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5B6294">
      <w:pPr>
        <w:pStyle w:val="5"/>
        <w:spacing w:line="360" w:lineRule="auto"/>
        <w:ind w:firstLine="0"/>
        <w:jc w:val="center"/>
        <w:rPr>
          <w:rFonts w:hint="eastAsia" w:ascii="宋体" w:hAnsi="宋体" w:eastAsia="宋体" w:cs="宋体"/>
          <w:b/>
          <w:color w:val="auto"/>
          <w:sz w:val="48"/>
          <w:highlight w:val="none"/>
          <w:lang w:eastAsia="zh-CN"/>
        </w:rPr>
      </w:pPr>
      <w:r>
        <w:rPr>
          <w:rFonts w:hint="eastAsia" w:ascii="宋体" w:hAnsi="宋体" w:cs="宋体"/>
          <w:b/>
          <w:color w:val="auto"/>
          <w:sz w:val="48"/>
          <w:szCs w:val="48"/>
          <w:highlight w:val="none"/>
          <w:lang w:eastAsia="zh-CN"/>
        </w:rPr>
        <w:t>永胜县东山乡2026年牦牛坪村委会饮水应急工程项目</w:t>
      </w:r>
    </w:p>
    <w:p w14:paraId="26E1807E">
      <w:pPr>
        <w:spacing w:line="360" w:lineRule="auto"/>
        <w:rPr>
          <w:rFonts w:hint="eastAsia" w:ascii="宋体" w:hAnsi="宋体" w:cs="宋体"/>
          <w:color w:val="auto"/>
          <w:highlight w:val="none"/>
        </w:rPr>
      </w:pPr>
    </w:p>
    <w:p w14:paraId="340B1926">
      <w:pPr>
        <w:spacing w:line="360" w:lineRule="auto"/>
        <w:rPr>
          <w:rFonts w:hint="eastAsia" w:ascii="宋体" w:hAnsi="宋体" w:cs="宋体"/>
          <w:color w:val="auto"/>
          <w:highlight w:val="none"/>
        </w:rPr>
      </w:pPr>
    </w:p>
    <w:p w14:paraId="28D08333">
      <w:pPr>
        <w:spacing w:line="360" w:lineRule="auto"/>
        <w:rPr>
          <w:rFonts w:hint="eastAsia" w:ascii="宋体" w:hAnsi="宋体" w:cs="宋体"/>
          <w:color w:val="auto"/>
          <w:highlight w:val="none"/>
        </w:rPr>
      </w:pPr>
    </w:p>
    <w:p w14:paraId="6245FE70">
      <w:pPr>
        <w:spacing w:line="360" w:lineRule="auto"/>
        <w:rPr>
          <w:rFonts w:hint="eastAsia" w:ascii="宋体" w:hAnsi="宋体" w:cs="宋体"/>
          <w:color w:val="auto"/>
          <w:highlight w:val="none"/>
        </w:rPr>
      </w:pPr>
    </w:p>
    <w:p w14:paraId="323EF065">
      <w:pPr>
        <w:spacing w:line="360" w:lineRule="auto"/>
        <w:rPr>
          <w:rFonts w:hint="eastAsia" w:ascii="宋体" w:hAnsi="宋体" w:cs="宋体"/>
          <w:color w:val="auto"/>
          <w:highlight w:val="none"/>
        </w:rPr>
      </w:pPr>
    </w:p>
    <w:p w14:paraId="33992723">
      <w:pPr>
        <w:spacing w:line="360" w:lineRule="auto"/>
        <w:rPr>
          <w:rFonts w:hint="eastAsia" w:ascii="宋体" w:hAnsi="宋体" w:cs="宋体"/>
          <w:color w:val="auto"/>
          <w:highlight w:val="none"/>
        </w:rPr>
      </w:pPr>
    </w:p>
    <w:p w14:paraId="4CA32387">
      <w:pPr>
        <w:spacing w:line="360" w:lineRule="auto"/>
        <w:rPr>
          <w:rFonts w:hint="eastAsia" w:ascii="宋体" w:hAnsi="宋体" w:cs="宋体"/>
          <w:b/>
          <w:color w:val="auto"/>
          <w:sz w:val="48"/>
          <w:highlight w:val="none"/>
        </w:rPr>
      </w:pPr>
    </w:p>
    <w:p w14:paraId="2996CBA9">
      <w:pPr>
        <w:spacing w:line="360" w:lineRule="auto"/>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竞争性磋商文件</w:t>
      </w:r>
    </w:p>
    <w:p w14:paraId="400B4274">
      <w:pPr>
        <w:spacing w:line="360" w:lineRule="auto"/>
        <w:ind w:right="301"/>
        <w:jc w:val="center"/>
        <w:rPr>
          <w:rFonts w:hint="default" w:ascii="宋体" w:hAnsi="宋体" w:eastAsia="宋体" w:cs="宋体"/>
          <w:b/>
          <w:color w:val="auto"/>
          <w:sz w:val="36"/>
          <w:szCs w:val="36"/>
          <w:highlight w:val="none"/>
          <w:lang w:val="en-US" w:eastAsia="zh-CN"/>
        </w:rPr>
      </w:pPr>
      <w:r>
        <w:rPr>
          <w:rFonts w:hint="eastAsia" w:ascii="宋体" w:hAnsi="宋体" w:cs="宋体"/>
          <w:b/>
          <w:color w:val="auto"/>
          <w:sz w:val="30"/>
          <w:szCs w:val="30"/>
          <w:highlight w:val="none"/>
        </w:rPr>
        <w:t>项目编号：</w:t>
      </w:r>
      <w:r>
        <w:rPr>
          <w:rFonts w:hint="eastAsia" w:ascii="宋体" w:hAnsi="宋体" w:cs="宋体"/>
          <w:b/>
          <w:color w:val="auto"/>
          <w:sz w:val="30"/>
          <w:szCs w:val="30"/>
          <w:highlight w:val="none"/>
          <w:lang w:val="en-US" w:eastAsia="zh-CN"/>
        </w:rPr>
        <w:t xml:space="preserve"> LJZC2026-C2-00271-ZSHY-0005</w:t>
      </w:r>
    </w:p>
    <w:p w14:paraId="409CBC12">
      <w:pPr>
        <w:spacing w:line="360" w:lineRule="auto"/>
        <w:jc w:val="center"/>
        <w:rPr>
          <w:rFonts w:hint="eastAsia" w:ascii="宋体" w:hAnsi="宋体" w:cs="宋体"/>
          <w:b/>
          <w:color w:val="auto"/>
          <w:sz w:val="30"/>
          <w:szCs w:val="30"/>
          <w:highlight w:val="none"/>
        </w:rPr>
      </w:pPr>
    </w:p>
    <w:p w14:paraId="0E8B3DA7">
      <w:pPr>
        <w:spacing w:line="360" w:lineRule="auto"/>
        <w:rPr>
          <w:rFonts w:hint="eastAsia" w:ascii="宋体" w:hAnsi="宋体" w:cs="宋体"/>
          <w:color w:val="auto"/>
          <w:highlight w:val="none"/>
        </w:rPr>
      </w:pPr>
    </w:p>
    <w:p w14:paraId="0EC8D669">
      <w:pPr>
        <w:spacing w:line="360" w:lineRule="auto"/>
        <w:rPr>
          <w:rFonts w:hint="eastAsia" w:ascii="宋体" w:hAnsi="宋体" w:cs="宋体"/>
          <w:color w:val="auto"/>
          <w:highlight w:val="none"/>
        </w:rPr>
      </w:pPr>
    </w:p>
    <w:p w14:paraId="49D62A19">
      <w:pPr>
        <w:pStyle w:val="5"/>
        <w:spacing w:line="360" w:lineRule="auto"/>
        <w:ind w:firstLine="0"/>
        <w:rPr>
          <w:rFonts w:hint="eastAsia" w:ascii="宋体" w:hAnsi="宋体" w:cs="宋体"/>
          <w:color w:val="auto"/>
          <w:highlight w:val="none"/>
        </w:rPr>
      </w:pPr>
    </w:p>
    <w:p w14:paraId="3819E483">
      <w:pPr>
        <w:spacing w:line="360" w:lineRule="auto"/>
        <w:rPr>
          <w:rFonts w:hint="eastAsia" w:ascii="宋体" w:hAnsi="宋体" w:cs="宋体"/>
          <w:color w:val="auto"/>
          <w:highlight w:val="none"/>
        </w:rPr>
      </w:pPr>
    </w:p>
    <w:p w14:paraId="546050DA">
      <w:pPr>
        <w:pStyle w:val="49"/>
        <w:spacing w:after="0" w:line="360" w:lineRule="auto"/>
        <w:ind w:left="0" w:firstLine="0" w:firstLineChars="0"/>
        <w:rPr>
          <w:rFonts w:hint="eastAsia" w:ascii="宋体" w:hAnsi="宋体" w:cs="宋体"/>
          <w:color w:val="auto"/>
          <w:highlight w:val="none"/>
        </w:rPr>
      </w:pPr>
    </w:p>
    <w:p w14:paraId="0E0A9E2E">
      <w:pPr>
        <w:pStyle w:val="5"/>
        <w:spacing w:line="360" w:lineRule="auto"/>
        <w:ind w:firstLine="0"/>
        <w:rPr>
          <w:rFonts w:hint="eastAsia" w:ascii="宋体" w:hAnsi="宋体" w:cs="宋体"/>
          <w:color w:val="auto"/>
          <w:highlight w:val="none"/>
        </w:rPr>
      </w:pPr>
    </w:p>
    <w:p w14:paraId="4862FC2A">
      <w:pPr>
        <w:pStyle w:val="5"/>
        <w:spacing w:line="360" w:lineRule="auto"/>
        <w:ind w:firstLine="0"/>
        <w:rPr>
          <w:rFonts w:hint="eastAsia" w:ascii="宋体" w:hAnsi="宋体" w:cs="宋体"/>
          <w:color w:val="auto"/>
          <w:highlight w:val="none"/>
        </w:rPr>
      </w:pPr>
    </w:p>
    <w:p w14:paraId="1870AC9B">
      <w:pPr>
        <w:snapToGrid w:val="0"/>
        <w:spacing w:line="360" w:lineRule="auto"/>
        <w:ind w:firstLine="723" w:firstLineChars="200"/>
        <w:jc w:val="both"/>
        <w:rPr>
          <w:rFonts w:hint="eastAsia" w:ascii="宋体" w:hAnsi="宋体" w:eastAsia="宋体" w:cs="宋体"/>
          <w:b/>
          <w:color w:val="auto"/>
          <w:sz w:val="36"/>
          <w:szCs w:val="36"/>
          <w:highlight w:val="none"/>
          <w:u w:val="single"/>
          <w:lang w:eastAsia="zh-CN"/>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lang w:eastAsia="zh-CN"/>
        </w:rPr>
        <w:t>永胜县水务局水利管理站</w:t>
      </w:r>
    </w:p>
    <w:p w14:paraId="359A6584">
      <w:pPr>
        <w:snapToGrid w:val="0"/>
        <w:spacing w:line="360" w:lineRule="auto"/>
        <w:ind w:firstLine="723" w:firstLineChars="200"/>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采购代理机构：</w:t>
      </w:r>
      <w:r>
        <w:rPr>
          <w:rFonts w:hint="eastAsia" w:ascii="宋体" w:hAnsi="宋体" w:cs="宋体"/>
          <w:b/>
          <w:color w:val="auto"/>
          <w:sz w:val="36"/>
          <w:szCs w:val="36"/>
          <w:highlight w:val="none"/>
          <w:lang w:eastAsia="zh-CN"/>
        </w:rPr>
        <w:t>长盛合(云南)工程管理咨询有限公司</w:t>
      </w:r>
      <w:r>
        <w:rPr>
          <w:rFonts w:hint="eastAsia" w:ascii="宋体" w:hAnsi="宋体" w:cs="宋体"/>
          <w:b/>
          <w:color w:val="auto"/>
          <w:sz w:val="36"/>
          <w:szCs w:val="36"/>
          <w:highlight w:val="none"/>
        </w:rPr>
        <w:t xml:space="preserve"> </w:t>
      </w:r>
    </w:p>
    <w:p w14:paraId="3654AF0F">
      <w:pPr>
        <w:snapToGrid w:val="0"/>
        <w:spacing w:line="360" w:lineRule="auto"/>
        <w:ind w:firstLine="723" w:firstLineChars="200"/>
        <w:rPr>
          <w:rFonts w:hint="eastAsia" w:ascii="宋体" w:hAnsi="宋体" w:cs="宋体"/>
          <w:b/>
          <w:color w:val="auto"/>
          <w:sz w:val="36"/>
          <w:szCs w:val="36"/>
          <w:highlight w:val="none"/>
        </w:rPr>
      </w:pPr>
      <w:r>
        <w:rPr>
          <w:rFonts w:hint="eastAsia" w:ascii="宋体" w:hAnsi="宋体" w:cs="宋体"/>
          <w:b/>
          <w:color w:val="auto"/>
          <w:sz w:val="36"/>
          <w:szCs w:val="36"/>
          <w:highlight w:val="none"/>
        </w:rPr>
        <w:t>日 期：</w:t>
      </w:r>
      <w:r>
        <w:rPr>
          <w:rFonts w:hint="eastAsia" w:ascii="宋体" w:hAnsi="宋体" w:cs="宋体"/>
          <w:b/>
          <w:color w:val="auto"/>
          <w:sz w:val="36"/>
          <w:szCs w:val="36"/>
          <w:highlight w:val="none"/>
          <w:lang w:eastAsia="zh-CN"/>
        </w:rPr>
        <w:t>2026年</w:t>
      </w:r>
      <w:r>
        <w:rPr>
          <w:rFonts w:hint="eastAsia" w:ascii="宋体" w:hAnsi="宋体" w:cs="宋体"/>
          <w:b/>
          <w:color w:val="auto"/>
          <w:sz w:val="36"/>
          <w:szCs w:val="36"/>
          <w:highlight w:val="none"/>
          <w:lang w:val="en-US" w:eastAsia="zh-CN"/>
        </w:rPr>
        <w:t>5</w:t>
      </w:r>
      <w:r>
        <w:rPr>
          <w:rFonts w:hint="eastAsia" w:ascii="宋体" w:hAnsi="宋体" w:cs="宋体"/>
          <w:b/>
          <w:color w:val="auto"/>
          <w:sz w:val="36"/>
          <w:szCs w:val="36"/>
          <w:highlight w:val="none"/>
          <w:lang w:eastAsia="zh-CN"/>
        </w:rPr>
        <w:t>月</w:t>
      </w:r>
    </w:p>
    <w:p w14:paraId="6883472E">
      <w:pPr>
        <w:snapToGrid w:val="0"/>
        <w:spacing w:line="360" w:lineRule="auto"/>
        <w:ind w:firstLine="723" w:firstLineChars="200"/>
        <w:rPr>
          <w:rFonts w:hint="eastAsia" w:ascii="宋体" w:hAnsi="宋体" w:cs="宋体"/>
          <w:b/>
          <w:color w:val="auto"/>
          <w:sz w:val="36"/>
          <w:szCs w:val="36"/>
          <w:highlight w:val="none"/>
        </w:rPr>
      </w:pPr>
    </w:p>
    <w:p w14:paraId="47235DC7">
      <w:pPr>
        <w:snapToGrid w:val="0"/>
        <w:spacing w:line="360" w:lineRule="auto"/>
        <w:ind w:firstLine="883" w:firstLineChars="200"/>
        <w:jc w:val="center"/>
        <w:rPr>
          <w:rFonts w:hint="eastAsia" w:ascii="宋体" w:hAnsi="宋体" w:eastAsia="宋体" w:cs="宋体"/>
          <w:b/>
          <w:bCs/>
          <w:color w:val="auto"/>
          <w:sz w:val="44"/>
          <w:szCs w:val="44"/>
          <w:highlight w:val="none"/>
          <w:lang w:val="zh-CN"/>
        </w:rPr>
        <w:sectPr>
          <w:footerReference r:id="rId5" w:type="first"/>
          <w:headerReference r:id="rId3" w:type="default"/>
          <w:footerReference r:id="rId4" w:type="default"/>
          <w:pgSz w:w="11907" w:h="16840"/>
          <w:pgMar w:top="1417" w:right="1417" w:bottom="1417" w:left="1417" w:header="851" w:footer="850" w:gutter="0"/>
          <w:pgNumType w:start="1"/>
          <w:cols w:space="720" w:num="1"/>
          <w:docGrid w:type="lines" w:linePitch="326" w:charSpace="0"/>
        </w:sectPr>
      </w:pPr>
    </w:p>
    <w:sdt>
      <w:sdtPr>
        <w:rPr>
          <w:rFonts w:hint="eastAsia" w:ascii="宋体" w:hAnsi="宋体" w:eastAsia="宋体" w:cs="宋体"/>
          <w:b/>
          <w:bCs/>
          <w:color w:val="auto"/>
          <w:sz w:val="44"/>
          <w:szCs w:val="44"/>
          <w:highlight w:val="none"/>
          <w:lang w:val="zh-CN"/>
        </w:rPr>
        <w:id w:val="-513690800"/>
        <w:docPartObj>
          <w:docPartGallery w:val="Table of Contents"/>
          <w:docPartUnique/>
        </w:docPartObj>
      </w:sdtPr>
      <w:sdtEndPr>
        <w:rPr>
          <w:rFonts w:hint="eastAsia" w:ascii="宋体" w:hAnsi="宋体" w:eastAsia="宋体" w:cs="宋体"/>
          <w:b/>
          <w:bCs/>
          <w:color w:val="auto"/>
          <w:sz w:val="21"/>
          <w:szCs w:val="21"/>
          <w:highlight w:val="none"/>
          <w:lang w:val="zh-CN"/>
        </w:rPr>
      </w:sdtEndPr>
      <w:sdtContent>
        <w:p w14:paraId="658378F7">
          <w:pPr>
            <w:snapToGrid w:val="0"/>
            <w:spacing w:line="360" w:lineRule="auto"/>
            <w:ind w:firstLine="883" w:firstLineChars="20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val="zh-CN"/>
            </w:rPr>
            <w:t>目</w:t>
          </w:r>
          <w:r>
            <w:rPr>
              <w:rFonts w:hint="eastAsia" w:ascii="宋体" w:hAnsi="宋体" w:eastAsia="宋体" w:cs="宋体"/>
              <w:b/>
              <w:bCs/>
              <w:color w:val="auto"/>
              <w:sz w:val="44"/>
              <w:szCs w:val="44"/>
              <w:highlight w:val="none"/>
            </w:rPr>
            <w:t xml:space="preserve"> </w:t>
          </w:r>
          <w:r>
            <w:rPr>
              <w:rFonts w:hint="eastAsia" w:ascii="宋体" w:hAnsi="宋体" w:eastAsia="宋体" w:cs="宋体"/>
              <w:b/>
              <w:bCs/>
              <w:color w:val="auto"/>
              <w:sz w:val="44"/>
              <w:szCs w:val="44"/>
              <w:highlight w:val="none"/>
              <w:lang w:val="zh-CN"/>
            </w:rPr>
            <w:t>录</w:t>
          </w:r>
        </w:p>
        <w:p w14:paraId="7FC496C2">
          <w:pPr>
            <w:pStyle w:val="34"/>
            <w:tabs>
              <w:tab w:val="right" w:leader="dot" w:pos="9073"/>
            </w:tabs>
            <w:spacing w:line="360" w:lineRule="auto"/>
            <w:rPr>
              <w:rFonts w:hint="eastAsia" w:ascii="宋体" w:hAnsi="宋体" w:cs="宋体"/>
              <w:color w:val="auto"/>
              <w:sz w:val="21"/>
              <w:szCs w:val="21"/>
              <w:highlight w:val="none"/>
            </w:rPr>
          </w:pPr>
          <w:r>
            <w:rPr>
              <w:rFonts w:hint="eastAsia" w:ascii="宋体" w:hAnsi="宋体" w:cs="宋体"/>
              <w:b w:val="0"/>
              <w:color w:val="auto"/>
              <w:sz w:val="21"/>
              <w:szCs w:val="21"/>
              <w:highlight w:val="none"/>
            </w:rPr>
            <w:fldChar w:fldCharType="begin"/>
          </w:r>
          <w:r>
            <w:rPr>
              <w:rFonts w:hint="eastAsia" w:ascii="宋体" w:hAnsi="宋体" w:cs="宋体"/>
              <w:b w:val="0"/>
              <w:color w:val="auto"/>
              <w:sz w:val="21"/>
              <w:szCs w:val="21"/>
              <w:highlight w:val="none"/>
            </w:rPr>
            <w:instrText xml:space="preserve"> TOC \o "1-3" \h \z \u </w:instrText>
          </w:r>
          <w:r>
            <w:rPr>
              <w:rFonts w:hint="eastAsia" w:ascii="宋体" w:hAnsi="宋体" w:cs="宋体"/>
              <w:b w:val="0"/>
              <w:color w:val="auto"/>
              <w:sz w:val="21"/>
              <w:szCs w:val="21"/>
              <w:highlight w:val="none"/>
            </w:rPr>
            <w:fldChar w:fldCharType="separate"/>
          </w:r>
          <w:r>
            <w:rPr>
              <w:color w:val="auto"/>
              <w:sz w:val="21"/>
              <w:szCs w:val="21"/>
              <w:highlight w:val="none"/>
            </w:rPr>
            <w:fldChar w:fldCharType="begin"/>
          </w:r>
          <w:r>
            <w:rPr>
              <w:color w:val="auto"/>
              <w:sz w:val="21"/>
              <w:szCs w:val="21"/>
              <w:highlight w:val="none"/>
            </w:rPr>
            <w:instrText xml:space="preserve"> HYPERLINK \l "_Toc2410" </w:instrText>
          </w:r>
          <w:r>
            <w:rPr>
              <w:color w:val="auto"/>
              <w:sz w:val="21"/>
              <w:szCs w:val="21"/>
              <w:highlight w:val="none"/>
            </w:rPr>
            <w:fldChar w:fldCharType="separate"/>
          </w:r>
          <w:r>
            <w:rPr>
              <w:rFonts w:hint="eastAsia" w:ascii="宋体" w:hAnsi="宋体" w:cs="宋体"/>
              <w:color w:val="auto"/>
              <w:sz w:val="21"/>
              <w:szCs w:val="21"/>
              <w:highlight w:val="none"/>
            </w:rPr>
            <w:t>第一章 竞争性磋商公告</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_Toc2410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3D89A6C">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"_Toc5519" </w:instrText>
          </w:r>
          <w:r>
            <w:rPr>
              <w:color w:val="auto"/>
              <w:sz w:val="21"/>
              <w:szCs w:val="21"/>
              <w:highlight w:val="none"/>
            </w:rPr>
            <w:fldChar w:fldCharType="separate"/>
          </w:r>
          <w:r>
            <w:rPr>
              <w:rFonts w:hint="eastAsia" w:ascii="宋体" w:hAnsi="宋体" w:cs="宋体"/>
              <w:color w:val="auto"/>
              <w:sz w:val="21"/>
              <w:szCs w:val="21"/>
              <w:highlight w:val="none"/>
            </w:rPr>
            <w:t>一、项目基本情况</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_Toc5519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7A8E426">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"_Toc20541" </w:instrText>
          </w:r>
          <w:r>
            <w:rPr>
              <w:color w:val="auto"/>
              <w:sz w:val="21"/>
              <w:szCs w:val="21"/>
              <w:highlight w:val="none"/>
            </w:rPr>
            <w:fldChar w:fldCharType="separate"/>
          </w:r>
          <w:r>
            <w:rPr>
              <w:rFonts w:hint="eastAsia" w:ascii="宋体" w:hAnsi="宋体" w:cs="宋体"/>
              <w:color w:val="auto"/>
              <w:sz w:val="21"/>
              <w:szCs w:val="21"/>
              <w:highlight w:val="none"/>
            </w:rPr>
            <w:t>二、申请人的资格要求</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_Toc20541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5454126">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"_Toc14383" </w:instrText>
          </w:r>
          <w:r>
            <w:rPr>
              <w:color w:val="auto"/>
              <w:sz w:val="21"/>
              <w:szCs w:val="21"/>
              <w:highlight w:val="none"/>
            </w:rPr>
            <w:fldChar w:fldCharType="separate"/>
          </w:r>
          <w:r>
            <w:rPr>
              <w:rFonts w:hint="eastAsia" w:ascii="宋体" w:hAnsi="宋体" w:cs="宋体"/>
              <w:color w:val="auto"/>
              <w:sz w:val="21"/>
              <w:szCs w:val="21"/>
              <w:highlight w:val="none"/>
            </w:rPr>
            <w:t>三、获取采购文件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_Toc14383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CE12341">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"_Toc12315" </w:instrText>
          </w:r>
          <w:r>
            <w:rPr>
              <w:color w:val="auto"/>
              <w:sz w:val="21"/>
              <w:szCs w:val="21"/>
              <w:highlight w:val="none"/>
            </w:rPr>
            <w:fldChar w:fldCharType="separate"/>
          </w:r>
          <w:r>
            <w:rPr>
              <w:rFonts w:hint="eastAsia" w:ascii="宋体" w:hAnsi="宋体" w:cs="宋体"/>
              <w:color w:val="auto"/>
              <w:sz w:val="21"/>
              <w:szCs w:val="21"/>
              <w:highlight w:val="none"/>
            </w:rPr>
            <w:t>四、响应文件提交</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_Toc12315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4121CED">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"_Toc4609" </w:instrText>
          </w:r>
          <w:r>
            <w:rPr>
              <w:color w:val="auto"/>
              <w:sz w:val="21"/>
              <w:szCs w:val="21"/>
              <w:highlight w:val="none"/>
            </w:rPr>
            <w:fldChar w:fldCharType="separate"/>
          </w:r>
          <w:r>
            <w:rPr>
              <w:rFonts w:hint="eastAsia" w:ascii="宋体" w:hAnsi="宋体" w:cs="宋体"/>
              <w:color w:val="auto"/>
              <w:sz w:val="21"/>
              <w:szCs w:val="21"/>
              <w:highlight w:val="none"/>
            </w:rPr>
            <w:t>五、开启</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_Toc4609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5EC7F4C">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"_Toc17532" </w:instrText>
          </w:r>
          <w:r>
            <w:rPr>
              <w:color w:val="auto"/>
              <w:sz w:val="21"/>
              <w:szCs w:val="21"/>
              <w:highlight w:val="none"/>
            </w:rPr>
            <w:fldChar w:fldCharType="separate"/>
          </w:r>
          <w:r>
            <w:rPr>
              <w:rFonts w:hint="eastAsia" w:ascii="宋体" w:hAnsi="宋体" w:cs="宋体"/>
              <w:color w:val="auto"/>
              <w:sz w:val="21"/>
              <w:szCs w:val="21"/>
              <w:highlight w:val="none"/>
            </w:rPr>
            <w:t>六、公告期限</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_Toc17532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CDC6039">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"_Toc17651" </w:instrText>
          </w:r>
          <w:r>
            <w:rPr>
              <w:color w:val="auto"/>
              <w:sz w:val="21"/>
              <w:szCs w:val="21"/>
              <w:highlight w:val="none"/>
            </w:rPr>
            <w:fldChar w:fldCharType="separate"/>
          </w:r>
          <w:r>
            <w:rPr>
              <w:rFonts w:hint="eastAsia" w:ascii="宋体" w:hAnsi="宋体" w:cs="宋体"/>
              <w:color w:val="auto"/>
              <w:sz w:val="21"/>
              <w:szCs w:val="21"/>
              <w:highlight w:val="none"/>
            </w:rPr>
            <w:t>七、其他补充事宜</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_Toc17651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D644DD6">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"_Toc23175" </w:instrText>
          </w:r>
          <w:r>
            <w:rPr>
              <w:color w:val="auto"/>
              <w:sz w:val="21"/>
              <w:szCs w:val="21"/>
              <w:highlight w:val="none"/>
            </w:rPr>
            <w:fldChar w:fldCharType="separate"/>
          </w:r>
          <w:r>
            <w:rPr>
              <w:rFonts w:hint="eastAsia" w:ascii="宋体" w:hAnsi="宋体" w:cs="宋体"/>
              <w:color w:val="auto"/>
              <w:sz w:val="21"/>
              <w:szCs w:val="21"/>
              <w:highlight w:val="none"/>
            </w:rPr>
            <w:t>八、凡对本次采购提出询问，请按以下方式联系</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_Toc23175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C0AF07F">
          <w:pPr>
            <w:pStyle w:val="34"/>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"_Toc30929" </w:instrText>
          </w:r>
          <w:r>
            <w:rPr>
              <w:color w:val="auto"/>
              <w:sz w:val="21"/>
              <w:szCs w:val="21"/>
              <w:highlight w:val="none"/>
            </w:rPr>
            <w:fldChar w:fldCharType="separate"/>
          </w:r>
          <w:r>
            <w:rPr>
              <w:rFonts w:hint="eastAsia" w:ascii="宋体" w:hAnsi="宋体" w:cs="宋体"/>
              <w:color w:val="auto"/>
              <w:sz w:val="21"/>
              <w:szCs w:val="21"/>
              <w:highlight w:val="none"/>
            </w:rPr>
            <w:t>第二章  供应商须知</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_Toc30929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AB9053D">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"_Toc21775" </w:instrText>
          </w:r>
          <w:r>
            <w:rPr>
              <w:color w:val="auto"/>
              <w:sz w:val="21"/>
              <w:szCs w:val="21"/>
              <w:highlight w:val="none"/>
            </w:rPr>
            <w:fldChar w:fldCharType="separate"/>
          </w:r>
          <w:r>
            <w:rPr>
              <w:rFonts w:hint="eastAsia" w:ascii="宋体" w:hAnsi="宋体" w:cs="宋体"/>
              <w:color w:val="auto"/>
              <w:sz w:val="21"/>
              <w:szCs w:val="21"/>
              <w:highlight w:val="none"/>
            </w:rPr>
            <w:t>供应商须知前附表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_Toc21775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70ACB7B">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"_Toc24183" </w:instrText>
          </w:r>
          <w:r>
            <w:rPr>
              <w:color w:val="auto"/>
              <w:sz w:val="21"/>
              <w:szCs w:val="21"/>
              <w:highlight w:val="none"/>
            </w:rPr>
            <w:fldChar w:fldCharType="separate"/>
          </w:r>
          <w:r>
            <w:rPr>
              <w:rFonts w:hint="eastAsia" w:ascii="宋体" w:hAnsi="宋体" w:cs="宋体"/>
              <w:color w:val="auto"/>
              <w:sz w:val="21"/>
              <w:szCs w:val="21"/>
              <w:highlight w:val="none"/>
            </w:rPr>
            <w:t>1．总   则</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_Toc24183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42CEAC0">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"_Toc23946" </w:instrText>
          </w:r>
          <w:r>
            <w:rPr>
              <w:color w:val="auto"/>
              <w:sz w:val="21"/>
              <w:szCs w:val="21"/>
              <w:highlight w:val="none"/>
            </w:rPr>
            <w:fldChar w:fldCharType="separate"/>
          </w:r>
          <w:r>
            <w:rPr>
              <w:rFonts w:hint="eastAsia" w:ascii="宋体" w:hAnsi="宋体" w:cs="宋体"/>
              <w:color w:val="auto"/>
              <w:sz w:val="21"/>
              <w:szCs w:val="21"/>
              <w:highlight w:val="none"/>
            </w:rPr>
            <w:t>2．竞争性磋商文件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_Toc23946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A36A304">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"_Toc28000" </w:instrText>
          </w:r>
          <w:r>
            <w:rPr>
              <w:color w:val="auto"/>
              <w:sz w:val="21"/>
              <w:szCs w:val="21"/>
              <w:highlight w:val="none"/>
            </w:rPr>
            <w:fldChar w:fldCharType="separate"/>
          </w:r>
          <w:r>
            <w:rPr>
              <w:rFonts w:hint="eastAsia" w:ascii="宋体" w:hAnsi="宋体" w:cs="宋体"/>
              <w:color w:val="auto"/>
              <w:sz w:val="21"/>
              <w:szCs w:val="21"/>
              <w:highlight w:val="none"/>
            </w:rPr>
            <w:t>3．响应文件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_Toc28000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D188D11">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"_Toc14817" </w:instrText>
          </w:r>
          <w:r>
            <w:rPr>
              <w:color w:val="auto"/>
              <w:sz w:val="21"/>
              <w:szCs w:val="21"/>
              <w:highlight w:val="none"/>
            </w:rPr>
            <w:fldChar w:fldCharType="separate"/>
          </w:r>
          <w:r>
            <w:rPr>
              <w:rFonts w:hint="eastAsia" w:ascii="宋体" w:hAnsi="宋体" w:cs="宋体"/>
              <w:color w:val="auto"/>
              <w:sz w:val="21"/>
              <w:szCs w:val="21"/>
              <w:highlight w:val="none"/>
            </w:rPr>
            <w:t>4．响应文件的上传</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_Toc14817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1E8C35A">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"_Toc14022" </w:instrText>
          </w:r>
          <w:r>
            <w:rPr>
              <w:color w:val="auto"/>
              <w:sz w:val="21"/>
              <w:szCs w:val="21"/>
              <w:highlight w:val="none"/>
            </w:rPr>
            <w:fldChar w:fldCharType="separate"/>
          </w:r>
          <w:r>
            <w:rPr>
              <w:rFonts w:hint="eastAsia" w:ascii="宋体" w:hAnsi="宋体" w:cs="宋体"/>
              <w:color w:val="auto"/>
              <w:sz w:val="21"/>
              <w:szCs w:val="21"/>
              <w:highlight w:val="none"/>
            </w:rPr>
            <w:t>5．响应文件的接收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_Toc14022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99B4F67">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"_Toc21904" </w:instrText>
          </w:r>
          <w:r>
            <w:rPr>
              <w:color w:val="auto"/>
              <w:sz w:val="21"/>
              <w:szCs w:val="21"/>
              <w:highlight w:val="none"/>
            </w:rPr>
            <w:fldChar w:fldCharType="separate"/>
          </w:r>
          <w:r>
            <w:rPr>
              <w:rFonts w:hint="eastAsia" w:ascii="宋体" w:hAnsi="宋体" w:cs="宋体"/>
              <w:color w:val="auto"/>
              <w:sz w:val="21"/>
              <w:szCs w:val="21"/>
              <w:highlight w:val="none"/>
            </w:rPr>
            <w:t>6．磋商评审</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_Toc21904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641F7FD">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"_Toc17076" </w:instrText>
          </w:r>
          <w:r>
            <w:rPr>
              <w:color w:val="auto"/>
              <w:sz w:val="21"/>
              <w:szCs w:val="21"/>
              <w:highlight w:val="none"/>
            </w:rPr>
            <w:fldChar w:fldCharType="separate"/>
          </w:r>
          <w:r>
            <w:rPr>
              <w:rFonts w:hint="eastAsia" w:ascii="宋体" w:hAnsi="宋体" w:cs="宋体"/>
              <w:color w:val="auto"/>
              <w:sz w:val="21"/>
              <w:szCs w:val="21"/>
              <w:highlight w:val="none"/>
            </w:rPr>
            <w:t>7．成交通知书及合同的授予</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_Toc17076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BD36904">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"_Toc16622" </w:instrText>
          </w:r>
          <w:r>
            <w:rPr>
              <w:color w:val="auto"/>
              <w:sz w:val="21"/>
              <w:szCs w:val="21"/>
              <w:highlight w:val="none"/>
            </w:rPr>
            <w:fldChar w:fldCharType="separate"/>
          </w:r>
          <w:r>
            <w:rPr>
              <w:rFonts w:hint="eastAsia" w:ascii="宋体" w:hAnsi="宋体" w:cs="宋体"/>
              <w:color w:val="auto"/>
              <w:sz w:val="21"/>
              <w:szCs w:val="21"/>
              <w:highlight w:val="none"/>
            </w:rPr>
            <w:t>8.纪律和监督</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_Toc16622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870C2EC">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"_Toc20154" </w:instrText>
          </w:r>
          <w:r>
            <w:rPr>
              <w:color w:val="auto"/>
              <w:sz w:val="21"/>
              <w:szCs w:val="21"/>
              <w:highlight w:val="none"/>
            </w:rPr>
            <w:fldChar w:fldCharType="separate"/>
          </w:r>
          <w:r>
            <w:rPr>
              <w:rFonts w:hint="eastAsia" w:ascii="宋体" w:hAnsi="宋体" w:cs="宋体"/>
              <w:color w:val="auto"/>
              <w:sz w:val="21"/>
              <w:szCs w:val="21"/>
              <w:highlight w:val="none"/>
            </w:rPr>
            <w:t>9.需要补充的其他内容</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_Toc20154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8F2DD56">
          <w:pPr>
            <w:pStyle w:val="34"/>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"_Toc16282" </w:instrText>
          </w:r>
          <w:r>
            <w:rPr>
              <w:color w:val="auto"/>
              <w:sz w:val="21"/>
              <w:szCs w:val="21"/>
              <w:highlight w:val="none"/>
            </w:rPr>
            <w:fldChar w:fldCharType="separate"/>
          </w:r>
          <w:r>
            <w:rPr>
              <w:rFonts w:hint="eastAsia" w:ascii="宋体" w:hAnsi="宋体" w:cs="宋体"/>
              <w:bCs/>
              <w:color w:val="auto"/>
              <w:sz w:val="21"/>
              <w:szCs w:val="21"/>
              <w:highlight w:val="none"/>
            </w:rPr>
            <w:t>第三章  磋商程序和方法</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_Toc16282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821DAA0">
          <w:pPr>
            <w:pStyle w:val="34"/>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"_Toc6894" </w:instrText>
          </w:r>
          <w:r>
            <w:rPr>
              <w:color w:val="auto"/>
              <w:sz w:val="21"/>
              <w:szCs w:val="21"/>
              <w:highlight w:val="none"/>
            </w:rPr>
            <w:fldChar w:fldCharType="separate"/>
          </w:r>
          <w:r>
            <w:rPr>
              <w:rFonts w:hint="eastAsia" w:ascii="宋体" w:hAnsi="宋体" w:cs="宋体"/>
              <w:bCs/>
              <w:color w:val="auto"/>
              <w:sz w:val="21"/>
              <w:szCs w:val="21"/>
              <w:highlight w:val="none"/>
            </w:rPr>
            <w:t>第四章  合同条款及格式</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_Toc6894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5CCF050">
          <w:pPr>
            <w:pStyle w:val="34"/>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"_Toc14743" </w:instrText>
          </w:r>
          <w:r>
            <w:rPr>
              <w:color w:val="auto"/>
              <w:sz w:val="21"/>
              <w:szCs w:val="21"/>
              <w:highlight w:val="none"/>
            </w:rPr>
            <w:fldChar w:fldCharType="separate"/>
          </w:r>
          <w:r>
            <w:rPr>
              <w:rFonts w:hint="eastAsia" w:ascii="宋体" w:hAnsi="宋体" w:cs="宋体"/>
              <w:color w:val="auto"/>
              <w:sz w:val="21"/>
              <w:szCs w:val="21"/>
              <w:highlight w:val="none"/>
            </w:rPr>
            <w:t>第五章  工程量清单</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_Toc14743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91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22BEBC8">
          <w:pPr>
            <w:pStyle w:val="34"/>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"_Toc15101" </w:instrText>
          </w:r>
          <w:r>
            <w:rPr>
              <w:color w:val="auto"/>
              <w:sz w:val="21"/>
              <w:szCs w:val="21"/>
              <w:highlight w:val="none"/>
            </w:rPr>
            <w:fldChar w:fldCharType="separate"/>
          </w:r>
          <w:r>
            <w:rPr>
              <w:rFonts w:hint="eastAsia" w:ascii="宋体" w:hAnsi="宋体" w:cs="宋体"/>
              <w:color w:val="auto"/>
              <w:sz w:val="21"/>
              <w:szCs w:val="21"/>
              <w:highlight w:val="none"/>
            </w:rPr>
            <w:t>第六章  技术标准与规范</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_Toc15101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92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A010C69">
          <w:pPr>
            <w:pStyle w:val="34"/>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"_Toc9976" </w:instrText>
          </w:r>
          <w:r>
            <w:rPr>
              <w:color w:val="auto"/>
              <w:sz w:val="21"/>
              <w:szCs w:val="21"/>
              <w:highlight w:val="none"/>
            </w:rPr>
            <w:fldChar w:fldCharType="separate"/>
          </w:r>
          <w:r>
            <w:rPr>
              <w:rFonts w:hint="eastAsia" w:ascii="宋体" w:hAnsi="宋体" w:cs="宋体"/>
              <w:color w:val="auto"/>
              <w:sz w:val="21"/>
              <w:szCs w:val="21"/>
              <w:highlight w:val="none"/>
            </w:rPr>
            <w:t>第七章  响应文件格式</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_Toc9976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93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545C6D3">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"_Toc31732" </w:instrText>
          </w:r>
          <w:r>
            <w:rPr>
              <w:color w:val="auto"/>
              <w:sz w:val="21"/>
              <w:szCs w:val="21"/>
              <w:highlight w:val="none"/>
            </w:rPr>
            <w:fldChar w:fldCharType="separate"/>
          </w:r>
          <w:r>
            <w:rPr>
              <w:rFonts w:hint="eastAsia" w:ascii="宋体" w:hAnsi="宋体" w:cs="宋体"/>
              <w:color w:val="auto"/>
              <w:sz w:val="21"/>
              <w:szCs w:val="21"/>
              <w:highlight w:val="none"/>
            </w:rPr>
            <w:t>一、资格文件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_Toc31732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95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0E96CB6">
          <w:pPr>
            <w:pStyle w:val="26"/>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"_Toc13801" </w:instrText>
          </w:r>
          <w:r>
            <w:rPr>
              <w:color w:val="auto"/>
              <w:sz w:val="21"/>
              <w:szCs w:val="21"/>
              <w:highlight w:val="none"/>
            </w:rPr>
            <w:fldChar w:fldCharType="separate"/>
          </w:r>
          <w:r>
            <w:rPr>
              <w:rFonts w:hint="eastAsia" w:ascii="宋体" w:hAnsi="宋体" w:cs="宋体"/>
              <w:color w:val="auto"/>
              <w:sz w:val="21"/>
              <w:szCs w:val="21"/>
              <w:highlight w:val="none"/>
            </w:rPr>
            <w:t>1.供应商情况一览表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_Toc13801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95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5FC56B6">
          <w:pPr>
            <w:pStyle w:val="26"/>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"_Toc4672" </w:instrText>
          </w:r>
          <w:r>
            <w:rPr>
              <w:color w:val="auto"/>
              <w:sz w:val="21"/>
              <w:szCs w:val="21"/>
              <w:highlight w:val="none"/>
            </w:rPr>
            <w:fldChar w:fldCharType="separate"/>
          </w:r>
          <w:r>
            <w:rPr>
              <w:rFonts w:hint="eastAsia" w:ascii="宋体" w:hAnsi="宋体" w:cs="宋体"/>
              <w:bCs/>
              <w:color w:val="auto"/>
              <w:sz w:val="21"/>
              <w:szCs w:val="21"/>
              <w:highlight w:val="none"/>
            </w:rPr>
            <w:t>2.具有良好的商业信誉和健全的财务会计制度</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_Toc4672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96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C9760BA">
          <w:pPr>
            <w:pStyle w:val="26"/>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"_Toc32711" </w:instrText>
          </w:r>
          <w:r>
            <w:rPr>
              <w:color w:val="auto"/>
              <w:sz w:val="21"/>
              <w:szCs w:val="21"/>
              <w:highlight w:val="none"/>
            </w:rPr>
            <w:fldChar w:fldCharType="separate"/>
          </w:r>
          <w:r>
            <w:rPr>
              <w:rFonts w:hint="eastAsia" w:ascii="宋体" w:hAnsi="宋体" w:cs="宋体"/>
              <w:color w:val="auto"/>
              <w:sz w:val="21"/>
              <w:szCs w:val="21"/>
              <w:highlight w:val="none"/>
            </w:rPr>
            <w:t>3.具有依法缴纳税收和社会保障资金的良好记录</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_Toc32711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97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666ACE3">
          <w:pPr>
            <w:pStyle w:val="26"/>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"_Toc3069" </w:instrText>
          </w:r>
          <w:r>
            <w:rPr>
              <w:color w:val="auto"/>
              <w:sz w:val="21"/>
              <w:szCs w:val="21"/>
              <w:highlight w:val="none"/>
            </w:rPr>
            <w:fldChar w:fldCharType="separate"/>
          </w:r>
          <w:r>
            <w:rPr>
              <w:rFonts w:hint="eastAsia" w:ascii="宋体" w:hAnsi="宋体" w:cs="宋体"/>
              <w:color w:val="auto"/>
              <w:sz w:val="21"/>
              <w:szCs w:val="21"/>
              <w:highlight w:val="none"/>
            </w:rPr>
            <w:t>4.具有履行合同所必需的设备和专业技术能力</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_Toc3069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98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C038132">
          <w:pPr>
            <w:pStyle w:val="26"/>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"_Toc5034" </w:instrText>
          </w:r>
          <w:r>
            <w:rPr>
              <w:color w:val="auto"/>
              <w:sz w:val="21"/>
              <w:szCs w:val="21"/>
              <w:highlight w:val="none"/>
            </w:rPr>
            <w:fldChar w:fldCharType="separate"/>
          </w:r>
          <w:r>
            <w:rPr>
              <w:rFonts w:hint="eastAsia" w:ascii="宋体" w:hAnsi="宋体" w:cs="宋体"/>
              <w:color w:val="auto"/>
              <w:sz w:val="21"/>
              <w:szCs w:val="21"/>
              <w:highlight w:val="none"/>
            </w:rPr>
            <w:t>5.声明函</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_Toc5034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99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D8010E2">
          <w:pPr>
            <w:pStyle w:val="26"/>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"_Toc14244" </w:instrText>
          </w:r>
          <w:r>
            <w:rPr>
              <w:color w:val="auto"/>
              <w:sz w:val="21"/>
              <w:szCs w:val="21"/>
              <w:highlight w:val="none"/>
            </w:rPr>
            <w:fldChar w:fldCharType="separate"/>
          </w:r>
          <w:r>
            <w:rPr>
              <w:rFonts w:hint="eastAsia" w:ascii="宋体" w:hAnsi="宋体" w:cs="宋体"/>
              <w:color w:val="auto"/>
              <w:sz w:val="21"/>
              <w:szCs w:val="21"/>
              <w:highlight w:val="none"/>
            </w:rPr>
            <w:t>6.落实政府采购政策需满足的资格要求：本项目专门面向中小微企业采购。</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_Toc14244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100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514B75F">
          <w:pPr>
            <w:pStyle w:val="26"/>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"_Toc6879" </w:instrText>
          </w:r>
          <w:r>
            <w:rPr>
              <w:color w:val="auto"/>
              <w:sz w:val="21"/>
              <w:szCs w:val="21"/>
              <w:highlight w:val="none"/>
            </w:rPr>
            <w:fldChar w:fldCharType="separate"/>
          </w:r>
          <w:r>
            <w:rPr>
              <w:rFonts w:hint="eastAsia" w:ascii="宋体" w:hAnsi="宋体" w:cs="宋体"/>
              <w:color w:val="auto"/>
              <w:sz w:val="21"/>
              <w:szCs w:val="21"/>
              <w:highlight w:val="none"/>
            </w:rPr>
            <w:t>7.</w:t>
          </w:r>
          <w:r>
            <w:rPr>
              <w:rFonts w:hint="eastAsia" w:ascii="宋体" w:hAnsi="宋体" w:cs="宋体"/>
              <w:color w:val="auto"/>
              <w:spacing w:val="1"/>
              <w:sz w:val="21"/>
              <w:szCs w:val="21"/>
              <w:highlight w:val="none"/>
            </w:rPr>
            <w:t>本项目的特定资格要求</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_Toc6879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103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6CB885B">
          <w:pPr>
            <w:pStyle w:val="26"/>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"_Toc17188" </w:instrText>
          </w:r>
          <w:r>
            <w:rPr>
              <w:color w:val="auto"/>
              <w:sz w:val="21"/>
              <w:szCs w:val="21"/>
              <w:highlight w:val="none"/>
            </w:rPr>
            <w:fldChar w:fldCharType="separate"/>
          </w:r>
          <w:r>
            <w:rPr>
              <w:rFonts w:hint="eastAsia" w:ascii="宋体" w:hAnsi="宋体" w:cs="宋体"/>
              <w:color w:val="auto"/>
              <w:sz w:val="21"/>
              <w:szCs w:val="21"/>
              <w:highlight w:val="none"/>
            </w:rPr>
            <w:t>8.其它要求</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_Toc17188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104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93B0AE2">
          <w:pPr>
            <w:pStyle w:val="26"/>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"_Toc22056" </w:instrText>
          </w:r>
          <w:r>
            <w:rPr>
              <w:color w:val="auto"/>
              <w:sz w:val="21"/>
              <w:szCs w:val="21"/>
              <w:highlight w:val="none"/>
            </w:rPr>
            <w:fldChar w:fldCharType="separate"/>
          </w:r>
          <w:r>
            <w:rPr>
              <w:rFonts w:hint="eastAsia" w:ascii="宋体" w:hAnsi="宋体" w:cs="宋体"/>
              <w:color w:val="auto"/>
              <w:sz w:val="21"/>
              <w:szCs w:val="21"/>
              <w:highlight w:val="none"/>
            </w:rPr>
            <w:t>9.其他</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_Toc22056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105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91D7BCE">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"_Toc13460" </w:instrText>
          </w:r>
          <w:r>
            <w:rPr>
              <w:color w:val="auto"/>
              <w:sz w:val="21"/>
              <w:szCs w:val="21"/>
              <w:highlight w:val="none"/>
            </w:rPr>
            <w:fldChar w:fldCharType="separate"/>
          </w:r>
          <w:r>
            <w:rPr>
              <w:rFonts w:hint="eastAsia" w:ascii="宋体" w:hAnsi="宋体" w:cs="宋体"/>
              <w:color w:val="auto"/>
              <w:sz w:val="21"/>
              <w:szCs w:val="21"/>
              <w:highlight w:val="none"/>
            </w:rPr>
            <w:t>二、商务文件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_Toc13460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106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B2389D8">
          <w:pPr>
            <w:pStyle w:val="26"/>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"_Toc25106" </w:instrText>
          </w:r>
          <w:r>
            <w:rPr>
              <w:color w:val="auto"/>
              <w:sz w:val="21"/>
              <w:szCs w:val="21"/>
              <w:highlight w:val="none"/>
            </w:rPr>
            <w:fldChar w:fldCharType="separate"/>
          </w:r>
          <w:r>
            <w:rPr>
              <w:rFonts w:hint="eastAsia" w:ascii="宋体" w:hAnsi="宋体" w:cs="宋体"/>
              <w:color w:val="auto"/>
              <w:sz w:val="21"/>
              <w:szCs w:val="21"/>
              <w:highlight w:val="none"/>
            </w:rPr>
            <w:t>1.报价一览表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_Toc25106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111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D6BEE8D">
          <w:pPr>
            <w:pStyle w:val="26"/>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"_Toc4548" </w:instrText>
          </w:r>
          <w:r>
            <w:rPr>
              <w:color w:val="auto"/>
              <w:sz w:val="21"/>
              <w:szCs w:val="21"/>
              <w:highlight w:val="none"/>
            </w:rPr>
            <w:fldChar w:fldCharType="separate"/>
          </w:r>
          <w:r>
            <w:rPr>
              <w:rFonts w:hint="eastAsia" w:ascii="宋体" w:hAnsi="宋体" w:cs="宋体"/>
              <w:color w:val="auto"/>
              <w:sz w:val="21"/>
              <w:szCs w:val="21"/>
              <w:highlight w:val="none"/>
            </w:rPr>
            <w:t>2.已标价工程量清单</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_Toc4548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115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0AB4ADA">
          <w:pPr>
            <w:pStyle w:val="26"/>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"_Toc25310" </w:instrText>
          </w:r>
          <w:r>
            <w:rPr>
              <w:color w:val="auto"/>
              <w:sz w:val="21"/>
              <w:szCs w:val="21"/>
              <w:highlight w:val="none"/>
            </w:rPr>
            <w:fldChar w:fldCharType="separate"/>
          </w:r>
          <w:r>
            <w:rPr>
              <w:rFonts w:hint="eastAsia" w:ascii="宋体" w:hAnsi="宋体" w:cs="宋体"/>
              <w:color w:val="auto"/>
              <w:sz w:val="21"/>
              <w:szCs w:val="21"/>
              <w:highlight w:val="none"/>
            </w:rPr>
            <w:t>3.项目管理机构配备</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_Toc25310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106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6634671">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"_Toc29936" </w:instrText>
          </w:r>
          <w:r>
            <w:rPr>
              <w:color w:val="auto"/>
              <w:sz w:val="21"/>
              <w:szCs w:val="21"/>
              <w:highlight w:val="none"/>
            </w:rPr>
            <w:fldChar w:fldCharType="separate"/>
          </w:r>
          <w:r>
            <w:rPr>
              <w:rFonts w:hint="eastAsia" w:ascii="宋体" w:hAnsi="宋体" w:cs="宋体"/>
              <w:color w:val="auto"/>
              <w:sz w:val="21"/>
              <w:szCs w:val="21"/>
              <w:highlight w:val="none"/>
            </w:rPr>
            <w:t>三、报价文件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_Toc29936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111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9922E32">
          <w:pPr>
            <w:pStyle w:val="26"/>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"_Toc31952" </w:instrText>
          </w:r>
          <w:r>
            <w:rPr>
              <w:color w:val="auto"/>
              <w:sz w:val="21"/>
              <w:szCs w:val="21"/>
              <w:highlight w:val="none"/>
            </w:rPr>
            <w:fldChar w:fldCharType="separate"/>
          </w:r>
          <w:r>
            <w:rPr>
              <w:rFonts w:hint="eastAsia" w:ascii="宋体" w:hAnsi="宋体" w:cs="宋体"/>
              <w:color w:val="auto"/>
              <w:sz w:val="21"/>
              <w:szCs w:val="21"/>
              <w:highlight w:val="none"/>
            </w:rPr>
            <w:t>1.报价函</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_Toc31952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111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80334F8">
          <w:pPr>
            <w:pStyle w:val="26"/>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"_Toc90" </w:instrText>
          </w:r>
          <w:r>
            <w:rPr>
              <w:color w:val="auto"/>
              <w:sz w:val="21"/>
              <w:szCs w:val="21"/>
              <w:highlight w:val="none"/>
            </w:rPr>
            <w:fldChar w:fldCharType="separate"/>
          </w:r>
          <w:r>
            <w:rPr>
              <w:rFonts w:hint="eastAsia" w:ascii="宋体" w:hAnsi="宋体" w:cs="宋体"/>
              <w:color w:val="auto"/>
              <w:sz w:val="21"/>
              <w:szCs w:val="21"/>
              <w:highlight w:val="none"/>
            </w:rPr>
            <w:t>2.法定代表人身份证明书</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_Toc90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113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E13CACA">
          <w:pPr>
            <w:pStyle w:val="26"/>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"_Toc25575" </w:instrText>
          </w:r>
          <w:r>
            <w:rPr>
              <w:color w:val="auto"/>
              <w:sz w:val="21"/>
              <w:szCs w:val="21"/>
              <w:highlight w:val="none"/>
            </w:rPr>
            <w:fldChar w:fldCharType="separate"/>
          </w:r>
          <w:r>
            <w:rPr>
              <w:rFonts w:hint="eastAsia" w:ascii="宋体" w:hAnsi="宋体" w:cs="宋体"/>
              <w:color w:val="auto"/>
              <w:sz w:val="21"/>
              <w:szCs w:val="21"/>
              <w:highlight w:val="none"/>
            </w:rPr>
            <w:t>3.授权委托书</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_Toc25575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114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8575FCD">
          <w:pPr>
            <w:pStyle w:val="41"/>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"_Toc28590" </w:instrText>
          </w:r>
          <w:r>
            <w:rPr>
              <w:color w:val="auto"/>
              <w:sz w:val="21"/>
              <w:szCs w:val="21"/>
              <w:highlight w:val="none"/>
            </w:rPr>
            <w:fldChar w:fldCharType="separate"/>
          </w:r>
          <w:r>
            <w:rPr>
              <w:rFonts w:hint="eastAsia" w:ascii="宋体" w:hAnsi="宋体" w:cs="宋体"/>
              <w:color w:val="auto"/>
              <w:sz w:val="21"/>
              <w:szCs w:val="21"/>
              <w:highlight w:val="none"/>
            </w:rPr>
            <w:t>四、技术文件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_Toc28590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116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B03330F">
          <w:pPr>
            <w:pStyle w:val="26"/>
            <w:tabs>
              <w:tab w:val="right" w:leader="dot" w:pos="9073"/>
            </w:tabs>
            <w:spacing w:line="360" w:lineRule="auto"/>
            <w:rPr>
              <w:rFonts w:hint="eastAsia" w:ascii="宋体" w:hAnsi="宋体" w:cs="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"_Toc26176" </w:instrText>
          </w:r>
          <w:r>
            <w:rPr>
              <w:color w:val="auto"/>
              <w:sz w:val="21"/>
              <w:szCs w:val="21"/>
              <w:highlight w:val="none"/>
            </w:rPr>
            <w:fldChar w:fldCharType="separate"/>
          </w:r>
          <w:r>
            <w:rPr>
              <w:rFonts w:hint="eastAsia" w:ascii="宋体" w:hAnsi="宋体" w:cs="宋体"/>
              <w:color w:val="auto"/>
              <w:sz w:val="21"/>
              <w:szCs w:val="21"/>
              <w:highlight w:val="none"/>
            </w:rPr>
            <w:t>1.施工组织设计</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_Toc26176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116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4CA9C64">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fldChar w:fldCharType="end"/>
          </w:r>
        </w:p>
      </w:sdtContent>
    </w:sdt>
    <w:p w14:paraId="7BDE8F47">
      <w:pPr>
        <w:tabs>
          <w:tab w:val="left" w:pos="432"/>
        </w:tabs>
        <w:snapToGrid w:val="0"/>
        <w:spacing w:line="360" w:lineRule="auto"/>
        <w:jc w:val="center"/>
        <w:rPr>
          <w:rFonts w:hint="eastAsia" w:ascii="宋体" w:hAnsi="宋体" w:cs="宋体"/>
          <w:color w:val="auto"/>
          <w:sz w:val="16"/>
          <w:szCs w:val="16"/>
          <w:highlight w:val="none"/>
        </w:rPr>
      </w:pPr>
    </w:p>
    <w:p w14:paraId="242B86AA">
      <w:pPr>
        <w:pStyle w:val="5"/>
        <w:spacing w:line="360" w:lineRule="auto"/>
        <w:rPr>
          <w:rFonts w:hint="eastAsia" w:ascii="宋体" w:hAnsi="宋体" w:cs="宋体"/>
          <w:color w:val="auto"/>
          <w:highlight w:val="none"/>
        </w:rPr>
      </w:pPr>
      <w:r>
        <w:rPr>
          <w:rFonts w:hint="eastAsia" w:ascii="宋体" w:hAnsi="宋体" w:cs="宋体"/>
          <w:color w:val="auto"/>
          <w:highlight w:val="none"/>
        </w:rPr>
        <w:br w:type="page"/>
      </w:r>
    </w:p>
    <w:p w14:paraId="34D9E294">
      <w:pPr>
        <w:pStyle w:val="2"/>
        <w:numPr>
          <w:ilvl w:val="0"/>
          <w:numId w:val="2"/>
        </w:numPr>
        <w:spacing w:line="360" w:lineRule="auto"/>
        <w:ind w:left="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bookmarkStart w:id="0" w:name="_Toc2410"/>
      <w:r>
        <w:rPr>
          <w:rFonts w:hint="eastAsia" w:ascii="宋体" w:hAnsi="宋体" w:eastAsia="宋体" w:cs="宋体"/>
          <w:b/>
          <w:color w:val="auto"/>
          <w:sz w:val="36"/>
          <w:szCs w:val="36"/>
          <w:highlight w:val="none"/>
        </w:rPr>
        <w:t>竞争性磋商公告</w:t>
      </w:r>
      <w:bookmarkEnd w:id="0"/>
    </w:p>
    <w:p w14:paraId="25D611CC">
      <w:pPr>
        <w:jc w:val="center"/>
        <w:rPr>
          <w:rFonts w:hint="eastAsia"/>
          <w:b/>
          <w:bCs/>
          <w:color w:val="auto"/>
          <w:sz w:val="28"/>
          <w:szCs w:val="28"/>
          <w:highlight w:val="none"/>
        </w:rPr>
      </w:pPr>
      <w:bookmarkStart w:id="1" w:name="_Toc29941"/>
      <w:r>
        <w:rPr>
          <w:rFonts w:hint="eastAsia"/>
          <w:b/>
          <w:bCs/>
          <w:color w:val="auto"/>
          <w:sz w:val="28"/>
          <w:szCs w:val="28"/>
          <w:highlight w:val="none"/>
          <w:lang w:eastAsia="zh-CN"/>
        </w:rPr>
        <w:t>永胜县东山乡2026年牦牛坪村委会饮水应急工程项目</w:t>
      </w:r>
      <w:r>
        <w:rPr>
          <w:rFonts w:hint="eastAsia"/>
          <w:b/>
          <w:bCs/>
          <w:color w:val="auto"/>
          <w:sz w:val="28"/>
          <w:szCs w:val="28"/>
          <w:highlight w:val="none"/>
        </w:rPr>
        <w:t>竞争性磋商公告</w:t>
      </w:r>
      <w:bookmarkEnd w:id="1"/>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0"/>
      </w:tblGrid>
      <w:tr w14:paraId="1C77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500" w:type="dxa"/>
          </w:tcPr>
          <w:p w14:paraId="20758445">
            <w:pPr>
              <w:adjustRightInd w:val="0"/>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项目概况：</w:t>
            </w:r>
          </w:p>
          <w:p w14:paraId="576017A4">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u w:val="single"/>
                <w:lang w:eastAsia="zh-CN"/>
              </w:rPr>
              <w:t>永胜县东山乡2026年牦牛坪村委会饮水应急工程项目</w:t>
            </w:r>
            <w:r>
              <w:rPr>
                <w:rFonts w:hint="eastAsia" w:ascii="宋体" w:hAnsi="宋体" w:cs="宋体"/>
                <w:color w:val="auto"/>
                <w:sz w:val="21"/>
                <w:szCs w:val="21"/>
                <w:highlight w:val="none"/>
              </w:rPr>
              <w:t>的潜在供应商应在“</w:t>
            </w:r>
            <w:r>
              <w:rPr>
                <w:rFonts w:hint="eastAsia" w:ascii="宋体" w:hAnsi="宋体" w:cs="宋体"/>
                <w:color w:val="auto"/>
                <w:sz w:val="21"/>
                <w:szCs w:val="21"/>
                <w:highlight w:val="none"/>
                <w:u w:val="single"/>
              </w:rPr>
              <w:t>政采云”平台（https://www.zcygov.cn）（下载）</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u w:val="single"/>
                <w:lang w:eastAsia="zh-CN"/>
              </w:rPr>
              <w:t>2026年5月20日14时30分</w:t>
            </w:r>
            <w:r>
              <w:rPr>
                <w:rFonts w:hint="eastAsia" w:ascii="宋体" w:hAnsi="宋体" w:cs="宋体"/>
                <w:bCs/>
                <w:color w:val="auto"/>
                <w:sz w:val="21"/>
                <w:szCs w:val="21"/>
                <w:highlight w:val="none"/>
              </w:rPr>
              <w:t>（北京时间）前提交响应文件</w:t>
            </w:r>
            <w:r>
              <w:rPr>
                <w:rFonts w:hint="eastAsia" w:ascii="宋体" w:hAnsi="宋体" w:cs="宋体"/>
                <w:color w:val="auto"/>
                <w:sz w:val="21"/>
                <w:szCs w:val="21"/>
                <w:highlight w:val="none"/>
              </w:rPr>
              <w:t>。</w:t>
            </w:r>
          </w:p>
        </w:tc>
      </w:tr>
    </w:tbl>
    <w:p w14:paraId="3DF99862">
      <w:pPr>
        <w:pStyle w:val="3"/>
        <w:adjustRightInd w:val="0"/>
        <w:snapToGrid w:val="0"/>
        <w:spacing w:before="0" w:after="0" w:line="360" w:lineRule="auto"/>
        <w:rPr>
          <w:rFonts w:hint="eastAsia" w:ascii="宋体" w:hAnsi="宋体" w:eastAsia="宋体" w:cs="宋体"/>
          <w:color w:val="auto"/>
          <w:sz w:val="21"/>
          <w:szCs w:val="21"/>
          <w:highlight w:val="none"/>
        </w:rPr>
      </w:pPr>
      <w:bookmarkStart w:id="2" w:name="_Toc5519"/>
      <w:r>
        <w:rPr>
          <w:rFonts w:hint="eastAsia" w:ascii="宋体" w:hAnsi="宋体" w:eastAsia="宋体" w:cs="宋体"/>
          <w:color w:val="auto"/>
          <w:sz w:val="21"/>
          <w:szCs w:val="21"/>
          <w:highlight w:val="none"/>
        </w:rPr>
        <w:t>一、项目基本情况</w:t>
      </w:r>
      <w:bookmarkEnd w:id="2"/>
    </w:p>
    <w:p w14:paraId="2B57C03E">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项目编号：LJZC2026-C2-00271-ZSHY-0005。</w:t>
      </w:r>
    </w:p>
    <w:p w14:paraId="6076DFCA">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项目名称：</w:t>
      </w:r>
      <w:r>
        <w:rPr>
          <w:rFonts w:hint="eastAsia" w:ascii="宋体" w:hAnsi="宋体" w:cs="宋体"/>
          <w:color w:val="auto"/>
          <w:spacing w:val="1"/>
          <w:sz w:val="21"/>
          <w:szCs w:val="21"/>
          <w:highlight w:val="none"/>
          <w:lang w:eastAsia="zh-CN"/>
        </w:rPr>
        <w:t>永胜县东山乡2026年牦牛坪村委会饮水应急工程项目</w:t>
      </w:r>
      <w:r>
        <w:rPr>
          <w:rFonts w:hint="eastAsia" w:ascii="宋体" w:hAnsi="宋体" w:cs="宋体"/>
          <w:color w:val="auto"/>
          <w:spacing w:val="1"/>
          <w:sz w:val="21"/>
          <w:szCs w:val="21"/>
          <w:highlight w:val="none"/>
        </w:rPr>
        <w:t>。</w:t>
      </w:r>
    </w:p>
    <w:p w14:paraId="4B743D58">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采购方式：竞争性磋商。</w:t>
      </w:r>
    </w:p>
    <w:p w14:paraId="45624790">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预算金额：</w:t>
      </w:r>
      <w:r>
        <w:rPr>
          <w:rFonts w:hint="eastAsia" w:ascii="宋体" w:hAnsi="宋体" w:cs="宋体"/>
          <w:color w:val="auto"/>
          <w:spacing w:val="1"/>
          <w:sz w:val="21"/>
          <w:szCs w:val="21"/>
          <w:highlight w:val="none"/>
          <w:lang w:val="en-US" w:eastAsia="zh-CN"/>
        </w:rPr>
        <w:t>88.66</w:t>
      </w:r>
      <w:r>
        <w:rPr>
          <w:rFonts w:hint="eastAsia" w:ascii="宋体" w:hAnsi="宋体" w:cs="宋体"/>
          <w:color w:val="auto"/>
          <w:spacing w:val="1"/>
          <w:sz w:val="21"/>
          <w:szCs w:val="21"/>
          <w:highlight w:val="none"/>
          <w:lang w:eastAsia="zh-CN"/>
        </w:rPr>
        <w:t>万元</w:t>
      </w:r>
      <w:r>
        <w:rPr>
          <w:rFonts w:hint="eastAsia" w:ascii="宋体" w:hAnsi="宋体" w:cs="宋体"/>
          <w:color w:val="auto"/>
          <w:spacing w:val="1"/>
          <w:sz w:val="21"/>
          <w:szCs w:val="21"/>
          <w:highlight w:val="none"/>
        </w:rPr>
        <w:t>。</w:t>
      </w:r>
    </w:p>
    <w:p w14:paraId="66603D0C">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最高限价：</w:t>
      </w:r>
      <w:r>
        <w:rPr>
          <w:rFonts w:hint="eastAsia" w:ascii="宋体" w:hAnsi="宋体" w:cs="宋体"/>
          <w:color w:val="auto"/>
          <w:spacing w:val="1"/>
          <w:sz w:val="21"/>
          <w:szCs w:val="21"/>
          <w:highlight w:val="none"/>
          <w:lang w:val="en-US" w:eastAsia="zh-CN"/>
        </w:rPr>
        <w:t>76.913602</w:t>
      </w:r>
      <w:r>
        <w:rPr>
          <w:rFonts w:hint="eastAsia" w:ascii="宋体" w:hAnsi="宋体" w:cs="宋体"/>
          <w:color w:val="auto"/>
          <w:spacing w:val="1"/>
          <w:sz w:val="21"/>
          <w:szCs w:val="21"/>
          <w:highlight w:val="none"/>
          <w:lang w:eastAsia="zh-CN"/>
        </w:rPr>
        <w:t>万元</w:t>
      </w:r>
      <w:r>
        <w:rPr>
          <w:rFonts w:hint="eastAsia" w:ascii="宋体" w:hAnsi="宋体" w:cs="宋体"/>
          <w:color w:val="auto"/>
          <w:spacing w:val="1"/>
          <w:sz w:val="21"/>
          <w:szCs w:val="21"/>
          <w:highlight w:val="none"/>
        </w:rPr>
        <w:t>。</w:t>
      </w:r>
    </w:p>
    <w:p w14:paraId="1512D81E">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采购需求：新建2立方米取水过滤池1座，水源保护围栏40米；缓释消毒器7套；10立方米一体式不锈钢水池1座，5立方米一体式不锈钢水池2座；输水管DN50热镀锌钢管1448米，DN40热镀锌钢管1964米，DN32热镀锌钢管970米，DN25热镀锌钢管1634米，DN20热镀锌钢管1453米；配水管DN25热镀锌钢管3264米，DN20热镀锌钢管386米，Φ50mmPE管948米，Φ32mmPE管4566米，Φ25mmPE管339米；分户管Φ25mmPE管1714米，入户管DN15热镀锌钢管432米，Φ20mmPE管5213米；闸阀、水表、水龙头各111套。具体以施工图所示范围，工程量清单包含的所有内容为准。</w:t>
      </w:r>
    </w:p>
    <w:p w14:paraId="1F059B5F">
      <w:pPr>
        <w:adjustRightInd w:val="0"/>
        <w:snapToGrid w:val="0"/>
        <w:spacing w:line="360" w:lineRule="auto"/>
        <w:ind w:firstLine="420" w:firstLineChars="200"/>
        <w:rPr>
          <w:rFonts w:hint="eastAsia" w:ascii="宋体" w:hAnsi="宋体" w:eastAsia="宋体" w:cs="宋体"/>
          <w:color w:val="auto"/>
          <w:spacing w:val="1"/>
          <w:sz w:val="21"/>
          <w:szCs w:val="21"/>
          <w:highlight w:val="none"/>
          <w:lang w:eastAsia="zh-CN"/>
        </w:rPr>
      </w:pPr>
      <w:r>
        <w:rPr>
          <w:rFonts w:hint="eastAsia" w:ascii="宋体" w:hAnsi="宋体" w:cs="宋体"/>
          <w:color w:val="auto"/>
          <w:sz w:val="21"/>
          <w:szCs w:val="21"/>
          <w:highlight w:val="none"/>
        </w:rPr>
        <w:t>质量要求</w:t>
      </w:r>
      <w:r>
        <w:rPr>
          <w:rFonts w:hint="eastAsia" w:ascii="宋体" w:hAnsi="宋体" w:cs="宋体"/>
          <w:color w:val="auto"/>
          <w:sz w:val="21"/>
          <w:szCs w:val="21"/>
          <w:highlight w:val="none"/>
          <w:lang w:eastAsia="zh-CN"/>
        </w:rPr>
        <w:t>：</w:t>
      </w:r>
      <w:r>
        <w:rPr>
          <w:rFonts w:hint="eastAsia" w:ascii="宋体" w:hAnsi="宋体" w:cs="宋体"/>
          <w:color w:val="auto"/>
          <w:spacing w:val="1"/>
          <w:sz w:val="21"/>
          <w:szCs w:val="21"/>
          <w:highlight w:val="none"/>
        </w:rPr>
        <w:t>符合国家、行业及地方现行的相关标准及规范，一次性验收合格</w:t>
      </w:r>
      <w:r>
        <w:rPr>
          <w:rFonts w:hint="eastAsia" w:ascii="宋体" w:hAnsi="宋体" w:cs="宋体"/>
          <w:color w:val="auto"/>
          <w:spacing w:val="1"/>
          <w:sz w:val="21"/>
          <w:szCs w:val="21"/>
          <w:highlight w:val="none"/>
          <w:lang w:eastAsia="zh-CN"/>
        </w:rPr>
        <w:t>。</w:t>
      </w:r>
    </w:p>
    <w:p w14:paraId="0EF9B9D0">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合同履行期限：</w:t>
      </w:r>
      <w:r>
        <w:rPr>
          <w:rFonts w:hint="eastAsia" w:ascii="宋体" w:hAnsi="宋体" w:cs="宋体"/>
          <w:color w:val="auto"/>
          <w:spacing w:val="1"/>
          <w:sz w:val="21"/>
          <w:szCs w:val="21"/>
          <w:highlight w:val="none"/>
          <w:lang w:val="en-US" w:eastAsia="zh-CN"/>
        </w:rPr>
        <w:t>120</w:t>
      </w:r>
      <w:r>
        <w:rPr>
          <w:rFonts w:hint="eastAsia" w:ascii="宋体" w:hAnsi="宋体" w:cs="宋体"/>
          <w:color w:val="auto"/>
          <w:spacing w:val="1"/>
          <w:sz w:val="21"/>
          <w:szCs w:val="21"/>
          <w:highlight w:val="none"/>
          <w:lang w:eastAsia="zh-CN"/>
        </w:rPr>
        <w:t>日历天</w:t>
      </w:r>
      <w:r>
        <w:rPr>
          <w:rFonts w:hint="eastAsia" w:ascii="宋体" w:hAnsi="宋体" w:cs="宋体"/>
          <w:color w:val="auto"/>
          <w:spacing w:val="1"/>
          <w:sz w:val="21"/>
          <w:szCs w:val="21"/>
          <w:highlight w:val="none"/>
        </w:rPr>
        <w:t>。</w:t>
      </w:r>
    </w:p>
    <w:p w14:paraId="1D5A1BE8">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本项目</w:t>
      </w:r>
      <w:r>
        <w:rPr>
          <w:rFonts w:hint="eastAsia" w:ascii="宋体" w:hAnsi="宋体" w:cs="宋体"/>
          <w:color w:val="auto"/>
          <w:spacing w:val="1"/>
          <w:sz w:val="21"/>
          <w:szCs w:val="21"/>
          <w:highlight w:val="none"/>
          <w:lang w:val="en-US" w:eastAsia="zh-CN"/>
        </w:rPr>
        <w:t>不</w:t>
      </w:r>
      <w:r>
        <w:rPr>
          <w:rFonts w:hint="eastAsia" w:ascii="宋体" w:hAnsi="宋体" w:cs="宋体"/>
          <w:color w:val="auto"/>
          <w:spacing w:val="1"/>
          <w:sz w:val="21"/>
          <w:szCs w:val="21"/>
          <w:highlight w:val="none"/>
        </w:rPr>
        <w:t>接受联合体投标。</w:t>
      </w:r>
    </w:p>
    <w:p w14:paraId="24ED67BA">
      <w:pPr>
        <w:pStyle w:val="3"/>
        <w:adjustRightInd w:val="0"/>
        <w:snapToGrid w:val="0"/>
        <w:spacing w:before="0" w:after="0" w:line="360" w:lineRule="auto"/>
        <w:rPr>
          <w:rFonts w:hint="eastAsia" w:ascii="宋体" w:hAnsi="宋体" w:eastAsia="宋体" w:cs="宋体"/>
          <w:color w:val="auto"/>
          <w:sz w:val="21"/>
          <w:szCs w:val="21"/>
          <w:highlight w:val="none"/>
        </w:rPr>
      </w:pPr>
      <w:bookmarkStart w:id="3" w:name="_Toc20541"/>
      <w:r>
        <w:rPr>
          <w:rFonts w:hint="eastAsia" w:ascii="宋体" w:hAnsi="宋体" w:eastAsia="宋体" w:cs="宋体"/>
          <w:color w:val="auto"/>
          <w:sz w:val="21"/>
          <w:szCs w:val="21"/>
          <w:highlight w:val="none"/>
        </w:rPr>
        <w:t>二、申请人的资格要求</w:t>
      </w:r>
      <w:bookmarkEnd w:id="3"/>
    </w:p>
    <w:p w14:paraId="42B1193F">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1.满足《中华人民共和国政府采购法》第二十二条规定：</w:t>
      </w:r>
    </w:p>
    <w:p w14:paraId="1F225517">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1.1具有独立承担民事责任的能力：提供法人或者其他组织的营业执照等证明文件。</w:t>
      </w:r>
    </w:p>
    <w:p w14:paraId="0327069C">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1.2具有良好的商业信誉和健全的财务会计制度：</w:t>
      </w:r>
    </w:p>
    <w:p w14:paraId="0B354B71">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①提供</w:t>
      </w:r>
      <w:r>
        <w:rPr>
          <w:rFonts w:hint="eastAsia" w:ascii="宋体" w:hAnsi="宋体" w:cs="宋体"/>
          <w:color w:val="auto"/>
          <w:spacing w:val="1"/>
          <w:sz w:val="21"/>
          <w:szCs w:val="21"/>
          <w:highlight w:val="none"/>
          <w:lang w:eastAsia="zh-CN"/>
        </w:rPr>
        <w:t>2023年（含2023年）</w:t>
      </w:r>
      <w:r>
        <w:rPr>
          <w:rFonts w:hint="eastAsia" w:ascii="宋体" w:hAnsi="宋体" w:cs="宋体"/>
          <w:color w:val="auto"/>
          <w:spacing w:val="1"/>
          <w:sz w:val="21"/>
          <w:szCs w:val="21"/>
          <w:highlight w:val="none"/>
        </w:rPr>
        <w:t>至今任意一年度经审计的审计报告及财务报表（至少包括资产负债表、利润表、现金流量表），成立不满1年的，提供自成立至今的财务报表（包括资产负债表、利润表、现金流量表）（若为非营利性单位或者社会团体或者其他机关事业单位也可提供以符合财务会计制度为准的证明材料或者提供承诺函）；</w:t>
      </w:r>
    </w:p>
    <w:p w14:paraId="169BED72">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②提供在提交响应文件截止时间前三个月内基本开户银行开具的资信证明或基本开户银行存款证明或其他财务说明；</w:t>
      </w:r>
    </w:p>
    <w:p w14:paraId="76F0EC25">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③提供财政部门认可的政府采购专业担保机构对供应商进行资信审查后出具的担保函。</w:t>
      </w:r>
    </w:p>
    <w:p w14:paraId="13A02BD0">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注：上述证明材料，提供任意一种即可。</w:t>
      </w:r>
    </w:p>
    <w:p w14:paraId="02BD76B3">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1.3具有履行合同所必需的设备和专业技术能力：提供具备履行合同所必需的设备和专业技术能力的证明材料或承诺书。</w:t>
      </w:r>
    </w:p>
    <w:p w14:paraId="397F63FB">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1.4有依法缴纳税收和社会保障资金的良好记录：</w:t>
      </w:r>
      <w:r>
        <w:rPr>
          <w:rFonts w:hint="eastAsia" w:ascii="宋体" w:hAnsi="宋体" w:cs="宋体"/>
          <w:color w:val="auto"/>
          <w:spacing w:val="1"/>
          <w:sz w:val="21"/>
          <w:szCs w:val="21"/>
          <w:highlight w:val="none"/>
          <w:lang w:eastAsia="zh-CN"/>
        </w:rPr>
        <w:t>供应商须提供缴税所属时间在2025年1月至本项目响应文件</w:t>
      </w:r>
      <w:r>
        <w:rPr>
          <w:rFonts w:hint="eastAsia" w:ascii="宋体" w:hAnsi="宋体" w:cs="宋体"/>
          <w:color w:val="auto"/>
          <w:spacing w:val="1"/>
          <w:sz w:val="21"/>
          <w:szCs w:val="21"/>
          <w:highlight w:val="none"/>
        </w:rPr>
        <w:t>提交截止时间前任意3个月的税务局税收通用缴款书或银行电子缴税（费）凭证或税务局出具纳税情况的相关证明，依法免税的，应提供依法免税的相关证明文件，成立不满三个月的提供相关承诺；</w:t>
      </w:r>
      <w:r>
        <w:rPr>
          <w:rFonts w:hint="eastAsia" w:ascii="宋体" w:hAnsi="宋体" w:cs="宋体"/>
          <w:color w:val="auto"/>
          <w:spacing w:val="1"/>
          <w:sz w:val="21"/>
          <w:szCs w:val="21"/>
          <w:highlight w:val="none"/>
          <w:lang w:eastAsia="zh-CN"/>
        </w:rPr>
        <w:t>供应商须提供缴费所属时间在2025年1月</w:t>
      </w:r>
      <w:r>
        <w:rPr>
          <w:rFonts w:hint="eastAsia" w:ascii="宋体" w:hAnsi="宋体" w:cs="宋体"/>
          <w:color w:val="auto"/>
          <w:spacing w:val="1"/>
          <w:sz w:val="21"/>
          <w:szCs w:val="21"/>
          <w:highlight w:val="none"/>
        </w:rPr>
        <w:t>至本项目响应文件提交截止时间前任意3个月的社会保险费缴款书或银行电子缴税（费）凭证或社保管理部门出具的有效的缴款证明，依法免缴的，应提供依法免缴的相关证明文件，成立不满三个月的提供相关承诺。</w:t>
      </w:r>
    </w:p>
    <w:p w14:paraId="672B5B71">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1.5参加政府采购活动前三年内，在经营活动中没有重大违法记录：提供参加政府采购活动前三年内在经营活动中没有重大违法记录的书面声明。</w:t>
      </w:r>
    </w:p>
    <w:p w14:paraId="055FE4EE">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2.落实政府采购政策需满足的资格要求：本项目专门面向中小微企业采购。</w:t>
      </w:r>
    </w:p>
    <w:p w14:paraId="4ADE40FF">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3.本项目的特定资格要求：</w:t>
      </w:r>
    </w:p>
    <w:p w14:paraId="4B705BDD">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3.1资质要求：在中华人民共和国境内注册，具有建设行政主管部门颁发的水利水电工程施工总承包叁级及其以上资质，并具备有效的安全生产许可证；</w:t>
      </w:r>
    </w:p>
    <w:p w14:paraId="30811656">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3.2项目经理要求：须具备水利水电工程专业贰级及以上注册建造师执业资格，具有有效的安全生产考核合格证书，且为本单位的在职人员</w:t>
      </w:r>
      <w:r>
        <w:rPr>
          <w:rFonts w:hint="eastAsia" w:ascii="宋体" w:hAnsi="宋体" w:cs="宋体"/>
          <w:color w:val="auto"/>
          <w:spacing w:val="1"/>
          <w:sz w:val="21"/>
          <w:szCs w:val="21"/>
          <w:highlight w:val="none"/>
          <w:lang w:val="en-US" w:eastAsia="zh-CN"/>
        </w:rPr>
        <w:t>并提供社保证明材料</w:t>
      </w:r>
      <w:r>
        <w:rPr>
          <w:rFonts w:hint="eastAsia" w:ascii="宋体" w:hAnsi="宋体" w:cs="宋体"/>
          <w:color w:val="auto"/>
          <w:spacing w:val="1"/>
          <w:sz w:val="21"/>
          <w:szCs w:val="21"/>
          <w:highlight w:val="none"/>
        </w:rPr>
        <w:t>，承诺不得担任其他在建工程项目的项目经理；</w:t>
      </w:r>
    </w:p>
    <w:p w14:paraId="6342AE0B">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3.3技术负责人要求：具有水利水电相关专业中级及以上技术职称，且为本单位的在职人员</w:t>
      </w:r>
      <w:r>
        <w:rPr>
          <w:rFonts w:hint="eastAsia" w:ascii="宋体" w:hAnsi="宋体" w:cs="宋体"/>
          <w:color w:val="auto"/>
          <w:spacing w:val="1"/>
          <w:sz w:val="21"/>
          <w:szCs w:val="21"/>
          <w:highlight w:val="none"/>
          <w:lang w:val="en-US" w:eastAsia="zh-CN"/>
        </w:rPr>
        <w:t>并提供社保证明材料</w:t>
      </w:r>
      <w:r>
        <w:rPr>
          <w:rFonts w:hint="eastAsia" w:ascii="宋体" w:hAnsi="宋体" w:cs="宋体"/>
          <w:color w:val="auto"/>
          <w:spacing w:val="1"/>
          <w:sz w:val="21"/>
          <w:szCs w:val="21"/>
          <w:highlight w:val="none"/>
        </w:rPr>
        <w:t>。</w:t>
      </w:r>
    </w:p>
    <w:p w14:paraId="1BBC1C85">
      <w:pPr>
        <w:adjustRightInd w:val="0"/>
        <w:snapToGrid w:val="0"/>
        <w:spacing w:line="360" w:lineRule="auto"/>
        <w:ind w:firstLine="424" w:firstLineChars="200"/>
        <w:rPr>
          <w:rFonts w:hint="default"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4.其他要求：</w:t>
      </w:r>
    </w:p>
    <w:p w14:paraId="101BBCCF">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4.</w:t>
      </w:r>
      <w:r>
        <w:rPr>
          <w:rFonts w:hint="eastAsia" w:ascii="宋体" w:hAnsi="宋体" w:cs="宋体"/>
          <w:color w:val="auto"/>
          <w:spacing w:val="1"/>
          <w:sz w:val="21"/>
          <w:szCs w:val="21"/>
          <w:highlight w:val="none"/>
          <w:lang w:val="en-US" w:eastAsia="zh-CN"/>
        </w:rPr>
        <w:t>1</w:t>
      </w:r>
      <w:r>
        <w:rPr>
          <w:rFonts w:hint="eastAsia" w:ascii="宋体" w:hAnsi="宋体" w:cs="宋体"/>
          <w:color w:val="auto"/>
          <w:spacing w:val="1"/>
          <w:sz w:val="21"/>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承诺书）</w:t>
      </w:r>
    </w:p>
    <w:p w14:paraId="1326F864">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lang w:val="en-US" w:eastAsia="zh-CN"/>
        </w:rPr>
        <w:t>4.2</w:t>
      </w:r>
      <w:r>
        <w:rPr>
          <w:rFonts w:hint="eastAsia" w:ascii="宋体" w:hAnsi="宋体" w:cs="宋体"/>
          <w:color w:val="auto"/>
          <w:spacing w:val="1"/>
          <w:sz w:val="21"/>
          <w:szCs w:val="21"/>
          <w:highlight w:val="none"/>
        </w:rPr>
        <w:t xml:space="preserve">供应商应在“信用中国”网站（https://www.creditchina.gov.cn）未被列入失信被执行人记录、重大税收违法失信主体且在中国政府采购网（https://www.ccgp.gov.cn）没有政府采购严重违法失信行为记录（被禁止在一定期限内参加政府采购活动但期限届满的除外）（由采购人或采购代理机构在响应文件开启时间前（当天）进行查询，供应商无需查询）。 </w:t>
      </w:r>
    </w:p>
    <w:p w14:paraId="5913C7BA">
      <w:pPr>
        <w:pStyle w:val="3"/>
        <w:adjustRightInd w:val="0"/>
        <w:snapToGrid w:val="0"/>
        <w:spacing w:before="0" w:after="0" w:line="360" w:lineRule="auto"/>
        <w:rPr>
          <w:rFonts w:hint="eastAsia" w:ascii="宋体" w:hAnsi="宋体" w:eastAsia="宋体" w:cs="宋体"/>
          <w:color w:val="auto"/>
          <w:sz w:val="21"/>
          <w:szCs w:val="21"/>
          <w:highlight w:val="none"/>
        </w:rPr>
      </w:pPr>
      <w:bookmarkStart w:id="4" w:name="_Toc14383"/>
      <w:r>
        <w:rPr>
          <w:rFonts w:hint="eastAsia" w:ascii="宋体" w:hAnsi="宋体" w:eastAsia="宋体" w:cs="宋体"/>
          <w:color w:val="auto"/>
          <w:sz w:val="21"/>
          <w:szCs w:val="21"/>
          <w:highlight w:val="none"/>
        </w:rPr>
        <w:t>三、获取采购文件</w:t>
      </w:r>
      <w:bookmarkEnd w:id="4"/>
    </w:p>
    <w:p w14:paraId="66E21BA3">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1.时间：</w:t>
      </w:r>
      <w:r>
        <w:rPr>
          <w:rFonts w:hint="eastAsia" w:ascii="宋体" w:hAnsi="宋体" w:cs="宋体"/>
          <w:color w:val="auto"/>
          <w:spacing w:val="1"/>
          <w:sz w:val="21"/>
          <w:szCs w:val="21"/>
          <w:highlight w:val="none"/>
          <w:u w:val="single"/>
          <w:lang w:eastAsia="zh-CN"/>
        </w:rPr>
        <w:t>2026年5月</w:t>
      </w:r>
      <w:r>
        <w:rPr>
          <w:rFonts w:hint="eastAsia" w:ascii="宋体" w:hAnsi="宋体" w:cs="宋体"/>
          <w:color w:val="auto"/>
          <w:spacing w:val="1"/>
          <w:sz w:val="21"/>
          <w:szCs w:val="21"/>
          <w:highlight w:val="none"/>
          <w:u w:val="single"/>
          <w:lang w:val="en-US" w:eastAsia="zh-CN"/>
        </w:rPr>
        <w:t>9</w:t>
      </w:r>
      <w:bookmarkStart w:id="1288" w:name="_GoBack"/>
      <w:bookmarkEnd w:id="1288"/>
      <w:r>
        <w:rPr>
          <w:rFonts w:hint="eastAsia" w:ascii="宋体" w:hAnsi="宋体" w:cs="宋体"/>
          <w:color w:val="auto"/>
          <w:spacing w:val="1"/>
          <w:sz w:val="21"/>
          <w:szCs w:val="21"/>
          <w:highlight w:val="none"/>
          <w:u w:val="single"/>
          <w:lang w:eastAsia="zh-CN"/>
        </w:rPr>
        <w:t>日</w:t>
      </w:r>
      <w:r>
        <w:rPr>
          <w:rFonts w:hint="eastAsia" w:ascii="宋体" w:hAnsi="宋体" w:cs="宋体"/>
          <w:color w:val="auto"/>
          <w:spacing w:val="1"/>
          <w:sz w:val="21"/>
          <w:szCs w:val="21"/>
          <w:highlight w:val="none"/>
          <w:u w:val="single"/>
        </w:rPr>
        <w:t>至</w:t>
      </w:r>
      <w:r>
        <w:rPr>
          <w:rFonts w:hint="eastAsia" w:ascii="宋体" w:hAnsi="宋体" w:cs="宋体"/>
          <w:color w:val="auto"/>
          <w:spacing w:val="1"/>
          <w:sz w:val="21"/>
          <w:szCs w:val="21"/>
          <w:highlight w:val="none"/>
          <w:u w:val="single"/>
          <w:lang w:eastAsia="zh-CN"/>
        </w:rPr>
        <w:t>2026年5月</w:t>
      </w:r>
      <w:r>
        <w:rPr>
          <w:rFonts w:hint="eastAsia" w:ascii="宋体" w:hAnsi="宋体" w:cs="宋体"/>
          <w:color w:val="auto"/>
          <w:spacing w:val="1"/>
          <w:sz w:val="21"/>
          <w:szCs w:val="21"/>
          <w:highlight w:val="none"/>
          <w:u w:val="single"/>
          <w:lang w:val="en-US" w:eastAsia="zh-CN"/>
        </w:rPr>
        <w:t>15</w:t>
      </w:r>
      <w:r>
        <w:rPr>
          <w:rFonts w:hint="eastAsia" w:ascii="宋体" w:hAnsi="宋体" w:cs="宋体"/>
          <w:color w:val="auto"/>
          <w:spacing w:val="1"/>
          <w:sz w:val="21"/>
          <w:szCs w:val="21"/>
          <w:highlight w:val="none"/>
          <w:u w:val="single"/>
          <w:lang w:eastAsia="zh-CN"/>
        </w:rPr>
        <w:t>日</w:t>
      </w:r>
      <w:r>
        <w:rPr>
          <w:rFonts w:hint="eastAsia" w:ascii="宋体" w:hAnsi="宋体" w:cs="宋体"/>
          <w:color w:val="auto"/>
          <w:spacing w:val="1"/>
          <w:sz w:val="21"/>
          <w:szCs w:val="21"/>
          <w:highlight w:val="none"/>
        </w:rPr>
        <w:t>，每天上午06:00至12:00，下午12:00至23:59（北京时间，法定节假日除外）。</w:t>
      </w:r>
    </w:p>
    <w:p w14:paraId="0B4B19BB">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2.地点：供应商可自行在“政采云”平台（http://www.zcygov.cn）下载竞争性磋商文件（操作路径：登录“政采云”平台-项目采购-获取竞争性磋商文件-找到本项目-点击“申请获取竞争性磋商文件”），电子响应文件制作需要基于“政采云”平台（http://www.zcygov.cn）获取的竞争性磋商文件编制。</w:t>
      </w:r>
    </w:p>
    <w:p w14:paraId="5B26C26B">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3.方式：（1）凡有意参加投标者，须在政采云平台办理数字证书（CA），并在政采云绑定数字证书（CA）后线上获取采购文件及其它采购资料。CA申领链接：https://middle.zcygov.cn/ca/apply/list?_app_=zcy.sys，CA申领后需</w:t>
      </w:r>
      <w:r>
        <w:rPr>
          <w:rFonts w:hint="eastAsia" w:ascii="宋体" w:hAnsi="宋体" w:cs="宋体"/>
          <w:color w:val="auto"/>
          <w:spacing w:val="1"/>
          <w:sz w:val="21"/>
          <w:szCs w:val="21"/>
          <w:highlight w:val="none"/>
          <w:lang w:eastAsia="zh-CN"/>
        </w:rPr>
        <w:t>登录</w:t>
      </w:r>
      <w:r>
        <w:rPr>
          <w:rFonts w:hint="eastAsia" w:ascii="宋体" w:hAnsi="宋体" w:cs="宋体"/>
          <w:color w:val="auto"/>
          <w:spacing w:val="1"/>
          <w:sz w:val="21"/>
          <w:szCs w:val="21"/>
          <w:highlight w:val="none"/>
        </w:rPr>
        <w:t>政采云平台完成数字证书（CA）绑定才可以使用，数字证书（CA）详见其办理流程。（2）按上述要求获取文件的供应商视为合法获取了本项目采购文件，具备本项目的投标资格。</w:t>
      </w:r>
    </w:p>
    <w:p w14:paraId="78FD7881">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4.售价：0元。</w:t>
      </w:r>
    </w:p>
    <w:p w14:paraId="2F04F3CF">
      <w:pPr>
        <w:pStyle w:val="3"/>
        <w:adjustRightInd w:val="0"/>
        <w:snapToGrid w:val="0"/>
        <w:spacing w:before="0" w:after="0" w:line="360" w:lineRule="auto"/>
        <w:rPr>
          <w:rFonts w:hint="eastAsia" w:ascii="宋体" w:hAnsi="宋体" w:eastAsia="宋体" w:cs="宋体"/>
          <w:color w:val="auto"/>
          <w:sz w:val="21"/>
          <w:szCs w:val="21"/>
          <w:highlight w:val="none"/>
        </w:rPr>
      </w:pPr>
      <w:bookmarkStart w:id="5" w:name="_Toc12315"/>
      <w:r>
        <w:rPr>
          <w:rFonts w:hint="eastAsia" w:ascii="宋体" w:hAnsi="宋体" w:eastAsia="宋体" w:cs="宋体"/>
          <w:color w:val="auto"/>
          <w:sz w:val="21"/>
          <w:szCs w:val="21"/>
          <w:highlight w:val="none"/>
        </w:rPr>
        <w:t>四、响应文件提交</w:t>
      </w:r>
      <w:bookmarkEnd w:id="5"/>
    </w:p>
    <w:p w14:paraId="6C0A2B48">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1.截止时间：</w:t>
      </w:r>
      <w:r>
        <w:rPr>
          <w:rFonts w:hint="eastAsia" w:ascii="宋体" w:hAnsi="宋体" w:cs="宋体"/>
          <w:color w:val="auto"/>
          <w:spacing w:val="1"/>
          <w:sz w:val="21"/>
          <w:szCs w:val="21"/>
          <w:highlight w:val="none"/>
          <w:u w:val="single"/>
          <w:lang w:eastAsia="zh-CN"/>
        </w:rPr>
        <w:t>2026年5月20日14时30分</w:t>
      </w:r>
      <w:r>
        <w:rPr>
          <w:rFonts w:hint="eastAsia" w:ascii="宋体" w:hAnsi="宋体" w:cs="宋体"/>
          <w:bCs/>
          <w:color w:val="auto"/>
          <w:sz w:val="21"/>
          <w:szCs w:val="21"/>
          <w:highlight w:val="none"/>
        </w:rPr>
        <w:t>（北京时间）</w:t>
      </w:r>
      <w:r>
        <w:rPr>
          <w:rFonts w:hint="eastAsia" w:ascii="宋体" w:hAnsi="宋体" w:cs="宋体"/>
          <w:color w:val="auto"/>
          <w:spacing w:val="1"/>
          <w:sz w:val="21"/>
          <w:szCs w:val="21"/>
          <w:highlight w:val="none"/>
        </w:rPr>
        <w:t>。</w:t>
      </w:r>
    </w:p>
    <w:p w14:paraId="5D2B5640">
      <w:pPr>
        <w:adjustRightInd w:val="0"/>
        <w:snapToGrid w:val="0"/>
        <w:spacing w:line="360" w:lineRule="auto"/>
        <w:ind w:firstLine="424" w:firstLineChars="200"/>
        <w:rPr>
          <w:rFonts w:hint="eastAsia" w:ascii="宋体" w:hAnsi="宋体" w:cs="宋体"/>
          <w:b/>
          <w:bCs/>
          <w:color w:val="auto"/>
          <w:spacing w:val="1"/>
          <w:sz w:val="21"/>
          <w:szCs w:val="21"/>
          <w:highlight w:val="none"/>
        </w:rPr>
      </w:pPr>
      <w:r>
        <w:rPr>
          <w:rFonts w:hint="eastAsia" w:ascii="宋体" w:hAnsi="宋体" w:cs="宋体"/>
          <w:color w:val="auto"/>
          <w:spacing w:val="1"/>
          <w:sz w:val="21"/>
          <w:szCs w:val="21"/>
          <w:highlight w:val="none"/>
        </w:rPr>
        <w:t>2.响应文件提交方式：本项目为云南省全流程电子化项目，通过“政采云”平台（https://www.zcygov.cn）实行在线电子投标，供应商应先安装“政采云电子交易客户端”（请自行前往“政采云”平台进行下载），并按照本项目采购文件和“政采云”平台的要求编制、加密后在响应文件递交截止时间前通过网络上传至云南省“政采云”平台，供应商在云南省“政采云”平台提交电子版响应文件时，请填写参加远程开标活动经办人联系方式。</w:t>
      </w:r>
    </w:p>
    <w:p w14:paraId="6298C112">
      <w:pPr>
        <w:pStyle w:val="3"/>
        <w:adjustRightInd w:val="0"/>
        <w:snapToGrid w:val="0"/>
        <w:spacing w:before="0" w:after="0" w:line="360" w:lineRule="auto"/>
        <w:rPr>
          <w:rFonts w:hint="eastAsia" w:ascii="宋体" w:hAnsi="宋体" w:eastAsia="宋体" w:cs="宋体"/>
          <w:color w:val="auto"/>
          <w:sz w:val="21"/>
          <w:szCs w:val="21"/>
          <w:highlight w:val="none"/>
        </w:rPr>
      </w:pPr>
      <w:bookmarkStart w:id="6" w:name="_Toc4609"/>
      <w:r>
        <w:rPr>
          <w:rFonts w:hint="eastAsia" w:ascii="宋体" w:hAnsi="宋体" w:eastAsia="宋体" w:cs="宋体"/>
          <w:color w:val="auto"/>
          <w:sz w:val="21"/>
          <w:szCs w:val="21"/>
          <w:highlight w:val="none"/>
        </w:rPr>
        <w:t>五、开启</w:t>
      </w:r>
      <w:bookmarkEnd w:id="6"/>
    </w:p>
    <w:p w14:paraId="1933B7FE">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1.时间：</w:t>
      </w:r>
      <w:r>
        <w:rPr>
          <w:rFonts w:hint="eastAsia" w:ascii="宋体" w:hAnsi="宋体" w:cs="宋体"/>
          <w:color w:val="auto"/>
          <w:spacing w:val="1"/>
          <w:sz w:val="21"/>
          <w:szCs w:val="21"/>
          <w:highlight w:val="none"/>
          <w:u w:val="single"/>
          <w:lang w:eastAsia="zh-CN"/>
        </w:rPr>
        <w:t>2026年5月20日14时30分</w:t>
      </w:r>
      <w:r>
        <w:rPr>
          <w:rFonts w:hint="eastAsia" w:ascii="宋体" w:hAnsi="宋体" w:cs="宋体"/>
          <w:bCs/>
          <w:color w:val="auto"/>
          <w:sz w:val="21"/>
          <w:szCs w:val="21"/>
          <w:highlight w:val="none"/>
        </w:rPr>
        <w:t>（北京时间）</w:t>
      </w:r>
      <w:r>
        <w:rPr>
          <w:rFonts w:hint="eastAsia" w:ascii="宋体" w:hAnsi="宋体" w:cs="宋体"/>
          <w:color w:val="auto"/>
          <w:spacing w:val="1"/>
          <w:sz w:val="21"/>
          <w:szCs w:val="21"/>
          <w:highlight w:val="none"/>
        </w:rPr>
        <w:t>。</w:t>
      </w:r>
    </w:p>
    <w:p w14:paraId="702646B0">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 xml:space="preserve">2.地点：“政采云”平台（https://www.zcygov.cn）开标大厅。 </w:t>
      </w:r>
    </w:p>
    <w:p w14:paraId="0772CFB8">
      <w:pPr>
        <w:pStyle w:val="3"/>
        <w:adjustRightInd w:val="0"/>
        <w:snapToGrid w:val="0"/>
        <w:spacing w:before="0" w:after="0" w:line="360" w:lineRule="auto"/>
        <w:rPr>
          <w:rFonts w:hint="eastAsia" w:ascii="宋体" w:hAnsi="宋体" w:eastAsia="宋体" w:cs="宋体"/>
          <w:color w:val="auto"/>
          <w:sz w:val="21"/>
          <w:szCs w:val="21"/>
          <w:highlight w:val="none"/>
        </w:rPr>
      </w:pPr>
      <w:bookmarkStart w:id="7" w:name="_Toc17532"/>
      <w:r>
        <w:rPr>
          <w:rFonts w:hint="eastAsia" w:ascii="宋体" w:hAnsi="宋体" w:eastAsia="宋体" w:cs="宋体"/>
          <w:color w:val="auto"/>
          <w:sz w:val="21"/>
          <w:szCs w:val="21"/>
          <w:highlight w:val="none"/>
        </w:rPr>
        <w:t>六、公告期限</w:t>
      </w:r>
      <w:bookmarkEnd w:id="7"/>
    </w:p>
    <w:p w14:paraId="5A976A08">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自本公告发布之日起5个工作日。</w:t>
      </w:r>
    </w:p>
    <w:p w14:paraId="7DCBAAD7">
      <w:pPr>
        <w:pStyle w:val="3"/>
        <w:adjustRightInd w:val="0"/>
        <w:snapToGrid w:val="0"/>
        <w:spacing w:before="0" w:after="0" w:line="360" w:lineRule="auto"/>
        <w:rPr>
          <w:rFonts w:hint="eastAsia" w:ascii="宋体" w:hAnsi="宋体" w:eastAsia="宋体" w:cs="宋体"/>
          <w:color w:val="auto"/>
          <w:sz w:val="21"/>
          <w:szCs w:val="21"/>
          <w:highlight w:val="none"/>
        </w:rPr>
      </w:pPr>
      <w:bookmarkStart w:id="8" w:name="_Toc17651"/>
      <w:r>
        <w:rPr>
          <w:rFonts w:hint="eastAsia" w:ascii="宋体" w:hAnsi="宋体" w:eastAsia="宋体" w:cs="宋体"/>
          <w:color w:val="auto"/>
          <w:sz w:val="21"/>
          <w:szCs w:val="21"/>
          <w:highlight w:val="none"/>
        </w:rPr>
        <w:t>七、其他补充事宜</w:t>
      </w:r>
      <w:bookmarkEnd w:id="8"/>
    </w:p>
    <w:p w14:paraId="0965F691">
      <w:pPr>
        <w:pStyle w:val="21"/>
        <w:spacing w:after="0"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1.开标方式：网上开启。</w:t>
      </w:r>
    </w:p>
    <w:p w14:paraId="27B0C0EA">
      <w:pPr>
        <w:pStyle w:val="21"/>
        <w:spacing w:after="0"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2.是否需要缴纳磋商保证金：否。</w:t>
      </w:r>
    </w:p>
    <w:p w14:paraId="42E5993D">
      <w:pPr>
        <w:pStyle w:val="21"/>
        <w:spacing w:after="0"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3.本项目公告在“云南省政府采购网、政府采购云平台”上发布，采购人及采购代理机构对其他网站或媒体转载的公告及公告内容不承担任何责任。</w:t>
      </w:r>
    </w:p>
    <w:p w14:paraId="7D3496E4">
      <w:pPr>
        <w:pStyle w:val="3"/>
        <w:adjustRightInd w:val="0"/>
        <w:snapToGrid w:val="0"/>
        <w:spacing w:before="0" w:after="0" w:line="360" w:lineRule="auto"/>
        <w:rPr>
          <w:rFonts w:hint="eastAsia" w:ascii="宋体" w:hAnsi="宋体" w:eastAsia="宋体" w:cs="宋体"/>
          <w:color w:val="auto"/>
          <w:sz w:val="21"/>
          <w:szCs w:val="21"/>
          <w:highlight w:val="none"/>
        </w:rPr>
      </w:pPr>
      <w:bookmarkStart w:id="9" w:name="_Toc23175"/>
      <w:r>
        <w:rPr>
          <w:rFonts w:hint="eastAsia" w:ascii="宋体" w:hAnsi="宋体" w:eastAsia="宋体" w:cs="宋体"/>
          <w:color w:val="auto"/>
          <w:sz w:val="21"/>
          <w:szCs w:val="21"/>
          <w:highlight w:val="none"/>
        </w:rPr>
        <w:t>八、凡对本次采购提出询问，请按以下方式联系</w:t>
      </w:r>
      <w:bookmarkEnd w:id="9"/>
    </w:p>
    <w:p w14:paraId="658DB1F2">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1.采购人信息</w:t>
      </w:r>
    </w:p>
    <w:p w14:paraId="07F07A58">
      <w:pPr>
        <w:adjustRightInd w:val="0"/>
        <w:snapToGrid w:val="0"/>
        <w:spacing w:line="360" w:lineRule="auto"/>
        <w:ind w:firstLine="424" w:firstLineChars="200"/>
        <w:rPr>
          <w:rFonts w:hint="eastAsia" w:ascii="宋体" w:hAnsi="宋体" w:eastAsia="宋体" w:cs="宋体"/>
          <w:color w:val="auto"/>
          <w:spacing w:val="1"/>
          <w:sz w:val="21"/>
          <w:szCs w:val="21"/>
          <w:highlight w:val="none"/>
          <w:lang w:eastAsia="zh-CN"/>
        </w:rPr>
      </w:pPr>
      <w:r>
        <w:rPr>
          <w:rFonts w:hint="eastAsia" w:ascii="宋体" w:hAnsi="宋体" w:cs="宋体"/>
          <w:color w:val="auto"/>
          <w:spacing w:val="1"/>
          <w:sz w:val="21"/>
          <w:szCs w:val="21"/>
          <w:highlight w:val="none"/>
        </w:rPr>
        <w:t>名 称：</w:t>
      </w:r>
      <w:r>
        <w:rPr>
          <w:rFonts w:hint="eastAsia" w:ascii="宋体" w:hAnsi="宋体" w:cs="宋体"/>
          <w:color w:val="auto"/>
          <w:spacing w:val="1"/>
          <w:sz w:val="21"/>
          <w:szCs w:val="21"/>
          <w:highlight w:val="none"/>
          <w:lang w:eastAsia="zh-CN"/>
        </w:rPr>
        <w:t>永胜县水务局水利管理站</w:t>
      </w:r>
    </w:p>
    <w:p w14:paraId="2F9224E3">
      <w:pPr>
        <w:adjustRightInd w:val="0"/>
        <w:snapToGrid w:val="0"/>
        <w:spacing w:line="360" w:lineRule="auto"/>
        <w:ind w:firstLine="424" w:firstLineChars="200"/>
        <w:rPr>
          <w:rFonts w:hint="eastAsia" w:ascii="宋体" w:hAnsi="宋体" w:eastAsia="宋体" w:cs="宋体"/>
          <w:color w:val="auto"/>
          <w:spacing w:val="1"/>
          <w:sz w:val="21"/>
          <w:szCs w:val="21"/>
          <w:highlight w:val="none"/>
          <w:lang w:eastAsia="zh-CN"/>
        </w:rPr>
      </w:pPr>
      <w:r>
        <w:rPr>
          <w:rFonts w:hint="eastAsia" w:ascii="宋体" w:hAnsi="宋体" w:cs="宋体"/>
          <w:color w:val="auto"/>
          <w:spacing w:val="1"/>
          <w:sz w:val="21"/>
          <w:szCs w:val="21"/>
          <w:highlight w:val="none"/>
        </w:rPr>
        <w:t>地址：</w:t>
      </w:r>
      <w:r>
        <w:rPr>
          <w:rFonts w:hint="eastAsia" w:ascii="宋体" w:hAnsi="宋体" w:cs="宋体"/>
          <w:color w:val="auto"/>
          <w:spacing w:val="1"/>
          <w:sz w:val="21"/>
          <w:szCs w:val="21"/>
          <w:highlight w:val="none"/>
          <w:lang w:eastAsia="zh-CN"/>
        </w:rPr>
        <w:t>永胜县永北镇凤鸣南路四十米道</w:t>
      </w:r>
    </w:p>
    <w:p w14:paraId="7671F72D">
      <w:pPr>
        <w:adjustRightInd w:val="0"/>
        <w:snapToGrid w:val="0"/>
        <w:spacing w:line="360" w:lineRule="auto"/>
        <w:ind w:firstLine="424" w:firstLineChars="200"/>
        <w:rPr>
          <w:rFonts w:hint="default" w:ascii="宋体" w:hAnsi="宋体" w:cs="宋体"/>
          <w:color w:val="auto"/>
          <w:spacing w:val="1"/>
          <w:sz w:val="21"/>
          <w:szCs w:val="21"/>
          <w:highlight w:val="none"/>
          <w:lang w:val="en-US" w:eastAsia="zh-CN"/>
        </w:rPr>
      </w:pPr>
      <w:r>
        <w:rPr>
          <w:rFonts w:hint="eastAsia" w:ascii="宋体" w:hAnsi="宋体" w:cs="宋体"/>
          <w:color w:val="auto"/>
          <w:spacing w:val="1"/>
          <w:sz w:val="21"/>
          <w:szCs w:val="21"/>
          <w:highlight w:val="none"/>
        </w:rPr>
        <w:t>联系人：</w:t>
      </w:r>
      <w:r>
        <w:rPr>
          <w:rFonts w:hint="eastAsia" w:ascii="宋体" w:hAnsi="宋体" w:cs="宋体"/>
          <w:color w:val="auto"/>
          <w:spacing w:val="1"/>
          <w:sz w:val="21"/>
          <w:szCs w:val="21"/>
          <w:highlight w:val="none"/>
          <w:lang w:val="en-US" w:eastAsia="zh-CN"/>
        </w:rPr>
        <w:t>吴庆华</w:t>
      </w:r>
    </w:p>
    <w:p w14:paraId="66EE9303">
      <w:pPr>
        <w:adjustRightInd w:val="0"/>
        <w:snapToGrid w:val="0"/>
        <w:spacing w:line="360" w:lineRule="auto"/>
        <w:ind w:firstLine="424" w:firstLineChars="200"/>
        <w:rPr>
          <w:rFonts w:hint="default" w:ascii="宋体" w:hAnsi="宋体" w:cs="宋体"/>
          <w:color w:val="auto"/>
          <w:spacing w:val="1"/>
          <w:sz w:val="21"/>
          <w:szCs w:val="21"/>
          <w:highlight w:val="none"/>
          <w:lang w:val="en-US" w:eastAsia="zh-CN"/>
        </w:rPr>
      </w:pPr>
      <w:r>
        <w:rPr>
          <w:rFonts w:hint="eastAsia" w:ascii="宋体" w:hAnsi="宋体" w:cs="宋体"/>
          <w:color w:val="auto"/>
          <w:spacing w:val="1"/>
          <w:sz w:val="21"/>
          <w:szCs w:val="21"/>
          <w:highlight w:val="none"/>
        </w:rPr>
        <w:t>联系方式：</w:t>
      </w:r>
      <w:r>
        <w:rPr>
          <w:rFonts w:hint="eastAsia" w:ascii="宋体" w:hAnsi="宋体" w:cs="宋体"/>
          <w:color w:val="auto"/>
          <w:spacing w:val="1"/>
          <w:sz w:val="21"/>
          <w:szCs w:val="21"/>
          <w:highlight w:val="none"/>
          <w:lang w:val="en-US" w:eastAsia="zh-CN"/>
        </w:rPr>
        <w:t>0888-6563222</w:t>
      </w:r>
    </w:p>
    <w:p w14:paraId="09DE1A05">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2.采购代理机构信息</w:t>
      </w:r>
    </w:p>
    <w:p w14:paraId="3E15B3C3">
      <w:pPr>
        <w:adjustRightInd w:val="0"/>
        <w:snapToGrid w:val="0"/>
        <w:spacing w:line="360" w:lineRule="auto"/>
        <w:ind w:firstLine="424" w:firstLineChars="200"/>
        <w:rPr>
          <w:rFonts w:hint="eastAsia" w:ascii="宋体" w:hAnsi="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名称：长盛合(云南)工程管理咨询有限公司</w:t>
      </w:r>
    </w:p>
    <w:p w14:paraId="44AD7223">
      <w:pPr>
        <w:adjustRightInd w:val="0"/>
        <w:snapToGrid w:val="0"/>
        <w:spacing w:line="360" w:lineRule="auto"/>
        <w:ind w:firstLine="424" w:firstLineChars="200"/>
        <w:rPr>
          <w:rFonts w:hint="eastAsia" w:ascii="宋体" w:hAnsi="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地址：云南省丽江市玉龙纳西族自治县黄山街道白华居委会景誉家园一期4栋301</w:t>
      </w:r>
    </w:p>
    <w:p w14:paraId="731A88E4">
      <w:pPr>
        <w:adjustRightInd w:val="0"/>
        <w:snapToGrid w:val="0"/>
        <w:spacing w:line="360" w:lineRule="auto"/>
        <w:ind w:firstLine="424" w:firstLineChars="200"/>
        <w:rPr>
          <w:rFonts w:hint="eastAsia" w:ascii="宋体" w:hAnsi="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联系人：郑奇仙</w:t>
      </w:r>
    </w:p>
    <w:p w14:paraId="393532EC">
      <w:pPr>
        <w:adjustRightInd w:val="0"/>
        <w:snapToGrid w:val="0"/>
        <w:spacing w:line="360" w:lineRule="auto"/>
        <w:ind w:firstLine="424" w:firstLineChars="200"/>
        <w:rPr>
          <w:rFonts w:hint="eastAsia" w:ascii="宋体" w:hAnsi="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联系方式：18288873868</w:t>
      </w:r>
    </w:p>
    <w:p w14:paraId="10862FE1">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3.项目</w:t>
      </w:r>
      <w:r>
        <w:rPr>
          <w:rFonts w:hint="eastAsia" w:ascii="宋体" w:hAnsi="宋体" w:cs="宋体"/>
          <w:color w:val="auto"/>
          <w:spacing w:val="1"/>
          <w:sz w:val="21"/>
          <w:szCs w:val="21"/>
          <w:highlight w:val="none"/>
          <w:lang w:val="en-US" w:eastAsia="zh-CN"/>
        </w:rPr>
        <w:t>负责人</w:t>
      </w:r>
      <w:r>
        <w:rPr>
          <w:rFonts w:hint="eastAsia" w:ascii="宋体" w:hAnsi="宋体" w:cs="宋体"/>
          <w:color w:val="auto"/>
          <w:spacing w:val="1"/>
          <w:sz w:val="21"/>
          <w:szCs w:val="21"/>
          <w:highlight w:val="none"/>
        </w:rPr>
        <w:t>联系方式</w:t>
      </w:r>
    </w:p>
    <w:p w14:paraId="4CE5778B">
      <w:pPr>
        <w:adjustRightInd w:val="0"/>
        <w:snapToGrid w:val="0"/>
        <w:spacing w:line="360" w:lineRule="auto"/>
        <w:ind w:firstLine="424" w:firstLineChars="200"/>
        <w:rPr>
          <w:rFonts w:hint="eastAsia" w:ascii="宋体" w:hAnsi="宋体" w:cs="宋体"/>
          <w:color w:val="auto"/>
          <w:spacing w:val="1"/>
          <w:sz w:val="21"/>
          <w:szCs w:val="21"/>
          <w:highlight w:val="none"/>
          <w:lang w:val="en-US" w:eastAsia="zh-CN"/>
        </w:rPr>
      </w:pPr>
      <w:bookmarkStart w:id="10" w:name="_Toc5324"/>
      <w:bookmarkStart w:id="11" w:name="_Toc179912200"/>
      <w:bookmarkStart w:id="12" w:name="_Toc30247"/>
      <w:bookmarkStart w:id="13" w:name="_Toc184635069"/>
      <w:r>
        <w:rPr>
          <w:rFonts w:hint="eastAsia" w:ascii="宋体" w:hAnsi="宋体" w:cs="宋体"/>
          <w:color w:val="auto"/>
          <w:spacing w:val="1"/>
          <w:sz w:val="21"/>
          <w:szCs w:val="21"/>
          <w:highlight w:val="none"/>
          <w:lang w:val="en-US" w:eastAsia="zh-CN"/>
        </w:rPr>
        <w:t>联系人：郑奇仙</w:t>
      </w:r>
    </w:p>
    <w:p w14:paraId="0386BFEB">
      <w:pPr>
        <w:spacing w:line="360" w:lineRule="auto"/>
        <w:ind w:firstLine="424" w:firstLineChars="200"/>
        <w:rPr>
          <w:rFonts w:hint="eastAsia" w:ascii="宋体" w:hAnsi="宋体" w:cs="宋体"/>
          <w:b/>
          <w:color w:val="auto"/>
          <w:sz w:val="36"/>
          <w:szCs w:val="36"/>
          <w:highlight w:val="none"/>
        </w:rPr>
      </w:pPr>
      <w:r>
        <w:rPr>
          <w:rFonts w:hint="eastAsia" w:ascii="宋体" w:hAnsi="宋体" w:cs="宋体"/>
          <w:color w:val="auto"/>
          <w:spacing w:val="1"/>
          <w:sz w:val="21"/>
          <w:szCs w:val="21"/>
          <w:highlight w:val="none"/>
          <w:lang w:val="en-US" w:eastAsia="zh-CN"/>
        </w:rPr>
        <w:t>联系方式：18288873868</w:t>
      </w:r>
      <w:r>
        <w:rPr>
          <w:rFonts w:hint="eastAsia" w:ascii="宋体" w:hAnsi="宋体" w:cs="宋体"/>
          <w:b/>
          <w:color w:val="auto"/>
          <w:sz w:val="36"/>
          <w:szCs w:val="36"/>
          <w:highlight w:val="none"/>
        </w:rPr>
        <w:br w:type="page"/>
      </w:r>
    </w:p>
    <w:p w14:paraId="637D4A40">
      <w:pPr>
        <w:pStyle w:val="2"/>
        <w:spacing w:line="360" w:lineRule="auto"/>
        <w:ind w:left="0"/>
        <w:rPr>
          <w:rFonts w:hint="eastAsia" w:ascii="宋体" w:hAnsi="宋体" w:eastAsia="宋体" w:cs="宋体"/>
          <w:b/>
          <w:color w:val="auto"/>
          <w:sz w:val="36"/>
          <w:szCs w:val="36"/>
          <w:highlight w:val="none"/>
        </w:rPr>
      </w:pPr>
      <w:bookmarkStart w:id="14" w:name="_Toc30929"/>
      <w:r>
        <w:rPr>
          <w:rFonts w:hint="eastAsia" w:ascii="宋体" w:hAnsi="宋体" w:eastAsia="宋体" w:cs="宋体"/>
          <w:b/>
          <w:color w:val="auto"/>
          <w:sz w:val="36"/>
          <w:szCs w:val="36"/>
          <w:highlight w:val="none"/>
        </w:rPr>
        <w:t>第二章  供应商须知</w:t>
      </w:r>
      <w:bookmarkEnd w:id="10"/>
      <w:bookmarkEnd w:id="11"/>
      <w:bookmarkEnd w:id="12"/>
      <w:bookmarkEnd w:id="13"/>
      <w:bookmarkEnd w:id="14"/>
    </w:p>
    <w:p w14:paraId="589655B6">
      <w:pPr>
        <w:pStyle w:val="3"/>
        <w:adjustRightInd w:val="0"/>
        <w:snapToGrid w:val="0"/>
        <w:spacing w:before="0" w:after="0" w:line="360" w:lineRule="auto"/>
        <w:jc w:val="center"/>
        <w:rPr>
          <w:rFonts w:hint="eastAsia" w:ascii="宋体" w:hAnsi="宋体" w:eastAsia="宋体" w:cs="宋体"/>
          <w:color w:val="auto"/>
          <w:sz w:val="28"/>
          <w:szCs w:val="28"/>
          <w:highlight w:val="none"/>
        </w:rPr>
      </w:pPr>
      <w:bookmarkStart w:id="15" w:name="_Toc21775"/>
      <w:bookmarkStart w:id="16" w:name="_Toc184635070"/>
      <w:bookmarkStart w:id="17" w:name="_Toc179912201"/>
      <w:bookmarkStart w:id="18" w:name="_Toc23859"/>
      <w:bookmarkStart w:id="19" w:name="_Toc20529"/>
      <w:bookmarkStart w:id="20" w:name="_Toc24485"/>
      <w:r>
        <w:rPr>
          <w:rFonts w:hint="eastAsia" w:ascii="宋体" w:hAnsi="宋体" w:eastAsia="宋体" w:cs="宋体"/>
          <w:color w:val="auto"/>
          <w:sz w:val="28"/>
          <w:szCs w:val="28"/>
          <w:highlight w:val="none"/>
        </w:rPr>
        <w:t>供应商须知前附表</w:t>
      </w:r>
      <w:bookmarkEnd w:id="15"/>
      <w:bookmarkEnd w:id="16"/>
      <w:bookmarkEnd w:id="17"/>
      <w:bookmarkEnd w:id="18"/>
      <w:bookmarkEnd w:id="19"/>
      <w:bookmarkEnd w:id="20"/>
    </w:p>
    <w:tbl>
      <w:tblPr>
        <w:tblStyle w:val="50"/>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66"/>
        <w:gridCol w:w="6474"/>
      </w:tblGrid>
      <w:tr w14:paraId="6CD9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2" w:type="dxa"/>
            <w:vAlign w:val="center"/>
          </w:tcPr>
          <w:p w14:paraId="1A630681">
            <w:pPr>
              <w:adjustRightInd w:val="0"/>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1866" w:type="dxa"/>
            <w:vAlign w:val="center"/>
          </w:tcPr>
          <w:p w14:paraId="63FD3F1B">
            <w:pPr>
              <w:adjustRightInd w:val="0"/>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 款 名 称</w:t>
            </w:r>
          </w:p>
        </w:tc>
        <w:tc>
          <w:tcPr>
            <w:tcW w:w="6474" w:type="dxa"/>
            <w:vAlign w:val="center"/>
          </w:tcPr>
          <w:p w14:paraId="056ACA26">
            <w:pPr>
              <w:adjustRightInd w:val="0"/>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编 列 内 容</w:t>
            </w:r>
          </w:p>
        </w:tc>
      </w:tr>
      <w:tr w14:paraId="017E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42" w:type="dxa"/>
            <w:vAlign w:val="center"/>
          </w:tcPr>
          <w:p w14:paraId="7C28EB05">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1.1.2</w:t>
            </w:r>
          </w:p>
        </w:tc>
        <w:tc>
          <w:tcPr>
            <w:tcW w:w="1866" w:type="dxa"/>
            <w:vAlign w:val="center"/>
          </w:tcPr>
          <w:p w14:paraId="48CD1AF9">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采购人</w:t>
            </w:r>
          </w:p>
        </w:tc>
        <w:tc>
          <w:tcPr>
            <w:tcW w:w="6474" w:type="dxa"/>
            <w:vAlign w:val="center"/>
          </w:tcPr>
          <w:p w14:paraId="1C458A7F">
            <w:pPr>
              <w:adjustRightInd w:val="0"/>
              <w:snapToGrid w:val="0"/>
              <w:spacing w:line="360" w:lineRule="auto"/>
              <w:rPr>
                <w:rFonts w:hint="eastAsia" w:ascii="宋体" w:hAnsi="宋体" w:eastAsia="宋体" w:cs="宋体"/>
                <w:color w:val="auto"/>
                <w:spacing w:val="1"/>
                <w:sz w:val="21"/>
                <w:szCs w:val="21"/>
                <w:highlight w:val="none"/>
                <w:lang w:eastAsia="zh-CN"/>
              </w:rPr>
            </w:pPr>
            <w:r>
              <w:rPr>
                <w:rFonts w:hint="eastAsia" w:ascii="宋体" w:hAnsi="宋体" w:cs="宋体"/>
                <w:color w:val="auto"/>
                <w:spacing w:val="1"/>
                <w:sz w:val="21"/>
                <w:szCs w:val="21"/>
                <w:highlight w:val="none"/>
              </w:rPr>
              <w:t>名 称：</w:t>
            </w:r>
            <w:r>
              <w:rPr>
                <w:rFonts w:hint="eastAsia" w:ascii="宋体" w:hAnsi="宋体" w:cs="宋体"/>
                <w:color w:val="auto"/>
                <w:spacing w:val="1"/>
                <w:sz w:val="21"/>
                <w:szCs w:val="21"/>
                <w:highlight w:val="none"/>
                <w:lang w:eastAsia="zh-CN"/>
              </w:rPr>
              <w:t>永胜县水务局水利管理站</w:t>
            </w:r>
          </w:p>
          <w:p w14:paraId="28BF8A68">
            <w:pPr>
              <w:adjustRightInd w:val="0"/>
              <w:snapToGrid w:val="0"/>
              <w:spacing w:line="360" w:lineRule="auto"/>
              <w:rPr>
                <w:rFonts w:hint="eastAsia" w:ascii="宋体" w:hAnsi="宋体" w:eastAsia="宋体" w:cs="宋体"/>
                <w:color w:val="auto"/>
                <w:spacing w:val="1"/>
                <w:sz w:val="21"/>
                <w:szCs w:val="21"/>
                <w:highlight w:val="none"/>
                <w:lang w:eastAsia="zh-CN"/>
              </w:rPr>
            </w:pPr>
            <w:r>
              <w:rPr>
                <w:rFonts w:hint="eastAsia" w:ascii="宋体" w:hAnsi="宋体" w:cs="宋体"/>
                <w:color w:val="auto"/>
                <w:spacing w:val="1"/>
                <w:sz w:val="21"/>
                <w:szCs w:val="21"/>
                <w:highlight w:val="none"/>
              </w:rPr>
              <w:t>地址：</w:t>
            </w:r>
            <w:r>
              <w:rPr>
                <w:rFonts w:hint="eastAsia" w:ascii="宋体" w:hAnsi="宋体" w:cs="宋体"/>
                <w:color w:val="auto"/>
                <w:spacing w:val="1"/>
                <w:sz w:val="21"/>
                <w:szCs w:val="21"/>
                <w:highlight w:val="none"/>
                <w:lang w:eastAsia="zh-CN"/>
              </w:rPr>
              <w:t>永胜县永北镇凤鸣南路四十米道</w:t>
            </w:r>
          </w:p>
          <w:p w14:paraId="6CBC9BDD">
            <w:pPr>
              <w:adjustRightInd w:val="0"/>
              <w:snapToGrid w:val="0"/>
              <w:spacing w:line="360" w:lineRule="auto"/>
              <w:rPr>
                <w:rFonts w:hint="default" w:ascii="宋体" w:hAnsi="宋体" w:cs="宋体"/>
                <w:color w:val="auto"/>
                <w:spacing w:val="1"/>
                <w:sz w:val="21"/>
                <w:szCs w:val="21"/>
                <w:highlight w:val="none"/>
                <w:lang w:val="en-US" w:eastAsia="zh-CN"/>
              </w:rPr>
            </w:pPr>
            <w:r>
              <w:rPr>
                <w:rFonts w:hint="eastAsia" w:ascii="宋体" w:hAnsi="宋体" w:cs="宋体"/>
                <w:color w:val="auto"/>
                <w:spacing w:val="1"/>
                <w:sz w:val="21"/>
                <w:szCs w:val="21"/>
                <w:highlight w:val="none"/>
              </w:rPr>
              <w:t>联系人：</w:t>
            </w:r>
            <w:r>
              <w:rPr>
                <w:rFonts w:hint="eastAsia" w:ascii="宋体" w:hAnsi="宋体" w:cs="宋体"/>
                <w:color w:val="auto"/>
                <w:spacing w:val="1"/>
                <w:sz w:val="21"/>
                <w:szCs w:val="21"/>
                <w:highlight w:val="none"/>
                <w:lang w:val="en-US" w:eastAsia="zh-CN"/>
              </w:rPr>
              <w:t>吴庆华</w:t>
            </w:r>
          </w:p>
          <w:p w14:paraId="5B8B7145">
            <w:pPr>
              <w:adjustRightInd w:val="0"/>
              <w:snapToGrid w:val="0"/>
              <w:spacing w:line="360" w:lineRule="auto"/>
              <w:rPr>
                <w:rFonts w:hint="eastAsia" w:eastAsia="宋体"/>
                <w:color w:val="auto"/>
                <w:sz w:val="21"/>
                <w:szCs w:val="21"/>
                <w:highlight w:val="none"/>
                <w:lang w:eastAsia="zh-CN"/>
              </w:rPr>
            </w:pPr>
            <w:r>
              <w:rPr>
                <w:rFonts w:hint="eastAsia" w:ascii="宋体" w:hAnsi="宋体" w:cs="宋体"/>
                <w:color w:val="auto"/>
                <w:spacing w:val="1"/>
                <w:sz w:val="21"/>
                <w:szCs w:val="21"/>
                <w:highlight w:val="none"/>
              </w:rPr>
              <w:t>联系方式：</w:t>
            </w:r>
            <w:r>
              <w:rPr>
                <w:rFonts w:hint="eastAsia" w:ascii="宋体" w:hAnsi="宋体" w:cs="宋体"/>
                <w:color w:val="auto"/>
                <w:spacing w:val="1"/>
                <w:sz w:val="21"/>
                <w:szCs w:val="21"/>
                <w:highlight w:val="none"/>
                <w:lang w:val="en-US" w:eastAsia="zh-CN"/>
              </w:rPr>
              <w:t>0888-6563222</w:t>
            </w:r>
          </w:p>
        </w:tc>
      </w:tr>
      <w:tr w14:paraId="6B87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242" w:type="dxa"/>
            <w:vAlign w:val="center"/>
          </w:tcPr>
          <w:p w14:paraId="5CADDA4C">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1.1.3</w:t>
            </w:r>
          </w:p>
        </w:tc>
        <w:tc>
          <w:tcPr>
            <w:tcW w:w="1866" w:type="dxa"/>
            <w:vAlign w:val="center"/>
          </w:tcPr>
          <w:p w14:paraId="149C8A21">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代理机构</w:t>
            </w:r>
          </w:p>
        </w:tc>
        <w:tc>
          <w:tcPr>
            <w:tcW w:w="6474" w:type="dxa"/>
            <w:vAlign w:val="center"/>
          </w:tcPr>
          <w:p w14:paraId="14F60DC5">
            <w:pPr>
              <w:adjustRightInd w:val="0"/>
              <w:snapToGrid w:val="0"/>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名称：长盛合(云南)工程管理咨询有限公司</w:t>
            </w:r>
          </w:p>
          <w:p w14:paraId="4DB8E0A8">
            <w:pPr>
              <w:adjustRightInd w:val="0"/>
              <w:snapToGrid w:val="0"/>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地址：云南省丽江市玉龙纳西族自治县黄山街道白华居委会景誉家园一期4栋301</w:t>
            </w:r>
          </w:p>
          <w:p w14:paraId="365005D8">
            <w:pPr>
              <w:adjustRightInd w:val="0"/>
              <w:snapToGrid w:val="0"/>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联系人：郑奇仙</w:t>
            </w:r>
          </w:p>
          <w:p w14:paraId="370D83D8">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联系方式：18288873868</w:t>
            </w:r>
          </w:p>
        </w:tc>
      </w:tr>
      <w:tr w14:paraId="6598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Align w:val="center"/>
          </w:tcPr>
          <w:p w14:paraId="425F8E26">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1.1.4</w:t>
            </w:r>
          </w:p>
        </w:tc>
        <w:tc>
          <w:tcPr>
            <w:tcW w:w="1866" w:type="dxa"/>
            <w:vAlign w:val="center"/>
          </w:tcPr>
          <w:p w14:paraId="66DD1F3E">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474" w:type="dxa"/>
            <w:vAlign w:val="center"/>
          </w:tcPr>
          <w:p w14:paraId="4C048CC0">
            <w:pPr>
              <w:adjustRightInd w:val="0"/>
              <w:snapToGrid w:val="0"/>
              <w:spacing w:line="360" w:lineRule="auto"/>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永胜县东山乡2026年牦牛坪村委会饮水应急工程项目</w:t>
            </w:r>
          </w:p>
        </w:tc>
      </w:tr>
      <w:tr w14:paraId="76E2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2" w:type="dxa"/>
            <w:vAlign w:val="center"/>
          </w:tcPr>
          <w:p w14:paraId="283CC556">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1.1.5</w:t>
            </w:r>
          </w:p>
        </w:tc>
        <w:tc>
          <w:tcPr>
            <w:tcW w:w="1866" w:type="dxa"/>
            <w:vAlign w:val="center"/>
          </w:tcPr>
          <w:p w14:paraId="3E6B3D99">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项目编号</w:t>
            </w:r>
          </w:p>
        </w:tc>
        <w:tc>
          <w:tcPr>
            <w:tcW w:w="6474" w:type="dxa"/>
            <w:vAlign w:val="center"/>
          </w:tcPr>
          <w:p w14:paraId="3326E9C1">
            <w:pPr>
              <w:adjustRightInd w:val="0"/>
              <w:snapToGrid w:val="0"/>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LJZC2026-C2-00271-ZSHY-0005</w:t>
            </w:r>
          </w:p>
        </w:tc>
      </w:tr>
      <w:tr w14:paraId="7AD2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2" w:type="dxa"/>
            <w:vAlign w:val="center"/>
          </w:tcPr>
          <w:p w14:paraId="65003D66">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1.1.6</w:t>
            </w:r>
          </w:p>
        </w:tc>
        <w:tc>
          <w:tcPr>
            <w:tcW w:w="1866" w:type="dxa"/>
            <w:vAlign w:val="center"/>
          </w:tcPr>
          <w:p w14:paraId="55406BAA">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标段划分</w:t>
            </w:r>
          </w:p>
        </w:tc>
        <w:tc>
          <w:tcPr>
            <w:tcW w:w="6474" w:type="dxa"/>
            <w:vAlign w:val="center"/>
          </w:tcPr>
          <w:p w14:paraId="236F2B08">
            <w:pPr>
              <w:adjustRightInd w:val="0"/>
              <w:snapToGrid w:val="0"/>
              <w:spacing w:line="360" w:lineRule="auto"/>
              <w:jc w:val="both"/>
              <w:rPr>
                <w:rFonts w:hint="eastAsia" w:ascii="宋体" w:hAnsi="宋体" w:cs="宋体"/>
                <w:b/>
                <w:color w:val="auto"/>
                <w:sz w:val="21"/>
                <w:szCs w:val="21"/>
                <w:highlight w:val="none"/>
              </w:rPr>
            </w:pPr>
            <w:r>
              <w:rPr>
                <w:rFonts w:hint="eastAsia" w:ascii="宋体" w:hAnsi="宋体" w:cs="宋体"/>
                <w:color w:val="auto"/>
                <w:sz w:val="21"/>
                <w:szCs w:val="21"/>
                <w:highlight w:val="none"/>
              </w:rPr>
              <w:t>本项目只设一个标段</w:t>
            </w:r>
          </w:p>
        </w:tc>
      </w:tr>
      <w:tr w14:paraId="011E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42" w:type="dxa"/>
            <w:vAlign w:val="center"/>
          </w:tcPr>
          <w:p w14:paraId="7BDD750B">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1.2.1</w:t>
            </w:r>
          </w:p>
        </w:tc>
        <w:tc>
          <w:tcPr>
            <w:tcW w:w="1866" w:type="dxa"/>
            <w:vAlign w:val="center"/>
          </w:tcPr>
          <w:p w14:paraId="79E01C1B">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资金情况</w:t>
            </w:r>
          </w:p>
        </w:tc>
        <w:tc>
          <w:tcPr>
            <w:tcW w:w="6474" w:type="dxa"/>
            <w:vAlign w:val="center"/>
          </w:tcPr>
          <w:p w14:paraId="25A3346B">
            <w:pPr>
              <w:adjustRightInd w:val="0"/>
              <w:snapToGrid w:val="0"/>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财政资金，已落实</w:t>
            </w:r>
          </w:p>
        </w:tc>
      </w:tr>
      <w:tr w14:paraId="5CD0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42" w:type="dxa"/>
            <w:vAlign w:val="center"/>
          </w:tcPr>
          <w:p w14:paraId="0F61C35A">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1.3.1</w:t>
            </w:r>
          </w:p>
        </w:tc>
        <w:tc>
          <w:tcPr>
            <w:tcW w:w="1866" w:type="dxa"/>
            <w:vAlign w:val="center"/>
          </w:tcPr>
          <w:p w14:paraId="34900BD2">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建设规模</w:t>
            </w:r>
          </w:p>
        </w:tc>
        <w:tc>
          <w:tcPr>
            <w:tcW w:w="6474" w:type="dxa"/>
            <w:vAlign w:val="center"/>
          </w:tcPr>
          <w:p w14:paraId="15223824">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pacing w:val="1"/>
                <w:sz w:val="21"/>
                <w:szCs w:val="21"/>
                <w:highlight w:val="none"/>
              </w:rPr>
              <w:t>新建2立方米取水过滤池1座，水源保护围栏40米；缓释消毒器7套；10立方米一体式不锈钢水池1座，5立方米一体式不锈钢水池2座；输水管DN50热镀锌钢管1448米，DN40热镀锌钢管1964米，DN32热镀锌钢管970米，DN25热镀锌钢管1634米，DN20热镀锌钢管1453米；配水管DN25热镀锌钢管3264米，DN20热镀锌钢管386米，Φ50mmPE管948米，Φ32mmPE管4566米，Φ25mmPE管339米；分户管Φ25mmPE管1714米，入户管DN15热镀锌钢管432米，Φ20mmPE管5213米；闸阀、水表、水龙头各111套。具体以施工图所示范围，工程量清单包含的所有内容为准。</w:t>
            </w:r>
          </w:p>
        </w:tc>
      </w:tr>
      <w:tr w14:paraId="1EC7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42" w:type="dxa"/>
            <w:vAlign w:val="center"/>
          </w:tcPr>
          <w:p w14:paraId="478FAA3F">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1.3.2</w:t>
            </w:r>
          </w:p>
        </w:tc>
        <w:tc>
          <w:tcPr>
            <w:tcW w:w="1866" w:type="dxa"/>
            <w:vAlign w:val="center"/>
          </w:tcPr>
          <w:p w14:paraId="6D831D95">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合同履行期限</w:t>
            </w:r>
          </w:p>
        </w:tc>
        <w:tc>
          <w:tcPr>
            <w:tcW w:w="6474" w:type="dxa"/>
            <w:vAlign w:val="center"/>
          </w:tcPr>
          <w:p w14:paraId="5A12D024">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pacing w:val="1"/>
                <w:sz w:val="21"/>
                <w:szCs w:val="21"/>
                <w:highlight w:val="none"/>
                <w:lang w:val="en-US" w:eastAsia="zh-CN"/>
              </w:rPr>
              <w:t>120</w:t>
            </w:r>
            <w:r>
              <w:rPr>
                <w:rFonts w:hint="eastAsia" w:ascii="宋体" w:hAnsi="宋体" w:cs="宋体"/>
                <w:color w:val="auto"/>
                <w:spacing w:val="1"/>
                <w:sz w:val="21"/>
                <w:szCs w:val="21"/>
                <w:highlight w:val="none"/>
                <w:lang w:eastAsia="zh-CN"/>
              </w:rPr>
              <w:t>日历天</w:t>
            </w:r>
          </w:p>
        </w:tc>
      </w:tr>
      <w:tr w14:paraId="6079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42" w:type="dxa"/>
            <w:vAlign w:val="center"/>
          </w:tcPr>
          <w:p w14:paraId="771128B9">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1.3.3</w:t>
            </w:r>
          </w:p>
        </w:tc>
        <w:tc>
          <w:tcPr>
            <w:tcW w:w="1866" w:type="dxa"/>
            <w:vAlign w:val="center"/>
          </w:tcPr>
          <w:p w14:paraId="68543C76">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质量要求</w:t>
            </w:r>
          </w:p>
        </w:tc>
        <w:tc>
          <w:tcPr>
            <w:tcW w:w="6474" w:type="dxa"/>
            <w:vAlign w:val="center"/>
          </w:tcPr>
          <w:p w14:paraId="02A0736E">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pacing w:val="1"/>
                <w:sz w:val="21"/>
                <w:szCs w:val="21"/>
                <w:highlight w:val="none"/>
              </w:rPr>
              <w:t>符合国家、行业及地方现行的相关标准及规范，一次性验收合格</w:t>
            </w:r>
            <w:r>
              <w:rPr>
                <w:rFonts w:hint="eastAsia" w:ascii="宋体" w:hAnsi="宋体" w:cs="宋体"/>
                <w:color w:val="auto"/>
                <w:spacing w:val="1"/>
                <w:sz w:val="21"/>
                <w:szCs w:val="21"/>
                <w:highlight w:val="none"/>
                <w:lang w:eastAsia="zh-CN"/>
              </w:rPr>
              <w:t>。</w:t>
            </w:r>
          </w:p>
        </w:tc>
      </w:tr>
      <w:tr w14:paraId="443D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1D11472A">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1.4.1</w:t>
            </w:r>
          </w:p>
        </w:tc>
        <w:tc>
          <w:tcPr>
            <w:tcW w:w="1866" w:type="dxa"/>
            <w:vAlign w:val="center"/>
          </w:tcPr>
          <w:p w14:paraId="3AE3D546">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供应商资质条件</w:t>
            </w:r>
          </w:p>
        </w:tc>
        <w:tc>
          <w:tcPr>
            <w:tcW w:w="6474" w:type="dxa"/>
            <w:vAlign w:val="center"/>
          </w:tcPr>
          <w:p w14:paraId="5179AF0D">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详见竞争性磋商公告“二、申请人的资格要求”</w:t>
            </w:r>
          </w:p>
        </w:tc>
      </w:tr>
      <w:tr w14:paraId="2922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04174B81">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1.4.2</w:t>
            </w:r>
          </w:p>
        </w:tc>
        <w:tc>
          <w:tcPr>
            <w:tcW w:w="1866" w:type="dxa"/>
            <w:vAlign w:val="center"/>
          </w:tcPr>
          <w:p w14:paraId="0CB83403">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供应商合格条件审查方式</w:t>
            </w:r>
          </w:p>
        </w:tc>
        <w:tc>
          <w:tcPr>
            <w:tcW w:w="6474" w:type="dxa"/>
            <w:vAlign w:val="center"/>
          </w:tcPr>
          <w:p w14:paraId="11B007A6">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资格后审</w:t>
            </w:r>
          </w:p>
        </w:tc>
      </w:tr>
      <w:tr w14:paraId="7D12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42" w:type="dxa"/>
            <w:vAlign w:val="center"/>
          </w:tcPr>
          <w:p w14:paraId="1B4EC3FD">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1.4.3</w:t>
            </w:r>
          </w:p>
        </w:tc>
        <w:tc>
          <w:tcPr>
            <w:tcW w:w="1866" w:type="dxa"/>
            <w:vAlign w:val="center"/>
          </w:tcPr>
          <w:p w14:paraId="37C18086">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是否接受联合体磋商</w:t>
            </w:r>
          </w:p>
        </w:tc>
        <w:tc>
          <w:tcPr>
            <w:tcW w:w="6474" w:type="dxa"/>
            <w:vAlign w:val="center"/>
          </w:tcPr>
          <w:p w14:paraId="156C76B0">
            <w:pPr>
              <w:widowControl w:val="0"/>
              <w:adjustRightInd w:val="0"/>
              <w:snapToGrid w:val="0"/>
              <w:spacing w:line="360" w:lineRule="auto"/>
              <w:ind w:left="44" w:hanging="44" w:hangingChars="21"/>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本次磋商</w:t>
            </w:r>
            <w:r>
              <w:rPr>
                <w:rFonts w:hint="eastAsia" w:ascii="宋体" w:hAnsi="宋体" w:cs="宋体"/>
                <w:color w:val="auto"/>
                <w:sz w:val="21"/>
                <w:szCs w:val="21"/>
                <w:highlight w:val="none"/>
                <w:u w:val="single"/>
              </w:rPr>
              <w:t>不接受</w:t>
            </w:r>
            <w:r>
              <w:rPr>
                <w:rFonts w:hint="eastAsia" w:ascii="宋体" w:hAnsi="宋体" w:cs="宋体"/>
                <w:color w:val="auto"/>
                <w:sz w:val="21"/>
                <w:szCs w:val="21"/>
                <w:highlight w:val="none"/>
              </w:rPr>
              <w:t>联合体</w:t>
            </w:r>
          </w:p>
        </w:tc>
      </w:tr>
      <w:tr w14:paraId="6765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42" w:type="dxa"/>
            <w:vAlign w:val="center"/>
          </w:tcPr>
          <w:p w14:paraId="37C59A62">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1.5.2</w:t>
            </w:r>
          </w:p>
        </w:tc>
        <w:tc>
          <w:tcPr>
            <w:tcW w:w="1866" w:type="dxa"/>
            <w:vAlign w:val="center"/>
          </w:tcPr>
          <w:p w14:paraId="32C07273">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成交</w:t>
            </w:r>
            <w:r>
              <w:rPr>
                <w:rFonts w:hint="eastAsia" w:ascii="宋体" w:hAnsi="宋体" w:cs="宋体"/>
                <w:color w:val="auto"/>
                <w:sz w:val="21"/>
                <w:szCs w:val="21"/>
                <w:highlight w:val="none"/>
              </w:rPr>
              <w:t>服务费</w:t>
            </w:r>
          </w:p>
        </w:tc>
        <w:tc>
          <w:tcPr>
            <w:tcW w:w="6474" w:type="dxa"/>
            <w:vAlign w:val="center"/>
          </w:tcPr>
          <w:p w14:paraId="1BF37F3F">
            <w:pPr>
              <w:widowControl w:val="0"/>
              <w:adjustRightInd w:val="0"/>
              <w:snapToGrid w:val="0"/>
              <w:spacing w:line="360" w:lineRule="auto"/>
              <w:ind w:left="44" w:hanging="44" w:hangingChars="21"/>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参照云南省建设工程招标投标行业协会关于印发《云南省建设工程招标代理服务收费参考意见》的通知云建招协〔2024〕58号的收费标准计取，计费基数为成交价。计算的收费金额低于7000元的项目（或标段），按7000元计取。服务费由成交人支付。</w:t>
            </w:r>
            <w:r>
              <w:rPr>
                <w:rFonts w:hint="eastAsia" w:ascii="宋体" w:hAnsi="宋体" w:cs="宋体"/>
                <w:color w:val="auto"/>
                <w:sz w:val="21"/>
                <w:szCs w:val="21"/>
                <w:highlight w:val="none"/>
                <w:lang w:val="en-US" w:eastAsia="zh-CN"/>
              </w:rPr>
              <w:t>拦标价编制费根据云南省物价局关于调整建设工程造价咨询服务收费标准的通知[云价综合（2012）66号]文件的规定收取，由成交人支付。</w:t>
            </w:r>
          </w:p>
        </w:tc>
      </w:tr>
      <w:tr w14:paraId="00E5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42" w:type="dxa"/>
            <w:vAlign w:val="center"/>
          </w:tcPr>
          <w:p w14:paraId="32BD547A">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1.9.1</w:t>
            </w:r>
          </w:p>
        </w:tc>
        <w:tc>
          <w:tcPr>
            <w:tcW w:w="1866" w:type="dxa"/>
            <w:vAlign w:val="center"/>
          </w:tcPr>
          <w:p w14:paraId="245E98AD">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踏勘现场</w:t>
            </w:r>
          </w:p>
        </w:tc>
        <w:tc>
          <w:tcPr>
            <w:tcW w:w="6474" w:type="dxa"/>
            <w:vAlign w:val="center"/>
          </w:tcPr>
          <w:p w14:paraId="5C13DBD8">
            <w:pPr>
              <w:widowControl w:val="0"/>
              <w:adjustRightInd w:val="0"/>
              <w:snapToGrid w:val="0"/>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不组织，供应商可自行踏勘现场</w:t>
            </w:r>
          </w:p>
        </w:tc>
      </w:tr>
      <w:tr w14:paraId="1681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42" w:type="dxa"/>
            <w:vAlign w:val="center"/>
          </w:tcPr>
          <w:p w14:paraId="0BF91DE8">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1.10.1</w:t>
            </w:r>
          </w:p>
        </w:tc>
        <w:tc>
          <w:tcPr>
            <w:tcW w:w="1866" w:type="dxa"/>
            <w:vAlign w:val="center"/>
          </w:tcPr>
          <w:p w14:paraId="6EFD06C0">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磋商预备会</w:t>
            </w:r>
          </w:p>
        </w:tc>
        <w:tc>
          <w:tcPr>
            <w:tcW w:w="6474" w:type="dxa"/>
            <w:vAlign w:val="center"/>
          </w:tcPr>
          <w:p w14:paraId="7BF8E54D">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不召开</w:t>
            </w:r>
          </w:p>
        </w:tc>
      </w:tr>
      <w:tr w14:paraId="7659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42" w:type="dxa"/>
            <w:vAlign w:val="center"/>
          </w:tcPr>
          <w:p w14:paraId="08AECDD7">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1.11</w:t>
            </w:r>
          </w:p>
        </w:tc>
        <w:tc>
          <w:tcPr>
            <w:tcW w:w="1866" w:type="dxa"/>
            <w:vAlign w:val="center"/>
          </w:tcPr>
          <w:p w14:paraId="351B748B">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分包</w:t>
            </w:r>
          </w:p>
        </w:tc>
        <w:tc>
          <w:tcPr>
            <w:tcW w:w="6474" w:type="dxa"/>
            <w:vAlign w:val="center"/>
          </w:tcPr>
          <w:p w14:paraId="7952BE40">
            <w:pPr>
              <w:adjustRightInd w:val="0"/>
              <w:snapToGrid w:val="0"/>
              <w:spacing w:line="360" w:lineRule="auto"/>
              <w:rPr>
                <w:rFonts w:hint="eastAsia" w:ascii="宋体" w:hAnsi="宋体" w:cs="宋体"/>
                <w:bCs/>
                <w:color w:val="auto"/>
                <w:spacing w:val="14"/>
                <w:sz w:val="21"/>
                <w:szCs w:val="21"/>
                <w:highlight w:val="none"/>
              </w:rPr>
            </w:pPr>
            <w:r>
              <w:rPr>
                <w:rFonts w:hint="eastAsia" w:ascii="宋体" w:hAnsi="宋体" w:cs="宋体"/>
                <w:bCs/>
                <w:color w:val="auto"/>
                <w:spacing w:val="14"/>
                <w:sz w:val="21"/>
                <w:szCs w:val="21"/>
                <w:highlight w:val="none"/>
              </w:rPr>
              <w:t>不允许</w:t>
            </w:r>
          </w:p>
        </w:tc>
      </w:tr>
      <w:tr w14:paraId="77C4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42" w:type="dxa"/>
            <w:vAlign w:val="center"/>
          </w:tcPr>
          <w:p w14:paraId="679855D9">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w:t>
            </w:r>
          </w:p>
        </w:tc>
        <w:tc>
          <w:tcPr>
            <w:tcW w:w="1866" w:type="dxa"/>
            <w:vAlign w:val="center"/>
          </w:tcPr>
          <w:p w14:paraId="5A2250C1">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构成竞争性磋商文件的其他材料</w:t>
            </w:r>
          </w:p>
        </w:tc>
        <w:tc>
          <w:tcPr>
            <w:tcW w:w="6474" w:type="dxa"/>
            <w:vAlign w:val="center"/>
          </w:tcPr>
          <w:p w14:paraId="7180DDAB">
            <w:pPr>
              <w:adjustRightInd w:val="0"/>
              <w:snapToGrid w:val="0"/>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答疑书、补遗书或通知等（若有）</w:t>
            </w:r>
          </w:p>
        </w:tc>
      </w:tr>
      <w:tr w14:paraId="0150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55524844">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2.2.1</w:t>
            </w:r>
          </w:p>
        </w:tc>
        <w:tc>
          <w:tcPr>
            <w:tcW w:w="1866" w:type="dxa"/>
            <w:vAlign w:val="center"/>
          </w:tcPr>
          <w:p w14:paraId="50AB2E32">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供应商要求澄清竞争性磋商文件的形式</w:t>
            </w:r>
          </w:p>
        </w:tc>
        <w:tc>
          <w:tcPr>
            <w:tcW w:w="6474" w:type="dxa"/>
            <w:vAlign w:val="center"/>
          </w:tcPr>
          <w:p w14:paraId="521817AB">
            <w:pPr>
              <w:widowControl w:val="0"/>
              <w:adjustRightInd w:val="0"/>
              <w:snapToGrid w:val="0"/>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供应商应仔细阅读和检查竞争性磋商文件的全部内容。如发现缺页或附件不全，应及时向采购人提出，以便补齐。如有疑问，应在供应商须知前附表规定的时间前以在线不署名提交方式登录“政采云”平台（</w:t>
            </w:r>
            <w:r>
              <w:rPr>
                <w:rFonts w:hint="eastAsia" w:ascii="宋体" w:hAnsi="宋体" w:cs="宋体"/>
                <w:color w:val="auto"/>
                <w:spacing w:val="1"/>
                <w:sz w:val="21"/>
                <w:szCs w:val="21"/>
                <w:highlight w:val="none"/>
              </w:rPr>
              <w:t>https://www.zcygov.cn）</w:t>
            </w:r>
            <w:r>
              <w:rPr>
                <w:rFonts w:hint="eastAsia" w:ascii="宋体" w:hAnsi="宋体" w:cs="宋体"/>
                <w:color w:val="auto"/>
                <w:sz w:val="21"/>
                <w:szCs w:val="21"/>
                <w:highlight w:val="none"/>
              </w:rPr>
              <w:t>。使用数字证书（CA）在政采云平台中，要求采购人对竞争性磋商文件予以澄清。</w:t>
            </w:r>
          </w:p>
        </w:tc>
      </w:tr>
      <w:tr w14:paraId="4AD8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1648A48F">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2.2.2</w:t>
            </w:r>
          </w:p>
        </w:tc>
        <w:tc>
          <w:tcPr>
            <w:tcW w:w="1866" w:type="dxa"/>
            <w:vAlign w:val="center"/>
          </w:tcPr>
          <w:p w14:paraId="7BDDB3C6">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响应文件递交截止时间</w:t>
            </w:r>
          </w:p>
        </w:tc>
        <w:tc>
          <w:tcPr>
            <w:tcW w:w="6474" w:type="dxa"/>
            <w:vAlign w:val="center"/>
          </w:tcPr>
          <w:p w14:paraId="0346B69F">
            <w:pPr>
              <w:adjustRightInd w:val="0"/>
              <w:snapToGrid w:val="0"/>
              <w:spacing w:line="360" w:lineRule="auto"/>
              <w:jc w:val="both"/>
              <w:rPr>
                <w:rFonts w:hint="eastAsia" w:ascii="宋体" w:hAnsi="宋体" w:cs="宋体"/>
                <w:b/>
                <w:color w:val="auto"/>
                <w:sz w:val="21"/>
                <w:szCs w:val="21"/>
                <w:highlight w:val="none"/>
              </w:rPr>
            </w:pPr>
            <w:r>
              <w:rPr>
                <w:rFonts w:hint="eastAsia" w:ascii="宋体" w:hAnsi="宋体" w:cs="宋体"/>
                <w:color w:val="auto"/>
                <w:sz w:val="21"/>
                <w:szCs w:val="21"/>
                <w:highlight w:val="none"/>
                <w:u w:val="single"/>
                <w:lang w:eastAsia="zh-CN"/>
              </w:rPr>
              <w:t>2026年5月20日14时30分</w:t>
            </w:r>
            <w:r>
              <w:rPr>
                <w:rFonts w:hint="eastAsia" w:ascii="宋体" w:hAnsi="宋体" w:cs="宋体"/>
                <w:bCs/>
                <w:color w:val="auto"/>
                <w:sz w:val="21"/>
                <w:szCs w:val="21"/>
                <w:highlight w:val="none"/>
              </w:rPr>
              <w:t>（北京时间）。</w:t>
            </w:r>
          </w:p>
        </w:tc>
      </w:tr>
      <w:tr w14:paraId="1CCD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72C0F86B">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3.2.1</w:t>
            </w:r>
          </w:p>
        </w:tc>
        <w:tc>
          <w:tcPr>
            <w:tcW w:w="1866" w:type="dxa"/>
            <w:vAlign w:val="center"/>
          </w:tcPr>
          <w:p w14:paraId="700728A3">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最高限价</w:t>
            </w:r>
          </w:p>
        </w:tc>
        <w:tc>
          <w:tcPr>
            <w:tcW w:w="6474" w:type="dxa"/>
            <w:vAlign w:val="center"/>
          </w:tcPr>
          <w:p w14:paraId="5DAEFA83">
            <w:pPr>
              <w:adjustRightInd w:val="0"/>
              <w:snapToGrid w:val="0"/>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人民币：</w:t>
            </w:r>
            <w:r>
              <w:rPr>
                <w:rFonts w:hint="eastAsia" w:ascii="宋体" w:hAnsi="宋体" w:cs="宋体"/>
                <w:color w:val="auto"/>
                <w:sz w:val="21"/>
                <w:szCs w:val="21"/>
                <w:highlight w:val="none"/>
                <w:lang w:val="en-US" w:eastAsia="zh-CN"/>
              </w:rPr>
              <w:t>76.913602</w:t>
            </w:r>
            <w:r>
              <w:rPr>
                <w:rFonts w:hint="eastAsia" w:ascii="宋体" w:hAnsi="宋体" w:cs="宋体"/>
                <w:color w:val="auto"/>
                <w:sz w:val="21"/>
                <w:szCs w:val="21"/>
                <w:highlight w:val="none"/>
                <w:lang w:eastAsia="zh-CN"/>
              </w:rPr>
              <w:t>万元</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大写：柒拾陆万玖仟壹佰叁拾陆元零贰分</w:t>
            </w:r>
            <w:r>
              <w:rPr>
                <w:rFonts w:hint="eastAsia" w:ascii="宋体" w:hAnsi="宋体" w:cs="宋体"/>
                <w:color w:val="auto"/>
                <w:sz w:val="21"/>
                <w:szCs w:val="21"/>
                <w:highlight w:val="none"/>
              </w:rPr>
              <w:t>），高于最高限价的磋商报价视为无效报价，响应文件作废标处理。</w:t>
            </w:r>
          </w:p>
        </w:tc>
      </w:tr>
      <w:tr w14:paraId="37D0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0BEF3D53">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3.2.2</w:t>
            </w:r>
          </w:p>
        </w:tc>
        <w:tc>
          <w:tcPr>
            <w:tcW w:w="1866" w:type="dxa"/>
            <w:vAlign w:val="center"/>
          </w:tcPr>
          <w:p w14:paraId="7410565E">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磋商报价要求</w:t>
            </w:r>
          </w:p>
        </w:tc>
        <w:tc>
          <w:tcPr>
            <w:tcW w:w="6474" w:type="dxa"/>
            <w:vAlign w:val="center"/>
          </w:tcPr>
          <w:p w14:paraId="31CE3D59">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供应商应结合自身情况和项目实际情况，充分考虑建设期间内可能发生的各种风险因素自主报价。且供应商的磋商报价需根据响应文件的技术文件、现行施工规范和标准，以及供应商对现场实际情况的勘察和市场竞争因素，并结合企业实力自行确定。</w:t>
            </w:r>
          </w:p>
          <w:p w14:paraId="50145A12">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供应商应当按照竞争性磋商文件中提供的工程量清单和有关要求，以工程量清单综合单价方式计价。</w:t>
            </w:r>
          </w:p>
        </w:tc>
      </w:tr>
      <w:tr w14:paraId="1E61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4AC5031C">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3.3.1</w:t>
            </w:r>
          </w:p>
        </w:tc>
        <w:tc>
          <w:tcPr>
            <w:tcW w:w="1866" w:type="dxa"/>
            <w:vAlign w:val="center"/>
          </w:tcPr>
          <w:p w14:paraId="03151BE6">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磋商有效期</w:t>
            </w:r>
          </w:p>
        </w:tc>
        <w:tc>
          <w:tcPr>
            <w:tcW w:w="6474" w:type="dxa"/>
            <w:vAlign w:val="center"/>
          </w:tcPr>
          <w:p w14:paraId="5BDBE80C">
            <w:pPr>
              <w:adjustRightInd w:val="0"/>
              <w:snapToGrid w:val="0"/>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u w:val="single"/>
                <w:lang w:val="en-US" w:eastAsia="zh-CN"/>
              </w:rPr>
              <w:t>90</w:t>
            </w:r>
            <w:r>
              <w:rPr>
                <w:rFonts w:hint="eastAsia" w:ascii="宋体" w:hAnsi="宋体" w:cs="宋体"/>
                <w:color w:val="auto"/>
                <w:sz w:val="21"/>
                <w:szCs w:val="21"/>
                <w:highlight w:val="none"/>
                <w:u w:val="single"/>
                <w:lang w:eastAsia="zh-CN"/>
              </w:rPr>
              <w:t>日历天</w:t>
            </w:r>
            <w:r>
              <w:rPr>
                <w:rFonts w:hint="eastAsia" w:ascii="宋体" w:hAnsi="宋体" w:cs="宋体"/>
                <w:color w:val="auto"/>
                <w:sz w:val="21"/>
                <w:szCs w:val="21"/>
                <w:highlight w:val="none"/>
              </w:rPr>
              <w:t>，从响应文件递交截止之日算起。</w:t>
            </w:r>
          </w:p>
        </w:tc>
      </w:tr>
      <w:tr w14:paraId="01B5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42" w:type="dxa"/>
            <w:vAlign w:val="center"/>
          </w:tcPr>
          <w:p w14:paraId="2F189666">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3.4.1</w:t>
            </w:r>
          </w:p>
        </w:tc>
        <w:tc>
          <w:tcPr>
            <w:tcW w:w="1866" w:type="dxa"/>
            <w:vAlign w:val="center"/>
          </w:tcPr>
          <w:p w14:paraId="5D4EA563">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磋商保证金</w:t>
            </w:r>
          </w:p>
        </w:tc>
        <w:tc>
          <w:tcPr>
            <w:tcW w:w="6474" w:type="dxa"/>
            <w:vAlign w:val="center"/>
          </w:tcPr>
          <w:p w14:paraId="2D2BBB1B">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本项目不要求递交磋商保证金。</w:t>
            </w:r>
          </w:p>
        </w:tc>
      </w:tr>
      <w:tr w14:paraId="1A83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350B143D">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3.7.3</w:t>
            </w:r>
          </w:p>
        </w:tc>
        <w:tc>
          <w:tcPr>
            <w:tcW w:w="1866" w:type="dxa"/>
            <w:vAlign w:val="center"/>
          </w:tcPr>
          <w:p w14:paraId="051446CD">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响应文件的签署</w:t>
            </w:r>
          </w:p>
        </w:tc>
        <w:tc>
          <w:tcPr>
            <w:tcW w:w="6474" w:type="dxa"/>
            <w:vAlign w:val="center"/>
          </w:tcPr>
          <w:p w14:paraId="75ECDA65">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响应文件应采用单位和个人数字证书进行电子签章，按照响应文件格式在需要电子签章的地方进行电子签章。</w:t>
            </w:r>
          </w:p>
        </w:tc>
      </w:tr>
      <w:tr w14:paraId="62C5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3AA78F03">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4.1</w:t>
            </w:r>
          </w:p>
        </w:tc>
        <w:tc>
          <w:tcPr>
            <w:tcW w:w="1866" w:type="dxa"/>
            <w:vAlign w:val="center"/>
          </w:tcPr>
          <w:p w14:paraId="49263690">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响应文件的</w:t>
            </w:r>
          </w:p>
          <w:p w14:paraId="5A080F4C">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上传</w:t>
            </w:r>
          </w:p>
        </w:tc>
        <w:tc>
          <w:tcPr>
            <w:tcW w:w="6474" w:type="dxa"/>
            <w:vAlign w:val="center"/>
          </w:tcPr>
          <w:p w14:paraId="023FC06A">
            <w:pPr>
              <w:adjustRightInd w:val="0"/>
              <w:snapToGrid w:val="0"/>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本项目为云南省全流程电子化项目，通过“政采云”平台（https://www.zcygov.cn）实行在线电子投标，供应商应先安装“政采云电子交易客户端”（请自行前往“政采云”平台进行下载），并按照本项目采购文件和“政采云”平台的要求编制、加密后在响应文件递交截止时间前通过网络上传至云南省“政采云”平台，供应商在云南省“政采云”平台提交电子版响应文件时，请填写参加远程开标活动经办人联系方式。</w:t>
            </w:r>
          </w:p>
        </w:tc>
      </w:tr>
      <w:tr w14:paraId="5497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447E18E1">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4.2.2</w:t>
            </w:r>
          </w:p>
        </w:tc>
        <w:tc>
          <w:tcPr>
            <w:tcW w:w="1866" w:type="dxa"/>
            <w:vAlign w:val="center"/>
          </w:tcPr>
          <w:p w14:paraId="348D580A">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递交响应文件地点</w:t>
            </w:r>
          </w:p>
        </w:tc>
        <w:tc>
          <w:tcPr>
            <w:tcW w:w="6474" w:type="dxa"/>
            <w:vAlign w:val="center"/>
          </w:tcPr>
          <w:p w14:paraId="2D774B7B">
            <w:pPr>
              <w:adjustRightInd w:val="0"/>
              <w:snapToGrid w:val="0"/>
              <w:spacing w:line="360" w:lineRule="auto"/>
              <w:ind w:firstLine="4" w:firstLineChars="2"/>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“政采云”平台（https://www.zcygov.cn）</w:t>
            </w:r>
          </w:p>
        </w:tc>
      </w:tr>
      <w:tr w14:paraId="0DF0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FEFC2A0">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4.2.3</w:t>
            </w:r>
          </w:p>
        </w:tc>
        <w:tc>
          <w:tcPr>
            <w:tcW w:w="1866" w:type="dxa"/>
            <w:vAlign w:val="center"/>
          </w:tcPr>
          <w:p w14:paraId="3C0A4ABE">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是否退还响应文件</w:t>
            </w:r>
          </w:p>
        </w:tc>
        <w:tc>
          <w:tcPr>
            <w:tcW w:w="6474" w:type="dxa"/>
            <w:vAlign w:val="center"/>
          </w:tcPr>
          <w:p w14:paraId="71E233F6">
            <w:pPr>
              <w:widowControl w:val="0"/>
              <w:adjustRightInd w:val="0"/>
              <w:snapToGrid w:val="0"/>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否</w:t>
            </w:r>
          </w:p>
        </w:tc>
      </w:tr>
      <w:tr w14:paraId="70F7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580D40DB">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5.1</w:t>
            </w:r>
          </w:p>
        </w:tc>
        <w:tc>
          <w:tcPr>
            <w:tcW w:w="1866" w:type="dxa"/>
            <w:vAlign w:val="center"/>
          </w:tcPr>
          <w:p w14:paraId="0F7DE93A">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磋商时间和地点</w:t>
            </w:r>
          </w:p>
        </w:tc>
        <w:tc>
          <w:tcPr>
            <w:tcW w:w="6474" w:type="dxa"/>
            <w:vAlign w:val="center"/>
          </w:tcPr>
          <w:p w14:paraId="6C691D79">
            <w:pPr>
              <w:adjustRightInd w:val="0"/>
              <w:snapToGrid w:val="0"/>
              <w:spacing w:line="360" w:lineRule="auto"/>
              <w:ind w:firstLine="4" w:firstLineChars="2"/>
              <w:rPr>
                <w:rFonts w:hint="eastAsia" w:ascii="宋体" w:hAnsi="宋体" w:cs="宋体"/>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spacing w:val="1"/>
                <w:sz w:val="21"/>
                <w:szCs w:val="21"/>
                <w:highlight w:val="none"/>
              </w:rPr>
              <w:t>“政采云”平台（https://www.zcygov.cn）</w:t>
            </w:r>
          </w:p>
          <w:p w14:paraId="179CAF22">
            <w:pPr>
              <w:adjustRightInd w:val="0"/>
              <w:snapToGrid w:val="0"/>
              <w:spacing w:line="360" w:lineRule="auto"/>
              <w:ind w:firstLine="4" w:firstLineChars="2"/>
              <w:rPr>
                <w:rFonts w:hint="eastAsia" w:ascii="宋体" w:hAnsi="宋体" w:cs="宋体"/>
                <w:color w:val="auto"/>
                <w:sz w:val="21"/>
                <w:szCs w:val="21"/>
                <w:highlight w:val="none"/>
              </w:rPr>
            </w:pPr>
            <w:r>
              <w:rPr>
                <w:rFonts w:hint="eastAsia" w:ascii="宋体" w:hAnsi="宋体" w:cs="宋体"/>
                <w:color w:val="auto"/>
                <w:sz w:val="21"/>
                <w:szCs w:val="21"/>
                <w:highlight w:val="none"/>
              </w:rPr>
              <w:t>磋商时间：</w:t>
            </w:r>
            <w:r>
              <w:rPr>
                <w:rFonts w:hint="eastAsia" w:ascii="宋体" w:hAnsi="宋体" w:cs="宋体"/>
                <w:color w:val="auto"/>
                <w:sz w:val="21"/>
                <w:szCs w:val="21"/>
                <w:highlight w:val="none"/>
                <w:u w:val="single"/>
                <w:lang w:eastAsia="zh-CN"/>
              </w:rPr>
              <w:t>2026年5月20日14时30分</w:t>
            </w:r>
            <w:r>
              <w:rPr>
                <w:rFonts w:hint="eastAsia" w:ascii="宋体" w:hAnsi="宋体" w:cs="宋体"/>
                <w:bCs/>
                <w:color w:val="auto"/>
                <w:sz w:val="21"/>
                <w:szCs w:val="21"/>
                <w:highlight w:val="none"/>
                <w:u w:val="single"/>
              </w:rPr>
              <w:t>（北京时间）</w:t>
            </w:r>
            <w:r>
              <w:rPr>
                <w:rFonts w:hint="eastAsia" w:ascii="宋体" w:hAnsi="宋体" w:cs="宋体"/>
                <w:bCs/>
                <w:color w:val="auto"/>
                <w:sz w:val="21"/>
                <w:szCs w:val="21"/>
                <w:highlight w:val="none"/>
              </w:rPr>
              <w:t>。</w:t>
            </w:r>
          </w:p>
        </w:tc>
      </w:tr>
      <w:tr w14:paraId="5F62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2" w:type="dxa"/>
            <w:vAlign w:val="center"/>
          </w:tcPr>
          <w:p w14:paraId="5F5F2145">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5.2</w:t>
            </w:r>
          </w:p>
        </w:tc>
        <w:tc>
          <w:tcPr>
            <w:tcW w:w="1866" w:type="dxa"/>
            <w:vAlign w:val="center"/>
          </w:tcPr>
          <w:p w14:paraId="5F8C364C">
            <w:pPr>
              <w:autoSpaceDE w:val="0"/>
              <w:autoSpaceDN w:val="0"/>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sz w:val="21"/>
                <w:szCs w:val="21"/>
                <w:highlight w:val="none"/>
              </w:rPr>
              <w:t>开启程序</w:t>
            </w:r>
          </w:p>
        </w:tc>
        <w:tc>
          <w:tcPr>
            <w:tcW w:w="6474" w:type="dxa"/>
            <w:vAlign w:val="center"/>
          </w:tcPr>
          <w:p w14:paraId="210BE079">
            <w:pPr>
              <w:autoSpaceDE w:val="0"/>
              <w:autoSpaceDN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至响应文件提交截止时间时，采购代理机构的工作人员按照政府采购云平台的操作流程完成开启程序。</w:t>
            </w:r>
          </w:p>
          <w:p w14:paraId="5FAF33C8">
            <w:pPr>
              <w:autoSpaceDE w:val="0"/>
              <w:autoSpaceDN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注：因供应商原因造成响应文件未解密的，视为撤销其响应文件。</w:t>
            </w:r>
          </w:p>
        </w:tc>
      </w:tr>
      <w:tr w14:paraId="023B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5F9C5A6E">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6.1.2</w:t>
            </w:r>
          </w:p>
        </w:tc>
        <w:tc>
          <w:tcPr>
            <w:tcW w:w="1866" w:type="dxa"/>
            <w:vAlign w:val="center"/>
          </w:tcPr>
          <w:p w14:paraId="0C461A50">
            <w:pPr>
              <w:autoSpaceDE w:val="0"/>
              <w:autoSpaceDN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磋商小组的组建</w:t>
            </w:r>
          </w:p>
        </w:tc>
        <w:tc>
          <w:tcPr>
            <w:tcW w:w="6474" w:type="dxa"/>
            <w:vAlign w:val="center"/>
          </w:tcPr>
          <w:p w14:paraId="786C1533">
            <w:pPr>
              <w:autoSpaceDE w:val="0"/>
              <w:autoSpaceDN w:val="0"/>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磋商小组构成：评审专家3人以上（含3人）单数组成</w:t>
            </w:r>
            <w:r>
              <w:rPr>
                <w:rFonts w:hint="eastAsia" w:ascii="宋体" w:hAnsi="宋体" w:cs="宋体"/>
                <w:color w:val="auto"/>
                <w:sz w:val="21"/>
                <w:szCs w:val="21"/>
                <w:highlight w:val="none"/>
                <w:lang w:eastAsia="zh-CN"/>
              </w:rPr>
              <w:t>。</w:t>
            </w:r>
          </w:p>
          <w:p w14:paraId="657630D3">
            <w:pPr>
              <w:autoSpaceDE w:val="0"/>
              <w:autoSpaceDN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磋商小组人数：3人以上（含3人）的单数。</w:t>
            </w:r>
          </w:p>
        </w:tc>
      </w:tr>
      <w:tr w14:paraId="2329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4FF3F434">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6.2</w:t>
            </w:r>
          </w:p>
        </w:tc>
        <w:tc>
          <w:tcPr>
            <w:tcW w:w="1866" w:type="dxa"/>
            <w:vAlign w:val="center"/>
          </w:tcPr>
          <w:p w14:paraId="5CEC47AE">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推荐成交候选人数量</w:t>
            </w:r>
          </w:p>
        </w:tc>
        <w:tc>
          <w:tcPr>
            <w:tcW w:w="6474" w:type="dxa"/>
            <w:vAlign w:val="center"/>
          </w:tcPr>
          <w:p w14:paraId="6F86D86B">
            <w:pPr>
              <w:widowControl w:val="0"/>
              <w:adjustRightInd w:val="0"/>
              <w:snapToGrid w:val="0"/>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推荐的成交候选人数：3家</w:t>
            </w:r>
          </w:p>
        </w:tc>
      </w:tr>
      <w:tr w14:paraId="56C2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408C82FB">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7.3</w:t>
            </w:r>
          </w:p>
        </w:tc>
        <w:tc>
          <w:tcPr>
            <w:tcW w:w="1866" w:type="dxa"/>
            <w:vAlign w:val="center"/>
          </w:tcPr>
          <w:p w14:paraId="69899E10">
            <w:pPr>
              <w:autoSpaceDE w:val="0"/>
              <w:autoSpaceDN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履约担保</w:t>
            </w:r>
          </w:p>
        </w:tc>
        <w:tc>
          <w:tcPr>
            <w:tcW w:w="6474" w:type="dxa"/>
            <w:vAlign w:val="center"/>
          </w:tcPr>
          <w:p w14:paraId="5F81C592">
            <w:pPr>
              <w:autoSpaceDE w:val="0"/>
              <w:autoSpaceDN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履约担保的形式：银行保函、保证保险、银行转账。</w:t>
            </w:r>
          </w:p>
          <w:p w14:paraId="10855240">
            <w:pPr>
              <w:autoSpaceDE w:val="0"/>
              <w:autoSpaceDN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履约担保的金额：合同金额的</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w:t>
            </w:r>
          </w:p>
          <w:p w14:paraId="65B11D6A">
            <w:pPr>
              <w:autoSpaceDE w:val="0"/>
              <w:autoSpaceDN w:val="0"/>
              <w:adjustRightInd w:val="0"/>
              <w:snapToGrid w:val="0"/>
              <w:spacing w:line="360" w:lineRule="auto"/>
              <w:rPr>
                <w:rFonts w:hint="eastAsia" w:ascii="宋体" w:hAnsi="宋体" w:cs="宋体"/>
                <w:color w:val="auto"/>
                <w:sz w:val="21"/>
                <w:szCs w:val="21"/>
                <w:highlight w:val="none"/>
              </w:rPr>
            </w:pPr>
            <w:bookmarkStart w:id="21" w:name="EB613d9871784d47ad95b32b0014f6a8f4"/>
            <w:r>
              <w:rPr>
                <w:rFonts w:hint="eastAsia" w:ascii="宋体" w:hAnsi="宋体" w:cs="宋体"/>
                <w:color w:val="auto"/>
                <w:sz w:val="21"/>
                <w:szCs w:val="21"/>
                <w:highlight w:val="none"/>
              </w:rPr>
              <w:t>退还原则：银行转账履约保证金待项目完工并通过验收后一次性无息退还</w:t>
            </w:r>
            <w:bookmarkEnd w:id="21"/>
            <w:r>
              <w:rPr>
                <w:rFonts w:hint="eastAsia" w:ascii="宋体" w:hAnsi="宋体" w:cs="宋体"/>
                <w:color w:val="auto"/>
                <w:sz w:val="21"/>
                <w:szCs w:val="21"/>
                <w:highlight w:val="none"/>
              </w:rPr>
              <w:t>，银行保函、保证保险自动失效。</w:t>
            </w:r>
          </w:p>
        </w:tc>
      </w:tr>
      <w:tr w14:paraId="4A5E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7AD9203A">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8340" w:type="dxa"/>
            <w:gridSpan w:val="2"/>
            <w:vAlign w:val="center"/>
          </w:tcPr>
          <w:p w14:paraId="76B64AC0">
            <w:pPr>
              <w:autoSpaceDE w:val="0"/>
              <w:autoSpaceDN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需要补充的其他内容</w:t>
            </w:r>
          </w:p>
        </w:tc>
      </w:tr>
      <w:tr w14:paraId="6F3D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2C470E6C">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9.1</w:t>
            </w:r>
          </w:p>
        </w:tc>
        <w:tc>
          <w:tcPr>
            <w:tcW w:w="8340" w:type="dxa"/>
            <w:gridSpan w:val="2"/>
            <w:vAlign w:val="center"/>
          </w:tcPr>
          <w:p w14:paraId="3D012033">
            <w:pPr>
              <w:autoSpaceDE w:val="0"/>
              <w:autoSpaceDN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供应商为响应文件中所附资料原件扫描件与原件的一致性负责，采购人有权在磋商有效期内审核成交人在响应文件中所附资料的原件，若发现与原件资料不一致的情况，取消成交资格，且上报财政部门列入失信行为。采购人有权保留追究其法律责任的权利。</w:t>
            </w:r>
          </w:p>
        </w:tc>
      </w:tr>
      <w:tr w14:paraId="0944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13F42E28">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9.2</w:t>
            </w:r>
          </w:p>
        </w:tc>
        <w:tc>
          <w:tcPr>
            <w:tcW w:w="8340" w:type="dxa"/>
            <w:gridSpan w:val="2"/>
            <w:vAlign w:val="center"/>
          </w:tcPr>
          <w:p w14:paraId="199B6204">
            <w:pPr>
              <w:autoSpaceDE w:val="0"/>
              <w:autoSpaceDN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以下情况视为供应商同意撤回已上传系统的响应文件或其响应文件无效： </w:t>
            </w:r>
          </w:p>
          <w:p w14:paraId="790BF0BE">
            <w:pPr>
              <w:autoSpaceDE w:val="0"/>
              <w:autoSpaceDN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（1）政采云电子平台显示供应商未上传响应文件； </w:t>
            </w:r>
          </w:p>
          <w:p w14:paraId="5A1F9931">
            <w:pPr>
              <w:autoSpaceDE w:val="0"/>
              <w:autoSpaceDN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（2）因供应商原因上传的响应文件在开启文件时无法解密或在有效时间内无法解密。</w:t>
            </w:r>
          </w:p>
        </w:tc>
      </w:tr>
      <w:tr w14:paraId="3A99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242" w:type="dxa"/>
            <w:vAlign w:val="center"/>
          </w:tcPr>
          <w:p w14:paraId="2E0C98AF">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9.3</w:t>
            </w:r>
          </w:p>
        </w:tc>
        <w:tc>
          <w:tcPr>
            <w:tcW w:w="8340" w:type="dxa"/>
            <w:gridSpan w:val="2"/>
            <w:vAlign w:val="center"/>
          </w:tcPr>
          <w:p w14:paraId="344A383C">
            <w:pPr>
              <w:autoSpaceDE w:val="0"/>
              <w:autoSpaceDN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采购项目行业划分：</w:t>
            </w:r>
          </w:p>
          <w:p w14:paraId="1B4CB38F">
            <w:pPr>
              <w:autoSpaceDE w:val="0"/>
              <w:autoSpaceDN w:val="0"/>
              <w:adjustRightInd w:val="0"/>
              <w:snapToGrid w:val="0"/>
              <w:spacing w:line="360" w:lineRule="auto"/>
              <w:rPr>
                <w:rFonts w:hint="eastAsia" w:ascii="宋体" w:hAnsi="宋体" w:cs="宋体"/>
                <w:b/>
                <w:bCs/>
                <w:color w:val="auto"/>
                <w:sz w:val="21"/>
                <w:szCs w:val="21"/>
                <w:highlight w:val="none"/>
              </w:rPr>
            </w:pPr>
            <w:r>
              <w:rPr>
                <w:rFonts w:hint="eastAsia" w:ascii="宋体" w:hAnsi="宋体" w:cs="宋体"/>
                <w:color w:val="auto"/>
                <w:sz w:val="21"/>
                <w:szCs w:val="21"/>
                <w:highlight w:val="none"/>
              </w:rPr>
              <w:t>本项目采购标的所属行业为：</w:t>
            </w:r>
            <w:r>
              <w:rPr>
                <w:rFonts w:hint="eastAsia" w:ascii="宋体" w:hAnsi="宋体" w:cs="宋体"/>
                <w:b/>
                <w:bCs/>
                <w:color w:val="auto"/>
                <w:sz w:val="21"/>
                <w:szCs w:val="21"/>
                <w:highlight w:val="none"/>
              </w:rPr>
              <w:t>“建筑业”。</w:t>
            </w:r>
          </w:p>
        </w:tc>
      </w:tr>
      <w:tr w14:paraId="2467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582" w:type="dxa"/>
            <w:gridSpan w:val="3"/>
            <w:vAlign w:val="center"/>
          </w:tcPr>
          <w:tbl>
            <w:tblPr>
              <w:tblStyle w:val="50"/>
              <w:tblW w:w="98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1591"/>
              <w:gridCol w:w="987"/>
              <w:gridCol w:w="1108"/>
              <w:gridCol w:w="1823"/>
              <w:gridCol w:w="1621"/>
              <w:gridCol w:w="1312"/>
            </w:tblGrid>
            <w:tr w14:paraId="7A13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exact"/>
                <w:jc w:val="center"/>
              </w:trPr>
              <w:tc>
                <w:tcPr>
                  <w:tcW w:w="1361" w:type="dxa"/>
                  <w:vAlign w:val="center"/>
                </w:tcPr>
                <w:p w14:paraId="4D6860B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行业名称</w:t>
                  </w:r>
                </w:p>
              </w:tc>
              <w:tc>
                <w:tcPr>
                  <w:tcW w:w="1591" w:type="dxa"/>
                  <w:vAlign w:val="center"/>
                </w:tcPr>
                <w:p w14:paraId="2E53A2DD">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指标名称</w:t>
                  </w:r>
                </w:p>
              </w:tc>
              <w:tc>
                <w:tcPr>
                  <w:tcW w:w="987" w:type="dxa"/>
                  <w:vAlign w:val="center"/>
                </w:tcPr>
                <w:p w14:paraId="52400AE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计量</w:t>
                  </w:r>
                </w:p>
                <w:p w14:paraId="291063F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108" w:type="dxa"/>
                  <w:vAlign w:val="center"/>
                </w:tcPr>
                <w:p w14:paraId="34600514">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大型</w:t>
                  </w:r>
                </w:p>
              </w:tc>
              <w:tc>
                <w:tcPr>
                  <w:tcW w:w="1823" w:type="dxa"/>
                  <w:vAlign w:val="center"/>
                </w:tcPr>
                <w:p w14:paraId="2952F1A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中型</w:t>
                  </w:r>
                </w:p>
              </w:tc>
              <w:tc>
                <w:tcPr>
                  <w:tcW w:w="1621" w:type="dxa"/>
                  <w:vAlign w:val="center"/>
                </w:tcPr>
                <w:p w14:paraId="032ACA9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小型</w:t>
                  </w:r>
                </w:p>
              </w:tc>
              <w:tc>
                <w:tcPr>
                  <w:tcW w:w="1312" w:type="dxa"/>
                  <w:vAlign w:val="center"/>
                </w:tcPr>
                <w:p w14:paraId="3D8C100D">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微型</w:t>
                  </w:r>
                </w:p>
              </w:tc>
            </w:tr>
            <w:tr w14:paraId="359F8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exact"/>
                <w:jc w:val="center"/>
              </w:trPr>
              <w:tc>
                <w:tcPr>
                  <w:tcW w:w="1361" w:type="dxa"/>
                  <w:vMerge w:val="restart"/>
                  <w:vAlign w:val="center"/>
                </w:tcPr>
                <w:p w14:paraId="54BAE08E">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建筑业</w:t>
                  </w:r>
                </w:p>
              </w:tc>
              <w:tc>
                <w:tcPr>
                  <w:tcW w:w="1591" w:type="dxa"/>
                  <w:vAlign w:val="center"/>
                </w:tcPr>
                <w:p w14:paraId="30C122C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营业收入（Y）</w:t>
                  </w:r>
                </w:p>
              </w:tc>
              <w:tc>
                <w:tcPr>
                  <w:tcW w:w="987" w:type="dxa"/>
                  <w:vAlign w:val="center"/>
                </w:tcPr>
                <w:p w14:paraId="6866A17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1108" w:type="dxa"/>
                  <w:vAlign w:val="center"/>
                </w:tcPr>
                <w:p w14:paraId="1FEA3BA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Y≥80000</w:t>
                  </w:r>
                </w:p>
              </w:tc>
              <w:tc>
                <w:tcPr>
                  <w:tcW w:w="1823" w:type="dxa"/>
                  <w:vAlign w:val="center"/>
                </w:tcPr>
                <w:p w14:paraId="03461F4E">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6000≤Y＜80000</w:t>
                  </w:r>
                </w:p>
              </w:tc>
              <w:tc>
                <w:tcPr>
                  <w:tcW w:w="1621" w:type="dxa"/>
                  <w:vAlign w:val="center"/>
                </w:tcPr>
                <w:p w14:paraId="48B2A1E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300≤Y＜6000</w:t>
                  </w:r>
                </w:p>
              </w:tc>
              <w:tc>
                <w:tcPr>
                  <w:tcW w:w="1312" w:type="dxa"/>
                  <w:vAlign w:val="center"/>
                </w:tcPr>
                <w:p w14:paraId="2C72D7B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Y＜300</w:t>
                  </w:r>
                </w:p>
              </w:tc>
            </w:tr>
            <w:tr w14:paraId="4C1A3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exact"/>
                <w:jc w:val="center"/>
              </w:trPr>
              <w:tc>
                <w:tcPr>
                  <w:tcW w:w="1361" w:type="dxa"/>
                  <w:vMerge w:val="continue"/>
                  <w:vAlign w:val="center"/>
                </w:tcPr>
                <w:p w14:paraId="5B49B233">
                  <w:pPr>
                    <w:spacing w:line="360" w:lineRule="auto"/>
                    <w:jc w:val="center"/>
                    <w:rPr>
                      <w:rFonts w:hint="eastAsia" w:ascii="宋体" w:hAnsi="宋体" w:eastAsia="宋体" w:cs="宋体"/>
                      <w:b/>
                      <w:bCs/>
                      <w:color w:val="auto"/>
                      <w:sz w:val="21"/>
                      <w:szCs w:val="21"/>
                      <w:highlight w:val="none"/>
                    </w:rPr>
                  </w:pPr>
                </w:p>
              </w:tc>
              <w:tc>
                <w:tcPr>
                  <w:tcW w:w="1591" w:type="dxa"/>
                  <w:vAlign w:val="center"/>
                </w:tcPr>
                <w:p w14:paraId="5838A13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资产总额（Z）</w:t>
                  </w:r>
                </w:p>
              </w:tc>
              <w:tc>
                <w:tcPr>
                  <w:tcW w:w="987" w:type="dxa"/>
                  <w:vAlign w:val="center"/>
                </w:tcPr>
                <w:p w14:paraId="32A199B1">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1108" w:type="dxa"/>
                  <w:vAlign w:val="center"/>
                </w:tcPr>
                <w:p w14:paraId="3D1A418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Z≥80000</w:t>
                  </w:r>
                </w:p>
              </w:tc>
              <w:tc>
                <w:tcPr>
                  <w:tcW w:w="1823" w:type="dxa"/>
                  <w:vAlign w:val="center"/>
                </w:tcPr>
                <w:p w14:paraId="368D113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5000≤Z＜80000</w:t>
                  </w:r>
                </w:p>
              </w:tc>
              <w:tc>
                <w:tcPr>
                  <w:tcW w:w="1621" w:type="dxa"/>
                  <w:vAlign w:val="center"/>
                </w:tcPr>
                <w:p w14:paraId="50B51CB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300≤Z＜5000</w:t>
                  </w:r>
                </w:p>
              </w:tc>
              <w:tc>
                <w:tcPr>
                  <w:tcW w:w="1312" w:type="dxa"/>
                  <w:vAlign w:val="center"/>
                </w:tcPr>
                <w:p w14:paraId="59C1CF8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Z＜300</w:t>
                  </w:r>
                </w:p>
              </w:tc>
            </w:tr>
          </w:tbl>
          <w:p w14:paraId="5D25B588">
            <w:pPr>
              <w:autoSpaceDE w:val="0"/>
              <w:autoSpaceDN w:val="0"/>
              <w:adjustRightInd w:val="0"/>
              <w:snapToGrid w:val="0"/>
              <w:spacing w:line="360" w:lineRule="auto"/>
              <w:rPr>
                <w:rFonts w:hint="eastAsia" w:ascii="宋体" w:hAnsi="宋体" w:cs="宋体"/>
                <w:b/>
                <w:bCs/>
                <w:color w:val="auto"/>
                <w:sz w:val="21"/>
                <w:szCs w:val="21"/>
                <w:highlight w:val="none"/>
              </w:rPr>
            </w:pPr>
          </w:p>
        </w:tc>
      </w:tr>
      <w:tr w14:paraId="32A3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vAlign w:val="center"/>
          </w:tcPr>
          <w:p w14:paraId="096A6AC5">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9.4</w:t>
            </w:r>
          </w:p>
        </w:tc>
        <w:tc>
          <w:tcPr>
            <w:tcW w:w="8340" w:type="dxa"/>
            <w:gridSpan w:val="2"/>
            <w:vAlign w:val="center"/>
          </w:tcPr>
          <w:p w14:paraId="25861C0B">
            <w:pPr>
              <w:autoSpaceDE w:val="0"/>
              <w:autoSpaceDN w:val="0"/>
              <w:adjustRightInd w:val="0"/>
              <w:snapToGrid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注：为了使供应商更加准确</w:t>
            </w:r>
            <w:r>
              <w:rPr>
                <w:rFonts w:hint="eastAsia" w:ascii="宋体" w:hAnsi="宋体" w:cs="宋体"/>
                <w:b/>
                <w:bCs/>
                <w:color w:val="auto"/>
                <w:sz w:val="21"/>
                <w:szCs w:val="21"/>
                <w:highlight w:val="none"/>
                <w:lang w:eastAsia="zh-CN"/>
              </w:rPr>
              <w:t>地</w:t>
            </w:r>
            <w:r>
              <w:rPr>
                <w:rFonts w:hint="eastAsia" w:ascii="宋体" w:hAnsi="宋体" w:cs="宋体"/>
                <w:b/>
                <w:bCs/>
                <w:color w:val="auto"/>
                <w:sz w:val="21"/>
                <w:szCs w:val="21"/>
                <w:highlight w:val="none"/>
              </w:rPr>
              <w:t>关联各个评审节点，供应商在上传响应文件时，可将整份电子签章</w:t>
            </w:r>
            <w:r>
              <w:rPr>
                <w:rFonts w:hint="eastAsia" w:ascii="宋体" w:hAnsi="宋体" w:cs="宋体"/>
                <w:b/>
                <w:bCs/>
                <w:color w:val="auto"/>
                <w:sz w:val="21"/>
                <w:szCs w:val="21"/>
                <w:highlight w:val="none"/>
                <w:lang w:val="en-US" w:eastAsia="zh-CN"/>
              </w:rPr>
              <w:t>后的</w:t>
            </w:r>
            <w:r>
              <w:rPr>
                <w:rFonts w:hint="eastAsia" w:ascii="宋体" w:hAnsi="宋体" w:cs="宋体"/>
                <w:b/>
                <w:bCs/>
                <w:color w:val="auto"/>
                <w:sz w:val="21"/>
                <w:szCs w:val="21"/>
                <w:highlight w:val="none"/>
              </w:rPr>
              <w:t>响应文件（含封面及目录）上传至“商务</w:t>
            </w:r>
            <w:r>
              <w:rPr>
                <w:rFonts w:hint="eastAsia" w:ascii="宋体" w:hAnsi="宋体" w:cs="宋体"/>
                <w:b/>
                <w:bCs/>
                <w:color w:val="auto"/>
                <w:sz w:val="21"/>
                <w:szCs w:val="21"/>
                <w:highlight w:val="none"/>
                <w:lang w:val="en-US" w:eastAsia="zh-CN"/>
              </w:rPr>
              <w:t>响应文件、</w:t>
            </w:r>
            <w:r>
              <w:rPr>
                <w:rFonts w:hint="eastAsia" w:ascii="宋体" w:hAnsi="宋体" w:cs="宋体"/>
                <w:b/>
                <w:bCs/>
                <w:color w:val="auto"/>
                <w:sz w:val="21"/>
                <w:szCs w:val="21"/>
                <w:highlight w:val="none"/>
              </w:rPr>
              <w:t>报价</w:t>
            </w:r>
            <w:r>
              <w:rPr>
                <w:rFonts w:hint="eastAsia" w:ascii="宋体" w:hAnsi="宋体" w:cs="宋体"/>
                <w:b/>
                <w:bCs/>
                <w:color w:val="auto"/>
                <w:sz w:val="21"/>
                <w:szCs w:val="21"/>
                <w:highlight w:val="none"/>
                <w:lang w:val="en-US" w:eastAsia="zh-CN"/>
              </w:rPr>
              <w:t>响应</w:t>
            </w:r>
            <w:r>
              <w:rPr>
                <w:rFonts w:hint="eastAsia" w:ascii="宋体" w:hAnsi="宋体" w:cs="宋体"/>
                <w:b/>
                <w:bCs/>
                <w:color w:val="auto"/>
                <w:sz w:val="21"/>
                <w:szCs w:val="21"/>
                <w:highlight w:val="none"/>
              </w:rPr>
              <w:t>文件、技术</w:t>
            </w:r>
            <w:r>
              <w:rPr>
                <w:rFonts w:hint="eastAsia" w:ascii="宋体" w:hAnsi="宋体" w:cs="宋体"/>
                <w:b/>
                <w:bCs/>
                <w:color w:val="auto"/>
                <w:sz w:val="21"/>
                <w:szCs w:val="21"/>
                <w:highlight w:val="none"/>
                <w:lang w:val="en-US" w:eastAsia="zh-CN"/>
              </w:rPr>
              <w:t>响应</w:t>
            </w:r>
            <w:r>
              <w:rPr>
                <w:rFonts w:hint="eastAsia" w:ascii="宋体" w:hAnsi="宋体" w:cs="宋体"/>
                <w:b/>
                <w:bCs/>
                <w:color w:val="auto"/>
                <w:sz w:val="21"/>
                <w:szCs w:val="21"/>
                <w:highlight w:val="none"/>
              </w:rPr>
              <w:t>文件”部分。</w:t>
            </w:r>
          </w:p>
        </w:tc>
      </w:tr>
    </w:tbl>
    <w:p w14:paraId="26BC27C7">
      <w:pPr>
        <w:pStyle w:val="3"/>
        <w:adjustRightInd w:val="0"/>
        <w:snapToGrid w:val="0"/>
        <w:spacing w:before="0" w:after="0" w:line="360" w:lineRule="auto"/>
        <w:jc w:val="center"/>
        <w:rPr>
          <w:rFonts w:hint="eastAsia" w:ascii="宋体" w:hAnsi="宋体" w:eastAsia="宋体" w:cs="宋体"/>
          <w:color w:val="auto"/>
          <w:sz w:val="21"/>
          <w:szCs w:val="21"/>
          <w:highlight w:val="none"/>
        </w:rPr>
      </w:pPr>
      <w:r>
        <w:rPr>
          <w:rFonts w:hint="eastAsia" w:ascii="宋体" w:hAnsi="宋体" w:eastAsia="宋体" w:cs="宋体"/>
          <w:b w:val="0"/>
          <w:color w:val="auto"/>
          <w:sz w:val="20"/>
          <w:szCs w:val="21"/>
          <w:highlight w:val="none"/>
        </w:rPr>
        <w:br w:type="page"/>
      </w:r>
      <w:bookmarkStart w:id="22" w:name="_Toc3887"/>
      <w:bookmarkStart w:id="23" w:name="_Toc179912202"/>
      <w:bookmarkStart w:id="24" w:name="_Toc24424"/>
      <w:bookmarkStart w:id="25" w:name="_Toc19941"/>
      <w:bookmarkStart w:id="26" w:name="_Toc24183"/>
      <w:r>
        <w:rPr>
          <w:rFonts w:hint="eastAsia" w:ascii="宋体" w:hAnsi="宋体" w:eastAsia="宋体" w:cs="宋体"/>
          <w:color w:val="auto"/>
          <w:sz w:val="21"/>
          <w:szCs w:val="21"/>
          <w:highlight w:val="none"/>
        </w:rPr>
        <w:t>1．总   则</w:t>
      </w:r>
      <w:bookmarkEnd w:id="22"/>
      <w:bookmarkEnd w:id="23"/>
      <w:bookmarkEnd w:id="24"/>
      <w:bookmarkEnd w:id="25"/>
      <w:bookmarkEnd w:id="26"/>
    </w:p>
    <w:p w14:paraId="1B4EB617">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1.1项目概况</w:t>
      </w:r>
    </w:p>
    <w:p w14:paraId="35AC5E0F">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1.1.1按照《中华人民共和国政府采购法》、《政府采购竞争性磋商采购方式管理暂行办法》等有关</w:t>
      </w:r>
      <w:r>
        <w:rPr>
          <w:rFonts w:hint="eastAsia" w:ascii="宋体" w:hAnsi="宋体" w:cs="宋体"/>
          <w:color w:val="auto"/>
          <w:sz w:val="21"/>
          <w:szCs w:val="21"/>
          <w:highlight w:val="none"/>
          <w:lang w:eastAsia="zh-CN"/>
        </w:rPr>
        <w:t>法律法规</w:t>
      </w:r>
      <w:r>
        <w:rPr>
          <w:rFonts w:hint="eastAsia" w:ascii="宋体" w:hAnsi="宋体" w:cs="宋体"/>
          <w:color w:val="auto"/>
          <w:sz w:val="21"/>
          <w:szCs w:val="21"/>
          <w:highlight w:val="none"/>
        </w:rPr>
        <w:t>和文件的规定，本项目已具备采购条件，现对本项目采用竞争性磋商方式选定成交人。</w:t>
      </w:r>
    </w:p>
    <w:p w14:paraId="30A126CA">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1.1.2 本项目采购人：见供应商须知前附表。</w:t>
      </w:r>
    </w:p>
    <w:p w14:paraId="3159D5D8">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1.1.3 本项目代理机构：见供应商须知前附表。</w:t>
      </w:r>
    </w:p>
    <w:p w14:paraId="5E6D9DBA">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1.1.4 本项目名称：见供应商须知前附表。</w:t>
      </w:r>
    </w:p>
    <w:p w14:paraId="2E48D5BE">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1.1.5 本项目编号：见供应商须知前附表。</w:t>
      </w:r>
    </w:p>
    <w:p w14:paraId="3B3CA673">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1.1.6</w:t>
      </w:r>
      <w:r>
        <w:rPr>
          <w:rFonts w:hint="eastAsia" w:ascii="宋体" w:hAnsi="宋体" w:cs="宋体"/>
          <w:bCs/>
          <w:color w:val="auto"/>
          <w:sz w:val="21"/>
          <w:szCs w:val="21"/>
          <w:highlight w:val="none"/>
        </w:rPr>
        <w:t>本</w:t>
      </w:r>
      <w:r>
        <w:rPr>
          <w:rFonts w:hint="eastAsia" w:ascii="宋体" w:hAnsi="宋体" w:cs="宋体"/>
          <w:color w:val="auto"/>
          <w:sz w:val="21"/>
          <w:szCs w:val="21"/>
          <w:highlight w:val="none"/>
        </w:rPr>
        <w:t>项目</w:t>
      </w:r>
      <w:r>
        <w:rPr>
          <w:rFonts w:hint="eastAsia" w:ascii="宋体" w:hAnsi="宋体" w:cs="宋体"/>
          <w:bCs/>
          <w:color w:val="auto"/>
          <w:sz w:val="21"/>
          <w:szCs w:val="21"/>
          <w:highlight w:val="none"/>
        </w:rPr>
        <w:t>标段划分：</w:t>
      </w:r>
      <w:r>
        <w:rPr>
          <w:rFonts w:hint="eastAsia" w:ascii="宋体" w:hAnsi="宋体" w:cs="宋体"/>
          <w:color w:val="auto"/>
          <w:sz w:val="21"/>
          <w:szCs w:val="21"/>
          <w:highlight w:val="none"/>
        </w:rPr>
        <w:t>见供应商须知前附表。</w:t>
      </w:r>
    </w:p>
    <w:p w14:paraId="20CA6E1C">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资金情况</w:t>
      </w:r>
    </w:p>
    <w:p w14:paraId="10EEE3F8">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1.2.1 本项目的资金情况：见供应商须知前附表。</w:t>
      </w:r>
    </w:p>
    <w:p w14:paraId="37AC529F">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建设规模、合同履行期限、质量要求</w:t>
      </w:r>
    </w:p>
    <w:p w14:paraId="68EA7A12">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1.3.1本项目建设规模：见供应商须知前附表。</w:t>
      </w:r>
    </w:p>
    <w:p w14:paraId="0659FC5A">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1.3.2本项目合同履行期限：见供应商须知前附表。</w:t>
      </w:r>
    </w:p>
    <w:p w14:paraId="4532CD2E">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1.3.3本项目质量要求：见供应商须知前附表。</w:t>
      </w:r>
    </w:p>
    <w:p w14:paraId="48F6384D">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供应商资格要求</w:t>
      </w:r>
    </w:p>
    <w:p w14:paraId="28DAAC9A">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1.4.1本项目供应商资质条件要求：见供应商须知前附表。</w:t>
      </w:r>
    </w:p>
    <w:p w14:paraId="681C667C">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1.4.2本项目供应商的资格审查方式：见供应商须知前附表。</w:t>
      </w:r>
    </w:p>
    <w:p w14:paraId="24949B62">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1.4.3本项目是否接受联合体磋商：见供应商须知前附表。</w:t>
      </w:r>
    </w:p>
    <w:p w14:paraId="7419CD80">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1.4.4 供应商不得存在下列情形之一：</w:t>
      </w:r>
    </w:p>
    <w:p w14:paraId="1CED8B9B">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（l）为采购人不具有独立法人资格的附属机构（单位）； </w:t>
      </w:r>
    </w:p>
    <w:p w14:paraId="6011868F">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（2）为本项目提供招标代理服务的；</w:t>
      </w:r>
    </w:p>
    <w:p w14:paraId="1B640035">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（3）被责令停业的；</w:t>
      </w:r>
    </w:p>
    <w:p w14:paraId="6668A614">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（4）被暂停或取消投标资格的；</w:t>
      </w:r>
    </w:p>
    <w:p w14:paraId="57B82947">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（5）财产被接管或冻结的。</w:t>
      </w:r>
    </w:p>
    <w:p w14:paraId="4F1464BB">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费用承担</w:t>
      </w:r>
    </w:p>
    <w:p w14:paraId="5C692EE7">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1.5.1供应商准备和参加竞争性磋商活动发生的费用自理。</w:t>
      </w:r>
    </w:p>
    <w:p w14:paraId="4A392D02">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1.5.2</w:t>
      </w:r>
      <w:r>
        <w:rPr>
          <w:rFonts w:hint="eastAsia" w:ascii="宋体" w:hAnsi="宋体" w:cs="宋体"/>
          <w:color w:val="auto"/>
          <w:sz w:val="21"/>
          <w:szCs w:val="21"/>
          <w:highlight w:val="none"/>
          <w:lang w:val="en-US" w:eastAsia="zh-CN"/>
        </w:rPr>
        <w:t>成交</w:t>
      </w:r>
      <w:r>
        <w:rPr>
          <w:rFonts w:hint="eastAsia" w:ascii="宋体" w:hAnsi="宋体" w:cs="宋体"/>
          <w:color w:val="auto"/>
          <w:sz w:val="21"/>
          <w:szCs w:val="21"/>
          <w:highlight w:val="none"/>
        </w:rPr>
        <w:t>服务费：参照云南省建设工程招标投标行业协会关于印发《云南省建设工程招标代理服务收费参考意见》的通知云建招协〔2024〕58号的收费标准计取，计费基数为成交价。计算的收费金额低于7000元的项目（或标段），按7000元计取。服务费由成交人支付</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拦标价编制费根据云南省物价局关于调整建设工程造价咨询服务收费标准的通知[云价综合（2012）66号]文件的规定收取，由成交人支付。</w:t>
      </w:r>
    </w:p>
    <w:p w14:paraId="0E807E72">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保密</w:t>
      </w:r>
    </w:p>
    <w:p w14:paraId="727F9149">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参与本项目的各方应对竞争性磋商文件和响应文件中的商业和技术等秘密保密，违者应对由此造成的后果承担法律责任。</w:t>
      </w:r>
    </w:p>
    <w:p w14:paraId="22F58E5D">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语言文字</w:t>
      </w:r>
    </w:p>
    <w:p w14:paraId="41634E8A">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除专用术语外，与磋商有关的语言均使用中文。必要时专用术语应附有中文注释。</w:t>
      </w:r>
    </w:p>
    <w:p w14:paraId="19C8EC49">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 计量单位</w:t>
      </w:r>
    </w:p>
    <w:p w14:paraId="4C1D726D">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所有计量均采用中华人民共和国法定计量单位。</w:t>
      </w:r>
    </w:p>
    <w:p w14:paraId="20BBAB7F">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 踏勘现场</w:t>
      </w:r>
    </w:p>
    <w:p w14:paraId="5AAEF031">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1.9.1 供应商须知前附表规定组织踏勘现场的，采购人按供应商须知前附表规定的时间、地点组织供应商踏勘项目现场。</w:t>
      </w:r>
    </w:p>
    <w:p w14:paraId="04416577">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1.9.2 供应商踏勘现场发生的费用自理。</w:t>
      </w:r>
    </w:p>
    <w:p w14:paraId="5BDE3BA7">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1.9.3 除采购人的原因外，供应商自行负责在踏勘现场中所发生的人员伤亡和财产损失。</w:t>
      </w:r>
    </w:p>
    <w:p w14:paraId="77A3630F">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1.9.4采购人在踏勘现场中介绍的相关情况，仅供供应商在编制响应文件时参考，采购人不对供应商据此做出的判断和决策负责。</w:t>
      </w:r>
    </w:p>
    <w:p w14:paraId="521C3E25">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磋商预备会</w:t>
      </w:r>
    </w:p>
    <w:p w14:paraId="2088E97C">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本项目不召开磋商预备会。</w:t>
      </w:r>
    </w:p>
    <w:p w14:paraId="3F71FDEF">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分包</w:t>
      </w:r>
    </w:p>
    <w:p w14:paraId="13278308">
      <w:pPr>
        <w:adjustRightInd w:val="0"/>
        <w:snapToGrid w:val="0"/>
        <w:spacing w:line="360" w:lineRule="auto"/>
        <w:ind w:firstLine="476" w:firstLineChars="200"/>
        <w:rPr>
          <w:rFonts w:hint="eastAsia" w:ascii="宋体" w:hAnsi="宋体" w:cs="宋体"/>
          <w:bCs/>
          <w:color w:val="auto"/>
          <w:spacing w:val="14"/>
          <w:sz w:val="21"/>
          <w:szCs w:val="21"/>
          <w:highlight w:val="none"/>
        </w:rPr>
      </w:pPr>
      <w:r>
        <w:rPr>
          <w:rFonts w:hint="eastAsia" w:ascii="宋体" w:hAnsi="宋体" w:cs="宋体"/>
          <w:bCs/>
          <w:color w:val="auto"/>
          <w:spacing w:val="14"/>
          <w:sz w:val="21"/>
          <w:szCs w:val="21"/>
          <w:highlight w:val="none"/>
        </w:rPr>
        <w:t>本项目不允许分包。</w:t>
      </w:r>
    </w:p>
    <w:p w14:paraId="6DDA8F23">
      <w:pPr>
        <w:pStyle w:val="3"/>
        <w:adjustRightInd w:val="0"/>
        <w:snapToGrid w:val="0"/>
        <w:spacing w:before="0" w:after="0" w:line="360" w:lineRule="auto"/>
        <w:jc w:val="center"/>
        <w:rPr>
          <w:rFonts w:hint="eastAsia" w:ascii="宋体" w:hAnsi="宋体" w:eastAsia="宋体" w:cs="宋体"/>
          <w:b w:val="0"/>
          <w:color w:val="auto"/>
          <w:sz w:val="21"/>
          <w:szCs w:val="21"/>
          <w:highlight w:val="none"/>
        </w:rPr>
      </w:pPr>
      <w:bookmarkStart w:id="27" w:name="_Toc23946"/>
      <w:bookmarkStart w:id="28" w:name="_Toc7333"/>
      <w:bookmarkStart w:id="29" w:name="_Toc12048"/>
      <w:bookmarkStart w:id="30" w:name="_Toc179912203"/>
      <w:bookmarkStart w:id="31" w:name="_Toc9471"/>
      <w:r>
        <w:rPr>
          <w:rFonts w:hint="eastAsia" w:ascii="宋体" w:hAnsi="宋体" w:eastAsia="宋体" w:cs="宋体"/>
          <w:color w:val="auto"/>
          <w:sz w:val="21"/>
          <w:szCs w:val="21"/>
          <w:highlight w:val="none"/>
        </w:rPr>
        <w:t>2．竞争性磋商文件</w:t>
      </w:r>
      <w:bookmarkEnd w:id="27"/>
      <w:bookmarkEnd w:id="28"/>
      <w:bookmarkEnd w:id="29"/>
      <w:bookmarkEnd w:id="30"/>
      <w:bookmarkEnd w:id="31"/>
    </w:p>
    <w:p w14:paraId="74B22B9F">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竞争性磋商文件的组成</w:t>
      </w:r>
    </w:p>
    <w:p w14:paraId="724060FA">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本竞争性磋商文件包括：</w:t>
      </w:r>
    </w:p>
    <w:p w14:paraId="2AD55E84">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第一章 竞争性磋商公告；</w:t>
      </w:r>
    </w:p>
    <w:p w14:paraId="5697C5FE">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第二章 供应商须知；</w:t>
      </w:r>
    </w:p>
    <w:p w14:paraId="17938B86">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第三章 磋商程序和方法；</w:t>
      </w:r>
    </w:p>
    <w:p w14:paraId="125C5CE3">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第四章 合同条款及格式；</w:t>
      </w:r>
    </w:p>
    <w:p w14:paraId="7C6435B2">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第五章 工程量清单；</w:t>
      </w:r>
    </w:p>
    <w:p w14:paraId="2B6CE793">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第六章 技术标准与规范；</w:t>
      </w:r>
    </w:p>
    <w:p w14:paraId="0BFCBA43">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第七章 响应文件格式。 </w:t>
      </w:r>
    </w:p>
    <w:p w14:paraId="7982573B">
      <w:pPr>
        <w:adjustRightInd w:val="0"/>
        <w:snapToGrid w:val="0"/>
        <w:spacing w:line="360" w:lineRule="auto"/>
        <w:ind w:firstLine="472" w:firstLineChars="225"/>
        <w:rPr>
          <w:rFonts w:hint="eastAsia" w:ascii="宋体" w:hAnsi="宋体" w:cs="宋体"/>
          <w:color w:val="auto"/>
          <w:sz w:val="21"/>
          <w:szCs w:val="21"/>
          <w:highlight w:val="none"/>
        </w:rPr>
      </w:pPr>
      <w:r>
        <w:rPr>
          <w:rFonts w:hint="eastAsia" w:ascii="宋体" w:hAnsi="宋体" w:cs="宋体"/>
          <w:color w:val="auto"/>
          <w:sz w:val="21"/>
          <w:szCs w:val="21"/>
          <w:highlight w:val="none"/>
        </w:rPr>
        <w:t>根据本章第1.10款、第2.2款</w:t>
      </w:r>
      <w:r>
        <w:rPr>
          <w:rFonts w:hint="eastAsia" w:ascii="宋体" w:hAnsi="宋体" w:cs="宋体"/>
          <w:color w:val="auto"/>
          <w:sz w:val="21"/>
          <w:szCs w:val="21"/>
          <w:highlight w:val="none"/>
          <w:lang w:eastAsia="zh-CN"/>
        </w:rPr>
        <w:t>和第</w:t>
      </w:r>
      <w:r>
        <w:rPr>
          <w:rFonts w:hint="eastAsia" w:ascii="宋体" w:hAnsi="宋体" w:cs="宋体"/>
          <w:color w:val="auto"/>
          <w:sz w:val="21"/>
          <w:szCs w:val="21"/>
          <w:highlight w:val="none"/>
        </w:rPr>
        <w:t>2.3款对竞争性磋商文件所作的澄清、修改，构成竞争性磋商文件的组成部分。</w:t>
      </w:r>
    </w:p>
    <w:p w14:paraId="185969CC">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竞争性磋商文件的澄清</w:t>
      </w:r>
    </w:p>
    <w:p w14:paraId="393C7839">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2.2.1 供应商应仔细阅读和检查采购文件的全部内容。如发现缺项或内容不全，应在供应商须知前附表规定的截止时间前凭数字证书（CA）登录“政采云”平台（</w:t>
      </w:r>
      <w:r>
        <w:rPr>
          <w:rFonts w:hint="eastAsia" w:ascii="宋体" w:hAnsi="宋体" w:cs="宋体"/>
          <w:color w:val="auto"/>
          <w:spacing w:val="1"/>
          <w:sz w:val="21"/>
          <w:szCs w:val="21"/>
          <w:highlight w:val="none"/>
        </w:rPr>
        <w:t>https://www.zcygov.cn）</w:t>
      </w:r>
      <w:r>
        <w:rPr>
          <w:rFonts w:hint="eastAsia" w:ascii="宋体" w:hAnsi="宋体" w:cs="宋体"/>
          <w:color w:val="auto"/>
          <w:sz w:val="21"/>
          <w:szCs w:val="21"/>
          <w:highlight w:val="none"/>
        </w:rPr>
        <w:t>，通过网络在线方式进行匿名提问。</w:t>
      </w:r>
    </w:p>
    <w:p w14:paraId="5FDCF6A0">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2.2.2 响应文件递交截止时间：见供应商须知前附表。</w:t>
      </w:r>
    </w:p>
    <w:p w14:paraId="3AEE42C0">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2.2.3 供应商自行登录“政采云”平台查看澄清无需确认收到该澄清。</w:t>
      </w:r>
    </w:p>
    <w:p w14:paraId="6183856E">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竞争性磋商文件的修改</w:t>
      </w:r>
    </w:p>
    <w:p w14:paraId="0DA2CA52">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2.3.1 在递交响应文件截止时</w:t>
      </w:r>
      <w:r>
        <w:rPr>
          <w:rFonts w:hint="eastAsia" w:ascii="宋体" w:hAnsi="宋体" w:cs="宋体"/>
          <w:color w:val="auto"/>
          <w:sz w:val="21"/>
          <w:szCs w:val="21"/>
          <w:highlight w:val="none"/>
          <w:lang w:eastAsia="zh-CN"/>
        </w:rPr>
        <w:t>间之</w:t>
      </w:r>
      <w:r>
        <w:rPr>
          <w:rFonts w:hint="eastAsia" w:ascii="宋体" w:hAnsi="宋体" w:cs="宋体"/>
          <w:color w:val="auto"/>
          <w:sz w:val="21"/>
          <w:szCs w:val="21"/>
          <w:highlight w:val="none"/>
        </w:rPr>
        <w:t>前，采购人可以登录“政采云”平台修改采购文件，并通知所有已获取采购文件的供应商。如果修改采购文件的时间距响应文件（首次响应性文件）递交截止时间不足5日的，相应延长响应文件（首次响应性文件）递交截止时间。</w:t>
      </w:r>
    </w:p>
    <w:p w14:paraId="39385AD8">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2.3.2 供应商自行登录“政采云”平台（</w:t>
      </w:r>
      <w:r>
        <w:rPr>
          <w:rFonts w:hint="eastAsia" w:ascii="宋体" w:hAnsi="宋体" w:cs="宋体"/>
          <w:color w:val="auto"/>
          <w:spacing w:val="1"/>
          <w:sz w:val="21"/>
          <w:szCs w:val="21"/>
          <w:highlight w:val="none"/>
        </w:rPr>
        <w:t>https://www.zcygov.cn）</w:t>
      </w:r>
      <w:r>
        <w:rPr>
          <w:rFonts w:hint="eastAsia" w:ascii="宋体" w:hAnsi="宋体" w:cs="宋体"/>
          <w:color w:val="auto"/>
          <w:sz w:val="21"/>
          <w:szCs w:val="21"/>
          <w:highlight w:val="none"/>
        </w:rPr>
        <w:t>。使用数字证书（CA）在政采云平台中获取修改，无须回复确认已收到该修改。</w:t>
      </w:r>
    </w:p>
    <w:p w14:paraId="4201ED01">
      <w:pPr>
        <w:pStyle w:val="3"/>
        <w:adjustRightInd w:val="0"/>
        <w:snapToGrid w:val="0"/>
        <w:spacing w:before="0" w:after="0" w:line="360" w:lineRule="auto"/>
        <w:jc w:val="center"/>
        <w:rPr>
          <w:rFonts w:hint="eastAsia" w:ascii="宋体" w:hAnsi="宋体" w:eastAsia="宋体" w:cs="宋体"/>
          <w:color w:val="auto"/>
          <w:sz w:val="21"/>
          <w:szCs w:val="21"/>
          <w:highlight w:val="none"/>
        </w:rPr>
      </w:pPr>
      <w:bookmarkStart w:id="32" w:name="_Toc4188"/>
      <w:bookmarkStart w:id="33" w:name="_Toc179912204"/>
      <w:bookmarkStart w:id="34" w:name="_Toc5176"/>
      <w:bookmarkStart w:id="35" w:name="_Toc22230"/>
      <w:bookmarkStart w:id="36" w:name="_Toc28000"/>
      <w:r>
        <w:rPr>
          <w:rFonts w:hint="eastAsia" w:ascii="宋体" w:hAnsi="宋体" w:eastAsia="宋体" w:cs="宋体"/>
          <w:color w:val="auto"/>
          <w:sz w:val="21"/>
          <w:szCs w:val="21"/>
          <w:highlight w:val="none"/>
        </w:rPr>
        <w:t>3．响应文件</w:t>
      </w:r>
      <w:bookmarkEnd w:id="32"/>
      <w:bookmarkEnd w:id="33"/>
      <w:bookmarkEnd w:id="34"/>
      <w:bookmarkEnd w:id="35"/>
      <w:bookmarkEnd w:id="36"/>
    </w:p>
    <w:p w14:paraId="5EEE25B7">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响应文件的组成</w:t>
      </w:r>
    </w:p>
    <w:p w14:paraId="7129BBF6">
      <w:pPr>
        <w:adjustRightInd w:val="0"/>
        <w:snapToGrid w:val="0"/>
        <w:spacing w:line="360" w:lineRule="auto"/>
        <w:ind w:firstLine="472" w:firstLineChars="225"/>
        <w:rPr>
          <w:rFonts w:hint="eastAsia" w:ascii="宋体" w:hAnsi="宋体" w:cs="宋体"/>
          <w:color w:val="auto"/>
          <w:sz w:val="21"/>
          <w:szCs w:val="21"/>
          <w:highlight w:val="none"/>
        </w:rPr>
      </w:pPr>
      <w:r>
        <w:rPr>
          <w:rFonts w:hint="eastAsia" w:ascii="宋体" w:hAnsi="宋体" w:cs="宋体"/>
          <w:color w:val="auto"/>
          <w:sz w:val="21"/>
          <w:szCs w:val="21"/>
          <w:highlight w:val="none"/>
        </w:rPr>
        <w:t>响应文件由资格文件、商务文件、报价文件和技术文件四部分组成。</w:t>
      </w:r>
    </w:p>
    <w:p w14:paraId="691CCE71">
      <w:pPr>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3.1.1资格文件：</w:t>
      </w:r>
    </w:p>
    <w:p w14:paraId="1128AB7B">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（1）供应商情况一览表；</w:t>
      </w:r>
    </w:p>
    <w:p w14:paraId="60474CC6">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（2）具有良好的商业信誉和健全的财务会计制度；</w:t>
      </w:r>
    </w:p>
    <w:p w14:paraId="2A591F86">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（3）具有依法缴纳税收和社会保障资金的良好记录；</w:t>
      </w:r>
    </w:p>
    <w:p w14:paraId="381B181E">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（4）具有履行合同所必需的设备和专业技术能力；</w:t>
      </w:r>
    </w:p>
    <w:p w14:paraId="027918D5">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（5）声明函；</w:t>
      </w:r>
    </w:p>
    <w:p w14:paraId="7ABA665D">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（6）落实政府采购政策需满足的资格要求；</w:t>
      </w:r>
    </w:p>
    <w:p w14:paraId="5BF5E676">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p w14:paraId="03972433">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（8）其他要求；</w:t>
      </w:r>
    </w:p>
    <w:p w14:paraId="58545825">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（9）其他； </w:t>
      </w:r>
    </w:p>
    <w:p w14:paraId="36C6764F">
      <w:pPr>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3.1.2商务文件</w:t>
      </w:r>
    </w:p>
    <w:p w14:paraId="70D5F1CD">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）项目管理机构配备；</w:t>
      </w:r>
    </w:p>
    <w:p w14:paraId="5AAA4B98">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）供应商完成过的类似工程业绩（如有）</w:t>
      </w:r>
    </w:p>
    <w:p w14:paraId="5222E574">
      <w:pPr>
        <w:adjustRightInd w:val="0"/>
        <w:snapToGrid w:val="0"/>
        <w:spacing w:line="360" w:lineRule="auto"/>
        <w:ind w:firstLine="474" w:firstLineChars="225"/>
        <w:rPr>
          <w:rFonts w:hint="eastAsia" w:ascii="宋体" w:hAnsi="宋体" w:cs="宋体"/>
          <w:b/>
          <w:color w:val="auto"/>
          <w:sz w:val="21"/>
          <w:szCs w:val="21"/>
          <w:highlight w:val="none"/>
        </w:rPr>
      </w:pPr>
      <w:r>
        <w:rPr>
          <w:rFonts w:hint="eastAsia" w:ascii="宋体" w:hAnsi="宋体" w:cs="宋体"/>
          <w:b/>
          <w:color w:val="auto"/>
          <w:sz w:val="21"/>
          <w:szCs w:val="21"/>
          <w:highlight w:val="none"/>
        </w:rPr>
        <w:t>3.1.3报价文件</w:t>
      </w:r>
    </w:p>
    <w:p w14:paraId="6616414E">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（1）报价一览表；</w:t>
      </w:r>
    </w:p>
    <w:p w14:paraId="1FC967D0">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）报价函；</w:t>
      </w:r>
    </w:p>
    <w:p w14:paraId="0CA053C8">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）法定代表人身份证明书；</w:t>
      </w:r>
    </w:p>
    <w:p w14:paraId="7DBAE27D">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）授权委托书；</w:t>
      </w:r>
    </w:p>
    <w:p w14:paraId="57FF01C5">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）已标价工程量清单；</w:t>
      </w:r>
    </w:p>
    <w:p w14:paraId="058FD684">
      <w:pPr>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3.1.4技术</w:t>
      </w:r>
      <w:bookmarkStart w:id="37" w:name="OLE_LINK2"/>
      <w:bookmarkStart w:id="38" w:name="OLE_LINK1"/>
      <w:r>
        <w:rPr>
          <w:rFonts w:hint="eastAsia" w:ascii="宋体" w:hAnsi="宋体" w:cs="宋体"/>
          <w:b/>
          <w:color w:val="auto"/>
          <w:sz w:val="21"/>
          <w:szCs w:val="21"/>
          <w:highlight w:val="none"/>
        </w:rPr>
        <w:t>文件</w:t>
      </w:r>
    </w:p>
    <w:p w14:paraId="7A25383A">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（1）施工组织设计</w:t>
      </w:r>
      <w:r>
        <w:rPr>
          <w:rFonts w:hint="eastAsia" w:ascii="宋体" w:hAnsi="宋体" w:cs="宋体"/>
          <w:color w:val="auto"/>
          <w:sz w:val="21"/>
          <w:szCs w:val="21"/>
          <w:highlight w:val="none"/>
          <w:lang w:eastAsia="zh-CN"/>
        </w:rPr>
        <w:t>。</w:t>
      </w:r>
    </w:p>
    <w:bookmarkEnd w:id="37"/>
    <w:bookmarkEnd w:id="38"/>
    <w:p w14:paraId="00EB04B5">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报价</w:t>
      </w:r>
    </w:p>
    <w:p w14:paraId="53203C24">
      <w:pPr>
        <w:adjustRightInd w:val="0"/>
        <w:snapToGrid w:val="0"/>
        <w:spacing w:line="360" w:lineRule="auto"/>
        <w:ind w:firstLine="495" w:firstLineChars="236"/>
        <w:rPr>
          <w:rFonts w:hint="eastAsia" w:ascii="宋体" w:hAnsi="宋体" w:cs="宋体"/>
          <w:color w:val="auto"/>
          <w:sz w:val="21"/>
          <w:szCs w:val="21"/>
          <w:highlight w:val="none"/>
        </w:rPr>
      </w:pPr>
      <w:r>
        <w:rPr>
          <w:rFonts w:hint="eastAsia" w:ascii="宋体" w:hAnsi="宋体" w:cs="宋体"/>
          <w:color w:val="auto"/>
          <w:sz w:val="21"/>
          <w:szCs w:val="21"/>
          <w:highlight w:val="none"/>
        </w:rPr>
        <w:t>3.2.1本项目最高投标限价：详见供应商须知前附表</w:t>
      </w:r>
    </w:p>
    <w:p w14:paraId="16B00740">
      <w:pPr>
        <w:adjustRightInd w:val="0"/>
        <w:snapToGrid w:val="0"/>
        <w:spacing w:line="360" w:lineRule="auto"/>
        <w:ind w:firstLine="495" w:firstLineChars="236"/>
        <w:rPr>
          <w:rFonts w:hint="eastAsia" w:ascii="宋体" w:hAnsi="宋体" w:cs="宋体"/>
          <w:color w:val="auto"/>
          <w:sz w:val="21"/>
          <w:szCs w:val="21"/>
          <w:highlight w:val="none"/>
        </w:rPr>
      </w:pPr>
      <w:r>
        <w:rPr>
          <w:rFonts w:hint="eastAsia" w:ascii="宋体" w:hAnsi="宋体" w:cs="宋体"/>
          <w:color w:val="auto"/>
          <w:sz w:val="21"/>
          <w:szCs w:val="21"/>
          <w:highlight w:val="none"/>
        </w:rPr>
        <w:t>3.2.2供应商应当按照竞争性磋商文件中提供的工程量清单和有关要求，以工程量清单综合单价方式计价。</w:t>
      </w:r>
    </w:p>
    <w:p w14:paraId="7A12DCD7">
      <w:pPr>
        <w:adjustRightInd w:val="0"/>
        <w:snapToGrid w:val="0"/>
        <w:spacing w:line="360" w:lineRule="auto"/>
        <w:ind w:firstLine="495" w:firstLineChars="236"/>
        <w:rPr>
          <w:rFonts w:hint="eastAsia" w:ascii="宋体" w:hAnsi="宋体" w:cs="宋体"/>
          <w:color w:val="auto"/>
          <w:sz w:val="21"/>
          <w:szCs w:val="21"/>
          <w:highlight w:val="none"/>
        </w:rPr>
      </w:pPr>
      <w:r>
        <w:rPr>
          <w:rFonts w:hint="eastAsia" w:ascii="宋体" w:hAnsi="宋体" w:cs="宋体"/>
          <w:color w:val="auto"/>
          <w:sz w:val="21"/>
          <w:szCs w:val="21"/>
          <w:highlight w:val="none"/>
        </w:rPr>
        <w:t>3.2.3报价为人民币含税价（元），包括项目实施和完成合同项目所需人工、材料、机械、质检（检测）、措施、运输、安装、缺陷修复、废弃物处置（包括场地选择）、管线保护、周边建筑物保护、安全文明施工、环保、管理、利润、税金、保险，并综合考虑风险费及配合费等全部费用，以及合同明示或暗示的所有责任、义务和一般风险。磋商报价不得低于其企业成本价，应以人民币报价。</w:t>
      </w:r>
    </w:p>
    <w:p w14:paraId="40AF25F5">
      <w:pPr>
        <w:adjustRightInd w:val="0"/>
        <w:snapToGrid w:val="0"/>
        <w:spacing w:line="360" w:lineRule="auto"/>
        <w:ind w:firstLine="495" w:firstLineChars="236"/>
        <w:rPr>
          <w:rFonts w:hint="eastAsia" w:ascii="宋体" w:hAnsi="宋体" w:cs="宋体"/>
          <w:color w:val="auto"/>
          <w:sz w:val="21"/>
          <w:szCs w:val="21"/>
          <w:highlight w:val="none"/>
        </w:rPr>
      </w:pPr>
      <w:r>
        <w:rPr>
          <w:rFonts w:hint="eastAsia" w:ascii="宋体" w:hAnsi="宋体" w:cs="宋体"/>
          <w:color w:val="auto"/>
          <w:sz w:val="21"/>
          <w:szCs w:val="21"/>
          <w:highlight w:val="none"/>
        </w:rPr>
        <w:t>3.2.4除采购人通知修改工程量清单中的序号、项目编码、项目名称、项目特征、计量单位、工程量外，供应商不得更改采购人提供的工程量清单，否则</w:t>
      </w:r>
      <w:r>
        <w:rPr>
          <w:rFonts w:hint="eastAsia" w:ascii="宋体" w:hAnsi="宋体" w:cs="宋体"/>
          <w:color w:val="auto"/>
          <w:sz w:val="21"/>
          <w:szCs w:val="21"/>
          <w:highlight w:val="none"/>
          <w:lang w:eastAsia="zh-CN"/>
        </w:rPr>
        <w:t>作</w:t>
      </w:r>
      <w:r>
        <w:rPr>
          <w:rFonts w:hint="eastAsia" w:ascii="宋体" w:hAnsi="宋体" w:cs="宋体"/>
          <w:color w:val="auto"/>
          <w:sz w:val="21"/>
          <w:szCs w:val="21"/>
          <w:highlight w:val="none"/>
        </w:rPr>
        <w:t>否决响应文件处理。</w:t>
      </w:r>
    </w:p>
    <w:p w14:paraId="1A4FF99A">
      <w:pPr>
        <w:adjustRightInd w:val="0"/>
        <w:snapToGrid w:val="0"/>
        <w:spacing w:line="360" w:lineRule="auto"/>
        <w:ind w:firstLine="495" w:firstLineChars="236"/>
        <w:rPr>
          <w:rFonts w:hint="eastAsia" w:ascii="宋体" w:hAnsi="宋体" w:cs="宋体"/>
          <w:color w:val="auto"/>
          <w:sz w:val="21"/>
          <w:szCs w:val="21"/>
          <w:highlight w:val="none"/>
        </w:rPr>
      </w:pPr>
      <w:r>
        <w:rPr>
          <w:rFonts w:hint="eastAsia" w:ascii="宋体" w:hAnsi="宋体" w:cs="宋体"/>
          <w:color w:val="auto"/>
          <w:sz w:val="21"/>
          <w:szCs w:val="21"/>
          <w:highlight w:val="none"/>
        </w:rPr>
        <w:t>3.2.5供应商可先到工地踏勘以充分了解工地位置、情况、道路、储存空间。装卸限制及任何其他足以影响承包价的情况，任何因忽视或误解工地情况而导致的索赔或工期延长申请将不被批准。供应商在进行磋商报价时，应充分考虑施工现场条件的限制，结合自身情况合理编制磋商报价。</w:t>
      </w:r>
    </w:p>
    <w:p w14:paraId="09275B5F">
      <w:pPr>
        <w:adjustRightInd w:val="0"/>
        <w:snapToGrid w:val="0"/>
        <w:spacing w:line="360" w:lineRule="auto"/>
        <w:ind w:firstLine="495" w:firstLineChars="236"/>
        <w:rPr>
          <w:rFonts w:hint="eastAsia" w:ascii="宋体" w:hAnsi="宋体" w:cs="宋体"/>
          <w:color w:val="auto"/>
          <w:sz w:val="21"/>
          <w:szCs w:val="21"/>
          <w:highlight w:val="none"/>
        </w:rPr>
      </w:pPr>
      <w:r>
        <w:rPr>
          <w:rFonts w:hint="eastAsia" w:ascii="宋体" w:hAnsi="宋体" w:cs="宋体"/>
          <w:color w:val="auto"/>
          <w:sz w:val="21"/>
          <w:szCs w:val="21"/>
          <w:highlight w:val="none"/>
        </w:rPr>
        <w:t>3.2.6本项目采购人设暂列金额（若有）（暂列金额：指采购人在工程量清单中暂定并包括在合同价款中的一笔款项，不直接</w:t>
      </w:r>
      <w:r>
        <w:rPr>
          <w:rFonts w:hint="eastAsia" w:ascii="宋体" w:hAnsi="宋体" w:cs="宋体"/>
          <w:color w:val="auto"/>
          <w:sz w:val="21"/>
          <w:szCs w:val="21"/>
          <w:highlight w:val="none"/>
          <w:lang w:eastAsia="zh-CN"/>
        </w:rPr>
        <w:t>属于</w:t>
      </w:r>
      <w:r>
        <w:rPr>
          <w:rFonts w:hint="eastAsia" w:ascii="宋体" w:hAnsi="宋体" w:cs="宋体"/>
          <w:color w:val="auto"/>
          <w:sz w:val="21"/>
          <w:szCs w:val="21"/>
          <w:highlight w:val="none"/>
        </w:rPr>
        <w:t>承包人所有，而是由发包人暂定并掌握使用的一笔款项，用于施工合同签订时尚未确定或者不可预见的所需材料、设备、服务的采购，施工中可能发生的工程变更、合同约定调整因素出现时的工程价款调整以及发生的索赔、确认等的费用），暂列金计入采购人部分，为不可竞争费用，磋商申请人在磋商报价中不得做随意调整，否则，视其响应文件为无效文件；</w:t>
      </w:r>
    </w:p>
    <w:p w14:paraId="45E8F77F">
      <w:pPr>
        <w:adjustRightInd w:val="0"/>
        <w:snapToGrid w:val="0"/>
        <w:spacing w:line="360" w:lineRule="auto"/>
        <w:ind w:firstLine="495" w:firstLineChars="236"/>
        <w:rPr>
          <w:rFonts w:hint="eastAsia" w:ascii="宋体" w:hAnsi="宋体" w:cs="宋体"/>
          <w:color w:val="auto"/>
          <w:sz w:val="21"/>
          <w:szCs w:val="21"/>
          <w:highlight w:val="none"/>
        </w:rPr>
      </w:pPr>
      <w:r>
        <w:rPr>
          <w:rFonts w:hint="eastAsia" w:ascii="宋体" w:hAnsi="宋体" w:cs="宋体"/>
          <w:color w:val="auto"/>
          <w:sz w:val="21"/>
          <w:szCs w:val="21"/>
          <w:highlight w:val="none"/>
        </w:rPr>
        <w:t>3.2.7本项目工程量清单表中公布的工程量清单综合单价上限价的（若有），磋商申请人报价时不得超过上限价，否则，视其响应文件为无效文件；</w:t>
      </w:r>
    </w:p>
    <w:p w14:paraId="156B8E84">
      <w:pPr>
        <w:adjustRightInd w:val="0"/>
        <w:snapToGrid w:val="0"/>
        <w:spacing w:line="360" w:lineRule="auto"/>
        <w:ind w:firstLine="495" w:firstLineChars="236"/>
        <w:rPr>
          <w:rFonts w:hint="eastAsia" w:ascii="宋体" w:hAnsi="宋体" w:cs="宋体"/>
          <w:color w:val="auto"/>
          <w:sz w:val="21"/>
          <w:szCs w:val="21"/>
          <w:highlight w:val="none"/>
        </w:rPr>
      </w:pPr>
      <w:r>
        <w:rPr>
          <w:rFonts w:hint="eastAsia" w:ascii="宋体" w:hAnsi="宋体" w:cs="宋体"/>
          <w:color w:val="auto"/>
          <w:sz w:val="21"/>
          <w:szCs w:val="21"/>
          <w:highlight w:val="none"/>
        </w:rPr>
        <w:t>3.2.8工程量清单中标注的专业工程暂估价或暂定价材料价（若有）磋商申请人在磋商报价时不得调整，否则，视其响应文件为无效响应文件。</w:t>
      </w:r>
    </w:p>
    <w:p w14:paraId="5A472D73">
      <w:pPr>
        <w:adjustRightInd w:val="0"/>
        <w:snapToGrid w:val="0"/>
        <w:spacing w:line="360" w:lineRule="auto"/>
        <w:ind w:firstLine="495" w:firstLineChars="236"/>
        <w:rPr>
          <w:rFonts w:hint="eastAsia" w:ascii="宋体" w:hAnsi="宋体" w:cs="宋体"/>
          <w:color w:val="auto"/>
          <w:sz w:val="21"/>
          <w:szCs w:val="21"/>
          <w:highlight w:val="none"/>
        </w:rPr>
      </w:pPr>
      <w:r>
        <w:rPr>
          <w:rFonts w:hint="eastAsia" w:ascii="宋体" w:hAnsi="宋体" w:cs="宋体"/>
          <w:color w:val="auto"/>
          <w:sz w:val="21"/>
          <w:szCs w:val="21"/>
          <w:highlight w:val="none"/>
        </w:rPr>
        <w:t>3.2.9通过资格审查和符合性审查的供应商才能进入磋商程序并进行第二轮报价，第二轮报价为最终报价。</w:t>
      </w:r>
    </w:p>
    <w:p w14:paraId="77A78A43">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3.3磋商有效期</w:t>
      </w:r>
    </w:p>
    <w:p w14:paraId="71702559">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3.3.1 在供应商须知前附表规定的磋商有效期内，供应商不得要求撤销或修改其响应文件。</w:t>
      </w:r>
    </w:p>
    <w:p w14:paraId="7655AEA8">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3.3.2出现特殊情况需要延长磋商有效期的，采购人登录“政采云”平台通知所有供应商延长磋商有效期。供应商同意延长的，应相应延长其磋商保证金（如有）的有效期，但不得要求或被允许修改或撤销其响应文件；供应商拒绝延长的，其报价失效，但供应商有权收回其磋商保证金。</w:t>
      </w:r>
    </w:p>
    <w:p w14:paraId="501A4F74">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3.4磋商保证金</w:t>
      </w:r>
    </w:p>
    <w:p w14:paraId="1C66E8B0">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3.4.1 供应商在递交响应文件的同时，应按供应商须知前附表规定的金额、担保形式递交磋商保证金，并作为其响应文件的组成部分。</w:t>
      </w:r>
    </w:p>
    <w:p w14:paraId="32F96FB8">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3.4.2 供应商不按本章第3.4.1项要求提交磋商保证金的，其响应文件作否决处理。</w:t>
      </w:r>
    </w:p>
    <w:p w14:paraId="263FC022">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3.4.3采购人或者采购代理机构应当在采购活动结束后及时退还供应商的保证金，但因供应商自身原因导致无法及时退还的除外。未成交供应商的保证金应当在成交通知书发出后5个工作日内退还，成交供应商的保证金应当在采购合同签订后5个工作日内退还。</w:t>
      </w:r>
    </w:p>
    <w:p w14:paraId="76BAAD78">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3.4.4 有下列情形之一的，保证金不予退还：</w:t>
      </w:r>
    </w:p>
    <w:p w14:paraId="729DBB9E">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（一）供应商在提交响应文件截止时间后撤回响应文件的；</w:t>
      </w:r>
    </w:p>
    <w:p w14:paraId="28339350">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（二）供应商在响应文件中提供虚假材料的；</w:t>
      </w:r>
    </w:p>
    <w:p w14:paraId="5DA721BA">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（三）除因不可抗力或磋商文件、询价通知书认可的情形以外，成交供应商不与采购人签订合同的；</w:t>
      </w:r>
    </w:p>
    <w:p w14:paraId="6FC5C937">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（四）供应商与采购人、其他供应商或者采购代理机构恶意串通的；</w:t>
      </w:r>
    </w:p>
    <w:p w14:paraId="11C52B5C">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（五）采购文件规定的其他情形。</w:t>
      </w:r>
    </w:p>
    <w:p w14:paraId="541D1CF2">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凡供应商已缴纳了磋商保证金，而无故不参加竞争性磋商的供应商，采购人保留对其磋商保证金予以扣除的权利。</w:t>
      </w:r>
    </w:p>
    <w:p w14:paraId="7BEC566A">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3.5资格审查</w:t>
      </w:r>
    </w:p>
    <w:p w14:paraId="34BC0CEE">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3.5.1“供应商情况一览表”应附供应商营业执照、资质证书等材料的扫描件。</w:t>
      </w:r>
    </w:p>
    <w:p w14:paraId="2D48DA02">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3.5.2 本项目资格审查采用合格制审查方法。</w:t>
      </w:r>
    </w:p>
    <w:p w14:paraId="5EE04682">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3.6备选方案</w:t>
      </w:r>
    </w:p>
    <w:p w14:paraId="5CFDC384">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本项目不接受备选方案。</w:t>
      </w:r>
    </w:p>
    <w:p w14:paraId="0E427413">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3.7响应文件的编制</w:t>
      </w:r>
    </w:p>
    <w:p w14:paraId="266BBD91">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3.7.1响应文件应按第七章“响应文件格式”进行编写，如有必要，可以增加附页，作为响应文件的组成部分。</w:t>
      </w:r>
    </w:p>
    <w:p w14:paraId="0E543427">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3.7.2响应文件应当对竞争性磋商文件有关报价、合同履行期限等实质性内容</w:t>
      </w:r>
      <w:r>
        <w:rPr>
          <w:rFonts w:hint="eastAsia" w:ascii="宋体" w:hAnsi="宋体" w:cs="宋体"/>
          <w:color w:val="auto"/>
          <w:sz w:val="21"/>
          <w:szCs w:val="21"/>
          <w:highlight w:val="none"/>
          <w:lang w:eastAsia="zh-CN"/>
        </w:rPr>
        <w:t>作出</w:t>
      </w:r>
      <w:r>
        <w:rPr>
          <w:rFonts w:hint="eastAsia" w:ascii="宋体" w:hAnsi="宋体" w:cs="宋体"/>
          <w:color w:val="auto"/>
          <w:sz w:val="21"/>
          <w:szCs w:val="21"/>
          <w:highlight w:val="none"/>
        </w:rPr>
        <w:t>响应。</w:t>
      </w:r>
    </w:p>
    <w:p w14:paraId="4F6172CA">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3.7.3响应文件的签署：见供应商须知前附表。</w:t>
      </w:r>
    </w:p>
    <w:p w14:paraId="687D992E">
      <w:pPr>
        <w:pStyle w:val="3"/>
        <w:adjustRightInd w:val="0"/>
        <w:snapToGrid w:val="0"/>
        <w:spacing w:before="0" w:after="0" w:line="360" w:lineRule="auto"/>
        <w:jc w:val="center"/>
        <w:rPr>
          <w:rFonts w:hint="eastAsia" w:ascii="宋体" w:hAnsi="宋体" w:eastAsia="宋体" w:cs="宋体"/>
          <w:color w:val="auto"/>
          <w:sz w:val="21"/>
          <w:szCs w:val="21"/>
          <w:highlight w:val="none"/>
        </w:rPr>
      </w:pPr>
      <w:bookmarkStart w:id="39" w:name="_Toc31101"/>
      <w:bookmarkStart w:id="40" w:name="_Toc16988"/>
      <w:bookmarkStart w:id="41" w:name="_Toc31497"/>
      <w:bookmarkStart w:id="42" w:name="_Toc179912205"/>
      <w:bookmarkStart w:id="43" w:name="_Toc14817"/>
      <w:r>
        <w:rPr>
          <w:rFonts w:hint="eastAsia" w:ascii="宋体" w:hAnsi="宋体" w:eastAsia="宋体" w:cs="宋体"/>
          <w:color w:val="auto"/>
          <w:sz w:val="21"/>
          <w:szCs w:val="21"/>
          <w:highlight w:val="none"/>
        </w:rPr>
        <w:t>4．</w:t>
      </w:r>
      <w:bookmarkEnd w:id="39"/>
      <w:r>
        <w:rPr>
          <w:rFonts w:hint="eastAsia" w:ascii="宋体" w:hAnsi="宋体" w:eastAsia="宋体" w:cs="宋体"/>
          <w:color w:val="auto"/>
          <w:sz w:val="21"/>
          <w:szCs w:val="21"/>
          <w:highlight w:val="none"/>
        </w:rPr>
        <w:t>响应文件的</w:t>
      </w:r>
      <w:bookmarkEnd w:id="40"/>
      <w:bookmarkEnd w:id="41"/>
      <w:r>
        <w:rPr>
          <w:rFonts w:hint="eastAsia" w:ascii="宋体" w:hAnsi="宋体" w:eastAsia="宋体" w:cs="宋体"/>
          <w:color w:val="auto"/>
          <w:sz w:val="21"/>
          <w:szCs w:val="21"/>
          <w:highlight w:val="none"/>
        </w:rPr>
        <w:t>上传</w:t>
      </w:r>
      <w:bookmarkEnd w:id="42"/>
      <w:bookmarkEnd w:id="43"/>
    </w:p>
    <w:p w14:paraId="356A65D5">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响应文件的上传</w:t>
      </w:r>
    </w:p>
    <w:p w14:paraId="4DD17A57">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应在“供应商须知前附表”第2.2.2项规定的响应文件（首次响应性文件）递交截止时间前将电子响应文件上传到“政采云”平台（https://www.zcygov.cn），未按规定在响应文件递交截止时间前上传响应文件的，视为撤回其响应文件。</w:t>
      </w:r>
    </w:p>
    <w:p w14:paraId="784F2CE6">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响应文件的递交</w:t>
      </w:r>
    </w:p>
    <w:p w14:paraId="107A76D5">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4.2.1 供应商应在规定的响应文件递交截止时间前递交响应文件。</w:t>
      </w:r>
    </w:p>
    <w:p w14:paraId="452D85D9">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 供应商递交响应文件的地点：见供应商须知前附表。</w:t>
      </w:r>
    </w:p>
    <w:p w14:paraId="7E749FB5">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4.2.3 除供应商须知前附表另有规定外，供应商所递交的响应文件不予退还。</w:t>
      </w:r>
    </w:p>
    <w:p w14:paraId="5B1FE6B4">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 逾期送达的响应文件，采购人不予受理。</w:t>
      </w:r>
    </w:p>
    <w:p w14:paraId="71E25C48">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4.3响应文件的补充、修改</w:t>
      </w:r>
    </w:p>
    <w:p w14:paraId="13FB2EA5">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4.3.1在响应文件（首次响应性文件）递交截止时</w:t>
      </w:r>
      <w:r>
        <w:rPr>
          <w:rFonts w:hint="eastAsia" w:ascii="宋体" w:hAnsi="宋体" w:cs="宋体"/>
          <w:color w:val="auto"/>
          <w:sz w:val="21"/>
          <w:szCs w:val="21"/>
          <w:highlight w:val="none"/>
          <w:lang w:eastAsia="zh-CN"/>
        </w:rPr>
        <w:t>间之</w:t>
      </w:r>
      <w:r>
        <w:rPr>
          <w:rFonts w:hint="eastAsia" w:ascii="宋体" w:hAnsi="宋体" w:cs="宋体"/>
          <w:color w:val="auto"/>
          <w:sz w:val="21"/>
          <w:szCs w:val="21"/>
          <w:highlight w:val="none"/>
        </w:rPr>
        <w:t>前，供应商可以补充、修改或者撤回响应文件。补充或者修改响应文件的，应当先行撤回原文件，补充、修改后重新上传、递交。</w:t>
      </w:r>
    </w:p>
    <w:p w14:paraId="2639266B">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4.3.2在提交响应文件截止时间后到竞争性磋商文件规定的磋商有效期终止之前，供应商不得自行补充、修改、替代或者撤回响应文件。</w:t>
      </w:r>
    </w:p>
    <w:p w14:paraId="79838C5E">
      <w:pPr>
        <w:pStyle w:val="3"/>
        <w:adjustRightInd w:val="0"/>
        <w:snapToGrid w:val="0"/>
        <w:spacing w:before="0" w:after="0" w:line="360" w:lineRule="auto"/>
        <w:jc w:val="center"/>
        <w:rPr>
          <w:rFonts w:hint="eastAsia" w:ascii="宋体" w:hAnsi="宋体" w:eastAsia="宋体" w:cs="宋体"/>
          <w:color w:val="auto"/>
          <w:sz w:val="21"/>
          <w:szCs w:val="21"/>
          <w:highlight w:val="none"/>
        </w:rPr>
      </w:pPr>
      <w:bookmarkStart w:id="44" w:name="_Toc6158"/>
      <w:bookmarkStart w:id="45" w:name="_Toc8351"/>
      <w:bookmarkStart w:id="46" w:name="_Toc29339"/>
      <w:bookmarkStart w:id="47" w:name="_Toc14022"/>
      <w:bookmarkStart w:id="48" w:name="_Toc179912206"/>
      <w:r>
        <w:rPr>
          <w:rFonts w:hint="eastAsia" w:ascii="宋体" w:hAnsi="宋体" w:eastAsia="宋体" w:cs="宋体"/>
          <w:color w:val="auto"/>
          <w:sz w:val="21"/>
          <w:szCs w:val="21"/>
          <w:highlight w:val="none"/>
        </w:rPr>
        <w:t>5．</w:t>
      </w:r>
      <w:bookmarkEnd w:id="44"/>
      <w:r>
        <w:rPr>
          <w:rFonts w:hint="eastAsia" w:ascii="宋体" w:hAnsi="宋体" w:eastAsia="宋体" w:cs="宋体"/>
          <w:color w:val="auto"/>
          <w:sz w:val="21"/>
          <w:szCs w:val="21"/>
          <w:highlight w:val="none"/>
        </w:rPr>
        <w:t>响应文件的接收</w:t>
      </w:r>
      <w:bookmarkEnd w:id="45"/>
      <w:bookmarkEnd w:id="46"/>
      <w:bookmarkEnd w:id="47"/>
      <w:bookmarkEnd w:id="48"/>
    </w:p>
    <w:p w14:paraId="46ACE683">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5.1磋商时间和地点</w:t>
      </w:r>
    </w:p>
    <w:p w14:paraId="72140CDF">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见供应商须知前附表。</w:t>
      </w:r>
    </w:p>
    <w:p w14:paraId="063ECCB0">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5.2开启程序</w:t>
      </w:r>
    </w:p>
    <w:p w14:paraId="323F3136">
      <w:pPr>
        <w:adjustRightInd w:val="0"/>
        <w:snapToGrid w:val="0"/>
        <w:spacing w:line="360" w:lineRule="auto"/>
        <w:ind w:firstLine="485" w:firstLineChars="231"/>
        <w:rPr>
          <w:rFonts w:hint="eastAsia" w:ascii="宋体" w:hAnsi="宋体" w:cs="宋体"/>
          <w:color w:val="auto"/>
          <w:sz w:val="21"/>
          <w:szCs w:val="21"/>
          <w:highlight w:val="none"/>
        </w:rPr>
      </w:pPr>
      <w:r>
        <w:rPr>
          <w:rFonts w:hint="eastAsia" w:ascii="宋体" w:hAnsi="宋体" w:cs="宋体"/>
          <w:color w:val="auto"/>
          <w:sz w:val="21"/>
          <w:szCs w:val="21"/>
          <w:highlight w:val="none"/>
        </w:rPr>
        <w:t>见供应商须知前附表。</w:t>
      </w:r>
    </w:p>
    <w:p w14:paraId="3D4FC414">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5.3响应文件的有效性</w:t>
      </w:r>
    </w:p>
    <w:p w14:paraId="3821F67A">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响应文件出现下列情形之一的，应当作为无效响应文件，不得进入评审：</w:t>
      </w:r>
    </w:p>
    <w:p w14:paraId="09F97D8A">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5.3.1逾期上传政采云平台的或者未上传至指定网址的；</w:t>
      </w:r>
    </w:p>
    <w:p w14:paraId="4351DB18">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5.3.2响应文件未按照本须知第4.1条及供应商须知前附表要求上传的；</w:t>
      </w:r>
    </w:p>
    <w:p w14:paraId="364EF7E5">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5.3.3因供应商原因造成响应文件未解密或上传不成功的。</w:t>
      </w:r>
    </w:p>
    <w:p w14:paraId="0E88CD4F">
      <w:pPr>
        <w:pStyle w:val="3"/>
        <w:adjustRightInd w:val="0"/>
        <w:snapToGrid w:val="0"/>
        <w:spacing w:before="0" w:after="0" w:line="360" w:lineRule="auto"/>
        <w:jc w:val="center"/>
        <w:rPr>
          <w:rFonts w:hint="eastAsia" w:ascii="宋体" w:hAnsi="宋体" w:eastAsia="宋体" w:cs="宋体"/>
          <w:color w:val="auto"/>
          <w:sz w:val="21"/>
          <w:szCs w:val="21"/>
          <w:highlight w:val="none"/>
        </w:rPr>
      </w:pPr>
      <w:bookmarkStart w:id="49" w:name="_Toc1857"/>
      <w:bookmarkStart w:id="50" w:name="_Toc21904"/>
      <w:bookmarkStart w:id="51" w:name="_Toc11544"/>
      <w:bookmarkStart w:id="52" w:name="_Toc179912207"/>
      <w:bookmarkStart w:id="53" w:name="_Toc23468"/>
      <w:r>
        <w:rPr>
          <w:rFonts w:hint="eastAsia" w:ascii="宋体" w:hAnsi="宋体" w:eastAsia="宋体" w:cs="宋体"/>
          <w:color w:val="auto"/>
          <w:sz w:val="21"/>
          <w:szCs w:val="21"/>
          <w:highlight w:val="none"/>
        </w:rPr>
        <w:t>6．磋商评审</w:t>
      </w:r>
      <w:bookmarkEnd w:id="49"/>
      <w:bookmarkEnd w:id="50"/>
      <w:bookmarkEnd w:id="51"/>
      <w:bookmarkEnd w:id="52"/>
      <w:bookmarkEnd w:id="53"/>
    </w:p>
    <w:p w14:paraId="3138FD42">
      <w:pPr>
        <w:pStyle w:val="6"/>
        <w:adjustRightInd w:val="0"/>
        <w:snapToGrid w:val="0"/>
        <w:spacing w:before="0" w:after="0" w:line="360" w:lineRule="auto"/>
        <w:rPr>
          <w:rFonts w:hint="eastAsia" w:ascii="宋体" w:hAnsi="宋体" w:eastAsia="宋体" w:cs="宋体"/>
          <w:color w:val="auto"/>
          <w:sz w:val="21"/>
          <w:szCs w:val="21"/>
          <w:highlight w:val="none"/>
        </w:rPr>
      </w:pPr>
      <w:bookmarkStart w:id="54" w:name="_Toc8240"/>
      <w:bookmarkStart w:id="55" w:name="_Toc23771"/>
      <w:bookmarkStart w:id="56" w:name="_Toc8275"/>
      <w:bookmarkStart w:id="57" w:name="_Toc15908"/>
      <w:r>
        <w:rPr>
          <w:rFonts w:hint="eastAsia" w:ascii="宋体" w:hAnsi="宋体" w:eastAsia="宋体" w:cs="宋体"/>
          <w:color w:val="auto"/>
          <w:sz w:val="21"/>
          <w:szCs w:val="21"/>
          <w:highlight w:val="none"/>
        </w:rPr>
        <w:t>6.1磋商</w:t>
      </w:r>
      <w:bookmarkEnd w:id="54"/>
      <w:bookmarkEnd w:id="55"/>
      <w:bookmarkEnd w:id="56"/>
      <w:bookmarkEnd w:id="57"/>
    </w:p>
    <w:p w14:paraId="7258913C">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6.1.1采购代理机构将在第5.1条规定的时间和地点进行磋商。</w:t>
      </w:r>
    </w:p>
    <w:p w14:paraId="4AC896D8">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6.1.2磋商由磋商小组负责，磋商小组由采购人依法组建，成员人数应当为3人及以上单数。其中，技术、经济等方面的专家不得少于成员总数的三分之二。磋商应当推选组长，但采购人代表不得担任组长。</w:t>
      </w:r>
    </w:p>
    <w:p w14:paraId="0C4FB39D">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6.1.3采购人委派代表参加磋商会议的，要向采购代理机构出具授权函。</w:t>
      </w:r>
    </w:p>
    <w:p w14:paraId="68AA4B06">
      <w:pPr>
        <w:pStyle w:val="6"/>
        <w:adjustRightInd w:val="0"/>
        <w:snapToGrid w:val="0"/>
        <w:spacing w:before="0" w:after="0" w:line="360" w:lineRule="auto"/>
        <w:rPr>
          <w:rFonts w:hint="eastAsia" w:ascii="宋体" w:hAnsi="宋体" w:eastAsia="宋体" w:cs="宋体"/>
          <w:color w:val="auto"/>
          <w:sz w:val="21"/>
          <w:szCs w:val="21"/>
          <w:highlight w:val="none"/>
        </w:rPr>
      </w:pPr>
      <w:bookmarkStart w:id="58" w:name="_Toc23608"/>
      <w:bookmarkStart w:id="59" w:name="_Toc26610"/>
      <w:bookmarkStart w:id="60" w:name="_Toc8387"/>
      <w:bookmarkStart w:id="61" w:name="_Toc18709"/>
      <w:r>
        <w:rPr>
          <w:rFonts w:hint="eastAsia" w:ascii="宋体" w:hAnsi="宋体" w:eastAsia="宋体" w:cs="宋体"/>
          <w:color w:val="auto"/>
          <w:sz w:val="21"/>
          <w:szCs w:val="21"/>
          <w:highlight w:val="none"/>
        </w:rPr>
        <w:t>6.2 磋商原则</w:t>
      </w:r>
      <w:bookmarkEnd w:id="58"/>
      <w:bookmarkEnd w:id="59"/>
      <w:bookmarkEnd w:id="60"/>
      <w:bookmarkEnd w:id="61"/>
    </w:p>
    <w:p w14:paraId="680D1FD6">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磋商小组对各供应商的响应文件进行详细评审。磋商小组按照得分的高低推荐成交候选人，推荐成交候选人3人，并标明排列顺序。</w:t>
      </w:r>
    </w:p>
    <w:p w14:paraId="5A8B3BD8">
      <w:pPr>
        <w:pStyle w:val="6"/>
        <w:adjustRightInd w:val="0"/>
        <w:snapToGrid w:val="0"/>
        <w:spacing w:before="0" w:after="0" w:line="360" w:lineRule="auto"/>
        <w:rPr>
          <w:rFonts w:hint="eastAsia" w:ascii="宋体" w:hAnsi="宋体" w:eastAsia="宋体" w:cs="宋体"/>
          <w:color w:val="auto"/>
          <w:sz w:val="21"/>
          <w:szCs w:val="21"/>
          <w:highlight w:val="none"/>
        </w:rPr>
      </w:pPr>
      <w:bookmarkStart w:id="62" w:name="_Toc15422"/>
      <w:bookmarkStart w:id="63" w:name="_Toc17499"/>
      <w:bookmarkStart w:id="64" w:name="_Toc2788"/>
      <w:bookmarkStart w:id="65" w:name="_Toc5921"/>
      <w:r>
        <w:rPr>
          <w:rFonts w:hint="eastAsia" w:ascii="宋体" w:hAnsi="宋体" w:eastAsia="宋体" w:cs="宋体"/>
          <w:color w:val="auto"/>
          <w:sz w:val="21"/>
          <w:szCs w:val="21"/>
          <w:highlight w:val="none"/>
        </w:rPr>
        <w:t>6.3 磋商程序和方法</w:t>
      </w:r>
      <w:bookmarkEnd w:id="62"/>
      <w:bookmarkEnd w:id="63"/>
      <w:bookmarkEnd w:id="64"/>
      <w:bookmarkEnd w:id="65"/>
    </w:p>
    <w:p w14:paraId="2A83A4E9">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磋商小组按照第三章“磋商程序和方法”规定的方法、因素、标准和程序进行磋商。</w:t>
      </w:r>
    </w:p>
    <w:p w14:paraId="175A5783">
      <w:pPr>
        <w:pStyle w:val="3"/>
        <w:adjustRightInd w:val="0"/>
        <w:snapToGrid w:val="0"/>
        <w:spacing w:before="0" w:after="0" w:line="360" w:lineRule="auto"/>
        <w:jc w:val="center"/>
        <w:rPr>
          <w:rFonts w:hint="default" w:ascii="宋体" w:hAnsi="宋体" w:eastAsia="宋体" w:cs="宋体"/>
          <w:color w:val="auto"/>
          <w:sz w:val="21"/>
          <w:szCs w:val="21"/>
          <w:highlight w:val="none"/>
          <w:lang w:val="en-US" w:eastAsia="zh-CN"/>
        </w:rPr>
      </w:pPr>
      <w:bookmarkStart w:id="66" w:name="_Toc21393"/>
      <w:bookmarkStart w:id="67" w:name="_Toc179912208"/>
      <w:bookmarkStart w:id="68" w:name="_Toc166951681"/>
      <w:bookmarkStart w:id="69" w:name="_Toc16437"/>
      <w:bookmarkStart w:id="70" w:name="_Toc17076"/>
      <w:bookmarkStart w:id="71" w:name="_Toc29834"/>
      <w:r>
        <w:rPr>
          <w:rFonts w:hint="eastAsia" w:ascii="宋体" w:hAnsi="宋体" w:eastAsia="宋体" w:cs="宋体"/>
          <w:color w:val="auto"/>
          <w:sz w:val="21"/>
          <w:szCs w:val="21"/>
          <w:highlight w:val="none"/>
        </w:rPr>
        <w:t>7．</w:t>
      </w:r>
      <w:bookmarkEnd w:id="66"/>
      <w:bookmarkEnd w:id="67"/>
      <w:bookmarkEnd w:id="68"/>
      <w:bookmarkEnd w:id="69"/>
      <w:bookmarkEnd w:id="70"/>
      <w:bookmarkEnd w:id="71"/>
      <w:r>
        <w:rPr>
          <w:rFonts w:hint="eastAsia" w:ascii="宋体" w:hAnsi="宋体" w:eastAsia="宋体" w:cs="宋体"/>
          <w:color w:val="auto"/>
          <w:sz w:val="21"/>
          <w:szCs w:val="21"/>
          <w:highlight w:val="none"/>
          <w:lang w:val="en-US" w:eastAsia="zh-CN"/>
        </w:rPr>
        <w:t>成交结果</w:t>
      </w:r>
    </w:p>
    <w:p w14:paraId="57F2285F">
      <w:pPr>
        <w:tabs>
          <w:tab w:val="left" w:pos="7980"/>
        </w:tabs>
        <w:spacing w:line="360" w:lineRule="auto"/>
        <w:ind w:firstLine="422" w:firstLineChars="200"/>
        <w:rPr>
          <w:rFonts w:hint="eastAsia" w:ascii="宋体" w:hAnsi="宋体" w:eastAsia="宋体" w:cs="宋体"/>
          <w:b/>
          <w:bCs/>
          <w:color w:val="auto"/>
          <w:sz w:val="21"/>
          <w:szCs w:val="21"/>
          <w:highlight w:val="none"/>
        </w:rPr>
      </w:pPr>
      <w:bookmarkStart w:id="72" w:name="_Toc176849062"/>
      <w:bookmarkStart w:id="73" w:name="_Toc171483106"/>
      <w:r>
        <w:rPr>
          <w:rFonts w:hint="eastAsia" w:ascii="宋体" w:hAnsi="宋体" w:eastAsia="宋体" w:cs="宋体"/>
          <w:b/>
          <w:bCs/>
          <w:color w:val="auto"/>
          <w:sz w:val="21"/>
          <w:szCs w:val="21"/>
          <w:highlight w:val="none"/>
        </w:rPr>
        <w:t>7.1成交人的确定</w:t>
      </w:r>
    </w:p>
    <w:p w14:paraId="000399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7.1.1采购代理机构在评审结束后2个工作日内将评审报告送采购人确认。</w:t>
      </w:r>
    </w:p>
    <w:p w14:paraId="20796120">
      <w:pPr>
        <w:spacing w:line="360" w:lineRule="auto"/>
        <w:ind w:firstLine="420" w:firstLineChars="200"/>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7.1.2采购人应当在收到评审报告后5个工作日内，从评审报告提出的成交候选人中，按照综合得分由高到低的原则确定成交供应商。</w:t>
      </w:r>
    </w:p>
    <w:p w14:paraId="5632F54D">
      <w:pPr>
        <w:tabs>
          <w:tab w:val="left" w:pos="7980"/>
        </w:tabs>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7.2 成交通知书</w:t>
      </w:r>
    </w:p>
    <w:p w14:paraId="7BF972C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7.2.1采购代理机构将在成交供应商确定后2个工作日内，在指定网站上公告，公告</w:t>
      </w:r>
      <w:r>
        <w:rPr>
          <w:rFonts w:hint="eastAsia" w:ascii="宋体" w:hAnsi="宋体" w:cs="宋体"/>
          <w:color w:val="auto"/>
          <w:sz w:val="21"/>
          <w:szCs w:val="21"/>
          <w:highlight w:val="none"/>
          <w:lang w:eastAsia="zh-CN"/>
        </w:rPr>
        <w:t>期为</w:t>
      </w:r>
      <w:r>
        <w:rPr>
          <w:rFonts w:hint="eastAsia" w:ascii="宋体" w:hAnsi="宋体" w:eastAsia="宋体" w:cs="宋体"/>
          <w:color w:val="auto"/>
          <w:sz w:val="21"/>
          <w:szCs w:val="21"/>
          <w:highlight w:val="none"/>
        </w:rPr>
        <w:t>1个工作日，同时向成交供应商发出成交通知书。</w:t>
      </w:r>
    </w:p>
    <w:p w14:paraId="2BB569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7.2.2成交通知书是合同的一个组成部分。</w:t>
      </w:r>
    </w:p>
    <w:p w14:paraId="698CF9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7.2.3除不可抗力等因素外，成交通知书发出后，采购人改变成交结果，或者成交供应商拒绝签订采购合同的，应当承担相应的法律责任。</w:t>
      </w:r>
    </w:p>
    <w:p w14:paraId="6039AC4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7.2.4采购代理机构无义务向未成交供应商解释未成交原因和退回响应文件。</w:t>
      </w:r>
    </w:p>
    <w:p w14:paraId="4C68BF5C">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履约担保</w:t>
      </w:r>
    </w:p>
    <w:p w14:paraId="6981FF71">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履约担保的形式：见供应商须知前附表。</w:t>
      </w:r>
    </w:p>
    <w:p w14:paraId="3B3175C8">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履约担保的金额：见供应商须知前附表。</w:t>
      </w:r>
    </w:p>
    <w:p w14:paraId="73804A6D">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中标人应当向采购人提交履约保证金，履约保证金不得超过中标合同金额的10%。</w:t>
      </w:r>
    </w:p>
    <w:p w14:paraId="1BB43076">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退还原则：银行转账履约保证金待项目完工并通过验收后一次性无息退还，银行保函、保证保险自动失效。</w:t>
      </w:r>
    </w:p>
    <w:p w14:paraId="6AB3D1E4">
      <w:pPr>
        <w:pStyle w:val="6"/>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7.4合同的签订</w:t>
      </w:r>
    </w:p>
    <w:p w14:paraId="0F880C6B">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7.4.1采购人和成交人应当自成交通知书发出之日起30天内，根据竞争性磋商文件和成交人的响应文件订立书面合同。成交人无正当理由拒签合同的，采购人取消其成交资格，其磋商保证金（如有）不予退还；给采购人造成的损失超过磋商保证金数额的，成交人还应当对超过部分予以赔偿。</w:t>
      </w:r>
    </w:p>
    <w:p w14:paraId="7151309F">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7.4.2发出成交通知书后，采购人无正当理由拒签合同的，采购人向成交人退还磋商保证金（如有）；给成交人造成损失的，还应当赔偿损失。</w:t>
      </w:r>
    </w:p>
    <w:p w14:paraId="52C3361A">
      <w:pPr>
        <w:pStyle w:val="3"/>
        <w:adjustRightInd w:val="0"/>
        <w:snapToGrid w:val="0"/>
        <w:spacing w:before="0" w:after="0" w:line="360" w:lineRule="auto"/>
        <w:jc w:val="center"/>
        <w:rPr>
          <w:rFonts w:hint="eastAsia" w:ascii="宋体" w:hAnsi="宋体" w:eastAsia="宋体" w:cs="宋体"/>
          <w:color w:val="auto"/>
          <w:sz w:val="21"/>
          <w:szCs w:val="21"/>
          <w:highlight w:val="none"/>
        </w:rPr>
      </w:pPr>
      <w:bookmarkStart w:id="74" w:name="_Toc179912209"/>
      <w:bookmarkStart w:id="75" w:name="_Toc3215"/>
      <w:bookmarkStart w:id="76" w:name="_Toc16622"/>
      <w:bookmarkStart w:id="77" w:name="_Toc15125"/>
      <w:bookmarkStart w:id="78" w:name="_Toc6350"/>
      <w:bookmarkStart w:id="79" w:name="_Toc80796743"/>
      <w:bookmarkStart w:id="80" w:name="_Toc184635079"/>
      <w:r>
        <w:rPr>
          <w:rFonts w:hint="eastAsia" w:ascii="宋体" w:hAnsi="宋体" w:eastAsia="宋体" w:cs="宋体"/>
          <w:color w:val="auto"/>
          <w:sz w:val="21"/>
          <w:szCs w:val="21"/>
          <w:highlight w:val="none"/>
        </w:rPr>
        <w:t>8.纪律和监督</w:t>
      </w:r>
      <w:bookmarkEnd w:id="74"/>
      <w:bookmarkEnd w:id="75"/>
      <w:bookmarkEnd w:id="76"/>
      <w:bookmarkEnd w:id="77"/>
      <w:bookmarkEnd w:id="78"/>
      <w:bookmarkEnd w:id="79"/>
      <w:bookmarkEnd w:id="80"/>
    </w:p>
    <w:p w14:paraId="25FF647B">
      <w:pPr>
        <w:pStyle w:val="7"/>
        <w:adjustRightInd w:val="0"/>
        <w:snapToGrid w:val="0"/>
        <w:spacing w:before="0" w:after="0" w:line="360" w:lineRule="auto"/>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8.1 对采购人的纪律要求</w:t>
      </w:r>
    </w:p>
    <w:p w14:paraId="51BE7EC6">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采购人</w:t>
      </w:r>
      <w:r>
        <w:rPr>
          <w:rFonts w:hint="eastAsia" w:ascii="宋体" w:hAnsi="宋体" w:cs="宋体"/>
          <w:color w:val="auto"/>
          <w:sz w:val="21"/>
          <w:szCs w:val="21"/>
          <w:highlight w:val="none"/>
          <w:lang w:eastAsia="zh-CN"/>
        </w:rPr>
        <w:t>不得泄露</w:t>
      </w:r>
      <w:r>
        <w:rPr>
          <w:rFonts w:hint="eastAsia" w:ascii="宋体" w:hAnsi="宋体" w:cs="宋体"/>
          <w:color w:val="auto"/>
          <w:sz w:val="21"/>
          <w:szCs w:val="21"/>
          <w:highlight w:val="none"/>
        </w:rPr>
        <w:t>招标投标活动中应当保密的情况和资料，不得与供应商串通损害国家利益、社会公共利益或者他人合法权益。</w:t>
      </w:r>
    </w:p>
    <w:p w14:paraId="141265B2">
      <w:pPr>
        <w:pStyle w:val="7"/>
        <w:adjustRightInd w:val="0"/>
        <w:snapToGrid w:val="0"/>
        <w:spacing w:before="0" w:after="0" w:line="360" w:lineRule="auto"/>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8.2 对供应商的纪律要求</w:t>
      </w:r>
    </w:p>
    <w:p w14:paraId="20D4297E">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供应商不得相互串通投标或者与采购人串通投标，不得向采购人或者磋商小组成员行贿谋取中标，不得以他人名义投标或者以其他方式弄虚作假骗取中标；供应商不得以任何方式干扰、影响评标工作。</w:t>
      </w:r>
    </w:p>
    <w:p w14:paraId="064899B9">
      <w:pPr>
        <w:pStyle w:val="7"/>
        <w:adjustRightInd w:val="0"/>
        <w:snapToGrid w:val="0"/>
        <w:spacing w:before="0" w:after="0" w:line="360" w:lineRule="auto"/>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8.3 对磋商小组成员的纪律要求</w:t>
      </w:r>
    </w:p>
    <w:p w14:paraId="2A3E049B">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磋商小组成员不得收受他人的财物或者其他好处，</w:t>
      </w:r>
      <w:r>
        <w:rPr>
          <w:rFonts w:hint="eastAsia" w:ascii="宋体" w:hAnsi="宋体" w:cs="宋体"/>
          <w:color w:val="auto"/>
          <w:sz w:val="21"/>
          <w:szCs w:val="21"/>
          <w:highlight w:val="none"/>
          <w:lang w:eastAsia="zh-CN"/>
        </w:rPr>
        <w:t>不得向他人透露对</w:t>
      </w:r>
      <w:r>
        <w:rPr>
          <w:rFonts w:hint="eastAsia" w:ascii="宋体" w:hAnsi="宋体" w:cs="宋体"/>
          <w:color w:val="auto"/>
          <w:sz w:val="21"/>
          <w:szCs w:val="21"/>
          <w:highlight w:val="none"/>
        </w:rPr>
        <w:t>响应文件的评审和比较、成交候选人的推荐情况以及评标有关的其他情况。在磋商中，磋商小组成员不得擅离职守，影响评标程序正常进行，不得使用第三章“磋商程序和方法”没有规定的评审因素和标准进行评标。</w:t>
      </w:r>
    </w:p>
    <w:p w14:paraId="28438334">
      <w:pPr>
        <w:pStyle w:val="7"/>
        <w:adjustRightInd w:val="0"/>
        <w:snapToGrid w:val="0"/>
        <w:spacing w:before="0" w:after="0" w:line="360" w:lineRule="auto"/>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8.4 对与磋商有关的工作人员的纪律要求</w:t>
      </w:r>
    </w:p>
    <w:p w14:paraId="410D3403">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与磋商有关的工作人员不得收受他人的财物或者其他好处，</w:t>
      </w:r>
      <w:r>
        <w:rPr>
          <w:rFonts w:hint="eastAsia" w:ascii="宋体" w:hAnsi="宋体" w:cs="宋体"/>
          <w:color w:val="auto"/>
          <w:sz w:val="21"/>
          <w:szCs w:val="21"/>
          <w:highlight w:val="none"/>
          <w:lang w:eastAsia="zh-CN"/>
        </w:rPr>
        <w:t>不得向他人透露对</w:t>
      </w:r>
      <w:r>
        <w:rPr>
          <w:rFonts w:hint="eastAsia" w:ascii="宋体" w:hAnsi="宋体" w:cs="宋体"/>
          <w:color w:val="auto"/>
          <w:sz w:val="21"/>
          <w:szCs w:val="21"/>
          <w:highlight w:val="none"/>
        </w:rPr>
        <w:t>响应文件的评审和比较、成交候选人的推荐情况以</w:t>
      </w:r>
      <w:r>
        <w:rPr>
          <w:rFonts w:hint="eastAsia" w:ascii="宋体" w:hAnsi="宋体" w:cs="宋体"/>
          <w:color w:val="auto"/>
          <w:sz w:val="21"/>
          <w:szCs w:val="21"/>
          <w:highlight w:val="none"/>
          <w:lang w:eastAsia="zh-CN"/>
        </w:rPr>
        <w:t>及与</w:t>
      </w:r>
      <w:r>
        <w:rPr>
          <w:rFonts w:hint="eastAsia" w:ascii="宋体" w:hAnsi="宋体" w:cs="宋体"/>
          <w:color w:val="auto"/>
          <w:sz w:val="21"/>
          <w:szCs w:val="21"/>
          <w:highlight w:val="none"/>
        </w:rPr>
        <w:t>评标有关的其他情况。在磋商中，与磋商有关的工作人员不得擅离职守，影响磋商程序正常进行。</w:t>
      </w:r>
    </w:p>
    <w:p w14:paraId="329133ED">
      <w:pPr>
        <w:pStyle w:val="7"/>
        <w:adjustRightInd w:val="0"/>
        <w:snapToGrid w:val="0"/>
        <w:spacing w:before="0" w:after="0" w:line="360" w:lineRule="auto"/>
        <w:textAlignment w:val="baseline"/>
        <w:rPr>
          <w:rFonts w:hint="eastAsia" w:ascii="宋体" w:hAnsi="宋体" w:cs="宋体"/>
          <w:color w:val="auto"/>
          <w:sz w:val="21"/>
          <w:szCs w:val="21"/>
          <w:highlight w:val="none"/>
        </w:rPr>
      </w:pPr>
      <w:bookmarkStart w:id="81" w:name="_Toc29705"/>
      <w:r>
        <w:rPr>
          <w:rFonts w:hint="eastAsia" w:ascii="宋体" w:hAnsi="宋体" w:cs="宋体"/>
          <w:color w:val="auto"/>
          <w:sz w:val="21"/>
          <w:szCs w:val="21"/>
          <w:highlight w:val="none"/>
        </w:rPr>
        <w:t>8.5 质疑与投诉</w:t>
      </w:r>
      <w:bookmarkEnd w:id="81"/>
    </w:p>
    <w:p w14:paraId="0781E6F7">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8.5.1 质疑 </w:t>
      </w:r>
    </w:p>
    <w:p w14:paraId="1D86395F">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8.5.1.1 供应商认为采购文件、采购过程、中标或者中标结果使自己的权益受到损害的，可以在知道或者应知其权益受到损害之日起7个工作日内，向采购人、采购代理机构提出质疑。 </w:t>
      </w:r>
    </w:p>
    <w:p w14:paraId="6D51954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受理质疑部门：</w:t>
      </w:r>
    </w:p>
    <w:p w14:paraId="6E825A61">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w:t>
      </w:r>
      <w:r>
        <w:rPr>
          <w:rFonts w:hint="eastAsia" w:ascii="宋体" w:hAnsi="宋体" w:eastAsia="宋体" w:cs="宋体"/>
          <w:color w:val="auto"/>
          <w:sz w:val="21"/>
          <w:szCs w:val="21"/>
          <w:highlight w:val="none"/>
          <w:lang w:eastAsia="zh-CN"/>
        </w:rPr>
        <w:t>长盛合(云南)工程管理咨询有限公司。</w:t>
      </w:r>
    </w:p>
    <w:p w14:paraId="775300D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公司地址：</w:t>
      </w:r>
      <w:r>
        <w:rPr>
          <w:rFonts w:hint="eastAsia" w:ascii="宋体" w:hAnsi="宋体" w:eastAsia="宋体" w:cs="宋体"/>
          <w:color w:val="auto"/>
          <w:sz w:val="21"/>
          <w:szCs w:val="21"/>
          <w:highlight w:val="none"/>
          <w:lang w:eastAsia="zh-CN"/>
        </w:rPr>
        <w:t>丽江市古城区丽江官房花园别墅-9108幢1楼。</w:t>
      </w:r>
      <w:r>
        <w:rPr>
          <w:rFonts w:hint="eastAsia" w:ascii="宋体" w:hAnsi="宋体" w:eastAsia="宋体" w:cs="宋体"/>
          <w:color w:val="auto"/>
          <w:sz w:val="21"/>
          <w:szCs w:val="21"/>
          <w:highlight w:val="none"/>
        </w:rPr>
        <w:t xml:space="preserve"> </w:t>
      </w:r>
    </w:p>
    <w:p w14:paraId="2953802B">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项目负责人：郑奇仙</w:t>
      </w:r>
    </w:p>
    <w:p w14:paraId="63282E56">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联系方式：18288873868</w:t>
      </w:r>
    </w:p>
    <w:p w14:paraId="4153A85C">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8.5.1.2 采购人、采购代理机构不得拒收质疑供应商在法定质疑期内发出的质疑函，应当在收到质疑函后7个工作日内作出答复，并通知质疑供应商和其他有关供应商。 </w:t>
      </w:r>
    </w:p>
    <w:p w14:paraId="416EA9C3">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8.5.2 投诉 </w:t>
      </w:r>
    </w:p>
    <w:p w14:paraId="4D737D99">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8.5.2.1 质疑供应商对采购人、采购代理机构的答复不满意，或者采购人、采购代理机构未在规定时间内作出答复的，可以在答复期满后15个工作日内向《政府采购质疑和投诉办法》（财政部94号令）第六条规定的财政部门提起投诉。 </w:t>
      </w:r>
    </w:p>
    <w:p w14:paraId="62A635AA">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8.5.2.2 投诉人投诉时，应当提交投诉书和必要的证明材料，并按照被投诉采购人、采购代理机构（以下简称被投诉人）和与投诉事项有关的供应商数量提供投诉书的副本。投诉书应当包括下列内容： </w:t>
      </w:r>
    </w:p>
    <w:p w14:paraId="1D65A7DB">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（一）投诉人和被投诉人的姓名或者名称、通讯地址、邮编、联系人及联系电话；</w:t>
      </w:r>
    </w:p>
    <w:p w14:paraId="5FE54204">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（二）质疑和质疑答复情况说明及相关证明材料；</w:t>
      </w:r>
    </w:p>
    <w:p w14:paraId="79227BE6">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（三）具体、明确的投诉事项和与投诉事项相关的投诉请求；</w:t>
      </w:r>
    </w:p>
    <w:p w14:paraId="3AF82EB3">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（四）事实依据；</w:t>
      </w:r>
    </w:p>
    <w:p w14:paraId="5E246483">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（五）法律依据；</w:t>
      </w:r>
    </w:p>
    <w:p w14:paraId="3530ED7A">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（六）提起投诉的日期。</w:t>
      </w:r>
    </w:p>
    <w:p w14:paraId="31132CC6">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投诉人为自然人的，应当由本人签字；投诉人为法人或者其他组织的，应当由法定代表人、主要负责人，或者其授权代表签字或者盖章，并加盖公章。</w:t>
      </w:r>
    </w:p>
    <w:p w14:paraId="47A97E66">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8.5.2.3 供应商投诉的事项不得超出已质疑事项的范围，但基于质疑答复内容提出的投诉事项除外。</w:t>
      </w:r>
    </w:p>
    <w:p w14:paraId="4C62DA0F">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8.5.2.4 投诉处理过程中，有下列情形之一的，财政部门应当驳回投诉： </w:t>
      </w:r>
    </w:p>
    <w:p w14:paraId="07544479">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（一）受理后发现投诉不符合法定受理条件；</w:t>
      </w:r>
    </w:p>
    <w:p w14:paraId="46D39353">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（二）投诉事项缺乏事实依据，投诉事项不成立；</w:t>
      </w:r>
    </w:p>
    <w:p w14:paraId="3DC7A7ED">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（三）投诉人捏造事实或者提供虚假材料；</w:t>
      </w:r>
    </w:p>
    <w:p w14:paraId="2F820198">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（四）投诉人以非法手段取得证明材料。证据来源的合法性存在明显疑问，投诉人无法证明其取得方式合法的，视为以非法手段取得证明材料。</w:t>
      </w:r>
    </w:p>
    <w:p w14:paraId="2983FD89">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8.5.2.5 未尽事宜，按《政府采购质疑和投诉办法》（财政部94号令）执行。</w:t>
      </w:r>
    </w:p>
    <w:p w14:paraId="47A23807">
      <w:pPr>
        <w:pStyle w:val="3"/>
        <w:adjustRightInd w:val="0"/>
        <w:snapToGrid w:val="0"/>
        <w:spacing w:before="0" w:after="0" w:line="360" w:lineRule="auto"/>
        <w:jc w:val="center"/>
        <w:rPr>
          <w:rFonts w:hint="eastAsia" w:ascii="宋体" w:hAnsi="宋体" w:eastAsia="宋体" w:cs="宋体"/>
          <w:color w:val="auto"/>
          <w:sz w:val="21"/>
          <w:szCs w:val="21"/>
          <w:highlight w:val="none"/>
        </w:rPr>
      </w:pPr>
      <w:bookmarkStart w:id="82" w:name="_Toc179912210"/>
      <w:bookmarkStart w:id="83" w:name="_Toc20154"/>
      <w:bookmarkStart w:id="84" w:name="_Toc14484"/>
      <w:r>
        <w:rPr>
          <w:rFonts w:hint="eastAsia" w:ascii="宋体" w:hAnsi="宋体" w:eastAsia="宋体" w:cs="宋体"/>
          <w:color w:val="auto"/>
          <w:sz w:val="21"/>
          <w:szCs w:val="21"/>
          <w:highlight w:val="none"/>
        </w:rPr>
        <w:t>9.需要补充的其他内容</w:t>
      </w:r>
      <w:bookmarkEnd w:id="82"/>
      <w:bookmarkEnd w:id="83"/>
      <w:bookmarkEnd w:id="84"/>
    </w:p>
    <w:p w14:paraId="4783B879">
      <w:pPr>
        <w:adjustRightInd w:val="0"/>
        <w:snapToGrid w:val="0"/>
        <w:spacing w:line="360" w:lineRule="auto"/>
        <w:ind w:firstLine="472" w:firstLineChars="225"/>
        <w:rPr>
          <w:rFonts w:hint="eastAsia" w:ascii="宋体" w:hAnsi="宋体" w:eastAsia="宋体" w:cs="宋体"/>
          <w:color w:val="auto"/>
          <w:sz w:val="24"/>
          <w:szCs w:val="24"/>
          <w:highlight w:val="none"/>
        </w:rPr>
      </w:pPr>
      <w:r>
        <w:rPr>
          <w:rStyle w:val="60"/>
          <w:rFonts w:hint="eastAsia" w:ascii="宋体" w:hAnsi="宋体" w:cs="宋体"/>
          <w:color w:val="auto"/>
          <w:highlight w:val="none"/>
        </w:rPr>
        <w:t>见“供应商须知前附表”</w:t>
      </w:r>
      <w:bookmarkStart w:id="85" w:name="_Toc405"/>
      <w:bookmarkStart w:id="86" w:name="_Toc28188"/>
      <w:bookmarkStart w:id="87" w:name="_Toc179912211"/>
    </w:p>
    <w:p w14:paraId="4082B56C">
      <w:pPr>
        <w:rPr>
          <w:rFonts w:hint="eastAsia" w:ascii="宋体" w:hAnsi="宋体" w:eastAsia="宋体" w:cs="宋体"/>
          <w:b/>
          <w:bCs/>
          <w:color w:val="auto"/>
          <w:sz w:val="36"/>
          <w:szCs w:val="36"/>
          <w:highlight w:val="none"/>
        </w:rPr>
      </w:pPr>
      <w:bookmarkStart w:id="88" w:name="_Toc16282"/>
      <w:r>
        <w:rPr>
          <w:rFonts w:hint="eastAsia" w:ascii="宋体" w:hAnsi="宋体" w:eastAsia="宋体" w:cs="宋体"/>
          <w:b/>
          <w:bCs/>
          <w:color w:val="auto"/>
          <w:sz w:val="36"/>
          <w:szCs w:val="36"/>
          <w:highlight w:val="none"/>
        </w:rPr>
        <w:br w:type="page"/>
      </w:r>
    </w:p>
    <w:p w14:paraId="2348DE5D">
      <w:pPr>
        <w:pStyle w:val="2"/>
        <w:spacing w:line="360" w:lineRule="auto"/>
        <w:ind w:left="0"/>
        <w:rPr>
          <w:rFonts w:hint="eastAsia" w:ascii="宋体" w:hAnsi="宋体" w:eastAsia="宋体" w:cs="宋体"/>
          <w:color w:val="auto"/>
          <w:sz w:val="24"/>
          <w:szCs w:val="24"/>
          <w:highlight w:val="none"/>
        </w:rPr>
      </w:pPr>
      <w:r>
        <w:rPr>
          <w:rFonts w:hint="eastAsia" w:ascii="宋体" w:hAnsi="宋体" w:eastAsia="宋体" w:cs="宋体"/>
          <w:b/>
          <w:bCs/>
          <w:color w:val="auto"/>
          <w:sz w:val="36"/>
          <w:szCs w:val="36"/>
          <w:highlight w:val="none"/>
        </w:rPr>
        <w:t>第三章  磋商程序和方法</w:t>
      </w:r>
      <w:bookmarkEnd w:id="85"/>
      <w:bookmarkEnd w:id="86"/>
      <w:bookmarkEnd w:id="87"/>
      <w:bookmarkEnd w:id="88"/>
    </w:p>
    <w:p w14:paraId="3D87588C">
      <w:pPr>
        <w:pStyle w:val="6"/>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1、磋商评审原则</w:t>
      </w:r>
    </w:p>
    <w:p w14:paraId="0C5CC6A2">
      <w:pPr>
        <w:spacing w:line="360" w:lineRule="auto"/>
        <w:ind w:firstLine="472" w:firstLineChars="225"/>
        <w:rPr>
          <w:rFonts w:hint="eastAsia" w:ascii="宋体" w:hAnsi="宋体" w:cs="宋体"/>
          <w:color w:val="auto"/>
          <w:sz w:val="21"/>
          <w:szCs w:val="21"/>
          <w:highlight w:val="none"/>
        </w:rPr>
      </w:pPr>
      <w:r>
        <w:rPr>
          <w:rFonts w:hint="eastAsia" w:ascii="宋体" w:hAnsi="宋体" w:cs="宋体"/>
          <w:color w:val="auto"/>
          <w:sz w:val="21"/>
          <w:szCs w:val="21"/>
          <w:highlight w:val="none"/>
        </w:rPr>
        <w:t>1.1评审活动应遵循公平、公正、科学、择优的原则，任何单位或个人不得非法干预或者影响评审过程和结果。</w:t>
      </w:r>
    </w:p>
    <w:p w14:paraId="5E3CEB2C">
      <w:pPr>
        <w:spacing w:line="360" w:lineRule="auto"/>
        <w:ind w:firstLine="472" w:firstLineChars="225"/>
        <w:rPr>
          <w:rFonts w:hint="eastAsia" w:ascii="宋体" w:hAnsi="宋体" w:cs="宋体"/>
          <w:color w:val="auto"/>
          <w:sz w:val="21"/>
          <w:szCs w:val="21"/>
          <w:highlight w:val="none"/>
        </w:rPr>
      </w:pPr>
      <w:r>
        <w:rPr>
          <w:rFonts w:hint="eastAsia" w:ascii="宋体" w:hAnsi="宋体" w:cs="宋体"/>
          <w:color w:val="auto"/>
          <w:sz w:val="21"/>
          <w:szCs w:val="21"/>
          <w:highlight w:val="none"/>
        </w:rPr>
        <w:t>1.2本项目磋商办法根据有关法律法规制定。</w:t>
      </w:r>
    </w:p>
    <w:p w14:paraId="6216EB45">
      <w:pPr>
        <w:spacing w:line="360" w:lineRule="auto"/>
        <w:ind w:firstLine="472" w:firstLineChars="225"/>
        <w:rPr>
          <w:rFonts w:hint="eastAsia" w:ascii="宋体" w:hAnsi="宋体" w:cs="宋体"/>
          <w:color w:val="auto"/>
          <w:sz w:val="21"/>
          <w:szCs w:val="21"/>
          <w:highlight w:val="none"/>
        </w:rPr>
      </w:pPr>
      <w:r>
        <w:rPr>
          <w:rFonts w:hint="eastAsia" w:ascii="宋体" w:hAnsi="宋体" w:cs="宋体"/>
          <w:color w:val="auto"/>
          <w:sz w:val="21"/>
          <w:szCs w:val="21"/>
          <w:highlight w:val="none"/>
        </w:rPr>
        <w:t>1.3本项目采用综合评分法对提交最后报价的供应商的响应文件和最后报价进行综合评分。</w:t>
      </w:r>
    </w:p>
    <w:p w14:paraId="244CB2AD">
      <w:pPr>
        <w:pStyle w:val="6"/>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2、评审程序</w:t>
      </w:r>
    </w:p>
    <w:p w14:paraId="2D6F4CF3">
      <w:pPr>
        <w:spacing w:line="360" w:lineRule="auto"/>
        <w:ind w:firstLine="472" w:firstLineChars="225"/>
        <w:rPr>
          <w:rFonts w:hint="eastAsia" w:ascii="宋体" w:hAnsi="宋体" w:cs="宋体"/>
          <w:color w:val="auto"/>
          <w:sz w:val="21"/>
          <w:szCs w:val="21"/>
          <w:highlight w:val="none"/>
        </w:rPr>
      </w:pPr>
      <w:r>
        <w:rPr>
          <w:rFonts w:hint="eastAsia" w:ascii="宋体" w:hAnsi="宋体" w:cs="宋体"/>
          <w:color w:val="auto"/>
          <w:sz w:val="21"/>
          <w:szCs w:val="21"/>
          <w:highlight w:val="none"/>
        </w:rPr>
        <w:t>2.1资格审查；</w:t>
      </w:r>
    </w:p>
    <w:p w14:paraId="21E7BF4D">
      <w:pPr>
        <w:spacing w:line="360" w:lineRule="auto"/>
        <w:ind w:firstLine="472" w:firstLineChars="225"/>
        <w:rPr>
          <w:rFonts w:hint="eastAsia" w:ascii="宋体" w:hAnsi="宋体" w:cs="宋体"/>
          <w:color w:val="auto"/>
          <w:sz w:val="21"/>
          <w:szCs w:val="21"/>
          <w:highlight w:val="none"/>
        </w:rPr>
      </w:pPr>
      <w:r>
        <w:rPr>
          <w:rFonts w:hint="eastAsia" w:ascii="宋体" w:hAnsi="宋体" w:cs="宋体"/>
          <w:color w:val="auto"/>
          <w:sz w:val="21"/>
          <w:szCs w:val="21"/>
          <w:highlight w:val="none"/>
        </w:rPr>
        <w:t>2.2符合性评审；</w:t>
      </w:r>
    </w:p>
    <w:p w14:paraId="52A2A937">
      <w:pPr>
        <w:spacing w:line="360" w:lineRule="auto"/>
        <w:ind w:firstLine="472" w:firstLineChars="225"/>
        <w:rPr>
          <w:rFonts w:hint="eastAsia" w:ascii="宋体" w:hAnsi="宋体" w:cs="宋体"/>
          <w:color w:val="auto"/>
          <w:sz w:val="21"/>
          <w:szCs w:val="21"/>
          <w:highlight w:val="none"/>
        </w:rPr>
      </w:pPr>
      <w:r>
        <w:rPr>
          <w:rFonts w:hint="eastAsia" w:ascii="宋体" w:hAnsi="宋体" w:cs="宋体"/>
          <w:color w:val="auto"/>
          <w:sz w:val="21"/>
          <w:szCs w:val="21"/>
          <w:highlight w:val="none"/>
        </w:rPr>
        <w:t>2.3磋商；</w:t>
      </w:r>
    </w:p>
    <w:p w14:paraId="45427E51">
      <w:pPr>
        <w:spacing w:line="360" w:lineRule="auto"/>
        <w:ind w:firstLine="472" w:firstLineChars="225"/>
        <w:rPr>
          <w:rFonts w:hint="eastAsia" w:ascii="宋体" w:hAnsi="宋体" w:cs="宋体"/>
          <w:color w:val="auto"/>
          <w:sz w:val="21"/>
          <w:szCs w:val="21"/>
          <w:highlight w:val="none"/>
        </w:rPr>
      </w:pPr>
      <w:r>
        <w:rPr>
          <w:rFonts w:hint="eastAsia" w:ascii="宋体" w:hAnsi="宋体" w:cs="宋体"/>
          <w:color w:val="auto"/>
          <w:sz w:val="21"/>
          <w:szCs w:val="21"/>
          <w:highlight w:val="none"/>
        </w:rPr>
        <w:t>2.4磋商小组对提交最后报价的供应商的响应文件和最后报价进行综合评分；</w:t>
      </w:r>
    </w:p>
    <w:p w14:paraId="22F4D360">
      <w:pPr>
        <w:spacing w:line="360" w:lineRule="auto"/>
        <w:ind w:firstLine="472" w:firstLineChars="225"/>
        <w:rPr>
          <w:rFonts w:hint="eastAsia" w:ascii="宋体" w:hAnsi="宋体" w:cs="宋体"/>
          <w:color w:val="auto"/>
          <w:sz w:val="21"/>
          <w:szCs w:val="21"/>
          <w:highlight w:val="none"/>
        </w:rPr>
      </w:pPr>
      <w:r>
        <w:rPr>
          <w:rFonts w:hint="eastAsia" w:ascii="宋体" w:hAnsi="宋体" w:cs="宋体"/>
          <w:color w:val="auto"/>
          <w:sz w:val="21"/>
          <w:szCs w:val="21"/>
          <w:highlight w:val="none"/>
        </w:rPr>
        <w:t>2.5磋商小组根据综合评分结果形成磋商报告。</w:t>
      </w:r>
    </w:p>
    <w:p w14:paraId="255DDD92">
      <w:pPr>
        <w:pStyle w:val="6"/>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3、磋商评审办法</w:t>
      </w:r>
    </w:p>
    <w:p w14:paraId="1D09FFC2">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3.1磋商小组与评审</w:t>
      </w:r>
    </w:p>
    <w:p w14:paraId="23A5878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（1）磋商小组评审专家3人（含3人）以上单数组成。</w:t>
      </w:r>
    </w:p>
    <w:p w14:paraId="204CF58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3.2响应文件的有效性</w:t>
      </w:r>
    </w:p>
    <w:p w14:paraId="4374DBD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响应文件出现下列情形之一的，应当作无效响应文件，不得进入评审；</w:t>
      </w:r>
    </w:p>
    <w:p w14:paraId="7522BB1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A.响应文件未按照供应商须知第4.1条上传的；</w:t>
      </w:r>
    </w:p>
    <w:p w14:paraId="5070687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B.响应文件逾期递交的。</w:t>
      </w:r>
    </w:p>
    <w:p w14:paraId="0363F0C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3.3响应文件的资格审查及符合性评审。</w:t>
      </w:r>
    </w:p>
    <w:p w14:paraId="2C19A6F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3.3.1.资格审查标准</w:t>
      </w:r>
    </w:p>
    <w:tbl>
      <w:tblPr>
        <w:tblStyle w:val="50"/>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827"/>
        <w:gridCol w:w="1893"/>
        <w:gridCol w:w="5912"/>
      </w:tblGrid>
      <w:tr w14:paraId="447A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6F2717F0">
            <w:pPr>
              <w:adjustRightInd w:val="0"/>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827" w:type="dxa"/>
            <w:vAlign w:val="center"/>
          </w:tcPr>
          <w:p w14:paraId="49CE3398">
            <w:pPr>
              <w:adjustRightInd w:val="0"/>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类型</w:t>
            </w:r>
          </w:p>
        </w:tc>
        <w:tc>
          <w:tcPr>
            <w:tcW w:w="1893" w:type="dxa"/>
            <w:vAlign w:val="center"/>
          </w:tcPr>
          <w:p w14:paraId="069E2D28">
            <w:pPr>
              <w:adjustRightInd w:val="0"/>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审查要求</w:t>
            </w:r>
          </w:p>
        </w:tc>
        <w:tc>
          <w:tcPr>
            <w:tcW w:w="5912" w:type="dxa"/>
            <w:vAlign w:val="center"/>
          </w:tcPr>
          <w:p w14:paraId="7D371053">
            <w:pPr>
              <w:adjustRightInd w:val="0"/>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要求说明</w:t>
            </w:r>
          </w:p>
        </w:tc>
      </w:tr>
      <w:tr w14:paraId="1890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1F3209C2">
            <w:pPr>
              <w:adjustRightInd w:val="0"/>
              <w:snapToGrid w:val="0"/>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827" w:type="dxa"/>
            <w:vAlign w:val="center"/>
          </w:tcPr>
          <w:p w14:paraId="5DAD20E8">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营业执照</w:t>
            </w:r>
          </w:p>
        </w:tc>
        <w:tc>
          <w:tcPr>
            <w:tcW w:w="1893" w:type="dxa"/>
            <w:vAlign w:val="center"/>
          </w:tcPr>
          <w:p w14:paraId="55D43E6B">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具有独立承担民事责任的能力</w:t>
            </w:r>
          </w:p>
        </w:tc>
        <w:tc>
          <w:tcPr>
            <w:tcW w:w="5912" w:type="dxa"/>
            <w:shd w:val="clear" w:color="auto" w:fill="auto"/>
            <w:vAlign w:val="center"/>
          </w:tcPr>
          <w:p w14:paraId="4A6B7C6A">
            <w:pPr>
              <w:adjustRightInd w:val="0"/>
              <w:snapToGrid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提供法人或者其他组织的营业执照等证明文件。</w:t>
            </w:r>
          </w:p>
        </w:tc>
      </w:tr>
      <w:tr w14:paraId="3D1F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0898EB05">
            <w:pPr>
              <w:adjustRightInd w:val="0"/>
              <w:snapToGrid w:val="0"/>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2</w:t>
            </w:r>
          </w:p>
        </w:tc>
        <w:tc>
          <w:tcPr>
            <w:tcW w:w="827" w:type="dxa"/>
            <w:vAlign w:val="center"/>
          </w:tcPr>
          <w:p w14:paraId="6D7CDC7B">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财务报告</w:t>
            </w:r>
          </w:p>
        </w:tc>
        <w:tc>
          <w:tcPr>
            <w:tcW w:w="1893" w:type="dxa"/>
            <w:vAlign w:val="center"/>
          </w:tcPr>
          <w:p w14:paraId="6A234754">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具有良好的商业信誉和健全的财务会计制度</w:t>
            </w:r>
          </w:p>
        </w:tc>
        <w:tc>
          <w:tcPr>
            <w:tcW w:w="5912" w:type="dxa"/>
            <w:vAlign w:val="center"/>
          </w:tcPr>
          <w:p w14:paraId="66744A0A">
            <w:pPr>
              <w:adjustRightInd w:val="0"/>
              <w:snapToGrid w:val="0"/>
              <w:spacing w:line="360" w:lineRule="auto"/>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①提供</w:t>
            </w:r>
            <w:r>
              <w:rPr>
                <w:rFonts w:hint="eastAsia" w:ascii="宋体" w:hAnsi="宋体" w:cs="宋体"/>
                <w:color w:val="auto"/>
                <w:spacing w:val="1"/>
                <w:sz w:val="21"/>
                <w:szCs w:val="21"/>
                <w:highlight w:val="none"/>
                <w:lang w:eastAsia="zh-CN"/>
              </w:rPr>
              <w:t>2023年（含2023年）</w:t>
            </w:r>
            <w:r>
              <w:rPr>
                <w:rFonts w:hint="eastAsia" w:ascii="宋体" w:hAnsi="宋体" w:cs="宋体"/>
                <w:color w:val="auto"/>
                <w:spacing w:val="1"/>
                <w:sz w:val="21"/>
                <w:szCs w:val="21"/>
                <w:highlight w:val="none"/>
              </w:rPr>
              <w:t>至今任意一年度经审计的审计报告及财务报表（至少包括资产负债表、利润表、现金流量表），成立不满1年的，提供自成立至今的财务报表（包括资产负债表、利润表、现金流量表）（若为非营利性单位或者社会团体或者其他机关事业单位也可提供以符合财务会计制度为准的证明材料或者提供承诺函）；</w:t>
            </w:r>
          </w:p>
          <w:p w14:paraId="16494A63">
            <w:pPr>
              <w:adjustRightInd w:val="0"/>
              <w:snapToGrid w:val="0"/>
              <w:spacing w:line="360" w:lineRule="auto"/>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②提供在提交响应文件截止时间前三个月内基本开户银行开具的资信证明或基本开户银行存款证明或其他财务说明；</w:t>
            </w:r>
          </w:p>
          <w:p w14:paraId="14B768E5">
            <w:pPr>
              <w:adjustRightInd w:val="0"/>
              <w:snapToGrid w:val="0"/>
              <w:spacing w:line="360" w:lineRule="auto"/>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③提供财政部门认可的政府采购专业担保机构对供应商进行资信审查后出具的担保函。</w:t>
            </w:r>
          </w:p>
          <w:p w14:paraId="5B3FE41E">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注：上述证明材料，提供任意一种即可。</w:t>
            </w:r>
          </w:p>
        </w:tc>
      </w:tr>
      <w:tr w14:paraId="6ED5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73B2F5E9">
            <w:pPr>
              <w:adjustRightInd w:val="0"/>
              <w:snapToGrid w:val="0"/>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827" w:type="dxa"/>
            <w:vAlign w:val="center"/>
          </w:tcPr>
          <w:p w14:paraId="3390E268">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基本资质</w:t>
            </w:r>
          </w:p>
        </w:tc>
        <w:tc>
          <w:tcPr>
            <w:tcW w:w="1893" w:type="dxa"/>
            <w:vAlign w:val="center"/>
          </w:tcPr>
          <w:p w14:paraId="584A85DF">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具有履行合同所必需的设备和专业技术能力</w:t>
            </w:r>
          </w:p>
        </w:tc>
        <w:tc>
          <w:tcPr>
            <w:tcW w:w="5912" w:type="dxa"/>
            <w:vAlign w:val="center"/>
          </w:tcPr>
          <w:p w14:paraId="3DFEB0E6">
            <w:pPr>
              <w:adjustRightInd w:val="0"/>
              <w:snapToGrid w:val="0"/>
              <w:spacing w:line="360" w:lineRule="auto"/>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提供具备履行合同所必需的设备和专业技术能力的证明材料或承诺书。</w:t>
            </w:r>
          </w:p>
        </w:tc>
      </w:tr>
      <w:tr w14:paraId="3C8E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084B7992">
            <w:pPr>
              <w:adjustRightInd w:val="0"/>
              <w:snapToGrid w:val="0"/>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827" w:type="dxa"/>
            <w:vAlign w:val="center"/>
          </w:tcPr>
          <w:p w14:paraId="52839235">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基本资质</w:t>
            </w:r>
          </w:p>
        </w:tc>
        <w:tc>
          <w:tcPr>
            <w:tcW w:w="1893" w:type="dxa"/>
            <w:vAlign w:val="center"/>
          </w:tcPr>
          <w:p w14:paraId="1C8CCFA0">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具有依法缴纳税收和社会保障资金的良好记录</w:t>
            </w:r>
          </w:p>
        </w:tc>
        <w:tc>
          <w:tcPr>
            <w:tcW w:w="5912" w:type="dxa"/>
            <w:vAlign w:val="center"/>
          </w:tcPr>
          <w:p w14:paraId="6105F4D4">
            <w:pPr>
              <w:adjustRightInd w:val="0"/>
              <w:snapToGrid w:val="0"/>
              <w:spacing w:line="360" w:lineRule="auto"/>
              <w:rPr>
                <w:rFonts w:hint="eastAsia" w:ascii="宋体" w:hAnsi="宋体" w:cs="宋体"/>
                <w:color w:val="auto"/>
                <w:spacing w:val="1"/>
                <w:szCs w:val="21"/>
                <w:highlight w:val="none"/>
              </w:rPr>
            </w:pPr>
            <w:r>
              <w:rPr>
                <w:rFonts w:hint="eastAsia" w:ascii="宋体" w:hAnsi="宋体" w:cs="宋体"/>
                <w:color w:val="auto"/>
                <w:spacing w:val="1"/>
                <w:sz w:val="21"/>
                <w:szCs w:val="21"/>
                <w:highlight w:val="none"/>
                <w:lang w:eastAsia="zh-CN"/>
              </w:rPr>
              <w:t>供应商须提供缴税所属时间在2025年1月至本项目响应文件</w:t>
            </w:r>
            <w:r>
              <w:rPr>
                <w:rFonts w:hint="eastAsia" w:ascii="宋体" w:hAnsi="宋体" w:cs="宋体"/>
                <w:color w:val="auto"/>
                <w:spacing w:val="1"/>
                <w:sz w:val="21"/>
                <w:szCs w:val="21"/>
                <w:highlight w:val="none"/>
              </w:rPr>
              <w:t>提交截止时间前任意3个月的税务局税收通用缴款书或银行电子缴税（费）凭证或税务局出具纳税情况的相关证明，依法免税的，应提供依法免税的相关证明文件，成立不满三个月的提供相关承诺；</w:t>
            </w:r>
            <w:r>
              <w:rPr>
                <w:rFonts w:hint="eastAsia" w:ascii="宋体" w:hAnsi="宋体" w:cs="宋体"/>
                <w:color w:val="auto"/>
                <w:spacing w:val="1"/>
                <w:sz w:val="21"/>
                <w:szCs w:val="21"/>
                <w:highlight w:val="none"/>
                <w:lang w:eastAsia="zh-CN"/>
              </w:rPr>
              <w:t>供应商须提供缴费所属时间在2025年1月</w:t>
            </w:r>
            <w:r>
              <w:rPr>
                <w:rFonts w:hint="eastAsia" w:ascii="宋体" w:hAnsi="宋体" w:cs="宋体"/>
                <w:color w:val="auto"/>
                <w:spacing w:val="1"/>
                <w:sz w:val="21"/>
                <w:szCs w:val="21"/>
                <w:highlight w:val="none"/>
              </w:rPr>
              <w:t>至本项目响应文件提交截止时间前任意3个月的社会保险费缴款书或银行电子缴税（费）凭证或社保管理部门出具的有效的缴款证明，依法免缴的，应提供依法免缴的相关证明文件，成立不满三个月的提供相关承诺。</w:t>
            </w:r>
          </w:p>
        </w:tc>
      </w:tr>
      <w:tr w14:paraId="23C7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3D6D4644">
            <w:pPr>
              <w:adjustRightInd w:val="0"/>
              <w:snapToGrid w:val="0"/>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827" w:type="dxa"/>
            <w:vAlign w:val="center"/>
          </w:tcPr>
          <w:p w14:paraId="242D855B">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kern w:val="2"/>
                <w:sz w:val="21"/>
                <w:szCs w:val="21"/>
                <w:highlight w:val="none"/>
                <w:lang w:bidi="ar"/>
              </w:rPr>
              <w:t>基本资质</w:t>
            </w:r>
          </w:p>
        </w:tc>
        <w:tc>
          <w:tcPr>
            <w:tcW w:w="1893" w:type="dxa"/>
            <w:vAlign w:val="center"/>
          </w:tcPr>
          <w:p w14:paraId="0161C80F">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w:t>
            </w:r>
          </w:p>
        </w:tc>
        <w:tc>
          <w:tcPr>
            <w:tcW w:w="5912" w:type="dxa"/>
            <w:vAlign w:val="center"/>
          </w:tcPr>
          <w:p w14:paraId="1F448C51">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提供参加政府采购活动前三年内在经营活动中没有重大违法记录的书面声明。</w:t>
            </w:r>
          </w:p>
        </w:tc>
      </w:tr>
      <w:tr w14:paraId="404D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41438CC7">
            <w:pPr>
              <w:adjustRightInd w:val="0"/>
              <w:snapToGrid w:val="0"/>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6</w:t>
            </w:r>
          </w:p>
        </w:tc>
        <w:tc>
          <w:tcPr>
            <w:tcW w:w="827" w:type="dxa"/>
            <w:vAlign w:val="center"/>
          </w:tcPr>
          <w:p w14:paraId="577C8ED6">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特定资质</w:t>
            </w:r>
          </w:p>
        </w:tc>
        <w:tc>
          <w:tcPr>
            <w:tcW w:w="1893" w:type="dxa"/>
            <w:vAlign w:val="center"/>
          </w:tcPr>
          <w:p w14:paraId="6080967C">
            <w:pPr>
              <w:adjustRightInd w:val="0"/>
              <w:snapToGrid w:val="0"/>
              <w:spacing w:line="360" w:lineRule="auto"/>
              <w:jc w:val="center"/>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资质要求</w:t>
            </w:r>
          </w:p>
        </w:tc>
        <w:tc>
          <w:tcPr>
            <w:tcW w:w="5912" w:type="dxa"/>
            <w:vAlign w:val="center"/>
          </w:tcPr>
          <w:p w14:paraId="4019FEB8">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在中华人民共和国境内注册，具有建设行政主管部门颁发的水利水电工程施工总承包叁级及其以上资质，并具备有效的安全生产许可证。</w:t>
            </w:r>
          </w:p>
        </w:tc>
      </w:tr>
      <w:tr w14:paraId="3E9A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7FE69414">
            <w:pPr>
              <w:adjustRightInd w:val="0"/>
              <w:snapToGrid w:val="0"/>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7</w:t>
            </w:r>
          </w:p>
        </w:tc>
        <w:tc>
          <w:tcPr>
            <w:tcW w:w="827" w:type="dxa"/>
            <w:vAlign w:val="center"/>
          </w:tcPr>
          <w:p w14:paraId="4BCBC44B">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特定资质</w:t>
            </w:r>
          </w:p>
        </w:tc>
        <w:tc>
          <w:tcPr>
            <w:tcW w:w="1893" w:type="dxa"/>
            <w:vAlign w:val="center"/>
          </w:tcPr>
          <w:p w14:paraId="633642FE">
            <w:pPr>
              <w:adjustRightInd w:val="0"/>
              <w:snapToGrid w:val="0"/>
              <w:spacing w:line="360" w:lineRule="auto"/>
              <w:jc w:val="center"/>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项目经理要求</w:t>
            </w:r>
          </w:p>
        </w:tc>
        <w:tc>
          <w:tcPr>
            <w:tcW w:w="5912" w:type="dxa"/>
            <w:vAlign w:val="center"/>
          </w:tcPr>
          <w:p w14:paraId="33B4EAA2">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须具备水利水电工程专业贰级及以上注册建造师执业资格，具有有效的安全生产考核合格证书，且为本单位的在职人员</w:t>
            </w:r>
            <w:r>
              <w:rPr>
                <w:rFonts w:hint="eastAsia" w:ascii="宋体" w:hAnsi="宋体" w:cs="宋体"/>
                <w:color w:val="auto"/>
                <w:spacing w:val="1"/>
                <w:sz w:val="21"/>
                <w:szCs w:val="21"/>
                <w:highlight w:val="none"/>
                <w:lang w:val="en-US" w:eastAsia="zh-CN"/>
              </w:rPr>
              <w:t>并提供社保证明材料</w:t>
            </w:r>
            <w:r>
              <w:rPr>
                <w:rFonts w:hint="eastAsia" w:ascii="宋体" w:hAnsi="宋体" w:cs="宋体"/>
                <w:color w:val="auto"/>
                <w:spacing w:val="1"/>
                <w:sz w:val="21"/>
                <w:szCs w:val="21"/>
                <w:highlight w:val="none"/>
              </w:rPr>
              <w:t>，承诺不得担任其他在建工程项目的项目经理。</w:t>
            </w:r>
          </w:p>
        </w:tc>
      </w:tr>
      <w:tr w14:paraId="24F3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37D60D22">
            <w:pPr>
              <w:adjustRightInd w:val="0"/>
              <w:snapToGrid w:val="0"/>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8</w:t>
            </w:r>
          </w:p>
        </w:tc>
        <w:tc>
          <w:tcPr>
            <w:tcW w:w="827" w:type="dxa"/>
            <w:vAlign w:val="center"/>
          </w:tcPr>
          <w:p w14:paraId="29C299CF">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特定资质</w:t>
            </w:r>
          </w:p>
        </w:tc>
        <w:tc>
          <w:tcPr>
            <w:tcW w:w="1893" w:type="dxa"/>
            <w:vAlign w:val="center"/>
          </w:tcPr>
          <w:p w14:paraId="2993667A">
            <w:pPr>
              <w:adjustRightInd w:val="0"/>
              <w:snapToGrid w:val="0"/>
              <w:spacing w:line="360" w:lineRule="auto"/>
              <w:jc w:val="center"/>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技术负责人要求</w:t>
            </w:r>
          </w:p>
        </w:tc>
        <w:tc>
          <w:tcPr>
            <w:tcW w:w="5912" w:type="dxa"/>
            <w:vAlign w:val="center"/>
          </w:tcPr>
          <w:p w14:paraId="16CF2CB7">
            <w:pPr>
              <w:adjustRightInd w:val="0"/>
              <w:snapToGrid w:val="0"/>
              <w:spacing w:line="360" w:lineRule="auto"/>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具有水利水电相关专业中级及以上技术职称，且为本单位的在职人员</w:t>
            </w:r>
            <w:r>
              <w:rPr>
                <w:rFonts w:hint="eastAsia" w:ascii="宋体" w:hAnsi="宋体" w:cs="宋体"/>
                <w:color w:val="auto"/>
                <w:spacing w:val="1"/>
                <w:sz w:val="21"/>
                <w:szCs w:val="21"/>
                <w:highlight w:val="none"/>
                <w:lang w:val="en-US" w:eastAsia="zh-CN"/>
              </w:rPr>
              <w:t>并提供社保证明材料</w:t>
            </w:r>
            <w:r>
              <w:rPr>
                <w:rFonts w:hint="eastAsia" w:ascii="宋体" w:hAnsi="宋体" w:cs="宋体"/>
                <w:color w:val="auto"/>
                <w:spacing w:val="1"/>
                <w:sz w:val="21"/>
                <w:szCs w:val="21"/>
                <w:highlight w:val="none"/>
              </w:rPr>
              <w:t>。</w:t>
            </w:r>
          </w:p>
        </w:tc>
      </w:tr>
      <w:tr w14:paraId="50C2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646" w:type="dxa"/>
            <w:vAlign w:val="center"/>
          </w:tcPr>
          <w:p w14:paraId="1FFF9B19">
            <w:pPr>
              <w:adjustRightInd w:val="0"/>
              <w:snapToGrid w:val="0"/>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9</w:t>
            </w:r>
          </w:p>
        </w:tc>
        <w:tc>
          <w:tcPr>
            <w:tcW w:w="827" w:type="dxa"/>
            <w:vAlign w:val="center"/>
          </w:tcPr>
          <w:p w14:paraId="2BEDCB13">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w:t>
            </w:r>
          </w:p>
        </w:tc>
        <w:tc>
          <w:tcPr>
            <w:tcW w:w="1893" w:type="dxa"/>
            <w:vAlign w:val="center"/>
          </w:tcPr>
          <w:p w14:paraId="5C946C32">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其他要求</w:t>
            </w:r>
          </w:p>
        </w:tc>
        <w:tc>
          <w:tcPr>
            <w:tcW w:w="5912" w:type="dxa"/>
            <w:vAlign w:val="center"/>
          </w:tcPr>
          <w:p w14:paraId="4507A144">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承诺书）</w:t>
            </w:r>
          </w:p>
        </w:tc>
      </w:tr>
      <w:tr w14:paraId="5BAF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517AB54E">
            <w:pPr>
              <w:adjustRightInd w:val="0"/>
              <w:snapToGrid w:val="0"/>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10</w:t>
            </w:r>
          </w:p>
        </w:tc>
        <w:tc>
          <w:tcPr>
            <w:tcW w:w="827" w:type="dxa"/>
            <w:vAlign w:val="center"/>
          </w:tcPr>
          <w:p w14:paraId="6B8A5B82">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w:t>
            </w:r>
          </w:p>
        </w:tc>
        <w:tc>
          <w:tcPr>
            <w:tcW w:w="1893" w:type="dxa"/>
            <w:vAlign w:val="center"/>
          </w:tcPr>
          <w:p w14:paraId="35E572D4">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其他要求</w:t>
            </w:r>
          </w:p>
        </w:tc>
        <w:tc>
          <w:tcPr>
            <w:tcW w:w="5912" w:type="dxa"/>
            <w:vAlign w:val="center"/>
          </w:tcPr>
          <w:p w14:paraId="3E72F85F">
            <w:pPr>
              <w:spacing w:line="360" w:lineRule="auto"/>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供应商应在“信用中国”网站（https://www.creditchina.gov.cn）未被列入失信被执行人记录、重大税收违法失信主体且在中国政府采购网（https://www.ccgp.gov.cn）没有政府采购严重违法失信行为记录（被禁止在一定期限内参加政府采购活动但期限届满的除外）（由采购人或采购代理机构在响应文件开启时间前（当天）进行查询，供应商无需查询）。</w:t>
            </w:r>
          </w:p>
        </w:tc>
      </w:tr>
      <w:tr w14:paraId="1432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69922FE0">
            <w:pPr>
              <w:adjustRightInd w:val="0"/>
              <w:snapToGrid w:val="0"/>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11</w:t>
            </w:r>
          </w:p>
        </w:tc>
        <w:tc>
          <w:tcPr>
            <w:tcW w:w="827" w:type="dxa"/>
            <w:vAlign w:val="center"/>
          </w:tcPr>
          <w:p w14:paraId="28439345">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采购政策</w:t>
            </w:r>
          </w:p>
        </w:tc>
        <w:tc>
          <w:tcPr>
            <w:tcW w:w="1893" w:type="dxa"/>
            <w:vAlign w:val="center"/>
          </w:tcPr>
          <w:p w14:paraId="43759150">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落实政府采购政策需满足的资格要求：本项目专门面向中小微企业采购</w:t>
            </w:r>
          </w:p>
        </w:tc>
        <w:tc>
          <w:tcPr>
            <w:tcW w:w="5912" w:type="dxa"/>
            <w:vAlign w:val="center"/>
          </w:tcPr>
          <w:p w14:paraId="10547C56">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请根据要求单独上传《中小企业声明函》。格式以采购文件要求为准。</w:t>
            </w:r>
          </w:p>
        </w:tc>
      </w:tr>
    </w:tbl>
    <w:p w14:paraId="7822E149">
      <w:pPr>
        <w:spacing w:line="360" w:lineRule="auto"/>
        <w:ind w:firstLine="371" w:firstLineChars="177"/>
        <w:rPr>
          <w:rFonts w:hint="eastAsia" w:ascii="宋体" w:hAnsi="宋体" w:cs="宋体"/>
          <w:color w:val="auto"/>
          <w:sz w:val="21"/>
          <w:szCs w:val="21"/>
          <w:highlight w:val="none"/>
        </w:rPr>
      </w:pPr>
      <w:r>
        <w:rPr>
          <w:rFonts w:hint="eastAsia" w:ascii="宋体" w:hAnsi="宋体" w:cs="宋体"/>
          <w:color w:val="auto"/>
          <w:sz w:val="21"/>
          <w:szCs w:val="21"/>
          <w:highlight w:val="none"/>
        </w:rPr>
        <w:t>（1）上述评审标准中，若不满足要求，则不通过资格审查，响应文件不得进入下一阶段评审；</w:t>
      </w:r>
    </w:p>
    <w:p w14:paraId="6D29A2A1">
      <w:pPr>
        <w:spacing w:line="360" w:lineRule="auto"/>
        <w:ind w:firstLine="371" w:firstLineChars="177"/>
        <w:rPr>
          <w:rFonts w:hint="eastAsia" w:ascii="宋体" w:hAnsi="宋体" w:cs="宋体"/>
          <w:color w:val="auto"/>
          <w:sz w:val="21"/>
          <w:szCs w:val="21"/>
          <w:highlight w:val="none"/>
        </w:rPr>
      </w:pPr>
      <w:r>
        <w:rPr>
          <w:rFonts w:hint="eastAsia" w:ascii="宋体" w:hAnsi="宋体" w:cs="宋体"/>
          <w:color w:val="auto"/>
          <w:sz w:val="21"/>
          <w:szCs w:val="21"/>
          <w:highlight w:val="none"/>
        </w:rPr>
        <w:t>（2）磋商小组将根据磋商文件规定的要求对响应文件资格审查资料进行认真、详细的评审；</w:t>
      </w:r>
    </w:p>
    <w:p w14:paraId="7150F717">
      <w:pPr>
        <w:spacing w:line="360" w:lineRule="auto"/>
        <w:ind w:firstLine="371" w:firstLineChars="177"/>
        <w:rPr>
          <w:rFonts w:hint="eastAsia" w:ascii="宋体" w:hAnsi="宋体" w:cs="宋体"/>
          <w:color w:val="auto"/>
          <w:sz w:val="21"/>
          <w:szCs w:val="21"/>
          <w:highlight w:val="none"/>
        </w:rPr>
      </w:pPr>
      <w:r>
        <w:rPr>
          <w:rFonts w:hint="eastAsia" w:ascii="宋体" w:hAnsi="宋体" w:cs="宋体"/>
          <w:color w:val="auto"/>
          <w:sz w:val="21"/>
          <w:szCs w:val="21"/>
          <w:highlight w:val="none"/>
        </w:rPr>
        <w:t>（3）对未通过资格审查的供应商，采购人或代理机构将不</w:t>
      </w:r>
      <w:r>
        <w:rPr>
          <w:rFonts w:hint="eastAsia" w:ascii="宋体" w:hAnsi="宋体" w:cs="宋体"/>
          <w:color w:val="auto"/>
          <w:sz w:val="21"/>
          <w:szCs w:val="21"/>
          <w:highlight w:val="none"/>
          <w:lang w:eastAsia="zh-CN"/>
        </w:rPr>
        <w:t>做任何解释</w:t>
      </w:r>
      <w:r>
        <w:rPr>
          <w:rFonts w:hint="eastAsia" w:ascii="宋体" w:hAnsi="宋体" w:cs="宋体"/>
          <w:color w:val="auto"/>
          <w:sz w:val="21"/>
          <w:szCs w:val="21"/>
          <w:highlight w:val="none"/>
        </w:rPr>
        <w:t>。所有供应商的响应文件均不退还。</w:t>
      </w:r>
    </w:p>
    <w:p w14:paraId="4A243041">
      <w:pPr>
        <w:spacing w:line="360" w:lineRule="auto"/>
        <w:ind w:firstLine="371" w:firstLineChars="177"/>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（4）通过资格审查的供应商不足3家的，不得进入下一阶段评审。 </w:t>
      </w:r>
    </w:p>
    <w:p w14:paraId="695C140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3.3.2符合性要求评审，经审查有下列情况之一的供应商，作否决响应文件处理，不能进入下一阶段的详细评审；通过符合性评审的供应商数量不足3家的，不得进入下一步的比较和评价。</w:t>
      </w:r>
    </w:p>
    <w:tbl>
      <w:tblPr>
        <w:tblStyle w:val="50"/>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13"/>
        <w:gridCol w:w="2323"/>
        <w:gridCol w:w="5067"/>
      </w:tblGrid>
      <w:tr w14:paraId="04FB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C79A917">
            <w:pPr>
              <w:adjustRightInd w:val="0"/>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113" w:type="dxa"/>
            <w:vAlign w:val="center"/>
          </w:tcPr>
          <w:p w14:paraId="32588896">
            <w:pPr>
              <w:adjustRightInd w:val="0"/>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类型</w:t>
            </w:r>
          </w:p>
        </w:tc>
        <w:tc>
          <w:tcPr>
            <w:tcW w:w="2323" w:type="dxa"/>
            <w:vAlign w:val="center"/>
          </w:tcPr>
          <w:p w14:paraId="097CA2EF">
            <w:pPr>
              <w:adjustRightInd w:val="0"/>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审查要求</w:t>
            </w:r>
          </w:p>
        </w:tc>
        <w:tc>
          <w:tcPr>
            <w:tcW w:w="5067" w:type="dxa"/>
            <w:vAlign w:val="center"/>
          </w:tcPr>
          <w:p w14:paraId="0D836665">
            <w:pPr>
              <w:adjustRightInd w:val="0"/>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要求说明</w:t>
            </w:r>
          </w:p>
        </w:tc>
      </w:tr>
      <w:tr w14:paraId="010A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75" w:type="dxa"/>
            <w:vAlign w:val="center"/>
          </w:tcPr>
          <w:p w14:paraId="50C01C86">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113" w:type="dxa"/>
            <w:vAlign w:val="center"/>
          </w:tcPr>
          <w:p w14:paraId="75131100">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报价</w:t>
            </w:r>
          </w:p>
        </w:tc>
        <w:tc>
          <w:tcPr>
            <w:tcW w:w="2323" w:type="dxa"/>
            <w:vAlign w:val="center"/>
          </w:tcPr>
          <w:p w14:paraId="77802269">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磋商报价</w:t>
            </w:r>
          </w:p>
        </w:tc>
        <w:tc>
          <w:tcPr>
            <w:tcW w:w="5067" w:type="dxa"/>
            <w:vAlign w:val="center"/>
          </w:tcPr>
          <w:p w14:paraId="09B50844">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磋商报价符合竞争性磋商文件要求。</w:t>
            </w:r>
          </w:p>
        </w:tc>
      </w:tr>
      <w:tr w14:paraId="4DAB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6994106">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113" w:type="dxa"/>
            <w:vAlign w:val="center"/>
          </w:tcPr>
          <w:p w14:paraId="10603CCE">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商务</w:t>
            </w:r>
          </w:p>
        </w:tc>
        <w:tc>
          <w:tcPr>
            <w:tcW w:w="2323" w:type="dxa"/>
            <w:vAlign w:val="center"/>
          </w:tcPr>
          <w:p w14:paraId="57095219">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合同履行期限</w:t>
            </w:r>
          </w:p>
        </w:tc>
        <w:tc>
          <w:tcPr>
            <w:tcW w:w="5067" w:type="dxa"/>
            <w:vAlign w:val="center"/>
          </w:tcPr>
          <w:p w14:paraId="1B9F69D1">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符合第二章“供应商须知”第1.3.2项规定。</w:t>
            </w:r>
          </w:p>
        </w:tc>
      </w:tr>
      <w:tr w14:paraId="0ED4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D63821D">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113" w:type="dxa"/>
            <w:vAlign w:val="center"/>
          </w:tcPr>
          <w:p w14:paraId="2D835CDE">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商务</w:t>
            </w:r>
          </w:p>
        </w:tc>
        <w:tc>
          <w:tcPr>
            <w:tcW w:w="2323" w:type="dxa"/>
            <w:vAlign w:val="center"/>
          </w:tcPr>
          <w:p w14:paraId="238E6B52">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磋商有效期</w:t>
            </w:r>
          </w:p>
        </w:tc>
        <w:tc>
          <w:tcPr>
            <w:tcW w:w="5067" w:type="dxa"/>
            <w:vAlign w:val="center"/>
          </w:tcPr>
          <w:p w14:paraId="29B7E4E2">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符合第二章“供应商须知”第3.3</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项规定。</w:t>
            </w:r>
          </w:p>
        </w:tc>
      </w:tr>
      <w:tr w14:paraId="72D5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47B6171">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113" w:type="dxa"/>
            <w:vAlign w:val="center"/>
          </w:tcPr>
          <w:p w14:paraId="4C55F95E">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商务</w:t>
            </w:r>
          </w:p>
        </w:tc>
        <w:tc>
          <w:tcPr>
            <w:tcW w:w="2323" w:type="dxa"/>
            <w:vAlign w:val="center"/>
          </w:tcPr>
          <w:p w14:paraId="194C6717">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质量</w:t>
            </w:r>
            <w:r>
              <w:rPr>
                <w:rFonts w:hint="eastAsia" w:ascii="宋体" w:hAnsi="宋体" w:cs="宋体"/>
                <w:color w:val="auto"/>
                <w:sz w:val="21"/>
                <w:szCs w:val="21"/>
                <w:highlight w:val="none"/>
                <w:lang w:val="en-US" w:eastAsia="zh-CN"/>
              </w:rPr>
              <w:t>承诺</w:t>
            </w:r>
          </w:p>
        </w:tc>
        <w:tc>
          <w:tcPr>
            <w:tcW w:w="5067" w:type="dxa"/>
            <w:vAlign w:val="center"/>
          </w:tcPr>
          <w:p w14:paraId="231B8BF7">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符合第二章“供应商须知”第1.3.3项规定。</w:t>
            </w:r>
          </w:p>
        </w:tc>
      </w:tr>
      <w:tr w14:paraId="15CF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13650B6">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113" w:type="dxa"/>
            <w:vAlign w:val="center"/>
          </w:tcPr>
          <w:p w14:paraId="46B3909F">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w:t>
            </w:r>
          </w:p>
        </w:tc>
        <w:tc>
          <w:tcPr>
            <w:tcW w:w="2323" w:type="dxa"/>
            <w:shd w:val="clear" w:color="auto" w:fill="auto"/>
            <w:vAlign w:val="center"/>
          </w:tcPr>
          <w:p w14:paraId="1DB44975">
            <w:pPr>
              <w:adjustRightInd w:val="0"/>
              <w:snapToGrid w:val="0"/>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响应文件格式</w:t>
            </w:r>
          </w:p>
        </w:tc>
        <w:tc>
          <w:tcPr>
            <w:tcW w:w="5067" w:type="dxa"/>
            <w:shd w:val="clear" w:color="auto" w:fill="auto"/>
            <w:vAlign w:val="center"/>
          </w:tcPr>
          <w:p w14:paraId="2F552E6A">
            <w:pPr>
              <w:adjustRightInd w:val="0"/>
              <w:snapToGrid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符合第七章“响应文件格式”的要求。</w:t>
            </w:r>
          </w:p>
        </w:tc>
      </w:tr>
      <w:tr w14:paraId="0F9F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8E44DE5">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113" w:type="dxa"/>
            <w:vAlign w:val="center"/>
          </w:tcPr>
          <w:p w14:paraId="0F9F0FE9">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w:t>
            </w:r>
          </w:p>
        </w:tc>
        <w:tc>
          <w:tcPr>
            <w:tcW w:w="2323" w:type="dxa"/>
            <w:shd w:val="clear" w:color="auto" w:fill="auto"/>
            <w:vAlign w:val="center"/>
          </w:tcPr>
          <w:p w14:paraId="77716966">
            <w:pPr>
              <w:adjustRightInd w:val="0"/>
              <w:snapToGrid w:val="0"/>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响应文件的签署</w:t>
            </w:r>
          </w:p>
        </w:tc>
        <w:tc>
          <w:tcPr>
            <w:tcW w:w="5067" w:type="dxa"/>
            <w:shd w:val="clear" w:color="auto" w:fill="auto"/>
            <w:vAlign w:val="center"/>
          </w:tcPr>
          <w:p w14:paraId="3EE8BE54">
            <w:pPr>
              <w:adjustRightInd w:val="0"/>
              <w:snapToGrid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符合第二章“供应商须知”第3.7.3项规定。</w:t>
            </w:r>
          </w:p>
        </w:tc>
      </w:tr>
      <w:tr w14:paraId="1EDA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C9738CD">
            <w:pPr>
              <w:adjustRightInd w:val="0"/>
              <w:snapToGrid w:val="0"/>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113" w:type="dxa"/>
            <w:vAlign w:val="center"/>
          </w:tcPr>
          <w:p w14:paraId="1C1C50E7">
            <w:pPr>
              <w:adjustRightInd w:val="0"/>
              <w:snapToGrid w:val="0"/>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w:t>
            </w:r>
          </w:p>
        </w:tc>
        <w:tc>
          <w:tcPr>
            <w:tcW w:w="2323" w:type="dxa"/>
            <w:shd w:val="clear" w:color="auto" w:fill="auto"/>
            <w:vAlign w:val="center"/>
          </w:tcPr>
          <w:p w14:paraId="2457E203">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w:t>
            </w:r>
          </w:p>
        </w:tc>
        <w:tc>
          <w:tcPr>
            <w:tcW w:w="5067" w:type="dxa"/>
            <w:shd w:val="clear" w:color="auto" w:fill="auto"/>
            <w:vAlign w:val="center"/>
          </w:tcPr>
          <w:p w14:paraId="1632F495">
            <w:pPr>
              <w:adjustRightInd w:val="0"/>
              <w:snapToGrid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符合竞争性磋商文件规定的其他实质性条款的。</w:t>
            </w:r>
          </w:p>
        </w:tc>
      </w:tr>
    </w:tbl>
    <w:p w14:paraId="38B6321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3.3.3响应文件算术错误的修正</w:t>
      </w:r>
    </w:p>
    <w:p w14:paraId="40AC10E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（1）磋商小组将对确定为实质上响应竞争性磋商文件要求的响应文件进行校核，看其是否有计算或表达上的错误，修正错误的原则如下：</w:t>
      </w:r>
    </w:p>
    <w:p w14:paraId="2410DCB0">
      <w:pPr>
        <w:spacing w:line="360" w:lineRule="auto"/>
        <w:ind w:firstLine="495" w:firstLineChars="236"/>
        <w:rPr>
          <w:rFonts w:hint="eastAsia" w:ascii="宋体" w:hAnsi="宋体" w:cs="宋体"/>
          <w:color w:val="auto"/>
          <w:sz w:val="21"/>
          <w:szCs w:val="21"/>
          <w:highlight w:val="none"/>
        </w:rPr>
      </w:pPr>
      <w:r>
        <w:rPr>
          <w:rFonts w:hint="eastAsia" w:ascii="宋体" w:hAnsi="宋体" w:cs="宋体"/>
          <w:color w:val="auto"/>
          <w:sz w:val="21"/>
          <w:szCs w:val="21"/>
          <w:highlight w:val="none"/>
        </w:rPr>
        <w:t>A.如果数字表示的金额和用文字表示的金额不一致时，应以文字表示的金额为准；</w:t>
      </w:r>
    </w:p>
    <w:p w14:paraId="35EF07F5">
      <w:pPr>
        <w:spacing w:line="360" w:lineRule="auto"/>
        <w:ind w:firstLine="495" w:firstLineChars="236"/>
        <w:rPr>
          <w:rFonts w:hint="eastAsia" w:ascii="宋体" w:hAnsi="宋体" w:cs="宋体"/>
          <w:color w:val="auto"/>
          <w:sz w:val="21"/>
          <w:szCs w:val="21"/>
          <w:highlight w:val="none"/>
        </w:rPr>
      </w:pPr>
      <w:r>
        <w:rPr>
          <w:rFonts w:hint="eastAsia" w:ascii="宋体" w:hAnsi="宋体" w:cs="宋体"/>
          <w:color w:val="auto"/>
          <w:sz w:val="21"/>
          <w:szCs w:val="21"/>
          <w:highlight w:val="none"/>
        </w:rPr>
        <w:t>B.当单价与数量的乘积与合价不一致时，以单价为准，除非单价有明显的小数点错误，此时应以标出的合价为准，并修改单价。</w:t>
      </w:r>
    </w:p>
    <w:p w14:paraId="2E11087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（2）按上述修正错误的原则及方法调整或修正响应文件的磋商</w:t>
      </w:r>
      <w:r>
        <w:rPr>
          <w:rFonts w:hint="eastAsia" w:ascii="宋体" w:hAnsi="宋体" w:cs="宋体"/>
          <w:color w:val="auto"/>
          <w:sz w:val="21"/>
          <w:szCs w:val="21"/>
          <w:highlight w:val="none"/>
          <w:lang w:eastAsia="zh-CN"/>
        </w:rPr>
        <w:t>，经</w:t>
      </w:r>
      <w:r>
        <w:rPr>
          <w:rFonts w:hint="eastAsia" w:ascii="宋体" w:hAnsi="宋体" w:cs="宋体"/>
          <w:color w:val="auto"/>
          <w:sz w:val="21"/>
          <w:szCs w:val="21"/>
          <w:highlight w:val="none"/>
        </w:rPr>
        <w:t>供应商同意后，调整后的磋商报价对供应商起约束作用。如果供应商不接受修正后的报价，则其供应商将被拒绝，其响应文件</w:t>
      </w:r>
      <w:r>
        <w:rPr>
          <w:rFonts w:hint="eastAsia" w:ascii="宋体" w:hAnsi="宋体" w:cs="宋体"/>
          <w:color w:val="auto"/>
          <w:sz w:val="21"/>
          <w:szCs w:val="21"/>
          <w:highlight w:val="none"/>
          <w:lang w:eastAsia="zh-CN"/>
        </w:rPr>
        <w:t>作</w:t>
      </w:r>
      <w:r>
        <w:rPr>
          <w:rFonts w:hint="eastAsia" w:ascii="宋体" w:hAnsi="宋体" w:cs="宋体"/>
          <w:color w:val="auto"/>
          <w:sz w:val="21"/>
          <w:szCs w:val="21"/>
          <w:highlight w:val="none"/>
        </w:rPr>
        <w:t>否决响应文件处理，并不影响评审工作。</w:t>
      </w:r>
    </w:p>
    <w:p w14:paraId="5E7D80A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3.3.4磋商小组依据本章规定的标准对供应商递交的响应文件依次进行资格审查、符合性评审，判断响应文件的形式是否符合要求、供应商是否符合资格条件、响应文件是否实质性响应采购文件的要求。只有以上评审合格的响应文件才可通过相应评审。</w:t>
      </w:r>
    </w:p>
    <w:p w14:paraId="0FBCBFC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3.3.5响应文件中有含义不明确、同类问题表述不一致或有明显文字和计算错误的内容，磋商小组应要求供应商在规定时间内进行澄清、说明和补正。供应商澄清、说明和补正的内容应由法定代表人（单位负责人）或其授权的代理人签字或加盖单</w:t>
      </w:r>
      <w:r>
        <w:rPr>
          <w:rFonts w:hint="eastAsia" w:ascii="宋体" w:hAnsi="宋体" w:cs="宋体"/>
          <w:color w:val="auto"/>
          <w:sz w:val="21"/>
          <w:szCs w:val="21"/>
          <w:highlight w:val="none"/>
          <w:lang w:eastAsia="zh-CN"/>
        </w:rPr>
        <w:t>位公</w:t>
      </w:r>
      <w:r>
        <w:rPr>
          <w:rFonts w:hint="eastAsia" w:ascii="宋体" w:hAnsi="宋体" w:cs="宋体"/>
          <w:color w:val="auto"/>
          <w:sz w:val="21"/>
          <w:szCs w:val="21"/>
          <w:highlight w:val="none"/>
        </w:rPr>
        <w:t>章。澄清、说明和补正的内容作为响应文件的组成部分。</w:t>
      </w:r>
    </w:p>
    <w:p w14:paraId="5716624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3.3.6经供应商澄清、说明和补正后仍不满足相应评审要求的响应文件，或供应商有串通、弄虚作假、行贿等违法行为的，其响应文件将被视为无效，磋商小组应告知有关供应商。</w:t>
      </w:r>
    </w:p>
    <w:p w14:paraId="10C60D7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3.3.7磋商</w:t>
      </w:r>
    </w:p>
    <w:p w14:paraId="18FFAB35">
      <w:pPr>
        <w:numPr>
          <w:ilvl w:val="0"/>
          <w:numId w:val="3"/>
        </w:numPr>
        <w:spacing w:line="360" w:lineRule="auto"/>
        <w:ind w:firstLine="420" w:firstLineChars="20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通过资格审查及</w:t>
      </w:r>
      <w:r>
        <w:rPr>
          <w:rFonts w:hint="eastAsia" w:ascii="宋体" w:hAnsi="宋体" w:cs="宋体"/>
          <w:color w:val="auto"/>
          <w:sz w:val="21"/>
          <w:szCs w:val="21"/>
          <w:highlight w:val="none"/>
        </w:rPr>
        <w:t>符合性</w:t>
      </w:r>
      <w:r>
        <w:rPr>
          <w:rFonts w:hint="eastAsia" w:ascii="宋体" w:hAnsi="宋体" w:cs="宋体"/>
          <w:color w:val="auto"/>
          <w:sz w:val="21"/>
          <w:szCs w:val="21"/>
          <w:highlight w:val="none"/>
          <w:lang w:val="zh-CN"/>
        </w:rPr>
        <w:t>评审的供应商方可进入磋商阶段。</w:t>
      </w:r>
    </w:p>
    <w:p w14:paraId="2357D856">
      <w:pPr>
        <w:numPr>
          <w:ilvl w:val="0"/>
          <w:numId w:val="3"/>
        </w:num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w:t>
      </w:r>
      <w:r>
        <w:rPr>
          <w:rFonts w:hint="eastAsia" w:ascii="宋体" w:hAnsi="宋体" w:cs="宋体"/>
          <w:color w:val="auto"/>
          <w:sz w:val="21"/>
          <w:szCs w:val="21"/>
          <w:highlight w:val="none"/>
          <w:lang w:val="zh-CN"/>
        </w:rPr>
        <w:t>按照磋商文件的要求</w:t>
      </w:r>
      <w:r>
        <w:rPr>
          <w:rFonts w:hint="eastAsia" w:ascii="宋体" w:hAnsi="宋体" w:cs="宋体"/>
          <w:color w:val="auto"/>
          <w:sz w:val="21"/>
          <w:szCs w:val="21"/>
          <w:highlight w:val="none"/>
        </w:rPr>
        <w:t>，与供应商分别进行磋商。经过商务磋商一时不能达成磋商目标时，应暂停磋商，磋商小组分析具体原因，然后再择时进行下一轮磋商。必要时，进行多轮磋商。磋商小组所有成员应当集中与单一供应商分别进行磋商，并给予所有参加磋商的供应商平等的磋商机会。</w:t>
      </w:r>
    </w:p>
    <w:p w14:paraId="7C132B0A">
      <w:pPr>
        <w:spacing w:line="360" w:lineRule="auto"/>
        <w:ind w:firstLine="420" w:firstLineChars="20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3</w:t>
      </w:r>
      <w:r>
        <w:rPr>
          <w:rFonts w:hint="eastAsia" w:ascii="宋体" w:hAnsi="宋体" w:cs="宋体"/>
          <w:color w:val="auto"/>
          <w:sz w:val="21"/>
          <w:szCs w:val="21"/>
          <w:highlight w:val="none"/>
          <w:lang w:val="zh-CN"/>
        </w:rPr>
        <w:t>）在磋商过程中，磋商小组可以根据磋商文件和磋商情况实质性变动采购需求中的技术、要求以及合同草案条款，但不得变动磋商文件中的其他内容。实质性变动的内容，须经采购人代表确认。</w:t>
      </w:r>
    </w:p>
    <w:p w14:paraId="066709A2">
      <w:pPr>
        <w:spacing w:line="360" w:lineRule="auto"/>
        <w:ind w:firstLine="420" w:firstLineChars="20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对磋商文件作出的实质性变动是磋商文件的有效组成部分，磋商小组应当及时通过“政采云”平台通知所有参加磋商的供应商。</w:t>
      </w:r>
    </w:p>
    <w:p w14:paraId="39E94E04">
      <w:pPr>
        <w:spacing w:line="360" w:lineRule="auto"/>
        <w:ind w:firstLine="420" w:firstLineChars="20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供应商应当按照磋商文件的变动情况和磋商小组的要求提交响应文件</w:t>
      </w:r>
      <w:r>
        <w:rPr>
          <w:rFonts w:hint="eastAsia" w:ascii="宋体" w:hAnsi="宋体" w:cs="宋体"/>
          <w:color w:val="auto"/>
          <w:sz w:val="21"/>
          <w:szCs w:val="21"/>
          <w:highlight w:val="none"/>
        </w:rPr>
        <w:t>的补充文件</w:t>
      </w:r>
      <w:r>
        <w:rPr>
          <w:rFonts w:hint="eastAsia" w:ascii="宋体" w:hAnsi="宋体" w:cs="宋体"/>
          <w:color w:val="auto"/>
          <w:sz w:val="21"/>
          <w:szCs w:val="21"/>
          <w:highlight w:val="none"/>
          <w:lang w:val="zh-CN"/>
        </w:rPr>
        <w:t>，并由供应商</w:t>
      </w:r>
      <w:r>
        <w:rPr>
          <w:rFonts w:hint="eastAsia" w:ascii="宋体" w:hAnsi="宋体" w:cs="宋体"/>
          <w:color w:val="auto"/>
          <w:sz w:val="21"/>
          <w:szCs w:val="21"/>
          <w:highlight w:val="none"/>
        </w:rPr>
        <w:t>进行</w:t>
      </w:r>
      <w:r>
        <w:rPr>
          <w:rFonts w:hint="eastAsia" w:ascii="宋体" w:hAnsi="宋体" w:cs="宋体"/>
          <w:color w:val="auto"/>
          <w:sz w:val="21"/>
          <w:szCs w:val="21"/>
          <w:highlight w:val="none"/>
          <w:lang w:val="zh-CN"/>
        </w:rPr>
        <w:t>签章。由授权代表签字的，应当附法定代表人授权书。</w:t>
      </w:r>
    </w:p>
    <w:p w14:paraId="4662B1D7">
      <w:pPr>
        <w:spacing w:line="360" w:lineRule="auto"/>
        <w:ind w:firstLine="420" w:firstLineChars="20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（4）磋商结束后，</w:t>
      </w:r>
      <w:r>
        <w:rPr>
          <w:rFonts w:hint="eastAsia" w:ascii="宋体" w:hAnsi="宋体" w:cs="宋体"/>
          <w:color w:val="auto"/>
          <w:sz w:val="21"/>
          <w:szCs w:val="21"/>
          <w:highlight w:val="none"/>
          <w:lang w:val="zh-CN"/>
        </w:rPr>
        <w:t>参加磋商的供应商应当</w:t>
      </w:r>
      <w:r>
        <w:rPr>
          <w:rFonts w:hint="eastAsia" w:ascii="宋体" w:hAnsi="宋体" w:cs="宋体"/>
          <w:color w:val="auto"/>
          <w:sz w:val="21"/>
          <w:szCs w:val="21"/>
          <w:highlight w:val="none"/>
        </w:rPr>
        <w:t>在规定的时间内</w:t>
      </w:r>
      <w:r>
        <w:rPr>
          <w:rFonts w:hint="eastAsia" w:ascii="宋体" w:hAnsi="宋体" w:cs="宋体"/>
          <w:color w:val="auto"/>
          <w:sz w:val="21"/>
          <w:szCs w:val="21"/>
          <w:highlight w:val="none"/>
          <w:lang w:val="zh-CN"/>
        </w:rPr>
        <w:t>进行最后报价，并</w:t>
      </w:r>
      <w:r>
        <w:rPr>
          <w:rFonts w:hint="eastAsia" w:ascii="宋体" w:hAnsi="宋体" w:cs="宋体"/>
          <w:color w:val="auto"/>
          <w:sz w:val="21"/>
          <w:szCs w:val="21"/>
          <w:highlight w:val="none"/>
        </w:rPr>
        <w:t>在“政采云”平台</w:t>
      </w:r>
      <w:r>
        <w:rPr>
          <w:rFonts w:hint="eastAsia" w:ascii="宋体" w:hAnsi="宋体" w:cs="宋体"/>
          <w:color w:val="auto"/>
          <w:sz w:val="21"/>
          <w:szCs w:val="21"/>
          <w:highlight w:val="none"/>
          <w:lang w:val="zh-CN"/>
        </w:rPr>
        <w:t>确认，最后报价递交时间由磋商小组根据磋商实际情况确定，</w:t>
      </w:r>
      <w:r>
        <w:rPr>
          <w:rFonts w:hint="eastAsia" w:ascii="宋体" w:hAnsi="宋体" w:cs="宋体"/>
          <w:color w:val="auto"/>
          <w:sz w:val="21"/>
          <w:szCs w:val="21"/>
          <w:highlight w:val="none"/>
        </w:rPr>
        <w:t xml:space="preserve">提交最后报价的供应商不得少于3家 </w:t>
      </w:r>
      <w:r>
        <w:rPr>
          <w:rFonts w:hint="eastAsia" w:ascii="宋体" w:hAnsi="宋体" w:cs="宋体"/>
          <w:color w:val="auto"/>
          <w:sz w:val="21"/>
          <w:szCs w:val="21"/>
          <w:highlight w:val="none"/>
          <w:lang w:val="zh-CN"/>
        </w:rPr>
        <w:t>。</w:t>
      </w:r>
    </w:p>
    <w:p w14:paraId="534D5C65">
      <w:pPr>
        <w:spacing w:line="360" w:lineRule="auto"/>
        <w:ind w:firstLine="420" w:firstLineChars="20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5</w:t>
      </w:r>
      <w:r>
        <w:rPr>
          <w:rFonts w:hint="eastAsia" w:ascii="宋体" w:hAnsi="宋体" w:cs="宋体"/>
          <w:color w:val="auto"/>
          <w:sz w:val="21"/>
          <w:szCs w:val="21"/>
          <w:highlight w:val="none"/>
          <w:lang w:val="zh-CN"/>
        </w:rPr>
        <w:t>）经磋商确定最后报价的供应商后，由磋商小组采用综合评分法对提交最后报价的供应商的响应文件和最后报价进行综合评分。</w:t>
      </w:r>
    </w:p>
    <w:p w14:paraId="59DE7FFB">
      <w:pPr>
        <w:spacing w:line="360" w:lineRule="auto"/>
        <w:ind w:firstLine="420" w:firstLineChars="20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zh-CN"/>
        </w:rPr>
        <w:t>.3.</w:t>
      </w:r>
      <w:r>
        <w:rPr>
          <w:rFonts w:hint="eastAsia" w:ascii="宋体" w:hAnsi="宋体" w:cs="宋体"/>
          <w:color w:val="auto"/>
          <w:sz w:val="21"/>
          <w:szCs w:val="21"/>
          <w:highlight w:val="none"/>
        </w:rPr>
        <w:t>8</w:t>
      </w:r>
      <w:r>
        <w:rPr>
          <w:rFonts w:hint="eastAsia" w:ascii="宋体" w:hAnsi="宋体" w:cs="宋体"/>
          <w:color w:val="auto"/>
          <w:sz w:val="21"/>
          <w:szCs w:val="21"/>
          <w:highlight w:val="none"/>
          <w:lang w:val="zh-CN"/>
        </w:rPr>
        <w:t>详细评审标准</w:t>
      </w:r>
    </w:p>
    <w:tbl>
      <w:tblPr>
        <w:tblStyle w:val="50"/>
        <w:tblpPr w:leftFromText="180" w:rightFromText="180" w:vertAnchor="text" w:horzAnchor="page" w:tblpX="1462" w:tblpY="455"/>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701"/>
        <w:gridCol w:w="5500"/>
      </w:tblGrid>
      <w:tr w14:paraId="2A9D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838" w:type="dxa"/>
            <w:vAlign w:val="center"/>
          </w:tcPr>
          <w:p w14:paraId="47E0B299">
            <w:pPr>
              <w:widowControl w:val="0"/>
              <w:adjustRightInd w:val="0"/>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评审内容</w:t>
            </w:r>
          </w:p>
        </w:tc>
        <w:tc>
          <w:tcPr>
            <w:tcW w:w="1701" w:type="dxa"/>
            <w:vAlign w:val="center"/>
          </w:tcPr>
          <w:p w14:paraId="12307F70">
            <w:pPr>
              <w:widowControl w:val="0"/>
              <w:adjustRightInd w:val="0"/>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评审项目</w:t>
            </w:r>
          </w:p>
        </w:tc>
        <w:tc>
          <w:tcPr>
            <w:tcW w:w="5500" w:type="dxa"/>
            <w:vAlign w:val="center"/>
          </w:tcPr>
          <w:p w14:paraId="699595B8">
            <w:pPr>
              <w:widowControl w:val="0"/>
              <w:adjustRightInd w:val="0"/>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评审标准</w:t>
            </w:r>
          </w:p>
        </w:tc>
      </w:tr>
      <w:tr w14:paraId="0D99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838" w:type="dxa"/>
            <w:vAlign w:val="center"/>
          </w:tcPr>
          <w:p w14:paraId="7E7E68A0">
            <w:pPr>
              <w:widowControl w:val="0"/>
              <w:adjustRightInd w:val="0"/>
              <w:snapToGrid w:val="0"/>
              <w:spacing w:line="360" w:lineRule="auto"/>
              <w:jc w:val="center"/>
              <w:rPr>
                <w:rFonts w:hint="eastAsia" w:ascii="宋体" w:hAnsi="宋体" w:cs="宋体"/>
                <w:b/>
                <w:color w:val="auto"/>
                <w:sz w:val="21"/>
                <w:szCs w:val="21"/>
                <w:highlight w:val="none"/>
                <w:lang w:val="zh-CN"/>
              </w:rPr>
            </w:pPr>
            <w:r>
              <w:rPr>
                <w:rFonts w:hint="eastAsia" w:ascii="宋体" w:hAnsi="宋体" w:cs="宋体"/>
                <w:b/>
                <w:color w:val="auto"/>
                <w:sz w:val="21"/>
                <w:szCs w:val="21"/>
                <w:highlight w:val="none"/>
                <w:lang w:val="zh-CN"/>
              </w:rPr>
              <w:t>报价部分评分</w:t>
            </w:r>
          </w:p>
          <w:p w14:paraId="5280ADDF">
            <w:pPr>
              <w:widowControl w:val="0"/>
              <w:adjustRightInd w:val="0"/>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lang w:val="zh-CN"/>
              </w:rPr>
              <w:t>（满分</w:t>
            </w:r>
            <w:r>
              <w:rPr>
                <w:rFonts w:hint="eastAsia" w:ascii="宋体" w:hAnsi="宋体" w:cs="宋体"/>
                <w:b/>
                <w:color w:val="auto"/>
                <w:sz w:val="21"/>
                <w:szCs w:val="21"/>
                <w:highlight w:val="none"/>
              </w:rPr>
              <w:t>20</w:t>
            </w:r>
            <w:r>
              <w:rPr>
                <w:rFonts w:hint="eastAsia" w:ascii="宋体" w:hAnsi="宋体" w:cs="宋体"/>
                <w:b/>
                <w:color w:val="auto"/>
                <w:sz w:val="21"/>
                <w:szCs w:val="21"/>
                <w:highlight w:val="none"/>
                <w:lang w:val="zh-CN"/>
              </w:rPr>
              <w:t>分）</w:t>
            </w:r>
          </w:p>
        </w:tc>
        <w:tc>
          <w:tcPr>
            <w:tcW w:w="1701" w:type="dxa"/>
            <w:vAlign w:val="center"/>
          </w:tcPr>
          <w:p w14:paraId="2D9B25A5">
            <w:pPr>
              <w:widowControl w:val="0"/>
              <w:adjustRightInd w:val="0"/>
              <w:snapToGrid w:val="0"/>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磋商总报价</w:t>
            </w:r>
          </w:p>
          <w:p w14:paraId="33FFF86B">
            <w:pPr>
              <w:widowControl w:val="0"/>
              <w:adjustRightInd w:val="0"/>
              <w:snapToGrid w:val="0"/>
              <w:spacing w:line="360" w:lineRule="auto"/>
              <w:jc w:val="center"/>
              <w:rPr>
                <w:rFonts w:hint="eastAsia" w:ascii="宋体" w:hAnsi="宋体" w:cs="宋体"/>
                <w:b/>
                <w:color w:val="auto"/>
                <w:sz w:val="21"/>
                <w:szCs w:val="21"/>
                <w:highlight w:val="none"/>
              </w:rPr>
            </w:pPr>
            <w:r>
              <w:rPr>
                <w:rFonts w:hint="eastAsia" w:ascii="宋体" w:hAnsi="宋体" w:cs="宋体"/>
                <w:bCs/>
                <w:color w:val="auto"/>
                <w:sz w:val="21"/>
                <w:szCs w:val="21"/>
                <w:highlight w:val="none"/>
              </w:rPr>
              <w:t>（20分）</w:t>
            </w:r>
          </w:p>
        </w:tc>
        <w:tc>
          <w:tcPr>
            <w:tcW w:w="5500" w:type="dxa"/>
            <w:vAlign w:val="center"/>
          </w:tcPr>
          <w:p w14:paraId="7DE9F3AA">
            <w:pPr>
              <w:widowControl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报价部分评分即对供应商所报最终有效总报价进行评审，其价格分统一采用低价优先法计算，即满足磋商文件要求且最后报价最低的供应商的价格为磋商基准价，其价格分为满分。其他供应商的价格分统一按照下列公式计算：</w:t>
            </w:r>
          </w:p>
          <w:p w14:paraId="1335B5F3">
            <w:pPr>
              <w:widowControl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磋商报价得分=（磋商基准价/最后磋商报价）×20</w:t>
            </w:r>
          </w:p>
          <w:p w14:paraId="0E91E20E">
            <w:pPr>
              <w:widowControl w:val="0"/>
              <w:adjustRightInd w:val="0"/>
              <w:snapToGrid w:val="0"/>
              <w:spacing w:line="360" w:lineRule="auto"/>
              <w:rPr>
                <w:rFonts w:hint="eastAsia" w:ascii="宋体" w:hAnsi="宋体" w:cs="宋体"/>
                <w:b/>
                <w:color w:val="auto"/>
                <w:sz w:val="21"/>
                <w:szCs w:val="21"/>
                <w:highlight w:val="none"/>
              </w:rPr>
            </w:pPr>
            <w:r>
              <w:rPr>
                <w:rFonts w:hint="eastAsia" w:ascii="宋体" w:hAnsi="宋体" w:cs="宋体"/>
                <w:color w:val="auto"/>
                <w:sz w:val="21"/>
                <w:szCs w:val="21"/>
                <w:highlight w:val="none"/>
              </w:rPr>
              <w:t>项目评审过程中，不得去掉最后报价中的最高报价和最低报价。</w:t>
            </w:r>
          </w:p>
        </w:tc>
      </w:tr>
      <w:tr w14:paraId="0E73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restart"/>
            <w:vAlign w:val="center"/>
          </w:tcPr>
          <w:p w14:paraId="62EA2299">
            <w:pPr>
              <w:widowControl w:val="0"/>
              <w:adjustRightInd w:val="0"/>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技术部分评分办法</w:t>
            </w:r>
          </w:p>
          <w:p w14:paraId="4B3E264B">
            <w:pPr>
              <w:widowControl w:val="0"/>
              <w:adjustRightInd w:val="0"/>
              <w:snapToGrid w:val="0"/>
              <w:spacing w:line="360" w:lineRule="auto"/>
              <w:rPr>
                <w:rFonts w:hint="eastAsia" w:ascii="宋体" w:hAnsi="宋体" w:cs="宋体"/>
                <w:b/>
                <w:color w:val="auto"/>
                <w:sz w:val="21"/>
                <w:szCs w:val="21"/>
                <w:highlight w:val="none"/>
                <w:lang w:val="zh-CN"/>
              </w:rPr>
            </w:pPr>
            <w:r>
              <w:rPr>
                <w:rFonts w:hint="eastAsia" w:ascii="宋体" w:hAnsi="宋体" w:cs="宋体"/>
                <w:b/>
                <w:color w:val="auto"/>
                <w:sz w:val="21"/>
                <w:szCs w:val="21"/>
                <w:highlight w:val="none"/>
              </w:rPr>
              <w:t>（满分65分）</w:t>
            </w:r>
          </w:p>
        </w:tc>
        <w:tc>
          <w:tcPr>
            <w:tcW w:w="1701" w:type="dxa"/>
            <w:vAlign w:val="center"/>
          </w:tcPr>
          <w:p w14:paraId="2A4FD580">
            <w:pPr>
              <w:widowControl w:val="0"/>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施工技术方案审查</w:t>
            </w:r>
          </w:p>
          <w:p w14:paraId="53BE6990">
            <w:pPr>
              <w:widowControl w:val="0"/>
              <w:adjustRightInd w:val="0"/>
              <w:snapToGrid w:val="0"/>
              <w:spacing w:line="360" w:lineRule="auto"/>
              <w:jc w:val="center"/>
              <w:rPr>
                <w:rFonts w:hint="eastAsia" w:ascii="宋体" w:hAnsi="宋体" w:cs="宋体"/>
                <w:b/>
                <w:color w:val="auto"/>
                <w:sz w:val="21"/>
                <w:szCs w:val="21"/>
                <w:highlight w:val="none"/>
                <w:lang w:val="zh-CN"/>
              </w:rPr>
            </w:pPr>
            <w:r>
              <w:rPr>
                <w:rFonts w:hint="eastAsia" w:ascii="宋体" w:hAnsi="宋体" w:cs="宋体"/>
                <w:color w:val="auto"/>
                <w:sz w:val="21"/>
                <w:szCs w:val="21"/>
                <w:highlight w:val="none"/>
              </w:rPr>
              <w:t>（18分）</w:t>
            </w:r>
          </w:p>
        </w:tc>
        <w:tc>
          <w:tcPr>
            <w:tcW w:w="5500" w:type="dxa"/>
          </w:tcPr>
          <w:p w14:paraId="4AE49FE4">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t>①施工技术方案</w:t>
            </w:r>
          </w:p>
          <w:p w14:paraId="3FD6BADB">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t>②施工程序</w:t>
            </w:r>
          </w:p>
          <w:p w14:paraId="2BCB32E9">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t>③施工大纲</w:t>
            </w:r>
          </w:p>
          <w:p w14:paraId="2D6CD5D5">
            <w:pPr>
              <w:widowControl w:val="0"/>
              <w:adjustRightInd w:val="0"/>
              <w:snapToGrid w:val="0"/>
              <w:spacing w:line="360" w:lineRule="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上述3项内容均提供了详尽描述的得满分18分；针对上述3项内容，每有一个缺项扣6分，分数扣完为止；每出现一处瑕疵扣1分，扣完为止。</w:t>
            </w:r>
          </w:p>
          <w:p w14:paraId="43542744">
            <w:pPr>
              <w:widowControl w:val="0"/>
              <w:adjustRightInd w:val="0"/>
              <w:snapToGrid w:val="0"/>
              <w:spacing w:line="360" w:lineRule="auto"/>
              <w:rPr>
                <w:rFonts w:hint="eastAsia" w:ascii="宋体" w:hAnsi="宋体" w:cs="宋体"/>
                <w:b/>
                <w:color w:val="auto"/>
                <w:sz w:val="21"/>
                <w:szCs w:val="21"/>
                <w:highlight w:val="none"/>
                <w:lang w:val="zh-CN"/>
              </w:rPr>
            </w:pPr>
            <w:r>
              <w:rPr>
                <w:rFonts w:hint="eastAsia" w:ascii="宋体" w:hAnsi="宋体" w:cs="宋体"/>
                <w:bCs/>
                <w:color w:val="auto"/>
                <w:sz w:val="21"/>
                <w:szCs w:val="21"/>
                <w:highlight w:val="none"/>
                <w:lang w:val="zh-CN"/>
              </w:rPr>
              <w:t>注：瑕疵是指：明显的逻辑错误、内容与本项目无关、明显的文字描述错误，</w:t>
            </w:r>
            <w:r>
              <w:rPr>
                <w:rFonts w:hint="eastAsia" w:ascii="宋体" w:hAnsi="宋体" w:cs="宋体"/>
                <w:bCs/>
                <w:color w:val="auto"/>
                <w:sz w:val="21"/>
                <w:szCs w:val="21"/>
                <w:highlight w:val="none"/>
              </w:rPr>
              <w:t>内容</w:t>
            </w:r>
            <w:r>
              <w:rPr>
                <w:rFonts w:hint="eastAsia" w:ascii="宋体" w:hAnsi="宋体" w:cs="宋体"/>
                <w:color w:val="auto"/>
                <w:sz w:val="21"/>
                <w:szCs w:val="21"/>
                <w:highlight w:val="none"/>
              </w:rPr>
              <w:t>缺乏完整性、合理性、针对性</w:t>
            </w:r>
            <w:r>
              <w:rPr>
                <w:rFonts w:hint="eastAsia" w:ascii="宋体" w:hAnsi="宋体" w:cs="宋体"/>
                <w:bCs/>
                <w:color w:val="auto"/>
                <w:sz w:val="21"/>
                <w:szCs w:val="21"/>
                <w:highlight w:val="none"/>
                <w:lang w:val="zh-CN"/>
              </w:rPr>
              <w:t>等。</w:t>
            </w:r>
          </w:p>
        </w:tc>
      </w:tr>
      <w:tr w14:paraId="3BE8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76BFB14F">
            <w:pPr>
              <w:widowControl w:val="0"/>
              <w:adjustRightInd w:val="0"/>
              <w:snapToGrid w:val="0"/>
              <w:spacing w:line="360" w:lineRule="auto"/>
              <w:rPr>
                <w:rFonts w:hint="eastAsia" w:ascii="宋体" w:hAnsi="宋体" w:cs="宋体"/>
                <w:b/>
                <w:color w:val="auto"/>
                <w:sz w:val="21"/>
                <w:szCs w:val="21"/>
                <w:highlight w:val="none"/>
                <w:lang w:val="zh-CN"/>
              </w:rPr>
            </w:pPr>
          </w:p>
        </w:tc>
        <w:tc>
          <w:tcPr>
            <w:tcW w:w="1701" w:type="dxa"/>
            <w:vAlign w:val="center"/>
          </w:tcPr>
          <w:p w14:paraId="33021D89">
            <w:pPr>
              <w:widowControl w:val="0"/>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质量承诺及保证措施审查</w:t>
            </w:r>
          </w:p>
          <w:p w14:paraId="7333D1BB">
            <w:pPr>
              <w:widowControl w:val="0"/>
              <w:adjustRightInd w:val="0"/>
              <w:snapToGrid w:val="0"/>
              <w:spacing w:line="360" w:lineRule="auto"/>
              <w:jc w:val="center"/>
              <w:rPr>
                <w:rFonts w:hint="eastAsia" w:ascii="宋体" w:hAnsi="宋体" w:cs="宋体"/>
                <w:b/>
                <w:color w:val="auto"/>
                <w:sz w:val="21"/>
                <w:szCs w:val="21"/>
                <w:highlight w:val="none"/>
                <w:lang w:val="zh-CN"/>
              </w:rPr>
            </w:pPr>
            <w:r>
              <w:rPr>
                <w:rFonts w:hint="eastAsia" w:ascii="宋体" w:hAnsi="宋体" w:cs="宋体"/>
                <w:color w:val="auto"/>
                <w:sz w:val="21"/>
                <w:szCs w:val="21"/>
                <w:highlight w:val="none"/>
              </w:rPr>
              <w:t>（12分）</w:t>
            </w:r>
          </w:p>
        </w:tc>
        <w:tc>
          <w:tcPr>
            <w:tcW w:w="5500" w:type="dxa"/>
          </w:tcPr>
          <w:p w14:paraId="2601DF48">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t>①有质量管理制度</w:t>
            </w:r>
          </w:p>
          <w:p w14:paraId="30DF99CF">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t>②有具体的违约责任承诺</w:t>
            </w:r>
          </w:p>
          <w:p w14:paraId="0D1C6D13">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t>③有工程质量保证措施的</w:t>
            </w:r>
          </w:p>
          <w:p w14:paraId="16912156">
            <w:pPr>
              <w:widowControl w:val="0"/>
              <w:adjustRightInd w:val="0"/>
              <w:snapToGrid w:val="0"/>
              <w:spacing w:line="360" w:lineRule="auto"/>
              <w:rPr>
                <w:rFonts w:hint="eastAsia" w:ascii="宋体" w:hAnsi="宋体" w:cs="宋体"/>
                <w:color w:val="auto"/>
                <w:kern w:val="2"/>
                <w:sz w:val="21"/>
                <w:szCs w:val="21"/>
                <w:highlight w:val="none"/>
              </w:rPr>
            </w:pPr>
            <w:r>
              <w:rPr>
                <w:rFonts w:hint="eastAsia" w:ascii="宋体" w:hAnsi="宋体" w:cs="宋体"/>
                <w:color w:val="auto"/>
                <w:sz w:val="21"/>
                <w:szCs w:val="21"/>
                <w:highlight w:val="none"/>
              </w:rPr>
              <w:t>上述3项内容均提供了详尽描述的得满分12分；针对上述3项内容，每有一个缺项扣4分，</w:t>
            </w:r>
            <w:r>
              <w:rPr>
                <w:rFonts w:hint="eastAsia" w:ascii="宋体" w:hAnsi="宋体" w:cs="宋体"/>
                <w:color w:val="auto"/>
                <w:kern w:val="2"/>
                <w:sz w:val="21"/>
                <w:szCs w:val="21"/>
                <w:highlight w:val="none"/>
              </w:rPr>
              <w:t>分数扣完为止；每出现一处瑕疵扣1分，扣完为止。</w:t>
            </w:r>
          </w:p>
          <w:p w14:paraId="58B892E4">
            <w:pPr>
              <w:widowControl w:val="0"/>
              <w:adjustRightInd w:val="0"/>
              <w:snapToGrid w:val="0"/>
              <w:spacing w:line="360" w:lineRule="auto"/>
              <w:rPr>
                <w:rFonts w:hint="eastAsia" w:ascii="宋体" w:hAnsi="宋体" w:cs="宋体"/>
                <w:b/>
                <w:color w:val="auto"/>
                <w:sz w:val="21"/>
                <w:szCs w:val="21"/>
                <w:highlight w:val="none"/>
                <w:lang w:val="zh-CN"/>
              </w:rPr>
            </w:pPr>
            <w:r>
              <w:rPr>
                <w:rFonts w:hint="eastAsia" w:ascii="宋体" w:hAnsi="宋体" w:cs="宋体"/>
                <w:bCs/>
                <w:color w:val="auto"/>
                <w:sz w:val="21"/>
                <w:szCs w:val="21"/>
                <w:highlight w:val="none"/>
                <w:lang w:val="zh-CN"/>
              </w:rPr>
              <w:t>注：瑕疵是指：明显的逻辑错误、内容与本项目无关、明显的文字描述错误，</w:t>
            </w:r>
            <w:r>
              <w:rPr>
                <w:rFonts w:hint="eastAsia" w:ascii="宋体" w:hAnsi="宋体" w:cs="宋体"/>
                <w:bCs/>
                <w:color w:val="auto"/>
                <w:sz w:val="21"/>
                <w:szCs w:val="21"/>
                <w:highlight w:val="none"/>
              </w:rPr>
              <w:t>内容</w:t>
            </w:r>
            <w:r>
              <w:rPr>
                <w:rFonts w:hint="eastAsia" w:ascii="宋体" w:hAnsi="宋体" w:cs="宋体"/>
                <w:color w:val="auto"/>
                <w:sz w:val="21"/>
                <w:szCs w:val="21"/>
                <w:highlight w:val="none"/>
              </w:rPr>
              <w:t>缺乏完整性、合理性、针对性</w:t>
            </w:r>
            <w:r>
              <w:rPr>
                <w:rFonts w:hint="eastAsia" w:ascii="宋体" w:hAnsi="宋体" w:cs="宋体"/>
                <w:bCs/>
                <w:color w:val="auto"/>
                <w:sz w:val="21"/>
                <w:szCs w:val="21"/>
                <w:highlight w:val="none"/>
                <w:lang w:val="zh-CN"/>
              </w:rPr>
              <w:t>等。</w:t>
            </w:r>
          </w:p>
        </w:tc>
      </w:tr>
      <w:tr w14:paraId="332F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5510D38B">
            <w:pPr>
              <w:widowControl w:val="0"/>
              <w:adjustRightInd w:val="0"/>
              <w:snapToGrid w:val="0"/>
              <w:spacing w:line="360" w:lineRule="auto"/>
              <w:rPr>
                <w:rFonts w:hint="eastAsia" w:ascii="宋体" w:hAnsi="宋体" w:cs="宋体"/>
                <w:b/>
                <w:color w:val="auto"/>
                <w:sz w:val="21"/>
                <w:szCs w:val="21"/>
                <w:highlight w:val="none"/>
                <w:lang w:val="zh-CN"/>
              </w:rPr>
            </w:pPr>
          </w:p>
        </w:tc>
        <w:tc>
          <w:tcPr>
            <w:tcW w:w="1701" w:type="dxa"/>
            <w:vAlign w:val="center"/>
          </w:tcPr>
          <w:p w14:paraId="01906BF8">
            <w:pPr>
              <w:widowControl w:val="0"/>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施工主要工序审查</w:t>
            </w:r>
          </w:p>
          <w:p w14:paraId="1C8AAEDC">
            <w:pPr>
              <w:widowControl w:val="0"/>
              <w:adjustRightInd w:val="0"/>
              <w:snapToGrid w:val="0"/>
              <w:spacing w:line="360" w:lineRule="auto"/>
              <w:jc w:val="center"/>
              <w:rPr>
                <w:rFonts w:hint="eastAsia" w:ascii="宋体" w:hAnsi="宋体" w:cs="宋体"/>
                <w:b/>
                <w:color w:val="auto"/>
                <w:sz w:val="21"/>
                <w:szCs w:val="21"/>
                <w:highlight w:val="none"/>
                <w:lang w:val="zh-CN"/>
              </w:rPr>
            </w:pPr>
            <w:r>
              <w:rPr>
                <w:rFonts w:hint="eastAsia" w:ascii="宋体" w:hAnsi="宋体" w:cs="宋体"/>
                <w:color w:val="auto"/>
                <w:sz w:val="21"/>
                <w:szCs w:val="21"/>
                <w:highlight w:val="none"/>
              </w:rPr>
              <w:t>（9分）</w:t>
            </w:r>
          </w:p>
        </w:tc>
        <w:tc>
          <w:tcPr>
            <w:tcW w:w="5500" w:type="dxa"/>
          </w:tcPr>
          <w:p w14:paraId="0F62F662">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t>①施工主要工序阐述</w:t>
            </w:r>
          </w:p>
          <w:p w14:paraId="6292BF04">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t>②施工主要工序的合理性的描述</w:t>
            </w:r>
          </w:p>
          <w:p w14:paraId="32B6E17F">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t>③主要工种施工方法</w:t>
            </w:r>
          </w:p>
          <w:p w14:paraId="2CF5899F">
            <w:pPr>
              <w:widowControl w:val="0"/>
              <w:adjustRightInd w:val="0"/>
              <w:snapToGrid w:val="0"/>
              <w:spacing w:line="360" w:lineRule="auto"/>
              <w:rPr>
                <w:rFonts w:hint="eastAsia" w:ascii="宋体" w:hAnsi="宋体" w:cs="宋体"/>
                <w:color w:val="auto"/>
                <w:kern w:val="2"/>
                <w:sz w:val="21"/>
                <w:szCs w:val="21"/>
                <w:highlight w:val="none"/>
              </w:rPr>
            </w:pPr>
            <w:r>
              <w:rPr>
                <w:rFonts w:hint="eastAsia" w:ascii="宋体" w:hAnsi="宋体" w:cs="宋体"/>
                <w:color w:val="auto"/>
                <w:sz w:val="21"/>
                <w:szCs w:val="21"/>
                <w:highlight w:val="none"/>
              </w:rPr>
              <w:t>上述3项内容均提供了详尽描述的得满分9分；针对上述3项内容，每有一个缺项扣3分，</w:t>
            </w:r>
            <w:r>
              <w:rPr>
                <w:rFonts w:hint="eastAsia" w:ascii="宋体" w:hAnsi="宋体" w:cs="宋体"/>
                <w:color w:val="auto"/>
                <w:kern w:val="2"/>
                <w:sz w:val="21"/>
                <w:szCs w:val="21"/>
                <w:highlight w:val="none"/>
              </w:rPr>
              <w:t>分数扣完为止；每出现一处瑕疵扣1分，扣完为止。</w:t>
            </w:r>
          </w:p>
          <w:p w14:paraId="62AD7359">
            <w:pPr>
              <w:widowControl w:val="0"/>
              <w:adjustRightInd w:val="0"/>
              <w:snapToGrid w:val="0"/>
              <w:spacing w:line="360" w:lineRule="auto"/>
              <w:rPr>
                <w:rFonts w:hint="eastAsia" w:ascii="宋体" w:hAnsi="宋体" w:cs="宋体"/>
                <w:b/>
                <w:color w:val="auto"/>
                <w:sz w:val="21"/>
                <w:szCs w:val="21"/>
                <w:highlight w:val="none"/>
                <w:lang w:val="zh-CN"/>
              </w:rPr>
            </w:pPr>
            <w:r>
              <w:rPr>
                <w:rFonts w:hint="eastAsia" w:ascii="宋体" w:hAnsi="宋体" w:cs="宋体"/>
                <w:bCs/>
                <w:color w:val="auto"/>
                <w:sz w:val="21"/>
                <w:szCs w:val="21"/>
                <w:highlight w:val="none"/>
                <w:lang w:val="zh-CN"/>
              </w:rPr>
              <w:t>注：瑕疵是指：明显的逻辑错误、内容与本项目无关、明显的文字描述错误，</w:t>
            </w:r>
            <w:r>
              <w:rPr>
                <w:rFonts w:hint="eastAsia" w:ascii="宋体" w:hAnsi="宋体" w:cs="宋体"/>
                <w:bCs/>
                <w:color w:val="auto"/>
                <w:sz w:val="21"/>
                <w:szCs w:val="21"/>
                <w:highlight w:val="none"/>
              </w:rPr>
              <w:t>内容</w:t>
            </w:r>
            <w:r>
              <w:rPr>
                <w:rFonts w:hint="eastAsia" w:ascii="宋体" w:hAnsi="宋体" w:cs="宋体"/>
                <w:color w:val="auto"/>
                <w:sz w:val="21"/>
                <w:szCs w:val="21"/>
                <w:highlight w:val="none"/>
              </w:rPr>
              <w:t>缺乏完整性、合理性、针对性</w:t>
            </w:r>
            <w:r>
              <w:rPr>
                <w:rFonts w:hint="eastAsia" w:ascii="宋体" w:hAnsi="宋体" w:cs="宋体"/>
                <w:bCs/>
                <w:color w:val="auto"/>
                <w:sz w:val="21"/>
                <w:szCs w:val="21"/>
                <w:highlight w:val="none"/>
                <w:lang w:val="zh-CN"/>
              </w:rPr>
              <w:t>等。</w:t>
            </w:r>
          </w:p>
        </w:tc>
      </w:tr>
      <w:tr w14:paraId="698E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2F455CB2">
            <w:pPr>
              <w:widowControl w:val="0"/>
              <w:adjustRightInd w:val="0"/>
              <w:snapToGrid w:val="0"/>
              <w:spacing w:line="360" w:lineRule="auto"/>
              <w:rPr>
                <w:rFonts w:hint="eastAsia" w:ascii="宋体" w:hAnsi="宋体" w:cs="宋体"/>
                <w:b/>
                <w:color w:val="auto"/>
                <w:sz w:val="21"/>
                <w:szCs w:val="21"/>
                <w:highlight w:val="none"/>
                <w:lang w:val="zh-CN"/>
              </w:rPr>
            </w:pPr>
          </w:p>
        </w:tc>
        <w:tc>
          <w:tcPr>
            <w:tcW w:w="1701" w:type="dxa"/>
            <w:vAlign w:val="center"/>
          </w:tcPr>
          <w:p w14:paraId="1301EAA4">
            <w:pPr>
              <w:widowControl w:val="0"/>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安全文明施工保证措施审查</w:t>
            </w:r>
          </w:p>
          <w:p w14:paraId="4B933E1D">
            <w:pPr>
              <w:widowControl w:val="0"/>
              <w:adjustRightInd w:val="0"/>
              <w:snapToGrid w:val="0"/>
              <w:spacing w:line="360" w:lineRule="auto"/>
              <w:jc w:val="center"/>
              <w:rPr>
                <w:rFonts w:hint="eastAsia" w:ascii="宋体" w:hAnsi="宋体" w:cs="宋体"/>
                <w:b/>
                <w:color w:val="auto"/>
                <w:sz w:val="21"/>
                <w:szCs w:val="21"/>
                <w:highlight w:val="none"/>
                <w:lang w:val="zh-CN"/>
              </w:rPr>
            </w:pPr>
            <w:r>
              <w:rPr>
                <w:rFonts w:hint="eastAsia" w:ascii="宋体" w:hAnsi="宋体" w:cs="宋体"/>
                <w:color w:val="auto"/>
                <w:sz w:val="21"/>
                <w:szCs w:val="21"/>
                <w:highlight w:val="none"/>
              </w:rPr>
              <w:t>（8分）</w:t>
            </w:r>
          </w:p>
        </w:tc>
        <w:tc>
          <w:tcPr>
            <w:tcW w:w="5500" w:type="dxa"/>
          </w:tcPr>
          <w:p w14:paraId="6AC2C2A3">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t>①有安全管理机构，职责分工明确；有安全管理制度；</w:t>
            </w:r>
          </w:p>
          <w:p w14:paraId="4CB1DAD4">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②响应文件中有具体、完整、可行的安全文明施工实施保证措施，并符合国家、省、州（市）的有关规定的； </w:t>
            </w:r>
          </w:p>
          <w:p w14:paraId="5E24DB45">
            <w:pPr>
              <w:widowControl w:val="0"/>
              <w:adjustRightInd w:val="0"/>
              <w:snapToGrid w:val="0"/>
              <w:spacing w:line="360" w:lineRule="auto"/>
              <w:rPr>
                <w:rFonts w:hint="eastAsia" w:ascii="宋体" w:hAnsi="宋体" w:cs="宋体"/>
                <w:color w:val="auto"/>
                <w:kern w:val="2"/>
                <w:sz w:val="21"/>
                <w:szCs w:val="21"/>
                <w:highlight w:val="none"/>
              </w:rPr>
            </w:pPr>
            <w:r>
              <w:rPr>
                <w:rFonts w:hint="eastAsia" w:ascii="宋体" w:hAnsi="宋体" w:cs="宋体"/>
                <w:color w:val="auto"/>
                <w:sz w:val="21"/>
                <w:szCs w:val="21"/>
                <w:highlight w:val="none"/>
              </w:rPr>
              <w:t>上述2项内容均提供了详尽描述的得满分8分；针对上述2项内容，每有一个缺项扣4分，</w:t>
            </w:r>
            <w:r>
              <w:rPr>
                <w:rFonts w:hint="eastAsia" w:ascii="宋体" w:hAnsi="宋体" w:cs="宋体"/>
                <w:color w:val="auto"/>
                <w:kern w:val="2"/>
                <w:sz w:val="21"/>
                <w:szCs w:val="21"/>
                <w:highlight w:val="none"/>
              </w:rPr>
              <w:t>分数扣完为止；每出现一处瑕疵扣1分，扣完为止。</w:t>
            </w:r>
          </w:p>
          <w:p w14:paraId="46FCC141">
            <w:pPr>
              <w:widowControl w:val="0"/>
              <w:adjustRightInd w:val="0"/>
              <w:snapToGrid w:val="0"/>
              <w:spacing w:line="360" w:lineRule="auto"/>
              <w:rPr>
                <w:rFonts w:hint="eastAsia" w:ascii="宋体" w:hAnsi="宋体" w:cs="宋体"/>
                <w:b/>
                <w:color w:val="auto"/>
                <w:sz w:val="21"/>
                <w:szCs w:val="21"/>
                <w:highlight w:val="none"/>
                <w:lang w:val="zh-CN"/>
              </w:rPr>
            </w:pPr>
            <w:r>
              <w:rPr>
                <w:rFonts w:hint="eastAsia" w:ascii="宋体" w:hAnsi="宋体" w:cs="宋体"/>
                <w:bCs/>
                <w:color w:val="auto"/>
                <w:sz w:val="21"/>
                <w:szCs w:val="21"/>
                <w:highlight w:val="none"/>
                <w:lang w:val="zh-CN"/>
              </w:rPr>
              <w:t>注：瑕疵是指：明显的逻辑错误、内容与本项目无关、明显的文字描述错误，</w:t>
            </w:r>
            <w:r>
              <w:rPr>
                <w:rFonts w:hint="eastAsia" w:ascii="宋体" w:hAnsi="宋体" w:cs="宋体"/>
                <w:bCs/>
                <w:color w:val="auto"/>
                <w:sz w:val="21"/>
                <w:szCs w:val="21"/>
                <w:highlight w:val="none"/>
              </w:rPr>
              <w:t>内容</w:t>
            </w:r>
            <w:r>
              <w:rPr>
                <w:rFonts w:hint="eastAsia" w:ascii="宋体" w:hAnsi="宋体" w:cs="宋体"/>
                <w:color w:val="auto"/>
                <w:sz w:val="21"/>
                <w:szCs w:val="21"/>
                <w:highlight w:val="none"/>
              </w:rPr>
              <w:t>缺乏完整性、合理性、针对性</w:t>
            </w:r>
            <w:r>
              <w:rPr>
                <w:rFonts w:hint="eastAsia" w:ascii="宋体" w:hAnsi="宋体" w:cs="宋体"/>
                <w:bCs/>
                <w:color w:val="auto"/>
                <w:sz w:val="21"/>
                <w:szCs w:val="21"/>
                <w:highlight w:val="none"/>
                <w:lang w:val="zh-CN"/>
              </w:rPr>
              <w:t>等。</w:t>
            </w:r>
          </w:p>
        </w:tc>
      </w:tr>
      <w:tr w14:paraId="4DD3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2300F410">
            <w:pPr>
              <w:widowControl w:val="0"/>
              <w:adjustRightInd w:val="0"/>
              <w:snapToGrid w:val="0"/>
              <w:spacing w:line="360" w:lineRule="auto"/>
              <w:rPr>
                <w:rFonts w:hint="eastAsia" w:ascii="宋体" w:hAnsi="宋体" w:cs="宋体"/>
                <w:b/>
                <w:color w:val="auto"/>
                <w:sz w:val="21"/>
                <w:szCs w:val="21"/>
                <w:highlight w:val="none"/>
                <w:lang w:val="zh-CN"/>
              </w:rPr>
            </w:pPr>
          </w:p>
        </w:tc>
        <w:tc>
          <w:tcPr>
            <w:tcW w:w="1701" w:type="dxa"/>
            <w:vAlign w:val="center"/>
          </w:tcPr>
          <w:p w14:paraId="769FDEC7">
            <w:pPr>
              <w:widowControl w:val="0"/>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环境保护措施审查</w:t>
            </w:r>
          </w:p>
          <w:p w14:paraId="6E3277BE">
            <w:pPr>
              <w:widowControl w:val="0"/>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（6分）</w:t>
            </w:r>
          </w:p>
        </w:tc>
        <w:tc>
          <w:tcPr>
            <w:tcW w:w="5500" w:type="dxa"/>
          </w:tcPr>
          <w:p w14:paraId="2128B32E">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 1 \* GB3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①</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职责分工明确；管理制度齐全；</w:t>
            </w:r>
          </w:p>
          <w:p w14:paraId="316EA8A1">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 2 \* GB3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②</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 xml:space="preserve">响应文件中有具体、完整、可行的环境保护措施，并符合国家、省、州（市）的有关规定的； </w:t>
            </w:r>
          </w:p>
          <w:p w14:paraId="7D47F5D0">
            <w:pPr>
              <w:widowControl w:val="0"/>
              <w:adjustRightInd w:val="0"/>
              <w:snapToGrid w:val="0"/>
              <w:spacing w:line="360" w:lineRule="auto"/>
              <w:rPr>
                <w:rFonts w:hint="eastAsia" w:ascii="宋体" w:hAnsi="宋体" w:cs="宋体"/>
                <w:color w:val="auto"/>
                <w:kern w:val="2"/>
                <w:sz w:val="21"/>
                <w:szCs w:val="21"/>
                <w:highlight w:val="none"/>
              </w:rPr>
            </w:pPr>
            <w:r>
              <w:rPr>
                <w:rFonts w:hint="eastAsia" w:ascii="宋体" w:hAnsi="宋体" w:cs="宋体"/>
                <w:color w:val="auto"/>
                <w:sz w:val="21"/>
                <w:szCs w:val="21"/>
                <w:highlight w:val="none"/>
              </w:rPr>
              <w:t>上述2项内容均提供了详尽描述的得满分6分；针对上述2项内容，每有一个缺项扣3分，</w:t>
            </w:r>
            <w:r>
              <w:rPr>
                <w:rFonts w:hint="eastAsia" w:ascii="宋体" w:hAnsi="宋体" w:cs="宋体"/>
                <w:color w:val="auto"/>
                <w:kern w:val="2"/>
                <w:sz w:val="21"/>
                <w:szCs w:val="21"/>
                <w:highlight w:val="none"/>
              </w:rPr>
              <w:t>分数扣完为止；每出现一处瑕疵扣1分，扣完为止。</w:t>
            </w:r>
          </w:p>
          <w:p w14:paraId="4CAE17C9">
            <w:pPr>
              <w:spacing w:line="360" w:lineRule="auto"/>
              <w:textAlignment w:val="top"/>
              <w:rPr>
                <w:rFonts w:hint="eastAsia" w:ascii="宋体" w:hAnsi="宋体" w:cs="宋体"/>
                <w:color w:val="auto"/>
                <w:sz w:val="21"/>
                <w:szCs w:val="21"/>
                <w:highlight w:val="none"/>
              </w:rPr>
            </w:pPr>
            <w:r>
              <w:rPr>
                <w:rFonts w:hint="eastAsia" w:ascii="宋体" w:hAnsi="宋体" w:cs="宋体"/>
                <w:bCs/>
                <w:color w:val="auto"/>
                <w:sz w:val="21"/>
                <w:szCs w:val="21"/>
                <w:highlight w:val="none"/>
                <w:lang w:val="zh-CN"/>
              </w:rPr>
              <w:t>注：瑕疵是指：明显的逻辑错误、内容与本项目无关、明显的文字描述错误，</w:t>
            </w:r>
            <w:r>
              <w:rPr>
                <w:rFonts w:hint="eastAsia" w:ascii="宋体" w:hAnsi="宋体" w:cs="宋体"/>
                <w:bCs/>
                <w:color w:val="auto"/>
                <w:sz w:val="21"/>
                <w:szCs w:val="21"/>
                <w:highlight w:val="none"/>
              </w:rPr>
              <w:t>内容</w:t>
            </w:r>
            <w:r>
              <w:rPr>
                <w:rFonts w:hint="eastAsia" w:ascii="宋体" w:hAnsi="宋体" w:cs="宋体"/>
                <w:color w:val="auto"/>
                <w:sz w:val="21"/>
                <w:szCs w:val="21"/>
                <w:highlight w:val="none"/>
              </w:rPr>
              <w:t>缺乏完整性、合理性、针对性</w:t>
            </w:r>
            <w:r>
              <w:rPr>
                <w:rFonts w:hint="eastAsia" w:ascii="宋体" w:hAnsi="宋体" w:cs="宋体"/>
                <w:bCs/>
                <w:color w:val="auto"/>
                <w:sz w:val="21"/>
                <w:szCs w:val="21"/>
                <w:highlight w:val="none"/>
                <w:lang w:val="zh-CN"/>
              </w:rPr>
              <w:t>等。</w:t>
            </w:r>
          </w:p>
        </w:tc>
      </w:tr>
      <w:tr w14:paraId="1F44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3EDD7540">
            <w:pPr>
              <w:widowControl w:val="0"/>
              <w:adjustRightInd w:val="0"/>
              <w:snapToGrid w:val="0"/>
              <w:spacing w:line="360" w:lineRule="auto"/>
              <w:rPr>
                <w:rFonts w:hint="eastAsia" w:ascii="宋体" w:hAnsi="宋体" w:cs="宋体"/>
                <w:b/>
                <w:color w:val="auto"/>
                <w:sz w:val="21"/>
                <w:szCs w:val="21"/>
                <w:highlight w:val="none"/>
                <w:lang w:val="zh-CN"/>
              </w:rPr>
            </w:pPr>
          </w:p>
        </w:tc>
        <w:tc>
          <w:tcPr>
            <w:tcW w:w="1701" w:type="dxa"/>
            <w:vAlign w:val="center"/>
          </w:tcPr>
          <w:p w14:paraId="50E7EC8B">
            <w:pPr>
              <w:widowControl w:val="0"/>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施工进度计划审查</w:t>
            </w:r>
          </w:p>
          <w:p w14:paraId="6C6A7798">
            <w:pPr>
              <w:widowControl w:val="0"/>
              <w:adjustRightInd w:val="0"/>
              <w:snapToGrid w:val="0"/>
              <w:spacing w:line="360" w:lineRule="auto"/>
              <w:jc w:val="center"/>
              <w:rPr>
                <w:rFonts w:hint="eastAsia" w:ascii="宋体" w:hAnsi="宋体" w:cs="宋体"/>
                <w:b/>
                <w:color w:val="auto"/>
                <w:sz w:val="21"/>
                <w:szCs w:val="21"/>
                <w:highlight w:val="none"/>
                <w:lang w:val="zh-CN"/>
              </w:rPr>
            </w:pPr>
            <w:r>
              <w:rPr>
                <w:rFonts w:hint="eastAsia" w:ascii="宋体" w:hAnsi="宋体" w:cs="宋体"/>
                <w:color w:val="auto"/>
                <w:sz w:val="21"/>
                <w:szCs w:val="21"/>
                <w:highlight w:val="none"/>
              </w:rPr>
              <w:t>（6分）</w:t>
            </w:r>
          </w:p>
        </w:tc>
        <w:tc>
          <w:tcPr>
            <w:tcW w:w="5500" w:type="dxa"/>
          </w:tcPr>
          <w:p w14:paraId="4B7B0006">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 1 \* GB3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①</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施工计划承诺满足磋商文件要求，有具体的违约责任承诺</w:t>
            </w:r>
          </w:p>
          <w:p w14:paraId="48BCBF1F">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t>②有施工进度计划</w:t>
            </w:r>
          </w:p>
          <w:p w14:paraId="0BFCD30B">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t>③能保证工期的承诺</w:t>
            </w:r>
          </w:p>
          <w:p w14:paraId="7D390B1C">
            <w:pPr>
              <w:widowControl w:val="0"/>
              <w:adjustRightInd w:val="0"/>
              <w:snapToGrid w:val="0"/>
              <w:spacing w:line="360" w:lineRule="auto"/>
              <w:rPr>
                <w:rFonts w:hint="eastAsia" w:ascii="宋体" w:hAnsi="宋体" w:cs="宋体"/>
                <w:color w:val="auto"/>
                <w:kern w:val="2"/>
                <w:sz w:val="21"/>
                <w:szCs w:val="21"/>
                <w:highlight w:val="none"/>
              </w:rPr>
            </w:pPr>
            <w:r>
              <w:rPr>
                <w:rFonts w:hint="eastAsia" w:ascii="宋体" w:hAnsi="宋体" w:cs="宋体"/>
                <w:color w:val="auto"/>
                <w:sz w:val="21"/>
                <w:szCs w:val="21"/>
                <w:highlight w:val="none"/>
              </w:rPr>
              <w:t>上述3项内容均提供了详尽描述的得满分6分；针对上述3项内容，每有一个缺项扣2分，</w:t>
            </w:r>
            <w:r>
              <w:rPr>
                <w:rFonts w:hint="eastAsia" w:ascii="宋体" w:hAnsi="宋体" w:cs="宋体"/>
                <w:color w:val="auto"/>
                <w:kern w:val="2"/>
                <w:sz w:val="21"/>
                <w:szCs w:val="21"/>
                <w:highlight w:val="none"/>
              </w:rPr>
              <w:t>分数扣完为止；每出现一处瑕疵扣1分，扣完为止。</w:t>
            </w:r>
          </w:p>
          <w:p w14:paraId="106C2145">
            <w:pPr>
              <w:widowControl w:val="0"/>
              <w:adjustRightInd w:val="0"/>
              <w:snapToGrid w:val="0"/>
              <w:spacing w:line="360" w:lineRule="auto"/>
              <w:rPr>
                <w:rFonts w:hint="eastAsia" w:ascii="宋体" w:hAnsi="宋体" w:cs="宋体"/>
                <w:b/>
                <w:color w:val="auto"/>
                <w:sz w:val="21"/>
                <w:szCs w:val="21"/>
                <w:highlight w:val="none"/>
                <w:lang w:val="zh-CN"/>
              </w:rPr>
            </w:pPr>
            <w:r>
              <w:rPr>
                <w:rFonts w:hint="eastAsia" w:ascii="宋体" w:hAnsi="宋体" w:cs="宋体"/>
                <w:bCs/>
                <w:color w:val="auto"/>
                <w:sz w:val="21"/>
                <w:szCs w:val="21"/>
                <w:highlight w:val="none"/>
                <w:lang w:val="zh-CN"/>
              </w:rPr>
              <w:t>注：瑕疵是指：明显的逻辑错误、内容与本项目无关、明显的文字描述错误，</w:t>
            </w:r>
            <w:r>
              <w:rPr>
                <w:rFonts w:hint="eastAsia" w:ascii="宋体" w:hAnsi="宋体" w:cs="宋体"/>
                <w:bCs/>
                <w:color w:val="auto"/>
                <w:sz w:val="21"/>
                <w:szCs w:val="21"/>
                <w:highlight w:val="none"/>
              </w:rPr>
              <w:t>内容</w:t>
            </w:r>
            <w:r>
              <w:rPr>
                <w:rFonts w:hint="eastAsia" w:ascii="宋体" w:hAnsi="宋体" w:cs="宋体"/>
                <w:color w:val="auto"/>
                <w:sz w:val="21"/>
                <w:szCs w:val="21"/>
                <w:highlight w:val="none"/>
              </w:rPr>
              <w:t>缺乏完整性、合理性、针对性</w:t>
            </w:r>
            <w:r>
              <w:rPr>
                <w:rFonts w:hint="eastAsia" w:ascii="宋体" w:hAnsi="宋体" w:cs="宋体"/>
                <w:bCs/>
                <w:color w:val="auto"/>
                <w:sz w:val="21"/>
                <w:szCs w:val="21"/>
                <w:highlight w:val="none"/>
                <w:lang w:val="zh-CN"/>
              </w:rPr>
              <w:t>等。</w:t>
            </w:r>
          </w:p>
        </w:tc>
      </w:tr>
      <w:tr w14:paraId="3F08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34B842C2">
            <w:pPr>
              <w:widowControl w:val="0"/>
              <w:adjustRightInd w:val="0"/>
              <w:snapToGrid w:val="0"/>
              <w:spacing w:line="360" w:lineRule="auto"/>
              <w:rPr>
                <w:rFonts w:hint="eastAsia" w:ascii="宋体" w:hAnsi="宋体" w:cs="宋体"/>
                <w:b/>
                <w:color w:val="auto"/>
                <w:sz w:val="21"/>
                <w:szCs w:val="21"/>
                <w:highlight w:val="none"/>
                <w:lang w:val="zh-CN"/>
              </w:rPr>
            </w:pPr>
          </w:p>
        </w:tc>
        <w:tc>
          <w:tcPr>
            <w:tcW w:w="1701" w:type="dxa"/>
            <w:vAlign w:val="center"/>
          </w:tcPr>
          <w:p w14:paraId="1BE5D6E2">
            <w:pPr>
              <w:widowControl w:val="0"/>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劳动力安排和材料投入计划及保证措施审查</w:t>
            </w:r>
          </w:p>
          <w:p w14:paraId="5B715DBD">
            <w:pPr>
              <w:widowControl w:val="0"/>
              <w:adjustRightInd w:val="0"/>
              <w:snapToGrid w:val="0"/>
              <w:spacing w:line="360"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（6分）</w:t>
            </w:r>
          </w:p>
        </w:tc>
        <w:tc>
          <w:tcPr>
            <w:tcW w:w="5500" w:type="dxa"/>
          </w:tcPr>
          <w:p w14:paraId="2725F9FF">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 1 \* GB3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①</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有劳动力计划调配</w:t>
            </w:r>
          </w:p>
          <w:p w14:paraId="76F47969">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t>②有主要材料进场计划</w:t>
            </w:r>
          </w:p>
          <w:p w14:paraId="1BE29FD1">
            <w:pPr>
              <w:spacing w:line="360" w:lineRule="auto"/>
              <w:textAlignment w:val="top"/>
              <w:rPr>
                <w:rFonts w:hint="eastAsia" w:ascii="宋体" w:hAnsi="宋体" w:cs="宋体"/>
                <w:color w:val="auto"/>
                <w:sz w:val="21"/>
                <w:szCs w:val="21"/>
                <w:highlight w:val="none"/>
              </w:rPr>
            </w:pPr>
            <w:r>
              <w:rPr>
                <w:rFonts w:hint="eastAsia" w:ascii="宋体" w:hAnsi="宋体" w:cs="宋体"/>
                <w:color w:val="auto"/>
                <w:sz w:val="21"/>
                <w:szCs w:val="21"/>
                <w:highlight w:val="none"/>
              </w:rPr>
              <w:t>③有主要材料质量保证的</w:t>
            </w:r>
          </w:p>
          <w:p w14:paraId="6019D357">
            <w:pPr>
              <w:widowControl w:val="0"/>
              <w:adjustRightInd w:val="0"/>
              <w:snapToGrid w:val="0"/>
              <w:spacing w:line="360" w:lineRule="auto"/>
              <w:rPr>
                <w:rFonts w:hint="eastAsia" w:ascii="宋体" w:hAnsi="宋体" w:cs="宋体"/>
                <w:color w:val="auto"/>
                <w:kern w:val="2"/>
                <w:sz w:val="21"/>
                <w:szCs w:val="21"/>
                <w:highlight w:val="none"/>
              </w:rPr>
            </w:pPr>
            <w:r>
              <w:rPr>
                <w:rFonts w:hint="eastAsia" w:ascii="宋体" w:hAnsi="宋体" w:cs="宋体"/>
                <w:color w:val="auto"/>
                <w:sz w:val="21"/>
                <w:szCs w:val="21"/>
                <w:highlight w:val="none"/>
              </w:rPr>
              <w:t>上述3项内容均满足文件要求得满分6分；针对上述3项内容，每有一个缺项扣2分，</w:t>
            </w:r>
            <w:r>
              <w:rPr>
                <w:rFonts w:hint="eastAsia" w:ascii="宋体" w:hAnsi="宋体" w:cs="宋体"/>
                <w:color w:val="auto"/>
                <w:kern w:val="2"/>
                <w:sz w:val="21"/>
                <w:szCs w:val="21"/>
                <w:highlight w:val="none"/>
              </w:rPr>
              <w:t>分数扣完为止；每出现一处瑕疵扣1分，扣完为止。</w:t>
            </w:r>
          </w:p>
          <w:p w14:paraId="59CD9635">
            <w:pPr>
              <w:widowControl w:val="0"/>
              <w:adjustRightInd w:val="0"/>
              <w:snapToGrid w:val="0"/>
              <w:spacing w:line="360" w:lineRule="auto"/>
              <w:rPr>
                <w:rFonts w:hint="eastAsia" w:ascii="宋体" w:hAnsi="宋体" w:cs="宋体"/>
                <w:color w:val="auto"/>
                <w:sz w:val="21"/>
                <w:szCs w:val="21"/>
                <w:highlight w:val="none"/>
                <w:lang w:val="zh-CN"/>
              </w:rPr>
            </w:pPr>
            <w:r>
              <w:rPr>
                <w:rFonts w:hint="eastAsia" w:ascii="宋体" w:hAnsi="宋体" w:cs="宋体"/>
                <w:bCs/>
                <w:color w:val="auto"/>
                <w:sz w:val="21"/>
                <w:szCs w:val="21"/>
                <w:highlight w:val="none"/>
                <w:lang w:val="zh-CN"/>
              </w:rPr>
              <w:t>注：瑕疵是指：明显的逻辑错误、内容与本项目无关、明显的文字描述错误，</w:t>
            </w:r>
            <w:r>
              <w:rPr>
                <w:rFonts w:hint="eastAsia" w:ascii="宋体" w:hAnsi="宋体" w:cs="宋体"/>
                <w:bCs/>
                <w:color w:val="auto"/>
                <w:sz w:val="21"/>
                <w:szCs w:val="21"/>
                <w:highlight w:val="none"/>
              </w:rPr>
              <w:t>内容</w:t>
            </w:r>
            <w:r>
              <w:rPr>
                <w:rFonts w:hint="eastAsia" w:ascii="宋体" w:hAnsi="宋体" w:cs="宋体"/>
                <w:color w:val="auto"/>
                <w:sz w:val="21"/>
                <w:szCs w:val="21"/>
                <w:highlight w:val="none"/>
              </w:rPr>
              <w:t>缺乏完整性、合理性、针对性</w:t>
            </w:r>
            <w:r>
              <w:rPr>
                <w:rFonts w:hint="eastAsia" w:ascii="宋体" w:hAnsi="宋体" w:cs="宋体"/>
                <w:bCs/>
                <w:color w:val="auto"/>
                <w:sz w:val="21"/>
                <w:szCs w:val="21"/>
                <w:highlight w:val="none"/>
                <w:lang w:val="zh-CN"/>
              </w:rPr>
              <w:t>等。</w:t>
            </w:r>
            <w:r>
              <w:rPr>
                <w:rFonts w:hint="eastAsia" w:ascii="宋体" w:hAnsi="宋体" w:cs="宋体"/>
                <w:color w:val="auto"/>
                <w:sz w:val="21"/>
                <w:szCs w:val="21"/>
                <w:highlight w:val="none"/>
              </w:rPr>
              <w:t xml:space="preserve"> </w:t>
            </w:r>
          </w:p>
        </w:tc>
      </w:tr>
      <w:tr w14:paraId="0F29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restart"/>
            <w:vAlign w:val="center"/>
          </w:tcPr>
          <w:p w14:paraId="3DA95B37">
            <w:pPr>
              <w:widowControl w:val="0"/>
              <w:adjustRightInd w:val="0"/>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商务部分评分</w:t>
            </w:r>
          </w:p>
          <w:p w14:paraId="251D2FAA">
            <w:pPr>
              <w:widowControl w:val="0"/>
              <w:adjustRightInd w:val="0"/>
              <w:snapToGrid w:val="0"/>
              <w:spacing w:line="360" w:lineRule="auto"/>
              <w:ind w:firstLine="211" w:firstLineChars="100"/>
              <w:rPr>
                <w:rFonts w:hint="eastAsia" w:ascii="宋体" w:hAnsi="宋体" w:cs="宋体"/>
                <w:b/>
                <w:color w:val="auto"/>
                <w:sz w:val="21"/>
                <w:szCs w:val="21"/>
                <w:highlight w:val="none"/>
                <w:lang w:val="zh-CN"/>
              </w:rPr>
            </w:pPr>
            <w:r>
              <w:rPr>
                <w:rFonts w:hint="eastAsia" w:ascii="宋体" w:hAnsi="宋体" w:cs="宋体"/>
                <w:b/>
                <w:color w:val="auto"/>
                <w:sz w:val="21"/>
                <w:szCs w:val="21"/>
                <w:highlight w:val="none"/>
              </w:rPr>
              <w:t>（满分15分）</w:t>
            </w:r>
          </w:p>
        </w:tc>
        <w:tc>
          <w:tcPr>
            <w:tcW w:w="1701" w:type="dxa"/>
            <w:vAlign w:val="center"/>
          </w:tcPr>
          <w:p w14:paraId="6BBA48B3">
            <w:pPr>
              <w:widowControl w:val="0"/>
              <w:adjustRightInd w:val="0"/>
              <w:snapToGrid w:val="0"/>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人员配置</w:t>
            </w:r>
          </w:p>
          <w:p w14:paraId="6483E0DA">
            <w:pPr>
              <w:widowControl w:val="0"/>
              <w:adjustRightInd w:val="0"/>
              <w:snapToGrid w:val="0"/>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（10分）</w:t>
            </w:r>
          </w:p>
        </w:tc>
        <w:tc>
          <w:tcPr>
            <w:tcW w:w="5500" w:type="dxa"/>
          </w:tcPr>
          <w:p w14:paraId="3EF2D062">
            <w:pPr>
              <w:widowControl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项目管理人员配置</w:t>
            </w:r>
            <w:r>
              <w:rPr>
                <w:rFonts w:hint="eastAsia" w:ascii="宋体" w:hAnsi="宋体" w:cs="宋体"/>
                <w:color w:val="auto"/>
                <w:sz w:val="21"/>
                <w:szCs w:val="21"/>
                <w:highlight w:val="none"/>
                <w:lang w:val="en-US" w:eastAsia="zh-CN"/>
              </w:rPr>
              <w:t>评审</w:t>
            </w:r>
            <w:r>
              <w:rPr>
                <w:rFonts w:hint="eastAsia" w:ascii="宋体" w:hAnsi="宋体" w:cs="宋体"/>
                <w:color w:val="auto"/>
                <w:sz w:val="21"/>
                <w:szCs w:val="21"/>
                <w:highlight w:val="none"/>
              </w:rPr>
              <w:t>（满分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p w14:paraId="3C06C4D6">
            <w:pPr>
              <w:widowControl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项目经理（</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p w14:paraId="34B0FE85">
            <w:pPr>
              <w:widowControl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①提供了</w:t>
            </w:r>
            <w:bookmarkStart w:id="89" w:name="_Hlk54794692"/>
            <w:r>
              <w:rPr>
                <w:rFonts w:hint="eastAsia" w:ascii="宋体" w:hAnsi="宋体" w:cs="宋体"/>
                <w:color w:val="auto"/>
                <w:sz w:val="21"/>
                <w:szCs w:val="21"/>
                <w:highlight w:val="none"/>
              </w:rPr>
              <w:t>项目经理的简历表</w:t>
            </w:r>
            <w:bookmarkEnd w:id="89"/>
            <w:r>
              <w:rPr>
                <w:rFonts w:hint="eastAsia" w:ascii="宋体" w:hAnsi="宋体" w:cs="宋体"/>
                <w:color w:val="auto"/>
                <w:sz w:val="21"/>
                <w:szCs w:val="21"/>
                <w:highlight w:val="none"/>
              </w:rPr>
              <w:t>，提供了</w:t>
            </w:r>
            <w:r>
              <w:rPr>
                <w:rFonts w:hint="eastAsia" w:ascii="宋体" w:hAnsi="宋体" w:cs="宋体"/>
                <w:color w:val="auto"/>
                <w:sz w:val="21"/>
                <w:szCs w:val="21"/>
                <w:highlight w:val="none"/>
                <w:lang w:eastAsia="zh-CN"/>
              </w:rPr>
              <w:t>劳动合同或社保证明</w:t>
            </w:r>
            <w:r>
              <w:rPr>
                <w:rFonts w:hint="eastAsia" w:ascii="宋体" w:hAnsi="宋体" w:cs="宋体"/>
                <w:color w:val="auto"/>
                <w:sz w:val="21"/>
                <w:szCs w:val="21"/>
                <w:highlight w:val="none"/>
              </w:rPr>
              <w:t>，担任过至少3项类似项目实施经验的项目经理</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4分</w:t>
            </w:r>
            <w:r>
              <w:rPr>
                <w:rFonts w:hint="eastAsia" w:ascii="宋体" w:hAnsi="宋体" w:cs="宋体"/>
                <w:color w:val="auto"/>
                <w:sz w:val="21"/>
                <w:szCs w:val="21"/>
                <w:highlight w:val="none"/>
              </w:rPr>
              <w:t>；</w:t>
            </w:r>
          </w:p>
          <w:p w14:paraId="24AF0973">
            <w:pPr>
              <w:widowControl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②提供了项目经理的简历表，提供了</w:t>
            </w:r>
            <w:r>
              <w:rPr>
                <w:rFonts w:hint="eastAsia" w:ascii="宋体" w:hAnsi="宋体" w:cs="宋体"/>
                <w:color w:val="auto"/>
                <w:sz w:val="21"/>
                <w:szCs w:val="21"/>
                <w:highlight w:val="none"/>
                <w:lang w:eastAsia="zh-CN"/>
              </w:rPr>
              <w:t>劳动合同或社保证明</w:t>
            </w:r>
            <w:r>
              <w:rPr>
                <w:rFonts w:hint="eastAsia" w:ascii="宋体" w:hAnsi="宋体" w:cs="宋体"/>
                <w:color w:val="auto"/>
                <w:sz w:val="21"/>
                <w:szCs w:val="21"/>
                <w:highlight w:val="none"/>
              </w:rPr>
              <w:t>，担任过至少2项类似项目实施经验的项目经理</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3分</w:t>
            </w:r>
            <w:r>
              <w:rPr>
                <w:rFonts w:hint="eastAsia" w:ascii="宋体" w:hAnsi="宋体" w:cs="宋体"/>
                <w:color w:val="auto"/>
                <w:sz w:val="21"/>
                <w:szCs w:val="21"/>
                <w:highlight w:val="none"/>
              </w:rPr>
              <w:t>；</w:t>
            </w:r>
          </w:p>
          <w:p w14:paraId="3141B392">
            <w:pPr>
              <w:widowControl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③提供了项目经理的简历表，提供了</w:t>
            </w:r>
            <w:r>
              <w:rPr>
                <w:rFonts w:hint="eastAsia" w:ascii="宋体" w:hAnsi="宋体" w:cs="宋体"/>
                <w:color w:val="auto"/>
                <w:sz w:val="21"/>
                <w:szCs w:val="21"/>
                <w:highlight w:val="none"/>
                <w:lang w:eastAsia="zh-CN"/>
              </w:rPr>
              <w:t>劳动合同或社保证明</w:t>
            </w:r>
            <w:r>
              <w:rPr>
                <w:rFonts w:hint="eastAsia" w:ascii="宋体" w:hAnsi="宋体" w:cs="宋体"/>
                <w:color w:val="auto"/>
                <w:sz w:val="21"/>
                <w:szCs w:val="21"/>
                <w:highlight w:val="none"/>
              </w:rPr>
              <w:t>，担任过至少1项类似项目实施经验的项目经理</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2分</w:t>
            </w:r>
            <w:r>
              <w:rPr>
                <w:rFonts w:hint="eastAsia" w:ascii="宋体" w:hAnsi="宋体" w:cs="宋体"/>
                <w:color w:val="auto"/>
                <w:sz w:val="21"/>
                <w:szCs w:val="21"/>
                <w:highlight w:val="none"/>
              </w:rPr>
              <w:t>；</w:t>
            </w:r>
          </w:p>
          <w:p w14:paraId="201801C2">
            <w:pPr>
              <w:widowControl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④未提供项目经理的简历表，或未提供项目经理的</w:t>
            </w:r>
            <w:r>
              <w:rPr>
                <w:rFonts w:hint="eastAsia" w:ascii="宋体" w:hAnsi="宋体" w:cs="宋体"/>
                <w:color w:val="auto"/>
                <w:sz w:val="21"/>
                <w:szCs w:val="21"/>
                <w:highlight w:val="none"/>
                <w:lang w:eastAsia="zh-CN"/>
              </w:rPr>
              <w:t>劳动合同或社保证明</w:t>
            </w:r>
            <w:r>
              <w:rPr>
                <w:rFonts w:hint="eastAsia" w:ascii="宋体" w:hAnsi="宋体" w:cs="宋体"/>
                <w:color w:val="auto"/>
                <w:sz w:val="21"/>
                <w:szCs w:val="21"/>
                <w:highlight w:val="none"/>
              </w:rPr>
              <w:t>，或未担任过类似项目实施经验的项目经理</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0分</w:t>
            </w:r>
            <w:r>
              <w:rPr>
                <w:rFonts w:hint="eastAsia" w:ascii="宋体" w:hAnsi="宋体" w:cs="宋体"/>
                <w:color w:val="auto"/>
                <w:sz w:val="21"/>
                <w:szCs w:val="21"/>
                <w:highlight w:val="none"/>
              </w:rPr>
              <w:t>。</w:t>
            </w:r>
          </w:p>
          <w:p w14:paraId="6F7FFD98">
            <w:pPr>
              <w:widowControl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其他项目组成员（除项目经理外）（</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p w14:paraId="0325C700">
            <w:pPr>
              <w:widowControl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①供应商的其他项目组成员（除项目经理外）中，每1人具备国家人社部门承认的中级专业技术职称（</w:t>
            </w:r>
            <w:r>
              <w:rPr>
                <w:rFonts w:hint="eastAsia" w:ascii="宋体" w:hAnsi="宋体" w:cs="宋体"/>
                <w:color w:val="auto"/>
                <w:spacing w:val="1"/>
                <w:sz w:val="21"/>
                <w:szCs w:val="21"/>
                <w:highlight w:val="none"/>
              </w:rPr>
              <w:t>水利水电工程专业</w:t>
            </w:r>
            <w:r>
              <w:rPr>
                <w:rFonts w:hint="eastAsia" w:ascii="宋体" w:hAnsi="宋体" w:cs="宋体"/>
                <w:color w:val="auto"/>
                <w:sz w:val="21"/>
                <w:szCs w:val="21"/>
                <w:highlight w:val="none"/>
              </w:rPr>
              <w:t>）或二级注册建造师执业资格的得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分，不重复得分；此部分最多得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p w14:paraId="02824CE1">
            <w:pPr>
              <w:widowControl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②供应商提供了其他项目组成员（除项目经理外）的</w:t>
            </w:r>
            <w:r>
              <w:rPr>
                <w:rFonts w:hint="eastAsia" w:ascii="宋体" w:hAnsi="宋体" w:cs="宋体"/>
                <w:color w:val="auto"/>
                <w:sz w:val="21"/>
                <w:szCs w:val="21"/>
                <w:highlight w:val="none"/>
                <w:lang w:eastAsia="zh-CN"/>
              </w:rPr>
              <w:t>劳动合同或社保证明</w:t>
            </w:r>
            <w:r>
              <w:rPr>
                <w:rFonts w:hint="eastAsia" w:ascii="宋体" w:hAnsi="宋体" w:cs="宋体"/>
                <w:color w:val="auto"/>
                <w:sz w:val="21"/>
                <w:szCs w:val="21"/>
                <w:highlight w:val="none"/>
              </w:rPr>
              <w:t>（复印件/扫描件），并对岗位划分及岗位职责进行了说明</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分，否则不得分。</w:t>
            </w:r>
          </w:p>
          <w:p w14:paraId="7358D924">
            <w:pPr>
              <w:widowControl w:val="0"/>
              <w:adjustRightInd w:val="0"/>
              <w:snapToGrid w:val="0"/>
              <w:spacing w:line="360" w:lineRule="auto"/>
              <w:rPr>
                <w:rFonts w:hint="eastAsia" w:ascii="宋体" w:hAnsi="宋体" w:cs="宋体"/>
                <w:color w:val="auto"/>
                <w:sz w:val="21"/>
                <w:szCs w:val="21"/>
                <w:highlight w:val="none"/>
              </w:rPr>
            </w:pPr>
            <w:r>
              <w:rPr>
                <w:rFonts w:hint="eastAsia" w:ascii="宋体" w:hAnsi="宋体" w:cs="宋体"/>
                <w:b/>
                <w:bCs/>
                <w:color w:val="auto"/>
                <w:sz w:val="21"/>
                <w:szCs w:val="21"/>
                <w:highlight w:val="none"/>
                <w:lang w:val="en-US" w:eastAsia="zh-CN"/>
              </w:rPr>
              <w:t>3）对项目管理人员没有说明的不得分。</w:t>
            </w:r>
          </w:p>
        </w:tc>
      </w:tr>
      <w:tr w14:paraId="3A11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4E5B8D8B">
            <w:pPr>
              <w:widowControl w:val="0"/>
              <w:adjustRightInd w:val="0"/>
              <w:snapToGrid w:val="0"/>
              <w:spacing w:line="360" w:lineRule="auto"/>
              <w:jc w:val="center"/>
              <w:rPr>
                <w:rFonts w:hint="eastAsia" w:ascii="宋体" w:hAnsi="宋体" w:cs="宋体"/>
                <w:b/>
                <w:color w:val="auto"/>
                <w:sz w:val="21"/>
                <w:szCs w:val="21"/>
                <w:highlight w:val="none"/>
              </w:rPr>
            </w:pPr>
          </w:p>
        </w:tc>
        <w:tc>
          <w:tcPr>
            <w:tcW w:w="1701" w:type="dxa"/>
            <w:vAlign w:val="center"/>
          </w:tcPr>
          <w:p w14:paraId="2951F978">
            <w:pPr>
              <w:widowControl w:val="0"/>
              <w:adjustRightInd w:val="0"/>
              <w:snapToGrid w:val="0"/>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企业类似业绩</w:t>
            </w:r>
          </w:p>
          <w:p w14:paraId="48DC409E">
            <w:pPr>
              <w:widowControl w:val="0"/>
              <w:adjustRightInd w:val="0"/>
              <w:snapToGrid w:val="0"/>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（5分）</w:t>
            </w:r>
          </w:p>
        </w:tc>
        <w:tc>
          <w:tcPr>
            <w:tcW w:w="5500" w:type="dxa"/>
          </w:tcPr>
          <w:p w14:paraId="44A7C6F0">
            <w:pPr>
              <w:widowControl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供应商202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年1月1日至今承担过（包含已完成或正在实施的项目）1个类似工程建设项目的得基本分3分，每增加1个类似业绩加1分，分数加满为止（满分5分）。</w:t>
            </w:r>
          </w:p>
          <w:p w14:paraId="7387C159">
            <w:pPr>
              <w:widowControl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注：类似业绩是202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年1月1日至今承担过（包含已完成或正在实施的项目）的水利水电工程建设项目，提供中标通知书或合同协议书。</w:t>
            </w:r>
          </w:p>
        </w:tc>
      </w:tr>
    </w:tbl>
    <w:p w14:paraId="4731870E">
      <w:pPr>
        <w:spacing w:line="360" w:lineRule="auto"/>
        <w:ind w:firstLine="420" w:firstLineChars="20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评标时，除报价部分按公式计算外，磋商小组各成员应当独立对每个有效供应商的标书进行评</w:t>
      </w:r>
    </w:p>
    <w:p w14:paraId="521704E4">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审，并按竞争性磋商文件规定分值评分，所有评委评分的算术平均值即为供应商该项得分（保留小数点后2位</w:t>
      </w:r>
      <w:r>
        <w:rPr>
          <w:rFonts w:hint="eastAsia" w:ascii="宋体" w:hAnsi="宋体" w:cs="宋体"/>
          <w:color w:val="auto"/>
          <w:sz w:val="21"/>
          <w:szCs w:val="21"/>
          <w:highlight w:val="none"/>
        </w:rPr>
        <w:t>）。</w:t>
      </w:r>
    </w:p>
    <w:p w14:paraId="582392BE">
      <w:pPr>
        <w:spacing w:line="360" w:lineRule="auto"/>
        <w:outlineLvl w:val="0"/>
        <w:rPr>
          <w:rFonts w:hint="eastAsia" w:ascii="宋体" w:hAnsi="宋体" w:cs="宋体"/>
          <w:b/>
          <w:color w:val="auto"/>
          <w:sz w:val="24"/>
          <w:szCs w:val="24"/>
          <w:highlight w:val="none"/>
        </w:rPr>
      </w:pPr>
      <w:bookmarkStart w:id="90" w:name="_Toc18069"/>
      <w:bookmarkStart w:id="91" w:name="_Toc1880"/>
      <w:bookmarkStart w:id="92" w:name="_Toc19300"/>
      <w:r>
        <w:rPr>
          <w:rFonts w:hint="eastAsia" w:ascii="宋体" w:hAnsi="宋体" w:cs="宋体"/>
          <w:b/>
          <w:color w:val="auto"/>
          <w:sz w:val="24"/>
          <w:szCs w:val="24"/>
          <w:highlight w:val="none"/>
        </w:rPr>
        <w:t>4、评审、比较与评价</w:t>
      </w:r>
      <w:bookmarkEnd w:id="90"/>
      <w:bookmarkEnd w:id="91"/>
      <w:bookmarkEnd w:id="92"/>
    </w:p>
    <w:p w14:paraId="67C15CC9">
      <w:pPr>
        <w:spacing w:line="360" w:lineRule="auto"/>
        <w:ind w:firstLine="417" w:firstLineChars="199"/>
        <w:rPr>
          <w:rFonts w:hint="eastAsia" w:ascii="宋体" w:hAnsi="宋体" w:cs="宋体"/>
          <w:color w:val="auto"/>
          <w:sz w:val="21"/>
          <w:szCs w:val="21"/>
          <w:highlight w:val="none"/>
        </w:rPr>
      </w:pPr>
      <w:r>
        <w:rPr>
          <w:rFonts w:hint="eastAsia" w:ascii="宋体" w:hAnsi="宋体" w:cs="宋体"/>
          <w:color w:val="auto"/>
          <w:sz w:val="21"/>
          <w:szCs w:val="21"/>
          <w:highlight w:val="none"/>
        </w:rPr>
        <w:t>4.1磋商小组所有成员集中与通过初步评审的供应商分别进行磋商。在磋商中，磋商的任何一方不得透露与磋商有关的其他供应商的技术资料、价格、折扣和其他信息。</w:t>
      </w:r>
    </w:p>
    <w:p w14:paraId="00117C17">
      <w:pPr>
        <w:spacing w:line="360" w:lineRule="auto"/>
        <w:ind w:firstLine="417" w:firstLineChars="199"/>
        <w:rPr>
          <w:rFonts w:hint="eastAsia" w:ascii="宋体" w:hAnsi="宋体" w:cs="宋体"/>
          <w:color w:val="auto"/>
          <w:sz w:val="21"/>
          <w:szCs w:val="21"/>
          <w:highlight w:val="none"/>
        </w:rPr>
      </w:pPr>
      <w:r>
        <w:rPr>
          <w:rFonts w:hint="eastAsia" w:ascii="宋体" w:hAnsi="宋体" w:cs="宋体"/>
          <w:color w:val="auto"/>
          <w:sz w:val="21"/>
          <w:szCs w:val="21"/>
          <w:highlight w:val="none"/>
        </w:rPr>
        <w:t>4.2采购文件有实质性变动的，磋商小组通知所有参加本项目的供应商。但不得对涉及竞争的公平、公正性内容进行修改、变动。</w:t>
      </w:r>
    </w:p>
    <w:p w14:paraId="39D23581">
      <w:pPr>
        <w:spacing w:line="360" w:lineRule="auto"/>
        <w:ind w:firstLine="417" w:firstLineChars="199"/>
        <w:rPr>
          <w:rFonts w:hint="eastAsia" w:ascii="宋体" w:hAnsi="宋体" w:cs="宋体"/>
          <w:color w:val="auto"/>
          <w:sz w:val="21"/>
          <w:szCs w:val="21"/>
          <w:highlight w:val="none"/>
        </w:rPr>
      </w:pPr>
      <w:r>
        <w:rPr>
          <w:rFonts w:hint="eastAsia" w:ascii="宋体" w:hAnsi="宋体" w:cs="宋体"/>
          <w:color w:val="auto"/>
          <w:sz w:val="21"/>
          <w:szCs w:val="21"/>
          <w:highlight w:val="none"/>
        </w:rPr>
        <w:t>4.3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不接受供应商主动提出的澄清、说明或补正。</w:t>
      </w:r>
    </w:p>
    <w:p w14:paraId="505B63B7">
      <w:pPr>
        <w:spacing w:line="360" w:lineRule="auto"/>
        <w:ind w:firstLine="417" w:firstLineChars="199"/>
        <w:rPr>
          <w:rFonts w:hint="eastAsia" w:ascii="宋体" w:hAnsi="宋体" w:cs="宋体"/>
          <w:color w:val="auto"/>
          <w:sz w:val="21"/>
          <w:szCs w:val="21"/>
          <w:highlight w:val="none"/>
        </w:rPr>
      </w:pPr>
      <w:r>
        <w:rPr>
          <w:rFonts w:hint="eastAsia" w:ascii="宋体" w:hAnsi="宋体" w:cs="宋体"/>
          <w:color w:val="auto"/>
          <w:sz w:val="21"/>
          <w:szCs w:val="21"/>
          <w:highlight w:val="none"/>
        </w:rPr>
        <w:t>4.4供应商澄清、说明和补正属于响应文件的组成部分。</w:t>
      </w:r>
    </w:p>
    <w:p w14:paraId="5D0D4064">
      <w:pPr>
        <w:spacing w:line="360" w:lineRule="auto"/>
        <w:ind w:firstLine="417" w:firstLineChars="199"/>
        <w:rPr>
          <w:rFonts w:hint="eastAsia" w:ascii="宋体" w:hAnsi="宋体" w:cs="宋体"/>
          <w:color w:val="auto"/>
          <w:sz w:val="21"/>
          <w:szCs w:val="21"/>
          <w:highlight w:val="none"/>
        </w:rPr>
      </w:pPr>
      <w:r>
        <w:rPr>
          <w:rFonts w:hint="eastAsia" w:ascii="宋体" w:hAnsi="宋体" w:cs="宋体"/>
          <w:color w:val="auto"/>
          <w:sz w:val="21"/>
          <w:szCs w:val="21"/>
          <w:highlight w:val="none"/>
        </w:rPr>
        <w:t>4.5磋商小组对供应商提交的澄清、说明或补正有疑问的，可以要求供应商进一步澄清、说明或补正。</w:t>
      </w:r>
    </w:p>
    <w:p w14:paraId="606C1F28">
      <w:pPr>
        <w:spacing w:line="360" w:lineRule="auto"/>
        <w:outlineLvl w:val="0"/>
        <w:rPr>
          <w:rFonts w:hint="eastAsia" w:ascii="宋体" w:hAnsi="宋体" w:cs="宋体"/>
          <w:color w:val="auto"/>
          <w:sz w:val="21"/>
          <w:szCs w:val="21"/>
          <w:highlight w:val="none"/>
          <w:lang w:val="zh-CN"/>
        </w:rPr>
      </w:pPr>
      <w:bookmarkStart w:id="93" w:name="_Toc32568"/>
      <w:bookmarkStart w:id="94" w:name="_Toc30813"/>
      <w:bookmarkStart w:id="95" w:name="_Toc24757"/>
      <w:bookmarkStart w:id="96" w:name="_Toc31422"/>
      <w:bookmarkStart w:id="97" w:name="_Toc14188"/>
      <w:bookmarkStart w:id="98" w:name="_Toc595"/>
      <w:bookmarkStart w:id="99" w:name="_Toc6851"/>
      <w:r>
        <w:rPr>
          <w:rFonts w:hint="eastAsia" w:ascii="宋体" w:hAnsi="宋体" w:cs="宋体"/>
          <w:b/>
          <w:bCs/>
          <w:color w:val="auto"/>
          <w:sz w:val="24"/>
          <w:szCs w:val="24"/>
          <w:highlight w:val="none"/>
        </w:rPr>
        <w:t>5、评审结果</w:t>
      </w:r>
      <w:bookmarkEnd w:id="93"/>
      <w:bookmarkEnd w:id="94"/>
      <w:bookmarkEnd w:id="95"/>
      <w:bookmarkEnd w:id="96"/>
      <w:bookmarkEnd w:id="97"/>
      <w:bookmarkEnd w:id="98"/>
      <w:bookmarkEnd w:id="99"/>
    </w:p>
    <w:p w14:paraId="2EF431C6">
      <w:pPr>
        <w:spacing w:line="360" w:lineRule="auto"/>
        <w:ind w:firstLine="420" w:firstLineChars="200"/>
        <w:rPr>
          <w:rFonts w:hint="eastAsia" w:ascii="宋体" w:hAnsi="宋体" w:cs="宋体"/>
          <w:color w:val="auto"/>
          <w:sz w:val="36"/>
          <w:szCs w:val="36"/>
          <w:highlight w:val="none"/>
        </w:rPr>
      </w:pPr>
      <w:r>
        <w:rPr>
          <w:rFonts w:hint="eastAsia" w:ascii="宋体" w:hAnsi="宋体" w:cs="宋体"/>
          <w:color w:val="auto"/>
          <w:sz w:val="21"/>
          <w:szCs w:val="21"/>
          <w:highlight w:val="none"/>
          <w:lang w:val="zh-CN"/>
        </w:rPr>
        <w:t>磋商小组应当根据综合评分情况，按照评审得分由高到低顺序推荐3名以上成交候选供应商，并编写评审报告。符合</w:t>
      </w:r>
      <w:r>
        <w:rPr>
          <w:rFonts w:hint="eastAsia" w:ascii="宋体" w:hAnsi="宋体" w:cs="宋体"/>
          <w:color w:val="auto"/>
          <w:sz w:val="21"/>
          <w:szCs w:val="21"/>
          <w:highlight w:val="none"/>
        </w:rPr>
        <w:t>竞争性磋商管理办法</w:t>
      </w:r>
      <w:r>
        <w:rPr>
          <w:rFonts w:hint="eastAsia" w:ascii="宋体" w:hAnsi="宋体" w:cs="宋体"/>
          <w:color w:val="auto"/>
          <w:sz w:val="21"/>
          <w:szCs w:val="21"/>
          <w:highlight w:val="none"/>
          <w:lang w:val="zh-CN"/>
        </w:rPr>
        <w:t>第二十一条第三款情形的，可以推荐2家成交候选供应商。评审得分相同的，按照最后报价由低到高的顺序推荐。评审得分且最后报价相同的，按照技术指标优劣顺序推荐。</w:t>
      </w:r>
      <w:r>
        <w:rPr>
          <w:rFonts w:hint="eastAsia" w:ascii="宋体" w:hAnsi="宋体" w:cs="宋体"/>
          <w:color w:val="auto"/>
          <w:sz w:val="36"/>
          <w:szCs w:val="36"/>
          <w:highlight w:val="none"/>
        </w:rPr>
        <w:br w:type="page"/>
      </w:r>
      <w:bookmarkStart w:id="100" w:name="_Toc23711"/>
      <w:bookmarkStart w:id="101" w:name="_Toc179912212"/>
      <w:bookmarkStart w:id="102" w:name="_Toc11929"/>
    </w:p>
    <w:p w14:paraId="69265683">
      <w:pPr>
        <w:pStyle w:val="2"/>
        <w:spacing w:line="360" w:lineRule="auto"/>
        <w:ind w:left="0"/>
        <w:rPr>
          <w:rFonts w:hint="eastAsia" w:ascii="宋体" w:hAnsi="宋体" w:eastAsia="宋体" w:cs="宋体"/>
          <w:b/>
          <w:bCs/>
          <w:color w:val="auto"/>
          <w:sz w:val="36"/>
          <w:szCs w:val="36"/>
          <w:highlight w:val="none"/>
        </w:rPr>
      </w:pPr>
      <w:bookmarkStart w:id="103" w:name="_Toc6894"/>
      <w:r>
        <w:rPr>
          <w:rFonts w:hint="eastAsia" w:ascii="宋体" w:hAnsi="宋体" w:eastAsia="宋体" w:cs="宋体"/>
          <w:b/>
          <w:bCs/>
          <w:color w:val="auto"/>
          <w:sz w:val="36"/>
          <w:szCs w:val="36"/>
          <w:highlight w:val="none"/>
        </w:rPr>
        <w:t xml:space="preserve">第四章  </w:t>
      </w:r>
      <w:bookmarkEnd w:id="72"/>
      <w:bookmarkEnd w:id="73"/>
      <w:r>
        <w:rPr>
          <w:rFonts w:hint="eastAsia" w:ascii="宋体" w:hAnsi="宋体" w:eastAsia="宋体" w:cs="宋体"/>
          <w:b/>
          <w:bCs/>
          <w:color w:val="auto"/>
          <w:sz w:val="36"/>
          <w:szCs w:val="36"/>
          <w:highlight w:val="none"/>
        </w:rPr>
        <w:t>合同条款及格式</w:t>
      </w:r>
      <w:bookmarkEnd w:id="100"/>
      <w:bookmarkEnd w:id="101"/>
      <w:bookmarkEnd w:id="102"/>
      <w:bookmarkEnd w:id="103"/>
    </w:p>
    <w:p w14:paraId="7ED1DAC5">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注：（本章合同条款及格式仅作为参考，本章节中未明确内容将在合同谈判中明确，采购人保留最终修订合同的权利，最终本合同以实际签订为准。）</w:t>
      </w:r>
    </w:p>
    <w:p w14:paraId="53C2A915">
      <w:pPr>
        <w:keepNext/>
        <w:keepLines/>
        <w:spacing w:line="360" w:lineRule="auto"/>
        <w:jc w:val="center"/>
        <w:outlineLvl w:val="1"/>
        <w:rPr>
          <w:rFonts w:hint="eastAsia" w:ascii="宋体" w:hAnsi="宋体" w:cs="宋体"/>
          <w:b/>
          <w:bCs/>
          <w:color w:val="auto"/>
          <w:sz w:val="28"/>
          <w:szCs w:val="28"/>
          <w:highlight w:val="none"/>
        </w:rPr>
      </w:pPr>
      <w:bookmarkStart w:id="104" w:name="_Toc175063796"/>
      <w:bookmarkStart w:id="105" w:name="_Toc6939"/>
      <w:r>
        <w:rPr>
          <w:rFonts w:hint="eastAsia" w:ascii="宋体" w:hAnsi="宋体" w:cs="宋体"/>
          <w:b/>
          <w:bCs/>
          <w:color w:val="auto"/>
          <w:sz w:val="28"/>
          <w:szCs w:val="28"/>
          <w:highlight w:val="none"/>
        </w:rPr>
        <w:t>第一节、通用合同条款</w:t>
      </w:r>
      <w:bookmarkEnd w:id="104"/>
      <w:bookmarkEnd w:id="105"/>
    </w:p>
    <w:p w14:paraId="6DDD6BA9">
      <w:pPr>
        <w:keepNext/>
        <w:keepLines/>
        <w:spacing w:line="360" w:lineRule="auto"/>
        <w:jc w:val="center"/>
        <w:outlineLvl w:val="1"/>
        <w:rPr>
          <w:rFonts w:hint="eastAsia" w:ascii="宋体" w:hAnsi="宋体" w:cs="宋体"/>
          <w:b/>
          <w:bCs/>
          <w:color w:val="auto"/>
          <w:sz w:val="28"/>
          <w:szCs w:val="28"/>
          <w:highlight w:val="none"/>
        </w:rPr>
      </w:pPr>
      <w:bookmarkStart w:id="106" w:name="_Toc221950662"/>
      <w:bookmarkStart w:id="107" w:name="_Toc222031004"/>
      <w:bookmarkStart w:id="108" w:name="_Toc229408497"/>
      <w:bookmarkStart w:id="109" w:name="_Toc18615"/>
      <w:bookmarkStart w:id="110" w:name="_Toc175063797"/>
      <w:bookmarkStart w:id="111" w:name="_Toc256000066"/>
      <w:bookmarkStart w:id="112" w:name="_Toc229305362"/>
      <w:bookmarkStart w:id="113" w:name="_Toc222033853"/>
      <w:bookmarkStart w:id="114" w:name="_Toc222029502"/>
      <w:bookmarkStart w:id="115" w:name="_Toc222032671"/>
      <w:r>
        <w:rPr>
          <w:rFonts w:hint="eastAsia" w:ascii="宋体" w:hAnsi="宋体" w:cs="宋体"/>
          <w:b/>
          <w:bCs/>
          <w:color w:val="auto"/>
          <w:sz w:val="28"/>
          <w:szCs w:val="28"/>
          <w:highlight w:val="none"/>
        </w:rPr>
        <w:t>1. 一般约定</w:t>
      </w:r>
      <w:bookmarkEnd w:id="106"/>
      <w:bookmarkEnd w:id="107"/>
      <w:bookmarkEnd w:id="108"/>
      <w:bookmarkEnd w:id="109"/>
      <w:bookmarkEnd w:id="110"/>
      <w:bookmarkEnd w:id="111"/>
      <w:bookmarkEnd w:id="112"/>
      <w:bookmarkEnd w:id="113"/>
      <w:bookmarkEnd w:id="114"/>
      <w:bookmarkEnd w:id="115"/>
    </w:p>
    <w:p w14:paraId="627814D9">
      <w:pPr>
        <w:keepNext/>
        <w:keepLines/>
        <w:spacing w:line="360" w:lineRule="auto"/>
        <w:jc w:val="center"/>
        <w:outlineLvl w:val="2"/>
        <w:rPr>
          <w:rFonts w:hint="eastAsia" w:ascii="宋体" w:hAnsi="宋体" w:cs="宋体"/>
          <w:b/>
          <w:bCs/>
          <w:color w:val="auto"/>
          <w:sz w:val="24"/>
          <w:szCs w:val="21"/>
          <w:highlight w:val="none"/>
        </w:rPr>
      </w:pPr>
      <w:bookmarkStart w:id="116" w:name="_Toc175063798"/>
      <w:bookmarkStart w:id="117" w:name="_Toc25828"/>
      <w:bookmarkStart w:id="118" w:name="_Toc221950667"/>
      <w:r>
        <w:rPr>
          <w:rFonts w:hint="eastAsia" w:ascii="宋体" w:hAnsi="宋体" w:cs="宋体"/>
          <w:b/>
          <w:bCs/>
          <w:color w:val="auto"/>
          <w:sz w:val="24"/>
          <w:highlight w:val="none"/>
        </w:rPr>
        <w:t>1.1词语定义</w:t>
      </w:r>
      <w:bookmarkEnd w:id="116"/>
      <w:bookmarkEnd w:id="117"/>
    </w:p>
    <w:p w14:paraId="33C4BCB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通用合同条款、专用合同条款中的下列词语应具有本款所赋予的含义。</w:t>
      </w:r>
    </w:p>
    <w:p w14:paraId="1D89C52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1.1.1 合同</w:t>
      </w:r>
    </w:p>
    <w:p w14:paraId="495D33DF">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1.1.1.1 合同文件（或称合同）：指合同协议书、中标通知书、投标函及投标函附录、专用合同条款、通用合同条款、技术标准和要求、图纸、已标价工程量清单，以及其他合同文件。</w:t>
      </w:r>
    </w:p>
    <w:p w14:paraId="179BCF86">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1.1.1.2 合同协议书：指第1.5款所指的合同协议书。</w:t>
      </w:r>
    </w:p>
    <w:p w14:paraId="4F751588">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1.1.1.3 中标通知书：指发包人通知承包人中标的函件。</w:t>
      </w:r>
    </w:p>
    <w:p w14:paraId="59C7D1AE">
      <w:pPr>
        <w:spacing w:line="360" w:lineRule="auto"/>
        <w:ind w:firstLine="718" w:firstLineChars="342"/>
        <w:rPr>
          <w:rFonts w:hint="eastAsia" w:ascii="宋体" w:hAnsi="宋体" w:cs="宋体"/>
          <w:dstrike/>
          <w:color w:val="auto"/>
          <w:sz w:val="21"/>
          <w:szCs w:val="21"/>
          <w:highlight w:val="none"/>
        </w:rPr>
      </w:pPr>
      <w:r>
        <w:rPr>
          <w:rFonts w:hint="eastAsia" w:ascii="宋体" w:hAnsi="宋体" w:cs="宋体"/>
          <w:color w:val="auto"/>
          <w:sz w:val="21"/>
          <w:szCs w:val="21"/>
          <w:highlight w:val="none"/>
        </w:rPr>
        <w:t>1.1.1.4 投标函：指构成合同文件组成部分的由承包人填写并签署的投标函。</w:t>
      </w:r>
    </w:p>
    <w:p w14:paraId="61C3E0CB">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1.1.1.5 投标函附录：指附在投标函后构成合同文件的投标函附录。</w:t>
      </w:r>
    </w:p>
    <w:p w14:paraId="3293AAC2">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1.1.1.6  技术标准和要求：</w:t>
      </w:r>
      <w:bookmarkEnd w:id="118"/>
      <w:r>
        <w:rPr>
          <w:rFonts w:hint="eastAsia" w:ascii="宋体" w:hAnsi="宋体" w:cs="宋体"/>
          <w:color w:val="auto"/>
          <w:sz w:val="21"/>
          <w:szCs w:val="21"/>
          <w:highlight w:val="none"/>
        </w:rPr>
        <w:t>指构成合同文件组成部分的名为技术标准和要求（合同技术条款）的文件，包括合同双方当事人约定对其所做的修改或补充。</w:t>
      </w:r>
    </w:p>
    <w:p w14:paraId="660A943D">
      <w:pPr>
        <w:spacing w:line="360" w:lineRule="auto"/>
        <w:ind w:firstLine="718" w:firstLineChars="342"/>
        <w:rPr>
          <w:rFonts w:hint="eastAsia" w:ascii="宋体" w:hAnsi="宋体" w:cs="宋体"/>
          <w:color w:val="auto"/>
          <w:sz w:val="21"/>
          <w:szCs w:val="21"/>
          <w:highlight w:val="none"/>
        </w:rPr>
      </w:pPr>
      <w:bookmarkStart w:id="119" w:name="_Toc221950668"/>
      <w:r>
        <w:rPr>
          <w:rFonts w:hint="eastAsia" w:ascii="宋体" w:hAnsi="宋体" w:cs="宋体"/>
          <w:color w:val="auto"/>
          <w:sz w:val="21"/>
          <w:szCs w:val="21"/>
          <w:highlight w:val="none"/>
        </w:rPr>
        <w:t>1.1.1.7  图纸：指列入合同的招标图纸、投标图纸和发包人按合同约定向承包人提供的施工图纸和其他图纸（包括配套说明和有关资料）。</w:t>
      </w:r>
      <w:bookmarkEnd w:id="119"/>
      <w:r>
        <w:rPr>
          <w:rFonts w:hint="eastAsia" w:ascii="宋体" w:hAnsi="宋体" w:cs="宋体"/>
          <w:color w:val="auto"/>
          <w:sz w:val="21"/>
          <w:szCs w:val="21"/>
          <w:highlight w:val="none"/>
        </w:rPr>
        <w:t>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3EE5D81A">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1.1.1.8 已标价工程量清单：指构成合同文件组成部分的由承包人按照规定的格式和要求填写并标明价格的工程量清单。</w:t>
      </w:r>
    </w:p>
    <w:p w14:paraId="12A04586">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1.1.1.9 其他合同文件：指经合同双方当事人确认构成合同文件的其他文件。</w:t>
      </w:r>
    </w:p>
    <w:p w14:paraId="2997E49F">
      <w:pPr>
        <w:spacing w:line="360" w:lineRule="auto"/>
        <w:ind w:firstLine="718" w:firstLineChars="342"/>
        <w:rPr>
          <w:rFonts w:hint="eastAsia" w:ascii="宋体" w:hAnsi="宋体" w:cs="宋体"/>
          <w:color w:val="auto"/>
          <w:sz w:val="21"/>
          <w:szCs w:val="21"/>
          <w:highlight w:val="none"/>
        </w:rPr>
      </w:pPr>
      <w:bookmarkStart w:id="120" w:name="_Toc221950669"/>
      <w:r>
        <w:rPr>
          <w:rFonts w:hint="eastAsia" w:ascii="宋体" w:hAnsi="宋体" w:cs="宋体"/>
          <w:color w:val="auto"/>
          <w:sz w:val="21"/>
          <w:szCs w:val="21"/>
          <w:highlight w:val="none"/>
        </w:rPr>
        <w:t>1.1.2</w:t>
      </w:r>
      <w:bookmarkEnd w:id="120"/>
      <w:r>
        <w:rPr>
          <w:rFonts w:hint="eastAsia" w:ascii="宋体" w:hAnsi="宋体" w:cs="宋体"/>
          <w:color w:val="auto"/>
          <w:sz w:val="21"/>
          <w:szCs w:val="21"/>
          <w:highlight w:val="none"/>
        </w:rPr>
        <w:t xml:space="preserve"> 合同当事人和人员。</w:t>
      </w:r>
    </w:p>
    <w:p w14:paraId="432A716B">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1.1.2.1 合同当事人：指发包人和（或）承包人。</w:t>
      </w:r>
    </w:p>
    <w:p w14:paraId="4E4DDE8D">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1.1.2.2 发包人：指专用合同条款中指明并与承包人在合同协议书中签字的当事人。</w:t>
      </w:r>
    </w:p>
    <w:p w14:paraId="1C5FA868">
      <w:pPr>
        <w:autoSpaceDE w:val="0"/>
        <w:autoSpaceDN w:val="0"/>
        <w:adjustRightInd w:val="0"/>
        <w:spacing w:line="360" w:lineRule="auto"/>
        <w:ind w:firstLine="707" w:firstLineChars="337"/>
        <w:rPr>
          <w:rFonts w:hint="eastAsia" w:ascii="宋体" w:hAnsi="宋体" w:cs="宋体"/>
          <w:color w:val="auto"/>
          <w:sz w:val="21"/>
          <w:szCs w:val="21"/>
          <w:highlight w:val="none"/>
        </w:rPr>
      </w:pPr>
      <w:r>
        <w:rPr>
          <w:rFonts w:hint="eastAsia" w:ascii="宋体" w:hAnsi="宋体" w:cs="宋体"/>
          <w:color w:val="auto"/>
          <w:sz w:val="21"/>
          <w:szCs w:val="21"/>
          <w:highlight w:val="none"/>
        </w:rPr>
        <w:t>1.1.2.3 承包人：指专用条款中指明并与发包人在合同协议书中签字的当事人。</w:t>
      </w:r>
    </w:p>
    <w:p w14:paraId="1CCC67D0">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1.1.2.4 承包人项目经理：指承包人派驻施工场地的全权负责人。</w:t>
      </w:r>
    </w:p>
    <w:p w14:paraId="68B75BB8">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1.1.2.5 分包人：指专用条款中指明的，从承包人处分包合同中某一部分工程，并与其签订分包合同的分包人。</w:t>
      </w:r>
    </w:p>
    <w:p w14:paraId="5D4694C8">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1.1.2.6 监理人：指在专用合同条款中指明的，受发包人委托对合同履行实施管理的法人或其他组织。</w:t>
      </w:r>
    </w:p>
    <w:p w14:paraId="77C6AEEB">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1.1.2.7 总监理工程师（总监）：指由监理人委派常驻施工场地对合同履行实施管理的全权负责人。</w:t>
      </w:r>
    </w:p>
    <w:p w14:paraId="1C316DA7">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1.1.3工程和设备</w:t>
      </w:r>
    </w:p>
    <w:p w14:paraId="2F4851F2">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1.1.3.1 工程：指永久工程和（或）临时工程。</w:t>
      </w:r>
    </w:p>
    <w:p w14:paraId="047C8630">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1.1.3.2 永久工程：指按合同约定建造并移交给发包人的工程，包括工程设备。</w:t>
      </w:r>
    </w:p>
    <w:p w14:paraId="383487AD">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1.1.3.3 临时工程：指为完成合同约定的永久工程所修建的各类临时性工程，不包括施工设备。</w:t>
      </w:r>
    </w:p>
    <w:p w14:paraId="5245C014">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1.1.3.4 单位工程：指专用合同条款中指明特定范围的永久工程。</w:t>
      </w:r>
    </w:p>
    <w:p w14:paraId="58E69D00">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1.1.3.5 工程设备：指构成或计划构成永久工程一部分的机电设备、金属结构设备、仪器装置及其他类似的设备和装置。</w:t>
      </w:r>
    </w:p>
    <w:p w14:paraId="2221EBC2">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1.1.3.6 施工设备：指为完成合同约定的各项工作所需的设备、器具和其他物品，不包括临时工程和材料。</w:t>
      </w:r>
    </w:p>
    <w:p w14:paraId="0A5E3464">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1.1.3.7 临时设施：指为完成合同约定的各项工作所服务的临时性生产和生活设施。</w:t>
      </w:r>
    </w:p>
    <w:p w14:paraId="5B0C9BAC">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1.1.3.8 承包人设备：指承包人自带的施工设备。</w:t>
      </w:r>
    </w:p>
    <w:p w14:paraId="0DBCE9EF">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1.1.3.9 施工场地（或称工地、现场）：指用于合同工程施工的场所，以及在合同中指定作为施工场地组成部分的其他场所，包括永久占地和临时占地。</w:t>
      </w:r>
    </w:p>
    <w:p w14:paraId="23671E23">
      <w:pPr>
        <w:spacing w:line="360" w:lineRule="auto"/>
        <w:ind w:firstLine="707" w:firstLineChars="337"/>
        <w:rPr>
          <w:rFonts w:hint="eastAsia" w:ascii="宋体" w:hAnsi="宋体" w:cs="宋体"/>
          <w:color w:val="auto"/>
          <w:sz w:val="21"/>
          <w:szCs w:val="21"/>
          <w:highlight w:val="none"/>
        </w:rPr>
      </w:pPr>
      <w:bookmarkStart w:id="121" w:name="_Toc221950674"/>
      <w:r>
        <w:rPr>
          <w:rFonts w:hint="eastAsia" w:ascii="宋体" w:hAnsi="宋体" w:cs="宋体"/>
          <w:color w:val="auto"/>
          <w:sz w:val="21"/>
          <w:szCs w:val="21"/>
          <w:highlight w:val="none"/>
        </w:rPr>
        <w:t>1.1.3.10 永久占地：指发包人为建设本合同工程永久征用的场地。</w:t>
      </w:r>
      <w:bookmarkEnd w:id="121"/>
    </w:p>
    <w:p w14:paraId="45FBF3EA">
      <w:pPr>
        <w:autoSpaceDE w:val="0"/>
        <w:autoSpaceDN w:val="0"/>
        <w:adjustRightInd w:val="0"/>
        <w:spacing w:line="360" w:lineRule="auto"/>
        <w:ind w:firstLine="707" w:firstLineChars="337"/>
        <w:rPr>
          <w:rFonts w:hint="eastAsia" w:ascii="宋体" w:hAnsi="宋体" w:cs="宋体"/>
          <w:color w:val="auto"/>
          <w:sz w:val="21"/>
          <w:szCs w:val="21"/>
          <w:highlight w:val="none"/>
        </w:rPr>
      </w:pPr>
      <w:bookmarkStart w:id="122" w:name="_Toc221950675"/>
      <w:r>
        <w:rPr>
          <w:rFonts w:hint="eastAsia" w:ascii="宋体" w:hAnsi="宋体" w:cs="宋体"/>
          <w:color w:val="auto"/>
          <w:sz w:val="21"/>
          <w:szCs w:val="21"/>
          <w:highlight w:val="none"/>
        </w:rPr>
        <w:t>1.1.3.11 临时占地：指发包人为建设本合同工程临时征用，并应在完工后须按合同要求退还的场地</w:t>
      </w:r>
      <w:bookmarkEnd w:id="122"/>
    </w:p>
    <w:p w14:paraId="6DC9319F">
      <w:pPr>
        <w:spacing w:line="360" w:lineRule="auto"/>
        <w:ind w:firstLine="420" w:firstLineChars="200"/>
        <w:rPr>
          <w:rFonts w:hint="eastAsia" w:ascii="宋体" w:hAnsi="宋体" w:cs="宋体"/>
          <w:color w:val="auto"/>
          <w:sz w:val="21"/>
          <w:szCs w:val="21"/>
          <w:highlight w:val="none"/>
        </w:rPr>
      </w:pPr>
      <w:bookmarkStart w:id="123" w:name="_Toc221950676"/>
      <w:r>
        <w:rPr>
          <w:rFonts w:hint="eastAsia" w:ascii="宋体" w:hAnsi="宋体" w:cs="宋体"/>
          <w:color w:val="auto"/>
          <w:sz w:val="21"/>
          <w:szCs w:val="21"/>
          <w:highlight w:val="none"/>
        </w:rPr>
        <w:t xml:space="preserve">1.1.4 </w:t>
      </w:r>
      <w:bookmarkEnd w:id="123"/>
      <w:r>
        <w:rPr>
          <w:rFonts w:hint="eastAsia" w:ascii="宋体" w:hAnsi="宋体" w:cs="宋体"/>
          <w:color w:val="auto"/>
          <w:sz w:val="21"/>
          <w:szCs w:val="21"/>
          <w:highlight w:val="none"/>
        </w:rPr>
        <w:t xml:space="preserve">日期： </w:t>
      </w:r>
    </w:p>
    <w:p w14:paraId="5A8183E4">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1.1.4.1 开工通知：指监理人按第11.1款通知承包人开工的函件。</w:t>
      </w:r>
    </w:p>
    <w:p w14:paraId="35ADA7A8">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1.1.4.2 开工日期：指监理人按第11.1款发出的开工通知中写明的开工日期。</w:t>
      </w:r>
    </w:p>
    <w:p w14:paraId="6205AC19">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1.1.4.3工期：指承包人在投标函中承诺的完成合同工程所需的期限，包括按第11.3款、第11.4款和第11.6款约定所作的变更。</w:t>
      </w:r>
    </w:p>
    <w:p w14:paraId="0EA833A5">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1.1.4.4 竣工日期：即合同工程完工日期，指第1.1.4.3目约定工期届满时的日期。实际完工日期以合同工程完工证书中写明的日期为准。</w:t>
      </w:r>
    </w:p>
    <w:p w14:paraId="65D1FE61">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1.1.4.5 缺陷责任期：即工程质量保修期，指履行第19.2款约定的缺陷责任的期限，包括根据第19.3款约定所</w:t>
      </w:r>
      <w:r>
        <w:rPr>
          <w:rFonts w:hint="eastAsia" w:ascii="宋体" w:hAnsi="宋体" w:cs="宋体"/>
          <w:color w:val="auto"/>
          <w:sz w:val="21"/>
          <w:szCs w:val="21"/>
          <w:highlight w:val="none"/>
          <w:lang w:eastAsia="zh-CN"/>
        </w:rPr>
        <w:t>做</w:t>
      </w:r>
      <w:r>
        <w:rPr>
          <w:rFonts w:hint="eastAsia" w:ascii="宋体" w:hAnsi="宋体" w:cs="宋体"/>
          <w:color w:val="auto"/>
          <w:sz w:val="21"/>
          <w:szCs w:val="21"/>
          <w:highlight w:val="none"/>
        </w:rPr>
        <w:t>的延长，具体期限由专用合同条款约定。</w:t>
      </w:r>
    </w:p>
    <w:p w14:paraId="4418CD58">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1.1.4.6 基准日期：指投标截止时间前28天的日期。</w:t>
      </w:r>
    </w:p>
    <w:p w14:paraId="068A7759">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1.1.4.7 天：除特别指明外，指日历天。合同中按天计算时间的，开始当天不计入，从次日开始计算。期限最后一天的截止时间为当天24:00。</w:t>
      </w:r>
    </w:p>
    <w:p w14:paraId="091144A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1.1.5 合同价格和费用</w:t>
      </w:r>
    </w:p>
    <w:p w14:paraId="7683CB20">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1.1.5.1 签约合同价：指</w:t>
      </w:r>
      <w:r>
        <w:rPr>
          <w:rFonts w:hint="eastAsia" w:ascii="宋体" w:hAnsi="宋体" w:cs="宋体"/>
          <w:color w:val="auto"/>
          <w:sz w:val="21"/>
          <w:szCs w:val="21"/>
          <w:highlight w:val="none"/>
          <w:lang w:eastAsia="zh-CN"/>
        </w:rPr>
        <w:t>签订合同</w:t>
      </w:r>
      <w:r>
        <w:rPr>
          <w:rFonts w:hint="eastAsia" w:ascii="宋体" w:hAnsi="宋体" w:cs="宋体"/>
          <w:color w:val="auto"/>
          <w:sz w:val="21"/>
          <w:szCs w:val="21"/>
          <w:highlight w:val="none"/>
        </w:rPr>
        <w:t>时合同协议书中写明的，包括了暂列金额、暂估价的合同总金额。</w:t>
      </w:r>
    </w:p>
    <w:p w14:paraId="3914929F">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1.1.5.2 合同价格：指承包人按合同约定完成了包括缺陷责任期内的全部承包工作后，发包人应付给承包人的金额，包括在履行合同过程中按合同约定进行的变更和调整。</w:t>
      </w:r>
    </w:p>
    <w:p w14:paraId="6549AB50">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1.1.5.3 费用：指为履行合同所发生的或将要发生的所有合理开支，包括管理费和应分摊的其他费用，但不包括利润。</w:t>
      </w:r>
    </w:p>
    <w:p w14:paraId="563DF5D3">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1.1.5.4 暂列金额：指已标价工程量清单中所列的暂列金额，用于在签订协议书时尚未确定或不可预见变更的施工及其所需材料、工程设备、服务等的金额，包括以计日工方式支付的金额。</w:t>
      </w:r>
    </w:p>
    <w:p w14:paraId="220C90B9">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1.1.5.5暂估价：指发包人在工程量清单中给定的用于支付必然发生但暂时不能确定价格的材料、设备以及专业工程的金额。</w:t>
      </w:r>
    </w:p>
    <w:p w14:paraId="5718C05A">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1.1.5.6 计日工：指对零星工作采取的一种计价方式，按合同中的计日工子目及其单价计价付款。</w:t>
      </w:r>
    </w:p>
    <w:p w14:paraId="6B9830E8">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1.1.5.7 质量保证金（或称保留金）：指按第17.4.1项约定用于保证在缺陷责任期内履行缺陷修复义务的金额。</w:t>
      </w:r>
    </w:p>
    <w:p w14:paraId="489929EB">
      <w:pPr>
        <w:spacing w:line="360" w:lineRule="auto"/>
        <w:ind w:firstLine="420" w:firstLineChars="200"/>
        <w:rPr>
          <w:rFonts w:hint="eastAsia" w:ascii="宋体" w:hAnsi="宋体" w:cs="宋体"/>
          <w:color w:val="auto"/>
          <w:sz w:val="21"/>
          <w:szCs w:val="21"/>
          <w:highlight w:val="none"/>
        </w:rPr>
      </w:pPr>
      <w:bookmarkStart w:id="124" w:name="_Toc221950693"/>
      <w:r>
        <w:rPr>
          <w:rFonts w:hint="eastAsia" w:ascii="宋体" w:hAnsi="宋体" w:cs="宋体"/>
          <w:color w:val="auto"/>
          <w:sz w:val="21"/>
          <w:szCs w:val="21"/>
          <w:highlight w:val="none"/>
        </w:rPr>
        <w:t>1.1.6 其他</w:t>
      </w:r>
    </w:p>
    <w:p w14:paraId="36E9FD1B">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1.1.6.1 书面形式：指合同文件、信函、电报、传真等可以有形地表现所载内容的形式。</w:t>
      </w:r>
    </w:p>
    <w:p w14:paraId="499FBB64">
      <w:pPr>
        <w:keepNext/>
        <w:keepLines/>
        <w:spacing w:line="360" w:lineRule="auto"/>
        <w:outlineLvl w:val="2"/>
        <w:rPr>
          <w:rFonts w:hint="eastAsia" w:ascii="宋体" w:hAnsi="宋体" w:cs="宋体"/>
          <w:color w:val="auto"/>
          <w:sz w:val="21"/>
          <w:szCs w:val="21"/>
          <w:highlight w:val="none"/>
        </w:rPr>
      </w:pPr>
      <w:bookmarkStart w:id="125" w:name="_Toc21260"/>
      <w:bookmarkStart w:id="126" w:name="_Toc144974581"/>
      <w:bookmarkStart w:id="127" w:name="_Toc152042391"/>
      <w:bookmarkStart w:id="128" w:name="_Toc152045613"/>
      <w:bookmarkStart w:id="129" w:name="_Toc175063799"/>
      <w:bookmarkStart w:id="130" w:name="_Toc179632631"/>
      <w:r>
        <w:rPr>
          <w:rFonts w:hint="eastAsia" w:ascii="宋体" w:hAnsi="宋体" w:cs="宋体"/>
          <w:color w:val="auto"/>
          <w:sz w:val="21"/>
          <w:szCs w:val="21"/>
          <w:highlight w:val="none"/>
        </w:rPr>
        <w:t>1.2 语言文字</w:t>
      </w:r>
      <w:bookmarkEnd w:id="125"/>
      <w:bookmarkEnd w:id="126"/>
      <w:bookmarkEnd w:id="127"/>
      <w:bookmarkEnd w:id="128"/>
      <w:bookmarkEnd w:id="129"/>
      <w:bookmarkEnd w:id="130"/>
    </w:p>
    <w:p w14:paraId="0FE4C93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除专用术语外，合同使用的语言文字为中文。必要时专用术语应附有中文注释。</w:t>
      </w:r>
    </w:p>
    <w:p w14:paraId="57080D4F">
      <w:pPr>
        <w:keepNext/>
        <w:keepLines/>
        <w:spacing w:line="360" w:lineRule="auto"/>
        <w:outlineLvl w:val="2"/>
        <w:rPr>
          <w:rFonts w:hint="eastAsia" w:ascii="宋体" w:hAnsi="宋体" w:cs="宋体"/>
          <w:color w:val="auto"/>
          <w:sz w:val="21"/>
          <w:szCs w:val="21"/>
          <w:highlight w:val="none"/>
        </w:rPr>
      </w:pPr>
      <w:bookmarkStart w:id="131" w:name="_Toc179632632"/>
      <w:bookmarkStart w:id="132" w:name="_Toc175063800"/>
      <w:bookmarkStart w:id="133" w:name="_Toc27513"/>
      <w:bookmarkStart w:id="134" w:name="_Toc152042392"/>
      <w:bookmarkStart w:id="135" w:name="_Toc152045614"/>
      <w:bookmarkStart w:id="136" w:name="_Toc144974582"/>
      <w:r>
        <w:rPr>
          <w:rFonts w:hint="eastAsia" w:ascii="宋体" w:hAnsi="宋体" w:cs="宋体"/>
          <w:color w:val="auto"/>
          <w:sz w:val="21"/>
          <w:szCs w:val="21"/>
          <w:highlight w:val="none"/>
        </w:rPr>
        <w:t>1.3 法律</w:t>
      </w:r>
      <w:bookmarkEnd w:id="131"/>
      <w:bookmarkEnd w:id="132"/>
      <w:bookmarkEnd w:id="133"/>
      <w:bookmarkEnd w:id="134"/>
      <w:bookmarkEnd w:id="135"/>
      <w:bookmarkEnd w:id="136"/>
    </w:p>
    <w:p w14:paraId="6AF370B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适用于合同的法律包括中华人民共和国法律、行政法规、部门规章，以及工程所在地的</w:t>
      </w:r>
      <w:r>
        <w:rPr>
          <w:rFonts w:hint="eastAsia" w:ascii="宋体" w:hAnsi="宋体" w:cs="宋体"/>
          <w:color w:val="auto"/>
          <w:sz w:val="21"/>
          <w:szCs w:val="21"/>
          <w:highlight w:val="none"/>
          <w:lang w:eastAsia="zh-CN"/>
        </w:rPr>
        <w:t>地方性法规</w:t>
      </w:r>
      <w:r>
        <w:rPr>
          <w:rFonts w:hint="eastAsia" w:ascii="宋体" w:hAnsi="宋体" w:cs="宋体"/>
          <w:color w:val="auto"/>
          <w:sz w:val="21"/>
          <w:szCs w:val="21"/>
          <w:highlight w:val="none"/>
        </w:rPr>
        <w:t>、自治条例、单行条例和地方政府规章。</w:t>
      </w:r>
    </w:p>
    <w:p w14:paraId="18389864">
      <w:pPr>
        <w:keepNext/>
        <w:keepLines/>
        <w:spacing w:line="360" w:lineRule="auto"/>
        <w:outlineLvl w:val="2"/>
        <w:rPr>
          <w:rFonts w:hint="eastAsia" w:ascii="宋体" w:hAnsi="宋体" w:cs="宋体"/>
          <w:color w:val="auto"/>
          <w:sz w:val="21"/>
          <w:szCs w:val="21"/>
          <w:highlight w:val="none"/>
        </w:rPr>
      </w:pPr>
      <w:bookmarkStart w:id="137" w:name="_Toc144974583"/>
      <w:bookmarkStart w:id="138" w:name="_Toc175063801"/>
      <w:bookmarkStart w:id="139" w:name="_Toc179632633"/>
      <w:bookmarkStart w:id="140" w:name="_Toc152045615"/>
      <w:bookmarkStart w:id="141" w:name="_Toc152042393"/>
      <w:bookmarkStart w:id="142" w:name="_Toc14513"/>
      <w:r>
        <w:rPr>
          <w:rFonts w:hint="eastAsia" w:ascii="宋体" w:hAnsi="宋体" w:cs="宋体"/>
          <w:color w:val="auto"/>
          <w:sz w:val="21"/>
          <w:szCs w:val="21"/>
          <w:highlight w:val="none"/>
        </w:rPr>
        <w:t>1.4 合同文件的优先顺序</w:t>
      </w:r>
      <w:bookmarkEnd w:id="137"/>
      <w:bookmarkEnd w:id="138"/>
      <w:bookmarkEnd w:id="139"/>
      <w:bookmarkEnd w:id="140"/>
      <w:bookmarkEnd w:id="141"/>
      <w:bookmarkEnd w:id="142"/>
    </w:p>
    <w:p w14:paraId="4E3B01E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组成合同的各项文件应互相解释，互为说明。除专用合同条款另有约定外，解释合同文件的优先顺序如下：</w:t>
      </w:r>
    </w:p>
    <w:p w14:paraId="48C3EE81">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（1）合同协议书；</w:t>
      </w:r>
    </w:p>
    <w:p w14:paraId="1FA19592">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（2）中标通知书；</w:t>
      </w:r>
    </w:p>
    <w:p w14:paraId="14F3B930">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（3）投标函及投标函附录；</w:t>
      </w:r>
    </w:p>
    <w:p w14:paraId="65143449">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（4）专用合同条款；</w:t>
      </w:r>
    </w:p>
    <w:p w14:paraId="5326CA28">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（5）通用合同条款；</w:t>
      </w:r>
    </w:p>
    <w:p w14:paraId="1226411E">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（6）技术标准和要求；</w:t>
      </w:r>
    </w:p>
    <w:p w14:paraId="609CD48B">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（7）图纸；</w:t>
      </w:r>
    </w:p>
    <w:p w14:paraId="7B92BE9F">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（8）已标价工程量清单；</w:t>
      </w:r>
    </w:p>
    <w:p w14:paraId="47A7C9B4">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（9）其他合同文件。</w:t>
      </w:r>
    </w:p>
    <w:p w14:paraId="0AF1E69F">
      <w:pPr>
        <w:keepNext/>
        <w:keepLines/>
        <w:spacing w:line="360" w:lineRule="auto"/>
        <w:outlineLvl w:val="2"/>
        <w:rPr>
          <w:rFonts w:hint="eastAsia" w:ascii="宋体" w:hAnsi="宋体" w:cs="宋体"/>
          <w:color w:val="auto"/>
          <w:sz w:val="21"/>
          <w:szCs w:val="21"/>
          <w:highlight w:val="none"/>
        </w:rPr>
      </w:pPr>
      <w:bookmarkStart w:id="143" w:name="_Toc152042394"/>
      <w:bookmarkStart w:id="144" w:name="_Toc152045616"/>
      <w:bookmarkStart w:id="145" w:name="_Toc179632634"/>
      <w:bookmarkStart w:id="146" w:name="_Toc144974584"/>
      <w:bookmarkStart w:id="147" w:name="_Toc4094"/>
      <w:bookmarkStart w:id="148" w:name="_Toc175063802"/>
      <w:r>
        <w:rPr>
          <w:rFonts w:hint="eastAsia" w:ascii="宋体" w:hAnsi="宋体" w:cs="宋体"/>
          <w:color w:val="auto"/>
          <w:sz w:val="21"/>
          <w:szCs w:val="21"/>
          <w:highlight w:val="none"/>
        </w:rPr>
        <w:t>1.5 合同协议书</w:t>
      </w:r>
      <w:bookmarkEnd w:id="143"/>
      <w:bookmarkEnd w:id="144"/>
      <w:bookmarkEnd w:id="145"/>
      <w:bookmarkEnd w:id="146"/>
      <w:bookmarkEnd w:id="147"/>
      <w:bookmarkEnd w:id="148"/>
    </w:p>
    <w:p w14:paraId="7D29084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承包人按中标通知书规定的时间与发包人签订合同协议书。除法律另有规定或合同另有约定外，发包人和承包人的法定代表人或其委托代理人在合同协议书</w:t>
      </w:r>
      <w:r>
        <w:rPr>
          <w:rFonts w:hint="eastAsia" w:ascii="宋体" w:hAnsi="宋体" w:cs="宋体"/>
          <w:color w:val="auto"/>
          <w:sz w:val="21"/>
          <w:szCs w:val="21"/>
          <w:highlight w:val="none"/>
          <w:lang w:eastAsia="zh-CN"/>
        </w:rPr>
        <w:t>上签字并加盖单位公</w:t>
      </w:r>
      <w:r>
        <w:rPr>
          <w:rFonts w:hint="eastAsia" w:ascii="宋体" w:hAnsi="宋体" w:cs="宋体"/>
          <w:color w:val="auto"/>
          <w:sz w:val="21"/>
          <w:szCs w:val="21"/>
          <w:highlight w:val="none"/>
        </w:rPr>
        <w:t>章后，合同生效。</w:t>
      </w:r>
    </w:p>
    <w:p w14:paraId="2A2F4D35">
      <w:pPr>
        <w:keepNext/>
        <w:keepLines/>
        <w:spacing w:line="360" w:lineRule="auto"/>
        <w:jc w:val="center"/>
        <w:outlineLvl w:val="2"/>
        <w:rPr>
          <w:rFonts w:hint="eastAsia" w:ascii="宋体" w:hAnsi="宋体" w:cs="宋体"/>
          <w:b/>
          <w:bCs/>
          <w:color w:val="auto"/>
          <w:sz w:val="21"/>
          <w:szCs w:val="21"/>
          <w:highlight w:val="none"/>
        </w:rPr>
      </w:pPr>
      <w:bookmarkStart w:id="149" w:name="_Toc1509"/>
      <w:bookmarkStart w:id="150" w:name="_Toc175063803"/>
      <w:r>
        <w:rPr>
          <w:rFonts w:hint="eastAsia" w:ascii="宋体" w:hAnsi="宋体" w:cs="宋体"/>
          <w:b/>
          <w:bCs/>
          <w:color w:val="auto"/>
          <w:sz w:val="21"/>
          <w:szCs w:val="21"/>
          <w:highlight w:val="none"/>
        </w:rPr>
        <w:t>1.6图纸和承包人文件</w:t>
      </w:r>
      <w:bookmarkEnd w:id="149"/>
      <w:bookmarkEnd w:id="150"/>
    </w:p>
    <w:bookmarkEnd w:id="124"/>
    <w:p w14:paraId="73B1B3C1">
      <w:pPr>
        <w:spacing w:line="360" w:lineRule="auto"/>
        <w:ind w:firstLine="420" w:firstLineChars="200"/>
        <w:rPr>
          <w:rFonts w:hint="eastAsia" w:ascii="宋体" w:hAnsi="宋体" w:cs="宋体"/>
          <w:color w:val="auto"/>
          <w:sz w:val="21"/>
          <w:szCs w:val="21"/>
          <w:highlight w:val="none"/>
        </w:rPr>
      </w:pPr>
      <w:bookmarkStart w:id="151" w:name="_Toc221950695"/>
      <w:r>
        <w:rPr>
          <w:rFonts w:hint="eastAsia" w:ascii="宋体" w:hAnsi="宋体" w:cs="宋体"/>
          <w:color w:val="auto"/>
          <w:sz w:val="21"/>
          <w:szCs w:val="21"/>
          <w:highlight w:val="none"/>
        </w:rPr>
        <w:t>1.6.1图纸的提供</w:t>
      </w:r>
    </w:p>
    <w:p w14:paraId="0349FA9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发包人应按技术标准和要求（合同技术条款）约定的期限和数量将施工图纸以及</w:t>
      </w:r>
      <w:r>
        <w:rPr>
          <w:rFonts w:hint="eastAsia" w:ascii="宋体" w:hAnsi="宋体" w:cs="宋体"/>
          <w:color w:val="auto"/>
          <w:sz w:val="21"/>
          <w:szCs w:val="21"/>
          <w:highlight w:val="none"/>
          <w:lang w:eastAsia="zh-CN"/>
        </w:rPr>
        <w:t>其他</w:t>
      </w:r>
      <w:r>
        <w:rPr>
          <w:rFonts w:hint="eastAsia" w:ascii="宋体" w:hAnsi="宋体" w:cs="宋体"/>
          <w:color w:val="auto"/>
          <w:sz w:val="21"/>
          <w:szCs w:val="21"/>
          <w:highlight w:val="none"/>
        </w:rPr>
        <w:t>图纸（包括配套说明和有关资料）提供给承包人。由于发包人未按时提供图纸造成工期延误的，按第11.3款的约定办理。</w:t>
      </w:r>
    </w:p>
    <w:bookmarkEnd w:id="151"/>
    <w:p w14:paraId="481F0F8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1.6.2 承包人提供的文件</w:t>
      </w:r>
    </w:p>
    <w:p w14:paraId="6AA483DE">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承包人提供的文件应按技术标准和要求（合同技术条款）约定的期限和数量提供给监理人。监理人应按技术标准和要求（合同技术条款）约定的期限批复承包人。</w:t>
      </w:r>
    </w:p>
    <w:p w14:paraId="4463BED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1.6.3 图纸的修改</w:t>
      </w:r>
    </w:p>
    <w:p w14:paraId="419D9DE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56C0095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1.6.4 图纸的错误</w:t>
      </w:r>
    </w:p>
    <w:p w14:paraId="2033986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承包人发现发包人提供的图纸存在明显错误或疏忽，应及时通知监理人。</w:t>
      </w:r>
    </w:p>
    <w:p w14:paraId="7669EDD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1.6.5 图纸和承包人文件的保管</w:t>
      </w:r>
    </w:p>
    <w:p w14:paraId="58D7710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监理人和承包人均应在施工场地各保存一套完整的包含第1.6.1项、第1.6.2项、第1.6.3项约定内容的图纸和承包人文件。</w:t>
      </w:r>
    </w:p>
    <w:p w14:paraId="5C1824D5">
      <w:pPr>
        <w:keepNext/>
        <w:keepLines/>
        <w:spacing w:line="360" w:lineRule="auto"/>
        <w:jc w:val="center"/>
        <w:outlineLvl w:val="2"/>
        <w:rPr>
          <w:rFonts w:hint="eastAsia" w:ascii="宋体" w:hAnsi="宋体" w:cs="宋体"/>
          <w:b/>
          <w:bCs/>
          <w:color w:val="auto"/>
          <w:sz w:val="21"/>
          <w:szCs w:val="21"/>
          <w:highlight w:val="none"/>
        </w:rPr>
      </w:pPr>
      <w:bookmarkStart w:id="152" w:name="_Toc175063804"/>
      <w:bookmarkStart w:id="153" w:name="_Toc18107"/>
      <w:bookmarkStart w:id="154" w:name="_Toc221950701"/>
      <w:r>
        <w:rPr>
          <w:rFonts w:hint="eastAsia" w:ascii="宋体" w:hAnsi="宋体" w:cs="宋体"/>
          <w:b/>
          <w:bCs/>
          <w:color w:val="auto"/>
          <w:sz w:val="21"/>
          <w:szCs w:val="21"/>
          <w:highlight w:val="none"/>
        </w:rPr>
        <w:t>1.7联络</w:t>
      </w:r>
      <w:bookmarkEnd w:id="152"/>
      <w:bookmarkEnd w:id="153"/>
    </w:p>
    <w:p w14:paraId="2549F2E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1.7.1 与合同有关的通知、批准、证明、证书、指示、要求、请求、同意、意见、确定和决定等，均应采用书面形式。</w:t>
      </w:r>
    </w:p>
    <w:p w14:paraId="20F8FEA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1.7.2  第1.7.1项中的通知、批准、证明、证书、指示、要求、请求、同意、意见、确定和决定等来往函件，均应在合同约定的期限内送达指定地点和接收人，并办理签收手续。来往函件的</w:t>
      </w:r>
      <w:r>
        <w:rPr>
          <w:rFonts w:hint="eastAsia" w:ascii="宋体" w:hAnsi="宋体" w:cs="宋体"/>
          <w:color w:val="auto"/>
          <w:sz w:val="21"/>
          <w:szCs w:val="21"/>
          <w:highlight w:val="none"/>
          <w:lang w:eastAsia="zh-CN"/>
        </w:rPr>
        <w:t>送达</w:t>
      </w:r>
      <w:r>
        <w:rPr>
          <w:rFonts w:hint="eastAsia" w:ascii="宋体" w:hAnsi="宋体" w:cs="宋体"/>
          <w:color w:val="auto"/>
          <w:sz w:val="21"/>
          <w:szCs w:val="21"/>
          <w:highlight w:val="none"/>
        </w:rPr>
        <w:t>期限在技术标准和要求（合同技术条款）中约定，送达地点在专用合同条款中约定。</w:t>
      </w:r>
    </w:p>
    <w:p w14:paraId="0B4E525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1.7.3  来往函件均应按合同约定的期限及时发出和答复，不得无故</w:t>
      </w:r>
      <w:r>
        <w:rPr>
          <w:rFonts w:hint="eastAsia" w:ascii="宋体" w:hAnsi="宋体" w:cs="宋体"/>
          <w:color w:val="auto"/>
          <w:sz w:val="21"/>
          <w:szCs w:val="21"/>
          <w:highlight w:val="none"/>
          <w:lang w:eastAsia="zh-CN"/>
        </w:rPr>
        <w:t>扣押</w:t>
      </w:r>
      <w:r>
        <w:rPr>
          <w:rFonts w:hint="eastAsia" w:ascii="宋体" w:hAnsi="宋体" w:cs="宋体"/>
          <w:color w:val="auto"/>
          <w:sz w:val="21"/>
          <w:szCs w:val="21"/>
          <w:highlight w:val="none"/>
        </w:rPr>
        <w:t>和拖延，亦不得拒收。否则，由此造成的后果由责任方负责。</w:t>
      </w:r>
      <w:bookmarkEnd w:id="154"/>
    </w:p>
    <w:p w14:paraId="56B9AF3E">
      <w:pPr>
        <w:keepNext/>
        <w:keepLines/>
        <w:spacing w:line="360" w:lineRule="auto"/>
        <w:outlineLvl w:val="2"/>
        <w:rPr>
          <w:rFonts w:hint="eastAsia" w:ascii="宋体" w:hAnsi="宋体" w:cs="宋体"/>
          <w:color w:val="auto"/>
          <w:sz w:val="21"/>
          <w:szCs w:val="21"/>
          <w:highlight w:val="none"/>
        </w:rPr>
      </w:pPr>
      <w:bookmarkStart w:id="155" w:name="_Toc179632637"/>
      <w:bookmarkStart w:id="156" w:name="_Toc144974587"/>
      <w:bookmarkStart w:id="157" w:name="_Toc152045619"/>
      <w:bookmarkStart w:id="158" w:name="_Toc6860"/>
      <w:bookmarkStart w:id="159" w:name="_Toc152042397"/>
      <w:bookmarkStart w:id="160" w:name="_Toc175063805"/>
      <w:r>
        <w:rPr>
          <w:rFonts w:hint="eastAsia" w:ascii="宋体" w:hAnsi="宋体" w:cs="宋体"/>
          <w:color w:val="auto"/>
          <w:sz w:val="21"/>
          <w:szCs w:val="21"/>
          <w:highlight w:val="none"/>
        </w:rPr>
        <w:t>1.8 转让</w:t>
      </w:r>
      <w:bookmarkEnd w:id="155"/>
      <w:bookmarkEnd w:id="156"/>
      <w:bookmarkEnd w:id="157"/>
      <w:bookmarkEnd w:id="158"/>
      <w:bookmarkEnd w:id="159"/>
      <w:bookmarkEnd w:id="160"/>
    </w:p>
    <w:p w14:paraId="2C84BCF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除合同另有约定外，未经对方当事人同意，一方当事人不得将合同权利全部或部分转让给第三人，也不得全部或部分转移合同义务。</w:t>
      </w:r>
    </w:p>
    <w:p w14:paraId="7B52D2C1">
      <w:pPr>
        <w:keepNext/>
        <w:keepLines/>
        <w:spacing w:line="360" w:lineRule="auto"/>
        <w:outlineLvl w:val="2"/>
        <w:rPr>
          <w:rFonts w:hint="eastAsia" w:ascii="宋体" w:hAnsi="宋体" w:cs="宋体"/>
          <w:color w:val="auto"/>
          <w:sz w:val="21"/>
          <w:szCs w:val="21"/>
          <w:highlight w:val="none"/>
        </w:rPr>
      </w:pPr>
      <w:bookmarkStart w:id="161" w:name="_Toc152045620"/>
      <w:bookmarkStart w:id="162" w:name="_Toc144974588"/>
      <w:bookmarkStart w:id="163" w:name="_Toc8273"/>
      <w:bookmarkStart w:id="164" w:name="_Toc175063806"/>
      <w:bookmarkStart w:id="165" w:name="_Toc152042398"/>
      <w:bookmarkStart w:id="166" w:name="_Toc179632638"/>
      <w:r>
        <w:rPr>
          <w:rFonts w:hint="eastAsia" w:ascii="宋体" w:hAnsi="宋体" w:cs="宋体"/>
          <w:color w:val="auto"/>
          <w:sz w:val="21"/>
          <w:szCs w:val="21"/>
          <w:highlight w:val="none"/>
        </w:rPr>
        <w:t>1.9 严禁贿赂</w:t>
      </w:r>
      <w:bookmarkEnd w:id="161"/>
      <w:bookmarkEnd w:id="162"/>
      <w:bookmarkEnd w:id="163"/>
      <w:bookmarkEnd w:id="164"/>
      <w:bookmarkEnd w:id="165"/>
      <w:bookmarkEnd w:id="166"/>
    </w:p>
    <w:p w14:paraId="336C33B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合同双方当事人不得以贿赂或变相贿赂的方式，谋取不当利益或损害对方权益。因贿赂造成对方损失的，行为人应赔偿损失，并承担相应的法律责任。</w:t>
      </w:r>
    </w:p>
    <w:p w14:paraId="5907F79F">
      <w:pPr>
        <w:keepNext/>
        <w:keepLines/>
        <w:spacing w:line="360" w:lineRule="auto"/>
        <w:outlineLvl w:val="2"/>
        <w:rPr>
          <w:rFonts w:hint="eastAsia" w:ascii="宋体" w:hAnsi="宋体" w:cs="宋体"/>
          <w:color w:val="auto"/>
          <w:sz w:val="21"/>
          <w:szCs w:val="21"/>
          <w:highlight w:val="none"/>
        </w:rPr>
      </w:pPr>
      <w:bookmarkStart w:id="167" w:name="_Toc144974589"/>
      <w:bookmarkStart w:id="168" w:name="_Toc152045621"/>
      <w:bookmarkStart w:id="169" w:name="_Toc179632639"/>
      <w:bookmarkStart w:id="170" w:name="_Toc152042399"/>
      <w:bookmarkStart w:id="171" w:name="_Toc175063807"/>
      <w:bookmarkStart w:id="172" w:name="_Toc31304"/>
      <w:r>
        <w:rPr>
          <w:rFonts w:hint="eastAsia" w:ascii="宋体" w:hAnsi="宋体" w:cs="宋体"/>
          <w:color w:val="auto"/>
          <w:sz w:val="21"/>
          <w:szCs w:val="21"/>
          <w:highlight w:val="none"/>
        </w:rPr>
        <w:t>1.10 化石、文物</w:t>
      </w:r>
      <w:bookmarkEnd w:id="167"/>
      <w:bookmarkEnd w:id="168"/>
      <w:bookmarkEnd w:id="169"/>
      <w:bookmarkEnd w:id="170"/>
      <w:bookmarkEnd w:id="171"/>
      <w:bookmarkEnd w:id="172"/>
    </w:p>
    <w:p w14:paraId="21B3854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7F0D9C1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1.10.2 承包人发现文物后不及时报告或隐瞒不报，致使文物丢失或损坏的，应赔偿损失，并承担相应的法律责任。</w:t>
      </w:r>
    </w:p>
    <w:p w14:paraId="4829CBE9">
      <w:pPr>
        <w:keepNext/>
        <w:keepLines/>
        <w:spacing w:line="360" w:lineRule="auto"/>
        <w:jc w:val="center"/>
        <w:outlineLvl w:val="2"/>
        <w:rPr>
          <w:rFonts w:hint="eastAsia" w:ascii="宋体" w:hAnsi="宋体" w:cs="宋体"/>
          <w:b/>
          <w:bCs/>
          <w:color w:val="auto"/>
          <w:sz w:val="21"/>
          <w:szCs w:val="21"/>
          <w:highlight w:val="none"/>
        </w:rPr>
      </w:pPr>
      <w:bookmarkStart w:id="173" w:name="_Toc7614"/>
      <w:bookmarkStart w:id="174" w:name="_Toc175063808"/>
      <w:r>
        <w:rPr>
          <w:rFonts w:hint="eastAsia" w:ascii="宋体" w:hAnsi="宋体" w:cs="宋体"/>
          <w:b/>
          <w:bCs/>
          <w:color w:val="auto"/>
          <w:sz w:val="21"/>
          <w:szCs w:val="21"/>
          <w:highlight w:val="none"/>
        </w:rPr>
        <w:t>1.11专利技术</w:t>
      </w:r>
      <w:bookmarkEnd w:id="173"/>
      <w:bookmarkEnd w:id="174"/>
    </w:p>
    <w:p w14:paraId="0680944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0DC4E0C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1.11.2 承包人在投标文件中采用专利技术的，专利技术的使用费包含在投标报价内。</w:t>
      </w:r>
    </w:p>
    <w:p w14:paraId="54EEFCB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1.11.3 承包人的技术秘密和声明需要保密的资料和信息，发包人和监理人不得为合同以外的目的泄露给他人。</w:t>
      </w:r>
    </w:p>
    <w:p w14:paraId="6F62DA70">
      <w:pPr>
        <w:spacing w:line="360" w:lineRule="auto"/>
        <w:ind w:firstLine="420" w:firstLineChars="200"/>
        <w:rPr>
          <w:rFonts w:hint="eastAsia" w:ascii="宋体" w:hAnsi="宋体" w:cs="宋体"/>
          <w:color w:val="auto"/>
          <w:sz w:val="21"/>
          <w:szCs w:val="21"/>
          <w:highlight w:val="none"/>
        </w:rPr>
      </w:pPr>
      <w:bookmarkStart w:id="175" w:name="_Toc221950710"/>
      <w:r>
        <w:rPr>
          <w:rFonts w:hint="eastAsia" w:ascii="宋体" w:hAnsi="宋体" w:cs="宋体"/>
          <w:color w:val="auto"/>
          <w:sz w:val="21"/>
          <w:szCs w:val="21"/>
          <w:highlight w:val="none"/>
        </w:rPr>
        <w:t>1.11.4  合同实施过程中，发包人要求承包人采用专利技术的，发包人应办理相应的使用手续，承包人应按发包人约定的条件使用，并承担使用专利技术的相关试验工作。所需的费用由发包人承担。</w:t>
      </w:r>
      <w:bookmarkEnd w:id="175"/>
    </w:p>
    <w:p w14:paraId="3E62FD96">
      <w:pPr>
        <w:keepNext/>
        <w:keepLines/>
        <w:spacing w:line="360" w:lineRule="auto"/>
        <w:outlineLvl w:val="2"/>
        <w:rPr>
          <w:rFonts w:hint="eastAsia" w:ascii="宋体" w:hAnsi="宋体" w:cs="宋体"/>
          <w:color w:val="auto"/>
          <w:sz w:val="21"/>
          <w:szCs w:val="21"/>
          <w:highlight w:val="none"/>
        </w:rPr>
      </w:pPr>
      <w:bookmarkStart w:id="176" w:name="_Toc179632641"/>
      <w:bookmarkStart w:id="177" w:name="_Toc3199"/>
      <w:bookmarkStart w:id="178" w:name="_Toc144974591"/>
      <w:bookmarkStart w:id="179" w:name="_Toc152045623"/>
      <w:bookmarkStart w:id="180" w:name="_Toc152042401"/>
      <w:bookmarkStart w:id="181" w:name="_Toc175063809"/>
      <w:r>
        <w:rPr>
          <w:rFonts w:hint="eastAsia" w:ascii="宋体" w:hAnsi="宋体" w:cs="宋体"/>
          <w:color w:val="auto"/>
          <w:sz w:val="21"/>
          <w:szCs w:val="21"/>
          <w:highlight w:val="none"/>
        </w:rPr>
        <w:t>1.12 图纸和文件的保密</w:t>
      </w:r>
      <w:bookmarkEnd w:id="176"/>
      <w:bookmarkEnd w:id="177"/>
      <w:bookmarkEnd w:id="178"/>
      <w:bookmarkEnd w:id="179"/>
      <w:bookmarkEnd w:id="180"/>
      <w:bookmarkEnd w:id="181"/>
    </w:p>
    <w:p w14:paraId="76A749E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1.12.1 发包人提供的图纸和文件，未经发包人同意，承包人不得为合同以外的目的泄露给他人或公开发表与引用。</w:t>
      </w:r>
    </w:p>
    <w:p w14:paraId="0ACBA1D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1.12.2 承包人提供的文件，未经承包人同意，发包人和监理人不得为合同以外的目的泄露给他人或公开发表与引用。</w:t>
      </w:r>
    </w:p>
    <w:p w14:paraId="410BF365">
      <w:pPr>
        <w:keepNext/>
        <w:keepLines/>
        <w:spacing w:line="360" w:lineRule="auto"/>
        <w:jc w:val="center"/>
        <w:outlineLvl w:val="1"/>
        <w:rPr>
          <w:rFonts w:hint="eastAsia" w:ascii="宋体" w:hAnsi="宋体" w:cs="宋体"/>
          <w:b/>
          <w:bCs/>
          <w:color w:val="auto"/>
          <w:sz w:val="21"/>
          <w:szCs w:val="21"/>
          <w:highlight w:val="none"/>
        </w:rPr>
      </w:pPr>
      <w:bookmarkStart w:id="182" w:name="_Toc175063810"/>
      <w:bookmarkStart w:id="183" w:name="_Toc256000067"/>
      <w:bookmarkStart w:id="184" w:name="_Toc222032672"/>
      <w:bookmarkStart w:id="185" w:name="_Toc229408498"/>
      <w:bookmarkStart w:id="186" w:name="_Toc222029503"/>
      <w:bookmarkStart w:id="187" w:name="_Toc229305363"/>
      <w:bookmarkStart w:id="188" w:name="_Toc222031005"/>
      <w:bookmarkStart w:id="189" w:name="_Toc222033854"/>
      <w:bookmarkStart w:id="190" w:name="_Toc221950713"/>
      <w:bookmarkStart w:id="191" w:name="_Toc11584"/>
      <w:r>
        <w:rPr>
          <w:rFonts w:hint="eastAsia" w:ascii="宋体" w:hAnsi="宋体" w:cs="宋体"/>
          <w:b/>
          <w:bCs/>
          <w:color w:val="auto"/>
          <w:sz w:val="21"/>
          <w:szCs w:val="21"/>
          <w:highlight w:val="none"/>
        </w:rPr>
        <w:t>2. 发包人义务</w:t>
      </w:r>
      <w:bookmarkEnd w:id="182"/>
      <w:bookmarkEnd w:id="183"/>
      <w:bookmarkEnd w:id="184"/>
      <w:bookmarkEnd w:id="185"/>
      <w:bookmarkEnd w:id="186"/>
      <w:bookmarkEnd w:id="187"/>
      <w:bookmarkEnd w:id="188"/>
      <w:bookmarkEnd w:id="189"/>
      <w:bookmarkEnd w:id="190"/>
      <w:bookmarkEnd w:id="191"/>
      <w:bookmarkStart w:id="192" w:name="_Toc221950720"/>
    </w:p>
    <w:p w14:paraId="02853812">
      <w:pPr>
        <w:keepNext/>
        <w:keepLines/>
        <w:spacing w:line="360" w:lineRule="auto"/>
        <w:outlineLvl w:val="2"/>
        <w:rPr>
          <w:rFonts w:hint="eastAsia" w:ascii="宋体" w:hAnsi="宋体" w:cs="宋体"/>
          <w:color w:val="auto"/>
          <w:sz w:val="21"/>
          <w:szCs w:val="21"/>
          <w:highlight w:val="none"/>
        </w:rPr>
      </w:pPr>
      <w:bookmarkStart w:id="193" w:name="_Toc144974593"/>
      <w:bookmarkStart w:id="194" w:name="_Toc179632643"/>
      <w:bookmarkStart w:id="195" w:name="_Toc152045625"/>
      <w:bookmarkStart w:id="196" w:name="_Toc152042403"/>
      <w:bookmarkStart w:id="197" w:name="_Toc175063811"/>
      <w:bookmarkStart w:id="198" w:name="_Toc23197"/>
      <w:r>
        <w:rPr>
          <w:rFonts w:hint="eastAsia" w:ascii="宋体" w:hAnsi="宋体" w:cs="宋体"/>
          <w:color w:val="auto"/>
          <w:sz w:val="21"/>
          <w:szCs w:val="21"/>
          <w:highlight w:val="none"/>
        </w:rPr>
        <w:t>2.1 遵守法律</w:t>
      </w:r>
      <w:bookmarkEnd w:id="193"/>
      <w:bookmarkEnd w:id="194"/>
      <w:bookmarkEnd w:id="195"/>
      <w:bookmarkEnd w:id="196"/>
      <w:bookmarkEnd w:id="197"/>
      <w:bookmarkEnd w:id="198"/>
    </w:p>
    <w:p w14:paraId="4BC4BDD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发包人在履行合同过程中应遵守法律，并保证承包人免于承担因发包人违反法律而引起的任何责任。</w:t>
      </w:r>
    </w:p>
    <w:p w14:paraId="55B4B163">
      <w:pPr>
        <w:keepNext/>
        <w:keepLines/>
        <w:spacing w:line="360" w:lineRule="auto"/>
        <w:outlineLvl w:val="2"/>
        <w:rPr>
          <w:rFonts w:hint="eastAsia" w:ascii="宋体" w:hAnsi="宋体" w:cs="宋体"/>
          <w:color w:val="auto"/>
          <w:sz w:val="21"/>
          <w:szCs w:val="21"/>
          <w:highlight w:val="none"/>
        </w:rPr>
      </w:pPr>
      <w:bookmarkStart w:id="199" w:name="_Toc179632644"/>
      <w:bookmarkStart w:id="200" w:name="_Toc152045626"/>
      <w:bookmarkStart w:id="201" w:name="_Toc152042404"/>
      <w:bookmarkStart w:id="202" w:name="_Toc144974594"/>
      <w:bookmarkStart w:id="203" w:name="_Toc24476"/>
      <w:bookmarkStart w:id="204" w:name="_Toc175063812"/>
      <w:r>
        <w:rPr>
          <w:rFonts w:hint="eastAsia" w:ascii="宋体" w:hAnsi="宋体" w:cs="宋体"/>
          <w:color w:val="auto"/>
          <w:sz w:val="21"/>
          <w:szCs w:val="21"/>
          <w:highlight w:val="none"/>
        </w:rPr>
        <w:t>2.2 发出开工通知</w:t>
      </w:r>
      <w:bookmarkEnd w:id="199"/>
      <w:bookmarkEnd w:id="200"/>
      <w:bookmarkEnd w:id="201"/>
      <w:bookmarkEnd w:id="202"/>
      <w:bookmarkEnd w:id="203"/>
      <w:bookmarkEnd w:id="204"/>
    </w:p>
    <w:p w14:paraId="1005F53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发包人应委托监理人按第11.1款的约定向承包人发出开工通知。</w:t>
      </w:r>
    </w:p>
    <w:p w14:paraId="4F9DE992">
      <w:pPr>
        <w:keepNext/>
        <w:keepLines/>
        <w:spacing w:line="360" w:lineRule="auto"/>
        <w:jc w:val="center"/>
        <w:outlineLvl w:val="2"/>
        <w:rPr>
          <w:rFonts w:hint="eastAsia" w:ascii="宋体" w:hAnsi="宋体" w:cs="宋体"/>
          <w:b/>
          <w:bCs/>
          <w:color w:val="auto"/>
          <w:sz w:val="21"/>
          <w:szCs w:val="21"/>
          <w:highlight w:val="none"/>
        </w:rPr>
      </w:pPr>
      <w:bookmarkStart w:id="205" w:name="_Toc175063813"/>
      <w:bookmarkStart w:id="206" w:name="_Toc13711"/>
      <w:r>
        <w:rPr>
          <w:rFonts w:hint="eastAsia" w:ascii="宋体" w:hAnsi="宋体" w:cs="宋体"/>
          <w:b/>
          <w:bCs/>
          <w:color w:val="auto"/>
          <w:sz w:val="21"/>
          <w:szCs w:val="21"/>
          <w:highlight w:val="none"/>
        </w:rPr>
        <w:t>2.3提供施工场地</w:t>
      </w:r>
      <w:bookmarkEnd w:id="205"/>
      <w:bookmarkEnd w:id="206"/>
    </w:p>
    <w:p w14:paraId="781659A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2.3.1发包人应在合同双方</w:t>
      </w:r>
      <w:r>
        <w:rPr>
          <w:rFonts w:hint="eastAsia" w:ascii="宋体" w:hAnsi="宋体" w:cs="宋体"/>
          <w:color w:val="auto"/>
          <w:sz w:val="21"/>
          <w:szCs w:val="21"/>
          <w:highlight w:val="none"/>
          <w:lang w:eastAsia="zh-CN"/>
        </w:rPr>
        <w:t>签订合同</w:t>
      </w:r>
      <w:r>
        <w:rPr>
          <w:rFonts w:hint="eastAsia" w:ascii="宋体" w:hAnsi="宋体" w:cs="宋体"/>
          <w:color w:val="auto"/>
          <w:sz w:val="21"/>
          <w:szCs w:val="21"/>
          <w:highlight w:val="none"/>
        </w:rPr>
        <w:t>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w:t>
      </w:r>
      <w:bookmarkEnd w:id="192"/>
      <w:r>
        <w:rPr>
          <w:rFonts w:hint="eastAsia" w:ascii="宋体" w:hAnsi="宋体" w:cs="宋体"/>
          <w:color w:val="auto"/>
          <w:sz w:val="21"/>
          <w:szCs w:val="21"/>
          <w:highlight w:val="none"/>
        </w:rPr>
        <w:t xml:space="preserve"> 。</w:t>
      </w:r>
    </w:p>
    <w:p w14:paraId="0C7A772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2.3.2发包人提供的施工用地范围在专用合同条款中约定。</w:t>
      </w:r>
    </w:p>
    <w:p w14:paraId="51399CAF">
      <w:pPr>
        <w:spacing w:line="360" w:lineRule="auto"/>
        <w:ind w:firstLine="420" w:firstLineChars="200"/>
        <w:rPr>
          <w:rFonts w:hint="eastAsia" w:ascii="宋体" w:hAnsi="宋体" w:cs="宋体"/>
          <w:color w:val="auto"/>
          <w:sz w:val="21"/>
          <w:szCs w:val="21"/>
          <w:highlight w:val="none"/>
        </w:rPr>
      </w:pPr>
      <w:bookmarkStart w:id="207" w:name="_Toc221950721"/>
      <w:r>
        <w:rPr>
          <w:rFonts w:hint="eastAsia" w:ascii="宋体" w:hAnsi="宋体" w:cs="宋体"/>
          <w:color w:val="auto"/>
          <w:sz w:val="21"/>
          <w:szCs w:val="21"/>
          <w:highlight w:val="none"/>
        </w:rPr>
        <w:t>2.3.3除专用合同条款另有约定外，发包人应按技术标准和要求（合同技术条款）的约定，向承包人提供施工场地内的工程地质图纸和报告，以及地下障碍物图纸等施工场地有关资料</w:t>
      </w:r>
      <w:bookmarkEnd w:id="207"/>
      <w:r>
        <w:rPr>
          <w:rFonts w:hint="eastAsia" w:ascii="宋体" w:hAnsi="宋体" w:cs="宋体"/>
          <w:color w:val="auto"/>
          <w:sz w:val="21"/>
          <w:szCs w:val="21"/>
          <w:highlight w:val="none"/>
        </w:rPr>
        <w:t>，并保证资料的真实、准确、完整。</w:t>
      </w:r>
    </w:p>
    <w:p w14:paraId="2A3CC20A">
      <w:pPr>
        <w:keepNext/>
        <w:keepLines/>
        <w:spacing w:line="360" w:lineRule="auto"/>
        <w:outlineLvl w:val="2"/>
        <w:rPr>
          <w:rFonts w:hint="eastAsia" w:ascii="宋体" w:hAnsi="宋体" w:cs="宋体"/>
          <w:color w:val="auto"/>
          <w:sz w:val="21"/>
          <w:szCs w:val="21"/>
          <w:highlight w:val="none"/>
        </w:rPr>
      </w:pPr>
      <w:bookmarkStart w:id="208" w:name="_Toc179632646"/>
      <w:bookmarkStart w:id="209" w:name="_Toc8276"/>
      <w:bookmarkStart w:id="210" w:name="_Toc152045628"/>
      <w:bookmarkStart w:id="211" w:name="_Toc144974596"/>
      <w:bookmarkStart w:id="212" w:name="_Toc152042406"/>
      <w:bookmarkStart w:id="213" w:name="_Toc175063814"/>
      <w:r>
        <w:rPr>
          <w:rFonts w:hint="eastAsia" w:ascii="宋体" w:hAnsi="宋体" w:cs="宋体"/>
          <w:color w:val="auto"/>
          <w:sz w:val="21"/>
          <w:szCs w:val="21"/>
          <w:highlight w:val="none"/>
        </w:rPr>
        <w:t>2.4 协助承包人办理证件和批件</w:t>
      </w:r>
      <w:bookmarkEnd w:id="208"/>
      <w:bookmarkEnd w:id="209"/>
      <w:bookmarkEnd w:id="210"/>
      <w:bookmarkEnd w:id="211"/>
      <w:bookmarkEnd w:id="212"/>
      <w:bookmarkEnd w:id="213"/>
    </w:p>
    <w:p w14:paraId="77ECB2A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发包人应协助承包人办理法律规定的有关施工证件和批件。</w:t>
      </w:r>
    </w:p>
    <w:p w14:paraId="4E8E9346">
      <w:pPr>
        <w:keepNext/>
        <w:keepLines/>
        <w:spacing w:line="360" w:lineRule="auto"/>
        <w:outlineLvl w:val="2"/>
        <w:rPr>
          <w:rFonts w:hint="eastAsia" w:ascii="宋体" w:hAnsi="宋体" w:cs="宋体"/>
          <w:color w:val="auto"/>
          <w:sz w:val="21"/>
          <w:szCs w:val="21"/>
          <w:highlight w:val="none"/>
        </w:rPr>
      </w:pPr>
      <w:bookmarkStart w:id="214" w:name="_Toc2005"/>
      <w:bookmarkStart w:id="215" w:name="_Toc144974597"/>
      <w:bookmarkStart w:id="216" w:name="_Toc175063815"/>
      <w:bookmarkStart w:id="217" w:name="_Toc152042407"/>
      <w:bookmarkStart w:id="218" w:name="_Toc152045629"/>
      <w:bookmarkStart w:id="219" w:name="_Toc179632647"/>
      <w:r>
        <w:rPr>
          <w:rFonts w:hint="eastAsia" w:ascii="宋体" w:hAnsi="宋体" w:cs="宋体"/>
          <w:color w:val="auto"/>
          <w:sz w:val="21"/>
          <w:szCs w:val="21"/>
          <w:highlight w:val="none"/>
        </w:rPr>
        <w:t>2.5 组织设计交底</w:t>
      </w:r>
      <w:bookmarkEnd w:id="214"/>
      <w:bookmarkEnd w:id="215"/>
      <w:bookmarkEnd w:id="216"/>
      <w:bookmarkEnd w:id="217"/>
      <w:bookmarkEnd w:id="218"/>
      <w:bookmarkEnd w:id="219"/>
    </w:p>
    <w:p w14:paraId="4EB4BFC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发包人应根据合同进度计划，组织设计单位向承包人进行设计交底。</w:t>
      </w:r>
    </w:p>
    <w:p w14:paraId="072DAC28">
      <w:pPr>
        <w:keepNext/>
        <w:keepLines/>
        <w:spacing w:line="360" w:lineRule="auto"/>
        <w:outlineLvl w:val="2"/>
        <w:rPr>
          <w:rFonts w:hint="eastAsia" w:ascii="宋体" w:hAnsi="宋体" w:cs="宋体"/>
          <w:color w:val="auto"/>
          <w:sz w:val="21"/>
          <w:szCs w:val="21"/>
          <w:highlight w:val="none"/>
        </w:rPr>
      </w:pPr>
      <w:bookmarkStart w:id="220" w:name="_Toc175063816"/>
      <w:bookmarkStart w:id="221" w:name="_Toc179632648"/>
      <w:bookmarkStart w:id="222" w:name="_Toc152042408"/>
      <w:bookmarkStart w:id="223" w:name="_Toc144974598"/>
      <w:bookmarkStart w:id="224" w:name="_Toc20688"/>
      <w:bookmarkStart w:id="225" w:name="_Toc152045630"/>
      <w:r>
        <w:rPr>
          <w:rFonts w:hint="eastAsia" w:ascii="宋体" w:hAnsi="宋体" w:cs="宋体"/>
          <w:color w:val="auto"/>
          <w:sz w:val="21"/>
          <w:szCs w:val="21"/>
          <w:highlight w:val="none"/>
        </w:rPr>
        <w:t>2.6 支付合同价款</w:t>
      </w:r>
      <w:bookmarkEnd w:id="220"/>
      <w:bookmarkEnd w:id="221"/>
      <w:bookmarkEnd w:id="222"/>
      <w:bookmarkEnd w:id="223"/>
      <w:bookmarkEnd w:id="224"/>
      <w:bookmarkEnd w:id="225"/>
    </w:p>
    <w:p w14:paraId="7E3227D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发包人应按合同约定向承包人及时支付合同价款。</w:t>
      </w:r>
    </w:p>
    <w:p w14:paraId="65301F00">
      <w:pPr>
        <w:keepNext/>
        <w:keepLines/>
        <w:spacing w:line="360" w:lineRule="auto"/>
        <w:outlineLvl w:val="2"/>
        <w:rPr>
          <w:rFonts w:hint="eastAsia" w:ascii="宋体" w:hAnsi="宋体" w:cs="宋体"/>
          <w:color w:val="auto"/>
          <w:sz w:val="21"/>
          <w:szCs w:val="21"/>
          <w:highlight w:val="none"/>
        </w:rPr>
      </w:pPr>
      <w:bookmarkStart w:id="226" w:name="_Toc152045631"/>
      <w:bookmarkStart w:id="227" w:name="_Toc179632649"/>
      <w:bookmarkStart w:id="228" w:name="_Toc152042409"/>
      <w:bookmarkStart w:id="229" w:name="_Toc144974599"/>
      <w:bookmarkStart w:id="230" w:name="_Toc21145"/>
      <w:bookmarkStart w:id="231" w:name="_Toc175063817"/>
      <w:r>
        <w:rPr>
          <w:rFonts w:hint="eastAsia" w:ascii="宋体" w:hAnsi="宋体" w:cs="宋体"/>
          <w:color w:val="auto"/>
          <w:sz w:val="21"/>
          <w:szCs w:val="21"/>
          <w:highlight w:val="none"/>
        </w:rPr>
        <w:t>2.7 组织竣工验收</w:t>
      </w:r>
      <w:bookmarkEnd w:id="226"/>
      <w:bookmarkEnd w:id="227"/>
      <w:bookmarkEnd w:id="228"/>
      <w:bookmarkEnd w:id="229"/>
      <w:r>
        <w:rPr>
          <w:rFonts w:hint="eastAsia" w:ascii="宋体" w:hAnsi="宋体" w:cs="宋体"/>
          <w:color w:val="auto"/>
          <w:sz w:val="21"/>
          <w:szCs w:val="21"/>
          <w:highlight w:val="none"/>
        </w:rPr>
        <w:t>（组织法人验收）</w:t>
      </w:r>
      <w:bookmarkEnd w:id="230"/>
      <w:bookmarkEnd w:id="231"/>
    </w:p>
    <w:p w14:paraId="02223B6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发包人应按合同约定及时组织法人验收。</w:t>
      </w:r>
    </w:p>
    <w:p w14:paraId="764E0102">
      <w:pPr>
        <w:keepNext/>
        <w:keepLines/>
        <w:spacing w:line="360" w:lineRule="auto"/>
        <w:jc w:val="center"/>
        <w:outlineLvl w:val="2"/>
        <w:rPr>
          <w:rFonts w:hint="eastAsia" w:ascii="宋体" w:hAnsi="宋体" w:cs="宋体"/>
          <w:b/>
          <w:bCs/>
          <w:color w:val="auto"/>
          <w:sz w:val="21"/>
          <w:szCs w:val="21"/>
          <w:highlight w:val="none"/>
        </w:rPr>
      </w:pPr>
      <w:bookmarkStart w:id="232" w:name="_Toc175063818"/>
      <w:bookmarkStart w:id="233" w:name="_Toc25988"/>
      <w:r>
        <w:rPr>
          <w:rFonts w:hint="eastAsia" w:ascii="宋体" w:hAnsi="宋体" w:cs="宋体"/>
          <w:b/>
          <w:bCs/>
          <w:color w:val="auto"/>
          <w:sz w:val="21"/>
          <w:szCs w:val="21"/>
          <w:highlight w:val="none"/>
        </w:rPr>
        <w:t>2.8  其它义务</w:t>
      </w:r>
      <w:bookmarkEnd w:id="232"/>
      <w:bookmarkEnd w:id="233"/>
    </w:p>
    <w:p w14:paraId="2989B01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其它义务在专用合同条款中补充约定。</w:t>
      </w:r>
    </w:p>
    <w:p w14:paraId="2234AD88">
      <w:pPr>
        <w:keepNext/>
        <w:keepLines/>
        <w:spacing w:line="360" w:lineRule="auto"/>
        <w:jc w:val="center"/>
        <w:outlineLvl w:val="1"/>
        <w:rPr>
          <w:rFonts w:hint="eastAsia" w:ascii="宋体" w:hAnsi="宋体" w:cs="宋体"/>
          <w:b/>
          <w:bCs/>
          <w:color w:val="auto"/>
          <w:sz w:val="21"/>
          <w:szCs w:val="21"/>
          <w:highlight w:val="none"/>
        </w:rPr>
      </w:pPr>
      <w:bookmarkStart w:id="234" w:name="_Toc221950732"/>
      <w:bookmarkStart w:id="235" w:name="_Toc222032673"/>
      <w:bookmarkStart w:id="236" w:name="_Toc175063819"/>
      <w:bookmarkStart w:id="237" w:name="_Toc6305"/>
      <w:bookmarkStart w:id="238" w:name="_Toc222033855"/>
      <w:bookmarkStart w:id="239" w:name="_Toc222031006"/>
      <w:bookmarkStart w:id="240" w:name="_Toc222029504"/>
      <w:bookmarkStart w:id="241" w:name="_Toc256000068"/>
      <w:bookmarkStart w:id="242" w:name="_Toc229408499"/>
      <w:bookmarkStart w:id="243" w:name="_Toc229305364"/>
      <w:r>
        <w:rPr>
          <w:rFonts w:hint="eastAsia" w:ascii="宋体" w:hAnsi="宋体" w:cs="宋体"/>
          <w:b/>
          <w:bCs/>
          <w:color w:val="auto"/>
          <w:sz w:val="21"/>
          <w:szCs w:val="21"/>
          <w:highlight w:val="none"/>
        </w:rPr>
        <w:t>3. 监理人</w:t>
      </w:r>
      <w:bookmarkEnd w:id="234"/>
      <w:bookmarkEnd w:id="235"/>
      <w:bookmarkEnd w:id="236"/>
      <w:bookmarkEnd w:id="237"/>
      <w:bookmarkEnd w:id="238"/>
      <w:bookmarkEnd w:id="239"/>
      <w:bookmarkEnd w:id="240"/>
      <w:bookmarkEnd w:id="241"/>
      <w:bookmarkEnd w:id="242"/>
      <w:bookmarkEnd w:id="243"/>
    </w:p>
    <w:p w14:paraId="59F21212">
      <w:pPr>
        <w:keepNext/>
        <w:keepLines/>
        <w:spacing w:line="360" w:lineRule="auto"/>
        <w:jc w:val="center"/>
        <w:outlineLvl w:val="2"/>
        <w:rPr>
          <w:rFonts w:hint="eastAsia" w:ascii="宋体" w:hAnsi="宋体" w:cs="宋体"/>
          <w:b/>
          <w:bCs/>
          <w:color w:val="auto"/>
          <w:sz w:val="21"/>
          <w:szCs w:val="21"/>
          <w:highlight w:val="none"/>
        </w:rPr>
      </w:pPr>
      <w:bookmarkStart w:id="244" w:name="_Toc23963"/>
      <w:bookmarkStart w:id="245" w:name="_Toc175063820"/>
      <w:bookmarkStart w:id="246" w:name="_Toc221950735"/>
      <w:r>
        <w:rPr>
          <w:rFonts w:hint="eastAsia" w:ascii="宋体" w:hAnsi="宋体" w:cs="宋体"/>
          <w:b/>
          <w:bCs/>
          <w:color w:val="auto"/>
          <w:sz w:val="21"/>
          <w:szCs w:val="21"/>
          <w:highlight w:val="none"/>
        </w:rPr>
        <w:t>3.1监理人的职责和权利</w:t>
      </w:r>
      <w:bookmarkEnd w:id="244"/>
      <w:bookmarkEnd w:id="245"/>
    </w:p>
    <w:p w14:paraId="36AC2A4F">
      <w:pPr>
        <w:spacing w:line="360" w:lineRule="auto"/>
        <w:ind w:firstLine="447" w:firstLineChars="213"/>
        <w:rPr>
          <w:rFonts w:hint="eastAsia" w:ascii="宋体" w:hAnsi="宋体" w:cs="宋体"/>
          <w:color w:val="auto"/>
          <w:sz w:val="21"/>
          <w:szCs w:val="21"/>
          <w:highlight w:val="none"/>
        </w:rPr>
      </w:pPr>
      <w:r>
        <w:rPr>
          <w:rFonts w:hint="eastAsia" w:ascii="宋体" w:hAnsi="宋体" w:cs="宋体"/>
          <w:color w:val="auto"/>
          <w:sz w:val="21"/>
          <w:szCs w:val="21"/>
          <w:highlight w:val="none"/>
        </w:rPr>
        <w:t>3.1.1监理人受发包人的委托，享有合同约定的</w:t>
      </w:r>
      <w:r>
        <w:rPr>
          <w:rFonts w:hint="eastAsia" w:ascii="宋体" w:hAnsi="宋体" w:cs="宋体"/>
          <w:color w:val="auto"/>
          <w:sz w:val="21"/>
          <w:szCs w:val="21"/>
          <w:highlight w:val="none"/>
          <w:lang w:eastAsia="zh-CN"/>
        </w:rPr>
        <w:t>权利</w:t>
      </w:r>
      <w:r>
        <w:rPr>
          <w:rFonts w:hint="eastAsia" w:ascii="宋体" w:hAnsi="宋体" w:cs="宋体"/>
          <w:color w:val="auto"/>
          <w:sz w:val="21"/>
          <w:szCs w:val="21"/>
          <w:highlight w:val="none"/>
        </w:rPr>
        <w:t>。监理人的权力范围在专用合同条款中约定。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bookmarkEnd w:id="246"/>
    </w:p>
    <w:p w14:paraId="05DFF68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3.1.2 监理人发出的任何指示应视为已得到发包人的批准，但监理人无权免除或变更合同约定的发包人和承包人的权利、义务和责任。</w:t>
      </w:r>
    </w:p>
    <w:p w14:paraId="7C00C2F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3.1.3 合同约定应由承包人承担的义务和责任，不因监理人对承包人提交文件的审查或批准，对工程、材料和设备的检查和检验，以及为实施监理作出的指示等职务行为而减轻或解除。</w:t>
      </w:r>
    </w:p>
    <w:p w14:paraId="4443C96E">
      <w:pPr>
        <w:keepNext/>
        <w:keepLines/>
        <w:spacing w:line="360" w:lineRule="auto"/>
        <w:outlineLvl w:val="2"/>
        <w:rPr>
          <w:rFonts w:hint="eastAsia" w:ascii="宋体" w:hAnsi="宋体" w:cs="宋体"/>
          <w:color w:val="auto"/>
          <w:sz w:val="21"/>
          <w:szCs w:val="21"/>
          <w:highlight w:val="none"/>
        </w:rPr>
      </w:pPr>
      <w:bookmarkStart w:id="247" w:name="_Toc152042413"/>
      <w:bookmarkStart w:id="248" w:name="_Toc144974603"/>
      <w:bookmarkStart w:id="249" w:name="_Toc19946"/>
      <w:bookmarkStart w:id="250" w:name="_Toc175063821"/>
      <w:bookmarkStart w:id="251" w:name="_Toc152045635"/>
      <w:bookmarkStart w:id="252" w:name="_Toc179632653"/>
      <w:r>
        <w:rPr>
          <w:rFonts w:hint="eastAsia" w:ascii="宋体" w:hAnsi="宋体" w:cs="宋体"/>
          <w:color w:val="auto"/>
          <w:sz w:val="21"/>
          <w:szCs w:val="21"/>
          <w:highlight w:val="none"/>
        </w:rPr>
        <w:t>3.2 总监理工程师</w:t>
      </w:r>
      <w:bookmarkEnd w:id="247"/>
      <w:bookmarkEnd w:id="248"/>
      <w:bookmarkEnd w:id="249"/>
      <w:bookmarkEnd w:id="250"/>
      <w:bookmarkEnd w:id="251"/>
      <w:bookmarkEnd w:id="252"/>
    </w:p>
    <w:p w14:paraId="7793633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6C512DA8">
      <w:pPr>
        <w:keepNext/>
        <w:keepLines/>
        <w:spacing w:line="360" w:lineRule="auto"/>
        <w:outlineLvl w:val="2"/>
        <w:rPr>
          <w:rFonts w:hint="eastAsia" w:ascii="宋体" w:hAnsi="宋体" w:cs="宋体"/>
          <w:color w:val="auto"/>
          <w:sz w:val="21"/>
          <w:szCs w:val="21"/>
          <w:highlight w:val="none"/>
        </w:rPr>
      </w:pPr>
      <w:bookmarkStart w:id="253" w:name="_Toc179632654"/>
      <w:bookmarkStart w:id="254" w:name="_Toc152045636"/>
      <w:bookmarkStart w:id="255" w:name="_Toc152042414"/>
      <w:bookmarkStart w:id="256" w:name="_Toc175063822"/>
      <w:bookmarkStart w:id="257" w:name="_Toc28852"/>
      <w:bookmarkStart w:id="258" w:name="_Toc144974604"/>
      <w:r>
        <w:rPr>
          <w:rFonts w:hint="eastAsia" w:ascii="宋体" w:hAnsi="宋体" w:cs="宋体"/>
          <w:color w:val="auto"/>
          <w:sz w:val="21"/>
          <w:szCs w:val="21"/>
          <w:highlight w:val="none"/>
        </w:rPr>
        <w:t>3.3 监理人员</w:t>
      </w:r>
      <w:bookmarkEnd w:id="253"/>
      <w:bookmarkEnd w:id="254"/>
      <w:bookmarkEnd w:id="255"/>
      <w:bookmarkEnd w:id="256"/>
      <w:bookmarkEnd w:id="257"/>
      <w:bookmarkEnd w:id="258"/>
    </w:p>
    <w:p w14:paraId="015184B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F5E002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4437D80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3.3.3 承包人对总监理工程师授权的监理人员发出的指示有疑问的，可向总监理工程师提出书面异议，总监理工程师应在48小时内对该指示予以确认、更改或撤销。</w:t>
      </w:r>
    </w:p>
    <w:p w14:paraId="2D67EC1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3.3.4 除专用合同条款另有约定外，总监理工程师不应将第3.5款约定应由总监理工程师作出确定的权力授权或委托给其他监理人员。</w:t>
      </w:r>
    </w:p>
    <w:p w14:paraId="06D9C2B2">
      <w:pPr>
        <w:keepNext/>
        <w:keepLines/>
        <w:spacing w:line="360" w:lineRule="auto"/>
        <w:outlineLvl w:val="2"/>
        <w:rPr>
          <w:rFonts w:hint="eastAsia" w:ascii="宋体" w:hAnsi="宋体" w:cs="宋体"/>
          <w:color w:val="auto"/>
          <w:sz w:val="21"/>
          <w:szCs w:val="21"/>
          <w:highlight w:val="none"/>
        </w:rPr>
      </w:pPr>
      <w:bookmarkStart w:id="259" w:name="_Toc22754"/>
      <w:bookmarkStart w:id="260" w:name="_Toc152045637"/>
      <w:bookmarkStart w:id="261" w:name="_Toc152042415"/>
      <w:bookmarkStart w:id="262" w:name="_Toc175063823"/>
      <w:bookmarkStart w:id="263" w:name="_Toc179632655"/>
      <w:bookmarkStart w:id="264" w:name="_Toc144974605"/>
      <w:r>
        <w:rPr>
          <w:rFonts w:hint="eastAsia" w:ascii="宋体" w:hAnsi="宋体" w:cs="宋体"/>
          <w:color w:val="auto"/>
          <w:sz w:val="21"/>
          <w:szCs w:val="21"/>
          <w:highlight w:val="none"/>
        </w:rPr>
        <w:t>3.4 监理人的指示</w:t>
      </w:r>
      <w:bookmarkEnd w:id="259"/>
      <w:bookmarkEnd w:id="260"/>
      <w:bookmarkEnd w:id="261"/>
      <w:bookmarkEnd w:id="262"/>
      <w:bookmarkEnd w:id="263"/>
      <w:bookmarkEnd w:id="264"/>
    </w:p>
    <w:p w14:paraId="6B0ED5F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3.4.1 监理人应按第3.1款的约定向承包人发出指示，监理人的指示应盖有监理人授权的施工场地机构章，并由总监理工程师或总监理工程师按第3.3.1项约定授权的监理人员签字。</w:t>
      </w:r>
    </w:p>
    <w:p w14:paraId="33326FF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3.4.2 承包人收到监理人按第3.4.1项作出的指示后应遵照执行。指示构成变更的，应按第15条处理。</w:t>
      </w:r>
    </w:p>
    <w:p w14:paraId="30FF3D6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4AE3D2B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3.4.4 除合同另有约定外，承包人只从总监理工程师或按第3.3.1项被授权的监理人员处取得指示。</w:t>
      </w:r>
    </w:p>
    <w:p w14:paraId="2116993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3.4.5 由于监理人未能按合同约定发出指示、指示延误或指示错误而导致承包人费用增加和（或）工期延误的，由发包人承担赔偿责任。 </w:t>
      </w:r>
    </w:p>
    <w:p w14:paraId="7B0055F9">
      <w:pPr>
        <w:keepNext/>
        <w:keepLines/>
        <w:spacing w:line="360" w:lineRule="auto"/>
        <w:outlineLvl w:val="2"/>
        <w:rPr>
          <w:rFonts w:hint="eastAsia" w:ascii="宋体" w:hAnsi="宋体" w:cs="宋体"/>
          <w:color w:val="auto"/>
          <w:sz w:val="21"/>
          <w:szCs w:val="21"/>
          <w:highlight w:val="none"/>
        </w:rPr>
      </w:pPr>
      <w:bookmarkStart w:id="265" w:name="_Toc152045638"/>
      <w:bookmarkStart w:id="266" w:name="_Toc152042416"/>
      <w:bookmarkStart w:id="267" w:name="_Toc27559"/>
      <w:bookmarkStart w:id="268" w:name="_Toc179632656"/>
      <w:bookmarkStart w:id="269" w:name="_Toc175063824"/>
      <w:bookmarkStart w:id="270" w:name="_Toc144974606"/>
      <w:r>
        <w:rPr>
          <w:rFonts w:hint="eastAsia" w:ascii="宋体" w:hAnsi="宋体" w:cs="宋体"/>
          <w:color w:val="auto"/>
          <w:sz w:val="21"/>
          <w:szCs w:val="21"/>
          <w:highlight w:val="none"/>
        </w:rPr>
        <w:t>3.5 商定或确定</w:t>
      </w:r>
      <w:bookmarkEnd w:id="265"/>
      <w:bookmarkEnd w:id="266"/>
      <w:bookmarkEnd w:id="267"/>
      <w:bookmarkEnd w:id="268"/>
      <w:bookmarkEnd w:id="269"/>
      <w:bookmarkEnd w:id="270"/>
    </w:p>
    <w:p w14:paraId="56EF3BD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3.5.1合同约定总监理工程师应按照本款对任何事项进行商定或确定时，总监理工程师应与合同当事人协商，尽量达成一致。不能达成一致的，总监理工程师应认真研究后审慎确定。</w:t>
      </w:r>
    </w:p>
    <w:p w14:paraId="32D7E08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1ECE7092">
      <w:pPr>
        <w:keepNext/>
        <w:keepLines/>
        <w:spacing w:line="360" w:lineRule="auto"/>
        <w:jc w:val="center"/>
        <w:outlineLvl w:val="1"/>
        <w:rPr>
          <w:rFonts w:hint="eastAsia" w:ascii="宋体" w:hAnsi="宋体" w:cs="宋体"/>
          <w:b/>
          <w:bCs/>
          <w:color w:val="auto"/>
          <w:sz w:val="21"/>
          <w:szCs w:val="21"/>
          <w:highlight w:val="none"/>
        </w:rPr>
      </w:pPr>
      <w:bookmarkStart w:id="271" w:name="_Toc23191"/>
      <w:bookmarkStart w:id="272" w:name="_Toc229408500"/>
      <w:bookmarkStart w:id="273" w:name="_Toc222031007"/>
      <w:bookmarkStart w:id="274" w:name="_Toc222033856"/>
      <w:bookmarkStart w:id="275" w:name="_Toc229305365"/>
      <w:bookmarkStart w:id="276" w:name="_Toc175063825"/>
      <w:bookmarkStart w:id="277" w:name="_Toc222032674"/>
      <w:bookmarkStart w:id="278" w:name="_Toc222029505"/>
      <w:bookmarkStart w:id="279" w:name="_Toc256000069"/>
      <w:bookmarkStart w:id="280" w:name="_Toc221950744"/>
      <w:r>
        <w:rPr>
          <w:rFonts w:hint="eastAsia" w:ascii="宋体" w:hAnsi="宋体" w:cs="宋体"/>
          <w:b/>
          <w:bCs/>
          <w:color w:val="auto"/>
          <w:sz w:val="21"/>
          <w:szCs w:val="21"/>
          <w:highlight w:val="none"/>
        </w:rPr>
        <w:t>4. 承包人</w:t>
      </w:r>
      <w:bookmarkEnd w:id="271"/>
      <w:bookmarkEnd w:id="272"/>
      <w:bookmarkEnd w:id="273"/>
      <w:bookmarkEnd w:id="274"/>
      <w:bookmarkEnd w:id="275"/>
      <w:bookmarkEnd w:id="276"/>
      <w:bookmarkEnd w:id="277"/>
      <w:bookmarkEnd w:id="278"/>
      <w:bookmarkEnd w:id="279"/>
      <w:bookmarkEnd w:id="280"/>
    </w:p>
    <w:p w14:paraId="70C1415D">
      <w:pPr>
        <w:keepNext/>
        <w:keepLines/>
        <w:spacing w:line="360" w:lineRule="auto"/>
        <w:jc w:val="center"/>
        <w:outlineLvl w:val="2"/>
        <w:rPr>
          <w:rFonts w:hint="eastAsia" w:ascii="宋体" w:hAnsi="宋体" w:cs="宋体"/>
          <w:b/>
          <w:bCs/>
          <w:color w:val="auto"/>
          <w:sz w:val="21"/>
          <w:szCs w:val="21"/>
          <w:highlight w:val="none"/>
        </w:rPr>
      </w:pPr>
      <w:bookmarkStart w:id="281" w:name="_Toc15483"/>
      <w:bookmarkStart w:id="282" w:name="_Toc175063826"/>
      <w:bookmarkStart w:id="283" w:name="_Toc221950747"/>
      <w:r>
        <w:rPr>
          <w:rFonts w:hint="eastAsia" w:ascii="宋体" w:hAnsi="宋体" w:cs="宋体"/>
          <w:b/>
          <w:bCs/>
          <w:color w:val="auto"/>
          <w:sz w:val="21"/>
          <w:szCs w:val="21"/>
          <w:highlight w:val="none"/>
        </w:rPr>
        <w:t>4.1承包人的一般义务</w:t>
      </w:r>
      <w:bookmarkEnd w:id="281"/>
      <w:bookmarkEnd w:id="282"/>
    </w:p>
    <w:p w14:paraId="40F5930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4.1.1 遵守法律</w:t>
      </w:r>
    </w:p>
    <w:p w14:paraId="28176D1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承包人在履行合同过程中应遵守法律，并保证发包人免于承担因承包人违反法律而引起的任何责任。</w:t>
      </w:r>
    </w:p>
    <w:p w14:paraId="25C189A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4.1.2 依法纳税</w:t>
      </w:r>
    </w:p>
    <w:p w14:paraId="0CCB04F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承包人应按有关法律规定纳税，应缴纳的税金包括在合同价格内。</w:t>
      </w:r>
    </w:p>
    <w:p w14:paraId="638A592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4.1.3 </w:t>
      </w:r>
      <w:bookmarkEnd w:id="283"/>
      <w:bookmarkStart w:id="284" w:name="_Toc221950748"/>
      <w:r>
        <w:rPr>
          <w:rFonts w:hint="eastAsia" w:ascii="宋体" w:hAnsi="宋体" w:cs="宋体"/>
          <w:color w:val="auto"/>
          <w:sz w:val="21"/>
          <w:szCs w:val="21"/>
          <w:highlight w:val="none"/>
        </w:rPr>
        <w:t>完成各项承包工作</w:t>
      </w:r>
    </w:p>
    <w:p w14:paraId="4D8A72A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承包人应按合同约定以及监理人根据第3.4款作出的指示，实施、完成全部工程，并修补工程中的任何缺陷。除第5.2款、第6.2款</w:t>
      </w:r>
      <w:r>
        <w:rPr>
          <w:rFonts w:hint="eastAsia" w:ascii="宋体" w:hAnsi="宋体" w:cs="宋体"/>
          <w:color w:val="auto"/>
          <w:sz w:val="21"/>
          <w:szCs w:val="21"/>
          <w:highlight w:val="none"/>
          <w:lang w:eastAsia="zh-CN"/>
        </w:rPr>
        <w:t>另</w:t>
      </w:r>
      <w:r>
        <w:rPr>
          <w:rFonts w:hint="eastAsia" w:ascii="宋体" w:hAnsi="宋体" w:cs="宋体"/>
          <w:color w:val="auto"/>
          <w:sz w:val="21"/>
          <w:szCs w:val="21"/>
          <w:highlight w:val="none"/>
        </w:rPr>
        <w:t>外，承包人应提供为完成合同工作所需的劳务、材料、施工设备、工程设备</w:t>
      </w:r>
      <w:r>
        <w:rPr>
          <w:rFonts w:hint="eastAsia" w:ascii="宋体" w:hAnsi="宋体" w:cs="宋体"/>
          <w:color w:val="auto"/>
          <w:sz w:val="21"/>
          <w:szCs w:val="21"/>
          <w:highlight w:val="none"/>
          <w:lang w:eastAsia="zh-CN"/>
        </w:rPr>
        <w:t>和其他物品</w:t>
      </w:r>
      <w:r>
        <w:rPr>
          <w:rFonts w:hint="eastAsia" w:ascii="宋体" w:hAnsi="宋体" w:cs="宋体"/>
          <w:color w:val="auto"/>
          <w:sz w:val="21"/>
          <w:szCs w:val="21"/>
          <w:highlight w:val="none"/>
        </w:rPr>
        <w:t>，并按合同约定负责临时设施的设计、建造、运行、维护、管理和拆除。</w:t>
      </w:r>
      <w:bookmarkEnd w:id="284"/>
    </w:p>
    <w:p w14:paraId="535D297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4.1.4 对施工作业和施工方法的完备性负责</w:t>
      </w:r>
    </w:p>
    <w:p w14:paraId="380C87E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承包人应按合同约定的工作内容和施工进度要求，编制施工组织设计和施工措施计划，并对所有施工作业和施工方法的完备性和安全可靠性负责。</w:t>
      </w:r>
    </w:p>
    <w:p w14:paraId="53C79D2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4.1.5 保证工程施工和人员的安全</w:t>
      </w:r>
    </w:p>
    <w:p w14:paraId="2BE516B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承包人应按第9.2款约定采取施工安全措施，确保工程及其人员、材料、设备和设施的安全，防止因工程施工造成的人身伤害和财产损失。</w:t>
      </w:r>
    </w:p>
    <w:p w14:paraId="0EA56F1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4.1.6 负责施工场地及其周边环境与生态的保护工作</w:t>
      </w:r>
    </w:p>
    <w:p w14:paraId="7BA4259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承包人应按照第9.4款约定负责施工场地及其周边环境与生态的保护工作。</w:t>
      </w:r>
    </w:p>
    <w:p w14:paraId="6343EAD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4.1.7 避免施工对公众与他人的利益造成损害</w:t>
      </w:r>
    </w:p>
    <w:p w14:paraId="3F9484F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FBE735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4.1.8 为他人提供方便</w:t>
      </w:r>
    </w:p>
    <w:p w14:paraId="085BA88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3F5BEC7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4.1.9 工程的维护和照管</w:t>
      </w:r>
    </w:p>
    <w:p w14:paraId="448AC93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除合同另有约定外，工程完工证书颁发前，承包人应负责照管和维护工程。合同工程完工证书颁发时尚有部分未完工程的，承包人还应负责该未完工程的照管和维护工作，直至完工后移交给发包人为止。</w:t>
      </w:r>
    </w:p>
    <w:p w14:paraId="1B567A8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4.1.10  其它义务</w:t>
      </w:r>
    </w:p>
    <w:p w14:paraId="5FA8742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其它义务在专用合同条款中补充约定。</w:t>
      </w:r>
    </w:p>
    <w:p w14:paraId="5C7DACFA">
      <w:pPr>
        <w:keepNext/>
        <w:keepLines/>
        <w:spacing w:line="360" w:lineRule="auto"/>
        <w:jc w:val="center"/>
        <w:outlineLvl w:val="2"/>
        <w:rPr>
          <w:rFonts w:hint="eastAsia" w:ascii="宋体" w:hAnsi="宋体" w:cs="宋体"/>
          <w:b/>
          <w:bCs/>
          <w:color w:val="auto"/>
          <w:sz w:val="21"/>
          <w:szCs w:val="21"/>
          <w:highlight w:val="none"/>
        </w:rPr>
      </w:pPr>
      <w:bookmarkStart w:id="285" w:name="_Toc221950749"/>
      <w:bookmarkStart w:id="286" w:name="_Toc23905"/>
      <w:bookmarkStart w:id="287" w:name="_Toc175063827"/>
      <w:r>
        <w:rPr>
          <w:rFonts w:hint="eastAsia" w:ascii="宋体" w:hAnsi="宋体" w:cs="宋体"/>
          <w:b/>
          <w:bCs/>
          <w:color w:val="auto"/>
          <w:sz w:val="21"/>
          <w:szCs w:val="21"/>
          <w:highlight w:val="none"/>
        </w:rPr>
        <w:t xml:space="preserve">4.2 </w:t>
      </w:r>
      <w:bookmarkEnd w:id="285"/>
      <w:bookmarkStart w:id="288" w:name="_Toc221950751"/>
      <w:r>
        <w:rPr>
          <w:rFonts w:hint="eastAsia" w:ascii="宋体" w:hAnsi="宋体" w:cs="宋体"/>
          <w:b/>
          <w:bCs/>
          <w:color w:val="auto"/>
          <w:sz w:val="21"/>
          <w:szCs w:val="21"/>
          <w:highlight w:val="none"/>
        </w:rPr>
        <w:t>履约担保</w:t>
      </w:r>
      <w:bookmarkEnd w:id="286"/>
      <w:bookmarkEnd w:id="287"/>
    </w:p>
    <w:bookmarkEnd w:id="288"/>
    <w:p w14:paraId="5C61C95C">
      <w:pPr>
        <w:spacing w:line="360" w:lineRule="auto"/>
        <w:ind w:firstLine="420" w:firstLineChars="200"/>
        <w:rPr>
          <w:rFonts w:hint="eastAsia" w:ascii="宋体" w:hAnsi="宋体" w:cs="宋体"/>
          <w:color w:val="auto"/>
          <w:sz w:val="21"/>
          <w:szCs w:val="21"/>
          <w:highlight w:val="none"/>
        </w:rPr>
      </w:pPr>
      <w:bookmarkStart w:id="289" w:name="_Toc221950754"/>
      <w:r>
        <w:rPr>
          <w:rFonts w:hint="eastAsia" w:ascii="宋体" w:hAnsi="宋体" w:cs="宋体"/>
          <w:color w:val="auto"/>
          <w:sz w:val="21"/>
          <w:szCs w:val="21"/>
          <w:highlight w:val="none"/>
        </w:rPr>
        <w:t>承包人应保证其履约担保在发包人颁发合同工程完工证书前一直有效。发包人应在合同工程完工证书</w:t>
      </w:r>
      <w:r>
        <w:rPr>
          <w:rFonts w:hint="eastAsia" w:ascii="宋体" w:hAnsi="宋体" w:cs="宋体"/>
          <w:color w:val="auto"/>
          <w:sz w:val="21"/>
          <w:szCs w:val="21"/>
          <w:highlight w:val="none"/>
          <w:lang w:eastAsia="zh-CN"/>
        </w:rPr>
        <w:t>颁发</w:t>
      </w:r>
      <w:r>
        <w:rPr>
          <w:rFonts w:hint="eastAsia" w:ascii="宋体" w:hAnsi="宋体" w:cs="宋体"/>
          <w:color w:val="auto"/>
          <w:sz w:val="21"/>
          <w:szCs w:val="21"/>
          <w:highlight w:val="none"/>
        </w:rPr>
        <w:t>后28天内将履约担保退还给承包人。</w:t>
      </w:r>
    </w:p>
    <w:p w14:paraId="2E76C6C2">
      <w:pPr>
        <w:keepNext/>
        <w:keepLines/>
        <w:spacing w:line="360" w:lineRule="auto"/>
        <w:jc w:val="center"/>
        <w:outlineLvl w:val="2"/>
        <w:rPr>
          <w:rFonts w:hint="eastAsia" w:ascii="宋体" w:hAnsi="宋体" w:cs="宋体"/>
          <w:b/>
          <w:bCs/>
          <w:color w:val="auto"/>
          <w:sz w:val="21"/>
          <w:szCs w:val="21"/>
          <w:highlight w:val="none"/>
        </w:rPr>
      </w:pPr>
      <w:bookmarkStart w:id="290" w:name="_Toc28395"/>
      <w:bookmarkStart w:id="291" w:name="_Toc175063828"/>
      <w:r>
        <w:rPr>
          <w:rFonts w:hint="eastAsia" w:ascii="宋体" w:hAnsi="宋体" w:cs="宋体"/>
          <w:b/>
          <w:bCs/>
          <w:color w:val="auto"/>
          <w:sz w:val="21"/>
          <w:szCs w:val="21"/>
          <w:highlight w:val="none"/>
        </w:rPr>
        <w:t>4.3分包</w:t>
      </w:r>
      <w:bookmarkEnd w:id="290"/>
      <w:bookmarkEnd w:id="291"/>
    </w:p>
    <w:p w14:paraId="1DB3CF6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4.3.1 承包人不得将其承包的全部工程转包给第三人，或将其承包的全部工程肢解后以分包的名义转包给第三人。</w:t>
      </w:r>
    </w:p>
    <w:p w14:paraId="162779F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4.3.2 承包人不得将工程主体、关键性工作分包给第三人。除专用合同条款另有约定外，未经发包人同意，承包人不得将工程的其他部分或工作分包给第三人。</w:t>
      </w:r>
    </w:p>
    <w:p w14:paraId="037F5F7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4.3.3 分包人的资格能力应与其分包工程的标准和规模相适应。</w:t>
      </w:r>
    </w:p>
    <w:p w14:paraId="487D099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4.3.4 按投标函附录约定分包工程的，承包人应向发包人和监理人提交分包合同副本。</w:t>
      </w:r>
    </w:p>
    <w:p w14:paraId="7FE54DF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4.3.5 承包人应与分包人就分包工程向发包人承担连带责任。</w:t>
      </w:r>
    </w:p>
    <w:p w14:paraId="1AEC65A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4.3.6分包工程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r>
        <w:rPr>
          <w:rFonts w:hint="eastAsia" w:ascii="宋体" w:hAnsi="宋体" w:cs="宋体"/>
          <w:color w:val="auto"/>
          <w:sz w:val="21"/>
          <w:szCs w:val="21"/>
          <w:highlight w:val="none"/>
          <w:lang w:eastAsia="zh-CN"/>
        </w:rPr>
        <w:t>。</w:t>
      </w:r>
    </w:p>
    <w:p w14:paraId="7A04939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4.3.7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w:t>
      </w:r>
    </w:p>
    <w:p w14:paraId="1C9F764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由指定分包人造成的与其分包工作有关的一切索赔、诉讼和损失赔偿由指定分包人直接对发包人负责，承包人不对此承担责任。</w:t>
      </w:r>
    </w:p>
    <w:p w14:paraId="2C895B0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4.3.8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2C76288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4.3.9除4.3.7项规定的指定分包外，承包人对其分包项目的实施以及分包人的行为向发包人负全部责任。承包人应对分包项目的工程进度、质量、安全、计量和验收等实施监督和管理。</w:t>
      </w:r>
      <w:bookmarkEnd w:id="289"/>
    </w:p>
    <w:p w14:paraId="4BFEC9F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4.3.10分包人应按专用合同条款的约定设立项目管理机构组织管理分包工程的施工活动。</w:t>
      </w:r>
    </w:p>
    <w:p w14:paraId="08961425">
      <w:pPr>
        <w:keepNext/>
        <w:keepLines/>
        <w:spacing w:line="360" w:lineRule="auto"/>
        <w:outlineLvl w:val="2"/>
        <w:rPr>
          <w:rFonts w:hint="eastAsia" w:ascii="宋体" w:hAnsi="宋体" w:cs="宋体"/>
          <w:color w:val="auto"/>
          <w:sz w:val="21"/>
          <w:szCs w:val="21"/>
          <w:highlight w:val="none"/>
        </w:rPr>
      </w:pPr>
      <w:bookmarkStart w:id="292" w:name="_Toc144974611"/>
      <w:bookmarkStart w:id="293" w:name="_Toc179632661"/>
      <w:bookmarkStart w:id="294" w:name="_Toc152042421"/>
      <w:bookmarkStart w:id="295" w:name="_Toc152045643"/>
      <w:bookmarkStart w:id="296" w:name="_Toc175063829"/>
      <w:bookmarkStart w:id="297" w:name="_Toc17867"/>
      <w:r>
        <w:rPr>
          <w:rFonts w:hint="eastAsia" w:ascii="宋体" w:hAnsi="宋体" w:cs="宋体"/>
          <w:color w:val="auto"/>
          <w:sz w:val="21"/>
          <w:szCs w:val="21"/>
          <w:highlight w:val="none"/>
        </w:rPr>
        <w:t>4.4 联合体</w:t>
      </w:r>
      <w:bookmarkEnd w:id="292"/>
      <w:bookmarkEnd w:id="293"/>
      <w:bookmarkEnd w:id="294"/>
      <w:bookmarkEnd w:id="295"/>
      <w:bookmarkEnd w:id="296"/>
      <w:bookmarkEnd w:id="297"/>
    </w:p>
    <w:p w14:paraId="008F910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4.4.1 联合体各方应共同与发包人签订合同协议书。联合体各方应为履行合同承担连带责任。</w:t>
      </w:r>
    </w:p>
    <w:p w14:paraId="1EBAAAB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4.4.2 联合体协议经发包人确认后作为合同附件。在履行合同过程中，未经发包人同意，不得修改联合体协议。</w:t>
      </w:r>
    </w:p>
    <w:p w14:paraId="7A3499D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4.4.3 联合体牵头人负责与发包人和监理人联系，并接受指示，负责组织联合体各成员全面履行合同。</w:t>
      </w:r>
    </w:p>
    <w:p w14:paraId="4EFE53D0">
      <w:pPr>
        <w:keepNext/>
        <w:keepLines/>
        <w:spacing w:line="360" w:lineRule="auto"/>
        <w:outlineLvl w:val="2"/>
        <w:rPr>
          <w:rFonts w:hint="eastAsia" w:ascii="宋体" w:hAnsi="宋体" w:cs="宋体"/>
          <w:color w:val="auto"/>
          <w:sz w:val="21"/>
          <w:szCs w:val="21"/>
          <w:highlight w:val="none"/>
        </w:rPr>
      </w:pPr>
      <w:bookmarkStart w:id="298" w:name="_Toc179632662"/>
      <w:bookmarkStart w:id="299" w:name="_Toc144974612"/>
      <w:bookmarkStart w:id="300" w:name="_Toc152042422"/>
      <w:bookmarkStart w:id="301" w:name="_Toc175063830"/>
      <w:bookmarkStart w:id="302" w:name="_Toc152045644"/>
      <w:bookmarkStart w:id="303" w:name="_Toc9769"/>
      <w:r>
        <w:rPr>
          <w:rFonts w:hint="eastAsia" w:ascii="宋体" w:hAnsi="宋体" w:cs="宋体"/>
          <w:color w:val="auto"/>
          <w:sz w:val="21"/>
          <w:szCs w:val="21"/>
          <w:highlight w:val="none"/>
        </w:rPr>
        <w:t>4.5 承包人项目经理</w:t>
      </w:r>
      <w:bookmarkEnd w:id="298"/>
      <w:bookmarkEnd w:id="299"/>
      <w:bookmarkEnd w:id="300"/>
      <w:bookmarkEnd w:id="301"/>
      <w:bookmarkEnd w:id="302"/>
      <w:bookmarkEnd w:id="303"/>
    </w:p>
    <w:p w14:paraId="0DE2231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3769CD2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70EF2A4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4.5.3承包人为履行合同发出的一切函件均应盖有承包人授权的施工场地管理机构章，并由承包人项目经理或其授权代表签字。</w:t>
      </w:r>
    </w:p>
    <w:p w14:paraId="2236B87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4.5.4 承包人项目经理可以授权其下属人员履行其某项职责，但事先应将这些人员的姓名和授权范围通知监理人。</w:t>
      </w:r>
    </w:p>
    <w:p w14:paraId="284FAE09">
      <w:pPr>
        <w:keepNext/>
        <w:keepLines/>
        <w:spacing w:line="360" w:lineRule="auto"/>
        <w:outlineLvl w:val="2"/>
        <w:rPr>
          <w:rFonts w:hint="eastAsia" w:ascii="宋体" w:hAnsi="宋体" w:cs="宋体"/>
          <w:color w:val="auto"/>
          <w:sz w:val="21"/>
          <w:szCs w:val="21"/>
          <w:highlight w:val="none"/>
        </w:rPr>
      </w:pPr>
      <w:bookmarkStart w:id="304" w:name="_Toc144974613"/>
      <w:bookmarkStart w:id="305" w:name="_Toc32705"/>
      <w:bookmarkStart w:id="306" w:name="_Toc175063831"/>
      <w:bookmarkStart w:id="307" w:name="_Toc152042423"/>
      <w:bookmarkStart w:id="308" w:name="_Toc152045645"/>
      <w:bookmarkStart w:id="309" w:name="_Toc179632663"/>
      <w:r>
        <w:rPr>
          <w:rFonts w:hint="eastAsia" w:ascii="宋体" w:hAnsi="宋体" w:cs="宋体"/>
          <w:color w:val="auto"/>
          <w:sz w:val="21"/>
          <w:szCs w:val="21"/>
          <w:highlight w:val="none"/>
        </w:rPr>
        <w:t>4.6 承包人人员的管理</w:t>
      </w:r>
      <w:bookmarkEnd w:id="304"/>
      <w:bookmarkEnd w:id="305"/>
      <w:bookmarkEnd w:id="306"/>
      <w:bookmarkEnd w:id="307"/>
      <w:bookmarkEnd w:id="308"/>
      <w:bookmarkEnd w:id="309"/>
    </w:p>
    <w:p w14:paraId="13D44BF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272FB2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4.6.2 为完成合同约定的各项工作，承包人应向施工场地派遣或雇佣足够数量的下列人员：</w:t>
      </w:r>
    </w:p>
    <w:p w14:paraId="2019D864">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（1）具有相应资格的专业技工和合格的普工；</w:t>
      </w:r>
    </w:p>
    <w:p w14:paraId="1A8F4A46">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（2）具有相应施工经验的技术人员；</w:t>
      </w:r>
    </w:p>
    <w:p w14:paraId="06212006">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（3）具有相应岗位资格的各级管理人员。</w:t>
      </w:r>
    </w:p>
    <w:p w14:paraId="3FD6295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4.6.3 承包人安排在施工场地的主要管理人员和技术骨干应相对稳定。承包人更换主要管理人员和技术骨干时，应取得监理人的同意。</w:t>
      </w:r>
    </w:p>
    <w:p w14:paraId="15FC0FE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4.6.4 特殊岗位的工作人员均应持有相应的资格证明，监理人有权随时检查。监理人认为有必要时，可进行现场考核。</w:t>
      </w:r>
    </w:p>
    <w:p w14:paraId="01FAAD9F">
      <w:pPr>
        <w:keepNext/>
        <w:keepLines/>
        <w:spacing w:line="360" w:lineRule="auto"/>
        <w:outlineLvl w:val="2"/>
        <w:rPr>
          <w:rFonts w:hint="eastAsia" w:ascii="宋体" w:hAnsi="宋体" w:cs="宋体"/>
          <w:color w:val="auto"/>
          <w:sz w:val="21"/>
          <w:szCs w:val="21"/>
          <w:highlight w:val="none"/>
        </w:rPr>
      </w:pPr>
      <w:bookmarkStart w:id="310" w:name="_Toc175063832"/>
      <w:bookmarkStart w:id="311" w:name="_Toc179632664"/>
      <w:bookmarkStart w:id="312" w:name="_Toc17870"/>
      <w:bookmarkStart w:id="313" w:name="_Toc144974614"/>
      <w:bookmarkStart w:id="314" w:name="_Toc152045646"/>
      <w:bookmarkStart w:id="315" w:name="_Toc152042424"/>
      <w:r>
        <w:rPr>
          <w:rFonts w:hint="eastAsia" w:ascii="宋体" w:hAnsi="宋体" w:cs="宋体"/>
          <w:color w:val="auto"/>
          <w:sz w:val="21"/>
          <w:szCs w:val="21"/>
          <w:highlight w:val="none"/>
        </w:rPr>
        <w:t>4.7 撤换承包人项目经理和其他人员</w:t>
      </w:r>
      <w:bookmarkEnd w:id="310"/>
      <w:bookmarkEnd w:id="311"/>
      <w:bookmarkEnd w:id="312"/>
      <w:bookmarkEnd w:id="313"/>
      <w:bookmarkEnd w:id="314"/>
      <w:bookmarkEnd w:id="315"/>
    </w:p>
    <w:p w14:paraId="08E34FA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承包人应对其项目经理和其他人员进行有效管理。监理人要求撤换不能胜任本职工作、行为不端或玩忽职守的承包人项目经理和其他人员的，承包人应予以撤换。</w:t>
      </w:r>
    </w:p>
    <w:p w14:paraId="1374926B">
      <w:pPr>
        <w:keepNext/>
        <w:keepLines/>
        <w:spacing w:line="360" w:lineRule="auto"/>
        <w:outlineLvl w:val="2"/>
        <w:rPr>
          <w:rFonts w:hint="eastAsia" w:ascii="宋体" w:hAnsi="宋体" w:cs="宋体"/>
          <w:color w:val="auto"/>
          <w:sz w:val="21"/>
          <w:szCs w:val="21"/>
          <w:highlight w:val="none"/>
        </w:rPr>
      </w:pPr>
      <w:bookmarkStart w:id="316" w:name="_Toc29275"/>
      <w:bookmarkStart w:id="317" w:name="_Toc179632665"/>
      <w:bookmarkStart w:id="318" w:name="_Toc152045647"/>
      <w:bookmarkStart w:id="319" w:name="_Toc175063833"/>
      <w:bookmarkStart w:id="320" w:name="_Toc144974615"/>
      <w:bookmarkStart w:id="321" w:name="_Toc152042425"/>
      <w:r>
        <w:rPr>
          <w:rFonts w:hint="eastAsia" w:ascii="宋体" w:hAnsi="宋体" w:cs="宋体"/>
          <w:color w:val="auto"/>
          <w:sz w:val="21"/>
          <w:szCs w:val="21"/>
          <w:highlight w:val="none"/>
        </w:rPr>
        <w:t>4.8 保障承包人人员的合法权益</w:t>
      </w:r>
      <w:bookmarkEnd w:id="316"/>
      <w:bookmarkEnd w:id="317"/>
      <w:bookmarkEnd w:id="318"/>
      <w:bookmarkEnd w:id="319"/>
      <w:bookmarkEnd w:id="320"/>
      <w:bookmarkEnd w:id="321"/>
    </w:p>
    <w:p w14:paraId="7A21D2E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4.8.1 承包人应与其雇佣的人员签订劳动合同，并按时发放工资。</w:t>
      </w:r>
    </w:p>
    <w:p w14:paraId="7EA5A44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339D0A3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4.8.3 承包人应为其雇佣人员提供必要的食宿条件，以及符合环境保护和卫生要求的生活环境，在远离城镇的施工场地，还应配备必要的伤病防治和急救的医务人员与医疗设施。</w:t>
      </w:r>
    </w:p>
    <w:p w14:paraId="2A9ED87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2AE4502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4.8.5 承包人应按有关法律规定和合同约定，为其雇佣人员办理保险。</w:t>
      </w:r>
    </w:p>
    <w:p w14:paraId="13E40E7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4.8.6 承包人应负责处理其雇佣人员因工伤亡事故的善后事宜。</w:t>
      </w:r>
    </w:p>
    <w:p w14:paraId="2F0A947D">
      <w:pPr>
        <w:keepNext/>
        <w:keepLines/>
        <w:spacing w:line="360" w:lineRule="auto"/>
        <w:outlineLvl w:val="2"/>
        <w:rPr>
          <w:rFonts w:hint="eastAsia" w:ascii="宋体" w:hAnsi="宋体" w:cs="宋体"/>
          <w:color w:val="auto"/>
          <w:sz w:val="21"/>
          <w:szCs w:val="21"/>
          <w:highlight w:val="none"/>
        </w:rPr>
      </w:pPr>
      <w:bookmarkStart w:id="322" w:name="_Toc179632666"/>
      <w:bookmarkStart w:id="323" w:name="_Toc144974616"/>
      <w:bookmarkStart w:id="324" w:name="_Toc152045648"/>
      <w:bookmarkStart w:id="325" w:name="_Toc152042426"/>
      <w:bookmarkStart w:id="326" w:name="_Toc19209"/>
      <w:bookmarkStart w:id="327" w:name="_Toc175063834"/>
      <w:r>
        <w:rPr>
          <w:rFonts w:hint="eastAsia" w:ascii="宋体" w:hAnsi="宋体" w:cs="宋体"/>
          <w:color w:val="auto"/>
          <w:sz w:val="21"/>
          <w:szCs w:val="21"/>
          <w:highlight w:val="none"/>
        </w:rPr>
        <w:t>4.9 工程价款应专款专用</w:t>
      </w:r>
      <w:bookmarkEnd w:id="322"/>
      <w:bookmarkEnd w:id="323"/>
      <w:bookmarkEnd w:id="324"/>
      <w:bookmarkEnd w:id="325"/>
      <w:bookmarkEnd w:id="326"/>
      <w:bookmarkEnd w:id="327"/>
    </w:p>
    <w:p w14:paraId="43EF42E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发包人按合同约定支付给承包人的各项价款应专用于合同工程。</w:t>
      </w:r>
    </w:p>
    <w:p w14:paraId="4CE72476">
      <w:pPr>
        <w:keepNext/>
        <w:keepLines/>
        <w:spacing w:line="360" w:lineRule="auto"/>
        <w:outlineLvl w:val="2"/>
        <w:rPr>
          <w:rFonts w:hint="eastAsia" w:ascii="宋体" w:hAnsi="宋体" w:cs="宋体"/>
          <w:color w:val="auto"/>
          <w:sz w:val="21"/>
          <w:szCs w:val="21"/>
          <w:highlight w:val="none"/>
        </w:rPr>
      </w:pPr>
      <w:bookmarkStart w:id="328" w:name="_Toc175063835"/>
      <w:bookmarkStart w:id="329" w:name="_Toc152045649"/>
      <w:bookmarkStart w:id="330" w:name="_Toc179632667"/>
      <w:bookmarkStart w:id="331" w:name="_Toc144974617"/>
      <w:bookmarkStart w:id="332" w:name="_Toc22194"/>
      <w:bookmarkStart w:id="333" w:name="_Toc152042427"/>
      <w:r>
        <w:rPr>
          <w:rFonts w:hint="eastAsia" w:ascii="宋体" w:hAnsi="宋体" w:cs="宋体"/>
          <w:color w:val="auto"/>
          <w:sz w:val="21"/>
          <w:szCs w:val="21"/>
          <w:highlight w:val="none"/>
        </w:rPr>
        <w:t>4.10 承包人现场查勘</w:t>
      </w:r>
      <w:bookmarkEnd w:id="328"/>
      <w:bookmarkEnd w:id="329"/>
      <w:bookmarkEnd w:id="330"/>
      <w:bookmarkEnd w:id="331"/>
      <w:bookmarkEnd w:id="332"/>
      <w:bookmarkEnd w:id="333"/>
      <w:r>
        <w:rPr>
          <w:rFonts w:hint="eastAsia" w:ascii="宋体" w:hAnsi="宋体" w:cs="宋体"/>
          <w:color w:val="auto"/>
          <w:sz w:val="21"/>
          <w:szCs w:val="21"/>
          <w:highlight w:val="none"/>
        </w:rPr>
        <w:t xml:space="preserve">                                                                                                           </w:t>
      </w:r>
    </w:p>
    <w:p w14:paraId="5A6E9CB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4.10.1 发包人应将其持有的现场地质勘探资料、水文气象资料提供给承包人，并对其准确性负责。但承包人应对其阅读上述有关资料后所作出的解释和推断负责。</w:t>
      </w:r>
    </w:p>
    <w:p w14:paraId="607E9D6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746A37FC">
      <w:pPr>
        <w:keepNext/>
        <w:keepLines/>
        <w:spacing w:line="360" w:lineRule="auto"/>
        <w:jc w:val="center"/>
        <w:outlineLvl w:val="2"/>
        <w:rPr>
          <w:rFonts w:hint="eastAsia" w:ascii="宋体" w:hAnsi="宋体" w:cs="宋体"/>
          <w:b/>
          <w:bCs/>
          <w:color w:val="auto"/>
          <w:sz w:val="21"/>
          <w:szCs w:val="21"/>
          <w:highlight w:val="none"/>
        </w:rPr>
      </w:pPr>
      <w:bookmarkStart w:id="334" w:name="_Toc8335"/>
      <w:bookmarkStart w:id="335" w:name="_Toc175063836"/>
      <w:r>
        <w:rPr>
          <w:rFonts w:hint="eastAsia" w:ascii="宋体" w:hAnsi="宋体" w:cs="宋体"/>
          <w:b/>
          <w:bCs/>
          <w:color w:val="auto"/>
          <w:sz w:val="21"/>
          <w:szCs w:val="21"/>
          <w:highlight w:val="none"/>
        </w:rPr>
        <w:t>4.11不利物质条件</w:t>
      </w:r>
      <w:bookmarkEnd w:id="334"/>
      <w:bookmarkEnd w:id="335"/>
    </w:p>
    <w:p w14:paraId="29F2B32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4.11.1除专用合同条款另有约定外，不利的物质条件是指在施工中遭遇不可预见的外界障碍或自然条件造成施工受阻。</w:t>
      </w:r>
    </w:p>
    <w:p w14:paraId="5ECF117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4.11.2 承包人遇到不利物质条件时，应采取适应不利物质条件的合理措施继续施工，并及时通知监理人。承包人应有权根据第23.1款的约定，要求延长工期及增加费用。监理人收到此类要求后，应在分析上述外界障碍或自然条件是否不可预见及不可预见程度的基础上，按照通用合同条款第15条的约定办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14:paraId="48DDF492">
      <w:pPr>
        <w:keepNext/>
        <w:keepLines/>
        <w:spacing w:line="360" w:lineRule="auto"/>
        <w:jc w:val="center"/>
        <w:outlineLvl w:val="1"/>
        <w:rPr>
          <w:rFonts w:hint="eastAsia" w:ascii="宋体" w:hAnsi="宋体" w:cs="宋体"/>
          <w:b/>
          <w:bCs/>
          <w:color w:val="auto"/>
          <w:sz w:val="21"/>
          <w:szCs w:val="21"/>
          <w:highlight w:val="none"/>
        </w:rPr>
      </w:pPr>
      <w:bookmarkStart w:id="336" w:name="_Toc229408501"/>
      <w:bookmarkStart w:id="337" w:name="_Toc175063837"/>
      <w:bookmarkStart w:id="338" w:name="_Toc222029506"/>
      <w:bookmarkStart w:id="339" w:name="_Toc222031008"/>
      <w:bookmarkStart w:id="340" w:name="_Toc222032675"/>
      <w:bookmarkStart w:id="341" w:name="_Toc221950770"/>
      <w:bookmarkStart w:id="342" w:name="_Toc222033857"/>
      <w:bookmarkStart w:id="343" w:name="_Toc12960"/>
      <w:bookmarkStart w:id="344" w:name="_Toc256000070"/>
      <w:bookmarkStart w:id="345" w:name="_Toc229305366"/>
      <w:r>
        <w:rPr>
          <w:rFonts w:hint="eastAsia" w:ascii="宋体" w:hAnsi="宋体" w:cs="宋体"/>
          <w:b/>
          <w:bCs/>
          <w:color w:val="auto"/>
          <w:sz w:val="21"/>
          <w:szCs w:val="21"/>
          <w:highlight w:val="none"/>
        </w:rPr>
        <w:t>5. 材料和工程设备</w:t>
      </w:r>
      <w:bookmarkEnd w:id="336"/>
      <w:bookmarkEnd w:id="337"/>
      <w:bookmarkEnd w:id="338"/>
      <w:bookmarkEnd w:id="339"/>
      <w:bookmarkEnd w:id="340"/>
      <w:bookmarkEnd w:id="341"/>
      <w:bookmarkEnd w:id="342"/>
      <w:bookmarkEnd w:id="343"/>
      <w:bookmarkEnd w:id="344"/>
      <w:bookmarkEnd w:id="345"/>
    </w:p>
    <w:p w14:paraId="05FC65ED">
      <w:pPr>
        <w:keepNext/>
        <w:keepLines/>
        <w:spacing w:line="360" w:lineRule="auto"/>
        <w:jc w:val="center"/>
        <w:outlineLvl w:val="2"/>
        <w:rPr>
          <w:rFonts w:hint="eastAsia" w:ascii="宋体" w:hAnsi="宋体" w:cs="宋体"/>
          <w:b/>
          <w:bCs/>
          <w:color w:val="auto"/>
          <w:sz w:val="21"/>
          <w:szCs w:val="21"/>
          <w:highlight w:val="none"/>
        </w:rPr>
      </w:pPr>
      <w:bookmarkStart w:id="346" w:name="_Toc19171"/>
      <w:bookmarkStart w:id="347" w:name="_Toc175063838"/>
      <w:bookmarkStart w:id="348" w:name="_Toc221950773"/>
      <w:r>
        <w:rPr>
          <w:rFonts w:hint="eastAsia" w:ascii="宋体" w:hAnsi="宋体" w:cs="宋体"/>
          <w:b/>
          <w:bCs/>
          <w:color w:val="auto"/>
          <w:sz w:val="21"/>
          <w:szCs w:val="21"/>
          <w:highlight w:val="none"/>
        </w:rPr>
        <w:t>5.1承包人提供的材料和工程设备</w:t>
      </w:r>
      <w:bookmarkEnd w:id="346"/>
      <w:bookmarkEnd w:id="347"/>
    </w:p>
    <w:p w14:paraId="3EDEE34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5.1.1</w:t>
      </w:r>
      <w:bookmarkEnd w:id="348"/>
      <w:r>
        <w:rPr>
          <w:rFonts w:hint="eastAsia" w:ascii="宋体" w:hAnsi="宋体" w:cs="宋体"/>
          <w:color w:val="auto"/>
          <w:sz w:val="21"/>
          <w:szCs w:val="21"/>
          <w:highlight w:val="none"/>
        </w:rPr>
        <w:t xml:space="preserve"> 除5.2款约定由发包人提供的材料和工程设备外，承包人负责采购、验收、运输和保管完成本合同工作所需的材料和工程设备。承包人应对其采购的材料和工程设备负责。 </w:t>
      </w:r>
    </w:p>
    <w:p w14:paraId="07C10A43">
      <w:pPr>
        <w:spacing w:line="360" w:lineRule="auto"/>
        <w:ind w:firstLine="420" w:firstLineChars="200"/>
        <w:rPr>
          <w:rFonts w:hint="eastAsia" w:ascii="宋体" w:hAnsi="宋体" w:cs="宋体"/>
          <w:color w:val="auto"/>
          <w:sz w:val="21"/>
          <w:szCs w:val="21"/>
          <w:highlight w:val="none"/>
        </w:rPr>
      </w:pPr>
      <w:bookmarkStart w:id="349" w:name="_Toc221950779"/>
      <w:r>
        <w:rPr>
          <w:rFonts w:hint="eastAsia" w:ascii="宋体" w:hAnsi="宋体" w:cs="宋体"/>
          <w:color w:val="auto"/>
          <w:sz w:val="21"/>
          <w:szCs w:val="21"/>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13B3510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1396013">
      <w:pPr>
        <w:keepNext/>
        <w:keepLines/>
        <w:spacing w:line="360" w:lineRule="auto"/>
        <w:jc w:val="center"/>
        <w:outlineLvl w:val="2"/>
        <w:rPr>
          <w:rFonts w:hint="eastAsia" w:ascii="宋体" w:hAnsi="宋体" w:cs="宋体"/>
          <w:b/>
          <w:bCs/>
          <w:color w:val="auto"/>
          <w:sz w:val="21"/>
          <w:szCs w:val="21"/>
          <w:highlight w:val="none"/>
        </w:rPr>
      </w:pPr>
      <w:bookmarkStart w:id="350" w:name="_Toc32359"/>
      <w:bookmarkStart w:id="351" w:name="_Toc175063839"/>
      <w:r>
        <w:rPr>
          <w:rFonts w:hint="eastAsia" w:ascii="宋体" w:hAnsi="宋体" w:cs="宋体"/>
          <w:b/>
          <w:bCs/>
          <w:color w:val="auto"/>
          <w:sz w:val="21"/>
          <w:szCs w:val="21"/>
          <w:highlight w:val="none"/>
        </w:rPr>
        <w:t>5.2发包人提供的材料和工程设备</w:t>
      </w:r>
      <w:bookmarkEnd w:id="350"/>
      <w:bookmarkEnd w:id="351"/>
    </w:p>
    <w:p w14:paraId="7127988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5.2.1 发包人提供的材料和工程设备，应在专用合同条款中写明材料和工程设备的名称、规格、数量、价格、交货方式、交货地点和计划交货日期等。</w:t>
      </w:r>
    </w:p>
    <w:p w14:paraId="1712AAB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5.2.2 承包人应根据合同进度计划的安排，向监理人报送要求发包人交货的日期计划。发包人应按照监理人与合同双方当事人商定的交货日期，向承包人提交材料和工程设备。</w:t>
      </w:r>
    </w:p>
    <w:p w14:paraId="422CE3B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4F2888C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5.2.4 发包人要求向承包人提前交货的，承包人不得拒绝，但发包人应承担承包人由此增加的费用。 </w:t>
      </w:r>
    </w:p>
    <w:p w14:paraId="6114BF1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5.2.5 承包人要求更改交货日期或地点的，应事先报请监理人批准。由于承包人要求更改交货时间或地点所增加的费用和（或）工期延误由承包人承担。 </w:t>
      </w:r>
    </w:p>
    <w:p w14:paraId="73F4C6E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107F6011">
      <w:pPr>
        <w:keepNext/>
        <w:keepLines/>
        <w:spacing w:line="360" w:lineRule="auto"/>
        <w:outlineLvl w:val="2"/>
        <w:rPr>
          <w:rFonts w:hint="eastAsia" w:ascii="宋体" w:hAnsi="宋体" w:cs="宋体"/>
          <w:color w:val="auto"/>
          <w:sz w:val="21"/>
          <w:szCs w:val="21"/>
          <w:highlight w:val="none"/>
        </w:rPr>
      </w:pPr>
      <w:bookmarkStart w:id="352" w:name="_Toc152045654"/>
      <w:bookmarkStart w:id="353" w:name="_Toc144974622"/>
      <w:bookmarkStart w:id="354" w:name="_Toc179632672"/>
      <w:bookmarkStart w:id="355" w:name="_Toc175063840"/>
      <w:bookmarkStart w:id="356" w:name="_Toc152042432"/>
      <w:bookmarkStart w:id="357" w:name="_Toc30692"/>
      <w:r>
        <w:rPr>
          <w:rFonts w:hint="eastAsia" w:ascii="宋体" w:hAnsi="宋体" w:cs="宋体"/>
          <w:color w:val="auto"/>
          <w:sz w:val="21"/>
          <w:szCs w:val="21"/>
          <w:highlight w:val="none"/>
        </w:rPr>
        <w:t>5.3 材料和工程设备专用于合同工程</w:t>
      </w:r>
      <w:bookmarkEnd w:id="352"/>
      <w:bookmarkEnd w:id="353"/>
      <w:bookmarkEnd w:id="354"/>
      <w:bookmarkEnd w:id="355"/>
      <w:bookmarkEnd w:id="356"/>
      <w:bookmarkEnd w:id="357"/>
    </w:p>
    <w:p w14:paraId="01951F0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5.3.1运入施工场地的材料、工程设备，包括备品备件、安装专用工器具与随机资料，必须专用于合同工程，未经监理人同意，承包人不得运出施工场地或挪作他用。</w:t>
      </w:r>
    </w:p>
    <w:p w14:paraId="50D51C6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AAE62E0">
      <w:pPr>
        <w:keepNext/>
        <w:keepLines/>
        <w:spacing w:line="360" w:lineRule="auto"/>
        <w:outlineLvl w:val="2"/>
        <w:rPr>
          <w:rFonts w:hint="eastAsia" w:ascii="宋体" w:hAnsi="宋体" w:cs="宋体"/>
          <w:color w:val="auto"/>
          <w:sz w:val="21"/>
          <w:szCs w:val="21"/>
          <w:highlight w:val="none"/>
        </w:rPr>
      </w:pPr>
      <w:bookmarkStart w:id="358" w:name="_Toc152042433"/>
      <w:bookmarkStart w:id="359" w:name="_Toc179632673"/>
      <w:bookmarkStart w:id="360" w:name="_Toc175063841"/>
      <w:bookmarkStart w:id="361" w:name="_Toc29829"/>
      <w:bookmarkStart w:id="362" w:name="_Toc144974623"/>
      <w:bookmarkStart w:id="363" w:name="_Toc152045655"/>
      <w:r>
        <w:rPr>
          <w:rFonts w:hint="eastAsia" w:ascii="宋体" w:hAnsi="宋体" w:cs="宋体"/>
          <w:color w:val="auto"/>
          <w:sz w:val="21"/>
          <w:szCs w:val="21"/>
          <w:highlight w:val="none"/>
        </w:rPr>
        <w:t>5.4 禁止使用不合格的材料和工程设备</w:t>
      </w:r>
      <w:bookmarkEnd w:id="358"/>
      <w:bookmarkEnd w:id="359"/>
      <w:bookmarkEnd w:id="360"/>
      <w:bookmarkEnd w:id="361"/>
      <w:bookmarkEnd w:id="362"/>
      <w:bookmarkEnd w:id="363"/>
    </w:p>
    <w:p w14:paraId="2F13DBB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5.4.1 监理人有权拒绝承包人提供的不合格材料或工程设备，并要求承包人立即进行更换。监理人应在更换后再次进行检查和检验，由此增加的费用和（或）工期延误由承包人承担。</w:t>
      </w:r>
    </w:p>
    <w:p w14:paraId="27E0684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5.4.2 监理人发现承包人使用了不合格的材料和工程设备，应</w:t>
      </w:r>
      <w:r>
        <w:rPr>
          <w:rFonts w:hint="eastAsia" w:ascii="宋体" w:hAnsi="宋体" w:cs="宋体"/>
          <w:color w:val="auto"/>
          <w:sz w:val="21"/>
          <w:szCs w:val="21"/>
          <w:highlight w:val="none"/>
          <w:lang w:eastAsia="zh-CN"/>
        </w:rPr>
        <w:t>及时</w:t>
      </w:r>
      <w:r>
        <w:rPr>
          <w:rFonts w:hint="eastAsia" w:ascii="宋体" w:hAnsi="宋体" w:cs="宋体"/>
          <w:color w:val="auto"/>
          <w:sz w:val="21"/>
          <w:szCs w:val="21"/>
          <w:highlight w:val="none"/>
        </w:rPr>
        <w:t>发出指示要求承包人立即改正，并禁止在工程中继续使用不合格的材料和工程设备。</w:t>
      </w:r>
    </w:p>
    <w:p w14:paraId="670E18A1">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5.4.3 发包人提供的材料或工程设备不符合合同要求的，承包人有权拒绝，并可要求发包人更换，由此增加的费用和（或）工期延误由发包人承担。</w:t>
      </w:r>
    </w:p>
    <w:bookmarkEnd w:id="349"/>
    <w:p w14:paraId="22D3BD58">
      <w:pPr>
        <w:keepNext/>
        <w:keepLines/>
        <w:spacing w:line="360" w:lineRule="auto"/>
        <w:jc w:val="center"/>
        <w:outlineLvl w:val="1"/>
        <w:rPr>
          <w:rFonts w:hint="eastAsia" w:ascii="宋体" w:hAnsi="宋体" w:cs="宋体"/>
          <w:b/>
          <w:bCs/>
          <w:color w:val="auto"/>
          <w:sz w:val="21"/>
          <w:szCs w:val="21"/>
          <w:highlight w:val="none"/>
        </w:rPr>
      </w:pPr>
      <w:bookmarkStart w:id="364" w:name="_Toc222033858"/>
      <w:bookmarkStart w:id="365" w:name="_Toc222031009"/>
      <w:bookmarkStart w:id="366" w:name="_Toc256000071"/>
      <w:bookmarkStart w:id="367" w:name="_Toc222029507"/>
      <w:bookmarkStart w:id="368" w:name="_Toc229408502"/>
      <w:bookmarkStart w:id="369" w:name="_Toc229305367"/>
      <w:bookmarkStart w:id="370" w:name="_Toc5061"/>
      <w:bookmarkStart w:id="371" w:name="_Toc221950785"/>
      <w:bookmarkStart w:id="372" w:name="_Toc175063842"/>
      <w:bookmarkStart w:id="373" w:name="_Toc222032676"/>
      <w:r>
        <w:rPr>
          <w:rFonts w:hint="eastAsia" w:ascii="宋体" w:hAnsi="宋体" w:cs="宋体"/>
          <w:b/>
          <w:bCs/>
          <w:color w:val="auto"/>
          <w:sz w:val="21"/>
          <w:szCs w:val="21"/>
          <w:highlight w:val="none"/>
        </w:rPr>
        <w:t>6. 施工设备和临时设施</w:t>
      </w:r>
      <w:bookmarkEnd w:id="364"/>
      <w:bookmarkEnd w:id="365"/>
      <w:bookmarkEnd w:id="366"/>
      <w:bookmarkEnd w:id="367"/>
      <w:bookmarkEnd w:id="368"/>
      <w:bookmarkEnd w:id="369"/>
      <w:bookmarkEnd w:id="370"/>
      <w:bookmarkEnd w:id="371"/>
      <w:bookmarkEnd w:id="372"/>
      <w:bookmarkEnd w:id="373"/>
    </w:p>
    <w:p w14:paraId="30139F2E">
      <w:pPr>
        <w:keepNext/>
        <w:keepLines/>
        <w:spacing w:line="360" w:lineRule="auto"/>
        <w:outlineLvl w:val="2"/>
        <w:rPr>
          <w:rFonts w:hint="eastAsia" w:ascii="宋体" w:hAnsi="宋体" w:cs="宋体"/>
          <w:color w:val="auto"/>
          <w:sz w:val="21"/>
          <w:szCs w:val="21"/>
          <w:highlight w:val="none"/>
        </w:rPr>
      </w:pPr>
      <w:bookmarkStart w:id="374" w:name="_Toc17737"/>
      <w:bookmarkStart w:id="375" w:name="_Toc144974625"/>
      <w:bookmarkStart w:id="376" w:name="_Toc175063843"/>
      <w:bookmarkStart w:id="377" w:name="_Toc152042435"/>
      <w:bookmarkStart w:id="378" w:name="_Toc152045657"/>
      <w:bookmarkStart w:id="379" w:name="_Toc179632675"/>
      <w:bookmarkStart w:id="380" w:name="_Toc229305368"/>
      <w:bookmarkStart w:id="381" w:name="_Toc222031010"/>
      <w:bookmarkStart w:id="382" w:name="_Toc222033859"/>
      <w:bookmarkStart w:id="383" w:name="_Toc222029508"/>
      <w:bookmarkStart w:id="384" w:name="_Toc229408503"/>
      <w:bookmarkStart w:id="385" w:name="_Toc222032677"/>
      <w:bookmarkStart w:id="386" w:name="_Toc221950795"/>
      <w:r>
        <w:rPr>
          <w:rFonts w:hint="eastAsia" w:ascii="宋体" w:hAnsi="宋体" w:cs="宋体"/>
          <w:color w:val="auto"/>
          <w:sz w:val="21"/>
          <w:szCs w:val="21"/>
          <w:highlight w:val="none"/>
        </w:rPr>
        <w:t>6.1 承包人提供的施工设备和临时设施</w:t>
      </w:r>
      <w:bookmarkEnd w:id="374"/>
      <w:bookmarkEnd w:id="375"/>
      <w:bookmarkEnd w:id="376"/>
      <w:bookmarkEnd w:id="377"/>
      <w:bookmarkEnd w:id="378"/>
      <w:bookmarkEnd w:id="379"/>
    </w:p>
    <w:p w14:paraId="7BCE62C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37AF650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6.1.2除专用合同条款另有约定外，承包人应自行承担修建临时设施的费用，需要临时占地的，应由发包人办理申请手续并承担相应费用。</w:t>
      </w:r>
    </w:p>
    <w:p w14:paraId="5EC45C97">
      <w:pPr>
        <w:keepNext/>
        <w:keepLines/>
        <w:spacing w:line="360" w:lineRule="auto"/>
        <w:outlineLvl w:val="2"/>
        <w:rPr>
          <w:rFonts w:hint="eastAsia" w:ascii="宋体" w:hAnsi="宋体" w:cs="宋体"/>
          <w:color w:val="auto"/>
          <w:sz w:val="21"/>
          <w:szCs w:val="21"/>
          <w:highlight w:val="none"/>
        </w:rPr>
      </w:pPr>
      <w:bookmarkStart w:id="387" w:name="_Toc22241"/>
      <w:bookmarkStart w:id="388" w:name="_Toc152045658"/>
      <w:bookmarkStart w:id="389" w:name="_Toc179632676"/>
      <w:bookmarkStart w:id="390" w:name="_Toc152042436"/>
      <w:bookmarkStart w:id="391" w:name="_Toc144974626"/>
      <w:bookmarkStart w:id="392" w:name="_Toc175063844"/>
      <w:r>
        <w:rPr>
          <w:rFonts w:hint="eastAsia" w:ascii="宋体" w:hAnsi="宋体" w:cs="宋体"/>
          <w:color w:val="auto"/>
          <w:sz w:val="21"/>
          <w:szCs w:val="21"/>
          <w:highlight w:val="none"/>
        </w:rPr>
        <w:t>6.2 发包人提供的施工设备和临时设施</w:t>
      </w:r>
      <w:bookmarkEnd w:id="387"/>
      <w:bookmarkEnd w:id="388"/>
      <w:bookmarkEnd w:id="389"/>
      <w:bookmarkEnd w:id="390"/>
      <w:bookmarkEnd w:id="391"/>
      <w:bookmarkEnd w:id="392"/>
    </w:p>
    <w:p w14:paraId="2E2107E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发包人提供的施工设备或临时设施在专用合同条款中约定。</w:t>
      </w:r>
    </w:p>
    <w:p w14:paraId="4438730B">
      <w:pPr>
        <w:keepNext/>
        <w:keepLines/>
        <w:spacing w:line="360" w:lineRule="auto"/>
        <w:outlineLvl w:val="2"/>
        <w:rPr>
          <w:rFonts w:hint="eastAsia" w:ascii="宋体" w:hAnsi="宋体" w:cs="宋体"/>
          <w:color w:val="auto"/>
          <w:sz w:val="21"/>
          <w:szCs w:val="21"/>
          <w:highlight w:val="none"/>
        </w:rPr>
      </w:pPr>
      <w:bookmarkStart w:id="393" w:name="_Toc175063845"/>
      <w:bookmarkStart w:id="394" w:name="_Toc179632677"/>
      <w:bookmarkStart w:id="395" w:name="_Toc29663"/>
      <w:bookmarkStart w:id="396" w:name="_Toc152042437"/>
      <w:bookmarkStart w:id="397" w:name="_Toc144974627"/>
      <w:bookmarkStart w:id="398" w:name="_Toc152045659"/>
      <w:r>
        <w:rPr>
          <w:rFonts w:hint="eastAsia" w:ascii="宋体" w:hAnsi="宋体" w:cs="宋体"/>
          <w:color w:val="auto"/>
          <w:sz w:val="21"/>
          <w:szCs w:val="21"/>
          <w:highlight w:val="none"/>
        </w:rPr>
        <w:t>6.3 要求承包人增加或更换施工设备</w:t>
      </w:r>
      <w:bookmarkEnd w:id="393"/>
      <w:bookmarkEnd w:id="394"/>
      <w:bookmarkEnd w:id="395"/>
      <w:bookmarkEnd w:id="396"/>
      <w:bookmarkEnd w:id="397"/>
      <w:bookmarkEnd w:id="398"/>
    </w:p>
    <w:p w14:paraId="44A2563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承包人使用的施工设备不能满足合同进度计划和（或）质量要求时，监理人有权要求承包人增加或更换施工设备，承包人应及时增加或更换，由此增加的费用和（或）工期延误由承包人承担。</w:t>
      </w:r>
    </w:p>
    <w:p w14:paraId="22D196E8">
      <w:pPr>
        <w:keepNext/>
        <w:keepLines/>
        <w:spacing w:line="360" w:lineRule="auto"/>
        <w:outlineLvl w:val="2"/>
        <w:rPr>
          <w:rFonts w:hint="eastAsia" w:ascii="宋体" w:hAnsi="宋体" w:cs="宋体"/>
          <w:color w:val="auto"/>
          <w:sz w:val="21"/>
          <w:szCs w:val="21"/>
          <w:highlight w:val="none"/>
        </w:rPr>
      </w:pPr>
      <w:bookmarkStart w:id="399" w:name="_Toc175063846"/>
      <w:bookmarkStart w:id="400" w:name="_Toc144974628"/>
      <w:bookmarkStart w:id="401" w:name="_Toc6915"/>
      <w:bookmarkStart w:id="402" w:name="_Toc152045660"/>
      <w:bookmarkStart w:id="403" w:name="_Toc179632678"/>
      <w:bookmarkStart w:id="404" w:name="_Toc152042438"/>
      <w:r>
        <w:rPr>
          <w:rFonts w:hint="eastAsia" w:ascii="宋体" w:hAnsi="宋体" w:cs="宋体"/>
          <w:color w:val="auto"/>
          <w:sz w:val="21"/>
          <w:szCs w:val="21"/>
          <w:highlight w:val="none"/>
        </w:rPr>
        <w:t>6.4 施工设备和临时设施专用于合同工程</w:t>
      </w:r>
      <w:bookmarkEnd w:id="399"/>
      <w:bookmarkEnd w:id="400"/>
      <w:bookmarkEnd w:id="401"/>
      <w:bookmarkEnd w:id="402"/>
      <w:bookmarkEnd w:id="403"/>
      <w:bookmarkEnd w:id="404"/>
    </w:p>
    <w:p w14:paraId="5D96F47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032E075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6.4.2 经监理人同意，承包人可根据合同进度计划撤走闲置的施工设备。</w:t>
      </w:r>
    </w:p>
    <w:p w14:paraId="17DCB40E">
      <w:pPr>
        <w:keepNext/>
        <w:keepLines/>
        <w:spacing w:line="360" w:lineRule="auto"/>
        <w:jc w:val="center"/>
        <w:outlineLvl w:val="1"/>
        <w:rPr>
          <w:rFonts w:hint="eastAsia" w:ascii="宋体" w:hAnsi="宋体" w:cs="宋体"/>
          <w:b/>
          <w:bCs/>
          <w:color w:val="auto"/>
          <w:sz w:val="21"/>
          <w:szCs w:val="21"/>
          <w:highlight w:val="none"/>
        </w:rPr>
      </w:pPr>
      <w:bookmarkStart w:id="405" w:name="_Toc175063847"/>
      <w:bookmarkStart w:id="406" w:name="_Toc4333"/>
      <w:bookmarkStart w:id="407" w:name="_Toc256000072"/>
      <w:r>
        <w:rPr>
          <w:rFonts w:hint="eastAsia" w:ascii="宋体" w:hAnsi="宋体" w:cs="宋体"/>
          <w:b/>
          <w:bCs/>
          <w:color w:val="auto"/>
          <w:sz w:val="21"/>
          <w:szCs w:val="21"/>
          <w:highlight w:val="none"/>
        </w:rPr>
        <w:t>7. 交通运输</w:t>
      </w:r>
      <w:bookmarkEnd w:id="380"/>
      <w:bookmarkEnd w:id="381"/>
      <w:bookmarkEnd w:id="382"/>
      <w:bookmarkEnd w:id="383"/>
      <w:bookmarkEnd w:id="384"/>
      <w:bookmarkEnd w:id="385"/>
      <w:bookmarkEnd w:id="386"/>
      <w:bookmarkEnd w:id="405"/>
      <w:bookmarkEnd w:id="406"/>
      <w:bookmarkEnd w:id="407"/>
    </w:p>
    <w:p w14:paraId="08F444F3">
      <w:pPr>
        <w:keepNext/>
        <w:keepLines/>
        <w:spacing w:line="360" w:lineRule="auto"/>
        <w:jc w:val="center"/>
        <w:outlineLvl w:val="2"/>
        <w:rPr>
          <w:rFonts w:hint="eastAsia" w:ascii="宋体" w:hAnsi="宋体" w:cs="宋体"/>
          <w:b/>
          <w:bCs/>
          <w:color w:val="auto"/>
          <w:sz w:val="21"/>
          <w:szCs w:val="21"/>
          <w:highlight w:val="none"/>
        </w:rPr>
      </w:pPr>
      <w:bookmarkStart w:id="408" w:name="_Toc31772"/>
      <w:bookmarkStart w:id="409" w:name="_Toc175063848"/>
      <w:r>
        <w:rPr>
          <w:rFonts w:hint="eastAsia" w:ascii="宋体" w:hAnsi="宋体" w:cs="宋体"/>
          <w:b/>
          <w:bCs/>
          <w:color w:val="auto"/>
          <w:sz w:val="21"/>
          <w:szCs w:val="21"/>
          <w:highlight w:val="none"/>
        </w:rPr>
        <w:t>7.1道路通行权和场外设施</w:t>
      </w:r>
      <w:bookmarkEnd w:id="408"/>
      <w:bookmarkEnd w:id="409"/>
    </w:p>
    <w:p w14:paraId="1E05C9D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5F1BF87E">
      <w:pPr>
        <w:keepNext/>
        <w:keepLines/>
        <w:spacing w:line="360" w:lineRule="auto"/>
        <w:jc w:val="center"/>
        <w:outlineLvl w:val="2"/>
        <w:rPr>
          <w:rFonts w:hint="eastAsia" w:ascii="宋体" w:hAnsi="宋体" w:cs="宋体"/>
          <w:b/>
          <w:bCs/>
          <w:color w:val="auto"/>
          <w:sz w:val="21"/>
          <w:szCs w:val="21"/>
          <w:highlight w:val="none"/>
        </w:rPr>
      </w:pPr>
      <w:bookmarkStart w:id="410" w:name="_Toc26365"/>
      <w:bookmarkStart w:id="411" w:name="_Toc175063849"/>
      <w:bookmarkStart w:id="412" w:name="_Toc221950800"/>
      <w:r>
        <w:rPr>
          <w:rFonts w:hint="eastAsia" w:ascii="宋体" w:hAnsi="宋体" w:cs="宋体"/>
          <w:b/>
          <w:bCs/>
          <w:color w:val="auto"/>
          <w:sz w:val="21"/>
          <w:szCs w:val="21"/>
          <w:highlight w:val="none"/>
        </w:rPr>
        <w:t>7.2场内施工道路</w:t>
      </w:r>
      <w:bookmarkEnd w:id="410"/>
      <w:bookmarkEnd w:id="411"/>
    </w:p>
    <w:p w14:paraId="4F18E20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7.2.1  除本合同约定由发包人提供的部分道路和交通设施外，承包人应负责修建、维修、养护和管理其施工所需的全部临时道路和交通设施（包括合同约定由发包人提供的部分道路和交通设施维修、养护和管理),并承担相应费用。</w:t>
      </w:r>
      <w:bookmarkEnd w:id="412"/>
    </w:p>
    <w:p w14:paraId="08A2E6E1">
      <w:pPr>
        <w:spacing w:line="360" w:lineRule="auto"/>
        <w:ind w:firstLine="420" w:firstLineChars="200"/>
        <w:rPr>
          <w:rFonts w:hint="eastAsia" w:ascii="宋体" w:hAnsi="宋体" w:cs="宋体"/>
          <w:color w:val="auto"/>
          <w:sz w:val="21"/>
          <w:szCs w:val="21"/>
          <w:highlight w:val="none"/>
        </w:rPr>
      </w:pPr>
      <w:bookmarkStart w:id="413" w:name="_Toc221950801"/>
      <w:r>
        <w:rPr>
          <w:rFonts w:hint="eastAsia" w:ascii="宋体" w:hAnsi="宋体" w:cs="宋体"/>
          <w:color w:val="auto"/>
          <w:sz w:val="21"/>
          <w:szCs w:val="21"/>
          <w:highlight w:val="none"/>
        </w:rPr>
        <w:t>7.2.2  承包人修建的临时道路和交通设施,应免费提供发包人、监理人，以及与本合同有关的其他承包人使用。</w:t>
      </w:r>
      <w:bookmarkEnd w:id="413"/>
    </w:p>
    <w:p w14:paraId="6C800726">
      <w:pPr>
        <w:keepNext/>
        <w:keepLines/>
        <w:spacing w:line="360" w:lineRule="auto"/>
        <w:outlineLvl w:val="2"/>
        <w:rPr>
          <w:rFonts w:hint="eastAsia" w:ascii="宋体" w:hAnsi="宋体" w:cs="宋体"/>
          <w:color w:val="auto"/>
          <w:sz w:val="21"/>
          <w:szCs w:val="21"/>
          <w:highlight w:val="none"/>
        </w:rPr>
      </w:pPr>
      <w:bookmarkStart w:id="414" w:name="_Toc10109"/>
      <w:bookmarkStart w:id="415" w:name="_Toc152045664"/>
      <w:bookmarkStart w:id="416" w:name="_Toc144974632"/>
      <w:bookmarkStart w:id="417" w:name="_Toc175063850"/>
      <w:bookmarkStart w:id="418" w:name="_Toc179632682"/>
      <w:bookmarkStart w:id="419" w:name="_Toc152042442"/>
      <w:r>
        <w:rPr>
          <w:rFonts w:hint="eastAsia" w:ascii="宋体" w:hAnsi="宋体" w:cs="宋体"/>
          <w:color w:val="auto"/>
          <w:sz w:val="21"/>
          <w:szCs w:val="21"/>
          <w:highlight w:val="none"/>
        </w:rPr>
        <w:t>7.3 场外交通</w:t>
      </w:r>
      <w:bookmarkEnd w:id="414"/>
      <w:bookmarkEnd w:id="415"/>
      <w:bookmarkEnd w:id="416"/>
      <w:bookmarkEnd w:id="417"/>
      <w:bookmarkEnd w:id="418"/>
      <w:bookmarkEnd w:id="419"/>
    </w:p>
    <w:p w14:paraId="069F2C9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7.3.1 承包人车辆外出行驶所需的场外公共道路的通行费、养路费和税款等由承包人承担。</w:t>
      </w:r>
    </w:p>
    <w:p w14:paraId="237EC3B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7.3.2 承包人应遵守有关交通法规，严格按照道路和桥梁的限制荷重安全行驶，并服从交通管理部门的检查和监督。</w:t>
      </w:r>
    </w:p>
    <w:p w14:paraId="51275763">
      <w:pPr>
        <w:keepNext/>
        <w:keepLines/>
        <w:spacing w:line="360" w:lineRule="auto"/>
        <w:outlineLvl w:val="2"/>
        <w:rPr>
          <w:rFonts w:hint="eastAsia" w:ascii="宋体" w:hAnsi="宋体" w:cs="宋体"/>
          <w:color w:val="auto"/>
          <w:sz w:val="21"/>
          <w:szCs w:val="21"/>
          <w:highlight w:val="none"/>
        </w:rPr>
      </w:pPr>
      <w:bookmarkStart w:id="420" w:name="_Toc179632683"/>
      <w:bookmarkStart w:id="421" w:name="_Toc152045665"/>
      <w:bookmarkStart w:id="422" w:name="_Toc152042443"/>
      <w:bookmarkStart w:id="423" w:name="_Toc3907"/>
      <w:bookmarkStart w:id="424" w:name="_Toc144974633"/>
      <w:bookmarkStart w:id="425" w:name="_Toc175063851"/>
      <w:r>
        <w:rPr>
          <w:rFonts w:hint="eastAsia" w:ascii="宋体" w:hAnsi="宋体" w:cs="宋体"/>
          <w:color w:val="auto"/>
          <w:sz w:val="21"/>
          <w:szCs w:val="21"/>
          <w:highlight w:val="none"/>
        </w:rPr>
        <w:t>7.4 超大件和超重件的运输</w:t>
      </w:r>
      <w:bookmarkEnd w:id="420"/>
      <w:bookmarkEnd w:id="421"/>
      <w:bookmarkEnd w:id="422"/>
      <w:bookmarkEnd w:id="423"/>
      <w:bookmarkEnd w:id="424"/>
      <w:bookmarkEnd w:id="425"/>
    </w:p>
    <w:p w14:paraId="6D50603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F88AD85">
      <w:pPr>
        <w:keepNext/>
        <w:keepLines/>
        <w:spacing w:line="360" w:lineRule="auto"/>
        <w:outlineLvl w:val="2"/>
        <w:rPr>
          <w:rFonts w:hint="eastAsia" w:ascii="宋体" w:hAnsi="宋体" w:cs="宋体"/>
          <w:color w:val="auto"/>
          <w:sz w:val="21"/>
          <w:szCs w:val="21"/>
          <w:highlight w:val="none"/>
        </w:rPr>
      </w:pPr>
      <w:bookmarkStart w:id="426" w:name="_Toc5647"/>
      <w:bookmarkStart w:id="427" w:name="_Toc152042444"/>
      <w:bookmarkStart w:id="428" w:name="_Toc152045666"/>
      <w:bookmarkStart w:id="429" w:name="_Toc175063852"/>
      <w:bookmarkStart w:id="430" w:name="_Toc144974634"/>
      <w:bookmarkStart w:id="431" w:name="_Toc179632684"/>
      <w:r>
        <w:rPr>
          <w:rFonts w:hint="eastAsia" w:ascii="宋体" w:hAnsi="宋体" w:cs="宋体"/>
          <w:color w:val="auto"/>
          <w:sz w:val="21"/>
          <w:szCs w:val="21"/>
          <w:highlight w:val="none"/>
        </w:rPr>
        <w:t>7.5 道路和桥梁的损坏责任</w:t>
      </w:r>
      <w:bookmarkEnd w:id="426"/>
      <w:bookmarkEnd w:id="427"/>
      <w:bookmarkEnd w:id="428"/>
      <w:bookmarkEnd w:id="429"/>
      <w:bookmarkEnd w:id="430"/>
      <w:bookmarkEnd w:id="431"/>
    </w:p>
    <w:p w14:paraId="7975AB5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因承包人运输造成施工场地内外公共道路和桥梁损坏的，由承包人承担修复损坏的全部费用和可能引起的赔偿。</w:t>
      </w:r>
    </w:p>
    <w:p w14:paraId="323B3B9E">
      <w:pPr>
        <w:keepNext/>
        <w:keepLines/>
        <w:spacing w:line="360" w:lineRule="auto"/>
        <w:outlineLvl w:val="2"/>
        <w:rPr>
          <w:rFonts w:hint="eastAsia" w:ascii="宋体" w:hAnsi="宋体" w:cs="宋体"/>
          <w:color w:val="auto"/>
          <w:sz w:val="21"/>
          <w:szCs w:val="21"/>
          <w:highlight w:val="none"/>
        </w:rPr>
      </w:pPr>
      <w:bookmarkStart w:id="432" w:name="_Toc179632685"/>
      <w:bookmarkStart w:id="433" w:name="_Toc22912"/>
      <w:bookmarkStart w:id="434" w:name="_Toc152042445"/>
      <w:bookmarkStart w:id="435" w:name="_Toc152045667"/>
      <w:bookmarkStart w:id="436" w:name="_Toc144974635"/>
      <w:bookmarkStart w:id="437" w:name="_Toc175063853"/>
      <w:r>
        <w:rPr>
          <w:rFonts w:hint="eastAsia" w:ascii="宋体" w:hAnsi="宋体" w:cs="宋体"/>
          <w:color w:val="auto"/>
          <w:sz w:val="21"/>
          <w:szCs w:val="21"/>
          <w:highlight w:val="none"/>
        </w:rPr>
        <w:t>7.6 水路和航空运输</w:t>
      </w:r>
      <w:bookmarkEnd w:id="432"/>
      <w:bookmarkEnd w:id="433"/>
      <w:bookmarkEnd w:id="434"/>
      <w:bookmarkEnd w:id="435"/>
      <w:bookmarkEnd w:id="436"/>
      <w:bookmarkEnd w:id="437"/>
    </w:p>
    <w:p w14:paraId="256ADE9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本条上述各款的内容适用于水路运输和航空运输，其中“道路”一词的</w:t>
      </w:r>
      <w:r>
        <w:rPr>
          <w:rFonts w:hint="eastAsia" w:ascii="宋体" w:hAnsi="宋体" w:cs="宋体"/>
          <w:color w:val="auto"/>
          <w:sz w:val="21"/>
          <w:szCs w:val="21"/>
          <w:highlight w:val="none"/>
          <w:lang w:eastAsia="zh-CN"/>
        </w:rPr>
        <w:t>含义</w:t>
      </w:r>
      <w:r>
        <w:rPr>
          <w:rFonts w:hint="eastAsia" w:ascii="宋体" w:hAnsi="宋体" w:cs="宋体"/>
          <w:color w:val="auto"/>
          <w:sz w:val="21"/>
          <w:szCs w:val="21"/>
          <w:highlight w:val="none"/>
        </w:rPr>
        <w:t>包括河道、航线、船闸、机场、码头、堤防以及水路或航空运输中其他相似结构物；“车辆”一词的</w:t>
      </w:r>
      <w:r>
        <w:rPr>
          <w:rFonts w:hint="eastAsia" w:ascii="宋体" w:hAnsi="宋体" w:cs="宋体"/>
          <w:color w:val="auto"/>
          <w:sz w:val="21"/>
          <w:szCs w:val="21"/>
          <w:highlight w:val="none"/>
          <w:lang w:eastAsia="zh-CN"/>
        </w:rPr>
        <w:t>含义</w:t>
      </w:r>
      <w:r>
        <w:rPr>
          <w:rFonts w:hint="eastAsia" w:ascii="宋体" w:hAnsi="宋体" w:cs="宋体"/>
          <w:color w:val="auto"/>
          <w:sz w:val="21"/>
          <w:szCs w:val="21"/>
          <w:highlight w:val="none"/>
        </w:rPr>
        <w:t xml:space="preserve">包括船舶和飞机等。 </w:t>
      </w:r>
    </w:p>
    <w:p w14:paraId="0FE8FCB4">
      <w:pPr>
        <w:keepNext/>
        <w:keepLines/>
        <w:spacing w:line="360" w:lineRule="auto"/>
        <w:jc w:val="center"/>
        <w:outlineLvl w:val="1"/>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xml:space="preserve"> </w:t>
      </w:r>
      <w:bookmarkStart w:id="438" w:name="_Toc229305369"/>
      <w:bookmarkStart w:id="439" w:name="_Toc222033860"/>
      <w:bookmarkStart w:id="440" w:name="_Toc175063854"/>
      <w:bookmarkStart w:id="441" w:name="_Toc256000073"/>
      <w:bookmarkStart w:id="442" w:name="_Toc222032678"/>
      <w:bookmarkStart w:id="443" w:name="_Toc222031011"/>
      <w:bookmarkStart w:id="444" w:name="_Toc221950810"/>
      <w:bookmarkStart w:id="445" w:name="_Toc4384"/>
      <w:bookmarkStart w:id="446" w:name="_Toc222029509"/>
      <w:bookmarkStart w:id="447" w:name="_Toc229408504"/>
      <w:r>
        <w:rPr>
          <w:rFonts w:hint="eastAsia" w:ascii="宋体" w:hAnsi="宋体" w:cs="宋体"/>
          <w:b/>
          <w:bCs/>
          <w:color w:val="auto"/>
          <w:sz w:val="21"/>
          <w:szCs w:val="21"/>
          <w:highlight w:val="none"/>
        </w:rPr>
        <w:t>8. 测量放线</w:t>
      </w:r>
      <w:bookmarkEnd w:id="438"/>
      <w:bookmarkEnd w:id="439"/>
      <w:bookmarkEnd w:id="440"/>
      <w:bookmarkEnd w:id="441"/>
      <w:bookmarkEnd w:id="442"/>
      <w:bookmarkEnd w:id="443"/>
      <w:bookmarkEnd w:id="444"/>
      <w:bookmarkEnd w:id="445"/>
      <w:bookmarkEnd w:id="446"/>
      <w:bookmarkEnd w:id="447"/>
    </w:p>
    <w:p w14:paraId="78333651">
      <w:pPr>
        <w:keepNext/>
        <w:keepLines/>
        <w:spacing w:line="360" w:lineRule="auto"/>
        <w:jc w:val="center"/>
        <w:outlineLvl w:val="2"/>
        <w:rPr>
          <w:rFonts w:hint="eastAsia" w:ascii="宋体" w:hAnsi="宋体" w:cs="宋体"/>
          <w:b/>
          <w:bCs/>
          <w:color w:val="auto"/>
          <w:sz w:val="21"/>
          <w:szCs w:val="21"/>
          <w:highlight w:val="none"/>
        </w:rPr>
      </w:pPr>
      <w:bookmarkStart w:id="448" w:name="_Toc2065"/>
      <w:bookmarkStart w:id="449" w:name="_Toc175063855"/>
      <w:bookmarkStart w:id="450" w:name="_Toc221950814"/>
      <w:r>
        <w:rPr>
          <w:rFonts w:hint="eastAsia" w:ascii="宋体" w:hAnsi="宋体" w:cs="宋体"/>
          <w:b/>
          <w:bCs/>
          <w:color w:val="auto"/>
          <w:sz w:val="21"/>
          <w:szCs w:val="21"/>
          <w:highlight w:val="none"/>
        </w:rPr>
        <w:t>8.1施工控制网</w:t>
      </w:r>
      <w:bookmarkEnd w:id="448"/>
      <w:bookmarkEnd w:id="449"/>
    </w:p>
    <w:p w14:paraId="5FB7B2B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8.1.1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255008E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8.1.2承包人应负责管理施工控制网点。施工控制网点丢失或损坏的，承包人应及时修复。承包人应承担施工控制网点的管理与修复费用，并在工程竣工后将施工控制网点移交发包人。</w:t>
      </w:r>
    </w:p>
    <w:p w14:paraId="0A72210C">
      <w:pPr>
        <w:keepNext/>
        <w:keepLines/>
        <w:spacing w:line="360" w:lineRule="auto"/>
        <w:outlineLvl w:val="2"/>
        <w:rPr>
          <w:rFonts w:hint="eastAsia" w:ascii="宋体" w:hAnsi="宋体" w:cs="宋体"/>
          <w:color w:val="auto"/>
          <w:sz w:val="21"/>
          <w:szCs w:val="21"/>
          <w:highlight w:val="none"/>
        </w:rPr>
      </w:pPr>
      <w:bookmarkStart w:id="451" w:name="_Toc152042448"/>
      <w:bookmarkStart w:id="452" w:name="_Toc144974638"/>
      <w:bookmarkStart w:id="453" w:name="_Toc175063856"/>
      <w:bookmarkStart w:id="454" w:name="_Toc152045670"/>
      <w:bookmarkStart w:id="455" w:name="_Toc179632688"/>
      <w:bookmarkStart w:id="456" w:name="_Toc7869"/>
      <w:r>
        <w:rPr>
          <w:rFonts w:hint="eastAsia" w:ascii="宋体" w:hAnsi="宋体" w:cs="宋体"/>
          <w:color w:val="auto"/>
          <w:sz w:val="21"/>
          <w:szCs w:val="21"/>
          <w:highlight w:val="none"/>
        </w:rPr>
        <w:t>8.2 施工测量</w:t>
      </w:r>
      <w:bookmarkEnd w:id="451"/>
      <w:bookmarkEnd w:id="452"/>
      <w:bookmarkEnd w:id="453"/>
      <w:bookmarkEnd w:id="454"/>
      <w:bookmarkEnd w:id="455"/>
      <w:bookmarkEnd w:id="456"/>
    </w:p>
    <w:p w14:paraId="576A736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8.2.1承包人应负责施工过程中的全部施工测量放线工作，并配置合格的人员、仪器、设备和其他物品。</w:t>
      </w:r>
    </w:p>
    <w:p w14:paraId="29D9BFB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8.2.2监理人可以指示承包人进行抽样复测，当复测中发现错误或出现超过合同约定的误差时，承包人应按监理人指示进行修正或补测，并承担相应的复测费用。</w:t>
      </w:r>
    </w:p>
    <w:p w14:paraId="219C70AD">
      <w:pPr>
        <w:keepNext/>
        <w:keepLines/>
        <w:spacing w:line="360" w:lineRule="auto"/>
        <w:outlineLvl w:val="2"/>
        <w:rPr>
          <w:rFonts w:hint="eastAsia" w:ascii="宋体" w:hAnsi="宋体" w:cs="宋体"/>
          <w:color w:val="auto"/>
          <w:sz w:val="21"/>
          <w:szCs w:val="21"/>
          <w:highlight w:val="none"/>
        </w:rPr>
      </w:pPr>
      <w:bookmarkStart w:id="457" w:name="_Toc152042449"/>
      <w:bookmarkStart w:id="458" w:name="_Toc152045671"/>
      <w:bookmarkStart w:id="459" w:name="_Toc179632689"/>
      <w:bookmarkStart w:id="460" w:name="_Toc144974639"/>
      <w:bookmarkStart w:id="461" w:name="_Toc175063857"/>
      <w:bookmarkStart w:id="462" w:name="_Toc10605"/>
      <w:r>
        <w:rPr>
          <w:rFonts w:hint="eastAsia" w:ascii="宋体" w:hAnsi="宋体" w:cs="宋体"/>
          <w:color w:val="auto"/>
          <w:sz w:val="21"/>
          <w:szCs w:val="21"/>
          <w:highlight w:val="none"/>
        </w:rPr>
        <w:t>8.3 基准资料错误的责任</w:t>
      </w:r>
      <w:bookmarkEnd w:id="457"/>
      <w:bookmarkEnd w:id="458"/>
      <w:bookmarkEnd w:id="459"/>
      <w:bookmarkEnd w:id="460"/>
      <w:bookmarkEnd w:id="461"/>
      <w:bookmarkEnd w:id="462"/>
    </w:p>
    <w:p w14:paraId="099B623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91452EB">
      <w:pPr>
        <w:keepNext/>
        <w:keepLines/>
        <w:spacing w:line="360" w:lineRule="auto"/>
        <w:outlineLvl w:val="2"/>
        <w:rPr>
          <w:rFonts w:hint="eastAsia" w:ascii="宋体" w:hAnsi="宋体" w:cs="宋体"/>
          <w:color w:val="auto"/>
          <w:sz w:val="21"/>
          <w:szCs w:val="21"/>
          <w:highlight w:val="none"/>
        </w:rPr>
      </w:pPr>
      <w:bookmarkStart w:id="463" w:name="_Toc175063858"/>
      <w:bookmarkStart w:id="464" w:name="_Toc152045672"/>
      <w:bookmarkStart w:id="465" w:name="_Toc144974640"/>
      <w:bookmarkStart w:id="466" w:name="_Toc152042450"/>
      <w:bookmarkStart w:id="467" w:name="_Toc179632690"/>
      <w:bookmarkStart w:id="468" w:name="_Toc6576"/>
      <w:r>
        <w:rPr>
          <w:rFonts w:hint="eastAsia" w:ascii="宋体" w:hAnsi="宋体" w:cs="宋体"/>
          <w:color w:val="auto"/>
          <w:sz w:val="21"/>
          <w:szCs w:val="21"/>
          <w:highlight w:val="none"/>
        </w:rPr>
        <w:t>8.4 监理人使用施工控制网</w:t>
      </w:r>
      <w:bookmarkEnd w:id="463"/>
      <w:bookmarkEnd w:id="464"/>
      <w:bookmarkEnd w:id="465"/>
      <w:bookmarkEnd w:id="466"/>
      <w:bookmarkEnd w:id="467"/>
      <w:bookmarkEnd w:id="468"/>
    </w:p>
    <w:p w14:paraId="0BBDC0EA">
      <w:pPr>
        <w:spacing w:line="360" w:lineRule="auto"/>
        <w:ind w:firstLine="420" w:firstLineChars="200"/>
        <w:rPr>
          <w:rFonts w:hint="eastAsia" w:ascii="宋体" w:hAnsi="宋体" w:cs="宋体"/>
          <w:dstrike/>
          <w:color w:val="auto"/>
          <w:sz w:val="21"/>
          <w:szCs w:val="21"/>
          <w:highlight w:val="none"/>
        </w:rPr>
      </w:pPr>
      <w:r>
        <w:rPr>
          <w:rFonts w:hint="eastAsia" w:ascii="宋体" w:hAnsi="宋体" w:cs="宋体"/>
          <w:color w:val="auto"/>
          <w:sz w:val="21"/>
          <w:szCs w:val="21"/>
          <w:highlight w:val="none"/>
        </w:rPr>
        <w:t>监理人需要使用施工控制网的，承包人应提供必要的协助，发包人不再为此支付费用。</w:t>
      </w:r>
    </w:p>
    <w:bookmarkEnd w:id="450"/>
    <w:p w14:paraId="099E85B0">
      <w:pPr>
        <w:keepNext/>
        <w:keepLines/>
        <w:spacing w:line="360" w:lineRule="auto"/>
        <w:jc w:val="center"/>
        <w:outlineLvl w:val="2"/>
        <w:rPr>
          <w:rFonts w:hint="eastAsia" w:ascii="宋体" w:hAnsi="宋体" w:cs="宋体"/>
          <w:b/>
          <w:bCs/>
          <w:color w:val="auto"/>
          <w:sz w:val="21"/>
          <w:szCs w:val="21"/>
          <w:highlight w:val="none"/>
        </w:rPr>
      </w:pPr>
      <w:bookmarkStart w:id="469" w:name="_Toc25248"/>
      <w:bookmarkStart w:id="470" w:name="_Toc221950821"/>
      <w:bookmarkStart w:id="471" w:name="_Toc175063859"/>
      <w:r>
        <w:rPr>
          <w:rFonts w:hint="eastAsia" w:ascii="宋体" w:hAnsi="宋体" w:cs="宋体"/>
          <w:b/>
          <w:bCs/>
          <w:color w:val="auto"/>
          <w:sz w:val="21"/>
          <w:szCs w:val="21"/>
          <w:highlight w:val="none"/>
        </w:rPr>
        <w:t>8.5补充地质勘探</w:t>
      </w:r>
      <w:bookmarkEnd w:id="469"/>
      <w:bookmarkEnd w:id="470"/>
      <w:bookmarkEnd w:id="471"/>
    </w:p>
    <w:p w14:paraId="217B58A7">
      <w:pPr>
        <w:spacing w:line="360" w:lineRule="auto"/>
        <w:ind w:firstLine="420" w:firstLineChars="200"/>
        <w:rPr>
          <w:rFonts w:hint="eastAsia" w:ascii="宋体" w:hAnsi="宋体" w:cs="宋体"/>
          <w:color w:val="auto"/>
          <w:sz w:val="21"/>
          <w:szCs w:val="21"/>
          <w:highlight w:val="none"/>
        </w:rPr>
      </w:pPr>
      <w:bookmarkStart w:id="472" w:name="_Toc221950822"/>
      <w:r>
        <w:rPr>
          <w:rFonts w:hint="eastAsia" w:ascii="宋体" w:hAnsi="宋体" w:cs="宋体"/>
          <w:color w:val="auto"/>
          <w:sz w:val="21"/>
          <w:szCs w:val="21"/>
          <w:highlight w:val="none"/>
        </w:rPr>
        <w:t>在合同实施期间，监理人可以指示承包人进行必要的补充地质勘探和提供有关资料；承包人为本合同永久工程施工的需要进行补充地质勘探时，须经监理人批准，并应向监理人提交有关资料，上述补充勘探的费用由发包人承担。承包人为其临时工程所需进行的补充地质勘探，其费用由承包人承担。</w:t>
      </w:r>
      <w:bookmarkEnd w:id="472"/>
    </w:p>
    <w:p w14:paraId="1404BC7D">
      <w:pPr>
        <w:keepNext/>
        <w:keepLines/>
        <w:spacing w:line="360" w:lineRule="auto"/>
        <w:jc w:val="center"/>
        <w:outlineLvl w:val="1"/>
        <w:rPr>
          <w:rFonts w:hint="eastAsia" w:ascii="宋体" w:hAnsi="宋体" w:cs="宋体"/>
          <w:b/>
          <w:bCs/>
          <w:color w:val="auto"/>
          <w:sz w:val="21"/>
          <w:szCs w:val="21"/>
          <w:highlight w:val="none"/>
        </w:rPr>
      </w:pPr>
      <w:bookmarkStart w:id="473" w:name="_Toc222032679"/>
      <w:bookmarkStart w:id="474" w:name="_Toc175063860"/>
      <w:bookmarkStart w:id="475" w:name="_Toc222031012"/>
      <w:bookmarkStart w:id="476" w:name="_Toc256000074"/>
      <w:bookmarkStart w:id="477" w:name="_Toc229408505"/>
      <w:bookmarkStart w:id="478" w:name="_Toc6809"/>
      <w:bookmarkStart w:id="479" w:name="_Toc222033861"/>
      <w:bookmarkStart w:id="480" w:name="_Toc229305370"/>
      <w:bookmarkStart w:id="481" w:name="_Toc222029510"/>
      <w:bookmarkStart w:id="482" w:name="_Toc221950823"/>
      <w:r>
        <w:rPr>
          <w:rFonts w:hint="eastAsia" w:ascii="宋体" w:hAnsi="宋体" w:cs="宋体"/>
          <w:b/>
          <w:bCs/>
          <w:color w:val="auto"/>
          <w:sz w:val="21"/>
          <w:szCs w:val="21"/>
          <w:highlight w:val="none"/>
        </w:rPr>
        <w:t>9. 施工安全、治安保卫和环境保护</w:t>
      </w:r>
      <w:bookmarkEnd w:id="473"/>
      <w:bookmarkEnd w:id="474"/>
      <w:bookmarkEnd w:id="475"/>
      <w:bookmarkEnd w:id="476"/>
      <w:bookmarkEnd w:id="477"/>
      <w:bookmarkEnd w:id="478"/>
      <w:bookmarkEnd w:id="479"/>
      <w:bookmarkEnd w:id="480"/>
      <w:bookmarkEnd w:id="481"/>
      <w:bookmarkEnd w:id="482"/>
    </w:p>
    <w:p w14:paraId="14BFB545">
      <w:pPr>
        <w:keepNext/>
        <w:keepLines/>
        <w:spacing w:line="360" w:lineRule="auto"/>
        <w:jc w:val="center"/>
        <w:outlineLvl w:val="2"/>
        <w:rPr>
          <w:rFonts w:hint="eastAsia" w:ascii="宋体" w:hAnsi="宋体" w:cs="宋体"/>
          <w:b/>
          <w:bCs/>
          <w:color w:val="auto"/>
          <w:sz w:val="21"/>
          <w:szCs w:val="21"/>
          <w:highlight w:val="none"/>
        </w:rPr>
      </w:pPr>
      <w:bookmarkStart w:id="483" w:name="_Toc175063861"/>
      <w:bookmarkStart w:id="484" w:name="_Toc23169"/>
      <w:bookmarkStart w:id="485" w:name="_Toc221950826"/>
      <w:r>
        <w:rPr>
          <w:rFonts w:hint="eastAsia" w:ascii="宋体" w:hAnsi="宋体" w:cs="宋体"/>
          <w:b/>
          <w:bCs/>
          <w:color w:val="auto"/>
          <w:sz w:val="21"/>
          <w:szCs w:val="21"/>
          <w:highlight w:val="none"/>
        </w:rPr>
        <w:t>9.1发包人的施工安全责任</w:t>
      </w:r>
      <w:bookmarkEnd w:id="483"/>
      <w:bookmarkEnd w:id="484"/>
    </w:p>
    <w:bookmarkEnd w:id="485"/>
    <w:p w14:paraId="1999D1D7">
      <w:pPr>
        <w:spacing w:line="360" w:lineRule="auto"/>
        <w:ind w:firstLine="420" w:firstLineChars="200"/>
        <w:rPr>
          <w:rFonts w:hint="eastAsia" w:ascii="宋体" w:hAnsi="宋体" w:cs="宋体"/>
          <w:color w:val="auto"/>
          <w:sz w:val="21"/>
          <w:szCs w:val="21"/>
          <w:highlight w:val="none"/>
        </w:rPr>
      </w:pPr>
      <w:bookmarkStart w:id="486" w:name="_Toc221950836"/>
      <w:r>
        <w:rPr>
          <w:rFonts w:hint="eastAsia" w:ascii="宋体" w:hAnsi="宋体" w:cs="宋体"/>
          <w:color w:val="auto"/>
          <w:sz w:val="21"/>
          <w:szCs w:val="21"/>
          <w:highlight w:val="none"/>
        </w:rPr>
        <w:t>9.1.1 发包人应按合同约定履行安全职责，发包人委托监理人根据国家有关安全的</w:t>
      </w:r>
      <w:r>
        <w:rPr>
          <w:rFonts w:hint="eastAsia" w:ascii="宋体" w:hAnsi="宋体" w:cs="宋体"/>
          <w:color w:val="auto"/>
          <w:sz w:val="21"/>
          <w:szCs w:val="21"/>
          <w:highlight w:val="none"/>
          <w:lang w:eastAsia="zh-CN"/>
        </w:rPr>
        <w:t>法律法规</w:t>
      </w:r>
      <w:r>
        <w:rPr>
          <w:rFonts w:hint="eastAsia" w:ascii="宋体" w:hAnsi="宋体" w:cs="宋体"/>
          <w:color w:val="auto"/>
          <w:sz w:val="21"/>
          <w:szCs w:val="21"/>
          <w:highlight w:val="none"/>
        </w:rPr>
        <w:t>、强制性标准以及部门规章，对承包人的安全责任改选情况进行监督和检查。监理人的监督检查不减轻承包人应负的安全责任。</w:t>
      </w:r>
    </w:p>
    <w:p w14:paraId="3D13DA4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9.1.2 发包人应对其现场机构雇佣的全部人员的工伤事故承担责任，但由于承包人原因造成发包人人员工伤的，应由承包人承担责任。</w:t>
      </w:r>
    </w:p>
    <w:p w14:paraId="3DAABAD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9.1.3 发包人应负责赔偿以下各种情况造成的第三者人身伤亡和财产损失：</w:t>
      </w:r>
    </w:p>
    <w:p w14:paraId="59CE1E5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 工程或工程的任何部分对土地的占用所造成的第三者财产损失；</w:t>
      </w:r>
    </w:p>
    <w:p w14:paraId="536F132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 由于发包人原因在施工场地及其毗邻地带造成的第三者人身伤亡和财产损失。</w:t>
      </w:r>
    </w:p>
    <w:p w14:paraId="673F6CD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9.1.4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073EE5C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9.1.5发包人按照已标价工程量清单所列金额和合同约定的计量支付规定，支付安全作业环境及安全施工措施所需费用。</w:t>
      </w:r>
    </w:p>
    <w:p w14:paraId="1302825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9.1.6发包人负责组织工程参建单位编制保证安全生产的措施方案。工程开工前，就落实安全生产的措施进行全面系统的布置，进一步明确承包人的安全生产责任。</w:t>
      </w:r>
    </w:p>
    <w:p w14:paraId="624F75D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9.1.7发包人负责在拆除工程和爆破工程施工14天前向有关部门或机构报送相关备案资料。</w:t>
      </w:r>
    </w:p>
    <w:p w14:paraId="1D69577C">
      <w:pPr>
        <w:keepNext/>
        <w:keepLines/>
        <w:spacing w:line="360" w:lineRule="auto"/>
        <w:jc w:val="center"/>
        <w:outlineLvl w:val="2"/>
        <w:rPr>
          <w:rFonts w:hint="eastAsia" w:ascii="宋体" w:hAnsi="宋体" w:cs="宋体"/>
          <w:b/>
          <w:bCs/>
          <w:color w:val="auto"/>
          <w:sz w:val="21"/>
          <w:szCs w:val="21"/>
          <w:highlight w:val="none"/>
        </w:rPr>
      </w:pPr>
      <w:bookmarkStart w:id="487" w:name="_Toc175063862"/>
      <w:bookmarkStart w:id="488" w:name="_Toc17092"/>
      <w:r>
        <w:rPr>
          <w:rFonts w:hint="eastAsia" w:ascii="宋体" w:hAnsi="宋体" w:cs="宋体"/>
          <w:b/>
          <w:bCs/>
          <w:color w:val="auto"/>
          <w:sz w:val="21"/>
          <w:szCs w:val="21"/>
          <w:highlight w:val="none"/>
        </w:rPr>
        <w:t>9.2承包人的施工安全责任</w:t>
      </w:r>
      <w:bookmarkEnd w:id="487"/>
      <w:bookmarkEnd w:id="488"/>
    </w:p>
    <w:p w14:paraId="6D4DEC5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9.2.1 承包人应按合同约定履行安全职责,执行监理人有关安全工作的指示。承包人应按技术标准和要求（合同技术条款）约定的内容和期限，以及监理人的指示，编制施工安全技术措施提交监理人审批。监理人</w:t>
      </w:r>
      <w:r>
        <w:rPr>
          <w:rFonts w:hint="eastAsia" w:ascii="宋体" w:hAnsi="宋体" w:cs="宋体"/>
          <w:color w:val="auto"/>
          <w:sz w:val="21"/>
          <w:szCs w:val="21"/>
          <w:highlight w:val="none"/>
          <w:lang w:eastAsia="zh-CN"/>
        </w:rPr>
        <w:t>应在</w:t>
      </w:r>
      <w:r>
        <w:rPr>
          <w:rFonts w:hint="eastAsia" w:ascii="宋体" w:hAnsi="宋体" w:cs="宋体"/>
          <w:color w:val="auto"/>
          <w:sz w:val="21"/>
          <w:szCs w:val="21"/>
          <w:highlight w:val="none"/>
        </w:rPr>
        <w:t>技术标准和要求（合同技术条款）约定的期限内批复承包人。</w:t>
      </w:r>
    </w:p>
    <w:p w14:paraId="61718E1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9.2.2 承包人应加强施工作业安全管理，特别应加强易燃、易爆材料、火工器材、有毒与腐蚀性材料和其他危险品的管理，以及对爆破作业和地下工程施工等危险作业的管理。</w:t>
      </w:r>
    </w:p>
    <w:p w14:paraId="5C64EE2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9.2.3 承包人应严格按照国家安全标准制定施工安全操作规程，配备必要的安全生产和劳动保护设施，加强对承包人人员的安全教育，并发放安全工作手册和劳动保护用具。</w:t>
      </w:r>
    </w:p>
    <w:p w14:paraId="2712552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9.2.4 承包人应按监理人的指示制定应对灾害的紧急预案，报送监理人审批。承包人还应按预案做好安全检查，配置必要的救助物资和器材，切实保护好有关人员的人身和财产安全。</w:t>
      </w:r>
    </w:p>
    <w:p w14:paraId="05593EA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4BC4D70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9.2.6 承包人应对其履行合同所雇佣的全部人员，包括分包人人员的工伤事故承担责任，但由于发包人原因造成承包人人员工伤事故的，应由发包人承担责任。</w:t>
      </w:r>
    </w:p>
    <w:p w14:paraId="5979B28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9.2.7 由于承包人原因在施工场地内及其毗邻地带造成的第三者人员伤亡和财产损失，由承包人负责赔偿。</w:t>
      </w:r>
    </w:p>
    <w:p w14:paraId="2CC3E65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9.2.8承包人已标价工程量清单应包含工程安全作业环境及安全施工措施所需费用。</w:t>
      </w:r>
    </w:p>
    <w:p w14:paraId="7267D7D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9.2.9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14D03D3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9.2.10承包人应设立安全生产管理机构，施工现场应有专职安全生产管理人员。</w:t>
      </w:r>
    </w:p>
    <w:p w14:paraId="13C8D58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9.2.11承包人应负责对特种作业人员进行专门的安全作业培训，并保证特种作业人员持证上岗。</w:t>
      </w:r>
    </w:p>
    <w:p w14:paraId="1AB4432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9.2.12承包人</w:t>
      </w:r>
      <w:r>
        <w:rPr>
          <w:rFonts w:hint="eastAsia" w:ascii="宋体" w:hAnsi="宋体" w:cs="宋体"/>
          <w:color w:val="auto"/>
          <w:sz w:val="21"/>
          <w:szCs w:val="21"/>
          <w:highlight w:val="none"/>
          <w:lang w:eastAsia="zh-CN"/>
        </w:rPr>
        <w:t>应在</w:t>
      </w:r>
      <w:r>
        <w:rPr>
          <w:rFonts w:hint="eastAsia" w:ascii="宋体" w:hAnsi="宋体" w:cs="宋体"/>
          <w:color w:val="auto"/>
          <w:sz w:val="21"/>
          <w:szCs w:val="21"/>
          <w:highlight w:val="none"/>
        </w:rPr>
        <w:t>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1081285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9.2.13承包人在使用施工起重机构和整体提升脚手架、模板等自升式架设设施前，应组织有关单位进行验收。</w:t>
      </w:r>
    </w:p>
    <w:p w14:paraId="45F4ED57">
      <w:pPr>
        <w:keepNext/>
        <w:keepLines/>
        <w:spacing w:line="360" w:lineRule="auto"/>
        <w:jc w:val="both"/>
        <w:outlineLvl w:val="2"/>
        <w:rPr>
          <w:rFonts w:hint="eastAsia" w:ascii="宋体" w:hAnsi="宋体" w:cs="宋体"/>
          <w:color w:val="auto"/>
          <w:sz w:val="21"/>
          <w:szCs w:val="21"/>
          <w:highlight w:val="none"/>
        </w:rPr>
      </w:pPr>
      <w:bookmarkStart w:id="489" w:name="_Toc152045676"/>
      <w:bookmarkStart w:id="490" w:name="_Toc179632694"/>
      <w:bookmarkStart w:id="491" w:name="_Toc144974644"/>
      <w:bookmarkStart w:id="492" w:name="_Toc175063863"/>
      <w:bookmarkStart w:id="493" w:name="_Toc152042454"/>
      <w:bookmarkStart w:id="494" w:name="_Toc13238"/>
      <w:bookmarkStart w:id="495" w:name="_Toc144974646"/>
      <w:bookmarkStart w:id="496" w:name="_Toc179632696"/>
      <w:bookmarkStart w:id="497" w:name="_Toc152045678"/>
      <w:bookmarkStart w:id="498" w:name="_Toc152042456"/>
      <w:r>
        <w:rPr>
          <w:rFonts w:hint="eastAsia" w:ascii="宋体" w:hAnsi="宋体" w:cs="宋体"/>
          <w:color w:val="auto"/>
          <w:sz w:val="21"/>
          <w:szCs w:val="21"/>
          <w:highlight w:val="none"/>
        </w:rPr>
        <w:t>9.3 治安保卫</w:t>
      </w:r>
      <w:bookmarkEnd w:id="489"/>
      <w:bookmarkEnd w:id="490"/>
      <w:bookmarkEnd w:id="491"/>
      <w:bookmarkEnd w:id="492"/>
      <w:bookmarkEnd w:id="493"/>
      <w:bookmarkEnd w:id="494"/>
    </w:p>
    <w:p w14:paraId="6041FFB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9.3.1 除合同另有约定外，发包人应与当地公安部门协商，在现场建立治安管理机构或联防组织，统一管理施工场地的治安保卫事项，履行合同工程的治安保卫职责。</w:t>
      </w:r>
    </w:p>
    <w:p w14:paraId="5EFCED6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9.3.2 发包人和承包人除应协助现场治安管理机构或联防组织维护施工场地的社会治安外，还应做好包括生活区在内的各自管辖区的治安保卫工作。</w:t>
      </w:r>
    </w:p>
    <w:p w14:paraId="282C1F9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FC402C0">
      <w:pPr>
        <w:keepNext/>
        <w:keepLines/>
        <w:spacing w:line="360" w:lineRule="auto"/>
        <w:jc w:val="both"/>
        <w:outlineLvl w:val="2"/>
        <w:rPr>
          <w:rFonts w:hint="eastAsia" w:ascii="宋体" w:hAnsi="宋体" w:cs="宋体"/>
          <w:color w:val="auto"/>
          <w:sz w:val="21"/>
          <w:szCs w:val="21"/>
          <w:highlight w:val="none"/>
        </w:rPr>
      </w:pPr>
      <w:bookmarkStart w:id="499" w:name="_Toc179632695"/>
      <w:bookmarkStart w:id="500" w:name="_Toc152045677"/>
      <w:bookmarkStart w:id="501" w:name="_Toc152042455"/>
      <w:bookmarkStart w:id="502" w:name="_Toc175063864"/>
      <w:bookmarkStart w:id="503" w:name="_Toc144974645"/>
      <w:bookmarkStart w:id="504" w:name="_Toc16035"/>
      <w:r>
        <w:rPr>
          <w:rFonts w:hint="eastAsia" w:ascii="宋体" w:hAnsi="宋体" w:cs="宋体"/>
          <w:color w:val="auto"/>
          <w:sz w:val="21"/>
          <w:szCs w:val="21"/>
          <w:highlight w:val="none"/>
        </w:rPr>
        <w:t>9.4 环境保护</w:t>
      </w:r>
      <w:bookmarkEnd w:id="499"/>
      <w:bookmarkEnd w:id="500"/>
      <w:bookmarkEnd w:id="501"/>
      <w:bookmarkEnd w:id="502"/>
      <w:bookmarkEnd w:id="503"/>
      <w:bookmarkEnd w:id="504"/>
    </w:p>
    <w:p w14:paraId="5DAA4A0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9.4.1 承包人在施工过程中，应遵守有关环境保护的法律，履行合同约定的环境保护义务，并对违反法律和合同约定义务所造成的环境破坏、人身伤害和财产损失负责。</w:t>
      </w:r>
    </w:p>
    <w:p w14:paraId="68E5E26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9.4.2 承包人应按合同约定的环保工作内容，编制施工环保措施计划，报送监理人审批。</w:t>
      </w:r>
    </w:p>
    <w:p w14:paraId="562C562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7DF2C95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9.4.4 承包人应按合同约定采取有效措施，对施工开挖的边坡及时进行支护</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维护排水设施，并进行水土保护，避免因施工造成的地质灾害。</w:t>
      </w:r>
    </w:p>
    <w:p w14:paraId="6624373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9.4.5 承包人应按国家饮用水管理标准定期对饮用水源进行监测，防止施工活动污染饮用水源。</w:t>
      </w:r>
    </w:p>
    <w:p w14:paraId="16676D5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9.4.6 承包人应按合同约定，加强对噪声、粉尘、废气、废水和废油的控制，努力降低噪声，控制粉尘和废气浓度，做好废水和废油的治理和排放。</w:t>
      </w:r>
    </w:p>
    <w:bookmarkEnd w:id="495"/>
    <w:bookmarkEnd w:id="496"/>
    <w:bookmarkEnd w:id="497"/>
    <w:bookmarkEnd w:id="498"/>
    <w:p w14:paraId="18DA37BD">
      <w:pPr>
        <w:keepNext/>
        <w:keepLines/>
        <w:spacing w:line="360" w:lineRule="auto"/>
        <w:jc w:val="center"/>
        <w:outlineLvl w:val="2"/>
        <w:rPr>
          <w:rFonts w:hint="eastAsia" w:ascii="宋体" w:hAnsi="宋体" w:cs="宋体"/>
          <w:b/>
          <w:bCs/>
          <w:color w:val="auto"/>
          <w:sz w:val="21"/>
          <w:szCs w:val="21"/>
          <w:highlight w:val="none"/>
        </w:rPr>
      </w:pPr>
      <w:bookmarkStart w:id="505" w:name="_Toc175063865"/>
      <w:bookmarkStart w:id="506" w:name="_Toc13253"/>
      <w:r>
        <w:rPr>
          <w:rFonts w:hint="eastAsia" w:ascii="宋体" w:hAnsi="宋体" w:cs="宋体"/>
          <w:b/>
          <w:bCs/>
          <w:color w:val="auto"/>
          <w:sz w:val="21"/>
          <w:szCs w:val="21"/>
          <w:highlight w:val="none"/>
        </w:rPr>
        <w:t>9.5事故处理</w:t>
      </w:r>
      <w:bookmarkEnd w:id="505"/>
      <w:bookmarkEnd w:id="506"/>
    </w:p>
    <w:p w14:paraId="069909A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9.5.1发包人负责组织制定本建设项目的质量与安全事故应急预案，建立质量与安全事故应急处置指挥部。</w:t>
      </w:r>
    </w:p>
    <w:p w14:paraId="38151EA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9.5.2承包人应对易发生质量和安全事故的部位、</w:t>
      </w:r>
      <w:r>
        <w:rPr>
          <w:rFonts w:hint="eastAsia" w:ascii="宋体" w:hAnsi="宋体" w:cs="宋体"/>
          <w:color w:val="auto"/>
          <w:sz w:val="21"/>
          <w:szCs w:val="21"/>
          <w:highlight w:val="none"/>
          <w:lang w:eastAsia="zh-CN"/>
        </w:rPr>
        <w:t>环节</w:t>
      </w:r>
      <w:r>
        <w:rPr>
          <w:rFonts w:hint="eastAsia" w:ascii="宋体" w:hAnsi="宋体" w:cs="宋体"/>
          <w:color w:val="auto"/>
          <w:sz w:val="21"/>
          <w:szCs w:val="21"/>
          <w:highlight w:val="none"/>
        </w:rPr>
        <w:t xml:space="preserve">进行监控，配备救援器材、设备并定期组织演练。 </w:t>
      </w:r>
    </w:p>
    <w:p w14:paraId="1D456FE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9.5.3工程开工前，承包人应根据本工程特点制定施工现场施工质量与安全事故应急预案，并报发包人备案。</w:t>
      </w:r>
    </w:p>
    <w:p w14:paraId="0BE2506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9.5.4施工过程中发生事故时，发包人、承包人应立即启动应急预案。</w:t>
      </w:r>
    </w:p>
    <w:p w14:paraId="0433395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9.5.5事故调查处理由发包人按相关规定履行手续，承包人应配合。</w:t>
      </w:r>
    </w:p>
    <w:p w14:paraId="3C2B81BE">
      <w:pPr>
        <w:keepNext/>
        <w:keepLines/>
        <w:spacing w:line="360" w:lineRule="auto"/>
        <w:jc w:val="center"/>
        <w:outlineLvl w:val="2"/>
        <w:rPr>
          <w:rFonts w:hint="eastAsia" w:ascii="宋体" w:hAnsi="宋体" w:cs="宋体"/>
          <w:b/>
          <w:bCs/>
          <w:color w:val="auto"/>
          <w:sz w:val="21"/>
          <w:szCs w:val="21"/>
          <w:highlight w:val="none"/>
        </w:rPr>
      </w:pPr>
      <w:bookmarkStart w:id="507" w:name="_Toc175063866"/>
      <w:bookmarkStart w:id="508" w:name="_Toc17682"/>
      <w:r>
        <w:rPr>
          <w:rFonts w:hint="eastAsia" w:ascii="宋体" w:hAnsi="宋体" w:cs="宋体"/>
          <w:b/>
          <w:bCs/>
          <w:color w:val="auto"/>
          <w:sz w:val="21"/>
          <w:szCs w:val="21"/>
          <w:highlight w:val="none"/>
        </w:rPr>
        <w:t>9.6 水土保持</w:t>
      </w:r>
      <w:bookmarkEnd w:id="486"/>
      <w:bookmarkEnd w:id="507"/>
      <w:bookmarkEnd w:id="508"/>
    </w:p>
    <w:p w14:paraId="6C1D2645">
      <w:pPr>
        <w:spacing w:line="360" w:lineRule="auto"/>
        <w:ind w:firstLine="420" w:firstLineChars="200"/>
        <w:rPr>
          <w:rFonts w:hint="eastAsia" w:ascii="宋体" w:hAnsi="宋体" w:cs="宋体"/>
          <w:color w:val="auto"/>
          <w:sz w:val="21"/>
          <w:szCs w:val="21"/>
          <w:highlight w:val="none"/>
        </w:rPr>
      </w:pPr>
      <w:bookmarkStart w:id="509" w:name="_Toc221950837"/>
      <w:r>
        <w:rPr>
          <w:rFonts w:hint="eastAsia" w:ascii="宋体" w:hAnsi="宋体" w:cs="宋体"/>
          <w:color w:val="auto"/>
          <w:sz w:val="21"/>
          <w:szCs w:val="21"/>
          <w:highlight w:val="none"/>
        </w:rPr>
        <w:t>9.6.1 发包人应及时向承包人提供水土保持方案。</w:t>
      </w:r>
    </w:p>
    <w:p w14:paraId="3552138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9.6.2承包人在施工过程中，应遵守有关水土保持的法律，履行合同约定的水土保持义务，并对其违反法律和合同约定义务所造成的水土流失灾害、人身伤害和财产损失负责。</w:t>
      </w:r>
      <w:bookmarkEnd w:id="509"/>
    </w:p>
    <w:p w14:paraId="28C3588A">
      <w:pPr>
        <w:spacing w:line="360" w:lineRule="auto"/>
        <w:ind w:firstLine="420" w:firstLineChars="200"/>
        <w:rPr>
          <w:rFonts w:hint="eastAsia" w:ascii="宋体" w:hAnsi="宋体" w:cs="宋体"/>
          <w:color w:val="auto"/>
          <w:sz w:val="21"/>
          <w:szCs w:val="21"/>
          <w:highlight w:val="none"/>
        </w:rPr>
      </w:pPr>
      <w:bookmarkStart w:id="510" w:name="_Toc221950839"/>
      <w:r>
        <w:rPr>
          <w:rFonts w:hint="eastAsia" w:ascii="宋体" w:hAnsi="宋体" w:cs="宋体"/>
          <w:color w:val="auto"/>
          <w:sz w:val="21"/>
          <w:szCs w:val="21"/>
          <w:highlight w:val="none"/>
        </w:rPr>
        <w:t>9.6.3 承包人的水土保持措施计划，应满足技术标准和要求（合同技术条款）约定的要求</w:t>
      </w:r>
      <w:bookmarkEnd w:id="510"/>
      <w:r>
        <w:rPr>
          <w:rFonts w:hint="eastAsia" w:ascii="宋体" w:hAnsi="宋体" w:cs="宋体"/>
          <w:color w:val="auto"/>
          <w:sz w:val="21"/>
          <w:szCs w:val="21"/>
          <w:highlight w:val="none"/>
        </w:rPr>
        <w:t>。</w:t>
      </w:r>
    </w:p>
    <w:p w14:paraId="692878B4">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9.7文明工地</w:t>
      </w:r>
    </w:p>
    <w:p w14:paraId="50AB71A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9.7.1发包人应按专用合同条款的约定，负责建立创建文明建设工地的组织机构，制定创建文明建设工地的规划和办法。 </w:t>
      </w:r>
    </w:p>
    <w:p w14:paraId="5C34BCF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9.7.2承包人应按创建文明建设工地的规划和办法，履行职责，承担相应责任。所需费用</w:t>
      </w:r>
      <w:r>
        <w:rPr>
          <w:rFonts w:hint="eastAsia" w:ascii="宋体" w:hAnsi="宋体" w:cs="宋体"/>
          <w:color w:val="auto"/>
          <w:sz w:val="21"/>
          <w:szCs w:val="21"/>
          <w:highlight w:val="none"/>
          <w:lang w:eastAsia="zh-CN"/>
        </w:rPr>
        <w:t>应包</w:t>
      </w:r>
      <w:r>
        <w:rPr>
          <w:rFonts w:hint="eastAsia" w:ascii="宋体" w:hAnsi="宋体" w:cs="宋体"/>
          <w:color w:val="auto"/>
          <w:sz w:val="21"/>
          <w:szCs w:val="21"/>
          <w:highlight w:val="none"/>
        </w:rPr>
        <w:t>含在已标价工程量清单中。</w:t>
      </w:r>
    </w:p>
    <w:p w14:paraId="6E42DFCB">
      <w:pPr>
        <w:spacing w:line="360" w:lineRule="auto"/>
        <w:outlineLvl w:val="0"/>
        <w:rPr>
          <w:rFonts w:hint="eastAsia" w:ascii="宋体" w:hAnsi="宋体" w:cs="宋体"/>
          <w:b/>
          <w:color w:val="auto"/>
          <w:sz w:val="21"/>
          <w:szCs w:val="21"/>
          <w:highlight w:val="none"/>
        </w:rPr>
      </w:pPr>
      <w:bookmarkStart w:id="511" w:name="_Toc256000075"/>
      <w:bookmarkStart w:id="512" w:name="_Toc26563"/>
      <w:bookmarkStart w:id="513" w:name="_Toc175063867"/>
      <w:r>
        <w:rPr>
          <w:rFonts w:hint="eastAsia" w:ascii="宋体" w:hAnsi="宋体" w:cs="宋体"/>
          <w:b/>
          <w:color w:val="auto"/>
          <w:sz w:val="21"/>
          <w:szCs w:val="21"/>
          <w:highlight w:val="none"/>
        </w:rPr>
        <w:t>9.8防汛度汛</w:t>
      </w:r>
      <w:bookmarkEnd w:id="511"/>
      <w:bookmarkEnd w:id="512"/>
      <w:bookmarkEnd w:id="513"/>
    </w:p>
    <w:p w14:paraId="16905D3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9.8.1发包人负责组织工程参建单位编制本工程的度汛方案和措施。</w:t>
      </w:r>
    </w:p>
    <w:p w14:paraId="3B53F0C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9.8.2承包人应根据发包人编制的本工程度汛方案和措施，制定相应的度汛方案，报发包人批准后实施。</w:t>
      </w:r>
    </w:p>
    <w:p w14:paraId="1E47C853">
      <w:pPr>
        <w:keepNext/>
        <w:keepLines/>
        <w:spacing w:line="360" w:lineRule="auto"/>
        <w:jc w:val="center"/>
        <w:outlineLvl w:val="1"/>
        <w:rPr>
          <w:rFonts w:hint="eastAsia" w:ascii="宋体" w:hAnsi="宋体" w:cs="宋体"/>
          <w:b/>
          <w:bCs/>
          <w:color w:val="auto"/>
          <w:sz w:val="21"/>
          <w:szCs w:val="21"/>
          <w:highlight w:val="none"/>
        </w:rPr>
      </w:pPr>
      <w:bookmarkStart w:id="514" w:name="_Toc221950840"/>
      <w:bookmarkStart w:id="515" w:name="_Toc175063868"/>
      <w:bookmarkStart w:id="516" w:name="_Toc222032680"/>
      <w:bookmarkStart w:id="517" w:name="_Toc229305371"/>
      <w:bookmarkStart w:id="518" w:name="_Toc222033862"/>
      <w:bookmarkStart w:id="519" w:name="_Toc16852"/>
      <w:bookmarkStart w:id="520" w:name="_Toc222029511"/>
      <w:bookmarkStart w:id="521" w:name="_Toc222031013"/>
      <w:bookmarkStart w:id="522" w:name="_Toc229408506"/>
      <w:bookmarkStart w:id="523" w:name="_Toc256000076"/>
      <w:r>
        <w:rPr>
          <w:rFonts w:hint="eastAsia" w:ascii="宋体" w:hAnsi="宋体" w:cs="宋体"/>
          <w:b/>
          <w:bCs/>
          <w:color w:val="auto"/>
          <w:sz w:val="21"/>
          <w:szCs w:val="21"/>
          <w:highlight w:val="none"/>
        </w:rPr>
        <w:t>10  进度计划</w:t>
      </w:r>
      <w:bookmarkEnd w:id="514"/>
      <w:bookmarkEnd w:id="515"/>
      <w:bookmarkEnd w:id="516"/>
      <w:bookmarkEnd w:id="517"/>
      <w:bookmarkEnd w:id="518"/>
      <w:bookmarkEnd w:id="519"/>
      <w:bookmarkEnd w:id="520"/>
      <w:bookmarkEnd w:id="521"/>
      <w:bookmarkEnd w:id="522"/>
      <w:bookmarkEnd w:id="523"/>
    </w:p>
    <w:p w14:paraId="42DCD212">
      <w:pPr>
        <w:keepNext/>
        <w:keepLines/>
        <w:spacing w:line="360" w:lineRule="auto"/>
        <w:jc w:val="center"/>
        <w:outlineLvl w:val="2"/>
        <w:rPr>
          <w:rFonts w:hint="eastAsia" w:ascii="宋体" w:hAnsi="宋体" w:cs="宋体"/>
          <w:b/>
          <w:bCs/>
          <w:color w:val="auto"/>
          <w:sz w:val="21"/>
          <w:szCs w:val="21"/>
          <w:highlight w:val="none"/>
        </w:rPr>
      </w:pPr>
      <w:bookmarkStart w:id="524" w:name="_Toc175063869"/>
      <w:bookmarkStart w:id="525" w:name="_Toc23394"/>
      <w:bookmarkStart w:id="526" w:name="_Toc221950843"/>
      <w:r>
        <w:rPr>
          <w:rFonts w:hint="eastAsia" w:ascii="宋体" w:hAnsi="宋体" w:cs="宋体"/>
          <w:b/>
          <w:bCs/>
          <w:color w:val="auto"/>
          <w:sz w:val="21"/>
          <w:szCs w:val="21"/>
          <w:highlight w:val="none"/>
        </w:rPr>
        <w:t>10.1合同进度计划</w:t>
      </w:r>
      <w:bookmarkEnd w:id="524"/>
      <w:bookmarkEnd w:id="525"/>
    </w:p>
    <w:bookmarkEnd w:id="526"/>
    <w:p w14:paraId="2C73E60A">
      <w:pPr>
        <w:spacing w:line="360" w:lineRule="auto"/>
        <w:ind w:firstLine="420" w:firstLineChars="200"/>
        <w:rPr>
          <w:rFonts w:hint="eastAsia" w:ascii="宋体" w:hAnsi="宋体" w:cs="宋体"/>
          <w:color w:val="auto"/>
          <w:sz w:val="21"/>
          <w:szCs w:val="21"/>
          <w:highlight w:val="none"/>
        </w:rPr>
      </w:pPr>
      <w:bookmarkStart w:id="527" w:name="_Toc221950845"/>
      <w:r>
        <w:rPr>
          <w:rFonts w:hint="eastAsia" w:ascii="宋体" w:hAnsi="宋体" w:cs="宋体"/>
          <w:color w:val="auto"/>
          <w:sz w:val="21"/>
          <w:szCs w:val="21"/>
          <w:highlight w:val="none"/>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合同进度计划，是控制合同工程进度的依据。承包人还应根据合同进度计划，编制更为详细的分阶段或单位工程或分部工程进度计划，报监理人审批。</w:t>
      </w:r>
    </w:p>
    <w:p w14:paraId="754CDDE1">
      <w:pPr>
        <w:keepNext/>
        <w:keepLines/>
        <w:spacing w:line="360" w:lineRule="auto"/>
        <w:jc w:val="center"/>
        <w:outlineLvl w:val="2"/>
        <w:rPr>
          <w:rFonts w:hint="eastAsia" w:ascii="宋体" w:hAnsi="宋体" w:cs="宋体"/>
          <w:b/>
          <w:bCs/>
          <w:color w:val="auto"/>
          <w:sz w:val="21"/>
          <w:szCs w:val="21"/>
          <w:highlight w:val="none"/>
        </w:rPr>
      </w:pPr>
      <w:bookmarkStart w:id="528" w:name="_Toc3308"/>
      <w:bookmarkStart w:id="529" w:name="_Toc175063870"/>
      <w:r>
        <w:rPr>
          <w:rFonts w:hint="eastAsia" w:ascii="宋体" w:hAnsi="宋体" w:cs="宋体"/>
          <w:b/>
          <w:bCs/>
          <w:color w:val="auto"/>
          <w:sz w:val="21"/>
          <w:szCs w:val="21"/>
          <w:highlight w:val="none"/>
        </w:rPr>
        <w:t>10.2合同进度计划的修订</w:t>
      </w:r>
      <w:bookmarkEnd w:id="528"/>
      <w:bookmarkEnd w:id="529"/>
    </w:p>
    <w:p w14:paraId="20E8EF2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232CAE06">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不论何种原因造成施工进度计划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bookmarkEnd w:id="527"/>
    </w:p>
    <w:p w14:paraId="041CEEC1">
      <w:pPr>
        <w:keepNext/>
        <w:keepLines/>
        <w:spacing w:line="360" w:lineRule="auto"/>
        <w:jc w:val="center"/>
        <w:outlineLvl w:val="2"/>
        <w:rPr>
          <w:rFonts w:hint="eastAsia" w:ascii="宋体" w:hAnsi="宋体" w:cs="宋体"/>
          <w:b/>
          <w:bCs/>
          <w:color w:val="auto"/>
          <w:sz w:val="21"/>
          <w:szCs w:val="21"/>
          <w:highlight w:val="none"/>
        </w:rPr>
      </w:pPr>
      <w:bookmarkStart w:id="530" w:name="_Toc175063871"/>
      <w:bookmarkStart w:id="531" w:name="_Toc23903"/>
      <w:bookmarkStart w:id="532" w:name="_Toc221950846"/>
      <w:r>
        <w:rPr>
          <w:rFonts w:hint="eastAsia" w:ascii="宋体" w:hAnsi="宋体" w:cs="宋体"/>
          <w:b/>
          <w:bCs/>
          <w:color w:val="auto"/>
          <w:sz w:val="21"/>
          <w:szCs w:val="21"/>
          <w:highlight w:val="none"/>
        </w:rPr>
        <w:t>10.3  单位工程进度计划</w:t>
      </w:r>
      <w:bookmarkEnd w:id="530"/>
      <w:bookmarkEnd w:id="531"/>
      <w:bookmarkEnd w:id="532"/>
    </w:p>
    <w:p w14:paraId="65001C08">
      <w:pPr>
        <w:spacing w:line="360" w:lineRule="auto"/>
        <w:ind w:firstLine="480"/>
        <w:rPr>
          <w:rFonts w:hint="eastAsia" w:ascii="宋体" w:hAnsi="宋体" w:cs="宋体"/>
          <w:color w:val="auto"/>
          <w:sz w:val="21"/>
          <w:szCs w:val="21"/>
          <w:highlight w:val="none"/>
        </w:rPr>
      </w:pPr>
      <w:bookmarkStart w:id="533" w:name="_Toc221950847"/>
      <w:r>
        <w:rPr>
          <w:rFonts w:hint="eastAsia" w:ascii="宋体" w:hAnsi="宋体" w:cs="宋体"/>
          <w:color w:val="auto"/>
          <w:sz w:val="21"/>
          <w:szCs w:val="21"/>
          <w:highlight w:val="none"/>
        </w:rPr>
        <w:t>监理人认为有必要时，承包人应按监理人指示的内容和期限，并根据合同进度计划的进度控制要求，编制单位工程进度计划，提交监理人审批。</w:t>
      </w:r>
      <w:bookmarkEnd w:id="533"/>
    </w:p>
    <w:p w14:paraId="50404868">
      <w:pPr>
        <w:keepNext/>
        <w:keepLines/>
        <w:spacing w:line="360" w:lineRule="auto"/>
        <w:jc w:val="center"/>
        <w:outlineLvl w:val="2"/>
        <w:rPr>
          <w:rFonts w:hint="eastAsia" w:ascii="宋体" w:hAnsi="宋体" w:cs="宋体"/>
          <w:b/>
          <w:bCs/>
          <w:color w:val="auto"/>
          <w:sz w:val="21"/>
          <w:szCs w:val="21"/>
          <w:highlight w:val="none"/>
        </w:rPr>
      </w:pPr>
      <w:bookmarkStart w:id="534" w:name="_Toc221950848"/>
      <w:bookmarkStart w:id="535" w:name="_Toc23996"/>
      <w:bookmarkStart w:id="536" w:name="_Toc175063872"/>
      <w:r>
        <w:rPr>
          <w:rFonts w:hint="eastAsia" w:ascii="宋体" w:hAnsi="宋体" w:cs="宋体"/>
          <w:b/>
          <w:bCs/>
          <w:color w:val="auto"/>
          <w:sz w:val="21"/>
          <w:szCs w:val="21"/>
          <w:highlight w:val="none"/>
        </w:rPr>
        <w:t>10.4  提交资金流估算表</w:t>
      </w:r>
      <w:bookmarkEnd w:id="534"/>
      <w:bookmarkEnd w:id="535"/>
      <w:bookmarkEnd w:id="536"/>
      <w:r>
        <w:rPr>
          <w:rFonts w:hint="eastAsia" w:ascii="宋体" w:hAnsi="宋体" w:cs="宋体"/>
          <w:b/>
          <w:bCs/>
          <w:color w:val="auto"/>
          <w:sz w:val="21"/>
          <w:szCs w:val="21"/>
          <w:highlight w:val="none"/>
        </w:rPr>
        <w:t xml:space="preserve">  </w:t>
      </w:r>
    </w:p>
    <w:p w14:paraId="4D268E07">
      <w:pPr>
        <w:spacing w:line="360" w:lineRule="auto"/>
        <w:ind w:firstLine="480"/>
        <w:rPr>
          <w:rFonts w:hint="eastAsia" w:ascii="宋体" w:hAnsi="宋体" w:cs="宋体"/>
          <w:color w:val="auto"/>
          <w:sz w:val="21"/>
          <w:szCs w:val="21"/>
          <w:highlight w:val="none"/>
        </w:rPr>
      </w:pPr>
      <w:bookmarkStart w:id="537" w:name="_Toc221950849"/>
      <w:r>
        <w:rPr>
          <w:rFonts w:hint="eastAsia" w:ascii="宋体" w:hAnsi="宋体" w:cs="宋体"/>
          <w:color w:val="auto"/>
          <w:sz w:val="21"/>
          <w:szCs w:val="21"/>
          <w:highlight w:val="none"/>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bookmarkEnd w:id="537"/>
    </w:p>
    <w:p w14:paraId="5B2390FC">
      <w:pPr>
        <w:spacing w:line="360" w:lineRule="auto"/>
        <w:rPr>
          <w:rFonts w:hint="eastAsia" w:ascii="宋体" w:hAnsi="宋体" w:cs="宋体"/>
          <w:color w:val="auto"/>
          <w:sz w:val="21"/>
          <w:szCs w:val="21"/>
          <w:highlight w:val="none"/>
        </w:rPr>
      </w:pPr>
      <w:r>
        <w:rPr>
          <w:rFonts w:hint="eastAsia" w:ascii="宋体" w:hAnsi="宋体" w:cs="宋体"/>
          <w:b/>
          <w:color w:val="auto"/>
          <w:sz w:val="21"/>
          <w:szCs w:val="21"/>
          <w:highlight w:val="none"/>
        </w:rPr>
        <w:t xml:space="preserve">                       </w:t>
      </w:r>
      <w:bookmarkStart w:id="538" w:name="_Toc221950850"/>
      <w:r>
        <w:rPr>
          <w:rFonts w:hint="eastAsia" w:ascii="宋体" w:hAnsi="宋体" w:cs="宋体"/>
          <w:b/>
          <w:color w:val="auto"/>
          <w:sz w:val="21"/>
          <w:szCs w:val="21"/>
          <w:highlight w:val="none"/>
        </w:rPr>
        <w:t>资金流估算表（</w:t>
      </w:r>
      <w:r>
        <w:rPr>
          <w:rFonts w:hint="eastAsia" w:ascii="宋体" w:hAnsi="宋体" w:cs="宋体"/>
          <w:color w:val="auto"/>
          <w:sz w:val="21"/>
          <w:szCs w:val="21"/>
          <w:highlight w:val="none"/>
        </w:rPr>
        <w:t>参考格式）          金额单位</w:t>
      </w:r>
      <w:bookmarkEnd w:id="538"/>
      <w:r>
        <w:rPr>
          <w:rFonts w:hint="eastAsia" w:ascii="宋体" w:hAnsi="宋体" w:cs="宋体"/>
          <w:color w:val="auto"/>
          <w:sz w:val="21"/>
          <w:szCs w:val="21"/>
          <w:highlight w:val="none"/>
          <w:u w:val="single"/>
        </w:rPr>
        <w:t xml:space="preserve">       </w:t>
      </w:r>
    </w:p>
    <w:tbl>
      <w:tblPr>
        <w:tblStyle w:val="50"/>
        <w:tblW w:w="90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03"/>
        <w:gridCol w:w="992"/>
        <w:gridCol w:w="1276"/>
        <w:gridCol w:w="992"/>
        <w:gridCol w:w="993"/>
        <w:gridCol w:w="992"/>
        <w:gridCol w:w="766"/>
        <w:gridCol w:w="1050"/>
        <w:gridCol w:w="1155"/>
      </w:tblGrid>
      <w:tr w14:paraId="63A61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4" w:type="dxa"/>
            <w:vAlign w:val="center"/>
          </w:tcPr>
          <w:p w14:paraId="7E7E09B5">
            <w:pPr>
              <w:spacing w:line="360" w:lineRule="auto"/>
              <w:jc w:val="center"/>
              <w:rPr>
                <w:rFonts w:hint="eastAsia" w:ascii="宋体" w:hAnsi="宋体" w:cs="宋体"/>
                <w:color w:val="auto"/>
                <w:sz w:val="21"/>
                <w:szCs w:val="21"/>
                <w:highlight w:val="none"/>
              </w:rPr>
            </w:pPr>
            <w:bookmarkStart w:id="539" w:name="_Toc221950851"/>
            <w:r>
              <w:rPr>
                <w:rFonts w:hint="eastAsia" w:ascii="宋体" w:hAnsi="宋体" w:cs="宋体"/>
                <w:color w:val="auto"/>
                <w:sz w:val="21"/>
                <w:szCs w:val="21"/>
                <w:highlight w:val="none"/>
              </w:rPr>
              <w:t>年</w:t>
            </w:r>
            <w:bookmarkEnd w:id="539"/>
          </w:p>
        </w:tc>
        <w:tc>
          <w:tcPr>
            <w:tcW w:w="403" w:type="dxa"/>
            <w:vAlign w:val="center"/>
          </w:tcPr>
          <w:p w14:paraId="44474FC0">
            <w:pPr>
              <w:spacing w:line="360" w:lineRule="auto"/>
              <w:jc w:val="center"/>
              <w:rPr>
                <w:rFonts w:hint="eastAsia" w:ascii="宋体" w:hAnsi="宋体" w:cs="宋体"/>
                <w:color w:val="auto"/>
                <w:sz w:val="21"/>
                <w:szCs w:val="21"/>
                <w:highlight w:val="none"/>
              </w:rPr>
            </w:pPr>
            <w:bookmarkStart w:id="540" w:name="_Toc221950852"/>
            <w:r>
              <w:rPr>
                <w:rFonts w:hint="eastAsia" w:ascii="宋体" w:hAnsi="宋体" w:cs="宋体"/>
                <w:color w:val="auto"/>
                <w:sz w:val="21"/>
                <w:szCs w:val="21"/>
                <w:highlight w:val="none"/>
              </w:rPr>
              <w:t>月</w:t>
            </w:r>
            <w:bookmarkEnd w:id="540"/>
          </w:p>
        </w:tc>
        <w:tc>
          <w:tcPr>
            <w:tcW w:w="992" w:type="dxa"/>
            <w:vAlign w:val="center"/>
          </w:tcPr>
          <w:p w14:paraId="7ECB6145">
            <w:pPr>
              <w:spacing w:line="360" w:lineRule="auto"/>
              <w:jc w:val="center"/>
              <w:rPr>
                <w:rFonts w:hint="eastAsia" w:ascii="宋体" w:hAnsi="宋体" w:cs="宋体"/>
                <w:color w:val="auto"/>
                <w:sz w:val="21"/>
                <w:szCs w:val="21"/>
                <w:highlight w:val="none"/>
              </w:rPr>
            </w:pPr>
            <w:bookmarkStart w:id="541" w:name="_Toc221950853"/>
            <w:r>
              <w:rPr>
                <w:rFonts w:hint="eastAsia" w:ascii="宋体" w:hAnsi="宋体" w:cs="宋体"/>
                <w:color w:val="auto"/>
                <w:sz w:val="21"/>
                <w:szCs w:val="21"/>
                <w:highlight w:val="none"/>
              </w:rPr>
              <w:t>工程</w:t>
            </w:r>
            <w:bookmarkEnd w:id="541"/>
            <w:bookmarkStart w:id="542" w:name="_Toc221950854"/>
            <w:r>
              <w:rPr>
                <w:rFonts w:hint="eastAsia" w:ascii="宋体" w:hAnsi="宋体" w:cs="宋体"/>
                <w:color w:val="auto"/>
                <w:sz w:val="21"/>
                <w:szCs w:val="21"/>
                <w:highlight w:val="none"/>
              </w:rPr>
              <w:t>预付款</w:t>
            </w:r>
            <w:bookmarkEnd w:id="542"/>
          </w:p>
        </w:tc>
        <w:tc>
          <w:tcPr>
            <w:tcW w:w="1276" w:type="dxa"/>
            <w:vAlign w:val="center"/>
          </w:tcPr>
          <w:p w14:paraId="5B5FA32E">
            <w:pPr>
              <w:spacing w:line="360" w:lineRule="auto"/>
              <w:jc w:val="center"/>
              <w:rPr>
                <w:rFonts w:hint="eastAsia" w:ascii="宋体" w:hAnsi="宋体" w:cs="宋体"/>
                <w:color w:val="auto"/>
                <w:sz w:val="21"/>
                <w:szCs w:val="21"/>
                <w:highlight w:val="none"/>
              </w:rPr>
            </w:pPr>
            <w:bookmarkStart w:id="543" w:name="_Toc221950855"/>
            <w:r>
              <w:rPr>
                <w:rFonts w:hint="eastAsia" w:ascii="宋体" w:hAnsi="宋体" w:cs="宋体"/>
                <w:color w:val="auto"/>
                <w:sz w:val="21"/>
                <w:szCs w:val="21"/>
                <w:highlight w:val="none"/>
              </w:rPr>
              <w:t>完成工作量付款</w:t>
            </w:r>
            <w:bookmarkEnd w:id="543"/>
          </w:p>
        </w:tc>
        <w:tc>
          <w:tcPr>
            <w:tcW w:w="992" w:type="dxa"/>
            <w:vAlign w:val="center"/>
          </w:tcPr>
          <w:p w14:paraId="7F03F326">
            <w:pPr>
              <w:spacing w:line="360" w:lineRule="auto"/>
              <w:jc w:val="center"/>
              <w:rPr>
                <w:rFonts w:hint="eastAsia" w:ascii="宋体" w:hAnsi="宋体" w:cs="宋体"/>
                <w:color w:val="auto"/>
                <w:sz w:val="21"/>
                <w:szCs w:val="21"/>
                <w:highlight w:val="none"/>
              </w:rPr>
            </w:pPr>
            <w:bookmarkStart w:id="544" w:name="_Toc221950856"/>
            <w:r>
              <w:rPr>
                <w:rFonts w:hint="eastAsia" w:ascii="宋体" w:hAnsi="宋体" w:cs="宋体"/>
                <w:color w:val="auto"/>
                <w:sz w:val="21"/>
                <w:szCs w:val="21"/>
                <w:highlight w:val="none"/>
              </w:rPr>
              <w:t>保留金</w:t>
            </w:r>
            <w:bookmarkEnd w:id="544"/>
            <w:bookmarkStart w:id="545" w:name="_Toc221950857"/>
            <w:r>
              <w:rPr>
                <w:rFonts w:hint="eastAsia" w:ascii="宋体" w:hAnsi="宋体" w:cs="宋体"/>
                <w:color w:val="auto"/>
                <w:sz w:val="21"/>
                <w:szCs w:val="21"/>
                <w:highlight w:val="none"/>
              </w:rPr>
              <w:t>扣留</w:t>
            </w:r>
            <w:bookmarkEnd w:id="545"/>
          </w:p>
        </w:tc>
        <w:tc>
          <w:tcPr>
            <w:tcW w:w="993" w:type="dxa"/>
            <w:vAlign w:val="center"/>
          </w:tcPr>
          <w:p w14:paraId="5593F808">
            <w:pPr>
              <w:spacing w:line="360" w:lineRule="auto"/>
              <w:jc w:val="center"/>
              <w:rPr>
                <w:rFonts w:hint="eastAsia" w:ascii="宋体" w:hAnsi="宋体" w:cs="宋体"/>
                <w:color w:val="auto"/>
                <w:sz w:val="21"/>
                <w:szCs w:val="21"/>
                <w:highlight w:val="none"/>
              </w:rPr>
            </w:pPr>
            <w:bookmarkStart w:id="546" w:name="_Toc221950858"/>
            <w:r>
              <w:rPr>
                <w:rFonts w:hint="eastAsia" w:ascii="宋体" w:hAnsi="宋体" w:cs="宋体"/>
                <w:color w:val="auto"/>
                <w:sz w:val="21"/>
                <w:szCs w:val="21"/>
                <w:highlight w:val="none"/>
              </w:rPr>
              <w:t>材料款</w:t>
            </w:r>
            <w:bookmarkEnd w:id="546"/>
            <w:bookmarkStart w:id="547" w:name="_Toc221950859"/>
            <w:r>
              <w:rPr>
                <w:rFonts w:hint="eastAsia" w:ascii="宋体" w:hAnsi="宋体" w:cs="宋体"/>
                <w:color w:val="auto"/>
                <w:sz w:val="21"/>
                <w:szCs w:val="21"/>
                <w:highlight w:val="none"/>
              </w:rPr>
              <w:t>扣除</w:t>
            </w:r>
            <w:bookmarkEnd w:id="547"/>
          </w:p>
        </w:tc>
        <w:tc>
          <w:tcPr>
            <w:tcW w:w="992" w:type="dxa"/>
            <w:vAlign w:val="center"/>
          </w:tcPr>
          <w:p w14:paraId="289F353B">
            <w:pPr>
              <w:spacing w:line="360" w:lineRule="auto"/>
              <w:jc w:val="center"/>
              <w:rPr>
                <w:rFonts w:hint="eastAsia" w:ascii="宋体" w:hAnsi="宋体" w:cs="宋体"/>
                <w:color w:val="auto"/>
                <w:sz w:val="21"/>
                <w:szCs w:val="21"/>
                <w:highlight w:val="none"/>
              </w:rPr>
            </w:pPr>
            <w:bookmarkStart w:id="548" w:name="_Toc221950860"/>
            <w:r>
              <w:rPr>
                <w:rFonts w:hint="eastAsia" w:ascii="宋体" w:hAnsi="宋体" w:cs="宋体"/>
                <w:color w:val="auto"/>
                <w:sz w:val="21"/>
                <w:szCs w:val="21"/>
                <w:highlight w:val="none"/>
              </w:rPr>
              <w:t>预付款</w:t>
            </w:r>
            <w:bookmarkEnd w:id="548"/>
            <w:bookmarkStart w:id="549" w:name="_Toc221950861"/>
            <w:r>
              <w:rPr>
                <w:rFonts w:hint="eastAsia" w:ascii="宋体" w:hAnsi="宋体" w:cs="宋体"/>
                <w:color w:val="auto"/>
                <w:sz w:val="21"/>
                <w:szCs w:val="21"/>
                <w:highlight w:val="none"/>
              </w:rPr>
              <w:t>扣还</w:t>
            </w:r>
            <w:bookmarkEnd w:id="549"/>
          </w:p>
        </w:tc>
        <w:tc>
          <w:tcPr>
            <w:tcW w:w="766" w:type="dxa"/>
            <w:vAlign w:val="center"/>
          </w:tcPr>
          <w:p w14:paraId="7EC9E89A">
            <w:pPr>
              <w:spacing w:line="360" w:lineRule="auto"/>
              <w:jc w:val="center"/>
              <w:rPr>
                <w:rFonts w:hint="eastAsia" w:ascii="宋体" w:hAnsi="宋体" w:cs="宋体"/>
                <w:color w:val="auto"/>
                <w:sz w:val="21"/>
                <w:szCs w:val="21"/>
                <w:highlight w:val="none"/>
              </w:rPr>
            </w:pPr>
            <w:bookmarkStart w:id="550" w:name="_Toc221950862"/>
            <w:r>
              <w:rPr>
                <w:rFonts w:hint="eastAsia" w:ascii="宋体" w:hAnsi="宋体" w:cs="宋体"/>
                <w:color w:val="auto"/>
                <w:sz w:val="21"/>
                <w:szCs w:val="21"/>
                <w:highlight w:val="none"/>
              </w:rPr>
              <w:t>其他</w:t>
            </w:r>
            <w:bookmarkEnd w:id="550"/>
          </w:p>
        </w:tc>
        <w:tc>
          <w:tcPr>
            <w:tcW w:w="1050" w:type="dxa"/>
            <w:vAlign w:val="center"/>
          </w:tcPr>
          <w:p w14:paraId="22ED69C9">
            <w:pPr>
              <w:spacing w:line="360" w:lineRule="auto"/>
              <w:jc w:val="center"/>
              <w:rPr>
                <w:rFonts w:hint="eastAsia" w:ascii="宋体" w:hAnsi="宋体" w:cs="宋体"/>
                <w:color w:val="auto"/>
                <w:sz w:val="21"/>
                <w:szCs w:val="21"/>
                <w:highlight w:val="none"/>
              </w:rPr>
            </w:pPr>
            <w:bookmarkStart w:id="551" w:name="_Toc221950863"/>
            <w:r>
              <w:rPr>
                <w:rFonts w:hint="eastAsia" w:ascii="宋体" w:hAnsi="宋体" w:cs="宋体"/>
                <w:color w:val="auto"/>
                <w:sz w:val="21"/>
                <w:szCs w:val="21"/>
                <w:highlight w:val="none"/>
              </w:rPr>
              <w:t>应收款</w:t>
            </w:r>
            <w:bookmarkEnd w:id="551"/>
          </w:p>
        </w:tc>
        <w:tc>
          <w:tcPr>
            <w:tcW w:w="1155" w:type="dxa"/>
            <w:vAlign w:val="center"/>
          </w:tcPr>
          <w:p w14:paraId="09001805">
            <w:pPr>
              <w:spacing w:line="360" w:lineRule="auto"/>
              <w:jc w:val="center"/>
              <w:rPr>
                <w:rFonts w:hint="eastAsia" w:ascii="宋体" w:hAnsi="宋体" w:cs="宋体"/>
                <w:color w:val="auto"/>
                <w:sz w:val="21"/>
                <w:szCs w:val="21"/>
                <w:highlight w:val="none"/>
              </w:rPr>
            </w:pPr>
            <w:bookmarkStart w:id="552" w:name="_Toc221950864"/>
            <w:r>
              <w:rPr>
                <w:rFonts w:hint="eastAsia" w:ascii="宋体" w:hAnsi="宋体" w:cs="宋体"/>
                <w:color w:val="auto"/>
                <w:sz w:val="21"/>
                <w:szCs w:val="21"/>
                <w:highlight w:val="none"/>
              </w:rPr>
              <w:t>累计</w:t>
            </w:r>
            <w:bookmarkEnd w:id="552"/>
            <w:bookmarkStart w:id="553" w:name="_Toc221950865"/>
            <w:r>
              <w:rPr>
                <w:rFonts w:hint="eastAsia" w:ascii="宋体" w:hAnsi="宋体" w:cs="宋体"/>
                <w:color w:val="auto"/>
                <w:sz w:val="21"/>
                <w:szCs w:val="21"/>
                <w:highlight w:val="none"/>
              </w:rPr>
              <w:t>应收款</w:t>
            </w:r>
            <w:bookmarkEnd w:id="553"/>
          </w:p>
        </w:tc>
      </w:tr>
      <w:tr w14:paraId="4C6D20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4" w:type="dxa"/>
            <w:vAlign w:val="center"/>
          </w:tcPr>
          <w:p w14:paraId="76A72722">
            <w:pPr>
              <w:spacing w:line="360" w:lineRule="auto"/>
              <w:rPr>
                <w:rFonts w:hint="eastAsia" w:ascii="宋体" w:hAnsi="宋体" w:cs="宋体"/>
                <w:color w:val="auto"/>
                <w:sz w:val="21"/>
                <w:szCs w:val="21"/>
                <w:highlight w:val="none"/>
              </w:rPr>
            </w:pPr>
          </w:p>
        </w:tc>
        <w:tc>
          <w:tcPr>
            <w:tcW w:w="403" w:type="dxa"/>
            <w:vAlign w:val="center"/>
          </w:tcPr>
          <w:p w14:paraId="05954116">
            <w:pPr>
              <w:spacing w:line="360" w:lineRule="auto"/>
              <w:rPr>
                <w:rFonts w:hint="eastAsia" w:ascii="宋体" w:hAnsi="宋体" w:cs="宋体"/>
                <w:color w:val="auto"/>
                <w:sz w:val="21"/>
                <w:szCs w:val="21"/>
                <w:highlight w:val="none"/>
              </w:rPr>
            </w:pPr>
          </w:p>
        </w:tc>
        <w:tc>
          <w:tcPr>
            <w:tcW w:w="992" w:type="dxa"/>
            <w:vAlign w:val="center"/>
          </w:tcPr>
          <w:p w14:paraId="49EE94AD">
            <w:pPr>
              <w:spacing w:line="360" w:lineRule="auto"/>
              <w:rPr>
                <w:rFonts w:hint="eastAsia" w:ascii="宋体" w:hAnsi="宋体" w:cs="宋体"/>
                <w:color w:val="auto"/>
                <w:sz w:val="21"/>
                <w:szCs w:val="21"/>
                <w:highlight w:val="none"/>
              </w:rPr>
            </w:pPr>
          </w:p>
        </w:tc>
        <w:tc>
          <w:tcPr>
            <w:tcW w:w="1276" w:type="dxa"/>
            <w:vAlign w:val="center"/>
          </w:tcPr>
          <w:p w14:paraId="60CA86B7">
            <w:pPr>
              <w:spacing w:line="360" w:lineRule="auto"/>
              <w:rPr>
                <w:rFonts w:hint="eastAsia" w:ascii="宋体" w:hAnsi="宋体" w:cs="宋体"/>
                <w:color w:val="auto"/>
                <w:sz w:val="21"/>
                <w:szCs w:val="21"/>
                <w:highlight w:val="none"/>
              </w:rPr>
            </w:pPr>
          </w:p>
        </w:tc>
        <w:tc>
          <w:tcPr>
            <w:tcW w:w="992" w:type="dxa"/>
            <w:vAlign w:val="center"/>
          </w:tcPr>
          <w:p w14:paraId="549EFA76">
            <w:pPr>
              <w:spacing w:line="360" w:lineRule="auto"/>
              <w:rPr>
                <w:rFonts w:hint="eastAsia" w:ascii="宋体" w:hAnsi="宋体" w:cs="宋体"/>
                <w:color w:val="auto"/>
                <w:sz w:val="21"/>
                <w:szCs w:val="21"/>
                <w:highlight w:val="none"/>
              </w:rPr>
            </w:pPr>
          </w:p>
        </w:tc>
        <w:tc>
          <w:tcPr>
            <w:tcW w:w="993" w:type="dxa"/>
            <w:vAlign w:val="center"/>
          </w:tcPr>
          <w:p w14:paraId="71FB74DA">
            <w:pPr>
              <w:spacing w:line="360" w:lineRule="auto"/>
              <w:rPr>
                <w:rFonts w:hint="eastAsia" w:ascii="宋体" w:hAnsi="宋体" w:cs="宋体"/>
                <w:color w:val="auto"/>
                <w:sz w:val="21"/>
                <w:szCs w:val="21"/>
                <w:highlight w:val="none"/>
              </w:rPr>
            </w:pPr>
          </w:p>
        </w:tc>
        <w:tc>
          <w:tcPr>
            <w:tcW w:w="992" w:type="dxa"/>
            <w:vAlign w:val="center"/>
          </w:tcPr>
          <w:p w14:paraId="56BED64A">
            <w:pPr>
              <w:spacing w:line="360" w:lineRule="auto"/>
              <w:rPr>
                <w:rFonts w:hint="eastAsia" w:ascii="宋体" w:hAnsi="宋体" w:cs="宋体"/>
                <w:color w:val="auto"/>
                <w:sz w:val="21"/>
                <w:szCs w:val="21"/>
                <w:highlight w:val="none"/>
              </w:rPr>
            </w:pPr>
          </w:p>
        </w:tc>
        <w:tc>
          <w:tcPr>
            <w:tcW w:w="766" w:type="dxa"/>
          </w:tcPr>
          <w:p w14:paraId="722FC1E7">
            <w:pPr>
              <w:spacing w:line="360" w:lineRule="auto"/>
              <w:rPr>
                <w:rFonts w:hint="eastAsia" w:ascii="宋体" w:hAnsi="宋体" w:cs="宋体"/>
                <w:color w:val="auto"/>
                <w:sz w:val="21"/>
                <w:szCs w:val="21"/>
                <w:highlight w:val="none"/>
              </w:rPr>
            </w:pPr>
          </w:p>
        </w:tc>
        <w:tc>
          <w:tcPr>
            <w:tcW w:w="1050" w:type="dxa"/>
          </w:tcPr>
          <w:p w14:paraId="2D2E9FC6">
            <w:pPr>
              <w:spacing w:line="360" w:lineRule="auto"/>
              <w:rPr>
                <w:rFonts w:hint="eastAsia" w:ascii="宋体" w:hAnsi="宋体" w:cs="宋体"/>
                <w:color w:val="auto"/>
                <w:sz w:val="21"/>
                <w:szCs w:val="21"/>
                <w:highlight w:val="none"/>
              </w:rPr>
            </w:pPr>
          </w:p>
        </w:tc>
        <w:tc>
          <w:tcPr>
            <w:tcW w:w="1155" w:type="dxa"/>
            <w:vAlign w:val="center"/>
          </w:tcPr>
          <w:p w14:paraId="70B43549">
            <w:pPr>
              <w:spacing w:line="360" w:lineRule="auto"/>
              <w:rPr>
                <w:rFonts w:hint="eastAsia" w:ascii="宋体" w:hAnsi="宋体" w:cs="宋体"/>
                <w:color w:val="auto"/>
                <w:sz w:val="21"/>
                <w:szCs w:val="21"/>
                <w:highlight w:val="none"/>
              </w:rPr>
            </w:pPr>
          </w:p>
        </w:tc>
      </w:tr>
      <w:tr w14:paraId="5BB7E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4" w:type="dxa"/>
            <w:vAlign w:val="center"/>
          </w:tcPr>
          <w:p w14:paraId="11929521">
            <w:pPr>
              <w:spacing w:line="360" w:lineRule="auto"/>
              <w:rPr>
                <w:rFonts w:hint="eastAsia" w:ascii="宋体" w:hAnsi="宋体" w:cs="宋体"/>
                <w:color w:val="auto"/>
                <w:sz w:val="21"/>
                <w:szCs w:val="21"/>
                <w:highlight w:val="none"/>
              </w:rPr>
            </w:pPr>
          </w:p>
        </w:tc>
        <w:tc>
          <w:tcPr>
            <w:tcW w:w="403" w:type="dxa"/>
            <w:vAlign w:val="center"/>
          </w:tcPr>
          <w:p w14:paraId="3F6FDA78">
            <w:pPr>
              <w:spacing w:line="360" w:lineRule="auto"/>
              <w:rPr>
                <w:rFonts w:hint="eastAsia" w:ascii="宋体" w:hAnsi="宋体" w:cs="宋体"/>
                <w:color w:val="auto"/>
                <w:sz w:val="21"/>
                <w:szCs w:val="21"/>
                <w:highlight w:val="none"/>
              </w:rPr>
            </w:pPr>
          </w:p>
        </w:tc>
        <w:tc>
          <w:tcPr>
            <w:tcW w:w="992" w:type="dxa"/>
            <w:vAlign w:val="center"/>
          </w:tcPr>
          <w:p w14:paraId="411D125F">
            <w:pPr>
              <w:spacing w:line="360" w:lineRule="auto"/>
              <w:rPr>
                <w:rFonts w:hint="eastAsia" w:ascii="宋体" w:hAnsi="宋体" w:cs="宋体"/>
                <w:color w:val="auto"/>
                <w:sz w:val="21"/>
                <w:szCs w:val="21"/>
                <w:highlight w:val="none"/>
              </w:rPr>
            </w:pPr>
          </w:p>
        </w:tc>
        <w:tc>
          <w:tcPr>
            <w:tcW w:w="1276" w:type="dxa"/>
            <w:vAlign w:val="center"/>
          </w:tcPr>
          <w:p w14:paraId="1356AC1E">
            <w:pPr>
              <w:spacing w:line="360" w:lineRule="auto"/>
              <w:rPr>
                <w:rFonts w:hint="eastAsia" w:ascii="宋体" w:hAnsi="宋体" w:cs="宋体"/>
                <w:color w:val="auto"/>
                <w:sz w:val="21"/>
                <w:szCs w:val="21"/>
                <w:highlight w:val="none"/>
              </w:rPr>
            </w:pPr>
          </w:p>
        </w:tc>
        <w:tc>
          <w:tcPr>
            <w:tcW w:w="992" w:type="dxa"/>
            <w:vAlign w:val="center"/>
          </w:tcPr>
          <w:p w14:paraId="7F15BA0F">
            <w:pPr>
              <w:spacing w:line="360" w:lineRule="auto"/>
              <w:rPr>
                <w:rFonts w:hint="eastAsia" w:ascii="宋体" w:hAnsi="宋体" w:cs="宋体"/>
                <w:color w:val="auto"/>
                <w:sz w:val="21"/>
                <w:szCs w:val="21"/>
                <w:highlight w:val="none"/>
              </w:rPr>
            </w:pPr>
          </w:p>
        </w:tc>
        <w:tc>
          <w:tcPr>
            <w:tcW w:w="993" w:type="dxa"/>
            <w:vAlign w:val="center"/>
          </w:tcPr>
          <w:p w14:paraId="7F8FD65E">
            <w:pPr>
              <w:spacing w:line="360" w:lineRule="auto"/>
              <w:rPr>
                <w:rFonts w:hint="eastAsia" w:ascii="宋体" w:hAnsi="宋体" w:cs="宋体"/>
                <w:color w:val="auto"/>
                <w:sz w:val="21"/>
                <w:szCs w:val="21"/>
                <w:highlight w:val="none"/>
              </w:rPr>
            </w:pPr>
          </w:p>
        </w:tc>
        <w:tc>
          <w:tcPr>
            <w:tcW w:w="992" w:type="dxa"/>
            <w:vAlign w:val="center"/>
          </w:tcPr>
          <w:p w14:paraId="4C1FDD57">
            <w:pPr>
              <w:spacing w:line="360" w:lineRule="auto"/>
              <w:rPr>
                <w:rFonts w:hint="eastAsia" w:ascii="宋体" w:hAnsi="宋体" w:cs="宋体"/>
                <w:color w:val="auto"/>
                <w:sz w:val="21"/>
                <w:szCs w:val="21"/>
                <w:highlight w:val="none"/>
              </w:rPr>
            </w:pPr>
          </w:p>
        </w:tc>
        <w:tc>
          <w:tcPr>
            <w:tcW w:w="766" w:type="dxa"/>
          </w:tcPr>
          <w:p w14:paraId="7D7B42EB">
            <w:pPr>
              <w:spacing w:line="360" w:lineRule="auto"/>
              <w:rPr>
                <w:rFonts w:hint="eastAsia" w:ascii="宋体" w:hAnsi="宋体" w:cs="宋体"/>
                <w:color w:val="auto"/>
                <w:sz w:val="21"/>
                <w:szCs w:val="21"/>
                <w:highlight w:val="none"/>
              </w:rPr>
            </w:pPr>
          </w:p>
        </w:tc>
        <w:tc>
          <w:tcPr>
            <w:tcW w:w="1050" w:type="dxa"/>
          </w:tcPr>
          <w:p w14:paraId="7CC33C49">
            <w:pPr>
              <w:spacing w:line="360" w:lineRule="auto"/>
              <w:rPr>
                <w:rFonts w:hint="eastAsia" w:ascii="宋体" w:hAnsi="宋体" w:cs="宋体"/>
                <w:color w:val="auto"/>
                <w:sz w:val="21"/>
                <w:szCs w:val="21"/>
                <w:highlight w:val="none"/>
              </w:rPr>
            </w:pPr>
          </w:p>
        </w:tc>
        <w:tc>
          <w:tcPr>
            <w:tcW w:w="1155" w:type="dxa"/>
            <w:vAlign w:val="center"/>
          </w:tcPr>
          <w:p w14:paraId="68ECB3BA">
            <w:pPr>
              <w:spacing w:line="360" w:lineRule="auto"/>
              <w:rPr>
                <w:rFonts w:hint="eastAsia" w:ascii="宋体" w:hAnsi="宋体" w:cs="宋体"/>
                <w:color w:val="auto"/>
                <w:sz w:val="21"/>
                <w:szCs w:val="21"/>
                <w:highlight w:val="none"/>
              </w:rPr>
            </w:pPr>
          </w:p>
        </w:tc>
      </w:tr>
      <w:tr w14:paraId="4EF93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4" w:type="dxa"/>
            <w:vAlign w:val="center"/>
          </w:tcPr>
          <w:p w14:paraId="39118C1F">
            <w:pPr>
              <w:spacing w:line="360" w:lineRule="auto"/>
              <w:rPr>
                <w:rFonts w:hint="eastAsia" w:ascii="宋体" w:hAnsi="宋体" w:cs="宋体"/>
                <w:color w:val="auto"/>
                <w:sz w:val="21"/>
                <w:szCs w:val="21"/>
                <w:highlight w:val="none"/>
              </w:rPr>
            </w:pPr>
          </w:p>
        </w:tc>
        <w:tc>
          <w:tcPr>
            <w:tcW w:w="403" w:type="dxa"/>
            <w:vAlign w:val="center"/>
          </w:tcPr>
          <w:p w14:paraId="713944C5">
            <w:pPr>
              <w:spacing w:line="360" w:lineRule="auto"/>
              <w:rPr>
                <w:rFonts w:hint="eastAsia" w:ascii="宋体" w:hAnsi="宋体" w:cs="宋体"/>
                <w:color w:val="auto"/>
                <w:sz w:val="21"/>
                <w:szCs w:val="21"/>
                <w:highlight w:val="none"/>
              </w:rPr>
            </w:pPr>
          </w:p>
        </w:tc>
        <w:tc>
          <w:tcPr>
            <w:tcW w:w="992" w:type="dxa"/>
            <w:vAlign w:val="center"/>
          </w:tcPr>
          <w:p w14:paraId="3D102CA8">
            <w:pPr>
              <w:spacing w:line="360" w:lineRule="auto"/>
              <w:rPr>
                <w:rFonts w:hint="eastAsia" w:ascii="宋体" w:hAnsi="宋体" w:cs="宋体"/>
                <w:color w:val="auto"/>
                <w:sz w:val="21"/>
                <w:szCs w:val="21"/>
                <w:highlight w:val="none"/>
              </w:rPr>
            </w:pPr>
          </w:p>
        </w:tc>
        <w:tc>
          <w:tcPr>
            <w:tcW w:w="1276" w:type="dxa"/>
            <w:vAlign w:val="center"/>
          </w:tcPr>
          <w:p w14:paraId="308E02DF">
            <w:pPr>
              <w:spacing w:line="360" w:lineRule="auto"/>
              <w:rPr>
                <w:rFonts w:hint="eastAsia" w:ascii="宋体" w:hAnsi="宋体" w:cs="宋体"/>
                <w:color w:val="auto"/>
                <w:sz w:val="21"/>
                <w:szCs w:val="21"/>
                <w:highlight w:val="none"/>
              </w:rPr>
            </w:pPr>
          </w:p>
        </w:tc>
        <w:tc>
          <w:tcPr>
            <w:tcW w:w="992" w:type="dxa"/>
            <w:vAlign w:val="center"/>
          </w:tcPr>
          <w:p w14:paraId="5310F6AF">
            <w:pPr>
              <w:spacing w:line="360" w:lineRule="auto"/>
              <w:rPr>
                <w:rFonts w:hint="eastAsia" w:ascii="宋体" w:hAnsi="宋体" w:cs="宋体"/>
                <w:color w:val="auto"/>
                <w:sz w:val="21"/>
                <w:szCs w:val="21"/>
                <w:highlight w:val="none"/>
              </w:rPr>
            </w:pPr>
          </w:p>
        </w:tc>
        <w:tc>
          <w:tcPr>
            <w:tcW w:w="993" w:type="dxa"/>
            <w:vAlign w:val="center"/>
          </w:tcPr>
          <w:p w14:paraId="4CD470F7">
            <w:pPr>
              <w:spacing w:line="360" w:lineRule="auto"/>
              <w:rPr>
                <w:rFonts w:hint="eastAsia" w:ascii="宋体" w:hAnsi="宋体" w:cs="宋体"/>
                <w:color w:val="auto"/>
                <w:sz w:val="21"/>
                <w:szCs w:val="21"/>
                <w:highlight w:val="none"/>
              </w:rPr>
            </w:pPr>
          </w:p>
        </w:tc>
        <w:tc>
          <w:tcPr>
            <w:tcW w:w="992" w:type="dxa"/>
            <w:vAlign w:val="center"/>
          </w:tcPr>
          <w:p w14:paraId="0CFE81F6">
            <w:pPr>
              <w:spacing w:line="360" w:lineRule="auto"/>
              <w:rPr>
                <w:rFonts w:hint="eastAsia" w:ascii="宋体" w:hAnsi="宋体" w:cs="宋体"/>
                <w:color w:val="auto"/>
                <w:sz w:val="21"/>
                <w:szCs w:val="21"/>
                <w:highlight w:val="none"/>
              </w:rPr>
            </w:pPr>
          </w:p>
        </w:tc>
        <w:tc>
          <w:tcPr>
            <w:tcW w:w="766" w:type="dxa"/>
          </w:tcPr>
          <w:p w14:paraId="1ACC5FC2">
            <w:pPr>
              <w:spacing w:line="360" w:lineRule="auto"/>
              <w:rPr>
                <w:rFonts w:hint="eastAsia" w:ascii="宋体" w:hAnsi="宋体" w:cs="宋体"/>
                <w:color w:val="auto"/>
                <w:sz w:val="21"/>
                <w:szCs w:val="21"/>
                <w:highlight w:val="none"/>
              </w:rPr>
            </w:pPr>
          </w:p>
        </w:tc>
        <w:tc>
          <w:tcPr>
            <w:tcW w:w="1050" w:type="dxa"/>
          </w:tcPr>
          <w:p w14:paraId="2D826175">
            <w:pPr>
              <w:spacing w:line="360" w:lineRule="auto"/>
              <w:rPr>
                <w:rFonts w:hint="eastAsia" w:ascii="宋体" w:hAnsi="宋体" w:cs="宋体"/>
                <w:color w:val="auto"/>
                <w:sz w:val="21"/>
                <w:szCs w:val="21"/>
                <w:highlight w:val="none"/>
              </w:rPr>
            </w:pPr>
          </w:p>
        </w:tc>
        <w:tc>
          <w:tcPr>
            <w:tcW w:w="1155" w:type="dxa"/>
            <w:vAlign w:val="center"/>
          </w:tcPr>
          <w:p w14:paraId="7DE18005">
            <w:pPr>
              <w:spacing w:line="360" w:lineRule="auto"/>
              <w:rPr>
                <w:rFonts w:hint="eastAsia" w:ascii="宋体" w:hAnsi="宋体" w:cs="宋体"/>
                <w:color w:val="auto"/>
                <w:sz w:val="21"/>
                <w:szCs w:val="21"/>
                <w:highlight w:val="none"/>
              </w:rPr>
            </w:pPr>
          </w:p>
        </w:tc>
      </w:tr>
    </w:tbl>
    <w:p w14:paraId="4A4DBAAC">
      <w:pPr>
        <w:keepNext/>
        <w:keepLines/>
        <w:spacing w:line="360" w:lineRule="auto"/>
        <w:jc w:val="center"/>
        <w:outlineLvl w:val="1"/>
        <w:rPr>
          <w:rFonts w:hint="eastAsia" w:ascii="宋体" w:hAnsi="宋体" w:cs="宋体"/>
          <w:b/>
          <w:bCs/>
          <w:color w:val="auto"/>
          <w:sz w:val="21"/>
          <w:szCs w:val="21"/>
          <w:highlight w:val="none"/>
        </w:rPr>
      </w:pPr>
      <w:bookmarkStart w:id="554" w:name="_Toc222031014"/>
      <w:bookmarkStart w:id="555" w:name="_Toc222033863"/>
      <w:bookmarkStart w:id="556" w:name="_Toc229408507"/>
      <w:bookmarkStart w:id="557" w:name="_Toc222029512"/>
      <w:bookmarkStart w:id="558" w:name="_Toc222032681"/>
      <w:bookmarkStart w:id="559" w:name="_Toc221950866"/>
      <w:bookmarkStart w:id="560" w:name="_Toc229305372"/>
      <w:bookmarkStart w:id="561" w:name="_Toc256000077"/>
      <w:bookmarkStart w:id="562" w:name="_Toc25781"/>
      <w:bookmarkStart w:id="563" w:name="_Toc175063873"/>
      <w:r>
        <w:rPr>
          <w:rFonts w:hint="eastAsia" w:ascii="宋体" w:hAnsi="宋体" w:cs="宋体"/>
          <w:b/>
          <w:bCs/>
          <w:color w:val="auto"/>
          <w:sz w:val="21"/>
          <w:szCs w:val="21"/>
          <w:highlight w:val="none"/>
        </w:rPr>
        <w:t>11  开工和竣工</w:t>
      </w:r>
      <w:bookmarkEnd w:id="554"/>
      <w:bookmarkEnd w:id="555"/>
      <w:bookmarkEnd w:id="556"/>
      <w:bookmarkEnd w:id="557"/>
      <w:bookmarkEnd w:id="558"/>
      <w:bookmarkEnd w:id="559"/>
      <w:bookmarkEnd w:id="560"/>
      <w:r>
        <w:rPr>
          <w:rFonts w:hint="eastAsia" w:ascii="宋体" w:hAnsi="宋体" w:cs="宋体"/>
          <w:b/>
          <w:bCs/>
          <w:color w:val="auto"/>
          <w:sz w:val="21"/>
          <w:szCs w:val="21"/>
          <w:highlight w:val="none"/>
        </w:rPr>
        <w:t>（完工）</w:t>
      </w:r>
      <w:bookmarkEnd w:id="561"/>
      <w:bookmarkEnd w:id="562"/>
      <w:bookmarkEnd w:id="563"/>
    </w:p>
    <w:p w14:paraId="22FF2391">
      <w:pPr>
        <w:keepNext/>
        <w:keepLines/>
        <w:spacing w:line="360" w:lineRule="auto"/>
        <w:jc w:val="center"/>
        <w:outlineLvl w:val="2"/>
        <w:rPr>
          <w:rFonts w:hint="eastAsia" w:ascii="宋体" w:hAnsi="宋体" w:cs="宋体"/>
          <w:b/>
          <w:bCs/>
          <w:color w:val="auto"/>
          <w:sz w:val="21"/>
          <w:szCs w:val="21"/>
          <w:highlight w:val="none"/>
        </w:rPr>
      </w:pPr>
      <w:bookmarkStart w:id="564" w:name="_Toc175063874"/>
      <w:bookmarkStart w:id="565" w:name="_Toc24587"/>
      <w:bookmarkStart w:id="566" w:name="_Toc221950869"/>
      <w:r>
        <w:rPr>
          <w:rFonts w:hint="eastAsia" w:ascii="宋体" w:hAnsi="宋体" w:cs="宋体"/>
          <w:b/>
          <w:bCs/>
          <w:color w:val="auto"/>
          <w:sz w:val="21"/>
          <w:szCs w:val="21"/>
          <w:highlight w:val="none"/>
        </w:rPr>
        <w:t>11.1开工</w:t>
      </w:r>
      <w:bookmarkEnd w:id="564"/>
      <w:bookmarkEnd w:id="565"/>
    </w:p>
    <w:p w14:paraId="3104254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0717DA96">
      <w:pPr>
        <w:spacing w:line="360" w:lineRule="auto"/>
        <w:ind w:firstLine="420" w:firstLineChars="200"/>
        <w:rPr>
          <w:rFonts w:hint="eastAsia" w:ascii="宋体" w:hAnsi="宋体" w:cs="宋体"/>
          <w:color w:val="auto"/>
          <w:sz w:val="21"/>
          <w:szCs w:val="21"/>
          <w:highlight w:val="none"/>
          <w:shd w:val="pct10" w:color="auto" w:fill="FFFFFF"/>
        </w:rPr>
      </w:pPr>
      <w:r>
        <w:rPr>
          <w:rFonts w:hint="eastAsia" w:ascii="宋体" w:hAnsi="宋体" w:cs="宋体"/>
          <w:color w:val="auto"/>
          <w:sz w:val="21"/>
          <w:szCs w:val="21"/>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3929574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11.1.3  若发包人未能按合同约定向承包人提供开工的必要条件，承包人有权要求延长工期。监理人应在收到承包人的书面要求后，按第3.5款的约定，与合同双方商定或确定增加的费用和延长的工期。</w:t>
      </w:r>
      <w:bookmarkEnd w:id="566"/>
    </w:p>
    <w:p w14:paraId="02060DC6">
      <w:pPr>
        <w:spacing w:line="360" w:lineRule="auto"/>
        <w:ind w:firstLine="420" w:firstLineChars="200"/>
        <w:rPr>
          <w:rFonts w:hint="eastAsia" w:ascii="宋体" w:hAnsi="宋体" w:cs="宋体"/>
          <w:color w:val="auto"/>
          <w:sz w:val="21"/>
          <w:szCs w:val="21"/>
          <w:highlight w:val="none"/>
        </w:rPr>
      </w:pPr>
      <w:bookmarkStart w:id="567" w:name="_Toc221950870"/>
      <w:r>
        <w:rPr>
          <w:rFonts w:hint="eastAsia" w:ascii="宋体" w:hAnsi="宋体" w:cs="宋体"/>
          <w:color w:val="auto"/>
          <w:sz w:val="21"/>
          <w:szCs w:val="21"/>
          <w:highlight w:val="none"/>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bookmarkEnd w:id="567"/>
    </w:p>
    <w:p w14:paraId="3D4B0347">
      <w:pPr>
        <w:keepNext/>
        <w:keepLines/>
        <w:spacing w:line="360" w:lineRule="auto"/>
        <w:outlineLvl w:val="2"/>
        <w:rPr>
          <w:rFonts w:hint="eastAsia" w:ascii="宋体" w:hAnsi="宋体" w:cs="宋体"/>
          <w:color w:val="auto"/>
          <w:sz w:val="21"/>
          <w:szCs w:val="21"/>
          <w:highlight w:val="none"/>
        </w:rPr>
      </w:pPr>
      <w:bookmarkStart w:id="568" w:name="_Toc152042462"/>
      <w:bookmarkStart w:id="569" w:name="_Toc152045684"/>
      <w:bookmarkStart w:id="570" w:name="_Toc144974652"/>
      <w:bookmarkStart w:id="571" w:name="_Toc179632702"/>
      <w:bookmarkStart w:id="572" w:name="_Toc175063875"/>
      <w:bookmarkStart w:id="573" w:name="_Toc1012"/>
      <w:r>
        <w:rPr>
          <w:rFonts w:hint="eastAsia" w:ascii="宋体" w:hAnsi="宋体" w:cs="宋体"/>
          <w:color w:val="auto"/>
          <w:sz w:val="21"/>
          <w:szCs w:val="21"/>
          <w:highlight w:val="none"/>
        </w:rPr>
        <w:t>11.2 竣工</w:t>
      </w:r>
      <w:bookmarkEnd w:id="568"/>
      <w:bookmarkEnd w:id="569"/>
      <w:bookmarkEnd w:id="570"/>
      <w:bookmarkEnd w:id="571"/>
      <w:r>
        <w:rPr>
          <w:rFonts w:hint="eastAsia" w:ascii="宋体" w:hAnsi="宋体" w:cs="宋体"/>
          <w:color w:val="auto"/>
          <w:sz w:val="21"/>
          <w:szCs w:val="21"/>
          <w:highlight w:val="none"/>
        </w:rPr>
        <w:t>（完工）</w:t>
      </w:r>
      <w:bookmarkEnd w:id="572"/>
      <w:bookmarkEnd w:id="573"/>
    </w:p>
    <w:p w14:paraId="01C983E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承包人应在第1.1.4.3目约定的期限内完成合同工程。合同工程实际完工日期在合同工程完工证书中明确。</w:t>
      </w:r>
    </w:p>
    <w:p w14:paraId="2AD6F05E">
      <w:pPr>
        <w:keepNext/>
        <w:keepLines/>
        <w:spacing w:line="360" w:lineRule="auto"/>
        <w:outlineLvl w:val="2"/>
        <w:rPr>
          <w:rFonts w:hint="eastAsia" w:ascii="宋体" w:hAnsi="宋体" w:cs="宋体"/>
          <w:color w:val="auto"/>
          <w:sz w:val="21"/>
          <w:szCs w:val="21"/>
          <w:highlight w:val="none"/>
        </w:rPr>
      </w:pPr>
      <w:bookmarkStart w:id="574" w:name="_Toc175063876"/>
      <w:bookmarkStart w:id="575" w:name="_Toc144974653"/>
      <w:bookmarkStart w:id="576" w:name="_Toc152042463"/>
      <w:bookmarkStart w:id="577" w:name="_Toc179632703"/>
      <w:bookmarkStart w:id="578" w:name="_Toc17002"/>
      <w:bookmarkStart w:id="579" w:name="_Toc152045685"/>
      <w:r>
        <w:rPr>
          <w:rFonts w:hint="eastAsia" w:ascii="宋体" w:hAnsi="宋体" w:cs="宋体"/>
          <w:color w:val="auto"/>
          <w:sz w:val="21"/>
          <w:szCs w:val="21"/>
          <w:highlight w:val="none"/>
        </w:rPr>
        <w:t>11.3 发包人的工期延误</w:t>
      </w:r>
      <w:bookmarkEnd w:id="574"/>
      <w:bookmarkEnd w:id="575"/>
      <w:bookmarkEnd w:id="576"/>
      <w:bookmarkEnd w:id="577"/>
      <w:bookmarkEnd w:id="578"/>
      <w:bookmarkEnd w:id="579"/>
    </w:p>
    <w:p w14:paraId="12D014C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在履行合同过程中，由于发包人的下列原因造成工期延误的，承包人有权要求发包人延长工期和（或）增加费用，并支付合理利润。需要修订合同进度计划的，按照第10.2款的约定办理。</w:t>
      </w:r>
    </w:p>
    <w:p w14:paraId="53B8E8FC">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（1）增加合同工作内容；</w:t>
      </w:r>
    </w:p>
    <w:p w14:paraId="77CEE036">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（2）改变合同中任何一项工作的质量要求或其他特性；</w:t>
      </w:r>
    </w:p>
    <w:p w14:paraId="567C818F">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（3）发包人迟延提供材料、工程设备或变更交货地点的；</w:t>
      </w:r>
    </w:p>
    <w:p w14:paraId="0183343A">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（4）因发包人原因导致的暂停施工；</w:t>
      </w:r>
    </w:p>
    <w:p w14:paraId="2177506A">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（5）提供图纸延误；</w:t>
      </w:r>
    </w:p>
    <w:p w14:paraId="7954C6F3">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（6）未按合同约定及时支付预付款、进度款；</w:t>
      </w:r>
    </w:p>
    <w:p w14:paraId="446158D1">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（7）发包人造成工期延误的其他原因。</w:t>
      </w:r>
    </w:p>
    <w:p w14:paraId="659927CF">
      <w:pPr>
        <w:keepNext/>
        <w:keepLines/>
        <w:spacing w:line="360" w:lineRule="auto"/>
        <w:jc w:val="center"/>
        <w:outlineLvl w:val="2"/>
        <w:rPr>
          <w:rFonts w:hint="eastAsia" w:ascii="宋体" w:hAnsi="宋体" w:cs="宋体"/>
          <w:b/>
          <w:bCs/>
          <w:color w:val="auto"/>
          <w:sz w:val="21"/>
          <w:szCs w:val="21"/>
          <w:highlight w:val="none"/>
        </w:rPr>
      </w:pPr>
      <w:bookmarkStart w:id="580" w:name="_Toc175063877"/>
      <w:bookmarkStart w:id="581" w:name="_Toc1190"/>
      <w:r>
        <w:rPr>
          <w:rFonts w:hint="eastAsia" w:ascii="宋体" w:hAnsi="宋体" w:cs="宋体"/>
          <w:b/>
          <w:bCs/>
          <w:color w:val="auto"/>
          <w:sz w:val="21"/>
          <w:szCs w:val="21"/>
          <w:highlight w:val="none"/>
        </w:rPr>
        <w:t>11.4异常恶劣的气候条件</w:t>
      </w:r>
      <w:bookmarkEnd w:id="580"/>
      <w:bookmarkEnd w:id="581"/>
    </w:p>
    <w:p w14:paraId="3F9920E4">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11.4.1当工程所在地发生危及施工安全的异常恶劣气候时，发包人和承包人应按本合同通用合同条款第12条的约定，及时采取暂停施工或部分暂停施工措施。异常恶劣气候条件解除后，承包人应及时安排复工。</w:t>
      </w:r>
    </w:p>
    <w:p w14:paraId="708FABDC">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11.4.2异常恶劣气候条件造成的工期延误和工程损坏，应由发包人与承包人参照本合同通用合同条款第21.3款的约定</w:t>
      </w:r>
      <w:r>
        <w:rPr>
          <w:rFonts w:hint="eastAsia" w:ascii="宋体" w:hAnsi="宋体" w:cs="宋体"/>
          <w:color w:val="auto"/>
          <w:sz w:val="21"/>
          <w:szCs w:val="21"/>
          <w:highlight w:val="none"/>
          <w:lang w:eastAsia="zh-CN"/>
        </w:rPr>
        <w:t>协商</w:t>
      </w:r>
      <w:r>
        <w:rPr>
          <w:rFonts w:hint="eastAsia" w:ascii="宋体" w:hAnsi="宋体" w:cs="宋体"/>
          <w:color w:val="auto"/>
          <w:sz w:val="21"/>
          <w:szCs w:val="21"/>
          <w:highlight w:val="none"/>
        </w:rPr>
        <w:t>处理。</w:t>
      </w:r>
    </w:p>
    <w:p w14:paraId="52C0F96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11.4.3 本合同工程界定异常恶劣气候条件的范围在专用合同条款中约定。</w:t>
      </w:r>
    </w:p>
    <w:p w14:paraId="502BCBCA">
      <w:pPr>
        <w:keepNext/>
        <w:keepLines/>
        <w:spacing w:line="360" w:lineRule="auto"/>
        <w:jc w:val="center"/>
        <w:outlineLvl w:val="2"/>
        <w:rPr>
          <w:rFonts w:hint="eastAsia" w:ascii="宋体" w:hAnsi="宋体" w:cs="宋体"/>
          <w:b/>
          <w:bCs/>
          <w:color w:val="auto"/>
          <w:sz w:val="21"/>
          <w:szCs w:val="21"/>
          <w:highlight w:val="none"/>
        </w:rPr>
      </w:pPr>
      <w:bookmarkStart w:id="582" w:name="_Toc175063878"/>
      <w:bookmarkStart w:id="583" w:name="_Toc4236"/>
      <w:r>
        <w:rPr>
          <w:rFonts w:hint="eastAsia" w:ascii="宋体" w:hAnsi="宋体" w:cs="宋体"/>
          <w:b/>
          <w:bCs/>
          <w:color w:val="auto"/>
          <w:sz w:val="21"/>
          <w:szCs w:val="21"/>
          <w:highlight w:val="none"/>
        </w:rPr>
        <w:t>11.5  承包人工期延误</w:t>
      </w:r>
      <w:bookmarkEnd w:id="582"/>
      <w:bookmarkEnd w:id="583"/>
      <w:r>
        <w:rPr>
          <w:rFonts w:hint="eastAsia" w:ascii="宋体" w:hAnsi="宋体" w:cs="宋体"/>
          <w:b/>
          <w:bCs/>
          <w:color w:val="auto"/>
          <w:sz w:val="21"/>
          <w:szCs w:val="21"/>
          <w:highlight w:val="none"/>
        </w:rPr>
        <w:t xml:space="preserve"> </w:t>
      </w:r>
    </w:p>
    <w:p w14:paraId="3B35DE2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bookmarkStart w:id="584" w:name="_Toc221950882"/>
    </w:p>
    <w:p w14:paraId="1C982283">
      <w:pPr>
        <w:keepNext/>
        <w:keepLines/>
        <w:spacing w:line="360" w:lineRule="auto"/>
        <w:jc w:val="center"/>
        <w:outlineLvl w:val="2"/>
        <w:rPr>
          <w:rFonts w:hint="eastAsia" w:ascii="宋体" w:hAnsi="宋体" w:cs="宋体"/>
          <w:b/>
          <w:bCs/>
          <w:color w:val="auto"/>
          <w:sz w:val="21"/>
          <w:szCs w:val="21"/>
          <w:highlight w:val="none"/>
        </w:rPr>
      </w:pPr>
      <w:bookmarkStart w:id="585" w:name="_Toc21176"/>
      <w:bookmarkStart w:id="586" w:name="_Toc175063879"/>
      <w:r>
        <w:rPr>
          <w:rFonts w:hint="eastAsia" w:ascii="宋体" w:hAnsi="宋体" w:cs="宋体"/>
          <w:b/>
          <w:bCs/>
          <w:color w:val="auto"/>
          <w:sz w:val="21"/>
          <w:szCs w:val="21"/>
          <w:highlight w:val="none"/>
        </w:rPr>
        <w:t>11.6工期提前</w:t>
      </w:r>
      <w:bookmarkEnd w:id="585"/>
      <w:bookmarkEnd w:id="586"/>
    </w:p>
    <w:p w14:paraId="1370B2B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发包人要求承包人提前完工，或承包人提出提前完工的建议能够给发包人带来效益的，应由监理人与承包人</w:t>
      </w:r>
      <w:r>
        <w:rPr>
          <w:rFonts w:hint="eastAsia" w:ascii="宋体" w:hAnsi="宋体" w:cs="宋体"/>
          <w:color w:val="auto"/>
          <w:sz w:val="21"/>
          <w:szCs w:val="21"/>
          <w:highlight w:val="none"/>
          <w:lang w:eastAsia="zh-CN"/>
        </w:rPr>
        <w:t>协商</w:t>
      </w:r>
      <w:r>
        <w:rPr>
          <w:rFonts w:hint="eastAsia" w:ascii="宋体" w:hAnsi="宋体" w:cs="宋体"/>
          <w:color w:val="auto"/>
          <w:sz w:val="21"/>
          <w:szCs w:val="21"/>
          <w:highlight w:val="none"/>
        </w:rPr>
        <w:t>采取加快工程进度的措施和修订合同进度计划。发包人应承担承包人由此增加的费用，并向承包人支付专用合同条款约定的相应奖金。</w:t>
      </w:r>
    </w:p>
    <w:p w14:paraId="6585CA8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发包人要求提前完工的，双方协商一致后应签订提前完工协议，协议内容包括：</w:t>
      </w:r>
      <w:bookmarkEnd w:id="584"/>
    </w:p>
    <w:p w14:paraId="58B6D2DD">
      <w:pPr>
        <w:spacing w:line="360" w:lineRule="auto"/>
        <w:ind w:firstLine="420" w:firstLineChars="200"/>
        <w:rPr>
          <w:rFonts w:hint="eastAsia" w:ascii="宋体" w:hAnsi="宋体" w:cs="宋体"/>
          <w:color w:val="auto"/>
          <w:sz w:val="21"/>
          <w:szCs w:val="21"/>
          <w:highlight w:val="none"/>
        </w:rPr>
      </w:pPr>
      <w:bookmarkStart w:id="587" w:name="_Toc221950883"/>
      <w:r>
        <w:rPr>
          <w:rFonts w:hint="eastAsia" w:ascii="宋体" w:hAnsi="宋体" w:cs="宋体"/>
          <w:color w:val="auto"/>
          <w:sz w:val="21"/>
          <w:szCs w:val="21"/>
          <w:highlight w:val="none"/>
        </w:rPr>
        <w:t>（1） 提前的时间和修订后的进度计划。</w:t>
      </w:r>
      <w:bookmarkEnd w:id="587"/>
    </w:p>
    <w:p w14:paraId="78C448DD">
      <w:pPr>
        <w:spacing w:line="360" w:lineRule="auto"/>
        <w:ind w:firstLine="420" w:firstLineChars="200"/>
        <w:rPr>
          <w:rFonts w:hint="eastAsia" w:ascii="宋体" w:hAnsi="宋体" w:cs="宋体"/>
          <w:color w:val="auto"/>
          <w:sz w:val="21"/>
          <w:szCs w:val="21"/>
          <w:highlight w:val="none"/>
        </w:rPr>
      </w:pPr>
      <w:bookmarkStart w:id="588" w:name="_Toc221950884"/>
      <w:r>
        <w:rPr>
          <w:rFonts w:hint="eastAsia" w:ascii="宋体" w:hAnsi="宋体" w:cs="宋体"/>
          <w:color w:val="auto"/>
          <w:sz w:val="21"/>
          <w:szCs w:val="21"/>
          <w:highlight w:val="none"/>
        </w:rPr>
        <w:t>（2）承包人的赶工措施。</w:t>
      </w:r>
      <w:bookmarkEnd w:id="588"/>
    </w:p>
    <w:p w14:paraId="1D2C4BA9">
      <w:pPr>
        <w:spacing w:line="360" w:lineRule="auto"/>
        <w:ind w:firstLine="420" w:firstLineChars="200"/>
        <w:rPr>
          <w:rFonts w:hint="eastAsia" w:ascii="宋体" w:hAnsi="宋体" w:cs="宋体"/>
          <w:color w:val="auto"/>
          <w:sz w:val="21"/>
          <w:szCs w:val="21"/>
          <w:highlight w:val="none"/>
        </w:rPr>
      </w:pPr>
      <w:bookmarkStart w:id="589" w:name="_Toc221950885"/>
      <w:r>
        <w:rPr>
          <w:rFonts w:hint="eastAsia" w:ascii="宋体" w:hAnsi="宋体" w:cs="宋体"/>
          <w:color w:val="auto"/>
          <w:sz w:val="21"/>
          <w:szCs w:val="21"/>
          <w:highlight w:val="none"/>
        </w:rPr>
        <w:t>（3）发包人为赶工提供的条件。</w:t>
      </w:r>
      <w:bookmarkEnd w:id="589"/>
    </w:p>
    <w:p w14:paraId="475F5229">
      <w:pPr>
        <w:spacing w:line="360" w:lineRule="auto"/>
        <w:ind w:firstLine="420" w:firstLineChars="200"/>
        <w:rPr>
          <w:rFonts w:hint="eastAsia" w:ascii="宋体" w:hAnsi="宋体" w:cs="宋体"/>
          <w:color w:val="auto"/>
          <w:sz w:val="21"/>
          <w:szCs w:val="21"/>
          <w:highlight w:val="none"/>
        </w:rPr>
      </w:pPr>
      <w:bookmarkStart w:id="590" w:name="_Toc221950886"/>
      <w:r>
        <w:rPr>
          <w:rFonts w:hint="eastAsia" w:ascii="宋体" w:hAnsi="宋体" w:cs="宋体"/>
          <w:color w:val="auto"/>
          <w:sz w:val="21"/>
          <w:szCs w:val="21"/>
          <w:highlight w:val="none"/>
        </w:rPr>
        <w:t>（4）</w:t>
      </w:r>
      <w:bookmarkEnd w:id="590"/>
      <w:r>
        <w:rPr>
          <w:rFonts w:hint="eastAsia" w:ascii="宋体" w:hAnsi="宋体" w:cs="宋体"/>
          <w:color w:val="auto"/>
          <w:sz w:val="21"/>
          <w:szCs w:val="21"/>
          <w:highlight w:val="none"/>
        </w:rPr>
        <w:t>赶工费用（包括利润和奖金）</w:t>
      </w:r>
    </w:p>
    <w:p w14:paraId="2EDFB87A">
      <w:pPr>
        <w:keepNext/>
        <w:keepLines/>
        <w:spacing w:line="360" w:lineRule="auto"/>
        <w:jc w:val="center"/>
        <w:outlineLvl w:val="1"/>
        <w:rPr>
          <w:rFonts w:hint="eastAsia" w:ascii="宋体" w:hAnsi="宋体" w:cs="宋体"/>
          <w:b/>
          <w:bCs/>
          <w:color w:val="auto"/>
          <w:sz w:val="21"/>
          <w:szCs w:val="21"/>
          <w:highlight w:val="none"/>
        </w:rPr>
      </w:pPr>
      <w:bookmarkStart w:id="591" w:name="_Toc175063880"/>
      <w:bookmarkStart w:id="592" w:name="_Toc221950888"/>
      <w:bookmarkStart w:id="593" w:name="_Toc222032682"/>
      <w:bookmarkStart w:id="594" w:name="_Toc222029513"/>
      <w:bookmarkStart w:id="595" w:name="_Toc229305373"/>
      <w:bookmarkStart w:id="596" w:name="_Toc222031015"/>
      <w:bookmarkStart w:id="597" w:name="_Toc256000078"/>
      <w:bookmarkStart w:id="598" w:name="_Toc229408508"/>
      <w:bookmarkStart w:id="599" w:name="_Toc222033864"/>
      <w:bookmarkStart w:id="600" w:name="_Toc396"/>
      <w:r>
        <w:rPr>
          <w:rFonts w:hint="eastAsia" w:ascii="宋体" w:hAnsi="宋体" w:cs="宋体"/>
          <w:b/>
          <w:bCs/>
          <w:color w:val="auto"/>
          <w:sz w:val="21"/>
          <w:szCs w:val="21"/>
          <w:highlight w:val="none"/>
        </w:rPr>
        <w:t>12. 暂停施工</w:t>
      </w:r>
      <w:bookmarkEnd w:id="591"/>
      <w:bookmarkEnd w:id="592"/>
      <w:bookmarkEnd w:id="593"/>
      <w:bookmarkEnd w:id="594"/>
      <w:bookmarkEnd w:id="595"/>
      <w:bookmarkEnd w:id="596"/>
      <w:bookmarkEnd w:id="597"/>
      <w:bookmarkEnd w:id="598"/>
      <w:bookmarkEnd w:id="599"/>
      <w:bookmarkEnd w:id="600"/>
    </w:p>
    <w:p w14:paraId="57B4E208">
      <w:pPr>
        <w:keepNext/>
        <w:keepLines/>
        <w:spacing w:line="360" w:lineRule="auto"/>
        <w:outlineLvl w:val="2"/>
        <w:rPr>
          <w:rFonts w:hint="eastAsia" w:ascii="宋体" w:hAnsi="宋体" w:cs="宋体"/>
          <w:color w:val="auto"/>
          <w:sz w:val="21"/>
          <w:szCs w:val="21"/>
          <w:highlight w:val="none"/>
        </w:rPr>
      </w:pPr>
      <w:bookmarkStart w:id="601" w:name="_Toc24630"/>
      <w:bookmarkStart w:id="602" w:name="_Toc152042468"/>
      <w:bookmarkStart w:id="603" w:name="_Toc144974659"/>
      <w:bookmarkStart w:id="604" w:name="_Toc152045690"/>
      <w:bookmarkStart w:id="605" w:name="_Toc175063881"/>
      <w:bookmarkStart w:id="606" w:name="_Toc179632708"/>
      <w:r>
        <w:rPr>
          <w:rFonts w:hint="eastAsia" w:ascii="宋体" w:hAnsi="宋体" w:cs="宋体"/>
          <w:color w:val="auto"/>
          <w:sz w:val="21"/>
          <w:szCs w:val="21"/>
          <w:highlight w:val="none"/>
        </w:rPr>
        <w:t>12.1 承包人暂停施工的责任</w:t>
      </w:r>
      <w:bookmarkEnd w:id="601"/>
      <w:bookmarkEnd w:id="602"/>
      <w:bookmarkEnd w:id="603"/>
      <w:bookmarkEnd w:id="604"/>
      <w:bookmarkEnd w:id="605"/>
      <w:bookmarkEnd w:id="606"/>
    </w:p>
    <w:p w14:paraId="5150323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因下列暂停施工增加的费用和（或）工期延误由承包人承担：</w:t>
      </w:r>
    </w:p>
    <w:p w14:paraId="0CA30B46">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（1）承包人违约引起的暂停施工；</w:t>
      </w:r>
    </w:p>
    <w:p w14:paraId="65F4451C">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（2）由于承包人原因为工程合理施工和安全保障所必需的暂停施工；</w:t>
      </w:r>
    </w:p>
    <w:p w14:paraId="670C245A">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（3）承包人擅自暂停施工；</w:t>
      </w:r>
    </w:p>
    <w:p w14:paraId="57DB8116">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（4）承包人其他原因引起的暂停施工；</w:t>
      </w:r>
    </w:p>
    <w:p w14:paraId="1AF41484">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（5）专用合同条款约定由承包人承担的其他暂停施工。</w:t>
      </w:r>
    </w:p>
    <w:p w14:paraId="20C3D888">
      <w:pPr>
        <w:keepNext/>
        <w:keepLines/>
        <w:spacing w:line="360" w:lineRule="auto"/>
        <w:jc w:val="center"/>
        <w:outlineLvl w:val="2"/>
        <w:rPr>
          <w:rFonts w:hint="eastAsia" w:ascii="宋体" w:hAnsi="宋体" w:cs="宋体"/>
          <w:b/>
          <w:bCs/>
          <w:color w:val="auto"/>
          <w:sz w:val="21"/>
          <w:szCs w:val="21"/>
          <w:highlight w:val="none"/>
        </w:rPr>
      </w:pPr>
      <w:bookmarkStart w:id="607" w:name="_Toc175063882"/>
      <w:bookmarkStart w:id="608" w:name="_Toc24888"/>
      <w:bookmarkStart w:id="609" w:name="_Toc221950893"/>
      <w:r>
        <w:rPr>
          <w:rFonts w:hint="eastAsia" w:ascii="宋体" w:hAnsi="宋体" w:cs="宋体"/>
          <w:b/>
          <w:bCs/>
          <w:color w:val="auto"/>
          <w:sz w:val="21"/>
          <w:szCs w:val="21"/>
          <w:highlight w:val="none"/>
        </w:rPr>
        <w:t>12.2发包人暂停施工的责任</w:t>
      </w:r>
      <w:bookmarkEnd w:id="607"/>
      <w:bookmarkEnd w:id="608"/>
    </w:p>
    <w:p w14:paraId="1456A550">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由于发包人原因引起的暂停施工造成工期延误的，承包人有权要求发包人延长工期和（或）增加费用，并支付合理利润。</w:t>
      </w:r>
    </w:p>
    <w:p w14:paraId="5B10A19D">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属于下列任何一种情况引起的暂停施工，均为发包人的责任：</w:t>
      </w:r>
      <w:bookmarkEnd w:id="609"/>
    </w:p>
    <w:p w14:paraId="2814DCAD">
      <w:pPr>
        <w:spacing w:line="360" w:lineRule="auto"/>
        <w:ind w:firstLine="480"/>
        <w:rPr>
          <w:rFonts w:hint="eastAsia" w:ascii="宋体" w:hAnsi="宋体" w:cs="宋体"/>
          <w:color w:val="auto"/>
          <w:sz w:val="21"/>
          <w:szCs w:val="21"/>
          <w:highlight w:val="none"/>
        </w:rPr>
      </w:pPr>
      <w:bookmarkStart w:id="610" w:name="_Toc221950894"/>
      <w:r>
        <w:rPr>
          <w:rFonts w:hint="eastAsia" w:ascii="宋体" w:hAnsi="宋体" w:cs="宋体"/>
          <w:color w:val="auto"/>
          <w:sz w:val="21"/>
          <w:szCs w:val="21"/>
          <w:highlight w:val="none"/>
        </w:rPr>
        <w:t>（1）由于发包人违约引起的暂停施工。</w:t>
      </w:r>
      <w:bookmarkEnd w:id="610"/>
    </w:p>
    <w:p w14:paraId="4362AE1E">
      <w:pPr>
        <w:spacing w:line="360" w:lineRule="auto"/>
        <w:ind w:firstLine="480"/>
        <w:rPr>
          <w:rFonts w:hint="eastAsia" w:ascii="宋体" w:hAnsi="宋体" w:cs="宋体"/>
          <w:color w:val="auto"/>
          <w:sz w:val="21"/>
          <w:szCs w:val="21"/>
          <w:highlight w:val="none"/>
        </w:rPr>
      </w:pPr>
      <w:bookmarkStart w:id="611" w:name="_Toc221950895"/>
      <w:r>
        <w:rPr>
          <w:rFonts w:hint="eastAsia" w:ascii="宋体" w:hAnsi="宋体" w:cs="宋体"/>
          <w:color w:val="auto"/>
          <w:sz w:val="21"/>
          <w:szCs w:val="21"/>
          <w:highlight w:val="none"/>
        </w:rPr>
        <w:t>（2）由于不可抗力的自然或社会因素引起的暂停施工。</w:t>
      </w:r>
      <w:bookmarkEnd w:id="611"/>
    </w:p>
    <w:p w14:paraId="3BBE8380">
      <w:pPr>
        <w:spacing w:line="360" w:lineRule="auto"/>
        <w:ind w:firstLine="480"/>
        <w:rPr>
          <w:rFonts w:hint="eastAsia" w:ascii="宋体" w:hAnsi="宋体" w:cs="宋体"/>
          <w:color w:val="auto"/>
          <w:sz w:val="21"/>
          <w:szCs w:val="21"/>
          <w:highlight w:val="none"/>
        </w:rPr>
      </w:pPr>
      <w:bookmarkStart w:id="612" w:name="_Toc221950896"/>
      <w:r>
        <w:rPr>
          <w:rFonts w:hint="eastAsia" w:ascii="宋体" w:hAnsi="宋体" w:cs="宋体"/>
          <w:color w:val="auto"/>
          <w:sz w:val="21"/>
          <w:szCs w:val="21"/>
          <w:highlight w:val="none"/>
        </w:rPr>
        <w:t>（3）专用合同条款中约定的</w:t>
      </w:r>
      <w:r>
        <w:rPr>
          <w:rFonts w:hint="eastAsia" w:ascii="宋体" w:hAnsi="宋体" w:cs="宋体"/>
          <w:color w:val="auto"/>
          <w:sz w:val="21"/>
          <w:szCs w:val="21"/>
          <w:highlight w:val="none"/>
          <w:lang w:eastAsia="zh-CN"/>
        </w:rPr>
        <w:t>其他</w:t>
      </w:r>
      <w:r>
        <w:rPr>
          <w:rFonts w:hint="eastAsia" w:ascii="宋体" w:hAnsi="宋体" w:cs="宋体"/>
          <w:color w:val="auto"/>
          <w:sz w:val="21"/>
          <w:szCs w:val="21"/>
          <w:highlight w:val="none"/>
        </w:rPr>
        <w:t>由于发包人原因引起的暂停施工。</w:t>
      </w:r>
      <w:bookmarkEnd w:id="612"/>
    </w:p>
    <w:p w14:paraId="16C78DBC">
      <w:pPr>
        <w:keepNext/>
        <w:keepLines/>
        <w:spacing w:line="360" w:lineRule="auto"/>
        <w:outlineLvl w:val="2"/>
        <w:rPr>
          <w:rFonts w:hint="eastAsia" w:ascii="宋体" w:hAnsi="宋体" w:cs="宋体"/>
          <w:color w:val="auto"/>
          <w:sz w:val="21"/>
          <w:szCs w:val="21"/>
          <w:highlight w:val="none"/>
        </w:rPr>
      </w:pPr>
      <w:bookmarkStart w:id="613" w:name="_Toc152042470"/>
      <w:bookmarkStart w:id="614" w:name="_Toc179632710"/>
      <w:bookmarkStart w:id="615" w:name="_Toc11231"/>
      <w:bookmarkStart w:id="616" w:name="_Toc144974661"/>
      <w:bookmarkStart w:id="617" w:name="_Toc152045692"/>
      <w:bookmarkStart w:id="618" w:name="_Toc175063883"/>
      <w:r>
        <w:rPr>
          <w:rFonts w:hint="eastAsia" w:ascii="宋体" w:hAnsi="宋体" w:cs="宋体"/>
          <w:color w:val="auto"/>
          <w:sz w:val="21"/>
          <w:szCs w:val="21"/>
          <w:highlight w:val="none"/>
        </w:rPr>
        <w:t>12.3 监理人暂停施工指示</w:t>
      </w:r>
      <w:bookmarkEnd w:id="613"/>
      <w:bookmarkEnd w:id="614"/>
      <w:bookmarkEnd w:id="615"/>
      <w:bookmarkEnd w:id="616"/>
      <w:bookmarkEnd w:id="617"/>
      <w:bookmarkEnd w:id="618"/>
    </w:p>
    <w:p w14:paraId="00951CA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7379AEE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1E36B0A7">
      <w:pPr>
        <w:keepNext/>
        <w:keepLines/>
        <w:spacing w:line="360" w:lineRule="auto"/>
        <w:outlineLvl w:val="2"/>
        <w:rPr>
          <w:rFonts w:hint="eastAsia" w:ascii="宋体" w:hAnsi="宋体" w:cs="宋体"/>
          <w:color w:val="auto"/>
          <w:sz w:val="21"/>
          <w:szCs w:val="21"/>
          <w:highlight w:val="none"/>
        </w:rPr>
      </w:pPr>
      <w:bookmarkStart w:id="619" w:name="_Toc179632711"/>
      <w:bookmarkStart w:id="620" w:name="_Toc13527"/>
      <w:bookmarkStart w:id="621" w:name="_Toc175063884"/>
      <w:bookmarkStart w:id="622" w:name="_Toc144974662"/>
      <w:bookmarkStart w:id="623" w:name="_Toc152042471"/>
      <w:bookmarkStart w:id="624" w:name="_Toc152045693"/>
      <w:r>
        <w:rPr>
          <w:rFonts w:hint="eastAsia" w:ascii="宋体" w:hAnsi="宋体" w:cs="宋体"/>
          <w:color w:val="auto"/>
          <w:sz w:val="21"/>
          <w:szCs w:val="21"/>
          <w:highlight w:val="none"/>
        </w:rPr>
        <w:t>12.4 暂停施工后的复工</w:t>
      </w:r>
      <w:bookmarkEnd w:id="619"/>
      <w:bookmarkEnd w:id="620"/>
      <w:bookmarkEnd w:id="621"/>
      <w:bookmarkEnd w:id="622"/>
      <w:bookmarkEnd w:id="623"/>
      <w:bookmarkEnd w:id="624"/>
    </w:p>
    <w:p w14:paraId="3323BDA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7D2E7D7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12.4.2 承包人无故拖延和拒绝复工的，由此增加的费用和工期延误由承包人承担；因发包人原因无法按时复工的，承包人有权要求发包人延长工期和（或）增加费用，并支付合理利润。</w:t>
      </w:r>
    </w:p>
    <w:p w14:paraId="7B91007E">
      <w:pPr>
        <w:keepNext/>
        <w:keepLines/>
        <w:spacing w:line="360" w:lineRule="auto"/>
        <w:outlineLvl w:val="2"/>
        <w:rPr>
          <w:rFonts w:hint="eastAsia" w:ascii="宋体" w:hAnsi="宋体" w:cs="宋体"/>
          <w:color w:val="auto"/>
          <w:sz w:val="21"/>
          <w:szCs w:val="21"/>
          <w:highlight w:val="none"/>
        </w:rPr>
      </w:pPr>
      <w:bookmarkStart w:id="625" w:name="_Toc144974663"/>
      <w:bookmarkStart w:id="626" w:name="_Toc152042472"/>
      <w:bookmarkStart w:id="627" w:name="_Toc179632712"/>
      <w:bookmarkStart w:id="628" w:name="_Toc10584"/>
      <w:bookmarkStart w:id="629" w:name="_Toc152045694"/>
      <w:bookmarkStart w:id="630" w:name="_Toc175063885"/>
      <w:r>
        <w:rPr>
          <w:rFonts w:hint="eastAsia" w:ascii="宋体" w:hAnsi="宋体" w:cs="宋体"/>
          <w:color w:val="auto"/>
          <w:sz w:val="21"/>
          <w:szCs w:val="21"/>
          <w:highlight w:val="none"/>
        </w:rPr>
        <w:t>12.5 暂停施工持续56天以上</w:t>
      </w:r>
      <w:bookmarkEnd w:id="625"/>
      <w:bookmarkEnd w:id="626"/>
      <w:bookmarkEnd w:id="627"/>
      <w:bookmarkEnd w:id="628"/>
      <w:bookmarkEnd w:id="629"/>
      <w:bookmarkEnd w:id="630"/>
    </w:p>
    <w:p w14:paraId="04CCEB1F">
      <w:pPr>
        <w:spacing w:line="360" w:lineRule="auto"/>
        <w:ind w:firstLine="411" w:firstLineChars="196"/>
        <w:rPr>
          <w:rFonts w:hint="eastAsia" w:ascii="宋体" w:hAnsi="宋体" w:cs="宋体"/>
          <w:color w:val="auto"/>
          <w:sz w:val="21"/>
          <w:szCs w:val="21"/>
          <w:highlight w:val="none"/>
        </w:rPr>
      </w:pPr>
      <w:r>
        <w:rPr>
          <w:rFonts w:hint="eastAsia" w:ascii="宋体" w:hAnsi="宋体" w:cs="宋体"/>
          <w:color w:val="auto"/>
          <w:sz w:val="21"/>
          <w:szCs w:val="21"/>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14:paraId="4464B5C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12.5.2 由于承包人责任引起的暂停施工，如承包人在收到监理人暂停施工指示后56天内不认真采取有效的复工措施，造成工期延误，可视为承包人违约，应按第22.1款的约定办理。</w:t>
      </w:r>
    </w:p>
    <w:p w14:paraId="669EE2B1">
      <w:pPr>
        <w:keepNext/>
        <w:keepLines/>
        <w:spacing w:line="360" w:lineRule="auto"/>
        <w:jc w:val="center"/>
        <w:outlineLvl w:val="1"/>
        <w:rPr>
          <w:rFonts w:hint="eastAsia" w:ascii="宋体" w:hAnsi="宋体" w:cs="宋体"/>
          <w:b/>
          <w:bCs/>
          <w:color w:val="auto"/>
          <w:sz w:val="21"/>
          <w:szCs w:val="21"/>
          <w:highlight w:val="none"/>
        </w:rPr>
      </w:pPr>
      <w:bookmarkStart w:id="631" w:name="_Toc222029514"/>
      <w:bookmarkStart w:id="632" w:name="_Toc221950903"/>
      <w:bookmarkStart w:id="633" w:name="_Toc222033865"/>
      <w:bookmarkStart w:id="634" w:name="_Toc256000079"/>
      <w:bookmarkStart w:id="635" w:name="_Toc229305374"/>
      <w:bookmarkStart w:id="636" w:name="_Toc32520"/>
      <w:bookmarkStart w:id="637" w:name="_Toc175063886"/>
      <w:bookmarkStart w:id="638" w:name="_Toc222032683"/>
      <w:bookmarkStart w:id="639" w:name="_Toc222031016"/>
      <w:bookmarkStart w:id="640" w:name="_Toc229408509"/>
      <w:r>
        <w:rPr>
          <w:rFonts w:hint="eastAsia" w:ascii="宋体" w:hAnsi="宋体" w:cs="宋体"/>
          <w:b/>
          <w:bCs/>
          <w:color w:val="auto"/>
          <w:sz w:val="21"/>
          <w:szCs w:val="21"/>
          <w:highlight w:val="none"/>
        </w:rPr>
        <w:t>13. 工程质量</w:t>
      </w:r>
      <w:bookmarkEnd w:id="631"/>
      <w:bookmarkEnd w:id="632"/>
      <w:bookmarkEnd w:id="633"/>
      <w:bookmarkEnd w:id="634"/>
      <w:bookmarkEnd w:id="635"/>
      <w:bookmarkEnd w:id="636"/>
      <w:bookmarkEnd w:id="637"/>
      <w:bookmarkEnd w:id="638"/>
      <w:bookmarkEnd w:id="639"/>
      <w:bookmarkEnd w:id="640"/>
    </w:p>
    <w:p w14:paraId="786B981C">
      <w:pPr>
        <w:keepNext/>
        <w:keepLines/>
        <w:spacing w:line="360" w:lineRule="auto"/>
        <w:jc w:val="both"/>
        <w:outlineLvl w:val="2"/>
        <w:rPr>
          <w:rFonts w:hint="eastAsia" w:ascii="宋体" w:hAnsi="宋体" w:cs="宋体"/>
          <w:color w:val="auto"/>
          <w:sz w:val="21"/>
          <w:szCs w:val="21"/>
          <w:highlight w:val="none"/>
        </w:rPr>
      </w:pPr>
      <w:bookmarkStart w:id="641" w:name="_Toc179632714"/>
      <w:bookmarkStart w:id="642" w:name="_Toc152045696"/>
      <w:bookmarkStart w:id="643" w:name="_Toc144974665"/>
      <w:bookmarkStart w:id="644" w:name="_Toc152042474"/>
      <w:bookmarkStart w:id="645" w:name="_Toc175063887"/>
      <w:bookmarkStart w:id="646" w:name="_Toc14"/>
      <w:bookmarkStart w:id="647" w:name="_Toc222032684"/>
      <w:bookmarkStart w:id="648" w:name="_Toc222029515"/>
      <w:bookmarkStart w:id="649" w:name="_Toc229305375"/>
      <w:bookmarkStart w:id="650" w:name="_Toc222031017"/>
      <w:bookmarkStart w:id="651" w:name="_Toc222033866"/>
      <w:bookmarkStart w:id="652" w:name="_Toc221950917"/>
      <w:r>
        <w:rPr>
          <w:rFonts w:hint="eastAsia" w:ascii="宋体" w:hAnsi="宋体" w:cs="宋体"/>
          <w:color w:val="auto"/>
          <w:sz w:val="21"/>
          <w:szCs w:val="21"/>
          <w:highlight w:val="none"/>
        </w:rPr>
        <w:t>13.1 工程质量要求</w:t>
      </w:r>
      <w:bookmarkEnd w:id="641"/>
      <w:bookmarkEnd w:id="642"/>
      <w:bookmarkEnd w:id="643"/>
      <w:bookmarkEnd w:id="644"/>
      <w:bookmarkEnd w:id="645"/>
      <w:bookmarkEnd w:id="646"/>
    </w:p>
    <w:p w14:paraId="52B7550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13.1.1 工程质量验收按合同约定验收标准执行。</w:t>
      </w:r>
    </w:p>
    <w:p w14:paraId="5E457B8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13.1.2 因承包人原因造成工程质量达不到合同约定验收标准的，监理人有权要求承包人返工直至符合合同要求为止，由此造成的费用增加和（或）工期延误由承包人承担。</w:t>
      </w:r>
    </w:p>
    <w:p w14:paraId="2AA1CF2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13.1.3 因发包人原因造成工程质量达不到合同约定验收标准的，发包人应承担由于承包人返工造成的费用增加和（或）工期延误，并支付承包人合理利润。</w:t>
      </w:r>
    </w:p>
    <w:p w14:paraId="1C94D978">
      <w:pPr>
        <w:keepNext/>
        <w:keepLines/>
        <w:spacing w:line="360" w:lineRule="auto"/>
        <w:outlineLvl w:val="2"/>
        <w:rPr>
          <w:rFonts w:hint="eastAsia" w:ascii="宋体" w:hAnsi="宋体" w:cs="宋体"/>
          <w:color w:val="auto"/>
          <w:sz w:val="21"/>
          <w:szCs w:val="21"/>
          <w:highlight w:val="none"/>
        </w:rPr>
      </w:pPr>
      <w:bookmarkStart w:id="653" w:name="_Toc152042475"/>
      <w:bookmarkStart w:id="654" w:name="_Toc152045697"/>
      <w:bookmarkStart w:id="655" w:name="_Toc179632715"/>
      <w:bookmarkStart w:id="656" w:name="_Toc144974666"/>
      <w:bookmarkStart w:id="657" w:name="_Toc175063888"/>
      <w:bookmarkStart w:id="658" w:name="_Toc25513"/>
      <w:r>
        <w:rPr>
          <w:rFonts w:hint="eastAsia" w:ascii="宋体" w:hAnsi="宋体" w:cs="宋体"/>
          <w:color w:val="auto"/>
          <w:sz w:val="21"/>
          <w:szCs w:val="21"/>
          <w:highlight w:val="none"/>
        </w:rPr>
        <w:t>13.2 承包人的质量管理</w:t>
      </w:r>
      <w:bookmarkEnd w:id="653"/>
      <w:bookmarkEnd w:id="654"/>
      <w:bookmarkEnd w:id="655"/>
      <w:bookmarkEnd w:id="656"/>
      <w:bookmarkEnd w:id="657"/>
      <w:bookmarkEnd w:id="658"/>
    </w:p>
    <w:p w14:paraId="1567A35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监批。监理人应在技术标准和要求（合同技术条款）约定期限内批复承包人。</w:t>
      </w:r>
    </w:p>
    <w:p w14:paraId="43F1224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13.2.2 承包人应加强对施工人员的质量教育和技术培训，定期考核施工人员的劳动技能，严格执行规范和操作规程。</w:t>
      </w:r>
    </w:p>
    <w:p w14:paraId="14BD056B">
      <w:pPr>
        <w:keepNext/>
        <w:keepLines/>
        <w:spacing w:line="360" w:lineRule="auto"/>
        <w:outlineLvl w:val="2"/>
        <w:rPr>
          <w:rFonts w:hint="eastAsia" w:ascii="宋体" w:hAnsi="宋体" w:cs="宋体"/>
          <w:color w:val="auto"/>
          <w:sz w:val="21"/>
          <w:szCs w:val="21"/>
          <w:highlight w:val="none"/>
        </w:rPr>
      </w:pPr>
      <w:bookmarkStart w:id="659" w:name="_Toc32258"/>
      <w:bookmarkStart w:id="660" w:name="_Toc152042476"/>
      <w:bookmarkStart w:id="661" w:name="_Toc144974667"/>
      <w:bookmarkStart w:id="662" w:name="_Toc179632716"/>
      <w:bookmarkStart w:id="663" w:name="_Toc175063889"/>
      <w:bookmarkStart w:id="664" w:name="_Toc152045698"/>
      <w:r>
        <w:rPr>
          <w:rFonts w:hint="eastAsia" w:ascii="宋体" w:hAnsi="宋体" w:cs="宋体"/>
          <w:color w:val="auto"/>
          <w:sz w:val="21"/>
          <w:szCs w:val="21"/>
          <w:highlight w:val="none"/>
        </w:rPr>
        <w:t>13.3 承包人的质量检查</w:t>
      </w:r>
      <w:bookmarkEnd w:id="659"/>
      <w:bookmarkEnd w:id="660"/>
      <w:bookmarkEnd w:id="661"/>
      <w:bookmarkEnd w:id="662"/>
      <w:bookmarkEnd w:id="663"/>
      <w:bookmarkEnd w:id="664"/>
    </w:p>
    <w:p w14:paraId="3285848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承包人应按合同约定对材料、工程设备以及工程的所有部位及其施工工艺进行全过程的质量检查和检验，并</w:t>
      </w:r>
      <w:r>
        <w:rPr>
          <w:rFonts w:hint="eastAsia" w:ascii="宋体" w:hAnsi="宋体" w:cs="宋体"/>
          <w:color w:val="auto"/>
          <w:sz w:val="21"/>
          <w:szCs w:val="21"/>
          <w:highlight w:val="none"/>
          <w:lang w:eastAsia="zh-CN"/>
        </w:rPr>
        <w:t>做</w:t>
      </w:r>
      <w:r>
        <w:rPr>
          <w:rFonts w:hint="eastAsia" w:ascii="宋体" w:hAnsi="宋体" w:cs="宋体"/>
          <w:color w:val="auto"/>
          <w:sz w:val="21"/>
          <w:szCs w:val="21"/>
          <w:highlight w:val="none"/>
        </w:rPr>
        <w:t>详细记录，编制工程质量报表，报送监理人审查。</w:t>
      </w:r>
    </w:p>
    <w:p w14:paraId="47393044">
      <w:pPr>
        <w:keepNext/>
        <w:keepLines/>
        <w:spacing w:line="360" w:lineRule="auto"/>
        <w:outlineLvl w:val="2"/>
        <w:rPr>
          <w:rFonts w:hint="eastAsia" w:ascii="宋体" w:hAnsi="宋体" w:cs="宋体"/>
          <w:color w:val="auto"/>
          <w:sz w:val="21"/>
          <w:szCs w:val="21"/>
          <w:highlight w:val="none"/>
        </w:rPr>
      </w:pPr>
      <w:bookmarkStart w:id="665" w:name="_Toc13288"/>
      <w:bookmarkStart w:id="666" w:name="_Toc179632717"/>
      <w:bookmarkStart w:id="667" w:name="_Toc175063890"/>
      <w:bookmarkStart w:id="668" w:name="_Toc144974668"/>
      <w:bookmarkStart w:id="669" w:name="_Toc152045699"/>
      <w:bookmarkStart w:id="670" w:name="_Toc152042477"/>
      <w:r>
        <w:rPr>
          <w:rFonts w:hint="eastAsia" w:ascii="宋体" w:hAnsi="宋体" w:cs="宋体"/>
          <w:color w:val="auto"/>
          <w:sz w:val="21"/>
          <w:szCs w:val="21"/>
          <w:highlight w:val="none"/>
        </w:rPr>
        <w:t>13.4 监理人的质量检查</w:t>
      </w:r>
      <w:bookmarkEnd w:id="665"/>
      <w:bookmarkEnd w:id="666"/>
      <w:bookmarkEnd w:id="667"/>
      <w:bookmarkEnd w:id="668"/>
      <w:bookmarkEnd w:id="669"/>
      <w:bookmarkEnd w:id="670"/>
    </w:p>
    <w:p w14:paraId="77FD6DA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监理人有权对工程的所有部位及其施工工艺、材料和工程设备进行检查和检验。承包人应为监理人的检查和检验提供方便，包括监理人到施工场地，或制造、加工地点，或合同约定的其他地方进行</w:t>
      </w:r>
      <w:r>
        <w:rPr>
          <w:rFonts w:hint="eastAsia" w:ascii="宋体" w:hAnsi="宋体" w:cs="宋体"/>
          <w:color w:val="auto"/>
          <w:sz w:val="21"/>
          <w:szCs w:val="21"/>
          <w:highlight w:val="none"/>
          <w:lang w:eastAsia="zh-CN"/>
        </w:rPr>
        <w:t>查看</w:t>
      </w:r>
      <w:r>
        <w:rPr>
          <w:rFonts w:hint="eastAsia" w:ascii="宋体" w:hAnsi="宋体" w:cs="宋体"/>
          <w:color w:val="auto"/>
          <w:sz w:val="21"/>
          <w:szCs w:val="21"/>
          <w:highlight w:val="none"/>
        </w:rPr>
        <w:t>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50648E69">
      <w:pPr>
        <w:keepNext/>
        <w:keepLines/>
        <w:spacing w:line="360" w:lineRule="auto"/>
        <w:outlineLvl w:val="2"/>
        <w:rPr>
          <w:rFonts w:hint="eastAsia" w:ascii="宋体" w:hAnsi="宋体" w:cs="宋体"/>
          <w:color w:val="auto"/>
          <w:sz w:val="21"/>
          <w:szCs w:val="21"/>
          <w:highlight w:val="none"/>
        </w:rPr>
      </w:pPr>
      <w:bookmarkStart w:id="671" w:name="_Toc179632718"/>
      <w:bookmarkStart w:id="672" w:name="_Toc17938"/>
      <w:bookmarkStart w:id="673" w:name="_Toc152042478"/>
      <w:bookmarkStart w:id="674" w:name="_Toc152045700"/>
      <w:bookmarkStart w:id="675" w:name="_Toc175063891"/>
      <w:bookmarkStart w:id="676" w:name="_Toc144974669"/>
      <w:r>
        <w:rPr>
          <w:rFonts w:hint="eastAsia" w:ascii="宋体" w:hAnsi="宋体" w:cs="宋体"/>
          <w:color w:val="auto"/>
          <w:sz w:val="21"/>
          <w:szCs w:val="21"/>
          <w:highlight w:val="none"/>
        </w:rPr>
        <w:t>13.5 工程隐蔽部位覆盖前的检查</w:t>
      </w:r>
      <w:bookmarkEnd w:id="671"/>
      <w:bookmarkEnd w:id="672"/>
      <w:bookmarkEnd w:id="673"/>
      <w:bookmarkEnd w:id="674"/>
      <w:bookmarkEnd w:id="675"/>
      <w:bookmarkEnd w:id="676"/>
    </w:p>
    <w:p w14:paraId="3CB83DF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13.5.1 通知监理人检查</w:t>
      </w:r>
    </w:p>
    <w:p w14:paraId="032E152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19EF677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13.5.2 监理人未到场检查</w:t>
      </w:r>
    </w:p>
    <w:p w14:paraId="1062283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20AC9AF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13.5.3 监理人重新检查</w:t>
      </w:r>
    </w:p>
    <w:p w14:paraId="18C2EF2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095D355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13.5.4 承包人私自覆盖</w:t>
      </w:r>
    </w:p>
    <w:p w14:paraId="57D4D8D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承包人未通知监理人到场检查，私自将工程隐蔽部位覆盖的，监理人有权指示承包人钻孔探测或揭开检查，由此增加的费用和（或）工期延误由承包人承担。</w:t>
      </w:r>
    </w:p>
    <w:p w14:paraId="1B90C3AC">
      <w:pPr>
        <w:keepNext/>
        <w:keepLines/>
        <w:spacing w:line="360" w:lineRule="auto"/>
        <w:outlineLvl w:val="2"/>
        <w:rPr>
          <w:rFonts w:hint="eastAsia" w:ascii="宋体" w:hAnsi="宋体" w:cs="宋体"/>
          <w:color w:val="auto"/>
          <w:sz w:val="21"/>
          <w:szCs w:val="21"/>
          <w:highlight w:val="none"/>
        </w:rPr>
      </w:pPr>
      <w:bookmarkStart w:id="677" w:name="_Toc144974670"/>
      <w:bookmarkStart w:id="678" w:name="_Toc179632719"/>
      <w:bookmarkStart w:id="679" w:name="_Toc152045701"/>
      <w:bookmarkStart w:id="680" w:name="_Toc152042479"/>
      <w:bookmarkStart w:id="681" w:name="_Toc27629"/>
      <w:bookmarkStart w:id="682" w:name="_Toc175063892"/>
      <w:r>
        <w:rPr>
          <w:rFonts w:hint="eastAsia" w:ascii="宋体" w:hAnsi="宋体" w:cs="宋体"/>
          <w:color w:val="auto"/>
          <w:sz w:val="21"/>
          <w:szCs w:val="21"/>
          <w:highlight w:val="none"/>
        </w:rPr>
        <w:t>13.6 清除不合格工程</w:t>
      </w:r>
      <w:bookmarkEnd w:id="677"/>
      <w:bookmarkEnd w:id="678"/>
      <w:bookmarkEnd w:id="679"/>
      <w:bookmarkEnd w:id="680"/>
      <w:bookmarkEnd w:id="681"/>
      <w:bookmarkEnd w:id="682"/>
    </w:p>
    <w:p w14:paraId="1BAF5D1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31936A1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13.6.2 由于发包人提供的材料或工程设备不合格造成的工程不合格，需要承包人采取措施补救的，发包人应承担由此增加的费用和（或）工期延误，并支付承包人合理利润。</w:t>
      </w:r>
    </w:p>
    <w:p w14:paraId="7F59BE4E">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13.7 质量评定</w:t>
      </w:r>
    </w:p>
    <w:p w14:paraId="30E6C141">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13.7.1发包人应组织进行工程项目划分，并确定单位工程、主要分部工程、重要隐蔽单元工程和关键部位单元工程。</w:t>
      </w:r>
    </w:p>
    <w:p w14:paraId="1F90AB77">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13.7.2工程实施过程中，单位工程、主要分部工程、重要隐蔽单元工程和关键部位单元工程的项目划分需要调整时，承包人应报发包人确认。</w:t>
      </w:r>
    </w:p>
    <w:p w14:paraId="0C0EA756">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13.7.3承包人应在单元（工序）工程质量自评合格后，报监理人核定质量等级并签证认可。</w:t>
      </w:r>
    </w:p>
    <w:p w14:paraId="29363D13">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13.7.4除专用合同条款另有约定外，承包人应在重要隐蔽单元工程及关键部位单元工程质量自评合格后以及监理人抽检后，由监理人组织承包人等单位组成的联合小组，共同检查核定其质量等级并填写签证表。发包人按有关规定完成质量结论报工程质量监督机构核备手续。</w:t>
      </w:r>
    </w:p>
    <w:p w14:paraId="20D1C989">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13.7.5承包人应在分部工程质量自评合格后，报监理人复核和发包人认定。发包人负责按有关规定完成分部工程质量结论报工程质量监督机构核备（核定）手续。</w:t>
      </w:r>
    </w:p>
    <w:p w14:paraId="2B2D5920">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13.7.6承包人应在单位工程质量自评合格后，报监理人复核和发包人认定。发包人负责按有关规定完成单位工程质量结论报工程质量监督机构核定手续。</w:t>
      </w:r>
    </w:p>
    <w:p w14:paraId="05C0D7A0">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13.7.7除专用合同条款另有约定外，工程质量等级分为合格和优良，应分别达到约定的标准。</w:t>
      </w:r>
    </w:p>
    <w:p w14:paraId="521CD50A">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13.8 质量事故处理</w:t>
      </w:r>
    </w:p>
    <w:p w14:paraId="3725B826">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13.8.1发生质量事故时，承包人应及时向发包人和监理人报告。</w:t>
      </w:r>
    </w:p>
    <w:p w14:paraId="3D1669A3">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13.8.2质量事故调查处理由发包人按相关规定履行手续，承包人应配合。</w:t>
      </w:r>
    </w:p>
    <w:p w14:paraId="1FDF7845">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13.8.3承包人应对质量缺陷进行备案。发包人委托监理人对质量缺陷备案情况进行监督检查并履行相关手续。</w:t>
      </w:r>
    </w:p>
    <w:p w14:paraId="5B15B1AD">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13.8.4除专用合同条款另有约定外，工程竣工验收时，发包人负责向竣工验收委员会汇报并提交历次质量缺陷处理的备案资料。</w:t>
      </w:r>
    </w:p>
    <w:p w14:paraId="6A4E260B">
      <w:pPr>
        <w:keepNext/>
        <w:keepLines/>
        <w:spacing w:line="360" w:lineRule="auto"/>
        <w:jc w:val="center"/>
        <w:outlineLvl w:val="1"/>
        <w:rPr>
          <w:rFonts w:hint="eastAsia" w:ascii="宋体" w:hAnsi="宋体" w:cs="宋体"/>
          <w:b/>
          <w:bCs/>
          <w:color w:val="auto"/>
          <w:sz w:val="21"/>
          <w:szCs w:val="21"/>
          <w:highlight w:val="none"/>
        </w:rPr>
      </w:pPr>
      <w:bookmarkStart w:id="683" w:name="_Toc229408510"/>
      <w:bookmarkStart w:id="684" w:name="_Toc256000080"/>
      <w:bookmarkStart w:id="685" w:name="_Toc175063893"/>
      <w:bookmarkStart w:id="686" w:name="_Toc15747"/>
      <w:r>
        <w:rPr>
          <w:rFonts w:hint="eastAsia" w:ascii="宋体" w:hAnsi="宋体" w:cs="宋体"/>
          <w:b/>
          <w:bCs/>
          <w:color w:val="auto"/>
          <w:sz w:val="21"/>
          <w:szCs w:val="21"/>
          <w:highlight w:val="none"/>
        </w:rPr>
        <w:t>14. 试验和检验</w:t>
      </w:r>
      <w:bookmarkEnd w:id="647"/>
      <w:bookmarkEnd w:id="648"/>
      <w:bookmarkEnd w:id="649"/>
      <w:bookmarkEnd w:id="650"/>
      <w:bookmarkEnd w:id="651"/>
      <w:bookmarkEnd w:id="652"/>
      <w:bookmarkEnd w:id="683"/>
      <w:bookmarkEnd w:id="684"/>
      <w:bookmarkEnd w:id="685"/>
      <w:bookmarkEnd w:id="686"/>
    </w:p>
    <w:p w14:paraId="531658EC">
      <w:pPr>
        <w:keepNext/>
        <w:keepLines/>
        <w:spacing w:line="360" w:lineRule="auto"/>
        <w:jc w:val="center"/>
        <w:outlineLvl w:val="2"/>
        <w:rPr>
          <w:rFonts w:hint="eastAsia" w:ascii="宋体" w:hAnsi="宋体" w:cs="宋体"/>
          <w:b/>
          <w:bCs/>
          <w:color w:val="auto"/>
          <w:sz w:val="21"/>
          <w:szCs w:val="21"/>
          <w:highlight w:val="none"/>
        </w:rPr>
      </w:pPr>
      <w:bookmarkStart w:id="687" w:name="_Toc14012"/>
      <w:bookmarkStart w:id="688" w:name="_Toc175063894"/>
      <w:r>
        <w:rPr>
          <w:rFonts w:hint="eastAsia" w:ascii="宋体" w:hAnsi="宋体" w:cs="宋体"/>
          <w:b/>
          <w:bCs/>
          <w:color w:val="auto"/>
          <w:sz w:val="21"/>
          <w:szCs w:val="21"/>
          <w:highlight w:val="none"/>
        </w:rPr>
        <w:t>14.1材料、工程设备和工程的试验和检验</w:t>
      </w:r>
      <w:bookmarkEnd w:id="687"/>
      <w:bookmarkEnd w:id="688"/>
    </w:p>
    <w:p w14:paraId="1B5E494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B2DDFB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14.1.2 监理人未按合同约定派员参加试验和检验的，除监理人另有指示外，承包人可自行试验和检验，并应立即将试验和检验结果报送监理人，监理人应签字确认。</w:t>
      </w:r>
    </w:p>
    <w:p w14:paraId="79EC4EC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7997770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14.1.4承包人应按相关规定和标准对水泥、钢材等原材料与中间产品质量进行检验，并报监理人复核。</w:t>
      </w:r>
    </w:p>
    <w:p w14:paraId="42BDDA5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14.1.5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w:t>
      </w:r>
      <w:r>
        <w:rPr>
          <w:rFonts w:hint="eastAsia" w:ascii="宋体" w:hAnsi="宋体" w:cs="宋体"/>
          <w:color w:val="auto"/>
          <w:sz w:val="21"/>
          <w:szCs w:val="21"/>
          <w:highlight w:val="none"/>
          <w:lang w:eastAsia="zh-CN"/>
        </w:rPr>
        <w:t>做好记录，并</w:t>
      </w:r>
      <w:r>
        <w:rPr>
          <w:rFonts w:hint="eastAsia" w:ascii="宋体" w:hAnsi="宋体" w:cs="宋体"/>
          <w:color w:val="auto"/>
          <w:sz w:val="21"/>
          <w:szCs w:val="21"/>
          <w:highlight w:val="none"/>
        </w:rPr>
        <w:t>进行妥善处理。</w:t>
      </w:r>
    </w:p>
    <w:p w14:paraId="086E78F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14.1.6对专用合同条款约定的试块、试件及有关材料，监理人实行见证取样。见证取样资料由承包人制备，记录应真实齐全，监理人、承包人等参与见证取样人员均应在相关文件上签字。</w:t>
      </w:r>
    </w:p>
    <w:p w14:paraId="1122DC58">
      <w:pPr>
        <w:keepNext/>
        <w:keepLines/>
        <w:spacing w:line="360" w:lineRule="auto"/>
        <w:outlineLvl w:val="2"/>
        <w:rPr>
          <w:rFonts w:hint="eastAsia" w:ascii="宋体" w:hAnsi="宋体" w:cs="宋体"/>
          <w:color w:val="auto"/>
          <w:sz w:val="21"/>
          <w:szCs w:val="21"/>
          <w:highlight w:val="none"/>
        </w:rPr>
      </w:pPr>
      <w:bookmarkStart w:id="689" w:name="_Toc179632722"/>
      <w:bookmarkStart w:id="690" w:name="_Toc152045704"/>
      <w:bookmarkStart w:id="691" w:name="_Toc152042482"/>
      <w:bookmarkStart w:id="692" w:name="_Toc6866"/>
      <w:bookmarkStart w:id="693" w:name="_Toc175063895"/>
      <w:bookmarkStart w:id="694" w:name="_Toc144974673"/>
      <w:r>
        <w:rPr>
          <w:rFonts w:hint="eastAsia" w:ascii="宋体" w:hAnsi="宋体" w:cs="宋体"/>
          <w:color w:val="auto"/>
          <w:sz w:val="21"/>
          <w:szCs w:val="21"/>
          <w:highlight w:val="none"/>
        </w:rPr>
        <w:t>14.2 现场材料试验</w:t>
      </w:r>
      <w:bookmarkEnd w:id="689"/>
      <w:bookmarkEnd w:id="690"/>
      <w:bookmarkEnd w:id="691"/>
      <w:bookmarkEnd w:id="692"/>
      <w:bookmarkEnd w:id="693"/>
      <w:bookmarkEnd w:id="694"/>
    </w:p>
    <w:p w14:paraId="016BDC3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14.2.1 承包人根据合同约定或监理人指示进行的现场材料试验，应由承包人提供试验场所、试验人员、试验设备器材以及其他必要的试验条件。</w:t>
      </w:r>
    </w:p>
    <w:p w14:paraId="21EAC41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14.2.2 监理人在必要时可以使用承包人的试验场所、试验设备器材以及其他试验条件，进行以工程质量检查为目的的复核性材料试验，承包人应予以协助。</w:t>
      </w:r>
    </w:p>
    <w:p w14:paraId="4671E8CC">
      <w:pPr>
        <w:keepNext/>
        <w:keepLines/>
        <w:spacing w:line="360" w:lineRule="auto"/>
        <w:outlineLvl w:val="2"/>
        <w:rPr>
          <w:rFonts w:hint="eastAsia" w:ascii="宋体" w:hAnsi="宋体" w:cs="宋体"/>
          <w:color w:val="auto"/>
          <w:sz w:val="21"/>
          <w:szCs w:val="21"/>
          <w:highlight w:val="none"/>
        </w:rPr>
      </w:pPr>
      <w:bookmarkStart w:id="695" w:name="_Toc152042483"/>
      <w:bookmarkStart w:id="696" w:name="_Toc179632723"/>
      <w:bookmarkStart w:id="697" w:name="_Toc29248"/>
      <w:bookmarkStart w:id="698" w:name="_Toc152045705"/>
      <w:bookmarkStart w:id="699" w:name="_Toc175063896"/>
      <w:bookmarkStart w:id="700" w:name="_Toc144974674"/>
      <w:r>
        <w:rPr>
          <w:rFonts w:hint="eastAsia" w:ascii="宋体" w:hAnsi="宋体" w:cs="宋体"/>
          <w:color w:val="auto"/>
          <w:sz w:val="21"/>
          <w:szCs w:val="21"/>
          <w:highlight w:val="none"/>
        </w:rPr>
        <w:t>14.3 现场工艺试验</w:t>
      </w:r>
      <w:bookmarkEnd w:id="695"/>
      <w:bookmarkEnd w:id="696"/>
      <w:bookmarkEnd w:id="697"/>
      <w:bookmarkEnd w:id="698"/>
      <w:bookmarkEnd w:id="699"/>
      <w:bookmarkEnd w:id="700"/>
    </w:p>
    <w:p w14:paraId="1AFCA6C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6997C99B">
      <w:pPr>
        <w:keepNext/>
        <w:keepLines/>
        <w:spacing w:line="360" w:lineRule="auto"/>
        <w:jc w:val="center"/>
        <w:outlineLvl w:val="1"/>
        <w:rPr>
          <w:rFonts w:hint="eastAsia" w:ascii="宋体" w:hAnsi="宋体" w:cs="宋体"/>
          <w:b/>
          <w:bCs/>
          <w:color w:val="auto"/>
          <w:sz w:val="21"/>
          <w:szCs w:val="21"/>
          <w:highlight w:val="none"/>
        </w:rPr>
      </w:pPr>
      <w:bookmarkStart w:id="701" w:name="_Toc18455"/>
      <w:bookmarkStart w:id="702" w:name="_Toc222032685"/>
      <w:bookmarkStart w:id="703" w:name="_Toc222031018"/>
      <w:bookmarkStart w:id="704" w:name="_Toc222029516"/>
      <w:bookmarkStart w:id="705" w:name="_Toc229305376"/>
      <w:bookmarkStart w:id="706" w:name="_Toc256000081"/>
      <w:bookmarkStart w:id="707" w:name="_Toc222033867"/>
      <w:bookmarkStart w:id="708" w:name="_Toc229408511"/>
      <w:bookmarkStart w:id="709" w:name="_Toc221950924"/>
      <w:bookmarkStart w:id="710" w:name="_Toc175063897"/>
      <w:r>
        <w:rPr>
          <w:rFonts w:hint="eastAsia" w:ascii="宋体" w:hAnsi="宋体" w:cs="宋体"/>
          <w:b/>
          <w:bCs/>
          <w:color w:val="auto"/>
          <w:sz w:val="21"/>
          <w:szCs w:val="21"/>
          <w:highlight w:val="none"/>
        </w:rPr>
        <w:t>15. 变更</w:t>
      </w:r>
      <w:bookmarkEnd w:id="701"/>
      <w:bookmarkEnd w:id="702"/>
      <w:bookmarkEnd w:id="703"/>
      <w:bookmarkEnd w:id="704"/>
      <w:bookmarkEnd w:id="705"/>
      <w:bookmarkEnd w:id="706"/>
      <w:bookmarkEnd w:id="707"/>
      <w:bookmarkEnd w:id="708"/>
      <w:bookmarkEnd w:id="709"/>
      <w:bookmarkEnd w:id="710"/>
    </w:p>
    <w:p w14:paraId="7F1E35EB">
      <w:pPr>
        <w:keepNext/>
        <w:keepLines/>
        <w:spacing w:line="360" w:lineRule="auto"/>
        <w:jc w:val="center"/>
        <w:outlineLvl w:val="2"/>
        <w:rPr>
          <w:rFonts w:hint="eastAsia" w:ascii="宋体" w:hAnsi="宋体" w:cs="宋体"/>
          <w:b/>
          <w:bCs/>
          <w:color w:val="auto"/>
          <w:sz w:val="21"/>
          <w:szCs w:val="21"/>
          <w:highlight w:val="none"/>
        </w:rPr>
      </w:pPr>
      <w:bookmarkStart w:id="711" w:name="_Toc15521"/>
      <w:bookmarkStart w:id="712" w:name="_Toc175063898"/>
      <w:bookmarkStart w:id="713" w:name="_Toc221950925"/>
      <w:r>
        <w:rPr>
          <w:rFonts w:hint="eastAsia" w:ascii="宋体" w:hAnsi="宋体" w:cs="宋体"/>
          <w:b/>
          <w:bCs/>
          <w:color w:val="auto"/>
          <w:sz w:val="21"/>
          <w:szCs w:val="21"/>
          <w:highlight w:val="none"/>
        </w:rPr>
        <w:t>15.1 变更的范围和内容</w:t>
      </w:r>
      <w:bookmarkEnd w:id="711"/>
      <w:bookmarkEnd w:id="712"/>
      <w:bookmarkEnd w:id="713"/>
    </w:p>
    <w:p w14:paraId="450766D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在履行合同中发生以下情形之一，应按照本条规定进行变更。</w:t>
      </w:r>
    </w:p>
    <w:p w14:paraId="48002FE0">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（1）取消合同中任何一项工作，但被取消的工作不能转由发包人或</w:t>
      </w:r>
      <w:r>
        <w:rPr>
          <w:rFonts w:hint="eastAsia" w:ascii="宋体" w:hAnsi="宋体" w:cs="宋体"/>
          <w:color w:val="auto"/>
          <w:sz w:val="21"/>
          <w:szCs w:val="21"/>
          <w:highlight w:val="none"/>
          <w:lang w:eastAsia="zh-CN"/>
        </w:rPr>
        <w:t>其他人</w:t>
      </w:r>
      <w:r>
        <w:rPr>
          <w:rFonts w:hint="eastAsia" w:ascii="宋体" w:hAnsi="宋体" w:cs="宋体"/>
          <w:color w:val="auto"/>
          <w:sz w:val="21"/>
          <w:szCs w:val="21"/>
          <w:highlight w:val="none"/>
        </w:rPr>
        <w:t>实施；</w:t>
      </w:r>
    </w:p>
    <w:p w14:paraId="4A3976F2">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（2）改变合同中任何一项工作的质量或其它特性；</w:t>
      </w:r>
    </w:p>
    <w:p w14:paraId="19950233">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（3）改变合同工程的基线、标高、位置或尺寸；</w:t>
      </w:r>
    </w:p>
    <w:p w14:paraId="048221AB">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（4）改变合同中任何一项工作的施工时间或改变已批准的施工工艺或顺序；</w:t>
      </w:r>
    </w:p>
    <w:p w14:paraId="0F524702">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（5）为完成工程需要追加的额外工作。</w:t>
      </w:r>
    </w:p>
    <w:p w14:paraId="627ADFCE">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（6）增加或减少专用合同条款中约定的关键项目工程量超过其工程总量的一定数量的百分比。</w:t>
      </w:r>
    </w:p>
    <w:p w14:paraId="1EE8D800">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上述第（1）～（6）目的变更内容引起工程施工组织和进度计划发生实质性变动和影响其原定的价格时，才予调整该项目的单价。第（6）目情形下单价调整方式在专用合同条款中约定。</w:t>
      </w:r>
    </w:p>
    <w:p w14:paraId="65B33CA2">
      <w:pPr>
        <w:keepNext/>
        <w:keepLines/>
        <w:spacing w:line="360" w:lineRule="auto"/>
        <w:outlineLvl w:val="2"/>
        <w:rPr>
          <w:rFonts w:hint="eastAsia" w:ascii="宋体" w:hAnsi="宋体" w:cs="宋体"/>
          <w:color w:val="auto"/>
          <w:sz w:val="21"/>
          <w:szCs w:val="21"/>
          <w:highlight w:val="none"/>
        </w:rPr>
      </w:pPr>
      <w:bookmarkStart w:id="714" w:name="_Toc175063899"/>
      <w:bookmarkStart w:id="715" w:name="_Toc152042486"/>
      <w:bookmarkStart w:id="716" w:name="_Toc7554"/>
      <w:bookmarkStart w:id="717" w:name="_Toc152045708"/>
      <w:bookmarkStart w:id="718" w:name="_Toc144974677"/>
      <w:bookmarkStart w:id="719" w:name="_Toc179632726"/>
      <w:bookmarkStart w:id="720" w:name="_Toc221950942"/>
      <w:r>
        <w:rPr>
          <w:rFonts w:hint="eastAsia" w:ascii="宋体" w:hAnsi="宋体" w:cs="宋体"/>
          <w:color w:val="auto"/>
          <w:sz w:val="21"/>
          <w:szCs w:val="21"/>
          <w:highlight w:val="none"/>
        </w:rPr>
        <w:t>15.2 变更权</w:t>
      </w:r>
      <w:bookmarkEnd w:id="714"/>
      <w:bookmarkEnd w:id="715"/>
      <w:bookmarkEnd w:id="716"/>
      <w:bookmarkEnd w:id="717"/>
      <w:bookmarkEnd w:id="718"/>
      <w:bookmarkEnd w:id="719"/>
    </w:p>
    <w:p w14:paraId="2829FB6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在履行合同过程中，经发包人同意，监理人可按第15.3款约定的变更程序向承包人作出变更指示，承包人应遵照执行。没有监理人的变更指示，承包人不得擅自变更。</w:t>
      </w:r>
    </w:p>
    <w:p w14:paraId="6D9D7A9F">
      <w:pPr>
        <w:keepNext/>
        <w:keepLines/>
        <w:spacing w:line="360" w:lineRule="auto"/>
        <w:outlineLvl w:val="2"/>
        <w:rPr>
          <w:rFonts w:hint="eastAsia" w:ascii="宋体" w:hAnsi="宋体" w:cs="宋体"/>
          <w:color w:val="auto"/>
          <w:sz w:val="21"/>
          <w:szCs w:val="21"/>
          <w:highlight w:val="none"/>
        </w:rPr>
      </w:pPr>
      <w:bookmarkStart w:id="721" w:name="_Toc175063900"/>
      <w:bookmarkStart w:id="722" w:name="_Toc7505"/>
      <w:bookmarkStart w:id="723" w:name="_Toc179632727"/>
      <w:bookmarkStart w:id="724" w:name="_Toc152045709"/>
      <w:bookmarkStart w:id="725" w:name="_Toc152042487"/>
      <w:bookmarkStart w:id="726" w:name="_Toc144974678"/>
      <w:r>
        <w:rPr>
          <w:rFonts w:hint="eastAsia" w:ascii="宋体" w:hAnsi="宋体" w:cs="宋体"/>
          <w:color w:val="auto"/>
          <w:sz w:val="21"/>
          <w:szCs w:val="21"/>
          <w:highlight w:val="none"/>
        </w:rPr>
        <w:t>15.3 变更程序</w:t>
      </w:r>
      <w:bookmarkEnd w:id="721"/>
      <w:bookmarkEnd w:id="722"/>
      <w:bookmarkEnd w:id="723"/>
      <w:bookmarkEnd w:id="724"/>
      <w:bookmarkEnd w:id="725"/>
      <w:bookmarkEnd w:id="726"/>
    </w:p>
    <w:p w14:paraId="4D76236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15.3.1 变更的提出</w:t>
      </w:r>
    </w:p>
    <w:p w14:paraId="48398AE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6291866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（2）在合同履行过程中，发生第15.1款约定情形的，监理人应按照第15.3.3项约定向承包人发出变更指示。</w:t>
      </w:r>
    </w:p>
    <w:p w14:paraId="03DDB46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6B5F640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（4）若承包人收到监理人的变更意向书后认为难以实施此项变更，应立即通知监理人，说明原因并附详细依据。监理人与承包人和发包人协商后确定撤销、改变或不改变原变更意向书。</w:t>
      </w:r>
    </w:p>
    <w:p w14:paraId="458C733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15.3.2 变更估价</w:t>
      </w:r>
    </w:p>
    <w:p w14:paraId="382D2B1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37DB2C4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（2）变更工作影响工期的，承包人应提出调整工期的具体细节。监理人认为有必要时，可要求承包人提交要求提前或延长工期的施工进度计划及相应施工措施等详细资料。</w:t>
      </w:r>
    </w:p>
    <w:p w14:paraId="6E3F9E7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（3）除专用合同条款对期限另有约定外，监理人收到承包人变更报价书后的14天内，根据第15.4款约定的估价原则，按照第3.5款商定或确定变更价格。</w:t>
      </w:r>
    </w:p>
    <w:p w14:paraId="19AE941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15.3.3 变更指示</w:t>
      </w:r>
    </w:p>
    <w:p w14:paraId="597523E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（1）变更指示只能由监理人发出。</w:t>
      </w:r>
    </w:p>
    <w:p w14:paraId="7DF043E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（2）变更指示应说明变更的目的、范围、变更内容以及变更的工程量及其进度和技术要求，并附有关图纸和文件。承包人收到变更指示后，应按变更指示进行变更工作。</w:t>
      </w:r>
    </w:p>
    <w:p w14:paraId="056A5BC7">
      <w:pPr>
        <w:keepNext/>
        <w:keepLines/>
        <w:spacing w:line="360" w:lineRule="auto"/>
        <w:outlineLvl w:val="2"/>
        <w:rPr>
          <w:rFonts w:hint="eastAsia" w:ascii="宋体" w:hAnsi="宋体" w:cs="宋体"/>
          <w:color w:val="auto"/>
          <w:sz w:val="21"/>
          <w:szCs w:val="21"/>
          <w:highlight w:val="none"/>
        </w:rPr>
      </w:pPr>
      <w:bookmarkStart w:id="727" w:name="_Toc152045710"/>
      <w:bookmarkStart w:id="728" w:name="_Toc144974679"/>
      <w:bookmarkStart w:id="729" w:name="_Toc175063901"/>
      <w:bookmarkStart w:id="730" w:name="_Toc23737"/>
      <w:bookmarkStart w:id="731" w:name="_Toc152042488"/>
      <w:bookmarkStart w:id="732" w:name="_Toc179632728"/>
      <w:r>
        <w:rPr>
          <w:rFonts w:hint="eastAsia" w:ascii="宋体" w:hAnsi="宋体" w:cs="宋体"/>
          <w:color w:val="auto"/>
          <w:sz w:val="21"/>
          <w:szCs w:val="21"/>
          <w:highlight w:val="none"/>
        </w:rPr>
        <w:t>15.4 变更的估价原则</w:t>
      </w:r>
      <w:bookmarkEnd w:id="727"/>
      <w:bookmarkEnd w:id="728"/>
      <w:bookmarkEnd w:id="729"/>
      <w:bookmarkEnd w:id="730"/>
      <w:bookmarkEnd w:id="731"/>
      <w:bookmarkEnd w:id="732"/>
    </w:p>
    <w:p w14:paraId="5C4F86D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除专用合同条款另有约定外，因变更引起的价格调整按照本款约定处理。</w:t>
      </w:r>
    </w:p>
    <w:p w14:paraId="71F4734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15.4.1 已标价工程量清单中有适用于变更工作的子目的，采用该子目的单价。</w:t>
      </w:r>
    </w:p>
    <w:p w14:paraId="49F7DCE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15.4.2 已标价工程量清单中无适用于变更工作的子目，但有类似子目的，可在合理范围内参照类似子目的单价，由监理人按第3.5款商定或确定变更工作的单价。</w:t>
      </w:r>
    </w:p>
    <w:p w14:paraId="44E1C5C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15.4.3 已标价工程量清单中无适用或类似子目的单价，可按照成本加利润的原则，由监理人按第3.5款商定或确定变更工作的单价。</w:t>
      </w:r>
    </w:p>
    <w:p w14:paraId="246E6BC5">
      <w:pPr>
        <w:keepNext/>
        <w:keepLines/>
        <w:spacing w:line="360" w:lineRule="auto"/>
        <w:outlineLvl w:val="2"/>
        <w:rPr>
          <w:rFonts w:hint="eastAsia" w:ascii="宋体" w:hAnsi="宋体" w:cs="宋体"/>
          <w:color w:val="auto"/>
          <w:sz w:val="21"/>
          <w:szCs w:val="21"/>
          <w:highlight w:val="none"/>
        </w:rPr>
      </w:pPr>
      <w:bookmarkStart w:id="733" w:name="_Toc12149"/>
      <w:bookmarkStart w:id="734" w:name="_Toc144974680"/>
      <w:bookmarkStart w:id="735" w:name="_Toc179632729"/>
      <w:bookmarkStart w:id="736" w:name="_Toc175063902"/>
      <w:bookmarkStart w:id="737" w:name="_Toc152045711"/>
      <w:bookmarkStart w:id="738" w:name="_Toc152042489"/>
      <w:r>
        <w:rPr>
          <w:rFonts w:hint="eastAsia" w:ascii="宋体" w:hAnsi="宋体" w:cs="宋体"/>
          <w:color w:val="auto"/>
          <w:sz w:val="21"/>
          <w:szCs w:val="21"/>
          <w:highlight w:val="none"/>
        </w:rPr>
        <w:t>15.5 承包人的合理化建议</w:t>
      </w:r>
      <w:bookmarkEnd w:id="733"/>
      <w:bookmarkEnd w:id="734"/>
      <w:bookmarkEnd w:id="735"/>
      <w:bookmarkEnd w:id="736"/>
      <w:bookmarkEnd w:id="737"/>
      <w:bookmarkEnd w:id="738"/>
    </w:p>
    <w:p w14:paraId="3B2928A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350A52F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15.5.2 承包人提出的合理化建议降低了合同价格、缩短了工期或者提高了工程经济效益的，发包人可按国家有关规定在专用合同条款中约定给予奖励。</w:t>
      </w:r>
    </w:p>
    <w:p w14:paraId="681D603C">
      <w:pPr>
        <w:keepNext/>
        <w:keepLines/>
        <w:spacing w:line="360" w:lineRule="auto"/>
        <w:outlineLvl w:val="2"/>
        <w:rPr>
          <w:rFonts w:hint="eastAsia" w:ascii="宋体" w:hAnsi="宋体" w:cs="宋体"/>
          <w:color w:val="auto"/>
          <w:sz w:val="21"/>
          <w:szCs w:val="21"/>
          <w:highlight w:val="none"/>
        </w:rPr>
      </w:pPr>
      <w:bookmarkStart w:id="739" w:name="_Toc179632730"/>
      <w:bookmarkStart w:id="740" w:name="_Toc152045712"/>
      <w:bookmarkStart w:id="741" w:name="_Toc175063903"/>
      <w:bookmarkStart w:id="742" w:name="_Toc23578"/>
      <w:bookmarkStart w:id="743" w:name="_Toc152042490"/>
      <w:bookmarkStart w:id="744" w:name="_Toc144974681"/>
      <w:r>
        <w:rPr>
          <w:rFonts w:hint="eastAsia" w:ascii="宋体" w:hAnsi="宋体" w:cs="宋体"/>
          <w:color w:val="auto"/>
          <w:sz w:val="21"/>
          <w:szCs w:val="21"/>
          <w:highlight w:val="none"/>
        </w:rPr>
        <w:t>15.6 暂列金额</w:t>
      </w:r>
      <w:bookmarkEnd w:id="739"/>
      <w:bookmarkEnd w:id="740"/>
      <w:bookmarkEnd w:id="741"/>
      <w:bookmarkEnd w:id="742"/>
      <w:bookmarkEnd w:id="743"/>
      <w:bookmarkEnd w:id="744"/>
    </w:p>
    <w:p w14:paraId="4A01D8D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暂列金额</w:t>
      </w:r>
      <w:r>
        <w:rPr>
          <w:rFonts w:hint="eastAsia" w:ascii="宋体" w:hAnsi="宋体" w:cs="宋体"/>
          <w:color w:val="auto"/>
          <w:sz w:val="21"/>
          <w:szCs w:val="21"/>
          <w:highlight w:val="none"/>
          <w:lang w:val="en-US" w:eastAsia="zh-CN"/>
        </w:rPr>
        <w:t>的使用权由发包人批准，监理工程师在实际操作中负责审核并根据发包人要求发出使用指令</w:t>
      </w:r>
      <w:r>
        <w:rPr>
          <w:rFonts w:hint="eastAsia" w:ascii="宋体" w:hAnsi="宋体" w:cs="宋体"/>
          <w:color w:val="auto"/>
          <w:sz w:val="21"/>
          <w:szCs w:val="21"/>
          <w:highlight w:val="none"/>
        </w:rPr>
        <w:t>。</w:t>
      </w:r>
    </w:p>
    <w:p w14:paraId="43E82098">
      <w:pPr>
        <w:keepNext/>
        <w:keepLines/>
        <w:spacing w:line="360" w:lineRule="auto"/>
        <w:outlineLvl w:val="2"/>
        <w:rPr>
          <w:rFonts w:hint="eastAsia" w:ascii="宋体" w:hAnsi="宋体" w:cs="宋体"/>
          <w:color w:val="auto"/>
          <w:sz w:val="21"/>
          <w:szCs w:val="21"/>
          <w:highlight w:val="none"/>
        </w:rPr>
      </w:pPr>
      <w:bookmarkStart w:id="745" w:name="_Toc179632731"/>
      <w:bookmarkStart w:id="746" w:name="_Toc175063904"/>
      <w:bookmarkStart w:id="747" w:name="_Toc152045713"/>
      <w:bookmarkStart w:id="748" w:name="_Toc152042491"/>
      <w:bookmarkStart w:id="749" w:name="_Toc8334"/>
      <w:bookmarkStart w:id="750" w:name="_Toc144974682"/>
      <w:r>
        <w:rPr>
          <w:rFonts w:hint="eastAsia" w:ascii="宋体" w:hAnsi="宋体" w:cs="宋体"/>
          <w:color w:val="auto"/>
          <w:sz w:val="21"/>
          <w:szCs w:val="21"/>
          <w:highlight w:val="none"/>
        </w:rPr>
        <w:t>15.7 计日工</w:t>
      </w:r>
      <w:bookmarkEnd w:id="745"/>
      <w:bookmarkEnd w:id="746"/>
      <w:bookmarkEnd w:id="747"/>
      <w:bookmarkEnd w:id="748"/>
      <w:bookmarkEnd w:id="749"/>
      <w:bookmarkEnd w:id="750"/>
    </w:p>
    <w:p w14:paraId="3B37506B">
      <w:pPr>
        <w:spacing w:line="360" w:lineRule="auto"/>
        <w:ind w:firstLine="420" w:firstLineChars="200"/>
        <w:rPr>
          <w:rFonts w:hint="eastAsia" w:ascii="宋体" w:hAnsi="宋体" w:cs="宋体"/>
          <w:color w:val="auto"/>
          <w:sz w:val="21"/>
          <w:szCs w:val="21"/>
          <w:highlight w:val="none"/>
          <w:shd w:val="pct10" w:color="auto" w:fill="FFFFFF"/>
        </w:rPr>
      </w:pPr>
      <w:r>
        <w:rPr>
          <w:rFonts w:hint="eastAsia" w:ascii="宋体" w:hAnsi="宋体" w:cs="宋体"/>
          <w:color w:val="auto"/>
          <w:sz w:val="21"/>
          <w:szCs w:val="21"/>
          <w:highlight w:val="none"/>
        </w:rPr>
        <w:t>15.7.1 发包人认为有必要时，由监理人通知承包人以计日工方式实施变更的零星工作。其价款按列入已标价工程量清单中的计日工计价子目及其单价进行计算。</w:t>
      </w:r>
    </w:p>
    <w:p w14:paraId="5414F39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15.7.2 采用计日工计价的任何一项变更工作，应从暂列金额中支付，承包人应在该项变更的实施过程中，每天提交以下报表和有关凭证报送监理人审批：</w:t>
      </w:r>
    </w:p>
    <w:p w14:paraId="42D2803D">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（1）工作名称、内容和数量；</w:t>
      </w:r>
    </w:p>
    <w:p w14:paraId="208E7276">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（2）投入该工作所有人员的姓名、工种、级别和耗用工时；</w:t>
      </w:r>
    </w:p>
    <w:p w14:paraId="13C9EB97">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（3）投入该工作的材料类别和数量；</w:t>
      </w:r>
    </w:p>
    <w:p w14:paraId="445FC7B6">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（4）投入该工作的施工设备型号、台数和耗用台时；</w:t>
      </w:r>
    </w:p>
    <w:p w14:paraId="297D7260">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（5）监理人要求提交的其他资料和凭证。</w:t>
      </w:r>
    </w:p>
    <w:p w14:paraId="4C999DD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15.7.3 计日工由承包人汇总后，按第17.3.2项的约定列入进度付款申请单，由监理人复核并经发包人同意后列入进度付款。</w:t>
      </w:r>
    </w:p>
    <w:p w14:paraId="3C4A5B6A">
      <w:pPr>
        <w:keepNext/>
        <w:keepLines/>
        <w:spacing w:line="360" w:lineRule="auto"/>
        <w:jc w:val="center"/>
        <w:outlineLvl w:val="2"/>
        <w:rPr>
          <w:rFonts w:hint="eastAsia" w:ascii="宋体" w:hAnsi="宋体" w:cs="宋体"/>
          <w:b/>
          <w:bCs/>
          <w:color w:val="auto"/>
          <w:sz w:val="21"/>
          <w:szCs w:val="21"/>
          <w:highlight w:val="none"/>
        </w:rPr>
      </w:pPr>
      <w:bookmarkStart w:id="751" w:name="_Toc2360"/>
      <w:bookmarkStart w:id="752" w:name="_Toc175063905"/>
      <w:r>
        <w:rPr>
          <w:rFonts w:hint="eastAsia" w:ascii="宋体" w:hAnsi="宋体" w:cs="宋体"/>
          <w:b/>
          <w:bCs/>
          <w:color w:val="auto"/>
          <w:sz w:val="21"/>
          <w:szCs w:val="21"/>
          <w:highlight w:val="none"/>
        </w:rPr>
        <w:t>15.8 暂估价</w:t>
      </w:r>
      <w:bookmarkEnd w:id="720"/>
      <w:bookmarkEnd w:id="751"/>
      <w:bookmarkEnd w:id="752"/>
    </w:p>
    <w:p w14:paraId="0BA1BE76">
      <w:pPr>
        <w:spacing w:line="360" w:lineRule="auto"/>
        <w:ind w:firstLine="424" w:firstLineChars="202"/>
        <w:rPr>
          <w:rFonts w:hint="eastAsia" w:ascii="宋体" w:hAnsi="宋体" w:cs="宋体"/>
          <w:color w:val="auto"/>
          <w:sz w:val="21"/>
          <w:szCs w:val="21"/>
          <w:highlight w:val="none"/>
        </w:rPr>
      </w:pPr>
      <w:bookmarkStart w:id="753" w:name="_Toc229305377"/>
      <w:bookmarkStart w:id="754" w:name="_Toc221950944"/>
      <w:bookmarkStart w:id="755" w:name="_Toc222032686"/>
      <w:bookmarkStart w:id="756" w:name="_Toc222031019"/>
      <w:bookmarkStart w:id="757" w:name="_Toc222033868"/>
      <w:bookmarkStart w:id="758" w:name="_Toc222029517"/>
      <w:bookmarkStart w:id="759" w:name="_Toc229408512"/>
      <w:r>
        <w:rPr>
          <w:rFonts w:hint="eastAsia" w:ascii="宋体" w:hAnsi="宋体" w:cs="宋体"/>
          <w:color w:val="auto"/>
          <w:sz w:val="21"/>
          <w:szCs w:val="21"/>
          <w:highlight w:val="none"/>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w:t>
      </w:r>
      <w:r>
        <w:rPr>
          <w:rFonts w:hint="eastAsia" w:ascii="宋体" w:hAnsi="宋体" w:cs="宋体"/>
          <w:color w:val="auto"/>
          <w:sz w:val="21"/>
          <w:szCs w:val="21"/>
          <w:highlight w:val="none"/>
          <w:lang w:eastAsia="zh-CN"/>
        </w:rPr>
        <w:t>与</w:t>
      </w:r>
      <w:r>
        <w:rPr>
          <w:rFonts w:hint="eastAsia" w:ascii="宋体" w:hAnsi="宋体" w:cs="宋体"/>
          <w:color w:val="auto"/>
          <w:sz w:val="21"/>
          <w:szCs w:val="21"/>
          <w:highlight w:val="none"/>
        </w:rPr>
        <w:t>工程量清单中所列金额差以及相应的税金等其他费用列入合同价格。必须招标的暂估价项目招标组织形式、发包人和承包人组织招标时双方的权利义务关系在专用合同条款中约定。</w:t>
      </w:r>
    </w:p>
    <w:p w14:paraId="57147D3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4815C58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0648D977">
      <w:pPr>
        <w:keepNext/>
        <w:keepLines/>
        <w:spacing w:line="360" w:lineRule="auto"/>
        <w:jc w:val="center"/>
        <w:outlineLvl w:val="1"/>
        <w:rPr>
          <w:rFonts w:hint="eastAsia" w:ascii="宋体" w:hAnsi="宋体" w:cs="宋体"/>
          <w:b/>
          <w:bCs/>
          <w:color w:val="auto"/>
          <w:sz w:val="21"/>
          <w:szCs w:val="21"/>
          <w:highlight w:val="none"/>
        </w:rPr>
      </w:pPr>
      <w:bookmarkStart w:id="760" w:name="_Toc175063906"/>
      <w:bookmarkStart w:id="761" w:name="_Toc256000082"/>
      <w:bookmarkStart w:id="762" w:name="_Toc11673"/>
      <w:r>
        <w:rPr>
          <w:rFonts w:hint="eastAsia" w:ascii="宋体" w:hAnsi="宋体" w:cs="宋体"/>
          <w:b/>
          <w:bCs/>
          <w:color w:val="auto"/>
          <w:sz w:val="21"/>
          <w:szCs w:val="21"/>
          <w:highlight w:val="none"/>
        </w:rPr>
        <w:t>16. 价格调整</w:t>
      </w:r>
      <w:bookmarkEnd w:id="753"/>
      <w:bookmarkEnd w:id="754"/>
      <w:bookmarkEnd w:id="755"/>
      <w:bookmarkEnd w:id="756"/>
      <w:bookmarkEnd w:id="757"/>
      <w:bookmarkEnd w:id="758"/>
      <w:bookmarkEnd w:id="759"/>
      <w:bookmarkEnd w:id="760"/>
      <w:bookmarkEnd w:id="761"/>
      <w:bookmarkEnd w:id="762"/>
    </w:p>
    <w:p w14:paraId="33CB6DE4">
      <w:pPr>
        <w:keepNext/>
        <w:keepLines/>
        <w:spacing w:line="360" w:lineRule="auto"/>
        <w:jc w:val="center"/>
        <w:outlineLvl w:val="2"/>
        <w:rPr>
          <w:rFonts w:hint="eastAsia" w:ascii="宋体" w:hAnsi="宋体" w:cs="宋体"/>
          <w:b/>
          <w:bCs/>
          <w:color w:val="auto"/>
          <w:sz w:val="21"/>
          <w:szCs w:val="21"/>
          <w:highlight w:val="none"/>
        </w:rPr>
      </w:pPr>
      <w:bookmarkStart w:id="763" w:name="_Toc175063907"/>
      <w:bookmarkStart w:id="764" w:name="_Toc25607"/>
      <w:bookmarkStart w:id="765" w:name="_Toc221950945"/>
      <w:r>
        <w:rPr>
          <w:rFonts w:hint="eastAsia" w:ascii="宋体" w:hAnsi="宋体" w:cs="宋体"/>
          <w:b/>
          <w:bCs/>
          <w:color w:val="auto"/>
          <w:sz w:val="21"/>
          <w:szCs w:val="21"/>
          <w:highlight w:val="none"/>
        </w:rPr>
        <w:t>16.1 物价波动引起的价格调整</w:t>
      </w:r>
      <w:bookmarkEnd w:id="763"/>
      <w:bookmarkEnd w:id="764"/>
      <w:bookmarkEnd w:id="765"/>
    </w:p>
    <w:p w14:paraId="1E439E7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由于物价波动原因引起合同价格需要调整的，其价格调整方式在专用合同条款中约定。</w:t>
      </w:r>
    </w:p>
    <w:p w14:paraId="2324195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16.1.1 采用价格指数调整价格差额</w:t>
      </w:r>
    </w:p>
    <w:p w14:paraId="3AEE23E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16.1.1.1 价格调整公式</w:t>
      </w:r>
    </w:p>
    <w:p w14:paraId="5CE55A2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因人工、材料和设备等价格波动影响合同价格时，根据投标函附录中的价格指数和权重表约定的数据，按以下公式计算差额并调整合同价格。</w:t>
      </w:r>
    </w:p>
    <w:p w14:paraId="65C1155C">
      <w:pPr>
        <w:tabs>
          <w:tab w:val="left" w:pos="1260"/>
        </w:tabs>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式中： △P -- 需调整的价格差额；</w:t>
      </w:r>
    </w:p>
    <w:p w14:paraId="3B5D6049">
      <w:pPr>
        <w:tabs>
          <w:tab w:val="left" w:pos="1260"/>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P</w:t>
      </w:r>
      <w:r>
        <w:rPr>
          <w:rFonts w:hint="eastAsia" w:ascii="宋体" w:hAnsi="宋体" w:cs="宋体"/>
          <w:color w:val="auto"/>
          <w:sz w:val="21"/>
          <w:szCs w:val="21"/>
          <w:highlight w:val="none"/>
          <w:vertAlign w:val="subscript"/>
        </w:rPr>
        <w:t>0</w:t>
      </w:r>
      <w:r>
        <w:rPr>
          <w:rFonts w:hint="eastAsia" w:ascii="宋体" w:hAnsi="宋体" w:cs="宋体"/>
          <w:color w:val="auto"/>
          <w:sz w:val="21"/>
          <w:szCs w:val="21"/>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8439FA6">
      <w:pPr>
        <w:tabs>
          <w:tab w:val="left" w:pos="1260"/>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ab/>
      </w:r>
      <w:bookmarkStart w:id="766" w:name="_Toc144974686"/>
      <w:bookmarkStart w:id="767" w:name="_Toc152042495"/>
      <w:r>
        <w:rPr>
          <w:rFonts w:hint="eastAsia" w:ascii="宋体" w:hAnsi="宋体" w:cs="宋体"/>
          <w:color w:val="auto"/>
          <w:sz w:val="21"/>
          <w:szCs w:val="21"/>
          <w:highlight w:val="none"/>
        </w:rPr>
        <w:t>A -- 定值权重（即不调部分的权重）；</w:t>
      </w:r>
      <w:bookmarkEnd w:id="766"/>
      <w:bookmarkEnd w:id="767"/>
    </w:p>
    <w:p w14:paraId="25504F97">
      <w:pPr>
        <w:tabs>
          <w:tab w:val="left" w:pos="1260"/>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B</w:t>
      </w:r>
      <w:r>
        <w:rPr>
          <w:rFonts w:hint="eastAsia" w:ascii="宋体" w:hAnsi="宋体" w:cs="宋体"/>
          <w:color w:val="auto"/>
          <w:sz w:val="21"/>
          <w:szCs w:val="21"/>
          <w:highlight w:val="none"/>
          <w:vertAlign w:val="subscript"/>
        </w:rPr>
        <w:t>1</w:t>
      </w:r>
      <w:r>
        <w:rPr>
          <w:rFonts w:hint="eastAsia" w:ascii="宋体" w:hAnsi="宋体" w:cs="宋体"/>
          <w:color w:val="auto"/>
          <w:sz w:val="21"/>
          <w:szCs w:val="21"/>
          <w:highlight w:val="none"/>
        </w:rPr>
        <w:t>; B</w:t>
      </w:r>
      <w:r>
        <w:rPr>
          <w:rFonts w:hint="eastAsia" w:ascii="宋体" w:hAnsi="宋体" w:cs="宋体"/>
          <w:color w:val="auto"/>
          <w:sz w:val="21"/>
          <w:szCs w:val="21"/>
          <w:highlight w:val="none"/>
          <w:vertAlign w:val="subscript"/>
        </w:rPr>
        <w:t>2</w:t>
      </w:r>
      <w:r>
        <w:rPr>
          <w:rFonts w:hint="eastAsia" w:ascii="宋体" w:hAnsi="宋体" w:cs="宋体"/>
          <w:color w:val="auto"/>
          <w:sz w:val="21"/>
          <w:szCs w:val="21"/>
          <w:highlight w:val="none"/>
        </w:rPr>
        <w:t xml:space="preserve"> ;B</w:t>
      </w:r>
      <w:r>
        <w:rPr>
          <w:rFonts w:hint="eastAsia" w:ascii="宋体" w:hAnsi="宋体" w:cs="宋体"/>
          <w:color w:val="auto"/>
          <w:sz w:val="21"/>
          <w:szCs w:val="21"/>
          <w:highlight w:val="none"/>
          <w:vertAlign w:val="subscript"/>
        </w:rPr>
        <w:t>3</w:t>
      </w:r>
      <w:r>
        <w:rPr>
          <w:rFonts w:hint="eastAsia" w:ascii="宋体" w:hAnsi="宋体" w:cs="宋体"/>
          <w:color w:val="auto"/>
          <w:sz w:val="21"/>
          <w:szCs w:val="21"/>
          <w:highlight w:val="none"/>
        </w:rPr>
        <w:t>·····B</w:t>
      </w:r>
      <w:r>
        <w:rPr>
          <w:rFonts w:hint="eastAsia" w:ascii="宋体" w:hAnsi="宋体" w:cs="宋体"/>
          <w:color w:val="auto"/>
          <w:sz w:val="21"/>
          <w:szCs w:val="21"/>
          <w:highlight w:val="none"/>
          <w:vertAlign w:val="subscript"/>
        </w:rPr>
        <w:t>n</w:t>
      </w:r>
      <w:r>
        <w:rPr>
          <w:rFonts w:hint="eastAsia" w:ascii="宋体" w:hAnsi="宋体" w:cs="宋体"/>
          <w:color w:val="auto"/>
          <w:sz w:val="21"/>
          <w:szCs w:val="21"/>
          <w:highlight w:val="none"/>
        </w:rPr>
        <w:t xml:space="preserve"> -- 各可调因子的变值权重（即可调部分的权重）为各可调因子在投标函投标总报价中所占的比例；</w:t>
      </w:r>
    </w:p>
    <w:p w14:paraId="150A14BF">
      <w:pPr>
        <w:tabs>
          <w:tab w:val="left" w:pos="1260"/>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F</w:t>
      </w:r>
      <w:r>
        <w:rPr>
          <w:rFonts w:hint="eastAsia" w:ascii="宋体" w:hAnsi="宋体" w:cs="宋体"/>
          <w:color w:val="auto"/>
          <w:sz w:val="21"/>
          <w:szCs w:val="21"/>
          <w:highlight w:val="none"/>
          <w:vertAlign w:val="subscript"/>
        </w:rPr>
        <w:t>t1</w:t>
      </w:r>
      <w:r>
        <w:rPr>
          <w:rFonts w:hint="eastAsia" w:ascii="宋体" w:hAnsi="宋体" w:cs="宋体"/>
          <w:color w:val="auto"/>
          <w:sz w:val="21"/>
          <w:szCs w:val="21"/>
          <w:highlight w:val="none"/>
        </w:rPr>
        <w:t xml:space="preserve"> ;F</w:t>
      </w:r>
      <w:r>
        <w:rPr>
          <w:rFonts w:hint="eastAsia" w:ascii="宋体" w:hAnsi="宋体" w:cs="宋体"/>
          <w:color w:val="auto"/>
          <w:sz w:val="21"/>
          <w:szCs w:val="21"/>
          <w:highlight w:val="none"/>
          <w:vertAlign w:val="subscript"/>
        </w:rPr>
        <w:t>t2</w:t>
      </w:r>
      <w:r>
        <w:rPr>
          <w:rFonts w:hint="eastAsia" w:ascii="宋体" w:hAnsi="宋体" w:cs="宋体"/>
          <w:color w:val="auto"/>
          <w:sz w:val="21"/>
          <w:szCs w:val="21"/>
          <w:highlight w:val="none"/>
        </w:rPr>
        <w:t xml:space="preserve"> ;F</w:t>
      </w:r>
      <w:r>
        <w:rPr>
          <w:rFonts w:hint="eastAsia" w:ascii="宋体" w:hAnsi="宋体" w:cs="宋体"/>
          <w:color w:val="auto"/>
          <w:sz w:val="21"/>
          <w:szCs w:val="21"/>
          <w:highlight w:val="none"/>
          <w:vertAlign w:val="subscript"/>
        </w:rPr>
        <w:t>t3</w:t>
      </w:r>
      <w:r>
        <w:rPr>
          <w:rFonts w:hint="eastAsia" w:ascii="宋体" w:hAnsi="宋体" w:cs="宋体"/>
          <w:color w:val="auto"/>
          <w:sz w:val="21"/>
          <w:szCs w:val="21"/>
          <w:highlight w:val="none"/>
        </w:rPr>
        <w:t>·····F</w:t>
      </w:r>
      <w:r>
        <w:rPr>
          <w:rFonts w:hint="eastAsia" w:ascii="宋体" w:hAnsi="宋体" w:cs="宋体"/>
          <w:color w:val="auto"/>
          <w:sz w:val="21"/>
          <w:szCs w:val="21"/>
          <w:highlight w:val="none"/>
          <w:vertAlign w:val="subscript"/>
        </w:rPr>
        <w:t>tn</w:t>
      </w:r>
      <w:r>
        <w:rPr>
          <w:rFonts w:hint="eastAsia" w:ascii="宋体" w:hAnsi="宋体" w:cs="宋体"/>
          <w:color w:val="auto"/>
          <w:sz w:val="21"/>
          <w:szCs w:val="21"/>
          <w:highlight w:val="none"/>
        </w:rPr>
        <w:t xml:space="preserve"> -- 各可调因子的现行价格指数，指第17.3.3项、第17.5.2项和第17.6.2项约定的付款证书相关周期最后一天的前42天的各可调因子的价格指数；</w:t>
      </w:r>
    </w:p>
    <w:p w14:paraId="3ECAA267">
      <w:pPr>
        <w:tabs>
          <w:tab w:val="left" w:pos="1260"/>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F</w:t>
      </w:r>
      <w:r>
        <w:rPr>
          <w:rFonts w:hint="eastAsia" w:ascii="宋体" w:hAnsi="宋体" w:cs="宋体"/>
          <w:color w:val="auto"/>
          <w:sz w:val="21"/>
          <w:szCs w:val="21"/>
          <w:highlight w:val="none"/>
          <w:vertAlign w:val="subscript"/>
        </w:rPr>
        <w:t>o1</w:t>
      </w:r>
      <w:r>
        <w:rPr>
          <w:rFonts w:hint="eastAsia" w:ascii="宋体" w:hAnsi="宋体" w:cs="宋体"/>
          <w:color w:val="auto"/>
          <w:sz w:val="21"/>
          <w:szCs w:val="21"/>
          <w:highlight w:val="none"/>
        </w:rPr>
        <w:t>; F</w:t>
      </w:r>
      <w:r>
        <w:rPr>
          <w:rFonts w:hint="eastAsia" w:ascii="宋体" w:hAnsi="宋体" w:cs="宋体"/>
          <w:color w:val="auto"/>
          <w:sz w:val="21"/>
          <w:szCs w:val="21"/>
          <w:highlight w:val="none"/>
          <w:vertAlign w:val="subscript"/>
        </w:rPr>
        <w:t>o2</w:t>
      </w:r>
      <w:r>
        <w:rPr>
          <w:rFonts w:hint="eastAsia" w:ascii="宋体" w:hAnsi="宋体" w:cs="宋体"/>
          <w:color w:val="auto"/>
          <w:sz w:val="21"/>
          <w:szCs w:val="21"/>
          <w:highlight w:val="none"/>
        </w:rPr>
        <w:t>; F</w:t>
      </w:r>
      <w:r>
        <w:rPr>
          <w:rFonts w:hint="eastAsia" w:ascii="宋体" w:hAnsi="宋体" w:cs="宋体"/>
          <w:color w:val="auto"/>
          <w:sz w:val="21"/>
          <w:szCs w:val="21"/>
          <w:highlight w:val="none"/>
          <w:vertAlign w:val="subscript"/>
        </w:rPr>
        <w:t>o3</w:t>
      </w:r>
      <w:r>
        <w:rPr>
          <w:rFonts w:hint="eastAsia" w:ascii="宋体" w:hAnsi="宋体" w:cs="宋体"/>
          <w:color w:val="auto"/>
          <w:sz w:val="21"/>
          <w:szCs w:val="21"/>
          <w:highlight w:val="none"/>
        </w:rPr>
        <w:t>·····F</w:t>
      </w:r>
      <w:r>
        <w:rPr>
          <w:rFonts w:hint="eastAsia" w:ascii="宋体" w:hAnsi="宋体" w:cs="宋体"/>
          <w:color w:val="auto"/>
          <w:sz w:val="21"/>
          <w:szCs w:val="21"/>
          <w:highlight w:val="none"/>
          <w:vertAlign w:val="subscript"/>
        </w:rPr>
        <w:t>on</w:t>
      </w:r>
      <w:r>
        <w:rPr>
          <w:rFonts w:hint="eastAsia" w:ascii="宋体" w:hAnsi="宋体" w:cs="宋体"/>
          <w:color w:val="auto"/>
          <w:sz w:val="21"/>
          <w:szCs w:val="21"/>
          <w:highlight w:val="none"/>
        </w:rPr>
        <w:t xml:space="preserve"> -- 各可调因子的基本价格指数，指基准日期的各可调因子的价格指数。</w:t>
      </w:r>
    </w:p>
    <w:p w14:paraId="7EC51A0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6A84DC8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16.1.1.2 暂时确定调整差额</w:t>
      </w:r>
    </w:p>
    <w:p w14:paraId="060E153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在计算调整差额时得不到现行价格指数的，可暂用上一次价格指数计算，并在以后的付款中再按实际价格指数进行调整。</w:t>
      </w:r>
    </w:p>
    <w:p w14:paraId="6550D2D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16.1.1.3 权重的调整</w:t>
      </w:r>
    </w:p>
    <w:p w14:paraId="68B4951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按第15.1款约定的变更导致原定合同中的权重不合理时，由监理人与承包人和发包人协商后进行调整。</w:t>
      </w:r>
    </w:p>
    <w:p w14:paraId="72C83BD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16.1.1.4 承包人工期延误后的价格调整</w:t>
      </w:r>
    </w:p>
    <w:p w14:paraId="06AB9E1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00DB9D4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16.1.2 采用造价信息调整价格差额</w:t>
      </w:r>
    </w:p>
    <w:p w14:paraId="042CD7D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w:t>
      </w:r>
      <w:r>
        <w:rPr>
          <w:rFonts w:hint="eastAsia" w:ascii="宋体" w:hAnsi="宋体" w:cs="宋体"/>
          <w:color w:val="auto"/>
          <w:sz w:val="21"/>
          <w:szCs w:val="21"/>
          <w:highlight w:val="none"/>
          <w:lang w:eastAsia="zh-CN"/>
        </w:rPr>
        <w:t>数量</w:t>
      </w:r>
      <w:r>
        <w:rPr>
          <w:rFonts w:hint="eastAsia" w:ascii="宋体" w:hAnsi="宋体" w:cs="宋体"/>
          <w:color w:val="auto"/>
          <w:sz w:val="21"/>
          <w:szCs w:val="21"/>
          <w:highlight w:val="none"/>
        </w:rPr>
        <w:t>应由监理人复核，监理人确认需调整的材料单价及数量，作为调整工程合同价格差额的依据。</w:t>
      </w:r>
    </w:p>
    <w:p w14:paraId="4760943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工程造价信息的来源以及价格调整的项目和系数在专用合同条款中约定。</w:t>
      </w:r>
    </w:p>
    <w:p w14:paraId="5F23E4A6">
      <w:pPr>
        <w:keepNext/>
        <w:keepLines/>
        <w:spacing w:line="360" w:lineRule="auto"/>
        <w:outlineLvl w:val="2"/>
        <w:rPr>
          <w:rFonts w:hint="eastAsia" w:ascii="宋体" w:hAnsi="宋体" w:cs="宋体"/>
          <w:color w:val="auto"/>
          <w:sz w:val="21"/>
          <w:szCs w:val="21"/>
          <w:highlight w:val="none"/>
        </w:rPr>
      </w:pPr>
      <w:bookmarkStart w:id="768" w:name="_Toc152045717"/>
      <w:bookmarkStart w:id="769" w:name="_Toc144974688"/>
      <w:bookmarkStart w:id="770" w:name="_Toc175063908"/>
      <w:bookmarkStart w:id="771" w:name="_Toc23037"/>
      <w:bookmarkStart w:id="772" w:name="_Toc152042496"/>
      <w:bookmarkStart w:id="773" w:name="_Toc179632735"/>
      <w:r>
        <w:rPr>
          <w:rFonts w:hint="eastAsia" w:ascii="宋体" w:hAnsi="宋体" w:cs="宋体"/>
          <w:color w:val="auto"/>
          <w:sz w:val="21"/>
          <w:szCs w:val="21"/>
          <w:highlight w:val="none"/>
        </w:rPr>
        <w:t>16.2 法律变化引起的价格调整</w:t>
      </w:r>
      <w:bookmarkEnd w:id="768"/>
      <w:bookmarkEnd w:id="769"/>
      <w:bookmarkEnd w:id="770"/>
      <w:bookmarkEnd w:id="771"/>
      <w:bookmarkEnd w:id="772"/>
      <w:bookmarkEnd w:id="773"/>
    </w:p>
    <w:p w14:paraId="7F0791E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6074ACA5">
      <w:pPr>
        <w:keepNext/>
        <w:keepLines/>
        <w:spacing w:line="360" w:lineRule="auto"/>
        <w:jc w:val="center"/>
        <w:outlineLvl w:val="1"/>
        <w:rPr>
          <w:rFonts w:hint="eastAsia" w:ascii="宋体" w:hAnsi="宋体" w:cs="宋体"/>
          <w:b/>
          <w:bCs/>
          <w:color w:val="auto"/>
          <w:sz w:val="21"/>
          <w:szCs w:val="21"/>
          <w:highlight w:val="none"/>
        </w:rPr>
      </w:pPr>
      <w:bookmarkStart w:id="774" w:name="_Toc229305378"/>
      <w:bookmarkStart w:id="775" w:name="_Toc175063909"/>
      <w:bookmarkStart w:id="776" w:name="_Toc256000083"/>
      <w:bookmarkStart w:id="777" w:name="_Toc24717"/>
      <w:bookmarkStart w:id="778" w:name="_Toc222031020"/>
      <w:bookmarkStart w:id="779" w:name="_Toc221950995"/>
      <w:bookmarkStart w:id="780" w:name="_Toc222033869"/>
      <w:bookmarkStart w:id="781" w:name="_Toc229408513"/>
      <w:bookmarkStart w:id="782" w:name="_Toc222029518"/>
      <w:bookmarkStart w:id="783" w:name="_Toc222032687"/>
      <w:r>
        <w:rPr>
          <w:rFonts w:hint="eastAsia" w:ascii="宋体" w:hAnsi="宋体" w:cs="宋体"/>
          <w:b/>
          <w:bCs/>
          <w:color w:val="auto"/>
          <w:sz w:val="21"/>
          <w:szCs w:val="21"/>
          <w:highlight w:val="none"/>
        </w:rPr>
        <w:t>17. 计量与支付</w:t>
      </w:r>
      <w:bookmarkEnd w:id="774"/>
      <w:bookmarkEnd w:id="775"/>
      <w:bookmarkEnd w:id="776"/>
      <w:bookmarkEnd w:id="777"/>
      <w:bookmarkEnd w:id="778"/>
      <w:bookmarkEnd w:id="779"/>
      <w:bookmarkEnd w:id="780"/>
      <w:bookmarkEnd w:id="781"/>
      <w:bookmarkEnd w:id="782"/>
      <w:bookmarkEnd w:id="783"/>
    </w:p>
    <w:p w14:paraId="77102774">
      <w:pPr>
        <w:keepNext/>
        <w:keepLines/>
        <w:spacing w:line="360" w:lineRule="auto"/>
        <w:jc w:val="center"/>
        <w:outlineLvl w:val="2"/>
        <w:rPr>
          <w:rFonts w:hint="eastAsia" w:ascii="宋体" w:hAnsi="宋体" w:cs="宋体"/>
          <w:b/>
          <w:bCs/>
          <w:color w:val="auto"/>
          <w:sz w:val="21"/>
          <w:szCs w:val="21"/>
          <w:highlight w:val="none"/>
        </w:rPr>
      </w:pPr>
      <w:bookmarkStart w:id="784" w:name="_Toc14069"/>
      <w:bookmarkStart w:id="785" w:name="_Toc175063910"/>
      <w:bookmarkStart w:id="786" w:name="_Toc221950996"/>
      <w:r>
        <w:rPr>
          <w:rFonts w:hint="eastAsia" w:ascii="宋体" w:hAnsi="宋体" w:cs="宋体"/>
          <w:b/>
          <w:bCs/>
          <w:color w:val="auto"/>
          <w:sz w:val="21"/>
          <w:szCs w:val="21"/>
          <w:highlight w:val="none"/>
        </w:rPr>
        <w:t>17.1 计量</w:t>
      </w:r>
      <w:bookmarkEnd w:id="784"/>
      <w:bookmarkEnd w:id="785"/>
      <w:bookmarkEnd w:id="786"/>
    </w:p>
    <w:p w14:paraId="41C69476">
      <w:pPr>
        <w:spacing w:line="360" w:lineRule="auto"/>
        <w:ind w:firstLine="420" w:firstLineChars="200"/>
        <w:rPr>
          <w:rFonts w:hint="eastAsia" w:ascii="宋体" w:hAnsi="宋体" w:cs="宋体"/>
          <w:color w:val="auto"/>
          <w:sz w:val="21"/>
          <w:szCs w:val="21"/>
          <w:highlight w:val="none"/>
        </w:rPr>
      </w:pPr>
      <w:bookmarkStart w:id="787" w:name="_Toc221951004"/>
      <w:r>
        <w:rPr>
          <w:rFonts w:hint="eastAsia" w:ascii="宋体" w:hAnsi="宋体" w:cs="宋体"/>
          <w:color w:val="auto"/>
          <w:sz w:val="21"/>
          <w:szCs w:val="21"/>
          <w:highlight w:val="none"/>
        </w:rPr>
        <w:t>17.1.1 计量单位</w:t>
      </w:r>
    </w:p>
    <w:p w14:paraId="7A3A4E8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计量采用国家法定的计量单位。</w:t>
      </w:r>
    </w:p>
    <w:p w14:paraId="29E28A5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17.1.2 计量方法</w:t>
      </w:r>
    </w:p>
    <w:p w14:paraId="72E1558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结算工程量应按工程量清单中约定的方法计算。</w:t>
      </w:r>
    </w:p>
    <w:p w14:paraId="499A67B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17.1.3 计量周期</w:t>
      </w:r>
    </w:p>
    <w:p w14:paraId="438AC64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除专用合同条款另有约定外，单价子目已完成工程量按月计量，总价子目的计量周期按批准的支付分解报告确定。</w:t>
      </w:r>
    </w:p>
    <w:p w14:paraId="3DE48A7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17.1.4 单价子目的计量</w:t>
      </w:r>
    </w:p>
    <w:p w14:paraId="03A11C27">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（1）已标价工程量清单中的单价子目工程量为估算工程量。结算工程量是承包人实际完成的，并按合同约定的计量方法进行计量的工程量。</w:t>
      </w:r>
    </w:p>
    <w:p w14:paraId="56C1AFA0">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（2）承包人对已完成的工程进行计量，向监理人提交进度付款申请单、已完成工程量报表和有关计量资料。</w:t>
      </w:r>
    </w:p>
    <w:p w14:paraId="5F7B7473">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E2F4C20">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（4）监理人认为有必要时，可通知承包人共同进行联合测量、计量，承包人应遵照执行。</w:t>
      </w:r>
    </w:p>
    <w:p w14:paraId="17883421">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5F449AEC">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（6）监理人应在收到承包人提交的工程量报表后的7天内进行复核，监理人未在约定时间内复核的，承包人提交的工程量报表中的工程量视为承包人实际完成的工程量，据此计算工程价款。</w:t>
      </w:r>
    </w:p>
    <w:p w14:paraId="65F82DC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17.1.5 总价子目的计量 </w:t>
      </w:r>
    </w:p>
    <w:p w14:paraId="7D00B6D4">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总价子目的分解和计量按照下述约定进行。</w:t>
      </w:r>
    </w:p>
    <w:p w14:paraId="1F72E22C">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（1）总价子目的计量和支付应以总价为基础，不因第16.1款中的因素而进行调整。承包人实际完成的工程量，是进行工程目标管理和控制进度支付的依据。</w:t>
      </w:r>
    </w:p>
    <w:p w14:paraId="155B6EE7">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6FBA613E">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（3）监理人对承包人提交的上述资料进行复核，以确定分阶段实际完成的工程量和工程形象目标。对其有异议的，可要求承包人按第8.2款约定进行共同复核和抽样复测。</w:t>
      </w:r>
    </w:p>
    <w:p w14:paraId="5C3172BF">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（4）除按照第15条约定的变更外，总价子目的工程量是承包人用于结算的最终工程量。 </w:t>
      </w:r>
    </w:p>
    <w:p w14:paraId="700BE087">
      <w:pPr>
        <w:keepNext/>
        <w:keepLines/>
        <w:spacing w:line="360" w:lineRule="auto"/>
        <w:jc w:val="center"/>
        <w:outlineLvl w:val="2"/>
        <w:rPr>
          <w:rFonts w:hint="eastAsia" w:ascii="宋体" w:hAnsi="宋体" w:cs="宋体"/>
          <w:b/>
          <w:bCs/>
          <w:color w:val="auto"/>
          <w:sz w:val="21"/>
          <w:szCs w:val="21"/>
          <w:highlight w:val="none"/>
        </w:rPr>
      </w:pPr>
      <w:bookmarkStart w:id="788" w:name="_Toc19232"/>
      <w:bookmarkStart w:id="789" w:name="_Toc175063911"/>
      <w:r>
        <w:rPr>
          <w:rFonts w:hint="eastAsia" w:ascii="宋体" w:hAnsi="宋体" w:cs="宋体"/>
          <w:b/>
          <w:bCs/>
          <w:color w:val="auto"/>
          <w:sz w:val="21"/>
          <w:szCs w:val="21"/>
          <w:highlight w:val="none"/>
        </w:rPr>
        <w:t>17.2 预付款</w:t>
      </w:r>
      <w:bookmarkEnd w:id="787"/>
      <w:bookmarkEnd w:id="788"/>
      <w:bookmarkEnd w:id="789"/>
    </w:p>
    <w:p w14:paraId="12B17E67">
      <w:pPr>
        <w:keepNext/>
        <w:keepLines/>
        <w:spacing w:line="360" w:lineRule="auto"/>
        <w:outlineLvl w:val="2"/>
        <w:rPr>
          <w:rFonts w:hint="eastAsia" w:ascii="宋体" w:hAnsi="宋体" w:cs="宋体"/>
          <w:color w:val="auto"/>
          <w:sz w:val="21"/>
          <w:szCs w:val="21"/>
          <w:highlight w:val="none"/>
        </w:rPr>
      </w:pPr>
      <w:bookmarkStart w:id="790" w:name="_Toc1895"/>
      <w:bookmarkStart w:id="791" w:name="_Toc152042499"/>
      <w:bookmarkStart w:id="792" w:name="_Toc175063912"/>
      <w:bookmarkStart w:id="793" w:name="_Toc179632738"/>
      <w:bookmarkStart w:id="794" w:name="_Toc144974691"/>
      <w:bookmarkStart w:id="795" w:name="_Toc152045720"/>
      <w:bookmarkStart w:id="796" w:name="_Toc221951006"/>
      <w:r>
        <w:rPr>
          <w:rFonts w:hint="eastAsia" w:ascii="宋体" w:hAnsi="宋体" w:cs="宋体"/>
          <w:color w:val="auto"/>
          <w:sz w:val="21"/>
          <w:szCs w:val="21"/>
          <w:highlight w:val="none"/>
        </w:rPr>
        <w:t>17.2 预付款</w:t>
      </w:r>
      <w:bookmarkEnd w:id="790"/>
      <w:bookmarkEnd w:id="791"/>
      <w:bookmarkEnd w:id="792"/>
      <w:bookmarkEnd w:id="793"/>
      <w:bookmarkEnd w:id="794"/>
      <w:bookmarkEnd w:id="795"/>
    </w:p>
    <w:p w14:paraId="3E4AE38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17.2.1 预付款</w:t>
      </w:r>
    </w:p>
    <w:p w14:paraId="5A06742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44A3B18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17.2.2 预付款保函（担保）</w:t>
      </w:r>
    </w:p>
    <w:p w14:paraId="56DF217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（1）承包人应在收到第一次工程预付款的同时向发包人提交工程预付款担保，担保金额应与第一次工程预付款金额相同，工程预付款担保在第一次工程预付款被发包人扣回前一直有效。</w:t>
      </w:r>
    </w:p>
    <w:p w14:paraId="4914021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（2）工程材料预付款的担保在专用合同条款中约定。</w:t>
      </w:r>
    </w:p>
    <w:p w14:paraId="1FA0EBB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（3）预付款担保的担保金额可根据预付款扣回的金额相应递减。</w:t>
      </w:r>
    </w:p>
    <w:p w14:paraId="7B80CB7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17.2.3 预付款的扣回与还清</w:t>
      </w:r>
    </w:p>
    <w:p w14:paraId="170B50B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预付款在进度付款中扣回，扣回与还清办法在专用合同条款中约定。在颁发合同工程完工证书前，由于不可抗力或</w:t>
      </w:r>
      <w:r>
        <w:rPr>
          <w:rFonts w:hint="eastAsia" w:ascii="宋体" w:hAnsi="宋体" w:cs="宋体"/>
          <w:color w:val="auto"/>
          <w:sz w:val="21"/>
          <w:szCs w:val="21"/>
          <w:highlight w:val="none"/>
          <w:lang w:eastAsia="zh-CN"/>
        </w:rPr>
        <w:t>其他</w:t>
      </w:r>
      <w:r>
        <w:rPr>
          <w:rFonts w:hint="eastAsia" w:ascii="宋体" w:hAnsi="宋体" w:cs="宋体"/>
          <w:color w:val="auto"/>
          <w:sz w:val="21"/>
          <w:szCs w:val="21"/>
          <w:highlight w:val="none"/>
        </w:rPr>
        <w:t>原因解除合同时，预付款尚未扣清的，尚未扣清的预付款余额应作为承包人的到期应付款。</w:t>
      </w:r>
    </w:p>
    <w:bookmarkEnd w:id="796"/>
    <w:p w14:paraId="2824D300">
      <w:pPr>
        <w:keepNext/>
        <w:keepLines/>
        <w:spacing w:line="360" w:lineRule="auto"/>
        <w:outlineLvl w:val="2"/>
        <w:rPr>
          <w:rFonts w:hint="eastAsia" w:ascii="宋体" w:hAnsi="宋体" w:cs="宋体"/>
          <w:color w:val="auto"/>
          <w:sz w:val="21"/>
          <w:szCs w:val="21"/>
          <w:highlight w:val="none"/>
        </w:rPr>
      </w:pPr>
      <w:bookmarkStart w:id="797" w:name="_Toc144974692"/>
      <w:bookmarkStart w:id="798" w:name="_Toc27500"/>
      <w:bookmarkStart w:id="799" w:name="_Toc175063913"/>
      <w:bookmarkStart w:id="800" w:name="_Toc179632739"/>
      <w:bookmarkStart w:id="801" w:name="_Toc152042500"/>
      <w:bookmarkStart w:id="802" w:name="_Toc152045721"/>
      <w:bookmarkStart w:id="803" w:name="_Toc221951013"/>
      <w:r>
        <w:rPr>
          <w:rFonts w:hint="eastAsia" w:ascii="宋体" w:hAnsi="宋体" w:cs="宋体"/>
          <w:color w:val="auto"/>
          <w:sz w:val="21"/>
          <w:szCs w:val="21"/>
          <w:highlight w:val="none"/>
        </w:rPr>
        <w:t>17.3 工程进度付款</w:t>
      </w:r>
      <w:bookmarkEnd w:id="797"/>
      <w:bookmarkEnd w:id="798"/>
      <w:bookmarkEnd w:id="799"/>
      <w:bookmarkEnd w:id="800"/>
      <w:bookmarkEnd w:id="801"/>
      <w:bookmarkEnd w:id="802"/>
    </w:p>
    <w:p w14:paraId="27BF824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17.3.1 付款周期</w:t>
      </w:r>
    </w:p>
    <w:p w14:paraId="78F5275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付款周期同计量周期。</w:t>
      </w:r>
    </w:p>
    <w:p w14:paraId="6FF24C9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17.3.2 进度付款申请单</w:t>
      </w:r>
    </w:p>
    <w:p w14:paraId="3D71ABA7">
      <w:pPr>
        <w:spacing w:line="360" w:lineRule="auto"/>
        <w:ind w:firstLine="420" w:firstLineChars="200"/>
        <w:rPr>
          <w:rFonts w:hint="eastAsia" w:ascii="宋体" w:hAnsi="宋体" w:cs="宋体"/>
          <w:dstrike/>
          <w:color w:val="auto"/>
          <w:sz w:val="21"/>
          <w:szCs w:val="21"/>
          <w:highlight w:val="none"/>
        </w:rPr>
      </w:pPr>
      <w:r>
        <w:rPr>
          <w:rFonts w:hint="eastAsia" w:ascii="宋体" w:hAnsi="宋体" w:cs="宋体"/>
          <w:color w:val="auto"/>
          <w:sz w:val="21"/>
          <w:szCs w:val="21"/>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4CD2FB5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（1）截至本次付款周期末已实施工程的价款；</w:t>
      </w:r>
    </w:p>
    <w:p w14:paraId="54FFF72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（2）根据第15条应增加和扣减的变更金额；</w:t>
      </w:r>
    </w:p>
    <w:p w14:paraId="7AB8FA1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（3）根据第23条应增加和扣减的索赔金额；</w:t>
      </w:r>
    </w:p>
    <w:p w14:paraId="255E3DC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（4）根据第17.2款约定应支付的预付款和扣减的返还预付款；</w:t>
      </w:r>
    </w:p>
    <w:p w14:paraId="2B75192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（5）根据第17.4.1项约定应扣减的质量保证金；</w:t>
      </w:r>
    </w:p>
    <w:p w14:paraId="4653559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（6）根据合同应增加和扣减的其他金额。</w:t>
      </w:r>
    </w:p>
    <w:p w14:paraId="0607934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17.3.3 进度付款证书和支付时间</w:t>
      </w:r>
    </w:p>
    <w:p w14:paraId="6BAA6D60">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0432E082">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（2）发包人应在监理人收到进度付款申请单后的28天内，将进度应付款支付给承包人。发包人不按期支付的，按专用合同条款的约定支付逾期付款违约金。</w:t>
      </w:r>
    </w:p>
    <w:p w14:paraId="2EDB8C9B">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（3）监理人出具进度付款证书，不应视为监理人已同意、批准或接受了承包人完成的该部分工作。</w:t>
      </w:r>
    </w:p>
    <w:p w14:paraId="37ADE4AF">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（4）进度付款涉及政府投资资金的，按照国库集中支付等国家相关规定和专用合同条款的约定办理。</w:t>
      </w:r>
    </w:p>
    <w:p w14:paraId="252AE74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17.3.4 工程进度付款的修正</w:t>
      </w:r>
    </w:p>
    <w:p w14:paraId="79F6DF6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0EE6AD53">
      <w:pPr>
        <w:keepNext/>
        <w:keepLines/>
        <w:spacing w:line="360" w:lineRule="auto"/>
        <w:jc w:val="center"/>
        <w:outlineLvl w:val="2"/>
        <w:rPr>
          <w:rFonts w:hint="eastAsia" w:ascii="宋体" w:hAnsi="宋体" w:cs="宋体"/>
          <w:b/>
          <w:bCs/>
          <w:color w:val="auto"/>
          <w:sz w:val="21"/>
          <w:szCs w:val="21"/>
          <w:highlight w:val="none"/>
        </w:rPr>
      </w:pPr>
      <w:bookmarkStart w:id="804" w:name="_Toc11069"/>
      <w:bookmarkStart w:id="805" w:name="_Toc175063914"/>
      <w:r>
        <w:rPr>
          <w:rFonts w:hint="eastAsia" w:ascii="宋体" w:hAnsi="宋体" w:cs="宋体"/>
          <w:b/>
          <w:bCs/>
          <w:color w:val="auto"/>
          <w:sz w:val="21"/>
          <w:szCs w:val="21"/>
          <w:highlight w:val="none"/>
        </w:rPr>
        <w:t>17.4 质量保证金</w:t>
      </w:r>
      <w:bookmarkEnd w:id="803"/>
      <w:bookmarkEnd w:id="804"/>
      <w:bookmarkEnd w:id="805"/>
    </w:p>
    <w:p w14:paraId="4293F057">
      <w:pPr>
        <w:spacing w:line="360" w:lineRule="auto"/>
        <w:ind w:firstLine="420" w:firstLineChars="200"/>
        <w:rPr>
          <w:rFonts w:hint="eastAsia" w:ascii="宋体" w:hAnsi="宋体" w:cs="宋体"/>
          <w:color w:val="auto"/>
          <w:sz w:val="21"/>
          <w:szCs w:val="21"/>
          <w:highlight w:val="none"/>
        </w:rPr>
      </w:pPr>
      <w:bookmarkStart w:id="806" w:name="_Toc221951015"/>
      <w:r>
        <w:rPr>
          <w:rFonts w:hint="eastAsia" w:ascii="宋体" w:hAnsi="宋体" w:cs="宋体"/>
          <w:color w:val="auto"/>
          <w:sz w:val="21"/>
          <w:szCs w:val="21"/>
          <w:highlight w:val="none"/>
        </w:rPr>
        <w:t>17.4.1监理人应从第一个工程进度付款周期开始，在发包人的进度付款中，按专用合同条款约定扣留质量保证金，直至扣留的工程质量保证金总额达到专用合同条款约定的金额或比例为止。质量保证金的计算额度不止包括预付款的支付与扣回金额。</w:t>
      </w:r>
    </w:p>
    <w:p w14:paraId="4078135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598BEE3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683E917D">
      <w:pPr>
        <w:keepNext/>
        <w:keepLines/>
        <w:spacing w:line="360" w:lineRule="auto"/>
        <w:jc w:val="center"/>
        <w:outlineLvl w:val="2"/>
        <w:rPr>
          <w:rFonts w:hint="eastAsia" w:ascii="宋体" w:hAnsi="宋体" w:cs="宋体"/>
          <w:b/>
          <w:bCs/>
          <w:color w:val="auto"/>
          <w:sz w:val="21"/>
          <w:szCs w:val="21"/>
          <w:highlight w:val="none"/>
        </w:rPr>
      </w:pPr>
      <w:bookmarkStart w:id="807" w:name="_Toc17627"/>
      <w:bookmarkStart w:id="808" w:name="_Toc175063915"/>
      <w:r>
        <w:rPr>
          <w:rFonts w:hint="eastAsia" w:ascii="宋体" w:hAnsi="宋体" w:cs="宋体"/>
          <w:b/>
          <w:bCs/>
          <w:color w:val="auto"/>
          <w:sz w:val="21"/>
          <w:szCs w:val="21"/>
          <w:highlight w:val="none"/>
        </w:rPr>
        <w:t>17.5 竣工结算</w:t>
      </w:r>
      <w:bookmarkEnd w:id="806"/>
      <w:r>
        <w:rPr>
          <w:rFonts w:hint="eastAsia" w:ascii="宋体" w:hAnsi="宋体" w:cs="宋体"/>
          <w:b/>
          <w:bCs/>
          <w:color w:val="auto"/>
          <w:sz w:val="21"/>
          <w:szCs w:val="21"/>
          <w:highlight w:val="none"/>
        </w:rPr>
        <w:t>（完工结算）</w:t>
      </w:r>
      <w:bookmarkEnd w:id="807"/>
      <w:bookmarkEnd w:id="808"/>
    </w:p>
    <w:p w14:paraId="43605CA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17.5.1 竣工（完工）付款申请单</w:t>
      </w:r>
    </w:p>
    <w:p w14:paraId="62CE3566">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bCs/>
          <w:color w:val="auto"/>
          <w:sz w:val="21"/>
          <w:szCs w:val="21"/>
          <w:highlight w:val="none"/>
        </w:rPr>
        <w:t>承包人应在工程接收证书颁发后28天内，按专用合同条款约定的份数向监理人提交完工付款申请单，</w:t>
      </w:r>
      <w:r>
        <w:rPr>
          <w:rFonts w:hint="eastAsia" w:ascii="宋体" w:hAnsi="宋体" w:cs="宋体"/>
          <w:color w:val="auto"/>
          <w:sz w:val="21"/>
          <w:szCs w:val="21"/>
          <w:highlight w:val="none"/>
        </w:rPr>
        <w:t>并提供相关证明材料。完工付款申请单应包括下列内容：完工结算合同总价、发包人已支付承包人的工程价款、应扣留的质量保证金、应支付的完工付款金额。</w:t>
      </w:r>
    </w:p>
    <w:p w14:paraId="1BE36AA4">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（2）监理人对完工付款申请单有异议的，有权要求承包人进行修正和提供补充资料。经监理人和承包人协商后，由承包人向监理人提交修正后的完工付款申请单。</w:t>
      </w:r>
    </w:p>
    <w:p w14:paraId="7E7ECE3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17.5.2 竣工（完工）付款证书及支付时间</w:t>
      </w:r>
    </w:p>
    <w:p w14:paraId="61BA46D5">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423C4966">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（2）发包人应在监理人出具完工付款证书后的14天内，将应支付款支付给承包人。发包人不按期支付的，按第17.3.3（2）目的约定，将逾期付款违约金支付给承包人。</w:t>
      </w:r>
    </w:p>
    <w:p w14:paraId="1DD896BD">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（3）承包人对发包人签认的完工付款证书有异议的，发包人可出具完工付款申请单中承包人已同意部分的临时付款证书。存在争议的部分，按第24条的约定办理。</w:t>
      </w:r>
    </w:p>
    <w:p w14:paraId="191B8B7B">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（4）完工付款涉及政府投资资金的，按第17.3.3（4）目的约定办理。</w:t>
      </w:r>
    </w:p>
    <w:p w14:paraId="50C2B7B6">
      <w:pPr>
        <w:keepNext/>
        <w:keepLines/>
        <w:spacing w:line="360" w:lineRule="auto"/>
        <w:jc w:val="center"/>
        <w:outlineLvl w:val="2"/>
        <w:rPr>
          <w:rFonts w:hint="eastAsia" w:ascii="宋体" w:hAnsi="宋体" w:cs="宋体"/>
          <w:b/>
          <w:bCs/>
          <w:color w:val="auto"/>
          <w:sz w:val="21"/>
          <w:szCs w:val="21"/>
          <w:highlight w:val="none"/>
        </w:rPr>
      </w:pPr>
      <w:bookmarkStart w:id="809" w:name="_Toc22204"/>
      <w:bookmarkStart w:id="810" w:name="_Toc221951017"/>
      <w:bookmarkStart w:id="811" w:name="_Toc175063916"/>
      <w:r>
        <w:rPr>
          <w:rFonts w:hint="eastAsia" w:ascii="宋体" w:hAnsi="宋体" w:cs="宋体"/>
          <w:b/>
          <w:bCs/>
          <w:color w:val="auto"/>
          <w:sz w:val="21"/>
          <w:szCs w:val="21"/>
          <w:highlight w:val="none"/>
        </w:rPr>
        <w:t>17.6 最终结清</w:t>
      </w:r>
      <w:bookmarkEnd w:id="809"/>
      <w:bookmarkEnd w:id="810"/>
      <w:bookmarkEnd w:id="811"/>
    </w:p>
    <w:p w14:paraId="590EACA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17.6.1 最终结清申请单</w:t>
      </w:r>
    </w:p>
    <w:p w14:paraId="2301DC28">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（1）工程质量保修责任终止证书签发后，承包人应按监理人批准的格式提交最终结清申请单。提交最终结清申请单的份数在专用合同条款中约定。</w:t>
      </w:r>
    </w:p>
    <w:p w14:paraId="1967B670">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（2）发包人对最终结清申请单内容有异议的，有权要求承包人进行修正和提供补充资料，由承包人向监理人提交修正后的最终结清申请单。</w:t>
      </w:r>
    </w:p>
    <w:p w14:paraId="3ACE9A3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17.6.2 最终结清证书和支付时间</w:t>
      </w:r>
    </w:p>
    <w:p w14:paraId="22FFEECD">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4F7903BE">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（2）发包人应在监理人出具最终结清证书后的14天内，将应支付款支付给承包人。发包人不按期支付的，按第17.3.3（2）目的约定，将逾期付款违约金支付给承包人。</w:t>
      </w:r>
    </w:p>
    <w:p w14:paraId="70915E9F">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（3）承包人对发包人签认的最终结清证书有异议的，按第24条的约定办理。</w:t>
      </w:r>
    </w:p>
    <w:p w14:paraId="13E7E85C">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（4）最终结清付款涉及政府投资资金的，按第17.3.3（</w:t>
      </w: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）目的约定办理。</w:t>
      </w:r>
    </w:p>
    <w:p w14:paraId="42C9C8CB">
      <w:pPr>
        <w:keepNext/>
        <w:keepLines/>
        <w:spacing w:line="360" w:lineRule="auto"/>
        <w:jc w:val="center"/>
        <w:outlineLvl w:val="2"/>
        <w:rPr>
          <w:rFonts w:hint="eastAsia" w:ascii="宋体" w:hAnsi="宋体" w:cs="宋体"/>
          <w:b/>
          <w:bCs/>
          <w:color w:val="auto"/>
          <w:sz w:val="21"/>
          <w:szCs w:val="21"/>
          <w:highlight w:val="none"/>
        </w:rPr>
      </w:pPr>
      <w:bookmarkStart w:id="812" w:name="_Toc1817"/>
      <w:bookmarkStart w:id="813" w:name="_Toc175063917"/>
      <w:r>
        <w:rPr>
          <w:rFonts w:hint="eastAsia" w:ascii="宋体" w:hAnsi="宋体" w:cs="宋体"/>
          <w:b/>
          <w:bCs/>
          <w:color w:val="auto"/>
          <w:sz w:val="21"/>
          <w:szCs w:val="21"/>
          <w:highlight w:val="none"/>
        </w:rPr>
        <w:t>17.7竣工财务决算</w:t>
      </w:r>
      <w:bookmarkEnd w:id="812"/>
      <w:bookmarkEnd w:id="813"/>
    </w:p>
    <w:p w14:paraId="5228F68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发包人负责编制本工程项目竣工财务决算，承包人应按专用合同条款的约定提供竣工财务决算编制所需的相关材料。</w:t>
      </w:r>
    </w:p>
    <w:p w14:paraId="088575C7">
      <w:pPr>
        <w:keepNext/>
        <w:keepLines/>
        <w:spacing w:line="360" w:lineRule="auto"/>
        <w:jc w:val="center"/>
        <w:outlineLvl w:val="2"/>
        <w:rPr>
          <w:rFonts w:hint="eastAsia" w:ascii="宋体" w:hAnsi="宋体" w:cs="宋体"/>
          <w:b/>
          <w:bCs/>
          <w:color w:val="auto"/>
          <w:sz w:val="21"/>
          <w:szCs w:val="21"/>
          <w:highlight w:val="none"/>
        </w:rPr>
      </w:pPr>
      <w:bookmarkStart w:id="814" w:name="_Toc32115"/>
      <w:bookmarkStart w:id="815" w:name="_Toc175063918"/>
      <w:r>
        <w:rPr>
          <w:rFonts w:hint="eastAsia" w:ascii="宋体" w:hAnsi="宋体" w:cs="宋体"/>
          <w:b/>
          <w:bCs/>
          <w:color w:val="auto"/>
          <w:sz w:val="21"/>
          <w:szCs w:val="21"/>
          <w:highlight w:val="none"/>
        </w:rPr>
        <w:t>17.8竣工审计</w:t>
      </w:r>
      <w:bookmarkEnd w:id="814"/>
      <w:bookmarkEnd w:id="815"/>
    </w:p>
    <w:p w14:paraId="03040EA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发包人负责完成本工程竣工审计手续，承包人应完成相关配合工作。</w:t>
      </w:r>
    </w:p>
    <w:p w14:paraId="4DB257A9">
      <w:pPr>
        <w:keepNext/>
        <w:keepLines/>
        <w:spacing w:line="360" w:lineRule="auto"/>
        <w:jc w:val="center"/>
        <w:outlineLvl w:val="1"/>
        <w:rPr>
          <w:rFonts w:hint="eastAsia" w:ascii="宋体" w:hAnsi="宋体" w:cs="宋体"/>
          <w:b/>
          <w:bCs/>
          <w:color w:val="auto"/>
          <w:sz w:val="21"/>
          <w:szCs w:val="21"/>
          <w:highlight w:val="none"/>
        </w:rPr>
      </w:pPr>
      <w:bookmarkStart w:id="816" w:name="_Toc222029519"/>
      <w:bookmarkStart w:id="817" w:name="_Toc229305379"/>
      <w:bookmarkStart w:id="818" w:name="_Toc221951019"/>
      <w:bookmarkStart w:id="819" w:name="_Toc229408514"/>
      <w:bookmarkStart w:id="820" w:name="_Toc222033870"/>
      <w:bookmarkStart w:id="821" w:name="_Toc222031021"/>
      <w:bookmarkStart w:id="822" w:name="_Toc222032688"/>
      <w:bookmarkStart w:id="823" w:name="_Toc175063919"/>
      <w:bookmarkStart w:id="824" w:name="_Toc256000084"/>
      <w:bookmarkStart w:id="825" w:name="_Toc6081"/>
      <w:r>
        <w:rPr>
          <w:rFonts w:hint="eastAsia" w:ascii="宋体" w:hAnsi="宋体" w:cs="宋体"/>
          <w:b/>
          <w:bCs/>
          <w:color w:val="auto"/>
          <w:sz w:val="21"/>
          <w:szCs w:val="21"/>
          <w:highlight w:val="none"/>
        </w:rPr>
        <w:t>18. 竣工验收</w:t>
      </w:r>
      <w:bookmarkEnd w:id="816"/>
      <w:bookmarkEnd w:id="817"/>
      <w:bookmarkEnd w:id="818"/>
      <w:bookmarkEnd w:id="819"/>
      <w:bookmarkEnd w:id="820"/>
      <w:bookmarkEnd w:id="821"/>
      <w:bookmarkEnd w:id="822"/>
      <w:r>
        <w:rPr>
          <w:rFonts w:hint="eastAsia" w:ascii="宋体" w:hAnsi="宋体" w:cs="宋体"/>
          <w:b/>
          <w:bCs/>
          <w:color w:val="auto"/>
          <w:sz w:val="21"/>
          <w:szCs w:val="21"/>
          <w:highlight w:val="none"/>
        </w:rPr>
        <w:t>（验收）</w:t>
      </w:r>
      <w:bookmarkEnd w:id="823"/>
      <w:bookmarkEnd w:id="824"/>
      <w:bookmarkEnd w:id="825"/>
    </w:p>
    <w:p w14:paraId="4DD9BD12">
      <w:pPr>
        <w:spacing w:line="360" w:lineRule="auto"/>
        <w:rPr>
          <w:rFonts w:hint="eastAsia" w:ascii="宋体" w:hAnsi="宋体" w:cs="宋体"/>
          <w:b/>
          <w:color w:val="auto"/>
          <w:sz w:val="21"/>
          <w:szCs w:val="21"/>
          <w:highlight w:val="none"/>
        </w:rPr>
      </w:pPr>
      <w:bookmarkStart w:id="826" w:name="_Toc222032689"/>
      <w:bookmarkStart w:id="827" w:name="_Toc222033871"/>
      <w:bookmarkStart w:id="828" w:name="_Toc229305380"/>
      <w:bookmarkStart w:id="829" w:name="_Toc222031022"/>
      <w:bookmarkStart w:id="830" w:name="_Toc222029520"/>
      <w:bookmarkStart w:id="831" w:name="_Toc221951044"/>
      <w:r>
        <w:rPr>
          <w:rFonts w:hint="eastAsia" w:ascii="宋体" w:hAnsi="宋体" w:cs="宋体"/>
          <w:b/>
          <w:color w:val="auto"/>
          <w:sz w:val="21"/>
          <w:szCs w:val="21"/>
          <w:highlight w:val="none"/>
        </w:rPr>
        <w:t>18.1 验收工作分类</w:t>
      </w:r>
    </w:p>
    <w:p w14:paraId="353741B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23E1E693">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18.2 分部工程验收</w:t>
      </w:r>
    </w:p>
    <w:p w14:paraId="2C5752F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18.2.1分部工程具备验收条件时，承包人应向发包人提交验收申请报告，发包人应在收到验收申请报告之日起10个工作日内决定是否同意进行验收。</w:t>
      </w:r>
    </w:p>
    <w:p w14:paraId="2D17BFF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18.2.2除专用合同条款另有约定外，监理人主持分部工程验收，承包人应派符合条件的代表参加验收工作组。</w:t>
      </w:r>
    </w:p>
    <w:p w14:paraId="032BB9C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18.2.3分部工程验收通过后，发包人向承包人发送分部工程验收鉴定书。承包人应及时完成分部工程验收鉴定书载明应由承包人处理的遗留问题。</w:t>
      </w:r>
    </w:p>
    <w:p w14:paraId="3F82BB5E">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18.3单位工程验收</w:t>
      </w:r>
    </w:p>
    <w:p w14:paraId="155AE83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18.3.1单位工程具备验收条件时，承包人应向发包人提交验收申请报告，发包人应在收到验收申请报告之日起10个工作日内决定是否同意进行验收。</w:t>
      </w:r>
    </w:p>
    <w:p w14:paraId="5B8B08A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18.3.2发包人主持单位工程验收，承包人应派符合条件的代表参加验收工作组。</w:t>
      </w:r>
    </w:p>
    <w:p w14:paraId="7FD8C35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18.3.3单位工程验收通过后，发包人向承包人发送单位工程验收鉴定书。承包人应及时完成单位工程验收鉴定书载明应由承包人处理的遗留问题。</w:t>
      </w:r>
    </w:p>
    <w:p w14:paraId="39CBC3E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18.3.4 需提前投入使用的单位工程在专用合同条款中明确。</w:t>
      </w:r>
    </w:p>
    <w:p w14:paraId="5927CF08">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18.4合同工程完工验收</w:t>
      </w:r>
    </w:p>
    <w:p w14:paraId="673E5CB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 4.1合同工程具备验收条件时，承包人应向发包人提交验收申请报告，发包人应在收到验收申请报告之日起20个工作日内决定是否同意进行验收。</w:t>
      </w:r>
    </w:p>
    <w:p w14:paraId="5E78C20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18.4.2发包人主持合同工程完工验收，承包人应派符合条件的代表参加验收工作组。</w:t>
      </w:r>
    </w:p>
    <w:p w14:paraId="59B7B08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18.4.3合同工程完工验收通过后，发包人向承包人发送合同工程完工验收鉴定书。承包人应及时完成合同工程完工验收鉴定书载明应由承包人处理的遗留问题。</w:t>
      </w:r>
    </w:p>
    <w:p w14:paraId="76FBF0C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18.4.4合同工程完工验收通过后，发包人与承包人</w:t>
      </w:r>
      <w:r>
        <w:rPr>
          <w:rFonts w:hint="eastAsia" w:ascii="宋体" w:hAnsi="宋体" w:cs="宋体"/>
          <w:color w:val="auto"/>
          <w:sz w:val="21"/>
          <w:szCs w:val="21"/>
          <w:highlight w:val="none"/>
          <w:lang w:eastAsia="zh-CN"/>
        </w:rPr>
        <w:t>应在</w:t>
      </w:r>
      <w:r>
        <w:rPr>
          <w:rFonts w:hint="eastAsia" w:ascii="宋体" w:hAnsi="宋体" w:cs="宋体"/>
          <w:color w:val="auto"/>
          <w:sz w:val="21"/>
          <w:szCs w:val="21"/>
          <w:highlight w:val="none"/>
        </w:rPr>
        <w:t>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w:t>
      </w:r>
      <w:r>
        <w:rPr>
          <w:rFonts w:hint="eastAsia" w:ascii="宋体" w:hAnsi="宋体" w:cs="宋体"/>
          <w:color w:val="auto"/>
          <w:sz w:val="21"/>
          <w:szCs w:val="21"/>
          <w:highlight w:val="none"/>
          <w:lang w:eastAsia="zh-CN"/>
        </w:rPr>
        <w:t>应在</w:t>
      </w:r>
      <w:r>
        <w:rPr>
          <w:rFonts w:hint="eastAsia" w:ascii="宋体" w:hAnsi="宋体" w:cs="宋体"/>
          <w:color w:val="auto"/>
          <w:sz w:val="21"/>
          <w:szCs w:val="21"/>
          <w:highlight w:val="none"/>
        </w:rPr>
        <w:t>30个工作日内向承包人颁发合同工程完工证书。</w:t>
      </w:r>
    </w:p>
    <w:p w14:paraId="3A51C66F">
      <w:pPr>
        <w:keepNext/>
        <w:keepLines/>
        <w:spacing w:line="360" w:lineRule="auto"/>
        <w:jc w:val="center"/>
        <w:outlineLvl w:val="2"/>
        <w:rPr>
          <w:rFonts w:hint="eastAsia" w:ascii="宋体" w:hAnsi="宋体" w:cs="宋体"/>
          <w:b/>
          <w:bCs/>
          <w:color w:val="auto"/>
          <w:sz w:val="21"/>
          <w:szCs w:val="21"/>
          <w:highlight w:val="none"/>
        </w:rPr>
      </w:pPr>
      <w:bookmarkStart w:id="832" w:name="_Toc21939"/>
      <w:bookmarkStart w:id="833" w:name="_Toc175063920"/>
      <w:r>
        <w:rPr>
          <w:rFonts w:hint="eastAsia" w:ascii="宋体" w:hAnsi="宋体" w:cs="宋体"/>
          <w:b/>
          <w:bCs/>
          <w:color w:val="auto"/>
          <w:sz w:val="21"/>
          <w:szCs w:val="21"/>
          <w:highlight w:val="none"/>
        </w:rPr>
        <w:t>18.5  阶段验收</w:t>
      </w:r>
      <w:bookmarkEnd w:id="832"/>
      <w:bookmarkEnd w:id="833"/>
    </w:p>
    <w:p w14:paraId="6E3661C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18.5.1 工程建设具备阶段验收条件时，发包人负责提出阶段验收申请报告。承包人应派代表参加阶段验收，并作为被验收单位在验收鉴定书上签字。阶段验收的具体类别在专用合同条款中约定。</w:t>
      </w:r>
    </w:p>
    <w:p w14:paraId="3751AD6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18.5.2承包人应及时完成阶段验收鉴定书载明应由承包人处理的遗留问题。</w:t>
      </w:r>
    </w:p>
    <w:p w14:paraId="5376963F">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18.6  专项验收  </w:t>
      </w:r>
    </w:p>
    <w:p w14:paraId="076EC77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18.6.1发包人负责提出专项验收申请报告。承包人应按专项验收的相关规定参加专项验收。专项验收的具体类别在专用合同条款中约定。</w:t>
      </w:r>
    </w:p>
    <w:p w14:paraId="3FE67B7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18.6.2承</w:t>
      </w:r>
      <w:r>
        <w:rPr>
          <w:rFonts w:hint="eastAsia" w:ascii="宋体" w:hAnsi="宋体" w:cs="宋体"/>
          <w:color w:val="auto"/>
          <w:sz w:val="21"/>
          <w:szCs w:val="21"/>
          <w:highlight w:val="none"/>
          <w:lang w:eastAsia="zh-CN"/>
        </w:rPr>
        <w:t>包人</w:t>
      </w:r>
      <w:r>
        <w:rPr>
          <w:rFonts w:hint="eastAsia" w:ascii="宋体" w:hAnsi="宋体" w:cs="宋体"/>
          <w:color w:val="auto"/>
          <w:sz w:val="21"/>
          <w:szCs w:val="21"/>
          <w:highlight w:val="none"/>
        </w:rPr>
        <w:t>应及时完成专项成果性文件载明应由承包人处理的遗留问题。</w:t>
      </w:r>
    </w:p>
    <w:p w14:paraId="081A70C6">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18.7 竣工验收</w:t>
      </w:r>
    </w:p>
    <w:p w14:paraId="796523C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18.7.1申请竣工验收前，发包人组织竣工验收自查，承包人应派代表参加。</w:t>
      </w:r>
    </w:p>
    <w:p w14:paraId="381AB74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18.7.2竣工验收分为竣工技术预验收和竣工验收两个阶段，发包人应通知承包人派代表参加技术预验收和竣工验收。</w:t>
      </w:r>
    </w:p>
    <w:p w14:paraId="73F5EFF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18.7.3专用合同条款约定工程需要进行技术鉴定的，承包人应提交有关资料并完成配合工作。</w:t>
      </w:r>
    </w:p>
    <w:p w14:paraId="3D02BF8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18.7.4竣工验收需要进行质量检测的，所需费用由发包人承担，但因承包人原因造成质量不合格的除外。</w:t>
      </w:r>
    </w:p>
    <w:p w14:paraId="2D7A62E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18.7.5工程质量保修期满以及竣工验收遗留问题和尾工处理完成并通过验收后，发包人负责将处理情况和验收成果报送竣工验收主持单位，申请领取工程竣工证书，并发送承包人。</w:t>
      </w:r>
    </w:p>
    <w:p w14:paraId="4B310EFC">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18.8 施工期运行</w:t>
      </w:r>
    </w:p>
    <w:p w14:paraId="3418B5E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18.8.1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33086A3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18.8.2在施工期运行中发现工程或工程设备损坏或存在缺陷的，由承包人按第19.2款约定进行修复。</w:t>
      </w:r>
    </w:p>
    <w:p w14:paraId="64E08CE3">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18.9 试运行</w:t>
      </w:r>
    </w:p>
    <w:p w14:paraId="1589BB6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18.9.1除专用合同条款另有约定外，承包人应按规定进行工程及工程设备试运行，负责提供试运行所需的人员、器材和必要的条件，并承担全部试运行费用。</w:t>
      </w:r>
    </w:p>
    <w:p w14:paraId="5FE8321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18.9.2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9D59E79">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18.10 竣工（完工）清场</w:t>
      </w:r>
    </w:p>
    <w:p w14:paraId="432D822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1810.1工程项目竣工（完工）清场的工作范围和内容在技术标准和要求（合同技术条款）中约定。</w:t>
      </w:r>
    </w:p>
    <w:p w14:paraId="43E768E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18.10.2承</w:t>
      </w:r>
      <w:r>
        <w:rPr>
          <w:rFonts w:hint="eastAsia" w:ascii="宋体" w:hAnsi="宋体" w:cs="宋体"/>
          <w:color w:val="auto"/>
          <w:sz w:val="21"/>
          <w:szCs w:val="21"/>
          <w:highlight w:val="none"/>
          <w:lang w:eastAsia="zh-CN"/>
        </w:rPr>
        <w:t>包人</w:t>
      </w:r>
      <w:r>
        <w:rPr>
          <w:rFonts w:hint="eastAsia" w:ascii="宋体" w:hAnsi="宋体" w:cs="宋体"/>
          <w:color w:val="auto"/>
          <w:sz w:val="21"/>
          <w:szCs w:val="21"/>
          <w:highlight w:val="none"/>
        </w:rPr>
        <w:t>未按监理人的要求恢复临时占地，或者场地清理未达到合同约定的，发包人有权委托</w:t>
      </w:r>
      <w:r>
        <w:rPr>
          <w:rFonts w:hint="eastAsia" w:ascii="宋体" w:hAnsi="宋体" w:cs="宋体"/>
          <w:color w:val="auto"/>
          <w:sz w:val="21"/>
          <w:szCs w:val="21"/>
          <w:highlight w:val="none"/>
          <w:lang w:eastAsia="zh-CN"/>
        </w:rPr>
        <w:t>其他人</w:t>
      </w:r>
      <w:r>
        <w:rPr>
          <w:rFonts w:hint="eastAsia" w:ascii="宋体" w:hAnsi="宋体" w:cs="宋体"/>
          <w:color w:val="auto"/>
          <w:sz w:val="21"/>
          <w:szCs w:val="21"/>
          <w:highlight w:val="none"/>
        </w:rPr>
        <w:t>恢复或清理，所发生的金额从拟支付给承包人的款项中扣除。</w:t>
      </w:r>
    </w:p>
    <w:p w14:paraId="1FB0A2D1">
      <w:pPr>
        <w:spacing w:line="360" w:lineRule="auto"/>
        <w:rPr>
          <w:rFonts w:hint="eastAsia" w:ascii="宋体" w:hAnsi="宋体" w:cs="宋体"/>
          <w:b/>
          <w:color w:val="auto"/>
          <w:sz w:val="21"/>
          <w:szCs w:val="21"/>
          <w:highlight w:val="none"/>
        </w:rPr>
      </w:pPr>
      <w:bookmarkStart w:id="834" w:name="_Toc229408515"/>
      <w:r>
        <w:rPr>
          <w:rFonts w:hint="eastAsia" w:ascii="宋体" w:hAnsi="宋体" w:cs="宋体"/>
          <w:b/>
          <w:color w:val="auto"/>
          <w:sz w:val="21"/>
          <w:szCs w:val="21"/>
          <w:highlight w:val="none"/>
        </w:rPr>
        <w:t>18.11施工队伍的撤离</w:t>
      </w:r>
    </w:p>
    <w:p w14:paraId="5662DC2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工程接收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29A5A9A7">
      <w:pPr>
        <w:keepNext/>
        <w:keepLines/>
        <w:spacing w:line="360" w:lineRule="auto"/>
        <w:jc w:val="center"/>
        <w:outlineLvl w:val="1"/>
        <w:rPr>
          <w:rFonts w:hint="eastAsia" w:ascii="宋体" w:hAnsi="宋体" w:cs="宋体"/>
          <w:b/>
          <w:bCs/>
          <w:color w:val="auto"/>
          <w:sz w:val="21"/>
          <w:szCs w:val="21"/>
          <w:highlight w:val="none"/>
        </w:rPr>
      </w:pPr>
      <w:bookmarkStart w:id="835" w:name="_Toc256000085"/>
      <w:bookmarkStart w:id="836" w:name="_Toc175063921"/>
      <w:bookmarkStart w:id="837" w:name="_Toc9853"/>
      <w:r>
        <w:rPr>
          <w:rFonts w:hint="eastAsia" w:ascii="宋体" w:hAnsi="宋体" w:cs="宋体"/>
          <w:b/>
          <w:bCs/>
          <w:color w:val="auto"/>
          <w:sz w:val="21"/>
          <w:szCs w:val="21"/>
          <w:highlight w:val="none"/>
        </w:rPr>
        <w:t>19. 缺陷责任与保修责任</w:t>
      </w:r>
      <w:bookmarkEnd w:id="826"/>
      <w:bookmarkEnd w:id="827"/>
      <w:bookmarkEnd w:id="828"/>
      <w:bookmarkEnd w:id="829"/>
      <w:bookmarkEnd w:id="830"/>
      <w:bookmarkEnd w:id="831"/>
      <w:bookmarkEnd w:id="834"/>
      <w:bookmarkEnd w:id="835"/>
      <w:bookmarkEnd w:id="836"/>
      <w:bookmarkEnd w:id="837"/>
    </w:p>
    <w:p w14:paraId="536A3672">
      <w:pPr>
        <w:keepNext/>
        <w:keepLines/>
        <w:spacing w:line="360" w:lineRule="auto"/>
        <w:jc w:val="center"/>
        <w:outlineLvl w:val="2"/>
        <w:rPr>
          <w:rFonts w:hint="eastAsia" w:ascii="宋体" w:hAnsi="宋体" w:cs="宋体"/>
          <w:b/>
          <w:bCs/>
          <w:color w:val="auto"/>
          <w:sz w:val="21"/>
          <w:szCs w:val="21"/>
          <w:highlight w:val="none"/>
        </w:rPr>
      </w:pPr>
      <w:bookmarkStart w:id="838" w:name="_Toc16558"/>
      <w:bookmarkStart w:id="839" w:name="_Toc175063922"/>
      <w:bookmarkStart w:id="840" w:name="_Toc221951045"/>
      <w:r>
        <w:rPr>
          <w:rFonts w:hint="eastAsia" w:ascii="宋体" w:hAnsi="宋体" w:cs="宋体"/>
          <w:b/>
          <w:bCs/>
          <w:color w:val="auto"/>
          <w:sz w:val="21"/>
          <w:szCs w:val="21"/>
          <w:highlight w:val="none"/>
        </w:rPr>
        <w:t>19.1 缺陷责任期（工程质量保修期）的起算时间</w:t>
      </w:r>
      <w:bookmarkEnd w:id="838"/>
      <w:bookmarkEnd w:id="839"/>
      <w:bookmarkEnd w:id="840"/>
    </w:p>
    <w:p w14:paraId="2CB797E5">
      <w:pPr>
        <w:spacing w:line="360" w:lineRule="auto"/>
        <w:ind w:firstLine="420" w:firstLineChars="200"/>
        <w:rPr>
          <w:rFonts w:hint="eastAsia" w:ascii="宋体" w:hAnsi="宋体" w:cs="宋体"/>
          <w:color w:val="auto"/>
          <w:sz w:val="21"/>
          <w:szCs w:val="21"/>
          <w:highlight w:val="none"/>
        </w:rPr>
      </w:pPr>
      <w:bookmarkStart w:id="841" w:name="_Toc221951047"/>
      <w:bookmarkStart w:id="842" w:name="_Toc144974707"/>
      <w:bookmarkStart w:id="843" w:name="_Toc152042515"/>
      <w:bookmarkStart w:id="844" w:name="_Toc179632754"/>
      <w:bookmarkStart w:id="845" w:name="_Toc152045736"/>
      <w:r>
        <w:rPr>
          <w:rFonts w:hint="eastAsia" w:ascii="宋体" w:hAnsi="宋体" w:cs="宋体"/>
          <w:color w:val="auto"/>
          <w:sz w:val="21"/>
          <w:szCs w:val="21"/>
          <w:highlight w:val="none"/>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bookmarkEnd w:id="841"/>
    </w:p>
    <w:p w14:paraId="1A4AF5EC">
      <w:pPr>
        <w:keepNext/>
        <w:keepLines/>
        <w:spacing w:line="360" w:lineRule="auto"/>
        <w:outlineLvl w:val="2"/>
        <w:rPr>
          <w:rFonts w:hint="eastAsia" w:ascii="宋体" w:hAnsi="宋体" w:cs="宋体"/>
          <w:color w:val="auto"/>
          <w:sz w:val="21"/>
          <w:szCs w:val="21"/>
          <w:highlight w:val="none"/>
        </w:rPr>
      </w:pPr>
      <w:bookmarkStart w:id="846" w:name="_Toc1823"/>
      <w:bookmarkStart w:id="847" w:name="_Toc175063923"/>
      <w:r>
        <w:rPr>
          <w:rFonts w:hint="eastAsia" w:ascii="宋体" w:hAnsi="宋体" w:cs="宋体"/>
          <w:color w:val="auto"/>
          <w:sz w:val="21"/>
          <w:szCs w:val="21"/>
          <w:highlight w:val="none"/>
        </w:rPr>
        <w:t>19.2 缺陷责任</w:t>
      </w:r>
      <w:bookmarkEnd w:id="842"/>
      <w:bookmarkEnd w:id="843"/>
      <w:bookmarkEnd w:id="844"/>
      <w:bookmarkEnd w:id="845"/>
      <w:bookmarkEnd w:id="846"/>
      <w:bookmarkEnd w:id="847"/>
    </w:p>
    <w:p w14:paraId="48C92E6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19.2.1 承包人应在缺陷责任期内对已交付使用的工程承担缺陷责任。</w:t>
      </w:r>
    </w:p>
    <w:p w14:paraId="690542A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9DB3E2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AEC92E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19.2.4 承包人不能在合理时间内修复缺陷的，发包人可自行修复或委托其他人修复，所需费用和利润的承担，按第19.2.3项约定办理。</w:t>
      </w:r>
    </w:p>
    <w:p w14:paraId="20CC3987">
      <w:pPr>
        <w:keepNext/>
        <w:keepLines/>
        <w:spacing w:line="360" w:lineRule="auto"/>
        <w:outlineLvl w:val="2"/>
        <w:rPr>
          <w:rFonts w:hint="eastAsia" w:ascii="宋体" w:hAnsi="宋体" w:cs="宋体"/>
          <w:color w:val="auto"/>
          <w:sz w:val="21"/>
          <w:szCs w:val="21"/>
          <w:highlight w:val="none"/>
        </w:rPr>
      </w:pPr>
      <w:bookmarkStart w:id="848" w:name="_Toc152045737"/>
      <w:bookmarkStart w:id="849" w:name="_Toc179632755"/>
      <w:bookmarkStart w:id="850" w:name="_Toc152042516"/>
      <w:bookmarkStart w:id="851" w:name="_Toc1201"/>
      <w:bookmarkStart w:id="852" w:name="_Toc144974708"/>
      <w:bookmarkStart w:id="853" w:name="_Toc175063924"/>
      <w:r>
        <w:rPr>
          <w:rFonts w:hint="eastAsia" w:ascii="宋体" w:hAnsi="宋体" w:cs="宋体"/>
          <w:color w:val="auto"/>
          <w:sz w:val="21"/>
          <w:szCs w:val="21"/>
          <w:highlight w:val="none"/>
        </w:rPr>
        <w:t>19.3 缺陷责任期的延长</w:t>
      </w:r>
      <w:bookmarkEnd w:id="848"/>
      <w:bookmarkEnd w:id="849"/>
      <w:bookmarkEnd w:id="850"/>
      <w:bookmarkEnd w:id="851"/>
      <w:bookmarkEnd w:id="852"/>
      <w:bookmarkEnd w:id="853"/>
    </w:p>
    <w:p w14:paraId="55C7BDD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6AC9E998">
      <w:pPr>
        <w:keepNext/>
        <w:keepLines/>
        <w:spacing w:line="360" w:lineRule="auto"/>
        <w:outlineLvl w:val="2"/>
        <w:rPr>
          <w:rFonts w:hint="eastAsia" w:ascii="宋体" w:hAnsi="宋体" w:cs="宋体"/>
          <w:color w:val="auto"/>
          <w:sz w:val="21"/>
          <w:szCs w:val="21"/>
          <w:highlight w:val="none"/>
        </w:rPr>
      </w:pPr>
      <w:bookmarkStart w:id="854" w:name="_Toc10617"/>
      <w:bookmarkStart w:id="855" w:name="_Toc179632756"/>
      <w:bookmarkStart w:id="856" w:name="_Toc175063925"/>
      <w:bookmarkStart w:id="857" w:name="_Toc152042517"/>
      <w:bookmarkStart w:id="858" w:name="_Toc144974709"/>
      <w:bookmarkStart w:id="859" w:name="_Toc152045738"/>
      <w:r>
        <w:rPr>
          <w:rFonts w:hint="eastAsia" w:ascii="宋体" w:hAnsi="宋体" w:cs="宋体"/>
          <w:color w:val="auto"/>
          <w:sz w:val="21"/>
          <w:szCs w:val="21"/>
          <w:highlight w:val="none"/>
        </w:rPr>
        <w:t>19.4 进一步试验和试运行</w:t>
      </w:r>
      <w:bookmarkEnd w:id="854"/>
      <w:bookmarkEnd w:id="855"/>
      <w:bookmarkEnd w:id="856"/>
      <w:bookmarkEnd w:id="857"/>
      <w:bookmarkEnd w:id="858"/>
      <w:bookmarkEnd w:id="859"/>
    </w:p>
    <w:p w14:paraId="5F1350E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任何一项缺陷或损坏修复后，经检查证明其影响了工程或工程设备的使用性能，承包人应重新进行合同约定的试验和试运行，试验和试运行的全部费用应由责任方承担。</w:t>
      </w:r>
    </w:p>
    <w:p w14:paraId="03144C5F">
      <w:pPr>
        <w:keepNext/>
        <w:keepLines/>
        <w:spacing w:line="360" w:lineRule="auto"/>
        <w:outlineLvl w:val="2"/>
        <w:rPr>
          <w:rFonts w:hint="eastAsia" w:ascii="宋体" w:hAnsi="宋体" w:cs="宋体"/>
          <w:color w:val="auto"/>
          <w:sz w:val="21"/>
          <w:szCs w:val="21"/>
          <w:highlight w:val="none"/>
        </w:rPr>
      </w:pPr>
      <w:bookmarkStart w:id="860" w:name="_Toc175063926"/>
      <w:bookmarkStart w:id="861" w:name="_Toc179632757"/>
      <w:bookmarkStart w:id="862" w:name="_Toc29209"/>
      <w:bookmarkStart w:id="863" w:name="_Toc144974710"/>
      <w:bookmarkStart w:id="864" w:name="_Toc152042518"/>
      <w:bookmarkStart w:id="865" w:name="_Toc152045739"/>
      <w:r>
        <w:rPr>
          <w:rFonts w:hint="eastAsia" w:ascii="宋体" w:hAnsi="宋体" w:cs="宋体"/>
          <w:color w:val="auto"/>
          <w:sz w:val="21"/>
          <w:szCs w:val="21"/>
          <w:highlight w:val="none"/>
        </w:rPr>
        <w:t>19.5 承包人的进入权</w:t>
      </w:r>
      <w:bookmarkEnd w:id="860"/>
      <w:bookmarkEnd w:id="861"/>
      <w:bookmarkEnd w:id="862"/>
      <w:bookmarkEnd w:id="863"/>
      <w:bookmarkEnd w:id="864"/>
      <w:bookmarkEnd w:id="865"/>
    </w:p>
    <w:p w14:paraId="3CC29BC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缺陷责任期内承包人为缺陷修复工作需要，有权进入工程现场，但应遵守发包人的保安和保密规定。</w:t>
      </w:r>
    </w:p>
    <w:p w14:paraId="10DFBF4D">
      <w:pPr>
        <w:keepNext/>
        <w:keepLines/>
        <w:spacing w:line="360" w:lineRule="auto"/>
        <w:outlineLvl w:val="2"/>
        <w:rPr>
          <w:rFonts w:hint="eastAsia" w:ascii="宋体" w:hAnsi="宋体" w:cs="宋体"/>
          <w:color w:val="auto"/>
          <w:sz w:val="21"/>
          <w:szCs w:val="21"/>
          <w:highlight w:val="none"/>
        </w:rPr>
      </w:pPr>
      <w:bookmarkStart w:id="866" w:name="_Toc144974711"/>
      <w:bookmarkStart w:id="867" w:name="_Toc152042519"/>
      <w:bookmarkStart w:id="868" w:name="_Toc179632758"/>
      <w:bookmarkStart w:id="869" w:name="_Toc152045740"/>
      <w:bookmarkStart w:id="870" w:name="_Toc175063927"/>
      <w:bookmarkStart w:id="871" w:name="_Toc1279"/>
      <w:r>
        <w:rPr>
          <w:rFonts w:hint="eastAsia" w:ascii="宋体" w:hAnsi="宋体" w:cs="宋体"/>
          <w:color w:val="auto"/>
          <w:sz w:val="21"/>
          <w:szCs w:val="21"/>
          <w:highlight w:val="none"/>
        </w:rPr>
        <w:t>19.6 缺陷责任期终止证书</w:t>
      </w:r>
      <w:bookmarkEnd w:id="866"/>
      <w:bookmarkEnd w:id="867"/>
      <w:bookmarkEnd w:id="868"/>
      <w:bookmarkEnd w:id="869"/>
      <w:r>
        <w:rPr>
          <w:rFonts w:hint="eastAsia" w:ascii="宋体" w:hAnsi="宋体" w:cs="宋体"/>
          <w:color w:val="auto"/>
          <w:sz w:val="21"/>
          <w:szCs w:val="21"/>
          <w:highlight w:val="none"/>
        </w:rPr>
        <w:t>（工程质量保修责任终止证书）</w:t>
      </w:r>
      <w:bookmarkEnd w:id="870"/>
      <w:bookmarkEnd w:id="871"/>
    </w:p>
    <w:p w14:paraId="72BA9D7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合同工程完工验收或投入使用验收后，发包人与承包人应办理工程交接手续，承包人应向发包人递交工程质量保修书。</w:t>
      </w:r>
    </w:p>
    <w:p w14:paraId="7C37329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缺陷责任期（工程质量保修期）满后30个工作日内，发包人应向承包人颁发工程质量保修责任终止证书，并退还剩余的质量保证金，但保修责任范围内的质量缺陷未处理完成的应除外。</w:t>
      </w:r>
    </w:p>
    <w:p w14:paraId="6C9DE2B0">
      <w:pPr>
        <w:keepNext/>
        <w:keepLines/>
        <w:spacing w:line="360" w:lineRule="auto"/>
        <w:outlineLvl w:val="2"/>
        <w:rPr>
          <w:rFonts w:hint="eastAsia" w:ascii="宋体" w:hAnsi="宋体" w:cs="宋体"/>
          <w:color w:val="auto"/>
          <w:sz w:val="21"/>
          <w:szCs w:val="21"/>
          <w:highlight w:val="none"/>
        </w:rPr>
      </w:pPr>
      <w:bookmarkStart w:id="872" w:name="_Toc152042520"/>
      <w:bookmarkStart w:id="873" w:name="_Toc152045741"/>
      <w:bookmarkStart w:id="874" w:name="_Toc144974712"/>
      <w:bookmarkStart w:id="875" w:name="_Toc4332"/>
      <w:bookmarkStart w:id="876" w:name="_Toc175063928"/>
      <w:bookmarkStart w:id="877" w:name="_Toc179632759"/>
      <w:bookmarkStart w:id="878" w:name="_Toc222031023"/>
      <w:bookmarkStart w:id="879" w:name="_Toc229408516"/>
      <w:bookmarkStart w:id="880" w:name="_Toc221951060"/>
      <w:bookmarkStart w:id="881" w:name="_Toc229305381"/>
      <w:bookmarkStart w:id="882" w:name="_Toc222032690"/>
      <w:bookmarkStart w:id="883" w:name="_Toc222029521"/>
      <w:bookmarkStart w:id="884" w:name="_Toc222033872"/>
      <w:r>
        <w:rPr>
          <w:rFonts w:hint="eastAsia" w:ascii="宋体" w:hAnsi="宋体" w:cs="宋体"/>
          <w:color w:val="auto"/>
          <w:sz w:val="21"/>
          <w:szCs w:val="21"/>
          <w:highlight w:val="none"/>
        </w:rPr>
        <w:t>19.7 保修责任</w:t>
      </w:r>
      <w:bookmarkEnd w:id="872"/>
      <w:bookmarkEnd w:id="873"/>
      <w:bookmarkEnd w:id="874"/>
      <w:bookmarkEnd w:id="875"/>
      <w:bookmarkEnd w:id="876"/>
      <w:bookmarkEnd w:id="877"/>
    </w:p>
    <w:p w14:paraId="000E6D8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448D9E8D">
      <w:pPr>
        <w:keepNext/>
        <w:keepLines/>
        <w:spacing w:line="360" w:lineRule="auto"/>
        <w:jc w:val="center"/>
        <w:outlineLvl w:val="1"/>
        <w:rPr>
          <w:rFonts w:hint="eastAsia" w:ascii="宋体" w:hAnsi="宋体" w:cs="宋体"/>
          <w:b/>
          <w:bCs/>
          <w:color w:val="auto"/>
          <w:sz w:val="21"/>
          <w:szCs w:val="21"/>
          <w:highlight w:val="none"/>
        </w:rPr>
      </w:pPr>
      <w:bookmarkStart w:id="885" w:name="_Toc256000086"/>
      <w:bookmarkStart w:id="886" w:name="_Toc15994"/>
      <w:bookmarkStart w:id="887" w:name="_Toc175063929"/>
      <w:r>
        <w:rPr>
          <w:rFonts w:hint="eastAsia" w:ascii="宋体" w:hAnsi="宋体" w:cs="宋体"/>
          <w:b/>
          <w:bCs/>
          <w:color w:val="auto"/>
          <w:sz w:val="21"/>
          <w:szCs w:val="21"/>
          <w:highlight w:val="none"/>
        </w:rPr>
        <w:t>20. 保险</w:t>
      </w:r>
      <w:bookmarkEnd w:id="878"/>
      <w:bookmarkEnd w:id="879"/>
      <w:bookmarkEnd w:id="880"/>
      <w:bookmarkEnd w:id="881"/>
      <w:bookmarkEnd w:id="882"/>
      <w:bookmarkEnd w:id="883"/>
      <w:bookmarkEnd w:id="884"/>
      <w:bookmarkEnd w:id="885"/>
      <w:bookmarkEnd w:id="886"/>
      <w:bookmarkEnd w:id="887"/>
    </w:p>
    <w:p w14:paraId="08086962">
      <w:pPr>
        <w:keepNext/>
        <w:keepLines/>
        <w:spacing w:line="360" w:lineRule="auto"/>
        <w:outlineLvl w:val="2"/>
        <w:rPr>
          <w:rFonts w:hint="eastAsia" w:ascii="宋体" w:hAnsi="宋体" w:cs="宋体"/>
          <w:color w:val="auto"/>
          <w:sz w:val="21"/>
          <w:szCs w:val="21"/>
          <w:highlight w:val="none"/>
        </w:rPr>
      </w:pPr>
      <w:bookmarkStart w:id="888" w:name="_Toc179632761"/>
      <w:bookmarkStart w:id="889" w:name="_Toc9278"/>
      <w:bookmarkStart w:id="890" w:name="_Toc152045743"/>
      <w:bookmarkStart w:id="891" w:name="_Toc152042522"/>
      <w:bookmarkStart w:id="892" w:name="_Toc144974714"/>
      <w:bookmarkStart w:id="893" w:name="_Toc175063930"/>
      <w:r>
        <w:rPr>
          <w:rFonts w:hint="eastAsia" w:ascii="宋体" w:hAnsi="宋体" w:cs="宋体"/>
          <w:color w:val="auto"/>
          <w:sz w:val="21"/>
          <w:szCs w:val="21"/>
          <w:highlight w:val="none"/>
        </w:rPr>
        <w:t>20.1 工程保险</w:t>
      </w:r>
      <w:bookmarkEnd w:id="888"/>
      <w:bookmarkEnd w:id="889"/>
      <w:bookmarkEnd w:id="890"/>
      <w:bookmarkEnd w:id="891"/>
      <w:bookmarkEnd w:id="892"/>
      <w:bookmarkEnd w:id="893"/>
    </w:p>
    <w:p w14:paraId="45BF93C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6194A4C3">
      <w:pPr>
        <w:keepNext/>
        <w:keepLines/>
        <w:spacing w:line="360" w:lineRule="auto"/>
        <w:outlineLvl w:val="2"/>
        <w:rPr>
          <w:rFonts w:hint="eastAsia" w:ascii="宋体" w:hAnsi="宋体" w:cs="宋体"/>
          <w:color w:val="auto"/>
          <w:sz w:val="21"/>
          <w:szCs w:val="21"/>
          <w:highlight w:val="none"/>
        </w:rPr>
      </w:pPr>
      <w:bookmarkStart w:id="894" w:name="_Toc152042523"/>
      <w:bookmarkStart w:id="895" w:name="_Toc144974715"/>
      <w:bookmarkStart w:id="896" w:name="_Toc175063931"/>
      <w:bookmarkStart w:id="897" w:name="_Toc16470"/>
      <w:bookmarkStart w:id="898" w:name="_Toc179632762"/>
      <w:bookmarkStart w:id="899" w:name="_Toc152045744"/>
      <w:r>
        <w:rPr>
          <w:rFonts w:hint="eastAsia" w:ascii="宋体" w:hAnsi="宋体" w:cs="宋体"/>
          <w:color w:val="auto"/>
          <w:sz w:val="21"/>
          <w:szCs w:val="21"/>
          <w:highlight w:val="none"/>
        </w:rPr>
        <w:t>20.2 人员工伤事故的保险</w:t>
      </w:r>
      <w:bookmarkEnd w:id="894"/>
      <w:bookmarkEnd w:id="895"/>
      <w:bookmarkEnd w:id="896"/>
      <w:bookmarkEnd w:id="897"/>
      <w:bookmarkEnd w:id="898"/>
      <w:bookmarkEnd w:id="899"/>
    </w:p>
    <w:p w14:paraId="1E81AF8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20.2.1 承包人员工伤事故的保险</w:t>
      </w:r>
    </w:p>
    <w:p w14:paraId="7037639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承包人应依照有关法律规定参加工伤保险，为其履行合同所雇佣的全部人员，缴纳工伤保险费，并要求其分包人也进行此项保险。</w:t>
      </w:r>
    </w:p>
    <w:p w14:paraId="17F5B09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20.2.2 发包人员工伤事故的保险</w:t>
      </w:r>
    </w:p>
    <w:p w14:paraId="4784650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发包人应依照有关法律规定参加工伤保险，为其现场机构雇佣的全部人员，缴纳工伤保险费，并要求其监理人也进行此项保险。</w:t>
      </w:r>
    </w:p>
    <w:p w14:paraId="3D238A2A">
      <w:pPr>
        <w:keepNext/>
        <w:keepLines/>
        <w:spacing w:line="360" w:lineRule="auto"/>
        <w:outlineLvl w:val="2"/>
        <w:rPr>
          <w:rFonts w:hint="eastAsia" w:ascii="宋体" w:hAnsi="宋体" w:cs="宋体"/>
          <w:color w:val="auto"/>
          <w:sz w:val="21"/>
          <w:szCs w:val="21"/>
          <w:highlight w:val="none"/>
        </w:rPr>
      </w:pPr>
      <w:bookmarkStart w:id="900" w:name="_Toc152045745"/>
      <w:bookmarkStart w:id="901" w:name="_Toc152042524"/>
      <w:bookmarkStart w:id="902" w:name="_Toc175063932"/>
      <w:bookmarkStart w:id="903" w:name="_Toc31184"/>
      <w:bookmarkStart w:id="904" w:name="_Toc179632763"/>
      <w:bookmarkStart w:id="905" w:name="_Toc144974716"/>
      <w:r>
        <w:rPr>
          <w:rFonts w:hint="eastAsia" w:ascii="宋体" w:hAnsi="宋体" w:cs="宋体"/>
          <w:color w:val="auto"/>
          <w:sz w:val="21"/>
          <w:szCs w:val="21"/>
          <w:highlight w:val="none"/>
        </w:rPr>
        <w:t>20.3 人身意外伤害险</w:t>
      </w:r>
      <w:bookmarkEnd w:id="900"/>
      <w:bookmarkEnd w:id="901"/>
      <w:bookmarkEnd w:id="902"/>
      <w:bookmarkEnd w:id="903"/>
      <w:bookmarkEnd w:id="904"/>
      <w:bookmarkEnd w:id="905"/>
    </w:p>
    <w:p w14:paraId="17784CF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20.3.1 发包人应在整个施工期间为其现场机构雇用的全部人员，投保人身意外伤害险，缴纳保险费，并要求其监理人也进行此项保险。</w:t>
      </w:r>
    </w:p>
    <w:p w14:paraId="7D2C91A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20.3.2 承包人应在整个施工期间为其现场机构雇用的全部人员，投保人身意外伤害险，缴纳保险费，并要求其分包人也进行此项保险。</w:t>
      </w:r>
    </w:p>
    <w:p w14:paraId="31DD17FA">
      <w:pPr>
        <w:keepNext/>
        <w:keepLines/>
        <w:spacing w:line="360" w:lineRule="auto"/>
        <w:outlineLvl w:val="2"/>
        <w:rPr>
          <w:rFonts w:hint="eastAsia" w:ascii="宋体" w:hAnsi="宋体" w:cs="宋体"/>
          <w:color w:val="auto"/>
          <w:sz w:val="21"/>
          <w:szCs w:val="21"/>
          <w:highlight w:val="none"/>
        </w:rPr>
      </w:pPr>
      <w:bookmarkStart w:id="906" w:name="_Toc179632764"/>
      <w:bookmarkStart w:id="907" w:name="_Toc590"/>
      <w:bookmarkStart w:id="908" w:name="_Toc175063933"/>
      <w:bookmarkStart w:id="909" w:name="_Toc152045746"/>
      <w:bookmarkStart w:id="910" w:name="_Toc144974717"/>
      <w:bookmarkStart w:id="911" w:name="_Toc152042525"/>
      <w:r>
        <w:rPr>
          <w:rFonts w:hint="eastAsia" w:ascii="宋体" w:hAnsi="宋体" w:cs="宋体"/>
          <w:color w:val="auto"/>
          <w:sz w:val="21"/>
          <w:szCs w:val="21"/>
          <w:highlight w:val="none"/>
        </w:rPr>
        <w:t>20.4 第三者责任险</w:t>
      </w:r>
      <w:bookmarkEnd w:id="906"/>
      <w:bookmarkEnd w:id="907"/>
      <w:bookmarkEnd w:id="908"/>
      <w:bookmarkEnd w:id="909"/>
      <w:bookmarkEnd w:id="910"/>
      <w:bookmarkEnd w:id="911"/>
    </w:p>
    <w:p w14:paraId="09ED96F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7AC5E7C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20.4.2 在缺陷责任期终止证书颁发前，承包人应以承包人和发包人的共同名义，投保第20.4.1项约定的第三者责任险，其保险费率、保险金额等有关内容在专用合同条款中约定。</w:t>
      </w:r>
    </w:p>
    <w:p w14:paraId="1558EFBF">
      <w:pPr>
        <w:keepNext/>
        <w:keepLines/>
        <w:spacing w:line="360" w:lineRule="auto"/>
        <w:outlineLvl w:val="2"/>
        <w:rPr>
          <w:rFonts w:hint="eastAsia" w:ascii="宋体" w:hAnsi="宋体" w:cs="宋体"/>
          <w:color w:val="auto"/>
          <w:sz w:val="21"/>
          <w:szCs w:val="21"/>
          <w:highlight w:val="none"/>
        </w:rPr>
      </w:pPr>
      <w:bookmarkStart w:id="912" w:name="_Toc144974718"/>
      <w:bookmarkStart w:id="913" w:name="_Toc28549"/>
      <w:bookmarkStart w:id="914" w:name="_Toc152042526"/>
      <w:bookmarkStart w:id="915" w:name="_Toc152045747"/>
      <w:bookmarkStart w:id="916" w:name="_Toc179632765"/>
      <w:bookmarkStart w:id="917" w:name="_Toc175063934"/>
      <w:r>
        <w:rPr>
          <w:rFonts w:hint="eastAsia" w:ascii="宋体" w:hAnsi="宋体" w:cs="宋体"/>
          <w:color w:val="auto"/>
          <w:sz w:val="21"/>
          <w:szCs w:val="21"/>
          <w:highlight w:val="none"/>
        </w:rPr>
        <w:t>20.5 其他保险</w:t>
      </w:r>
      <w:bookmarkEnd w:id="912"/>
      <w:bookmarkEnd w:id="913"/>
      <w:bookmarkEnd w:id="914"/>
      <w:bookmarkEnd w:id="915"/>
      <w:bookmarkEnd w:id="916"/>
      <w:bookmarkEnd w:id="917"/>
    </w:p>
    <w:p w14:paraId="0FF2260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除专用合同条款另有约定外，承包人应为其施工设备、进场的材料和工程设备等办理保险。</w:t>
      </w:r>
    </w:p>
    <w:p w14:paraId="57A920B2">
      <w:pPr>
        <w:keepNext/>
        <w:keepLines/>
        <w:spacing w:line="360" w:lineRule="auto"/>
        <w:outlineLvl w:val="2"/>
        <w:rPr>
          <w:rFonts w:hint="eastAsia" w:ascii="宋体" w:hAnsi="宋体" w:cs="宋体"/>
          <w:color w:val="auto"/>
          <w:sz w:val="21"/>
          <w:szCs w:val="21"/>
          <w:highlight w:val="none"/>
        </w:rPr>
      </w:pPr>
      <w:bookmarkStart w:id="918" w:name="_Toc175063935"/>
      <w:bookmarkStart w:id="919" w:name="_Toc179632766"/>
      <w:bookmarkStart w:id="920" w:name="_Toc25471"/>
      <w:bookmarkStart w:id="921" w:name="_Toc144974719"/>
      <w:bookmarkStart w:id="922" w:name="_Toc152045748"/>
      <w:bookmarkStart w:id="923" w:name="_Toc152042527"/>
      <w:r>
        <w:rPr>
          <w:rFonts w:hint="eastAsia" w:ascii="宋体" w:hAnsi="宋体" w:cs="宋体"/>
          <w:color w:val="auto"/>
          <w:sz w:val="21"/>
          <w:szCs w:val="21"/>
          <w:highlight w:val="none"/>
        </w:rPr>
        <w:t>20.6 对各项保险的一般要求</w:t>
      </w:r>
      <w:bookmarkEnd w:id="918"/>
      <w:bookmarkEnd w:id="919"/>
      <w:bookmarkEnd w:id="920"/>
      <w:bookmarkEnd w:id="921"/>
      <w:bookmarkEnd w:id="922"/>
      <w:bookmarkEnd w:id="923"/>
    </w:p>
    <w:p w14:paraId="0E58442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20.6.1 保险凭证</w:t>
      </w:r>
    </w:p>
    <w:p w14:paraId="6B3C415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承包人应在专用合同条款约定的期限内向发包人提交各项保险生效的证据和保险单副本，保险单必须与专用合同条款约定的条件保持一致。</w:t>
      </w:r>
    </w:p>
    <w:p w14:paraId="01A2D1D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20.6.2 保险合同条款的变动</w:t>
      </w:r>
    </w:p>
    <w:p w14:paraId="5E59D47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承包人需要变动保险合同条款时，应事先征得发包人同意，并通知监理人。保险人作出变动的，承包人应在收到保险人通知后立即通知发包人和监理人。</w:t>
      </w:r>
    </w:p>
    <w:p w14:paraId="3739AB0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20.6.3 持续保险</w:t>
      </w:r>
    </w:p>
    <w:p w14:paraId="3A624AB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承包人应与保险人保持联系，使保险人能够随时了解工程实施中的变动，并确保按保险合同条款要求持续保险。</w:t>
      </w:r>
    </w:p>
    <w:p w14:paraId="67D9F46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20.6.4 保险金不足的补偿</w:t>
      </w:r>
    </w:p>
    <w:p w14:paraId="2F82C32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保险金不足以补偿损失时，应由承包人和发包人各自负责补偿的范围和金额在专用合同条款中约定。</w:t>
      </w:r>
    </w:p>
    <w:p w14:paraId="46867D6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20.6.5 未按约定投保的补救</w:t>
      </w:r>
    </w:p>
    <w:p w14:paraId="30867D8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（1）由于负有投保义务的一方当事人未按合同约定办理保险，或未能使保险持续有效的，另一方当事人可代为办理，所需费用由对方当事人承担。</w:t>
      </w:r>
    </w:p>
    <w:p w14:paraId="328AE0C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（2）由于负有投保义务的一方当事人未按合同约定办理某项保险，导致受益人未能得到保险人的赔偿，原应从该项保险得到的保险金应由负有投保义务的一方当事人支付。</w:t>
      </w:r>
    </w:p>
    <w:p w14:paraId="14DE6E1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20.6.6 报告义务</w:t>
      </w:r>
    </w:p>
    <w:p w14:paraId="34313CF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当保险事故发生时，投保人应按照保险单规定的条件和期限及时向保险人报告。</w:t>
      </w:r>
    </w:p>
    <w:p w14:paraId="5FFDCCAA">
      <w:pPr>
        <w:keepNext/>
        <w:keepLines/>
        <w:spacing w:line="360" w:lineRule="auto"/>
        <w:jc w:val="center"/>
        <w:outlineLvl w:val="2"/>
        <w:rPr>
          <w:rFonts w:hint="eastAsia" w:ascii="宋体" w:hAnsi="宋体" w:cs="宋体"/>
          <w:b/>
          <w:bCs/>
          <w:color w:val="auto"/>
          <w:sz w:val="21"/>
          <w:szCs w:val="21"/>
          <w:highlight w:val="none"/>
        </w:rPr>
      </w:pPr>
      <w:bookmarkStart w:id="924" w:name="_Toc175063936"/>
      <w:bookmarkStart w:id="925" w:name="_Toc221951074"/>
      <w:bookmarkStart w:id="926" w:name="_Toc9634"/>
      <w:r>
        <w:rPr>
          <w:rFonts w:hint="eastAsia" w:ascii="宋体" w:hAnsi="宋体" w:cs="宋体"/>
          <w:b/>
          <w:bCs/>
          <w:color w:val="auto"/>
          <w:sz w:val="21"/>
          <w:szCs w:val="21"/>
          <w:highlight w:val="none"/>
        </w:rPr>
        <w:t>20.7 风险责任的转移</w:t>
      </w:r>
      <w:bookmarkEnd w:id="924"/>
      <w:bookmarkEnd w:id="925"/>
      <w:bookmarkEnd w:id="926"/>
    </w:p>
    <w:p w14:paraId="26A18148">
      <w:pPr>
        <w:spacing w:line="360" w:lineRule="auto"/>
        <w:ind w:firstLine="420" w:firstLineChars="200"/>
        <w:rPr>
          <w:rFonts w:hint="eastAsia" w:ascii="宋体" w:hAnsi="宋体" w:cs="宋体"/>
          <w:color w:val="auto"/>
          <w:sz w:val="21"/>
          <w:szCs w:val="21"/>
          <w:highlight w:val="none"/>
        </w:rPr>
      </w:pPr>
      <w:bookmarkStart w:id="927" w:name="_Toc221951075"/>
      <w:r>
        <w:rPr>
          <w:rFonts w:hint="eastAsia" w:ascii="宋体" w:hAnsi="宋体" w:cs="宋体"/>
          <w:color w:val="auto"/>
          <w:sz w:val="21"/>
          <w:szCs w:val="21"/>
          <w:highlight w:val="none"/>
        </w:rPr>
        <w:t>工程通过合同工程完工验收并移交给发包人后，原由承包人应承担的风险责任，以及保险的责任、权利和义务同时转移给发包人，但承包人在缺陷责任期（工程质量保修期）前造成损失和损坏情形除外。</w:t>
      </w:r>
      <w:bookmarkEnd w:id="927"/>
    </w:p>
    <w:p w14:paraId="1CE973BC">
      <w:pPr>
        <w:keepNext/>
        <w:keepLines/>
        <w:spacing w:line="360" w:lineRule="auto"/>
        <w:jc w:val="center"/>
        <w:outlineLvl w:val="1"/>
        <w:rPr>
          <w:rFonts w:hint="eastAsia" w:ascii="宋体" w:hAnsi="宋体" w:cs="宋体"/>
          <w:b/>
          <w:bCs/>
          <w:color w:val="auto"/>
          <w:sz w:val="21"/>
          <w:szCs w:val="21"/>
          <w:highlight w:val="none"/>
        </w:rPr>
      </w:pPr>
      <w:bookmarkStart w:id="928" w:name="_Toc256000087"/>
      <w:bookmarkStart w:id="929" w:name="_Toc229408517"/>
      <w:bookmarkStart w:id="930" w:name="_Toc229305382"/>
      <w:bookmarkStart w:id="931" w:name="_Toc222032691"/>
      <w:bookmarkStart w:id="932" w:name="_Toc222029522"/>
      <w:bookmarkStart w:id="933" w:name="_Toc21046"/>
      <w:bookmarkStart w:id="934" w:name="_Toc222033873"/>
      <w:bookmarkStart w:id="935" w:name="_Toc222031024"/>
      <w:bookmarkStart w:id="936" w:name="_Toc175063937"/>
      <w:bookmarkStart w:id="937" w:name="_Toc221951076"/>
      <w:r>
        <w:rPr>
          <w:rFonts w:hint="eastAsia" w:ascii="宋体" w:hAnsi="宋体" w:cs="宋体"/>
          <w:b/>
          <w:bCs/>
          <w:color w:val="auto"/>
          <w:sz w:val="21"/>
          <w:szCs w:val="21"/>
          <w:highlight w:val="none"/>
        </w:rPr>
        <w:t>21. 不可抗力</w:t>
      </w:r>
      <w:bookmarkEnd w:id="928"/>
      <w:bookmarkEnd w:id="929"/>
      <w:bookmarkEnd w:id="930"/>
      <w:bookmarkEnd w:id="931"/>
      <w:bookmarkEnd w:id="932"/>
      <w:bookmarkEnd w:id="933"/>
      <w:bookmarkEnd w:id="934"/>
      <w:bookmarkEnd w:id="935"/>
      <w:bookmarkEnd w:id="936"/>
      <w:bookmarkEnd w:id="937"/>
    </w:p>
    <w:p w14:paraId="4309BF33">
      <w:pPr>
        <w:keepNext/>
        <w:keepLines/>
        <w:spacing w:line="360" w:lineRule="auto"/>
        <w:outlineLvl w:val="2"/>
        <w:rPr>
          <w:rFonts w:hint="eastAsia" w:ascii="宋体" w:hAnsi="宋体" w:cs="宋体"/>
          <w:color w:val="auto"/>
          <w:sz w:val="21"/>
          <w:szCs w:val="21"/>
          <w:highlight w:val="none"/>
        </w:rPr>
      </w:pPr>
      <w:bookmarkStart w:id="938" w:name="_Toc152042529"/>
      <w:bookmarkStart w:id="939" w:name="_Toc144974721"/>
      <w:bookmarkStart w:id="940" w:name="_Toc179632768"/>
      <w:bookmarkStart w:id="941" w:name="_Toc175063938"/>
      <w:bookmarkStart w:id="942" w:name="_Toc152045750"/>
      <w:bookmarkStart w:id="943" w:name="_Toc19447"/>
      <w:bookmarkStart w:id="944" w:name="_Toc222029523"/>
      <w:bookmarkStart w:id="945" w:name="_Toc229408518"/>
      <w:bookmarkStart w:id="946" w:name="_Toc229305383"/>
      <w:bookmarkStart w:id="947" w:name="_Toc222033874"/>
      <w:bookmarkStart w:id="948" w:name="_Toc222032692"/>
      <w:bookmarkStart w:id="949" w:name="_Toc222031025"/>
      <w:bookmarkStart w:id="950" w:name="_Toc221951083"/>
      <w:r>
        <w:rPr>
          <w:rFonts w:hint="eastAsia" w:ascii="宋体" w:hAnsi="宋体" w:cs="宋体"/>
          <w:color w:val="auto"/>
          <w:sz w:val="21"/>
          <w:szCs w:val="21"/>
          <w:highlight w:val="none"/>
        </w:rPr>
        <w:t>21.1 不可抗力的确认</w:t>
      </w:r>
      <w:bookmarkEnd w:id="938"/>
      <w:bookmarkEnd w:id="939"/>
      <w:bookmarkEnd w:id="940"/>
      <w:bookmarkEnd w:id="941"/>
      <w:bookmarkEnd w:id="942"/>
      <w:bookmarkEnd w:id="943"/>
    </w:p>
    <w:p w14:paraId="67F8E17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51ED84B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20084F92">
      <w:pPr>
        <w:keepNext/>
        <w:keepLines/>
        <w:spacing w:line="360" w:lineRule="auto"/>
        <w:outlineLvl w:val="2"/>
        <w:rPr>
          <w:rFonts w:hint="eastAsia" w:ascii="宋体" w:hAnsi="宋体" w:cs="宋体"/>
          <w:color w:val="auto"/>
          <w:sz w:val="21"/>
          <w:szCs w:val="21"/>
          <w:highlight w:val="none"/>
        </w:rPr>
      </w:pPr>
      <w:bookmarkStart w:id="951" w:name="_Toc152042530"/>
      <w:bookmarkStart w:id="952" w:name="_Toc175063939"/>
      <w:bookmarkStart w:id="953" w:name="_Toc152045751"/>
      <w:bookmarkStart w:id="954" w:name="_Toc144974722"/>
      <w:bookmarkStart w:id="955" w:name="_Toc179632769"/>
      <w:bookmarkStart w:id="956" w:name="_Toc5864"/>
      <w:r>
        <w:rPr>
          <w:rFonts w:hint="eastAsia" w:ascii="宋体" w:hAnsi="宋体" w:cs="宋体"/>
          <w:color w:val="auto"/>
          <w:sz w:val="21"/>
          <w:szCs w:val="21"/>
          <w:highlight w:val="none"/>
        </w:rPr>
        <w:t>21.2 不可抗力的通知</w:t>
      </w:r>
      <w:bookmarkEnd w:id="951"/>
      <w:bookmarkEnd w:id="952"/>
      <w:bookmarkEnd w:id="953"/>
      <w:bookmarkEnd w:id="954"/>
      <w:bookmarkEnd w:id="955"/>
      <w:bookmarkEnd w:id="956"/>
    </w:p>
    <w:p w14:paraId="79E162A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21.2.1 合同一方当事人遇到不可抗力事件，使其履行合同义务受到阻碍时，应立即通知合同另一方当事人和监理人，书面说明不可抗力和受阻碍的详细情况，并提供必要的证明。</w:t>
      </w:r>
    </w:p>
    <w:p w14:paraId="5691F5C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388FE3EF">
      <w:pPr>
        <w:keepNext/>
        <w:keepLines/>
        <w:spacing w:line="360" w:lineRule="auto"/>
        <w:outlineLvl w:val="2"/>
        <w:rPr>
          <w:rFonts w:hint="eastAsia" w:ascii="宋体" w:hAnsi="宋体" w:cs="宋体"/>
          <w:color w:val="auto"/>
          <w:sz w:val="21"/>
          <w:szCs w:val="21"/>
          <w:highlight w:val="none"/>
        </w:rPr>
      </w:pPr>
      <w:bookmarkStart w:id="957" w:name="_Toc144974723"/>
      <w:bookmarkStart w:id="958" w:name="_Toc152045752"/>
      <w:bookmarkStart w:id="959" w:name="_Toc152042531"/>
      <w:bookmarkStart w:id="960" w:name="_Toc175063940"/>
      <w:bookmarkStart w:id="961" w:name="_Toc10595"/>
      <w:bookmarkStart w:id="962" w:name="_Toc179632770"/>
      <w:r>
        <w:rPr>
          <w:rFonts w:hint="eastAsia" w:ascii="宋体" w:hAnsi="宋体" w:cs="宋体"/>
          <w:color w:val="auto"/>
          <w:sz w:val="21"/>
          <w:szCs w:val="21"/>
          <w:highlight w:val="none"/>
        </w:rPr>
        <w:t>21.3 不可抗力后果及其处理</w:t>
      </w:r>
      <w:bookmarkEnd w:id="957"/>
      <w:bookmarkEnd w:id="958"/>
      <w:bookmarkEnd w:id="959"/>
      <w:bookmarkEnd w:id="960"/>
      <w:bookmarkEnd w:id="961"/>
      <w:bookmarkEnd w:id="962"/>
    </w:p>
    <w:p w14:paraId="03282A9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21.3.1 不可抗力造成损害的责任</w:t>
      </w:r>
    </w:p>
    <w:p w14:paraId="36F6590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除专用合同条款另有约定外，不可抗力导致的人员伤亡、财产损失、费用增加和（或）工期延误等后果，由合同双方按以下原则承担：</w:t>
      </w:r>
    </w:p>
    <w:p w14:paraId="23C2B658">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（1）永久工程，包括已运至施工场地的材料和工程设备的损害，以及因工程损害造成的第三者人员伤亡和财产损失由发包人承担；</w:t>
      </w:r>
    </w:p>
    <w:p w14:paraId="7FDA130D">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（2）承包人设备的损坏由承包人承担；</w:t>
      </w:r>
    </w:p>
    <w:p w14:paraId="6C19C5B1">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（3）发包人和承包人各自承担其人员伤亡和其他财产损失及其相关费用；</w:t>
      </w:r>
    </w:p>
    <w:p w14:paraId="33C20DC3">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（4）承包人的停工损失由承包人承担，但停工期间应监理人要求照管工程和清理、修复工程的金额由发包人承担；</w:t>
      </w:r>
    </w:p>
    <w:p w14:paraId="3696D26C">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（5）不能按期竣工的，应合理延长工期，承包人不需支付逾期竣工违约金。发包人要求赶工的，承包人应采取赶工措施，赶工费用由发包人承担。</w:t>
      </w:r>
    </w:p>
    <w:p w14:paraId="5313583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21.3.2 延迟履行期间发生的不可抗力</w:t>
      </w:r>
    </w:p>
    <w:p w14:paraId="282D28A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合同一方当事人延迟履行，在延迟履行期间发生不可抗力的，不免除其责任。</w:t>
      </w:r>
    </w:p>
    <w:p w14:paraId="677D583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21.3.3 避免和减少不可抗力损失</w:t>
      </w:r>
    </w:p>
    <w:p w14:paraId="4EAF50F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不可抗力发生后，发包人和承包人均应采取措施尽量避免和减少损失的扩大，任何一方没有采取有效措施导致损失扩大的，应对扩大的损失承担责任。</w:t>
      </w:r>
    </w:p>
    <w:p w14:paraId="36C1D2A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21.3.4 因不可抗力解除合同</w:t>
      </w:r>
    </w:p>
    <w:p w14:paraId="44BBDA2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75AC5FC1">
      <w:pPr>
        <w:keepNext/>
        <w:keepLines/>
        <w:spacing w:line="360" w:lineRule="auto"/>
        <w:jc w:val="center"/>
        <w:outlineLvl w:val="1"/>
        <w:rPr>
          <w:rFonts w:hint="eastAsia" w:ascii="宋体" w:hAnsi="宋体" w:cs="宋体"/>
          <w:b/>
          <w:bCs/>
          <w:color w:val="auto"/>
          <w:sz w:val="21"/>
          <w:szCs w:val="21"/>
          <w:highlight w:val="none"/>
        </w:rPr>
      </w:pPr>
      <w:bookmarkStart w:id="963" w:name="_Toc175063941"/>
      <w:bookmarkStart w:id="964" w:name="_Toc256000088"/>
      <w:bookmarkStart w:id="965" w:name="_Toc1084"/>
      <w:r>
        <w:rPr>
          <w:rFonts w:hint="eastAsia" w:ascii="宋体" w:hAnsi="宋体" w:cs="宋体"/>
          <w:b/>
          <w:bCs/>
          <w:color w:val="auto"/>
          <w:sz w:val="21"/>
          <w:szCs w:val="21"/>
          <w:highlight w:val="none"/>
        </w:rPr>
        <w:t>22. 违约</w:t>
      </w:r>
      <w:bookmarkEnd w:id="944"/>
      <w:bookmarkEnd w:id="945"/>
      <w:bookmarkEnd w:id="946"/>
      <w:bookmarkEnd w:id="947"/>
      <w:bookmarkEnd w:id="948"/>
      <w:bookmarkEnd w:id="949"/>
      <w:bookmarkEnd w:id="950"/>
      <w:bookmarkEnd w:id="963"/>
      <w:bookmarkEnd w:id="964"/>
      <w:bookmarkEnd w:id="965"/>
    </w:p>
    <w:p w14:paraId="70E276A8">
      <w:pPr>
        <w:keepNext/>
        <w:keepLines/>
        <w:spacing w:line="360" w:lineRule="auto"/>
        <w:outlineLvl w:val="2"/>
        <w:rPr>
          <w:rFonts w:hint="eastAsia" w:ascii="宋体" w:hAnsi="宋体" w:cs="宋体"/>
          <w:color w:val="auto"/>
          <w:sz w:val="21"/>
          <w:szCs w:val="21"/>
          <w:highlight w:val="none"/>
        </w:rPr>
      </w:pPr>
      <w:bookmarkStart w:id="966" w:name="_Toc179632772"/>
      <w:bookmarkStart w:id="967" w:name="_Toc144974725"/>
      <w:bookmarkStart w:id="968" w:name="_Toc14408"/>
      <w:bookmarkStart w:id="969" w:name="_Toc152045754"/>
      <w:bookmarkStart w:id="970" w:name="_Toc175063942"/>
      <w:bookmarkStart w:id="971" w:name="_Toc152042533"/>
      <w:r>
        <w:rPr>
          <w:rFonts w:hint="eastAsia" w:ascii="宋体" w:hAnsi="宋体" w:cs="宋体"/>
          <w:color w:val="auto"/>
          <w:sz w:val="21"/>
          <w:szCs w:val="21"/>
          <w:highlight w:val="none"/>
        </w:rPr>
        <w:t>22.1 承包人违约</w:t>
      </w:r>
      <w:bookmarkEnd w:id="966"/>
      <w:bookmarkEnd w:id="967"/>
      <w:bookmarkEnd w:id="968"/>
      <w:bookmarkEnd w:id="969"/>
      <w:bookmarkEnd w:id="970"/>
      <w:bookmarkEnd w:id="971"/>
    </w:p>
    <w:p w14:paraId="3AEEFB8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22.1.1 承包人违约的情形</w:t>
      </w:r>
    </w:p>
    <w:p w14:paraId="7D3329B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在履行合同过程中发生的下列情况属承包人违约：</w:t>
      </w:r>
    </w:p>
    <w:p w14:paraId="2ED3ADD1">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（1）承包人违反第1.8款或第4.3款的约定，私自将合同的全部或部分权利转让给其他人，或私自将合同的全部或部分义务转移给其他人；</w:t>
      </w:r>
    </w:p>
    <w:p w14:paraId="09BFF316">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（2）承包人违反第5.3款或第6.4款的约定，未经监理人批准，私自将已按合同约定进入施工场地的施工设备、临时设施或材料撤离施工场地；</w:t>
      </w:r>
    </w:p>
    <w:p w14:paraId="23DD4366">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（3）承包人违反第5.4款的约定使用了不合格材料或工程设备，工程质量达不到标准要求，又拒绝清除不合格工程；</w:t>
      </w:r>
    </w:p>
    <w:p w14:paraId="7A6F6091">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（4）承包人未能按合同进度计划及时完成合同约定的工作，已造成或预期造成工期延误；</w:t>
      </w:r>
    </w:p>
    <w:p w14:paraId="1DD88394">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（5）承包人在缺陷责任期（工程质量保修期）内，未能对合同工程完工验收鉴定书中所列的缺陷清单的内容或缺陷责任期（工程质量保修期）内发生的缺陷进行修复，而又拒绝按监理人指示再进行修补；</w:t>
      </w:r>
    </w:p>
    <w:p w14:paraId="163C83A2">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（6）承包人无法继续履行或明确表示不履行或实质上已停止履行合同；</w:t>
      </w:r>
    </w:p>
    <w:p w14:paraId="2A92A08A">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（7）承包人不按合同约定履行义务的其他情况。</w:t>
      </w:r>
    </w:p>
    <w:p w14:paraId="56259AE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22.1.2 对承包人违约的处理</w:t>
      </w:r>
    </w:p>
    <w:p w14:paraId="7BB5A3A1">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（1）承包人发生第22.1.1（6）目约定的违约情况时，发包人可通知承包人立即解除合同，并按有关法律处理。</w:t>
      </w:r>
    </w:p>
    <w:p w14:paraId="02534B68">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（2）承包人发生除第22.1.1（6）目约定以外的其他违约情况时，监理人可向承包人发出整改通知，要求其在指定的期限内改正。承包人应承担其违约所引起的费用增加和（或）工期延误。</w:t>
      </w:r>
    </w:p>
    <w:p w14:paraId="50808842">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（3）经检查证明承包人已采取了有效措施纠正违约行为，具备复工条件的，可由监理人签发复工通知复工。</w:t>
      </w:r>
    </w:p>
    <w:p w14:paraId="6DF81DA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22.1.3 承包人违约解除合同</w:t>
      </w:r>
    </w:p>
    <w:p w14:paraId="629659B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3CFBED3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22.1.4 合同解除后的估价、付款和结清</w:t>
      </w:r>
    </w:p>
    <w:p w14:paraId="27C71704">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（1）合同解除后，监理人按第3.5款商定或确定承包人实际完成工作的价值，以及承包人已提供的材料、施工设备、工程设备和临时工程等的价值。 </w:t>
      </w:r>
    </w:p>
    <w:p w14:paraId="1BCAC05C">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（2）合同解除后，发包人应暂停对承包人的一切付款，查清各项付款和已扣款金额，包括承包人应支付的违约金。 </w:t>
      </w:r>
    </w:p>
    <w:p w14:paraId="4C423CF9">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（3）合同解除后，发包人应按第23.4款的约定向承包人索赔由于解除合同给发包人造成的损失。</w:t>
      </w:r>
    </w:p>
    <w:p w14:paraId="2429F519">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（4）合同双方确认上述往来款项后，出具最终结清付款证书，结清全部合同款项。</w:t>
      </w:r>
    </w:p>
    <w:p w14:paraId="78AC9559">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（5）发包人和承包人未能就解除合同后的结清达成一致而形成争议的，按第24条的约定办理。</w:t>
      </w:r>
    </w:p>
    <w:p w14:paraId="0FEA6C4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22.1.5 协议利益的转让</w:t>
      </w:r>
    </w:p>
    <w:p w14:paraId="2F4967E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2E2460B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22.1.6 紧急情况下无能力或不愿进行抢救</w:t>
      </w:r>
    </w:p>
    <w:p w14:paraId="449F04C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23862367">
      <w:pPr>
        <w:keepNext/>
        <w:keepLines/>
        <w:spacing w:line="360" w:lineRule="auto"/>
        <w:outlineLvl w:val="2"/>
        <w:rPr>
          <w:rFonts w:hint="eastAsia" w:ascii="宋体" w:hAnsi="宋体" w:cs="宋体"/>
          <w:color w:val="auto"/>
          <w:sz w:val="21"/>
          <w:szCs w:val="21"/>
          <w:highlight w:val="none"/>
        </w:rPr>
      </w:pPr>
      <w:bookmarkStart w:id="972" w:name="_Toc7180"/>
      <w:bookmarkStart w:id="973" w:name="_Toc144974726"/>
      <w:bookmarkStart w:id="974" w:name="_Toc175063943"/>
      <w:bookmarkStart w:id="975" w:name="_Toc152045755"/>
      <w:bookmarkStart w:id="976" w:name="_Toc179632773"/>
      <w:bookmarkStart w:id="977" w:name="_Toc152042534"/>
      <w:r>
        <w:rPr>
          <w:rFonts w:hint="eastAsia" w:ascii="宋体" w:hAnsi="宋体" w:cs="宋体"/>
          <w:color w:val="auto"/>
          <w:sz w:val="21"/>
          <w:szCs w:val="21"/>
          <w:highlight w:val="none"/>
        </w:rPr>
        <w:t>22.2 发包人违约</w:t>
      </w:r>
      <w:bookmarkEnd w:id="972"/>
      <w:bookmarkEnd w:id="973"/>
      <w:bookmarkEnd w:id="974"/>
      <w:bookmarkEnd w:id="975"/>
      <w:bookmarkEnd w:id="976"/>
      <w:bookmarkEnd w:id="977"/>
    </w:p>
    <w:p w14:paraId="6C08DE3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22.2.1 发包人违约的情形</w:t>
      </w:r>
    </w:p>
    <w:p w14:paraId="2B42B05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在履行合同过程中发生的下列情形，属发包人违约：</w:t>
      </w:r>
    </w:p>
    <w:p w14:paraId="3874B055">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（1）发包人未能按合同约定支付预付款或合同价款，或拖延、拒绝批准付款申请和支付凭证，导致付款延误的；</w:t>
      </w:r>
    </w:p>
    <w:p w14:paraId="6F9D90D5">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（2）发包人原因造成停工的；</w:t>
      </w:r>
    </w:p>
    <w:p w14:paraId="0ACA210F">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（3）监理人无正当理由没有在约定期限内发出复工指示，导致承包人无法复工的；</w:t>
      </w:r>
    </w:p>
    <w:p w14:paraId="076302A9">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（4）发包人无法继续履行或明确表示不履行或实质上已停止履行合同的；</w:t>
      </w:r>
    </w:p>
    <w:p w14:paraId="7C69C86F">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（5）发包人不履行合同约定其他义务的。</w:t>
      </w:r>
    </w:p>
    <w:p w14:paraId="013B4FA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22.2.2 承包人有权暂停施工</w:t>
      </w:r>
    </w:p>
    <w:p w14:paraId="5B6A65F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1BD7BC4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22.2.3 发包人违约解除合同 </w:t>
      </w:r>
    </w:p>
    <w:p w14:paraId="3E5FEB61">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（1）发生第22.2.1（4）目的违约情况时，承包人可书面通知发包人解除合同。   </w:t>
      </w:r>
    </w:p>
    <w:p w14:paraId="00D5C96D">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249CFE4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22.2.4 解除合同后的付款</w:t>
      </w:r>
    </w:p>
    <w:p w14:paraId="35D33BD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因发包人违约解除合同的，发包人应在解除合同后28天内向承包人支付下列金额，承包人应在此期限内及时向发包人提交要求支付下列金额的有关资料和凭证：</w:t>
      </w:r>
    </w:p>
    <w:p w14:paraId="03AC655E">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（1）合同解除日以前所完成工作的价款；</w:t>
      </w:r>
    </w:p>
    <w:p w14:paraId="07B97B4D">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（2）承包人为该工程施工订购并已付款的材料、工程设备和其他物品的金额。发包人付还后，该材料、工程设备和其他物品归发包人所有；</w:t>
      </w:r>
    </w:p>
    <w:p w14:paraId="71BBFCA1">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（3）承包人为完成工程所发生的，而发包人未支付的金额；</w:t>
      </w:r>
    </w:p>
    <w:p w14:paraId="53D7AD84">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（4）承包人撤离施工场地以及遣散承包人人员的金额；</w:t>
      </w:r>
    </w:p>
    <w:p w14:paraId="142872B4">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（5）由于解除合同应赔偿的承包人损失；</w:t>
      </w:r>
    </w:p>
    <w:p w14:paraId="6EC51D62">
      <w:pPr>
        <w:spacing w:line="360" w:lineRule="auto"/>
        <w:ind w:firstLine="718" w:firstLineChars="342"/>
        <w:rPr>
          <w:rFonts w:hint="eastAsia" w:ascii="宋体" w:hAnsi="宋体" w:cs="宋体"/>
          <w:color w:val="auto"/>
          <w:sz w:val="21"/>
          <w:szCs w:val="21"/>
          <w:highlight w:val="none"/>
        </w:rPr>
      </w:pPr>
      <w:r>
        <w:rPr>
          <w:rFonts w:hint="eastAsia" w:ascii="宋体" w:hAnsi="宋体" w:cs="宋体"/>
          <w:color w:val="auto"/>
          <w:sz w:val="21"/>
          <w:szCs w:val="21"/>
          <w:highlight w:val="none"/>
        </w:rPr>
        <w:t>（6）按合同约定在合同解除日前应支付给承包人的其他金额。</w:t>
      </w:r>
    </w:p>
    <w:p w14:paraId="1B05291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发包人应按本项约定支付上述金额并退还质量保证金和履约担保，但有权要求承包人支付应偿还给发包人的各项金额。</w:t>
      </w:r>
    </w:p>
    <w:p w14:paraId="300563B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22.2.5 解除合同后的承包人撤离</w:t>
      </w:r>
    </w:p>
    <w:p w14:paraId="59D03F7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251EE6EF">
      <w:pPr>
        <w:keepNext/>
        <w:keepLines/>
        <w:spacing w:line="360" w:lineRule="auto"/>
        <w:outlineLvl w:val="2"/>
        <w:rPr>
          <w:rFonts w:hint="eastAsia" w:ascii="宋体" w:hAnsi="宋体" w:cs="宋体"/>
          <w:color w:val="auto"/>
          <w:sz w:val="21"/>
          <w:szCs w:val="21"/>
          <w:highlight w:val="none"/>
        </w:rPr>
      </w:pPr>
      <w:bookmarkStart w:id="978" w:name="_Toc175063944"/>
      <w:bookmarkStart w:id="979" w:name="_Toc152045756"/>
      <w:bookmarkStart w:id="980" w:name="_Toc179632774"/>
      <w:bookmarkStart w:id="981" w:name="_Toc152042535"/>
      <w:bookmarkStart w:id="982" w:name="_Toc18423"/>
      <w:r>
        <w:rPr>
          <w:rFonts w:hint="eastAsia" w:ascii="宋体" w:hAnsi="宋体" w:cs="宋体"/>
          <w:color w:val="auto"/>
          <w:sz w:val="21"/>
          <w:szCs w:val="21"/>
          <w:highlight w:val="none"/>
        </w:rPr>
        <w:t>22.3 第三人造成的违约</w:t>
      </w:r>
      <w:bookmarkEnd w:id="978"/>
      <w:bookmarkEnd w:id="979"/>
      <w:bookmarkEnd w:id="980"/>
      <w:bookmarkEnd w:id="981"/>
      <w:bookmarkEnd w:id="982"/>
    </w:p>
    <w:p w14:paraId="2D8E359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在履行合同过程中，一方当事人因第三人的原因造成违约的，应当向对方当事人承担违约责任。一方当事人和第三人之间的纠纷，依照法律规定或者按照约定解决。</w:t>
      </w:r>
    </w:p>
    <w:p w14:paraId="43AAC8BB">
      <w:pPr>
        <w:keepNext/>
        <w:keepLines/>
        <w:spacing w:line="360" w:lineRule="auto"/>
        <w:jc w:val="center"/>
        <w:outlineLvl w:val="1"/>
        <w:rPr>
          <w:rFonts w:hint="eastAsia" w:ascii="宋体" w:hAnsi="宋体" w:cs="宋体"/>
          <w:b/>
          <w:bCs/>
          <w:color w:val="auto"/>
          <w:sz w:val="21"/>
          <w:szCs w:val="21"/>
          <w:highlight w:val="none"/>
        </w:rPr>
      </w:pPr>
      <w:bookmarkStart w:id="983" w:name="_Toc222031026"/>
      <w:bookmarkStart w:id="984" w:name="_Toc256000089"/>
      <w:bookmarkStart w:id="985" w:name="_Toc222033875"/>
      <w:bookmarkStart w:id="986" w:name="_Toc221951088"/>
      <w:bookmarkStart w:id="987" w:name="_Toc229305384"/>
      <w:bookmarkStart w:id="988" w:name="_Toc175063945"/>
      <w:bookmarkStart w:id="989" w:name="_Toc222029524"/>
      <w:bookmarkStart w:id="990" w:name="_Toc31174"/>
      <w:bookmarkStart w:id="991" w:name="_Toc222032693"/>
      <w:bookmarkStart w:id="992" w:name="_Toc229408519"/>
      <w:r>
        <w:rPr>
          <w:rFonts w:hint="eastAsia" w:ascii="宋体" w:hAnsi="宋体" w:cs="宋体"/>
          <w:b/>
          <w:bCs/>
          <w:color w:val="auto"/>
          <w:sz w:val="21"/>
          <w:szCs w:val="21"/>
          <w:highlight w:val="none"/>
        </w:rPr>
        <w:t>23. 索赔</w:t>
      </w:r>
      <w:bookmarkEnd w:id="983"/>
      <w:bookmarkEnd w:id="984"/>
      <w:bookmarkEnd w:id="985"/>
      <w:bookmarkEnd w:id="986"/>
      <w:bookmarkEnd w:id="987"/>
      <w:bookmarkEnd w:id="988"/>
      <w:bookmarkEnd w:id="989"/>
      <w:bookmarkEnd w:id="990"/>
      <w:bookmarkEnd w:id="991"/>
      <w:bookmarkEnd w:id="992"/>
    </w:p>
    <w:p w14:paraId="09E396D6">
      <w:pPr>
        <w:keepNext/>
        <w:keepLines/>
        <w:spacing w:line="360" w:lineRule="auto"/>
        <w:outlineLvl w:val="2"/>
        <w:rPr>
          <w:rFonts w:hint="eastAsia" w:ascii="宋体" w:hAnsi="宋体" w:cs="宋体"/>
          <w:color w:val="auto"/>
          <w:sz w:val="21"/>
          <w:szCs w:val="21"/>
          <w:highlight w:val="none"/>
        </w:rPr>
      </w:pPr>
      <w:bookmarkStart w:id="993" w:name="_Toc144974728"/>
      <w:bookmarkStart w:id="994" w:name="_Toc175063946"/>
      <w:bookmarkStart w:id="995" w:name="_Toc21013"/>
      <w:bookmarkStart w:id="996" w:name="_Toc179632776"/>
      <w:bookmarkStart w:id="997" w:name="_Toc152042537"/>
      <w:bookmarkStart w:id="998" w:name="_Toc152045758"/>
      <w:bookmarkStart w:id="999" w:name="_Toc221951097"/>
      <w:r>
        <w:rPr>
          <w:rFonts w:hint="eastAsia" w:ascii="宋体" w:hAnsi="宋体" w:cs="宋体"/>
          <w:color w:val="auto"/>
          <w:sz w:val="21"/>
          <w:szCs w:val="21"/>
          <w:highlight w:val="none"/>
        </w:rPr>
        <w:t>23.1 承包人索赔的提出</w:t>
      </w:r>
      <w:bookmarkEnd w:id="993"/>
      <w:bookmarkEnd w:id="994"/>
      <w:bookmarkEnd w:id="995"/>
      <w:bookmarkEnd w:id="996"/>
      <w:bookmarkEnd w:id="997"/>
      <w:bookmarkEnd w:id="998"/>
    </w:p>
    <w:p w14:paraId="7B1E4E9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根据合同约定，承包人认为有权得到追加付款和（或）延长工期的，应按以下程序向发包人提出索赔：</w:t>
      </w:r>
    </w:p>
    <w:p w14:paraId="54BA795B">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0CE8B60">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（2）承包人应在发出索赔意向通知书后28天内，向监理人正式递交索赔通知书。索赔通知书应详细说明索赔理由以及要求追加的付款金额和（或）延长的工期，并附必要的记录和证明材料；</w:t>
      </w:r>
    </w:p>
    <w:p w14:paraId="5EC5AA41">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（3）索赔事件具有连续影响的，承包人应按合理时间间隔继续递交延续索赔通知，说明连续影响的实际情况和记录，列出累计的追加付款金额和（或）工期延长天数；</w:t>
      </w:r>
    </w:p>
    <w:p w14:paraId="60216B49">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（4）在索赔事件影响结束后的28天内，承包人应向监理人递交最终索赔通知书，说明最终要求索赔的追加付款金额和延长的工期，并附必要的记录和证明材料。</w:t>
      </w:r>
    </w:p>
    <w:p w14:paraId="7D1DAA08">
      <w:pPr>
        <w:keepNext/>
        <w:keepLines/>
        <w:spacing w:line="360" w:lineRule="auto"/>
        <w:outlineLvl w:val="2"/>
        <w:rPr>
          <w:rFonts w:hint="eastAsia" w:ascii="宋体" w:hAnsi="宋体" w:cs="宋体"/>
          <w:color w:val="auto"/>
          <w:sz w:val="21"/>
          <w:szCs w:val="21"/>
          <w:highlight w:val="none"/>
        </w:rPr>
      </w:pPr>
      <w:bookmarkStart w:id="1000" w:name="_Toc144974729"/>
      <w:bookmarkStart w:id="1001" w:name="_Toc179632777"/>
      <w:bookmarkStart w:id="1002" w:name="_Toc152045759"/>
      <w:bookmarkStart w:id="1003" w:name="_Toc5281"/>
      <w:bookmarkStart w:id="1004" w:name="_Toc175063947"/>
      <w:bookmarkStart w:id="1005" w:name="_Toc152042538"/>
      <w:r>
        <w:rPr>
          <w:rFonts w:hint="eastAsia" w:ascii="宋体" w:hAnsi="宋体" w:cs="宋体"/>
          <w:color w:val="auto"/>
          <w:sz w:val="21"/>
          <w:szCs w:val="21"/>
          <w:highlight w:val="none"/>
        </w:rPr>
        <w:t>23.2 承包人索赔处理程序</w:t>
      </w:r>
      <w:bookmarkEnd w:id="1000"/>
      <w:bookmarkEnd w:id="1001"/>
      <w:bookmarkEnd w:id="1002"/>
      <w:bookmarkEnd w:id="1003"/>
      <w:bookmarkEnd w:id="1004"/>
      <w:bookmarkEnd w:id="1005"/>
    </w:p>
    <w:p w14:paraId="7610DEED">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（1）监理人收到承包人提交的索赔通知书后，应及时审查索赔通知书的内容、查验承包人的记录和证明材料，必要时监理人可要求承包人提交全部原始记录副本。</w:t>
      </w:r>
    </w:p>
    <w:p w14:paraId="00452B34">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（2）监理人应按第3.5款商定或确定追加的付款和（或）延长的工期，并在收到上述索赔通知书或有关索赔的进一步证明材料后的42天内，将索赔处理结果答复承包人。</w:t>
      </w:r>
    </w:p>
    <w:p w14:paraId="78971C2A">
      <w:pPr>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（3）承包人接受索赔处理结果的，发包人应在作出索赔处理结果答复后28天内完成赔付。承包人不接受索赔处理结果的，按第24条的约定办理。</w:t>
      </w:r>
    </w:p>
    <w:p w14:paraId="582072E4">
      <w:pPr>
        <w:keepNext/>
        <w:keepLines/>
        <w:spacing w:line="360" w:lineRule="auto"/>
        <w:outlineLvl w:val="2"/>
        <w:rPr>
          <w:rFonts w:hint="eastAsia" w:ascii="宋体" w:hAnsi="宋体" w:cs="宋体"/>
          <w:color w:val="auto"/>
          <w:sz w:val="21"/>
          <w:szCs w:val="21"/>
          <w:highlight w:val="none"/>
        </w:rPr>
      </w:pPr>
      <w:bookmarkStart w:id="1006" w:name="_Toc27782"/>
      <w:bookmarkStart w:id="1007" w:name="_Toc144974730"/>
      <w:bookmarkStart w:id="1008" w:name="_Toc152042539"/>
      <w:bookmarkStart w:id="1009" w:name="_Toc175063948"/>
      <w:bookmarkStart w:id="1010" w:name="_Toc179632778"/>
      <w:bookmarkStart w:id="1011" w:name="_Toc152045760"/>
      <w:r>
        <w:rPr>
          <w:rFonts w:hint="eastAsia" w:ascii="宋体" w:hAnsi="宋体" w:cs="宋体"/>
          <w:color w:val="auto"/>
          <w:sz w:val="21"/>
          <w:szCs w:val="21"/>
          <w:highlight w:val="none"/>
        </w:rPr>
        <w:t>23.3 承包人提出索赔的期限</w:t>
      </w:r>
      <w:bookmarkEnd w:id="1006"/>
      <w:bookmarkEnd w:id="1007"/>
      <w:bookmarkEnd w:id="1008"/>
      <w:bookmarkEnd w:id="1009"/>
      <w:bookmarkEnd w:id="1010"/>
      <w:bookmarkEnd w:id="1011"/>
    </w:p>
    <w:p w14:paraId="6FE471D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23.3.1 承包人按第17.5款的约定接受了完工付款证书后，应被认为已无权再提出在合同工程完工证书颁发前所发生的任何索赔。</w:t>
      </w:r>
    </w:p>
    <w:p w14:paraId="29EF225D">
      <w:pPr>
        <w:spacing w:line="360" w:lineRule="auto"/>
        <w:ind w:firstLine="420" w:firstLineChars="200"/>
        <w:rPr>
          <w:rFonts w:hint="eastAsia" w:ascii="宋体" w:hAnsi="宋体" w:cs="宋体"/>
          <w:color w:val="auto"/>
          <w:sz w:val="21"/>
          <w:szCs w:val="21"/>
          <w:highlight w:val="none"/>
          <w:shd w:val="pct10" w:color="auto" w:fill="FFFFFF"/>
        </w:rPr>
      </w:pPr>
      <w:r>
        <w:rPr>
          <w:rFonts w:hint="eastAsia" w:ascii="宋体" w:hAnsi="宋体" w:cs="宋体"/>
          <w:color w:val="auto"/>
          <w:sz w:val="21"/>
          <w:szCs w:val="21"/>
          <w:highlight w:val="none"/>
        </w:rPr>
        <w:t xml:space="preserve">23.3.2 承包人按第17.6款的约定提交的最终结清申请单中，只限于提出合同工程完工证书颁发后发生的索赔。提出索赔的期限自接受最终结清证书时终止。 </w:t>
      </w:r>
    </w:p>
    <w:p w14:paraId="56060F8B">
      <w:pPr>
        <w:keepNext/>
        <w:keepLines/>
        <w:spacing w:line="360" w:lineRule="auto"/>
        <w:outlineLvl w:val="2"/>
        <w:rPr>
          <w:rFonts w:hint="eastAsia" w:ascii="宋体" w:hAnsi="宋体" w:cs="宋体"/>
          <w:color w:val="auto"/>
          <w:sz w:val="21"/>
          <w:szCs w:val="21"/>
          <w:highlight w:val="none"/>
        </w:rPr>
      </w:pPr>
      <w:bookmarkStart w:id="1012" w:name="_Toc144974731"/>
      <w:bookmarkStart w:id="1013" w:name="_Toc179632779"/>
      <w:bookmarkStart w:id="1014" w:name="_Toc152042540"/>
      <w:bookmarkStart w:id="1015" w:name="_Toc152045761"/>
      <w:bookmarkStart w:id="1016" w:name="_Toc175063949"/>
      <w:bookmarkStart w:id="1017" w:name="_Toc16492"/>
      <w:r>
        <w:rPr>
          <w:rFonts w:hint="eastAsia" w:ascii="宋体" w:hAnsi="宋体" w:cs="宋体"/>
          <w:color w:val="auto"/>
          <w:sz w:val="21"/>
          <w:szCs w:val="21"/>
          <w:highlight w:val="none"/>
        </w:rPr>
        <w:t>23.4 发包人的索赔</w:t>
      </w:r>
      <w:bookmarkEnd w:id="1012"/>
      <w:bookmarkEnd w:id="1013"/>
      <w:bookmarkEnd w:id="1014"/>
      <w:bookmarkEnd w:id="1015"/>
      <w:bookmarkEnd w:id="1016"/>
      <w:bookmarkEnd w:id="1017"/>
    </w:p>
    <w:p w14:paraId="418F257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2B9CCAC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391CF76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bookmarkEnd w:id="999"/>
    </w:p>
    <w:p w14:paraId="274B4D6F">
      <w:pPr>
        <w:keepNext/>
        <w:keepLines/>
        <w:spacing w:line="360" w:lineRule="auto"/>
        <w:jc w:val="center"/>
        <w:outlineLvl w:val="1"/>
        <w:rPr>
          <w:rFonts w:hint="eastAsia" w:ascii="宋体" w:hAnsi="宋体" w:cs="宋体"/>
          <w:b/>
          <w:bCs/>
          <w:color w:val="auto"/>
          <w:sz w:val="21"/>
          <w:szCs w:val="21"/>
          <w:highlight w:val="none"/>
        </w:rPr>
      </w:pPr>
      <w:bookmarkStart w:id="1018" w:name="_Toc17258"/>
      <w:bookmarkStart w:id="1019" w:name="_Toc222029525"/>
      <w:bookmarkStart w:id="1020" w:name="_Toc221951098"/>
      <w:bookmarkStart w:id="1021" w:name="_Toc175063950"/>
      <w:bookmarkStart w:id="1022" w:name="_Toc222032694"/>
      <w:bookmarkStart w:id="1023" w:name="_Toc222031027"/>
      <w:bookmarkStart w:id="1024" w:name="_Toc229408520"/>
      <w:bookmarkStart w:id="1025" w:name="_Toc229305385"/>
      <w:bookmarkStart w:id="1026" w:name="_Toc256000090"/>
      <w:bookmarkStart w:id="1027" w:name="_Toc222033876"/>
      <w:r>
        <w:rPr>
          <w:rFonts w:hint="eastAsia" w:ascii="宋体" w:hAnsi="宋体" w:cs="宋体"/>
          <w:b/>
          <w:bCs/>
          <w:color w:val="auto"/>
          <w:sz w:val="21"/>
          <w:szCs w:val="21"/>
          <w:highlight w:val="none"/>
        </w:rPr>
        <w:t>24. 争议的解决</w:t>
      </w:r>
      <w:bookmarkEnd w:id="1018"/>
      <w:bookmarkEnd w:id="1019"/>
      <w:bookmarkEnd w:id="1020"/>
      <w:bookmarkEnd w:id="1021"/>
      <w:bookmarkEnd w:id="1022"/>
      <w:bookmarkEnd w:id="1023"/>
      <w:bookmarkEnd w:id="1024"/>
      <w:bookmarkEnd w:id="1025"/>
      <w:bookmarkEnd w:id="1026"/>
      <w:bookmarkEnd w:id="1027"/>
    </w:p>
    <w:p w14:paraId="0EE66535">
      <w:pPr>
        <w:keepNext/>
        <w:keepLines/>
        <w:spacing w:line="360" w:lineRule="auto"/>
        <w:outlineLvl w:val="2"/>
        <w:rPr>
          <w:rFonts w:hint="eastAsia" w:ascii="宋体" w:hAnsi="宋体" w:cs="宋体"/>
          <w:color w:val="auto"/>
          <w:sz w:val="21"/>
          <w:szCs w:val="21"/>
          <w:highlight w:val="none"/>
        </w:rPr>
      </w:pPr>
      <w:bookmarkStart w:id="1028" w:name="_Toc175063951"/>
      <w:bookmarkStart w:id="1029" w:name="_Toc18962"/>
      <w:bookmarkStart w:id="1030" w:name="_Toc152045763"/>
      <w:bookmarkStart w:id="1031" w:name="_Toc152042542"/>
      <w:bookmarkStart w:id="1032" w:name="_Toc179632781"/>
      <w:bookmarkStart w:id="1033" w:name="_Toc144974733"/>
      <w:r>
        <w:rPr>
          <w:rFonts w:hint="eastAsia" w:ascii="宋体" w:hAnsi="宋体" w:cs="宋体"/>
          <w:color w:val="auto"/>
          <w:sz w:val="21"/>
          <w:szCs w:val="21"/>
          <w:highlight w:val="none"/>
        </w:rPr>
        <w:t>24.1 争议的解决方式</w:t>
      </w:r>
      <w:bookmarkEnd w:id="1028"/>
      <w:bookmarkEnd w:id="1029"/>
      <w:bookmarkEnd w:id="1030"/>
      <w:bookmarkEnd w:id="1031"/>
      <w:bookmarkEnd w:id="1032"/>
      <w:bookmarkEnd w:id="1033"/>
    </w:p>
    <w:p w14:paraId="37C5597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2906722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（1）向约定的仲裁委员会申请仲裁；</w:t>
      </w:r>
    </w:p>
    <w:p w14:paraId="77559A3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（2）向有管辖权的人民法院提起诉讼。</w:t>
      </w:r>
    </w:p>
    <w:p w14:paraId="2A0AAA64">
      <w:pPr>
        <w:keepNext/>
        <w:keepLines/>
        <w:spacing w:line="360" w:lineRule="auto"/>
        <w:outlineLvl w:val="2"/>
        <w:rPr>
          <w:rFonts w:hint="eastAsia" w:ascii="宋体" w:hAnsi="宋体" w:cs="宋体"/>
          <w:color w:val="auto"/>
          <w:sz w:val="21"/>
          <w:szCs w:val="21"/>
          <w:highlight w:val="none"/>
        </w:rPr>
      </w:pPr>
      <w:bookmarkStart w:id="1034" w:name="_Toc152042543"/>
      <w:bookmarkStart w:id="1035" w:name="_Toc144974734"/>
      <w:bookmarkStart w:id="1036" w:name="_Toc9251"/>
      <w:bookmarkStart w:id="1037" w:name="_Toc152045764"/>
      <w:bookmarkStart w:id="1038" w:name="_Toc175063952"/>
      <w:bookmarkStart w:id="1039" w:name="_Toc179632782"/>
      <w:r>
        <w:rPr>
          <w:rFonts w:hint="eastAsia" w:ascii="宋体" w:hAnsi="宋体" w:cs="宋体"/>
          <w:color w:val="auto"/>
          <w:sz w:val="21"/>
          <w:szCs w:val="21"/>
          <w:highlight w:val="none"/>
        </w:rPr>
        <w:t>24.2 友好解决</w:t>
      </w:r>
      <w:bookmarkEnd w:id="1034"/>
      <w:bookmarkEnd w:id="1035"/>
      <w:bookmarkEnd w:id="1036"/>
      <w:bookmarkEnd w:id="1037"/>
      <w:bookmarkEnd w:id="1038"/>
      <w:bookmarkEnd w:id="1039"/>
    </w:p>
    <w:p w14:paraId="763799F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在提请争议评审、仲裁或者诉讼前，以及在争议评审、仲裁或诉讼过程中，发包人和承包人均可共同努力友好协商解决争议。</w:t>
      </w:r>
    </w:p>
    <w:p w14:paraId="4E1A7830">
      <w:pPr>
        <w:keepNext/>
        <w:keepLines/>
        <w:spacing w:line="360" w:lineRule="auto"/>
        <w:outlineLvl w:val="2"/>
        <w:rPr>
          <w:rFonts w:hint="eastAsia" w:ascii="宋体" w:hAnsi="宋体" w:cs="宋体"/>
          <w:color w:val="auto"/>
          <w:sz w:val="21"/>
          <w:szCs w:val="21"/>
          <w:highlight w:val="none"/>
        </w:rPr>
      </w:pPr>
      <w:bookmarkStart w:id="1040" w:name="_Toc144974735"/>
      <w:bookmarkStart w:id="1041" w:name="_Toc179632783"/>
      <w:bookmarkStart w:id="1042" w:name="_Toc175063953"/>
      <w:bookmarkStart w:id="1043" w:name="_Toc13575"/>
      <w:bookmarkStart w:id="1044" w:name="_Toc152042544"/>
      <w:bookmarkStart w:id="1045" w:name="_Toc152045765"/>
      <w:r>
        <w:rPr>
          <w:rFonts w:hint="eastAsia" w:ascii="宋体" w:hAnsi="宋体" w:cs="宋体"/>
          <w:color w:val="auto"/>
          <w:sz w:val="21"/>
          <w:szCs w:val="21"/>
          <w:highlight w:val="none"/>
        </w:rPr>
        <w:t>24.3 争议评审</w:t>
      </w:r>
      <w:bookmarkEnd w:id="1040"/>
      <w:bookmarkEnd w:id="1041"/>
      <w:bookmarkEnd w:id="1042"/>
      <w:bookmarkEnd w:id="1043"/>
      <w:bookmarkEnd w:id="1044"/>
      <w:bookmarkEnd w:id="1045"/>
    </w:p>
    <w:p w14:paraId="6881B32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24.3.1 采用争议评审的，发包人和承包人应在开工日后的28天内或在争议发生后，协商成立争议评审组。争议评审组由有合同管理和工程实践经验的专家组成。</w:t>
      </w:r>
    </w:p>
    <w:p w14:paraId="52C3110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24.3.2 合同双方的争议，应首先由申请人向争议评审组提交一份详细的评审申请报告，并附必要的文件、图纸和证明材料，申请人还应将上述报告的副本同时提交给被申请人和监理人。</w:t>
      </w:r>
    </w:p>
    <w:p w14:paraId="2071DB7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24.3.3 被申请人在收到申请人评审申请报告副本后的28天内，向争议评审组提交一份答辩报告，并附证明材料。被申请人应将答辩报告的副本同时提交给申请人和监理人。</w:t>
      </w:r>
    </w:p>
    <w:p w14:paraId="4AFC4EF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4C6E86E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4739A9E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24.3.6 发包人和承包人接受评审意见的，由监理人根据评审意见拟定执行协议，经争议双方签字后作为合同的补充文件，并遵照执行。</w:t>
      </w:r>
    </w:p>
    <w:p w14:paraId="0A37CAE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1970AEEE">
      <w:pPr>
        <w:keepNext/>
        <w:keepLines/>
        <w:spacing w:line="360" w:lineRule="auto"/>
        <w:jc w:val="center"/>
        <w:outlineLvl w:val="2"/>
        <w:rPr>
          <w:rFonts w:hint="eastAsia" w:ascii="宋体" w:hAnsi="宋体" w:cs="宋体"/>
          <w:b/>
          <w:bCs/>
          <w:color w:val="auto"/>
          <w:sz w:val="21"/>
          <w:szCs w:val="21"/>
          <w:highlight w:val="none"/>
        </w:rPr>
      </w:pPr>
      <w:bookmarkStart w:id="1046" w:name="_Toc10631"/>
      <w:bookmarkStart w:id="1047" w:name="_Toc221951107"/>
      <w:bookmarkStart w:id="1048" w:name="_Toc175063954"/>
      <w:r>
        <w:rPr>
          <w:rFonts w:hint="eastAsia" w:ascii="宋体" w:hAnsi="宋体" w:cs="宋体"/>
          <w:b/>
          <w:bCs/>
          <w:color w:val="auto"/>
          <w:sz w:val="21"/>
          <w:szCs w:val="21"/>
          <w:highlight w:val="none"/>
        </w:rPr>
        <w:t>24.4仲裁</w:t>
      </w:r>
      <w:bookmarkEnd w:id="1046"/>
      <w:bookmarkEnd w:id="1047"/>
      <w:bookmarkEnd w:id="1048"/>
      <w:r>
        <w:rPr>
          <w:rFonts w:hint="eastAsia" w:ascii="宋体" w:hAnsi="宋体" w:cs="宋体"/>
          <w:b/>
          <w:bCs/>
          <w:color w:val="auto"/>
          <w:sz w:val="21"/>
          <w:szCs w:val="21"/>
          <w:highlight w:val="none"/>
        </w:rPr>
        <w:t xml:space="preserve"> </w:t>
      </w:r>
    </w:p>
    <w:p w14:paraId="12F3A938">
      <w:pPr>
        <w:spacing w:line="360" w:lineRule="auto"/>
        <w:ind w:firstLine="420" w:firstLineChars="200"/>
        <w:rPr>
          <w:rFonts w:hint="eastAsia" w:ascii="宋体" w:hAnsi="宋体" w:cs="宋体"/>
          <w:color w:val="auto"/>
          <w:sz w:val="21"/>
          <w:szCs w:val="21"/>
          <w:highlight w:val="none"/>
        </w:rPr>
      </w:pPr>
      <w:bookmarkStart w:id="1049" w:name="_Toc221951108"/>
      <w:r>
        <w:rPr>
          <w:rFonts w:hint="eastAsia" w:ascii="宋体" w:hAnsi="宋体" w:cs="宋体"/>
          <w:color w:val="auto"/>
          <w:sz w:val="21"/>
          <w:szCs w:val="21"/>
          <w:highlight w:val="none"/>
        </w:rPr>
        <w:t>24.4.1若合同双方商定直接向仲裁机构申请仲裁，应签订仲裁协议并约定仲裁机构。</w:t>
      </w:r>
      <w:bookmarkEnd w:id="1049"/>
    </w:p>
    <w:p w14:paraId="28AF8B22">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bookmarkStart w:id="1050" w:name="_Toc221951109"/>
      <w:r>
        <w:rPr>
          <w:rFonts w:hint="eastAsia" w:ascii="宋体" w:hAnsi="宋体" w:cs="宋体"/>
          <w:color w:val="auto"/>
          <w:sz w:val="21"/>
          <w:szCs w:val="21"/>
          <w:highlight w:val="none"/>
        </w:rPr>
        <w:t>24.4.2若合同双方未能达成仲裁协议，则本合同的仲裁条款无效，任一方均有权向人民法院提起诉讼。</w:t>
      </w:r>
      <w:bookmarkEnd w:id="1050"/>
      <w:r>
        <w:rPr>
          <w:rFonts w:hint="eastAsia" w:ascii="宋体" w:hAnsi="宋体" w:cs="宋体"/>
          <w:color w:val="auto"/>
          <w:sz w:val="21"/>
          <w:szCs w:val="21"/>
          <w:highlight w:val="none"/>
        </w:rPr>
        <w:t xml:space="preserve"> </w:t>
      </w:r>
    </w:p>
    <w:p w14:paraId="71795D42">
      <w:pPr>
        <w:spacing w:line="360" w:lineRule="auto"/>
        <w:rPr>
          <w:rFonts w:hint="eastAsia" w:ascii="宋体" w:hAnsi="宋体" w:cs="宋体"/>
          <w:color w:val="auto"/>
          <w:sz w:val="21"/>
          <w:szCs w:val="21"/>
          <w:highlight w:val="none"/>
        </w:rPr>
      </w:pPr>
    </w:p>
    <w:p w14:paraId="57FB98DF">
      <w:pPr>
        <w:autoSpaceDE w:val="0"/>
        <w:autoSpaceDN w:val="0"/>
        <w:adjustRightInd w:val="0"/>
        <w:spacing w:line="360" w:lineRule="auto"/>
        <w:rPr>
          <w:rFonts w:hint="eastAsia" w:ascii="宋体" w:hAnsi="宋体" w:cs="宋体"/>
          <w:b/>
          <w:bCs/>
          <w:color w:val="auto"/>
          <w:sz w:val="21"/>
          <w:szCs w:val="21"/>
          <w:highlight w:val="none"/>
        </w:rPr>
      </w:pPr>
    </w:p>
    <w:p w14:paraId="6A24926E">
      <w:pPr>
        <w:spacing w:line="360" w:lineRule="auto"/>
        <w:rPr>
          <w:rFonts w:hint="eastAsia" w:ascii="宋体" w:hAnsi="宋体" w:cs="宋体"/>
          <w:color w:val="auto"/>
          <w:sz w:val="21"/>
          <w:szCs w:val="21"/>
          <w:highlight w:val="none"/>
        </w:rPr>
        <w:sectPr>
          <w:footerReference r:id="rId6" w:type="default"/>
          <w:pgSz w:w="11907" w:h="16840"/>
          <w:pgMar w:top="1417" w:right="1417" w:bottom="1417" w:left="1417" w:header="851" w:footer="850" w:gutter="0"/>
          <w:pgNumType w:start="1"/>
          <w:cols w:space="720" w:num="1"/>
          <w:docGrid w:type="lines" w:linePitch="326" w:charSpace="0"/>
        </w:sectPr>
      </w:pPr>
    </w:p>
    <w:p w14:paraId="181263A0">
      <w:pPr>
        <w:keepNext/>
        <w:keepLines/>
        <w:spacing w:line="360" w:lineRule="auto"/>
        <w:jc w:val="center"/>
        <w:outlineLvl w:val="1"/>
        <w:rPr>
          <w:rFonts w:hint="eastAsia" w:ascii="宋体" w:hAnsi="宋体" w:cs="宋体"/>
          <w:b/>
          <w:bCs/>
          <w:color w:val="auto"/>
          <w:sz w:val="21"/>
          <w:szCs w:val="21"/>
          <w:highlight w:val="none"/>
        </w:rPr>
      </w:pPr>
      <w:bookmarkStart w:id="1051" w:name="_Toc175063955"/>
      <w:bookmarkStart w:id="1052" w:name="_Toc2351"/>
      <w:r>
        <w:rPr>
          <w:rFonts w:hint="eastAsia" w:ascii="宋体" w:hAnsi="宋体" w:cs="宋体"/>
          <w:b/>
          <w:bCs/>
          <w:color w:val="auto"/>
          <w:sz w:val="21"/>
          <w:szCs w:val="21"/>
          <w:highlight w:val="none"/>
        </w:rPr>
        <w:t>第二节、专用合同条款</w:t>
      </w:r>
      <w:bookmarkEnd w:id="1051"/>
      <w:bookmarkEnd w:id="1052"/>
    </w:p>
    <w:p w14:paraId="1484A68D">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前言</w:t>
      </w:r>
    </w:p>
    <w:p w14:paraId="3FF63641">
      <w:pPr>
        <w:spacing w:line="360" w:lineRule="auto"/>
        <w:ind w:firstLine="413" w:firstLineChars="197"/>
        <w:rPr>
          <w:rFonts w:hint="eastAsia" w:ascii="宋体" w:hAnsi="宋体" w:cs="宋体"/>
          <w:bCs/>
          <w:color w:val="auto"/>
          <w:sz w:val="21"/>
          <w:szCs w:val="21"/>
          <w:highlight w:val="none"/>
        </w:rPr>
      </w:pPr>
      <w:r>
        <w:rPr>
          <w:rFonts w:hint="eastAsia" w:ascii="宋体" w:hAnsi="宋体" w:cs="宋体"/>
          <w:bCs/>
          <w:color w:val="auto"/>
          <w:sz w:val="21"/>
          <w:szCs w:val="21"/>
          <w:highlight w:val="none"/>
        </w:rPr>
        <w:t>专用合同条款中的各条款是补充和修改通用条款中条款号相同的条款或当需要时增加新的条款，两者应对照阅读，一旦出现矛盾或不一致，则以专用合同条款为准，通用合同条款中未补充和修改的部分仍有效。</w:t>
      </w:r>
    </w:p>
    <w:p w14:paraId="638C3CF1">
      <w:pPr>
        <w:keepNext/>
        <w:keepLines/>
        <w:spacing w:line="360" w:lineRule="auto"/>
        <w:jc w:val="center"/>
        <w:outlineLvl w:val="2"/>
        <w:rPr>
          <w:rFonts w:hint="eastAsia" w:ascii="宋体" w:hAnsi="宋体" w:cs="宋体"/>
          <w:b/>
          <w:bCs/>
          <w:color w:val="auto"/>
          <w:sz w:val="21"/>
          <w:szCs w:val="21"/>
          <w:highlight w:val="none"/>
        </w:rPr>
      </w:pPr>
      <w:bookmarkStart w:id="1053" w:name="_Toc175063956"/>
      <w:bookmarkStart w:id="1054" w:name="_Toc23211"/>
      <w:bookmarkStart w:id="1055" w:name="_Toc3899370"/>
      <w:r>
        <w:rPr>
          <w:rFonts w:hint="eastAsia" w:ascii="宋体" w:hAnsi="宋体" w:cs="宋体"/>
          <w:b/>
          <w:bCs/>
          <w:color w:val="auto"/>
          <w:sz w:val="21"/>
          <w:szCs w:val="21"/>
          <w:highlight w:val="none"/>
        </w:rPr>
        <w:t>1.一般约定</w:t>
      </w:r>
      <w:bookmarkEnd w:id="1053"/>
      <w:bookmarkEnd w:id="1054"/>
      <w:bookmarkEnd w:id="1055"/>
    </w:p>
    <w:p w14:paraId="160AE7E2">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1.1 词语定义</w:t>
      </w:r>
    </w:p>
    <w:p w14:paraId="3B6E8605">
      <w:pPr>
        <w:spacing w:line="360" w:lineRule="auto"/>
        <w:ind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1.1.2 合同当事人和人员</w:t>
      </w:r>
    </w:p>
    <w:p w14:paraId="1A183B25">
      <w:pPr>
        <w:spacing w:line="360" w:lineRule="auto"/>
        <w:ind w:firstLine="525" w:firstLineChars="250"/>
        <w:rPr>
          <w:rFonts w:hint="eastAsia" w:ascii="宋体" w:hAnsi="宋体" w:cs="宋体"/>
          <w:color w:val="auto"/>
          <w:sz w:val="21"/>
          <w:szCs w:val="21"/>
          <w:highlight w:val="none"/>
        </w:rPr>
      </w:pPr>
      <w:r>
        <w:rPr>
          <w:rFonts w:hint="eastAsia" w:ascii="宋体" w:hAnsi="宋体" w:cs="宋体"/>
          <w:color w:val="auto"/>
          <w:sz w:val="21"/>
          <w:szCs w:val="21"/>
          <w:highlight w:val="none"/>
        </w:rPr>
        <w:t>1.1.2.1 合同当事人：指发包人和（或）承包人。</w:t>
      </w:r>
    </w:p>
    <w:p w14:paraId="2EA1BF4D">
      <w:pPr>
        <w:autoSpaceDE w:val="0"/>
        <w:autoSpaceDN w:val="0"/>
        <w:adjustRightInd w:val="0"/>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1.1.2.2 发包人</w:t>
      </w:r>
      <w:r>
        <w:rPr>
          <w:rFonts w:hint="eastAsia" w:ascii="宋体" w:hAnsi="宋体" w:cs="宋体"/>
          <w:b/>
          <w:color w:val="auto"/>
          <w:sz w:val="21"/>
          <w:szCs w:val="21"/>
          <w:highlight w:val="none"/>
        </w:rPr>
        <w:t>：</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p>
    <w:p w14:paraId="0E34C40B">
      <w:pPr>
        <w:autoSpaceDE w:val="0"/>
        <w:autoSpaceDN w:val="0"/>
        <w:adjustRightInd w:val="0"/>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1.1.2.3 承包人： </w:t>
      </w:r>
      <w:r>
        <w:rPr>
          <w:rFonts w:hint="eastAsia" w:ascii="宋体" w:hAnsi="宋体" w:cs="宋体"/>
          <w:color w:val="auto"/>
          <w:sz w:val="21"/>
          <w:szCs w:val="21"/>
          <w:highlight w:val="none"/>
          <w:u w:val="single"/>
        </w:rPr>
        <w:t xml:space="preserve">                         </w:t>
      </w:r>
    </w:p>
    <w:p w14:paraId="19519006">
      <w:pPr>
        <w:autoSpaceDE w:val="0"/>
        <w:autoSpaceDN w:val="0"/>
        <w:adjustRightInd w:val="0"/>
        <w:spacing w:line="360" w:lineRule="auto"/>
        <w:ind w:firstLine="525" w:firstLineChars="25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1.1.2.6 监理人：</w:t>
      </w:r>
      <w:r>
        <w:rPr>
          <w:rFonts w:hint="eastAsia" w:ascii="宋体" w:hAnsi="宋体" w:cs="宋体"/>
          <w:color w:val="auto"/>
          <w:sz w:val="21"/>
          <w:szCs w:val="21"/>
          <w:highlight w:val="none"/>
          <w:u w:val="single"/>
        </w:rPr>
        <w:t xml:space="preserve">                          </w:t>
      </w:r>
    </w:p>
    <w:p w14:paraId="690EE83B">
      <w:pPr>
        <w:spacing w:line="360" w:lineRule="auto"/>
        <w:ind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1.1.4 日期</w:t>
      </w:r>
    </w:p>
    <w:p w14:paraId="7BF00628">
      <w:pPr>
        <w:autoSpaceDE w:val="0"/>
        <w:autoSpaceDN w:val="0"/>
        <w:adjustRightInd w:val="0"/>
        <w:spacing w:line="360" w:lineRule="auto"/>
        <w:ind w:firstLine="525" w:firstLineChars="250"/>
        <w:rPr>
          <w:rFonts w:hint="eastAsia" w:ascii="宋体" w:hAnsi="宋体" w:cs="宋体"/>
          <w:color w:val="auto"/>
          <w:sz w:val="21"/>
          <w:szCs w:val="21"/>
          <w:highlight w:val="none"/>
        </w:rPr>
      </w:pPr>
      <w:r>
        <w:rPr>
          <w:rFonts w:hint="eastAsia" w:ascii="宋体" w:hAnsi="宋体" w:cs="宋体"/>
          <w:color w:val="auto"/>
          <w:sz w:val="21"/>
          <w:szCs w:val="21"/>
          <w:highlight w:val="none"/>
        </w:rPr>
        <w:t>1.1.4.5 缺陷责任期：1年</w:t>
      </w:r>
    </w:p>
    <w:p w14:paraId="42292DDC">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1.4 合同文件的优先顺序</w:t>
      </w:r>
    </w:p>
    <w:p w14:paraId="40D1182E">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组成合同的各项文件应互相解释，互为说明。除专用合同条款另有约定外，解释合同文件的优先顺序如下：</w:t>
      </w:r>
    </w:p>
    <w:p w14:paraId="30996C96">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 合同协议书（包括会议纪要、补充协议）；</w:t>
      </w:r>
    </w:p>
    <w:p w14:paraId="08E78219">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 中标通知书；</w:t>
      </w:r>
    </w:p>
    <w:p w14:paraId="3476B720">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 招标文件；</w:t>
      </w:r>
    </w:p>
    <w:p w14:paraId="495C0963">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（4）投标函及投标函附录；</w:t>
      </w:r>
    </w:p>
    <w:p w14:paraId="6AE0EEBB">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 专用合同条款；</w:t>
      </w:r>
    </w:p>
    <w:p w14:paraId="52337EFB">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 通用合同条款；</w:t>
      </w:r>
    </w:p>
    <w:p w14:paraId="1C9B578D">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 技术标准和要求；</w:t>
      </w:r>
    </w:p>
    <w:p w14:paraId="0E7A7313">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  图纸；</w:t>
      </w:r>
    </w:p>
    <w:p w14:paraId="0A9D51E2">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 已标价工程量清单；</w:t>
      </w:r>
    </w:p>
    <w:p w14:paraId="505B047F">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 其他合同文件。</w:t>
      </w:r>
    </w:p>
    <w:p w14:paraId="4EC85B38">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1.5 合同协议书</w:t>
      </w:r>
    </w:p>
    <w:p w14:paraId="77606070">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承包人按中标通知书规定的时间与发包人签订合同协议书。除法律另有规定或合同另有约定外，发包人和承包人的法定代表人或其委托代理人在合同协议书</w:t>
      </w:r>
      <w:r>
        <w:rPr>
          <w:rFonts w:hint="eastAsia" w:ascii="宋体" w:hAnsi="宋体" w:cs="宋体"/>
          <w:color w:val="auto"/>
          <w:sz w:val="21"/>
          <w:szCs w:val="21"/>
          <w:highlight w:val="none"/>
          <w:lang w:eastAsia="zh-CN"/>
        </w:rPr>
        <w:t>上签字并加盖单位</w:t>
      </w:r>
      <w:r>
        <w:rPr>
          <w:rFonts w:hint="eastAsia" w:ascii="宋体" w:hAnsi="宋体" w:cs="宋体"/>
          <w:color w:val="auto"/>
          <w:sz w:val="21"/>
          <w:szCs w:val="21"/>
          <w:highlight w:val="none"/>
        </w:rPr>
        <w:t>章后，合同生效。</w:t>
      </w:r>
    </w:p>
    <w:p w14:paraId="47609482">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1.6 图纸和承包人文件</w:t>
      </w:r>
    </w:p>
    <w:p w14:paraId="5F2E27C0">
      <w:pPr>
        <w:autoSpaceDE w:val="0"/>
        <w:autoSpaceDN w:val="0"/>
        <w:adjustRightIn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1.6.2 承包人提供的文件</w:t>
      </w:r>
    </w:p>
    <w:p w14:paraId="08B7D981">
      <w:pPr>
        <w:autoSpaceDE w:val="0"/>
        <w:autoSpaceDN w:val="0"/>
        <w:adjustRightIn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承包人提供的文件，包括部分工程的大样图、加工图等，承包人应在开工前10日内报送3份给监理人。监理人应在5个工作日内批复。</w:t>
      </w:r>
    </w:p>
    <w:p w14:paraId="101FDACB">
      <w:pPr>
        <w:autoSpaceDE w:val="0"/>
        <w:autoSpaceDN w:val="0"/>
        <w:adjustRightIn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1.6.3 图纸的修改</w:t>
      </w:r>
    </w:p>
    <w:p w14:paraId="311968AD">
      <w:pPr>
        <w:autoSpaceDE w:val="0"/>
        <w:autoSpaceDN w:val="0"/>
        <w:adjustRightIn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图纸需要修改和补充的，应由监理人取得发包人同意后，在该工程或工程相应部位施工前3个工作日内签发图纸修改图给承包人。</w:t>
      </w:r>
    </w:p>
    <w:p w14:paraId="36D180E7">
      <w:pPr>
        <w:autoSpaceDE w:val="0"/>
        <w:autoSpaceDN w:val="0"/>
        <w:adjustRightIn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1.6.4 图纸的错误</w:t>
      </w:r>
    </w:p>
    <w:p w14:paraId="1E4ADF68">
      <w:pPr>
        <w:autoSpaceDE w:val="0"/>
        <w:autoSpaceDN w:val="0"/>
        <w:adjustRightIn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承包人发现发包人提供的图纸存在明显错误或疏忽，应及时通知监理人，否则所造成的损失全部由承包人承担。</w:t>
      </w:r>
    </w:p>
    <w:p w14:paraId="3969692E">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1.9 严禁贿赂</w:t>
      </w:r>
    </w:p>
    <w:p w14:paraId="1BF4DFBB">
      <w:pPr>
        <w:autoSpaceDE w:val="0"/>
        <w:autoSpaceDN w:val="0"/>
        <w:adjustRightInd w:val="0"/>
        <w:spacing w:line="360" w:lineRule="auto"/>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合同双方当事人（含工程项目区内的其他相关</w:t>
      </w:r>
      <w:r>
        <w:rPr>
          <w:rFonts w:hint="eastAsia" w:ascii="宋体" w:hAnsi="宋体" w:cs="宋体"/>
          <w:color w:val="auto"/>
          <w:sz w:val="21"/>
          <w:szCs w:val="21"/>
          <w:highlight w:val="none"/>
          <w:lang w:eastAsia="zh-CN"/>
        </w:rPr>
        <w:t>人员</w:t>
      </w:r>
      <w:r>
        <w:rPr>
          <w:rFonts w:hint="eastAsia" w:ascii="宋体" w:hAnsi="宋体" w:cs="宋体"/>
          <w:color w:val="auto"/>
          <w:sz w:val="21"/>
          <w:szCs w:val="21"/>
          <w:highlight w:val="none"/>
        </w:rPr>
        <w:t>）不得以贿赂或变相贿赂的方式，谋取不当利益或损害对方权益。因贿赂造成对方损失的，行为人应赔偿损失，并承担相应的法律责任。</w:t>
      </w:r>
    </w:p>
    <w:p w14:paraId="1C37D07E">
      <w:pPr>
        <w:keepNext/>
        <w:keepLines/>
        <w:spacing w:line="360" w:lineRule="auto"/>
        <w:jc w:val="center"/>
        <w:outlineLvl w:val="2"/>
        <w:rPr>
          <w:rFonts w:hint="eastAsia" w:ascii="宋体" w:hAnsi="宋体" w:cs="宋体"/>
          <w:b/>
          <w:bCs/>
          <w:color w:val="auto"/>
          <w:sz w:val="21"/>
          <w:szCs w:val="21"/>
          <w:highlight w:val="none"/>
        </w:rPr>
      </w:pPr>
      <w:bookmarkStart w:id="1056" w:name="_Toc3899371"/>
      <w:bookmarkStart w:id="1057" w:name="_Toc175063957"/>
      <w:bookmarkStart w:id="1058" w:name="_Toc23818"/>
      <w:r>
        <w:rPr>
          <w:rFonts w:hint="eastAsia" w:ascii="宋体" w:hAnsi="宋体" w:cs="宋体"/>
          <w:b/>
          <w:bCs/>
          <w:color w:val="auto"/>
          <w:sz w:val="21"/>
          <w:szCs w:val="21"/>
          <w:highlight w:val="none"/>
        </w:rPr>
        <w:t>2. 发包人义务</w:t>
      </w:r>
      <w:bookmarkEnd w:id="1056"/>
      <w:bookmarkEnd w:id="1057"/>
      <w:bookmarkEnd w:id="1058"/>
    </w:p>
    <w:p w14:paraId="24463729">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2.3 提供施工场地</w:t>
      </w:r>
    </w:p>
    <w:p w14:paraId="34BEDB04">
      <w:pPr>
        <w:tabs>
          <w:tab w:val="left" w:pos="1620"/>
        </w:tabs>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按照设计范围向承包人提供施工用地范围线（即施工用地范围坐标），提供的用地范围根据监理人指示划定，用地期限在本合同工程完工后2个月。承包人只能在商定的用地范围内安排施工，超出商定的用地及临时施工用地的范围外用地由承包人自行解决并承担由此发生的一切费用。</w:t>
      </w:r>
    </w:p>
    <w:p w14:paraId="18E4E7FF">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2.8 其他义务</w:t>
      </w:r>
    </w:p>
    <w:p w14:paraId="20A4D65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发包人负责本工程施工期间安全度汛的统一协调、指挥。</w:t>
      </w:r>
    </w:p>
    <w:p w14:paraId="6EBE8923">
      <w:pPr>
        <w:keepNext/>
        <w:keepLines/>
        <w:spacing w:line="360" w:lineRule="auto"/>
        <w:jc w:val="center"/>
        <w:outlineLvl w:val="2"/>
        <w:rPr>
          <w:rFonts w:hint="eastAsia" w:ascii="宋体" w:hAnsi="宋体" w:cs="宋体"/>
          <w:b/>
          <w:bCs/>
          <w:color w:val="auto"/>
          <w:sz w:val="21"/>
          <w:szCs w:val="21"/>
          <w:highlight w:val="none"/>
        </w:rPr>
      </w:pPr>
      <w:bookmarkStart w:id="1059" w:name="_Toc3899372"/>
      <w:bookmarkStart w:id="1060" w:name="_Toc175063958"/>
      <w:bookmarkStart w:id="1061" w:name="_Toc22756"/>
      <w:r>
        <w:rPr>
          <w:rFonts w:hint="eastAsia" w:ascii="宋体" w:hAnsi="宋体" w:cs="宋体"/>
          <w:b/>
          <w:bCs/>
          <w:color w:val="auto"/>
          <w:sz w:val="21"/>
          <w:szCs w:val="21"/>
          <w:highlight w:val="none"/>
        </w:rPr>
        <w:t>3. 监理人</w:t>
      </w:r>
      <w:bookmarkEnd w:id="1059"/>
      <w:bookmarkEnd w:id="1060"/>
      <w:bookmarkEnd w:id="1061"/>
    </w:p>
    <w:p w14:paraId="1E9FE7E5">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3.1 监理人的职责和权力</w:t>
      </w:r>
    </w:p>
    <w:p w14:paraId="7790107C">
      <w:pPr>
        <w:autoSpaceDE w:val="0"/>
        <w:autoSpaceDN w:val="0"/>
        <w:adjustRightInd w:val="0"/>
        <w:spacing w:line="360" w:lineRule="auto"/>
        <w:ind w:firstLine="315"/>
        <w:rPr>
          <w:rFonts w:hint="eastAsia" w:ascii="宋体" w:hAnsi="宋体" w:cs="宋体"/>
          <w:color w:val="auto"/>
          <w:sz w:val="21"/>
          <w:szCs w:val="21"/>
          <w:highlight w:val="none"/>
        </w:rPr>
      </w:pPr>
      <w:r>
        <w:rPr>
          <w:rFonts w:hint="eastAsia" w:ascii="宋体" w:hAnsi="宋体" w:cs="宋体"/>
          <w:color w:val="auto"/>
          <w:sz w:val="21"/>
          <w:szCs w:val="21"/>
          <w:highlight w:val="none"/>
        </w:rPr>
        <w:t>3.1.1 监理人受发包人委托，享有合同约定的</w:t>
      </w:r>
      <w:r>
        <w:rPr>
          <w:rFonts w:hint="eastAsia" w:ascii="宋体" w:hAnsi="宋体" w:cs="宋体"/>
          <w:color w:val="auto"/>
          <w:sz w:val="21"/>
          <w:szCs w:val="21"/>
          <w:highlight w:val="none"/>
          <w:lang w:eastAsia="zh-CN"/>
        </w:rPr>
        <w:t>权利</w:t>
      </w:r>
      <w:r>
        <w:rPr>
          <w:rFonts w:hint="eastAsia" w:ascii="宋体" w:hAnsi="宋体" w:cs="宋体"/>
          <w:color w:val="auto"/>
          <w:sz w:val="21"/>
          <w:szCs w:val="21"/>
          <w:highlight w:val="none"/>
        </w:rPr>
        <w:t>。监理人在行使某项权力前需要经发包人事先批准。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w:t>
      </w:r>
    </w:p>
    <w:p w14:paraId="6CD54C25">
      <w:pPr>
        <w:keepNext/>
        <w:keepLines/>
        <w:spacing w:line="360" w:lineRule="auto"/>
        <w:jc w:val="center"/>
        <w:outlineLvl w:val="2"/>
        <w:rPr>
          <w:rFonts w:hint="eastAsia" w:ascii="宋体" w:hAnsi="宋体" w:cs="宋体"/>
          <w:b/>
          <w:bCs/>
          <w:color w:val="auto"/>
          <w:sz w:val="21"/>
          <w:szCs w:val="21"/>
          <w:highlight w:val="none"/>
        </w:rPr>
      </w:pPr>
      <w:bookmarkStart w:id="1062" w:name="_Toc26148"/>
      <w:bookmarkStart w:id="1063" w:name="_Toc175063959"/>
      <w:bookmarkStart w:id="1064" w:name="_Toc3899373"/>
      <w:r>
        <w:rPr>
          <w:rFonts w:hint="eastAsia" w:ascii="宋体" w:hAnsi="宋体" w:cs="宋体"/>
          <w:b/>
          <w:bCs/>
          <w:color w:val="auto"/>
          <w:sz w:val="21"/>
          <w:szCs w:val="21"/>
          <w:highlight w:val="none"/>
        </w:rPr>
        <w:t>4. 承包人</w:t>
      </w:r>
      <w:bookmarkEnd w:id="1062"/>
      <w:bookmarkEnd w:id="1063"/>
      <w:bookmarkEnd w:id="1064"/>
    </w:p>
    <w:p w14:paraId="4DD7253F">
      <w:pPr>
        <w:keepNext/>
        <w:keepLines/>
        <w:spacing w:line="360" w:lineRule="auto"/>
        <w:jc w:val="center"/>
        <w:outlineLvl w:val="2"/>
        <w:rPr>
          <w:rFonts w:hint="eastAsia" w:ascii="宋体" w:hAnsi="宋体" w:cs="宋体"/>
          <w:b/>
          <w:bCs/>
          <w:color w:val="auto"/>
          <w:sz w:val="21"/>
          <w:szCs w:val="21"/>
          <w:highlight w:val="none"/>
        </w:rPr>
      </w:pPr>
      <w:bookmarkStart w:id="1065" w:name="_Toc3899374"/>
      <w:bookmarkStart w:id="1066" w:name="_Toc175063960"/>
      <w:bookmarkStart w:id="1067" w:name="_Toc221951151"/>
      <w:bookmarkStart w:id="1068" w:name="_Toc24304"/>
      <w:r>
        <w:rPr>
          <w:rFonts w:hint="eastAsia" w:ascii="宋体" w:hAnsi="宋体" w:cs="宋体"/>
          <w:b/>
          <w:bCs/>
          <w:color w:val="auto"/>
          <w:sz w:val="21"/>
          <w:szCs w:val="21"/>
          <w:highlight w:val="none"/>
        </w:rPr>
        <w:t>4.1  承包人的一般义务</w:t>
      </w:r>
      <w:bookmarkEnd w:id="1065"/>
      <w:bookmarkEnd w:id="1066"/>
      <w:bookmarkEnd w:id="1067"/>
      <w:bookmarkEnd w:id="1068"/>
    </w:p>
    <w:p w14:paraId="51BCBAD3">
      <w:pPr>
        <w:autoSpaceDE w:val="0"/>
        <w:autoSpaceDN w:val="0"/>
        <w:adjustRightInd w:val="0"/>
        <w:spacing w:line="360" w:lineRule="auto"/>
        <w:ind w:firstLine="315"/>
        <w:rPr>
          <w:rFonts w:hint="eastAsia" w:ascii="宋体" w:hAnsi="宋体" w:cs="宋体"/>
          <w:color w:val="auto"/>
          <w:sz w:val="21"/>
          <w:szCs w:val="21"/>
          <w:highlight w:val="none"/>
        </w:rPr>
      </w:pPr>
      <w:bookmarkStart w:id="1069" w:name="_Toc221951152"/>
      <w:r>
        <w:rPr>
          <w:rFonts w:hint="eastAsia" w:ascii="宋体" w:hAnsi="宋体" w:cs="宋体"/>
          <w:color w:val="auto"/>
          <w:sz w:val="21"/>
          <w:szCs w:val="21"/>
          <w:highlight w:val="none"/>
        </w:rPr>
        <w:t>4.1.10  其他义务</w:t>
      </w:r>
      <w:bookmarkEnd w:id="1069"/>
    </w:p>
    <w:p w14:paraId="505821CB">
      <w:pPr>
        <w:autoSpaceDE w:val="0"/>
        <w:autoSpaceDN w:val="0"/>
        <w:adjustRightInd w:val="0"/>
        <w:spacing w:line="360" w:lineRule="auto"/>
        <w:ind w:firstLine="315"/>
        <w:rPr>
          <w:rFonts w:hint="eastAsia" w:ascii="宋体" w:hAnsi="宋体" w:cs="宋体"/>
          <w:color w:val="auto"/>
          <w:sz w:val="21"/>
          <w:szCs w:val="21"/>
          <w:highlight w:val="none"/>
        </w:rPr>
      </w:pPr>
      <w:r>
        <w:rPr>
          <w:rFonts w:hint="eastAsia" w:ascii="宋体" w:hAnsi="宋体" w:cs="宋体"/>
          <w:color w:val="auto"/>
          <w:sz w:val="21"/>
          <w:szCs w:val="21"/>
          <w:highlight w:val="none"/>
        </w:rPr>
        <w:t>1、在监理工程师的指示下，在保证施工总体进度计划要求的基础上，应积极</w:t>
      </w:r>
      <w:r>
        <w:rPr>
          <w:rFonts w:hint="eastAsia" w:ascii="宋体" w:hAnsi="宋体" w:cs="宋体"/>
          <w:color w:val="auto"/>
          <w:sz w:val="21"/>
          <w:szCs w:val="21"/>
          <w:highlight w:val="none"/>
          <w:lang w:eastAsia="zh-CN"/>
        </w:rPr>
        <w:t>、有</w:t>
      </w:r>
      <w:r>
        <w:rPr>
          <w:rFonts w:hint="eastAsia" w:ascii="宋体" w:hAnsi="宋体" w:cs="宋体"/>
          <w:color w:val="auto"/>
          <w:sz w:val="21"/>
          <w:szCs w:val="21"/>
          <w:highlight w:val="none"/>
        </w:rPr>
        <w:t>义务</w:t>
      </w:r>
      <w:r>
        <w:rPr>
          <w:rFonts w:hint="eastAsia" w:ascii="宋体" w:hAnsi="宋体" w:cs="宋体"/>
          <w:color w:val="auto"/>
          <w:sz w:val="21"/>
          <w:szCs w:val="21"/>
          <w:highlight w:val="none"/>
          <w:lang w:eastAsia="zh-CN"/>
        </w:rPr>
        <w:t>地</w:t>
      </w:r>
      <w:r>
        <w:rPr>
          <w:rFonts w:hint="eastAsia" w:ascii="宋体" w:hAnsi="宋体" w:cs="宋体"/>
          <w:color w:val="auto"/>
          <w:sz w:val="21"/>
          <w:szCs w:val="21"/>
          <w:highlight w:val="none"/>
        </w:rPr>
        <w:t>协助、配合好与</w:t>
      </w:r>
      <w:r>
        <w:rPr>
          <w:rFonts w:hint="eastAsia" w:ascii="宋体" w:hAnsi="宋体" w:cs="宋体"/>
          <w:color w:val="auto"/>
          <w:sz w:val="21"/>
          <w:szCs w:val="21"/>
          <w:highlight w:val="none"/>
          <w:lang w:eastAsia="zh-CN"/>
        </w:rPr>
        <w:t>其他</w:t>
      </w:r>
      <w:r>
        <w:rPr>
          <w:rFonts w:hint="eastAsia" w:ascii="宋体" w:hAnsi="宋体" w:cs="宋体"/>
          <w:color w:val="auto"/>
          <w:sz w:val="21"/>
          <w:szCs w:val="21"/>
          <w:highlight w:val="none"/>
        </w:rPr>
        <w:t>合同工程承包人进行施工工序的搭接及施工工作面的交接，服从总体工程安排。</w:t>
      </w:r>
    </w:p>
    <w:p w14:paraId="60154D39">
      <w:pPr>
        <w:autoSpaceDE w:val="0"/>
        <w:autoSpaceDN w:val="0"/>
        <w:adjustRightInd w:val="0"/>
        <w:spacing w:line="360" w:lineRule="auto"/>
        <w:ind w:firstLine="315"/>
        <w:rPr>
          <w:rFonts w:hint="eastAsia" w:ascii="宋体" w:hAnsi="宋体" w:cs="宋体"/>
          <w:color w:val="auto"/>
          <w:sz w:val="21"/>
          <w:szCs w:val="21"/>
          <w:highlight w:val="none"/>
        </w:rPr>
      </w:pPr>
      <w:r>
        <w:rPr>
          <w:rFonts w:hint="eastAsia" w:ascii="宋体" w:hAnsi="宋体" w:cs="宋体"/>
          <w:color w:val="auto"/>
          <w:sz w:val="21"/>
          <w:szCs w:val="21"/>
          <w:highlight w:val="none"/>
        </w:rPr>
        <w:t>2、应在合同规定的期限内完成工地清理并按期撤退人员、设备和剩余材料。</w:t>
      </w:r>
    </w:p>
    <w:p w14:paraId="2C4073CD">
      <w:pPr>
        <w:autoSpaceDE w:val="0"/>
        <w:autoSpaceDN w:val="0"/>
        <w:adjustRightInd w:val="0"/>
        <w:spacing w:line="360" w:lineRule="auto"/>
        <w:ind w:firstLine="315"/>
        <w:rPr>
          <w:rFonts w:hint="eastAsia" w:ascii="宋体" w:hAnsi="宋体" w:cs="宋体"/>
          <w:color w:val="auto"/>
          <w:sz w:val="21"/>
          <w:szCs w:val="21"/>
          <w:highlight w:val="none"/>
        </w:rPr>
      </w:pPr>
      <w:r>
        <w:rPr>
          <w:rFonts w:hint="eastAsia" w:ascii="宋体" w:hAnsi="宋体" w:cs="宋体"/>
          <w:color w:val="auto"/>
          <w:sz w:val="21"/>
          <w:szCs w:val="21"/>
          <w:highlight w:val="none"/>
        </w:rPr>
        <w:t>3、按规定接受相关审计。</w:t>
      </w:r>
    </w:p>
    <w:p w14:paraId="3FA74F1F">
      <w:pPr>
        <w:autoSpaceDE w:val="0"/>
        <w:autoSpaceDN w:val="0"/>
        <w:adjustRightInd w:val="0"/>
        <w:spacing w:line="360" w:lineRule="auto"/>
        <w:ind w:firstLine="315"/>
        <w:rPr>
          <w:rFonts w:hint="eastAsia" w:ascii="宋体" w:hAnsi="宋体" w:cs="宋体"/>
          <w:color w:val="auto"/>
          <w:sz w:val="21"/>
          <w:szCs w:val="21"/>
          <w:highlight w:val="none"/>
        </w:rPr>
      </w:pPr>
      <w:r>
        <w:rPr>
          <w:rFonts w:hint="eastAsia" w:ascii="宋体" w:hAnsi="宋体" w:cs="宋体"/>
          <w:color w:val="auto"/>
          <w:sz w:val="21"/>
          <w:szCs w:val="21"/>
          <w:highlight w:val="none"/>
        </w:rPr>
        <w:t>4、承包人应</w:t>
      </w:r>
      <w:r>
        <w:rPr>
          <w:rFonts w:hint="eastAsia" w:ascii="宋体" w:hAnsi="宋体" w:cs="宋体"/>
          <w:color w:val="auto"/>
          <w:sz w:val="21"/>
          <w:szCs w:val="21"/>
          <w:highlight w:val="none"/>
          <w:lang w:eastAsia="zh-CN"/>
        </w:rPr>
        <w:t>按</w:t>
      </w:r>
      <w:r>
        <w:rPr>
          <w:rFonts w:hint="eastAsia" w:ascii="宋体" w:hAnsi="宋体" w:cs="宋体"/>
          <w:color w:val="auto"/>
          <w:sz w:val="21"/>
          <w:szCs w:val="21"/>
          <w:highlight w:val="none"/>
        </w:rPr>
        <w:t>相关规定及时支付农民工工资。</w:t>
      </w:r>
    </w:p>
    <w:p w14:paraId="10933553">
      <w:pPr>
        <w:autoSpaceDE w:val="0"/>
        <w:autoSpaceDN w:val="0"/>
        <w:adjustRightInd w:val="0"/>
        <w:spacing w:line="360" w:lineRule="auto"/>
        <w:ind w:firstLine="315"/>
        <w:rPr>
          <w:rFonts w:hint="eastAsia" w:ascii="宋体" w:hAnsi="宋体" w:cs="宋体"/>
          <w:color w:val="auto"/>
          <w:sz w:val="21"/>
          <w:szCs w:val="21"/>
          <w:highlight w:val="none"/>
        </w:rPr>
      </w:pPr>
      <w:r>
        <w:rPr>
          <w:rFonts w:hint="eastAsia" w:ascii="宋体" w:hAnsi="宋体" w:cs="宋体"/>
          <w:color w:val="auto"/>
          <w:sz w:val="21"/>
          <w:szCs w:val="21"/>
          <w:highlight w:val="none"/>
        </w:rPr>
        <w:t>5、本合同工程施工所需的水、电、交通、施工排水、导流等临时工程的修建与维护费用全部由承包人自行承担，施工对乡村便道的损坏由承包人负责恢复。若造成当地交通、农田、房屋、植被等损害，承包人应负责对造成的损害进行恢复及赔偿。</w:t>
      </w:r>
    </w:p>
    <w:p w14:paraId="7A717B8E">
      <w:pPr>
        <w:autoSpaceDE w:val="0"/>
        <w:autoSpaceDN w:val="0"/>
        <w:adjustRightInd w:val="0"/>
        <w:spacing w:line="360" w:lineRule="auto"/>
        <w:ind w:firstLine="315"/>
        <w:rPr>
          <w:rFonts w:hint="eastAsia" w:ascii="宋体" w:hAnsi="宋体" w:cs="宋体"/>
          <w:color w:val="auto"/>
          <w:sz w:val="21"/>
          <w:szCs w:val="21"/>
          <w:highlight w:val="none"/>
        </w:rPr>
      </w:pPr>
      <w:r>
        <w:rPr>
          <w:rFonts w:hint="eastAsia" w:ascii="宋体" w:hAnsi="宋体" w:cs="宋体"/>
          <w:color w:val="auto"/>
          <w:sz w:val="21"/>
          <w:szCs w:val="21"/>
          <w:highlight w:val="none"/>
        </w:rPr>
        <w:t>6、工程量清单中的单价为综合单价。包括由承包人承担的直接费、间接费、其它费用、税金、施工临时用地、施工机具、二次材料搬运费、施工排水导流费、中间合格产品等全部费用和要求获得的利润以及应由承包人承担的义务、责任和风险所发生的一切费用。土石方开挖包括原砌体拆除，不因土石比率及运距等的变化而调整单价。</w:t>
      </w:r>
    </w:p>
    <w:p w14:paraId="6E9DDE95">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本合同工程施工所需的水、电、交通等临时工程的修建与维护费用全部由承包人自行承担，施工对乡村便道的损坏由承包人负责恢复。若造成当地交通、农田、房屋、植被等损害，承包人应负责对造成的损害进行恢复及赔偿。</w:t>
      </w:r>
    </w:p>
    <w:p w14:paraId="3970FED4">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（2）在施工队伍进场后，施工技术方案、施工进度计划、资金流计划、设备人员进场报验单经监理方检查、审核、批准，总监理工程师发出开工令后工程方可开工。</w:t>
      </w:r>
    </w:p>
    <w:p w14:paraId="3EECD8DE">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（3）承包人必须结清和施工所在地政府、老百姓的所有拖欠款项及今后施工中发生的相应款项，承包人应对由此引起的一切后果负完全责任。</w:t>
      </w:r>
    </w:p>
    <w:p w14:paraId="1F488BED">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（4）承包人要采取有效措施对施工开挖边坡及时进行支护和做好排水措施（特别是雨季施工排水与防洪措施），避免施工中造成水土流失，否则将承担相应赔偿责任；</w:t>
      </w:r>
    </w:p>
    <w:p w14:paraId="3D2CBD51">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（5）承包人在施工过程中采取有效措施注意保护生活用水源免受施工活动造成的污染，否则将承担相应责任；</w:t>
      </w:r>
    </w:p>
    <w:p w14:paraId="7867AB6F">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（6）用于工程建设的工程款承包人必须专款专用，不得</w:t>
      </w:r>
      <w:r>
        <w:rPr>
          <w:rFonts w:hint="eastAsia" w:ascii="宋体" w:hAnsi="宋体" w:cs="宋体"/>
          <w:color w:val="auto"/>
          <w:sz w:val="21"/>
          <w:szCs w:val="21"/>
          <w:highlight w:val="none"/>
          <w:lang w:eastAsia="zh-CN"/>
        </w:rPr>
        <w:t>挪作他用</w:t>
      </w:r>
      <w:r>
        <w:rPr>
          <w:rFonts w:hint="eastAsia" w:ascii="宋体" w:hAnsi="宋体" w:cs="宋体"/>
          <w:color w:val="auto"/>
          <w:sz w:val="21"/>
          <w:szCs w:val="21"/>
          <w:highlight w:val="none"/>
        </w:rPr>
        <w:t>。发包人有权指定承包人开户银行，并请银行代为监督；</w:t>
      </w:r>
    </w:p>
    <w:p w14:paraId="3C28A774">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（7）发包人提供的施工用地以外的承包人所需用地及其费用，由承包人自行解决；</w:t>
      </w:r>
    </w:p>
    <w:p w14:paraId="7EACD6CB">
      <w:pPr>
        <w:autoSpaceDE w:val="0"/>
        <w:autoSpaceDN w:val="0"/>
        <w:adjustRightInd w:val="0"/>
        <w:spacing w:line="360" w:lineRule="auto"/>
        <w:ind w:firstLine="420" w:firstLineChars="200"/>
        <w:rPr>
          <w:rFonts w:hint="eastAsia" w:ascii="宋体" w:hAnsi="宋体" w:cs="宋体"/>
          <w:color w:val="auto"/>
          <w:sz w:val="21"/>
          <w:szCs w:val="21"/>
          <w:highlight w:val="none"/>
        </w:rPr>
      </w:pPr>
      <w:bookmarkStart w:id="1070" w:name="_Hlk81292866"/>
      <w:r>
        <w:rPr>
          <w:rFonts w:hint="eastAsia" w:ascii="宋体" w:hAnsi="宋体" w:cs="宋体"/>
          <w:color w:val="auto"/>
          <w:sz w:val="21"/>
          <w:szCs w:val="21"/>
          <w:highlight w:val="none"/>
        </w:rPr>
        <w:t>7、承包人应按照投标文件承诺配置好的管理人员到位履职，配置的人员（管理机构）需在现场并组织施工，施工期间项目经理在现场每月不少于20天，未经发包人批准，管理人员均不得擅自离开施工现场。</w:t>
      </w:r>
      <w:bookmarkEnd w:id="1070"/>
    </w:p>
    <w:p w14:paraId="47B918CA">
      <w:pPr>
        <w:autoSpaceDE w:val="0"/>
        <w:autoSpaceDN w:val="0"/>
        <w:adjustRightInd w:val="0"/>
        <w:spacing w:line="360" w:lineRule="auto"/>
        <w:outlineLvl w:val="0"/>
        <w:rPr>
          <w:rFonts w:hint="eastAsia" w:ascii="宋体" w:hAnsi="宋体" w:cs="宋体"/>
          <w:b/>
          <w:color w:val="auto"/>
          <w:sz w:val="21"/>
          <w:szCs w:val="21"/>
          <w:highlight w:val="none"/>
        </w:rPr>
      </w:pPr>
      <w:bookmarkStart w:id="1071" w:name="_Toc495398743"/>
      <w:bookmarkStart w:id="1072" w:name="_Toc175063961"/>
      <w:bookmarkStart w:id="1073" w:name="_Toc6156"/>
      <w:bookmarkStart w:id="1074" w:name="_Toc223245856"/>
      <w:bookmarkStart w:id="1075" w:name="_Toc209499040"/>
      <w:bookmarkStart w:id="1076" w:name="_Toc491246886"/>
      <w:bookmarkStart w:id="1077" w:name="_Toc27158"/>
      <w:bookmarkStart w:id="1078" w:name="_Toc229450920"/>
      <w:r>
        <w:rPr>
          <w:rFonts w:hint="eastAsia" w:ascii="宋体" w:hAnsi="宋体" w:cs="宋体"/>
          <w:b/>
          <w:color w:val="auto"/>
          <w:sz w:val="21"/>
          <w:szCs w:val="21"/>
          <w:highlight w:val="none"/>
        </w:rPr>
        <w:t>4.2 履约担保</w:t>
      </w:r>
      <w:bookmarkEnd w:id="1071"/>
      <w:bookmarkEnd w:id="1072"/>
      <w:bookmarkEnd w:id="1073"/>
      <w:bookmarkEnd w:id="1074"/>
      <w:bookmarkEnd w:id="1075"/>
      <w:bookmarkEnd w:id="1076"/>
      <w:bookmarkEnd w:id="1077"/>
      <w:bookmarkEnd w:id="1078"/>
    </w:p>
    <w:p w14:paraId="22F8DEB7">
      <w:pP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承包人应按合同规定的格式和专用合同条款规定的金额，在正式签订协议前向招标人提交经发包人同意的履约担保，履约担保的形式：银行保函或转账、保险保函（企业基本账户开具）、支票形式。</w:t>
      </w:r>
    </w:p>
    <w:p w14:paraId="4084EA72">
      <w:pP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履约担保的金额：合同价款的5%。</w:t>
      </w:r>
    </w:p>
    <w:p w14:paraId="4622FAB2">
      <w:pP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履约担保的有效期自合同生效日起至发包人签发合同工程完工证书颁发后28天内一直有效。待项目内部审计完成并验收合格交付使用,同时承包人合同工程完工证书颁发后，承包人提供项目内部审计审定价的3%的质量保证金，发包人将承包人的履约担保全部退还承包人。</w:t>
      </w:r>
    </w:p>
    <w:p w14:paraId="46F84BFD">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4.3 分包</w:t>
      </w:r>
    </w:p>
    <w:p w14:paraId="3E88142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本工程不允许分包，并增加：当发包人视承包人施工中在质量、进度、管理等情况不能满足整个工程的质量和总进度的要求，有权作出变动，承包人不得拒绝发包人的指令和提出额外费用支付的要求。</w:t>
      </w:r>
    </w:p>
    <w:p w14:paraId="0579336C">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4.4 联合体</w:t>
      </w:r>
    </w:p>
    <w:p w14:paraId="15B66C4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本工程不接受联合体投标和联合体各方协议。</w:t>
      </w:r>
    </w:p>
    <w:p w14:paraId="1263F865">
      <w:pPr>
        <w:keepNext/>
        <w:keepLines/>
        <w:spacing w:line="360" w:lineRule="auto"/>
        <w:jc w:val="center"/>
        <w:outlineLvl w:val="2"/>
        <w:rPr>
          <w:rFonts w:hint="eastAsia" w:ascii="宋体" w:hAnsi="宋体" w:cs="宋体"/>
          <w:b/>
          <w:bCs/>
          <w:color w:val="auto"/>
          <w:sz w:val="21"/>
          <w:szCs w:val="21"/>
          <w:highlight w:val="none"/>
        </w:rPr>
      </w:pPr>
      <w:bookmarkStart w:id="1079" w:name="_Toc8818"/>
      <w:bookmarkStart w:id="1080" w:name="_Toc175063962"/>
      <w:bookmarkStart w:id="1081" w:name="_Toc3899375"/>
      <w:r>
        <w:rPr>
          <w:rFonts w:hint="eastAsia" w:ascii="宋体" w:hAnsi="宋体" w:cs="宋体"/>
          <w:b/>
          <w:bCs/>
          <w:color w:val="auto"/>
          <w:sz w:val="21"/>
          <w:szCs w:val="21"/>
          <w:highlight w:val="none"/>
        </w:rPr>
        <w:t>6. 施工设备和临时设施</w:t>
      </w:r>
      <w:bookmarkEnd w:id="1079"/>
      <w:bookmarkEnd w:id="1080"/>
      <w:bookmarkEnd w:id="1081"/>
    </w:p>
    <w:p w14:paraId="203CFB0F">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6.2 发包人提供的施工设备和临时设施</w:t>
      </w:r>
    </w:p>
    <w:p w14:paraId="5E78230C">
      <w:pPr>
        <w:autoSpaceDE w:val="0"/>
        <w:autoSpaceDN w:val="0"/>
        <w:adjustRightInd w:val="0"/>
        <w:spacing w:line="360" w:lineRule="auto"/>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发包人不提供施工设备或临时设施。</w:t>
      </w:r>
    </w:p>
    <w:p w14:paraId="41E570D4">
      <w:pPr>
        <w:keepNext/>
        <w:keepLines/>
        <w:spacing w:line="360" w:lineRule="auto"/>
        <w:jc w:val="center"/>
        <w:outlineLvl w:val="2"/>
        <w:rPr>
          <w:rFonts w:hint="eastAsia" w:ascii="宋体" w:hAnsi="宋体" w:cs="宋体"/>
          <w:b/>
          <w:bCs/>
          <w:color w:val="auto"/>
          <w:sz w:val="21"/>
          <w:szCs w:val="21"/>
          <w:highlight w:val="none"/>
        </w:rPr>
      </w:pPr>
      <w:bookmarkStart w:id="1082" w:name="_Toc3899376"/>
      <w:bookmarkStart w:id="1083" w:name="_Toc31911"/>
      <w:bookmarkStart w:id="1084" w:name="_Toc175063963"/>
      <w:r>
        <w:rPr>
          <w:rFonts w:hint="eastAsia" w:ascii="宋体" w:hAnsi="宋体" w:cs="宋体"/>
          <w:b/>
          <w:bCs/>
          <w:color w:val="auto"/>
          <w:sz w:val="21"/>
          <w:szCs w:val="21"/>
          <w:highlight w:val="none"/>
        </w:rPr>
        <w:t>8. 测量放线</w:t>
      </w:r>
      <w:bookmarkEnd w:id="1082"/>
      <w:bookmarkEnd w:id="1083"/>
      <w:bookmarkEnd w:id="1084"/>
    </w:p>
    <w:p w14:paraId="1A265D52">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8.1 施工控制网</w:t>
      </w:r>
    </w:p>
    <w:p w14:paraId="4CD6C045">
      <w:pPr>
        <w:spacing w:line="360" w:lineRule="auto"/>
        <w:ind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8.1.1 发包人应在合同签订的7日内，通过监理人向承包人提供测量基准点、基准线和水准点及其书面资料。承包人应根据国家测绘基准、 测绘系统和工程测量技术规范</w:t>
      </w:r>
      <w:r>
        <w:rPr>
          <w:rFonts w:hint="eastAsia" w:ascii="宋体" w:hAnsi="宋体" w:cs="宋体"/>
          <w:color w:val="auto"/>
          <w:spacing w:val="-24"/>
          <w:sz w:val="21"/>
          <w:szCs w:val="21"/>
          <w:highlight w:val="none"/>
        </w:rPr>
        <w:t>，</w:t>
      </w:r>
      <w:r>
        <w:rPr>
          <w:rFonts w:hint="eastAsia" w:ascii="宋体" w:hAnsi="宋体" w:cs="宋体"/>
          <w:color w:val="auto"/>
          <w:sz w:val="21"/>
          <w:szCs w:val="21"/>
          <w:highlight w:val="none"/>
        </w:rPr>
        <w:t>按上述基准</w:t>
      </w:r>
      <w:r>
        <w:rPr>
          <w:rFonts w:hint="eastAsia" w:ascii="宋体" w:hAnsi="宋体" w:cs="宋体"/>
          <w:color w:val="auto"/>
          <w:spacing w:val="-24"/>
          <w:sz w:val="21"/>
          <w:szCs w:val="21"/>
          <w:highlight w:val="none"/>
        </w:rPr>
        <w:t>点</w:t>
      </w:r>
      <w:r>
        <w:rPr>
          <w:rFonts w:hint="eastAsia" w:ascii="宋体" w:hAnsi="宋体" w:cs="宋体"/>
          <w:color w:val="auto"/>
          <w:sz w:val="21"/>
          <w:szCs w:val="21"/>
          <w:highlight w:val="none"/>
        </w:rPr>
        <w:t>（线</w:t>
      </w:r>
      <w:r>
        <w:rPr>
          <w:rFonts w:hint="eastAsia" w:ascii="宋体" w:hAnsi="宋体" w:cs="宋体"/>
          <w:color w:val="auto"/>
          <w:spacing w:val="-24"/>
          <w:sz w:val="21"/>
          <w:szCs w:val="21"/>
          <w:highlight w:val="none"/>
        </w:rPr>
        <w:t>）</w:t>
      </w:r>
      <w:r>
        <w:rPr>
          <w:rFonts w:hint="eastAsia" w:ascii="宋体" w:hAnsi="宋体" w:cs="宋体"/>
          <w:color w:val="auto"/>
          <w:sz w:val="21"/>
          <w:szCs w:val="21"/>
          <w:highlight w:val="none"/>
        </w:rPr>
        <w:t>以及</w:t>
      </w:r>
      <w:r>
        <w:rPr>
          <w:rFonts w:hint="eastAsia" w:ascii="宋体" w:hAnsi="宋体" w:cs="宋体"/>
          <w:color w:val="auto"/>
          <w:spacing w:val="1"/>
          <w:sz w:val="21"/>
          <w:szCs w:val="21"/>
          <w:highlight w:val="none"/>
        </w:rPr>
        <w:t>合</w:t>
      </w:r>
      <w:r>
        <w:rPr>
          <w:rFonts w:hint="eastAsia" w:ascii="宋体" w:hAnsi="宋体" w:cs="宋体"/>
          <w:color w:val="auto"/>
          <w:sz w:val="21"/>
          <w:szCs w:val="21"/>
          <w:highlight w:val="none"/>
        </w:rPr>
        <w:t>同工程精度要求</w:t>
      </w:r>
      <w:r>
        <w:rPr>
          <w:rFonts w:hint="eastAsia" w:ascii="宋体" w:hAnsi="宋体" w:cs="宋体"/>
          <w:color w:val="auto"/>
          <w:spacing w:val="-24"/>
          <w:sz w:val="21"/>
          <w:szCs w:val="21"/>
          <w:highlight w:val="none"/>
        </w:rPr>
        <w:t>，</w:t>
      </w:r>
      <w:r>
        <w:rPr>
          <w:rFonts w:hint="eastAsia" w:ascii="宋体" w:hAnsi="宋体" w:cs="宋体"/>
          <w:color w:val="auto"/>
          <w:sz w:val="21"/>
          <w:szCs w:val="21"/>
          <w:highlight w:val="none"/>
        </w:rPr>
        <w:t>测设施工控制网，并在开工后21天内，将施工控制网资料报送监理人审批。</w:t>
      </w:r>
    </w:p>
    <w:p w14:paraId="659AFAB8">
      <w:pPr>
        <w:adjustRightInd w:val="0"/>
        <w:snapToGrid w:val="0"/>
        <w:spacing w:line="360" w:lineRule="auto"/>
        <w:ind w:firstLine="426" w:firstLineChars="202"/>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8.2 施工测量</w:t>
      </w:r>
    </w:p>
    <w:p w14:paraId="05915504">
      <w:pPr>
        <w:spacing w:line="360" w:lineRule="auto"/>
        <w:ind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8.2.1 承包人应负责施工过程中的全部施工测量放线工作，并配置合格的人员、仪器、设备和其他物品。并配合监理人进行抽查。</w:t>
      </w:r>
    </w:p>
    <w:p w14:paraId="33772AB5">
      <w:pPr>
        <w:adjustRightInd w:val="0"/>
        <w:snapToGrid w:val="0"/>
        <w:spacing w:line="360" w:lineRule="auto"/>
        <w:ind w:firstLine="426" w:firstLineChars="202"/>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8.3 基准资料错误的责任</w:t>
      </w:r>
    </w:p>
    <w:p w14:paraId="7DAE3AB1">
      <w:pPr>
        <w:autoSpaceDE w:val="0"/>
        <w:autoSpaceDN w:val="0"/>
        <w:adjustRightInd w:val="0"/>
        <w:spacing w:line="360" w:lineRule="auto"/>
        <w:ind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发包人应对其提供的测量基准点、基准线和水准点及其书面资料的真实性、准确性和完整性负责。承包人发现发包人提供的上述基准资料存在明显错误或疏忽的，应及时通知监理人。</w:t>
      </w:r>
    </w:p>
    <w:p w14:paraId="200E8972">
      <w:pPr>
        <w:keepNext/>
        <w:keepLines/>
        <w:spacing w:line="360" w:lineRule="auto"/>
        <w:jc w:val="center"/>
        <w:outlineLvl w:val="2"/>
        <w:rPr>
          <w:rFonts w:hint="eastAsia" w:ascii="宋体" w:hAnsi="宋体" w:cs="宋体"/>
          <w:b/>
          <w:bCs/>
          <w:color w:val="auto"/>
          <w:sz w:val="21"/>
          <w:szCs w:val="21"/>
          <w:highlight w:val="none"/>
        </w:rPr>
      </w:pPr>
      <w:bookmarkStart w:id="1085" w:name="_Toc29207"/>
      <w:bookmarkStart w:id="1086" w:name="_Toc3899377"/>
      <w:bookmarkStart w:id="1087" w:name="_Toc175063964"/>
      <w:r>
        <w:rPr>
          <w:rFonts w:hint="eastAsia" w:ascii="宋体" w:hAnsi="宋体" w:cs="宋体"/>
          <w:b/>
          <w:bCs/>
          <w:color w:val="auto"/>
          <w:sz w:val="21"/>
          <w:szCs w:val="21"/>
          <w:highlight w:val="none"/>
        </w:rPr>
        <w:t>9. 施工安全、治安保卫和环境保护</w:t>
      </w:r>
      <w:bookmarkEnd w:id="1085"/>
      <w:bookmarkEnd w:id="1086"/>
      <w:bookmarkEnd w:id="1087"/>
    </w:p>
    <w:p w14:paraId="68BB98AD">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9.2 承包人的施工安全责任</w:t>
      </w:r>
    </w:p>
    <w:p w14:paraId="7FDD22E0">
      <w:pPr>
        <w:autoSpaceDE w:val="0"/>
        <w:autoSpaceDN w:val="0"/>
        <w:adjustRightInd w:val="0"/>
        <w:spacing w:line="360" w:lineRule="auto"/>
        <w:ind w:firstLine="420" w:firstLineChars="200"/>
        <w:rPr>
          <w:rFonts w:hint="eastAsia" w:ascii="宋体" w:hAnsi="宋体" w:cs="宋体"/>
          <w:color w:val="auto"/>
          <w:spacing w:val="-4"/>
          <w:sz w:val="21"/>
          <w:szCs w:val="21"/>
          <w:highlight w:val="none"/>
        </w:rPr>
      </w:pPr>
      <w:r>
        <w:rPr>
          <w:rFonts w:hint="eastAsia" w:ascii="宋体" w:hAnsi="宋体" w:cs="宋体"/>
          <w:color w:val="auto"/>
          <w:sz w:val="21"/>
          <w:szCs w:val="21"/>
          <w:highlight w:val="none"/>
        </w:rPr>
        <w:t>9.2.1</w:t>
      </w:r>
      <w:r>
        <w:rPr>
          <w:rFonts w:hint="eastAsia" w:ascii="宋体" w:hAnsi="宋体" w:cs="宋体"/>
          <w:color w:val="auto"/>
          <w:spacing w:val="-4"/>
          <w:sz w:val="21"/>
          <w:szCs w:val="21"/>
          <w:highlight w:val="none"/>
        </w:rPr>
        <w:t xml:space="preserve"> 承包人应按合同约定履行安全职责，执行监理人有关安全工作的指示，并在签订合同7日内，编制施工安全措施计划报送监理人审批。</w:t>
      </w:r>
    </w:p>
    <w:p w14:paraId="618FD925">
      <w:pPr>
        <w:autoSpaceDE w:val="0"/>
        <w:autoSpaceDN w:val="0"/>
        <w:adjustRightInd w:val="0"/>
        <w:spacing w:line="360" w:lineRule="auto"/>
        <w:ind w:firstLine="404" w:firstLineChars="20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rPr>
        <w:t>本条增加：</w:t>
      </w:r>
    </w:p>
    <w:p w14:paraId="668A3E53">
      <w:pPr>
        <w:spacing w:line="360" w:lineRule="auto"/>
        <w:ind w:firstLine="422"/>
        <w:rPr>
          <w:rFonts w:hint="eastAsia" w:ascii="宋体" w:hAnsi="宋体" w:cs="宋体"/>
          <w:color w:val="auto"/>
          <w:sz w:val="21"/>
          <w:szCs w:val="21"/>
          <w:highlight w:val="none"/>
        </w:rPr>
      </w:pPr>
      <w:r>
        <w:rPr>
          <w:rFonts w:hint="eastAsia" w:ascii="宋体" w:hAnsi="宋体" w:cs="宋体"/>
          <w:color w:val="auto"/>
          <w:sz w:val="21"/>
          <w:szCs w:val="21"/>
          <w:highlight w:val="none"/>
        </w:rPr>
        <w:t>9.2.8 承包人负责其</w:t>
      </w:r>
      <w:r>
        <w:rPr>
          <w:rFonts w:hint="eastAsia" w:ascii="宋体" w:hAnsi="宋体" w:cs="宋体"/>
          <w:color w:val="auto"/>
          <w:sz w:val="21"/>
          <w:szCs w:val="21"/>
          <w:highlight w:val="none"/>
          <w:lang w:eastAsia="zh-CN"/>
        </w:rPr>
        <w:t>自己</w:t>
      </w:r>
      <w:r>
        <w:rPr>
          <w:rFonts w:hint="eastAsia" w:ascii="宋体" w:hAnsi="宋体" w:cs="宋体"/>
          <w:color w:val="auto"/>
          <w:sz w:val="21"/>
          <w:szCs w:val="21"/>
          <w:highlight w:val="none"/>
        </w:rPr>
        <w:t>辖区内的消防工作。承包人应对其辖区内发生的火灾及其造成的人员伤亡和财产损失负责。</w:t>
      </w:r>
    </w:p>
    <w:p w14:paraId="6085E6D8">
      <w:pPr>
        <w:keepNext/>
        <w:keepLines/>
        <w:spacing w:line="360" w:lineRule="auto"/>
        <w:jc w:val="center"/>
        <w:outlineLvl w:val="2"/>
        <w:rPr>
          <w:rFonts w:hint="eastAsia" w:ascii="宋体" w:hAnsi="宋体" w:cs="宋体"/>
          <w:b/>
          <w:bCs/>
          <w:color w:val="auto"/>
          <w:sz w:val="21"/>
          <w:szCs w:val="21"/>
          <w:highlight w:val="none"/>
        </w:rPr>
      </w:pPr>
      <w:bookmarkStart w:id="1088" w:name="_Toc3899378"/>
      <w:bookmarkStart w:id="1089" w:name="_Toc7112"/>
      <w:bookmarkStart w:id="1090" w:name="_Toc175063965"/>
      <w:r>
        <w:rPr>
          <w:rFonts w:hint="eastAsia" w:ascii="宋体" w:hAnsi="宋体" w:cs="宋体"/>
          <w:b/>
          <w:bCs/>
          <w:color w:val="auto"/>
          <w:sz w:val="21"/>
          <w:szCs w:val="21"/>
          <w:highlight w:val="none"/>
        </w:rPr>
        <w:t>10. 进度计划</w:t>
      </w:r>
      <w:bookmarkEnd w:id="1088"/>
      <w:bookmarkEnd w:id="1089"/>
      <w:bookmarkEnd w:id="1090"/>
    </w:p>
    <w:p w14:paraId="0BF5CD81">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10.1 合同进度计划</w:t>
      </w:r>
    </w:p>
    <w:p w14:paraId="6FD989F4">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在合同签订后7天内，编制详细的施工进度计划和施工方案说明报送监理人。监理人应在7天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078E4969">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10.2 合同进度计划的修订</w:t>
      </w:r>
    </w:p>
    <w:p w14:paraId="78A2E6AE">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不论何种原因造成工程的实际进度与第10.1款的合同进度计划不符时，承包人可以在发现后的14天内向监理人提交修订合同进度计划的申请报告，并附有关措施和相关资料，报监理人审批：监理人也可以直接向承包人作出修订合同进度计划的指示，承包人应按该指示修订合同进度计划，报监理人审批。监理人应在7天内批复。监理人在批复前应获得发包人同意。</w:t>
      </w:r>
    </w:p>
    <w:p w14:paraId="1C78A17E">
      <w:pPr>
        <w:keepNext/>
        <w:keepLines/>
        <w:spacing w:line="360" w:lineRule="auto"/>
        <w:jc w:val="center"/>
        <w:outlineLvl w:val="2"/>
        <w:rPr>
          <w:rFonts w:hint="eastAsia" w:ascii="宋体" w:hAnsi="宋体" w:cs="宋体"/>
          <w:b/>
          <w:bCs/>
          <w:color w:val="auto"/>
          <w:sz w:val="21"/>
          <w:szCs w:val="21"/>
          <w:highlight w:val="none"/>
        </w:rPr>
      </w:pPr>
      <w:bookmarkStart w:id="1091" w:name="_Toc175063966"/>
      <w:bookmarkStart w:id="1092" w:name="_Toc32292"/>
      <w:bookmarkStart w:id="1093" w:name="_Toc3899379"/>
      <w:r>
        <w:rPr>
          <w:rFonts w:hint="eastAsia" w:ascii="宋体" w:hAnsi="宋体" w:cs="宋体"/>
          <w:b/>
          <w:bCs/>
          <w:color w:val="auto"/>
          <w:sz w:val="21"/>
          <w:szCs w:val="21"/>
          <w:highlight w:val="none"/>
        </w:rPr>
        <w:t>11.开工和竣工</w:t>
      </w:r>
      <w:bookmarkEnd w:id="1091"/>
      <w:bookmarkEnd w:id="1092"/>
      <w:bookmarkEnd w:id="1093"/>
    </w:p>
    <w:p w14:paraId="5AD8110D">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11.5 承包人的工期延误</w:t>
      </w:r>
    </w:p>
    <w:p w14:paraId="2E12F4FE">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为2000元/天，但最终不超过合同总价的10%。承包人支付逾期竣工违约金，不免除承包人完成工程及修补缺陷的义务。</w:t>
      </w:r>
    </w:p>
    <w:p w14:paraId="284D82E0">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11.6 工期提前</w:t>
      </w:r>
    </w:p>
    <w:p w14:paraId="40A2939B">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本合同段工程要求按规定按时按量按质完工，对于提前工期无奖励。</w:t>
      </w:r>
    </w:p>
    <w:p w14:paraId="38057F0B">
      <w:pPr>
        <w:keepNext/>
        <w:keepLines/>
        <w:spacing w:line="360" w:lineRule="auto"/>
        <w:jc w:val="center"/>
        <w:outlineLvl w:val="2"/>
        <w:rPr>
          <w:rFonts w:hint="eastAsia" w:ascii="宋体" w:hAnsi="宋体" w:cs="宋体"/>
          <w:b/>
          <w:bCs/>
          <w:color w:val="auto"/>
          <w:sz w:val="21"/>
          <w:szCs w:val="21"/>
          <w:highlight w:val="none"/>
        </w:rPr>
      </w:pPr>
      <w:bookmarkStart w:id="1094" w:name="_Toc175063967"/>
      <w:bookmarkStart w:id="1095" w:name="_Toc118"/>
      <w:bookmarkStart w:id="1096" w:name="_Toc3899380"/>
      <w:r>
        <w:rPr>
          <w:rFonts w:hint="eastAsia" w:ascii="宋体" w:hAnsi="宋体" w:cs="宋体"/>
          <w:b/>
          <w:bCs/>
          <w:color w:val="auto"/>
          <w:sz w:val="21"/>
          <w:szCs w:val="21"/>
          <w:highlight w:val="none"/>
        </w:rPr>
        <w:t>12. 暂停施工</w:t>
      </w:r>
      <w:bookmarkEnd w:id="1094"/>
      <w:bookmarkEnd w:id="1095"/>
      <w:bookmarkEnd w:id="1096"/>
    </w:p>
    <w:p w14:paraId="45E7ABC0">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12.2发包人暂停施工的责任</w:t>
      </w:r>
    </w:p>
    <w:p w14:paraId="63B4CE06">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由于发包人原因引起的暂停施工造成工期延误的，承包人有权要求发包人延长工期，无权要求索赔。</w:t>
      </w:r>
    </w:p>
    <w:p w14:paraId="2A509DE3">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12.4 暂停施工后的复工</w:t>
      </w:r>
    </w:p>
    <w:p w14:paraId="71C5E1E8">
      <w:pPr>
        <w:autoSpaceDE w:val="0"/>
        <w:autoSpaceDN w:val="0"/>
        <w:adjustRightInd w:val="0"/>
        <w:spacing w:line="360" w:lineRule="auto"/>
        <w:ind w:firstLine="525" w:firstLineChars="250"/>
        <w:rPr>
          <w:rFonts w:hint="eastAsia" w:ascii="宋体" w:hAnsi="宋体" w:cs="宋体"/>
          <w:color w:val="auto"/>
          <w:sz w:val="21"/>
          <w:szCs w:val="21"/>
          <w:highlight w:val="none"/>
        </w:rPr>
      </w:pPr>
      <w:r>
        <w:rPr>
          <w:rFonts w:hint="eastAsia" w:ascii="宋体" w:hAnsi="宋体" w:cs="宋体"/>
          <w:color w:val="auto"/>
          <w:sz w:val="21"/>
          <w:szCs w:val="21"/>
          <w:highlight w:val="none"/>
        </w:rPr>
        <w:t>12.4.2 承包人无故拖延和拒绝复工的，由此增加的费用和工期延误由承包人承担；因发包人原因无法按时复工的，承包人有权要求发包人延长工期，但不得要求索赔。</w:t>
      </w:r>
    </w:p>
    <w:p w14:paraId="4F787652">
      <w:pPr>
        <w:autoSpaceDE w:val="0"/>
        <w:autoSpaceDN w:val="0"/>
        <w:adjustRightInd w:val="0"/>
        <w:spacing w:line="360" w:lineRule="auto"/>
        <w:jc w:val="center"/>
        <w:rPr>
          <w:rFonts w:hint="eastAsia" w:ascii="宋体" w:hAnsi="宋体" w:cs="宋体"/>
          <w:b/>
          <w:bCs/>
          <w:color w:val="auto"/>
          <w:sz w:val="21"/>
          <w:szCs w:val="21"/>
          <w:highlight w:val="none"/>
        </w:rPr>
      </w:pPr>
      <w:bookmarkStart w:id="1097" w:name="_Toc265954763"/>
      <w:bookmarkStart w:id="1098" w:name="_Toc265955062"/>
      <w:bookmarkStart w:id="1099" w:name="_Toc265654007"/>
      <w:r>
        <w:rPr>
          <w:rFonts w:hint="eastAsia" w:ascii="宋体" w:hAnsi="宋体" w:cs="宋体"/>
          <w:b/>
          <w:bCs/>
          <w:color w:val="auto"/>
          <w:sz w:val="21"/>
          <w:szCs w:val="21"/>
          <w:highlight w:val="none"/>
        </w:rPr>
        <w:t>14 试验和检验</w:t>
      </w:r>
      <w:bookmarkEnd w:id="1097"/>
      <w:bookmarkEnd w:id="1098"/>
      <w:bookmarkEnd w:id="1099"/>
    </w:p>
    <w:p w14:paraId="5B5FF723">
      <w:pPr>
        <w:autoSpaceDE w:val="0"/>
        <w:autoSpaceDN w:val="0"/>
        <w:adjustRightInd w:val="0"/>
        <w:spacing w:line="360" w:lineRule="auto"/>
        <w:rPr>
          <w:rFonts w:hint="eastAsia" w:ascii="宋体" w:hAnsi="宋体" w:cs="宋体"/>
          <w:b/>
          <w:bCs/>
          <w:color w:val="auto"/>
          <w:sz w:val="21"/>
          <w:szCs w:val="21"/>
          <w:highlight w:val="none"/>
        </w:rPr>
      </w:pPr>
      <w:bookmarkStart w:id="1100" w:name="_Toc223245870"/>
      <w:bookmarkStart w:id="1101" w:name="_Toc229450932"/>
      <w:bookmarkStart w:id="1102" w:name="_Toc244121937"/>
      <w:r>
        <w:rPr>
          <w:rFonts w:hint="eastAsia" w:ascii="宋体" w:hAnsi="宋体" w:cs="宋体"/>
          <w:b/>
          <w:bCs/>
          <w:color w:val="auto"/>
          <w:sz w:val="21"/>
          <w:szCs w:val="21"/>
          <w:highlight w:val="none"/>
        </w:rPr>
        <w:t>14.1现场材料试验</w:t>
      </w:r>
      <w:bookmarkEnd w:id="1100"/>
      <w:bookmarkEnd w:id="1101"/>
    </w:p>
    <w:p w14:paraId="0B98E145">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监理人认为材料试验需送省、地（或）县级质检部门试验时，承包人应经监理人见证取样后送上述质检部门进行试验，费用由承包人承担。</w:t>
      </w:r>
    </w:p>
    <w:p w14:paraId="0306C898">
      <w:pPr>
        <w:autoSpaceDE w:val="0"/>
        <w:autoSpaceDN w:val="0"/>
        <w:adjustRightInd w:val="0"/>
        <w:spacing w:line="360" w:lineRule="auto"/>
        <w:ind w:firstLine="420" w:firstLineChars="200"/>
        <w:rPr>
          <w:rFonts w:hint="eastAsia" w:ascii="宋体" w:hAnsi="宋体" w:cs="宋体"/>
          <w:color w:val="auto"/>
          <w:sz w:val="21"/>
          <w:szCs w:val="21"/>
          <w:highlight w:val="none"/>
        </w:rPr>
      </w:pPr>
    </w:p>
    <w:bookmarkEnd w:id="1102"/>
    <w:p w14:paraId="364A2F5C">
      <w:pPr>
        <w:keepNext/>
        <w:keepLines/>
        <w:spacing w:line="360" w:lineRule="auto"/>
        <w:jc w:val="center"/>
        <w:outlineLvl w:val="2"/>
        <w:rPr>
          <w:rFonts w:hint="eastAsia" w:ascii="宋体" w:hAnsi="宋体" w:cs="宋体"/>
          <w:b/>
          <w:bCs/>
          <w:color w:val="auto"/>
          <w:sz w:val="21"/>
          <w:szCs w:val="21"/>
          <w:highlight w:val="none"/>
        </w:rPr>
      </w:pPr>
      <w:bookmarkStart w:id="1103" w:name="_Toc175063968"/>
      <w:bookmarkStart w:id="1104" w:name="_Toc221951213"/>
      <w:bookmarkStart w:id="1105" w:name="_Toc222031041"/>
      <w:bookmarkStart w:id="1106" w:name="_Toc26175"/>
      <w:bookmarkStart w:id="1107" w:name="_Toc222032708"/>
      <w:bookmarkStart w:id="1108" w:name="_Toc222033890"/>
      <w:bookmarkStart w:id="1109" w:name="_Toc3899381"/>
      <w:bookmarkStart w:id="1110" w:name="_Toc222029539"/>
      <w:bookmarkStart w:id="1111" w:name="_Toc229305396"/>
      <w:r>
        <w:rPr>
          <w:rFonts w:hint="eastAsia" w:ascii="宋体" w:hAnsi="宋体" w:cs="宋体"/>
          <w:b/>
          <w:bCs/>
          <w:color w:val="auto"/>
          <w:sz w:val="21"/>
          <w:szCs w:val="21"/>
          <w:highlight w:val="none"/>
        </w:rPr>
        <w:t>15  变更</w:t>
      </w:r>
      <w:bookmarkEnd w:id="1103"/>
      <w:bookmarkEnd w:id="1104"/>
      <w:bookmarkEnd w:id="1105"/>
      <w:bookmarkEnd w:id="1106"/>
      <w:bookmarkEnd w:id="1107"/>
      <w:bookmarkEnd w:id="1108"/>
      <w:bookmarkEnd w:id="1109"/>
      <w:bookmarkEnd w:id="1110"/>
      <w:bookmarkEnd w:id="1111"/>
    </w:p>
    <w:p w14:paraId="5707A27B">
      <w:pPr>
        <w:adjustRightInd w:val="0"/>
        <w:snapToGrid w:val="0"/>
        <w:spacing w:line="360" w:lineRule="auto"/>
        <w:rPr>
          <w:rFonts w:hint="eastAsia" w:ascii="宋体" w:hAnsi="宋体" w:cs="宋体"/>
          <w:color w:val="auto"/>
          <w:sz w:val="21"/>
          <w:szCs w:val="21"/>
          <w:highlight w:val="none"/>
        </w:rPr>
      </w:pPr>
      <w:bookmarkStart w:id="1112" w:name="_Toc221951214"/>
      <w:r>
        <w:rPr>
          <w:rFonts w:hint="eastAsia" w:ascii="宋体" w:hAnsi="宋体" w:cs="宋体"/>
          <w:b/>
          <w:bCs/>
          <w:color w:val="auto"/>
          <w:kern w:val="2"/>
          <w:sz w:val="21"/>
          <w:szCs w:val="21"/>
          <w:highlight w:val="none"/>
        </w:rPr>
        <w:t>15.1  变更的范围和内容</w:t>
      </w:r>
      <w:bookmarkEnd w:id="1112"/>
      <w:bookmarkStart w:id="1113" w:name="_Toc221951216"/>
      <w:r>
        <w:rPr>
          <w:rFonts w:hint="eastAsia" w:ascii="宋体" w:hAnsi="宋体" w:cs="宋体"/>
          <w:b/>
          <w:bCs/>
          <w:color w:val="auto"/>
          <w:kern w:val="2"/>
          <w:sz w:val="21"/>
          <w:szCs w:val="21"/>
          <w:highlight w:val="none"/>
        </w:rPr>
        <w:t>：</w:t>
      </w:r>
      <w:r>
        <w:rPr>
          <w:rFonts w:hint="eastAsia" w:ascii="宋体" w:hAnsi="宋体" w:cs="宋体"/>
          <w:color w:val="auto"/>
          <w:sz w:val="21"/>
          <w:szCs w:val="21"/>
          <w:highlight w:val="none"/>
          <w:u w:val="single"/>
        </w:rPr>
        <w:t>另行约定</w:t>
      </w:r>
      <w:r>
        <w:rPr>
          <w:rFonts w:hint="eastAsia" w:ascii="宋体" w:hAnsi="宋体" w:cs="宋体"/>
          <w:color w:val="auto"/>
          <w:sz w:val="21"/>
          <w:szCs w:val="21"/>
          <w:highlight w:val="none"/>
        </w:rPr>
        <w:t>。</w:t>
      </w:r>
    </w:p>
    <w:bookmarkEnd w:id="1113"/>
    <w:p w14:paraId="5AF13328">
      <w:pPr>
        <w:adjustRightInd w:val="0"/>
        <w:snapToGrid w:val="0"/>
        <w:spacing w:line="360" w:lineRule="auto"/>
        <w:rPr>
          <w:rFonts w:hint="eastAsia" w:ascii="宋体" w:hAnsi="宋体" w:cs="宋体"/>
          <w:b/>
          <w:bCs/>
          <w:color w:val="auto"/>
          <w:kern w:val="2"/>
          <w:sz w:val="21"/>
          <w:szCs w:val="21"/>
          <w:highlight w:val="none"/>
        </w:rPr>
      </w:pPr>
      <w:bookmarkStart w:id="1114" w:name="_Toc221951218"/>
      <w:r>
        <w:rPr>
          <w:rFonts w:hint="eastAsia" w:ascii="宋体" w:hAnsi="宋体" w:cs="宋体"/>
          <w:b/>
          <w:bCs/>
          <w:color w:val="auto"/>
          <w:kern w:val="2"/>
          <w:sz w:val="21"/>
          <w:szCs w:val="21"/>
          <w:highlight w:val="none"/>
        </w:rPr>
        <w:t>15.5承包人的合理化建议</w:t>
      </w:r>
    </w:p>
    <w:p w14:paraId="724463A3">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15.5.2 </w:t>
      </w:r>
      <w:bookmarkEnd w:id="1114"/>
      <w:bookmarkStart w:id="1115" w:name="_Toc221951219"/>
      <w:r>
        <w:rPr>
          <w:rFonts w:hint="eastAsia" w:ascii="宋体" w:hAnsi="宋体" w:cs="宋体"/>
          <w:color w:val="auto"/>
          <w:sz w:val="21"/>
          <w:szCs w:val="21"/>
          <w:highlight w:val="none"/>
        </w:rPr>
        <w:t>承包人实现合理化建议的奖励金额为：</w:t>
      </w:r>
      <w:r>
        <w:rPr>
          <w:rFonts w:hint="eastAsia" w:ascii="宋体" w:hAnsi="宋体" w:cs="宋体"/>
          <w:color w:val="auto"/>
          <w:sz w:val="21"/>
          <w:szCs w:val="21"/>
          <w:highlight w:val="none"/>
          <w:u w:val="single"/>
        </w:rPr>
        <w:t xml:space="preserve">  </w:t>
      </w:r>
      <w:bookmarkEnd w:id="1115"/>
      <w:bookmarkStart w:id="1116" w:name="_Toc221951220"/>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eastAsia="zh-CN"/>
        </w:rPr>
        <w:t>签订</w:t>
      </w:r>
      <w:r>
        <w:rPr>
          <w:rFonts w:hint="eastAsia" w:ascii="宋体" w:hAnsi="宋体" w:cs="宋体"/>
          <w:color w:val="auto"/>
          <w:sz w:val="21"/>
          <w:szCs w:val="21"/>
          <w:highlight w:val="none"/>
          <w:u w:val="single"/>
        </w:rPr>
        <w:t xml:space="preserve">合同时约定） </w:t>
      </w:r>
      <w:r>
        <w:rPr>
          <w:rFonts w:hint="eastAsia" w:ascii="宋体" w:hAnsi="宋体" w:cs="宋体"/>
          <w:color w:val="auto"/>
          <w:sz w:val="21"/>
          <w:szCs w:val="21"/>
          <w:highlight w:val="none"/>
        </w:rPr>
        <w:t>。</w:t>
      </w:r>
      <w:bookmarkEnd w:id="1116"/>
    </w:p>
    <w:p w14:paraId="44AF69D0">
      <w:pPr>
        <w:autoSpaceDE w:val="0"/>
        <w:autoSpaceDN w:val="0"/>
        <w:adjustRightInd w:val="0"/>
        <w:spacing w:line="360" w:lineRule="auto"/>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15.4.3 已标价工程量清单中无适用或类似子目的单价，由承包人按第3.5款商定或确定变更工作的单价或参照国家相关部门颁发的定额子目按投标报价的编制水平编制补充单价报监理人审核</w:t>
      </w:r>
      <w:r>
        <w:rPr>
          <w:rFonts w:hint="eastAsia" w:ascii="宋体" w:hAnsi="宋体" w:cs="宋体"/>
          <w:color w:val="auto"/>
          <w:sz w:val="21"/>
          <w:szCs w:val="21"/>
          <w:highlight w:val="none"/>
          <w:lang w:eastAsia="zh-CN"/>
        </w:rPr>
        <w:t>，经</w:t>
      </w:r>
      <w:r>
        <w:rPr>
          <w:rFonts w:hint="eastAsia" w:ascii="宋体" w:hAnsi="宋体" w:cs="宋体"/>
          <w:color w:val="auto"/>
          <w:sz w:val="21"/>
          <w:szCs w:val="21"/>
          <w:highlight w:val="none"/>
        </w:rPr>
        <w:t>发包人批准。新增项目的单价编制应与投标人投标报价中所采用的人工、材料、机械的基价及取费标准保持一致；新增项目的工程量与最终实施的工程量，无论增加或减少的幅度如何，其单价均不作调整。</w:t>
      </w:r>
    </w:p>
    <w:p w14:paraId="187B254F">
      <w:pPr>
        <w:adjustRightInd w:val="0"/>
        <w:snapToGrid w:val="0"/>
        <w:spacing w:line="360" w:lineRule="auto"/>
        <w:rPr>
          <w:rFonts w:hint="eastAsia" w:ascii="宋体" w:hAnsi="宋体" w:cs="宋体"/>
          <w:b/>
          <w:bCs/>
          <w:color w:val="auto"/>
          <w:kern w:val="2"/>
          <w:sz w:val="21"/>
          <w:szCs w:val="21"/>
          <w:highlight w:val="none"/>
        </w:rPr>
      </w:pPr>
      <w:bookmarkStart w:id="1117" w:name="_Toc221951221"/>
      <w:r>
        <w:rPr>
          <w:rFonts w:hint="eastAsia" w:ascii="宋体" w:hAnsi="宋体" w:cs="宋体"/>
          <w:b/>
          <w:bCs/>
          <w:color w:val="auto"/>
          <w:kern w:val="2"/>
          <w:sz w:val="21"/>
          <w:szCs w:val="21"/>
          <w:highlight w:val="none"/>
        </w:rPr>
        <w:t>15.8  暂估价</w:t>
      </w:r>
      <w:bookmarkEnd w:id="1117"/>
    </w:p>
    <w:p w14:paraId="47530BE2">
      <w:pPr>
        <w:snapToGrid w:val="0"/>
        <w:spacing w:line="360" w:lineRule="auto"/>
        <w:ind w:firstLine="420"/>
        <w:rPr>
          <w:rFonts w:hint="eastAsia" w:ascii="宋体" w:hAnsi="宋体" w:cs="宋体"/>
          <w:color w:val="auto"/>
          <w:sz w:val="21"/>
          <w:szCs w:val="21"/>
          <w:highlight w:val="none"/>
          <w:u w:val="single"/>
        </w:rPr>
      </w:pPr>
      <w:bookmarkStart w:id="1118" w:name="_Toc221951222"/>
      <w:r>
        <w:rPr>
          <w:rFonts w:hint="eastAsia" w:ascii="宋体" w:hAnsi="宋体" w:cs="宋体"/>
          <w:color w:val="auto"/>
          <w:sz w:val="21"/>
          <w:szCs w:val="21"/>
          <w:highlight w:val="none"/>
        </w:rPr>
        <w:t>（1）发包人和承包人组织招标的暂估价项目：</w:t>
      </w:r>
      <w:r>
        <w:rPr>
          <w:rFonts w:hint="eastAsia" w:ascii="宋体" w:hAnsi="宋体" w:cs="宋体"/>
          <w:color w:val="auto"/>
          <w:sz w:val="21"/>
          <w:szCs w:val="21"/>
          <w:highlight w:val="none"/>
          <w:u w:val="single"/>
        </w:rPr>
        <w:t xml:space="preserve">  （签约后填入）</w:t>
      </w:r>
      <w:r>
        <w:rPr>
          <w:rFonts w:hint="eastAsia" w:ascii="宋体" w:hAnsi="宋体" w:cs="宋体"/>
          <w:color w:val="auto"/>
          <w:sz w:val="21"/>
          <w:szCs w:val="21"/>
          <w:highlight w:val="none"/>
        </w:rPr>
        <w:t>。</w:t>
      </w:r>
      <w:bookmarkEnd w:id="1118"/>
      <w:r>
        <w:rPr>
          <w:rFonts w:hint="eastAsia" w:ascii="宋体" w:hAnsi="宋体" w:cs="宋体"/>
          <w:color w:val="auto"/>
          <w:sz w:val="21"/>
          <w:szCs w:val="21"/>
          <w:highlight w:val="none"/>
        </w:rPr>
        <w:t>发包人组织招标的暂估价项目：</w:t>
      </w:r>
      <w:r>
        <w:rPr>
          <w:rFonts w:hint="eastAsia" w:ascii="宋体" w:hAnsi="宋体" w:cs="宋体"/>
          <w:color w:val="auto"/>
          <w:sz w:val="21"/>
          <w:szCs w:val="21"/>
          <w:highlight w:val="none"/>
          <w:u w:val="single"/>
        </w:rPr>
        <w:t xml:space="preserve">  （签约后填入）</w:t>
      </w:r>
    </w:p>
    <w:p w14:paraId="57FBC22E">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（2）发包人和承包人以招标方式选择暂估价项目供应商或分包人时，双方的权利义务关系：</w:t>
      </w:r>
      <w:r>
        <w:rPr>
          <w:rFonts w:hint="eastAsia" w:ascii="宋体" w:hAnsi="宋体" w:cs="宋体"/>
          <w:color w:val="auto"/>
          <w:sz w:val="21"/>
          <w:szCs w:val="21"/>
          <w:highlight w:val="none"/>
          <w:u w:val="single"/>
        </w:rPr>
        <w:t xml:space="preserve"> （签合同时约定） </w:t>
      </w:r>
      <w:r>
        <w:rPr>
          <w:rFonts w:hint="eastAsia" w:ascii="宋体" w:hAnsi="宋体" w:cs="宋体"/>
          <w:color w:val="auto"/>
          <w:sz w:val="21"/>
          <w:szCs w:val="21"/>
          <w:highlight w:val="none"/>
        </w:rPr>
        <w:t>。</w:t>
      </w:r>
    </w:p>
    <w:p w14:paraId="705539D2">
      <w:pPr>
        <w:keepNext/>
        <w:keepLines/>
        <w:spacing w:line="360" w:lineRule="auto"/>
        <w:jc w:val="center"/>
        <w:outlineLvl w:val="2"/>
        <w:rPr>
          <w:rFonts w:hint="eastAsia" w:ascii="宋体" w:hAnsi="宋体" w:cs="宋体"/>
          <w:b/>
          <w:bCs/>
          <w:color w:val="auto"/>
          <w:sz w:val="21"/>
          <w:szCs w:val="21"/>
          <w:highlight w:val="none"/>
        </w:rPr>
      </w:pPr>
      <w:bookmarkStart w:id="1119" w:name="_Toc3899382"/>
      <w:bookmarkStart w:id="1120" w:name="_Toc175063969"/>
      <w:bookmarkStart w:id="1121" w:name="_Toc29654"/>
      <w:bookmarkStart w:id="1122" w:name="_Toc229305397"/>
      <w:r>
        <w:rPr>
          <w:rFonts w:hint="eastAsia" w:ascii="宋体" w:hAnsi="宋体" w:cs="宋体"/>
          <w:b/>
          <w:bCs/>
          <w:color w:val="auto"/>
          <w:sz w:val="21"/>
          <w:szCs w:val="21"/>
          <w:highlight w:val="none"/>
        </w:rPr>
        <w:t>16 价格调整</w:t>
      </w:r>
      <w:bookmarkEnd w:id="1119"/>
      <w:bookmarkEnd w:id="1120"/>
      <w:bookmarkEnd w:id="1121"/>
      <w:bookmarkEnd w:id="1122"/>
    </w:p>
    <w:p w14:paraId="109828B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本合同采用固定单价，合同履行期间，无论何种原因，均不考虑由于物价波动引起的价格调整。</w:t>
      </w:r>
    </w:p>
    <w:p w14:paraId="385E14CC">
      <w:pPr>
        <w:keepNext/>
        <w:keepLines/>
        <w:spacing w:line="360" w:lineRule="auto"/>
        <w:jc w:val="center"/>
        <w:outlineLvl w:val="2"/>
        <w:rPr>
          <w:rFonts w:hint="eastAsia" w:ascii="宋体" w:hAnsi="宋体" w:cs="宋体"/>
          <w:b/>
          <w:bCs/>
          <w:color w:val="auto"/>
          <w:sz w:val="21"/>
          <w:szCs w:val="21"/>
          <w:highlight w:val="none"/>
        </w:rPr>
      </w:pPr>
      <w:bookmarkStart w:id="1123" w:name="_Toc16046"/>
      <w:bookmarkStart w:id="1124" w:name="_Toc175063970"/>
      <w:bookmarkStart w:id="1125" w:name="_Toc3899383"/>
      <w:r>
        <w:rPr>
          <w:rFonts w:hint="eastAsia" w:ascii="宋体" w:hAnsi="宋体" w:cs="宋体"/>
          <w:b/>
          <w:bCs/>
          <w:color w:val="auto"/>
          <w:sz w:val="21"/>
          <w:szCs w:val="21"/>
          <w:highlight w:val="none"/>
        </w:rPr>
        <w:t>17. 计量与支付</w:t>
      </w:r>
      <w:bookmarkEnd w:id="1123"/>
      <w:bookmarkEnd w:id="1124"/>
      <w:bookmarkEnd w:id="1125"/>
    </w:p>
    <w:p w14:paraId="0C50B1AD">
      <w:pPr>
        <w:adjustRightInd w:val="0"/>
        <w:snapToGrid w:val="0"/>
        <w:spacing w:line="360" w:lineRule="auto"/>
        <w:rPr>
          <w:rFonts w:hint="eastAsia" w:ascii="宋体" w:hAnsi="宋体" w:cs="宋体"/>
          <w:color w:val="auto"/>
          <w:sz w:val="21"/>
          <w:szCs w:val="21"/>
          <w:highlight w:val="none"/>
        </w:rPr>
      </w:pPr>
      <w:r>
        <w:rPr>
          <w:rFonts w:hint="eastAsia" w:ascii="宋体" w:hAnsi="宋体" w:cs="宋体"/>
          <w:b/>
          <w:bCs/>
          <w:color w:val="auto"/>
          <w:kern w:val="2"/>
          <w:sz w:val="21"/>
          <w:szCs w:val="21"/>
          <w:highlight w:val="none"/>
        </w:rPr>
        <w:t>17.2 预付款：</w:t>
      </w:r>
      <w:r>
        <w:rPr>
          <w:rFonts w:hint="eastAsia" w:ascii="宋体" w:hAnsi="宋体" w:cs="宋体"/>
          <w:color w:val="auto"/>
          <w:kern w:val="2"/>
          <w:sz w:val="21"/>
          <w:szCs w:val="21"/>
          <w:highlight w:val="none"/>
        </w:rPr>
        <w:t>另行约定。</w:t>
      </w:r>
    </w:p>
    <w:p w14:paraId="0EBCEBFA">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17.3 工程进度付款</w:t>
      </w:r>
    </w:p>
    <w:p w14:paraId="00B59D28">
      <w:pPr>
        <w:autoSpaceDE w:val="0"/>
        <w:autoSpaceDN w:val="0"/>
        <w:adjustRightInd w:val="0"/>
        <w:snapToGrid w:val="0"/>
        <w:spacing w:line="360" w:lineRule="auto"/>
        <w:ind w:firstLine="420"/>
        <w:rPr>
          <w:rFonts w:hint="eastAsia" w:ascii="宋体" w:hAnsi="宋体" w:cs="宋体"/>
          <w:color w:val="auto"/>
          <w:sz w:val="21"/>
          <w:szCs w:val="21"/>
          <w:highlight w:val="none"/>
        </w:rPr>
      </w:pPr>
      <w:bookmarkStart w:id="1126" w:name="_Toc262676689"/>
      <w:r>
        <w:rPr>
          <w:rFonts w:hint="eastAsia" w:ascii="宋体" w:hAnsi="宋体" w:cs="宋体"/>
          <w:color w:val="auto"/>
          <w:sz w:val="21"/>
          <w:szCs w:val="21"/>
          <w:highlight w:val="none"/>
        </w:rPr>
        <w:t>17.3.2 进度付款申请单</w:t>
      </w:r>
    </w:p>
    <w:p w14:paraId="525AB802">
      <w:pPr>
        <w:autoSpaceDE w:val="0"/>
        <w:autoSpaceDN w:val="0"/>
        <w:adjustRightInd w:val="0"/>
        <w:snapToGri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进度付款申请单的份数：一式六份。</w:t>
      </w:r>
    </w:p>
    <w:p w14:paraId="7D521292">
      <w:pPr>
        <w:autoSpaceDE w:val="0"/>
        <w:autoSpaceDN w:val="0"/>
        <w:adjustRightInd w:val="0"/>
        <w:snapToGri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17.3.3 进度付款证书和支付时间</w:t>
      </w:r>
    </w:p>
    <w:bookmarkEnd w:id="1126"/>
    <w:p w14:paraId="509F5B48">
      <w:pP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工程进度款按承包方每月实际完成工程量按月拨付，结算周期同计量周期（工程最后一期进度款拨付时承包人需提供所有竣工资料）。</w:t>
      </w:r>
    </w:p>
    <w:p w14:paraId="0C7DB6E5">
      <w:pP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为督促承包人每月按时足额发放农</w:t>
      </w:r>
      <w:r>
        <w:rPr>
          <w:rFonts w:hint="eastAsia" w:ascii="宋体" w:hAnsi="宋体" w:cs="宋体"/>
          <w:color w:val="auto"/>
          <w:kern w:val="2"/>
          <w:sz w:val="21"/>
          <w:szCs w:val="21"/>
          <w:highlight w:val="none"/>
          <w:lang w:eastAsia="zh-CN"/>
        </w:rPr>
        <w:t>民</w:t>
      </w:r>
      <w:r>
        <w:rPr>
          <w:rFonts w:hint="eastAsia" w:ascii="宋体" w:hAnsi="宋体" w:cs="宋体"/>
          <w:color w:val="auto"/>
          <w:kern w:val="2"/>
          <w:sz w:val="21"/>
          <w:szCs w:val="21"/>
          <w:highlight w:val="none"/>
        </w:rPr>
        <w:t>工工资，承包人申请拨付进度款时，必须根据本工程当月用工情况编制农民工工资支付花名册，提供上月支付有效依据后，发包人支付当月进度款，若承包人不按时支付农民工工资，发包人暂不支付进度款，直至承包人付清拖欠工资止。</w:t>
      </w:r>
    </w:p>
    <w:p w14:paraId="4DDE2B95">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17.4 质量保证金</w:t>
      </w:r>
    </w:p>
    <w:p w14:paraId="5F3ADC67">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17.4.1删去本款全文，并代之以：</w:t>
      </w:r>
    </w:p>
    <w:p w14:paraId="70263D1F">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工程质量保证金为项目内部审计审定价的3%，待缺陷责任期（工程质量保修期）满，发包人在接到承包人返还保证金申请后，应于14天内会同承包人按照合同约定的内容进行核实，如无异议，发包人应当按照约定将保证金返还给承包人。</w:t>
      </w:r>
    </w:p>
    <w:p w14:paraId="0603C913">
      <w:pPr>
        <w:autoSpaceDE w:val="0"/>
        <w:autoSpaceDN w:val="0"/>
        <w:adjustRightInd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17.5 竣工结算</w:t>
      </w:r>
    </w:p>
    <w:p w14:paraId="5A45864A">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17.5.1 竣工付款申请单</w:t>
      </w:r>
    </w:p>
    <w:p w14:paraId="383D9B0D">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 工程接收证书颁发后，承包人应按监理单位要求的份数和期限向监理人提交竣工付款申请单，并提供相关证明材料。竣工付款申请单应包括下列内容：竣工结算合同总价、发包人已支付承包人的工程价款、应扣留的质量保证金、应支付的竣工付款金额。</w:t>
      </w:r>
    </w:p>
    <w:p w14:paraId="2E721738">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17.6 最终结清</w:t>
      </w:r>
    </w:p>
    <w:p w14:paraId="69F17C7C">
      <w:pPr>
        <w:autoSpaceDE w:val="0"/>
        <w:autoSpaceDN w:val="0"/>
        <w:adjustRightInd w:val="0"/>
        <w:spacing w:line="360" w:lineRule="auto"/>
        <w:ind w:firstLine="420" w:firstLineChars="200"/>
        <w:rPr>
          <w:rFonts w:hint="eastAsia" w:ascii="宋体" w:hAnsi="宋体" w:cs="宋体"/>
          <w:color w:val="auto"/>
          <w:sz w:val="21"/>
          <w:szCs w:val="21"/>
          <w:highlight w:val="none"/>
        </w:rPr>
      </w:pPr>
      <w:bookmarkStart w:id="1127" w:name="_Toc304214286"/>
      <w:bookmarkStart w:id="1128" w:name="_Toc311473165"/>
      <w:bookmarkStart w:id="1129" w:name="_Toc301267855"/>
      <w:bookmarkStart w:id="1130" w:name="_Toc308686390"/>
      <w:r>
        <w:rPr>
          <w:rFonts w:hint="eastAsia" w:ascii="宋体" w:hAnsi="宋体" w:cs="宋体"/>
          <w:color w:val="auto"/>
          <w:sz w:val="21"/>
          <w:szCs w:val="21"/>
          <w:highlight w:val="none"/>
        </w:rPr>
        <w:t>17.6.1 最终结清申请单</w:t>
      </w:r>
      <w:bookmarkEnd w:id="1127"/>
      <w:bookmarkEnd w:id="1128"/>
      <w:bookmarkEnd w:id="1129"/>
      <w:bookmarkEnd w:id="1130"/>
    </w:p>
    <w:p w14:paraId="70418346">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 缺陷责任期终止证书签发后，承包人可按监理人要求的份数和期限向监理人提交最终结清申请单，并提供相关证明材料。</w:t>
      </w:r>
    </w:p>
    <w:p w14:paraId="1C5619A8">
      <w:pPr>
        <w:keepNext/>
        <w:keepLines/>
        <w:spacing w:line="360" w:lineRule="auto"/>
        <w:jc w:val="center"/>
        <w:outlineLvl w:val="2"/>
        <w:rPr>
          <w:rFonts w:hint="eastAsia" w:ascii="宋体" w:hAnsi="宋体" w:cs="宋体"/>
          <w:b/>
          <w:bCs/>
          <w:color w:val="auto"/>
          <w:sz w:val="21"/>
          <w:szCs w:val="21"/>
          <w:highlight w:val="none"/>
        </w:rPr>
      </w:pPr>
      <w:bookmarkStart w:id="1131" w:name="_Toc495398765"/>
      <w:bookmarkStart w:id="1132" w:name="_Toc244121947"/>
      <w:bookmarkStart w:id="1133" w:name="_Toc175063971"/>
      <w:bookmarkStart w:id="1134" w:name="_Toc12801"/>
      <w:bookmarkStart w:id="1135" w:name="_Toc265955067"/>
      <w:bookmarkStart w:id="1136" w:name="_Toc265654012"/>
      <w:bookmarkStart w:id="1137" w:name="_Toc265954768"/>
      <w:bookmarkStart w:id="1138" w:name="_Toc30437"/>
      <w:r>
        <w:rPr>
          <w:rFonts w:hint="eastAsia" w:ascii="宋体" w:hAnsi="宋体" w:cs="宋体"/>
          <w:b/>
          <w:bCs/>
          <w:color w:val="auto"/>
          <w:sz w:val="21"/>
          <w:szCs w:val="21"/>
          <w:highlight w:val="none"/>
        </w:rPr>
        <w:t>19. 缺陷责任与保修责任</w:t>
      </w:r>
      <w:bookmarkEnd w:id="1131"/>
      <w:bookmarkEnd w:id="1132"/>
      <w:bookmarkEnd w:id="1133"/>
      <w:bookmarkEnd w:id="1134"/>
      <w:bookmarkEnd w:id="1135"/>
      <w:bookmarkEnd w:id="1136"/>
      <w:bookmarkEnd w:id="1137"/>
      <w:bookmarkEnd w:id="1138"/>
    </w:p>
    <w:p w14:paraId="2E22F403">
      <w:pPr>
        <w:autoSpaceDE w:val="0"/>
        <w:autoSpaceDN w:val="0"/>
        <w:adjustRightInd w:val="0"/>
        <w:spacing w:line="360" w:lineRule="auto"/>
        <w:outlineLvl w:val="0"/>
        <w:rPr>
          <w:rFonts w:hint="eastAsia" w:ascii="宋体" w:hAnsi="宋体" w:cs="宋体"/>
          <w:b/>
          <w:color w:val="auto"/>
          <w:sz w:val="21"/>
          <w:szCs w:val="21"/>
          <w:highlight w:val="none"/>
        </w:rPr>
      </w:pPr>
      <w:bookmarkStart w:id="1139" w:name="_Toc491246909"/>
      <w:bookmarkStart w:id="1140" w:name="_Toc209499059"/>
      <w:bookmarkStart w:id="1141" w:name="_Toc244121948"/>
      <w:bookmarkStart w:id="1142" w:name="_Toc4196"/>
      <w:bookmarkStart w:id="1143" w:name="_Toc495398766"/>
      <w:bookmarkStart w:id="1144" w:name="_Toc175063972"/>
      <w:bookmarkStart w:id="1145" w:name="_Toc19759"/>
      <w:r>
        <w:rPr>
          <w:rFonts w:hint="eastAsia" w:ascii="宋体" w:hAnsi="宋体" w:cs="宋体"/>
          <w:b/>
          <w:color w:val="auto"/>
          <w:sz w:val="21"/>
          <w:szCs w:val="21"/>
          <w:highlight w:val="none"/>
        </w:rPr>
        <w:t>19.1 缺陷责任期（工程质量保修期）</w:t>
      </w:r>
      <w:bookmarkEnd w:id="1139"/>
      <w:bookmarkEnd w:id="1140"/>
      <w:bookmarkEnd w:id="1141"/>
      <w:r>
        <w:rPr>
          <w:rFonts w:hint="eastAsia" w:ascii="宋体" w:hAnsi="宋体" w:cs="宋体"/>
          <w:b/>
          <w:color w:val="auto"/>
          <w:sz w:val="21"/>
          <w:szCs w:val="21"/>
          <w:highlight w:val="none"/>
        </w:rPr>
        <w:t>的起算时间</w:t>
      </w:r>
      <w:bookmarkEnd w:id="1142"/>
      <w:bookmarkEnd w:id="1143"/>
      <w:bookmarkEnd w:id="1144"/>
      <w:bookmarkEnd w:id="1145"/>
    </w:p>
    <w:p w14:paraId="0DF7D07D">
      <w:pPr>
        <w:autoSpaceDE w:val="0"/>
        <w:autoSpaceDN w:val="0"/>
        <w:adjustRightInd w:val="0"/>
        <w:spacing w:line="360" w:lineRule="auto"/>
        <w:ind w:firstLine="42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本工程缺陷责任期（工程质量保修期）的起算时间：自单位工程竣工验收合格移交之日起算。本工程保修期为一年。工程措施保修期1年，植物措施保修期3年。</w:t>
      </w:r>
    </w:p>
    <w:p w14:paraId="77060421">
      <w:pPr>
        <w:autoSpaceDE w:val="0"/>
        <w:autoSpaceDN w:val="0"/>
        <w:adjustRightInd w:val="0"/>
        <w:spacing w:line="360" w:lineRule="auto"/>
        <w:ind w:firstLine="420" w:firstLineChars="200"/>
        <w:rPr>
          <w:rFonts w:hint="eastAsia" w:ascii="宋体" w:hAnsi="宋体" w:cs="宋体"/>
          <w:color w:val="auto"/>
          <w:sz w:val="21"/>
          <w:szCs w:val="21"/>
          <w:highlight w:val="none"/>
        </w:rPr>
      </w:pPr>
    </w:p>
    <w:p w14:paraId="3CD95316">
      <w:pPr>
        <w:keepNext/>
        <w:keepLines/>
        <w:spacing w:line="360" w:lineRule="auto"/>
        <w:jc w:val="center"/>
        <w:outlineLvl w:val="2"/>
        <w:rPr>
          <w:rFonts w:hint="eastAsia" w:ascii="宋体" w:hAnsi="宋体" w:cs="宋体"/>
          <w:b/>
          <w:bCs/>
          <w:color w:val="auto"/>
          <w:sz w:val="21"/>
          <w:szCs w:val="21"/>
          <w:highlight w:val="none"/>
        </w:rPr>
      </w:pPr>
      <w:bookmarkStart w:id="1146" w:name="_Toc175063973"/>
      <w:bookmarkStart w:id="1147" w:name="_Toc3899384"/>
      <w:bookmarkStart w:id="1148" w:name="_Toc28762"/>
      <w:r>
        <w:rPr>
          <w:rFonts w:hint="eastAsia" w:ascii="宋体" w:hAnsi="宋体" w:cs="宋体"/>
          <w:b/>
          <w:bCs/>
          <w:color w:val="auto"/>
          <w:sz w:val="21"/>
          <w:szCs w:val="21"/>
          <w:highlight w:val="none"/>
        </w:rPr>
        <w:t>20. 保险</w:t>
      </w:r>
      <w:bookmarkEnd w:id="1146"/>
      <w:bookmarkEnd w:id="1147"/>
      <w:bookmarkEnd w:id="1148"/>
    </w:p>
    <w:p w14:paraId="78553873">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20.1 工程保险</w:t>
      </w:r>
    </w:p>
    <w:p w14:paraId="78637C39">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另行约定。</w:t>
      </w:r>
    </w:p>
    <w:p w14:paraId="1BA19F01">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20.2人员工伤事故的保险</w:t>
      </w:r>
    </w:p>
    <w:p w14:paraId="225DAC6D">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另行约定。</w:t>
      </w:r>
    </w:p>
    <w:p w14:paraId="7EAC9AE0">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20.3人身意外伤害险</w:t>
      </w:r>
    </w:p>
    <w:p w14:paraId="3EBE75F1">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另行约定。</w:t>
      </w:r>
    </w:p>
    <w:p w14:paraId="2BBF6E0D">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20.4 第三者责任险</w:t>
      </w:r>
    </w:p>
    <w:p w14:paraId="69EDB7D8">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自行购买。</w:t>
      </w:r>
    </w:p>
    <w:p w14:paraId="5FB2D27A">
      <w:pPr>
        <w:adjustRightInd w:val="0"/>
        <w:snapToGrid w:val="0"/>
        <w:spacing w:line="360" w:lineRule="auto"/>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24.1 争议的解决方式</w:t>
      </w:r>
    </w:p>
    <w:p w14:paraId="6A417992">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本款修改为本合同约定的争议调解机构为：</w:t>
      </w:r>
      <w:r>
        <w:rPr>
          <w:rFonts w:hint="eastAsia" w:ascii="宋体" w:hAnsi="宋体" w:cs="宋体"/>
          <w:color w:val="auto"/>
          <w:sz w:val="21"/>
          <w:szCs w:val="21"/>
          <w:highlight w:val="none"/>
          <w:u w:val="single"/>
        </w:rPr>
        <w:t>工程所在地的人民法院</w:t>
      </w:r>
      <w:r>
        <w:rPr>
          <w:rFonts w:hint="eastAsia" w:ascii="宋体" w:hAnsi="宋体" w:cs="宋体"/>
          <w:color w:val="auto"/>
          <w:sz w:val="21"/>
          <w:szCs w:val="21"/>
          <w:highlight w:val="none"/>
        </w:rPr>
        <w:t>，不再设置专门的争议调解机构。</w:t>
      </w:r>
    </w:p>
    <w:p w14:paraId="6CE1BB6A">
      <w:pPr>
        <w:keepNext/>
        <w:keepLines/>
        <w:spacing w:line="360" w:lineRule="auto"/>
        <w:jc w:val="center"/>
        <w:outlineLvl w:val="1"/>
        <w:rPr>
          <w:rFonts w:hint="eastAsia" w:ascii="宋体" w:hAnsi="宋体" w:cs="宋体"/>
          <w:b/>
          <w:bCs/>
          <w:color w:val="auto"/>
          <w:sz w:val="28"/>
          <w:szCs w:val="28"/>
          <w:highlight w:val="none"/>
        </w:rPr>
      </w:pPr>
      <w:r>
        <w:rPr>
          <w:rFonts w:hint="eastAsia" w:ascii="宋体" w:hAnsi="宋体" w:cs="宋体"/>
          <w:b/>
          <w:bCs/>
          <w:color w:val="auto"/>
          <w:sz w:val="21"/>
          <w:szCs w:val="21"/>
          <w:highlight w:val="none"/>
        </w:rPr>
        <w:br w:type="page"/>
      </w:r>
      <w:bookmarkStart w:id="1149" w:name="_Toc175063974"/>
      <w:bookmarkStart w:id="1150" w:name="_Toc12941"/>
      <w:r>
        <w:rPr>
          <w:rFonts w:hint="eastAsia" w:ascii="宋体" w:hAnsi="宋体" w:cs="宋体"/>
          <w:b/>
          <w:bCs/>
          <w:color w:val="auto"/>
          <w:sz w:val="28"/>
          <w:szCs w:val="28"/>
          <w:highlight w:val="none"/>
        </w:rPr>
        <w:t>第三节、合同附件格式</w:t>
      </w:r>
      <w:bookmarkEnd w:id="1149"/>
      <w:bookmarkEnd w:id="1150"/>
    </w:p>
    <w:p w14:paraId="2ADFC87F">
      <w:pPr>
        <w:keepNext/>
        <w:keepLines/>
        <w:spacing w:line="360" w:lineRule="auto"/>
        <w:jc w:val="center"/>
        <w:outlineLvl w:val="2"/>
        <w:rPr>
          <w:rFonts w:hint="eastAsia" w:ascii="宋体" w:hAnsi="宋体" w:cs="宋体"/>
          <w:bCs/>
          <w:color w:val="auto"/>
          <w:sz w:val="21"/>
          <w:szCs w:val="21"/>
          <w:highlight w:val="none"/>
        </w:rPr>
      </w:pPr>
      <w:bookmarkStart w:id="1151" w:name="_Toc3899386"/>
      <w:bookmarkStart w:id="1152" w:name="_Toc175063975"/>
      <w:bookmarkStart w:id="1153" w:name="_Toc2915"/>
      <w:r>
        <w:rPr>
          <w:rFonts w:hint="eastAsia" w:ascii="宋体" w:hAnsi="宋体" w:cs="宋体"/>
          <w:b/>
          <w:bCs/>
          <w:color w:val="auto"/>
          <w:sz w:val="24"/>
          <w:highlight w:val="none"/>
        </w:rPr>
        <w:t xml:space="preserve">附件-: </w:t>
      </w:r>
      <w:r>
        <w:rPr>
          <w:rFonts w:hint="eastAsia" w:ascii="宋体" w:hAnsi="宋体" w:cs="宋体"/>
          <w:b/>
          <w:bCs/>
          <w:color w:val="auto"/>
          <w:sz w:val="21"/>
          <w:szCs w:val="21"/>
          <w:highlight w:val="none"/>
        </w:rPr>
        <w:t>合同协议书</w:t>
      </w:r>
      <w:bookmarkEnd w:id="1151"/>
      <w:bookmarkEnd w:id="1152"/>
      <w:bookmarkEnd w:id="1153"/>
    </w:p>
    <w:p w14:paraId="661B74B2">
      <w:pPr>
        <w:autoSpaceDE w:val="0"/>
        <w:autoSpaceDN w:val="0"/>
        <w:adjustRightIn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合同协议书</w:t>
      </w:r>
    </w:p>
    <w:p w14:paraId="4658B238">
      <w:pPr>
        <w:autoSpaceDE w:val="0"/>
        <w:autoSpaceDN w:val="0"/>
        <w:adjustRightInd w:val="0"/>
        <w:spacing w:line="360" w:lineRule="auto"/>
        <w:ind w:firstLine="200" w:firstLineChars="100"/>
        <w:rPr>
          <w:rFonts w:hint="eastAsia" w:ascii="宋体" w:hAnsi="宋体" w:cs="宋体"/>
          <w:color w:val="auto"/>
          <w:sz w:val="21"/>
          <w:szCs w:val="22"/>
          <w:highlight w:val="none"/>
        </w:rPr>
      </w:pPr>
      <w:r>
        <w:rPr>
          <w:rFonts w:hint="eastAsia" w:ascii="宋体" w:hAnsi="宋体" w:cs="宋体"/>
          <w:color w:val="auto"/>
          <w:szCs w:val="21"/>
          <w:highlight w:val="none"/>
          <w:u w:val="single"/>
        </w:rPr>
        <w:t xml:space="preserve"> </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发包人名称，以下简称"发包人")为实施</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项目名称），已接受</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承包人名称，以下简称"承包人")对该</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项目名称）</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标段名称）的投标，并确定为中标人。发包人和承包人共同达成如下协议。</w:t>
      </w:r>
    </w:p>
    <w:p w14:paraId="53B9FB37">
      <w:pPr>
        <w:autoSpaceDE w:val="0"/>
        <w:autoSpaceDN w:val="0"/>
        <w:adjustRightInd w:val="0"/>
        <w:spacing w:line="360" w:lineRule="auto"/>
        <w:ind w:firstLine="315" w:firstLineChars="150"/>
        <w:rPr>
          <w:rFonts w:hint="eastAsia" w:ascii="宋体" w:hAnsi="宋体" w:cs="宋体"/>
          <w:color w:val="auto"/>
          <w:sz w:val="21"/>
          <w:szCs w:val="22"/>
          <w:highlight w:val="none"/>
        </w:rPr>
      </w:pPr>
      <w:r>
        <w:rPr>
          <w:rFonts w:hint="eastAsia" w:ascii="宋体" w:hAnsi="宋体" w:cs="宋体"/>
          <w:color w:val="auto"/>
          <w:sz w:val="21"/>
          <w:szCs w:val="22"/>
          <w:highlight w:val="none"/>
        </w:rPr>
        <w:t>1.本协议书与下列文件一起构成合同文件：</w:t>
      </w:r>
    </w:p>
    <w:p w14:paraId="20E743E6">
      <w:pPr>
        <w:autoSpaceDE w:val="0"/>
        <w:autoSpaceDN w:val="0"/>
        <w:adjustRightInd w:val="0"/>
        <w:spacing w:line="360" w:lineRule="auto"/>
        <w:ind w:firstLine="630" w:firstLineChars="300"/>
        <w:rPr>
          <w:rFonts w:hint="eastAsia" w:ascii="宋体" w:hAnsi="宋体" w:cs="宋体"/>
          <w:color w:val="auto"/>
          <w:sz w:val="21"/>
          <w:szCs w:val="22"/>
          <w:highlight w:val="none"/>
        </w:rPr>
      </w:pPr>
      <w:r>
        <w:rPr>
          <w:rFonts w:hint="eastAsia" w:ascii="宋体" w:hAnsi="宋体" w:cs="宋体"/>
          <w:color w:val="auto"/>
          <w:sz w:val="21"/>
          <w:szCs w:val="22"/>
          <w:highlight w:val="none"/>
        </w:rPr>
        <w:t>(1) 中标通知书：</w:t>
      </w:r>
    </w:p>
    <w:p w14:paraId="63249D01">
      <w:pPr>
        <w:autoSpaceDE w:val="0"/>
        <w:autoSpaceDN w:val="0"/>
        <w:adjustRightInd w:val="0"/>
        <w:spacing w:line="360" w:lineRule="auto"/>
        <w:ind w:firstLine="630" w:firstLineChars="300"/>
        <w:rPr>
          <w:rFonts w:hint="eastAsia" w:ascii="宋体" w:hAnsi="宋体" w:cs="宋体"/>
          <w:color w:val="auto"/>
          <w:sz w:val="21"/>
          <w:szCs w:val="22"/>
          <w:highlight w:val="none"/>
        </w:rPr>
      </w:pPr>
      <w:r>
        <w:rPr>
          <w:rFonts w:hint="eastAsia" w:ascii="宋体" w:hAnsi="宋体" w:cs="宋体"/>
          <w:color w:val="auto"/>
          <w:sz w:val="21"/>
          <w:szCs w:val="22"/>
          <w:highlight w:val="none"/>
        </w:rPr>
        <w:t>(2) 投标函；</w:t>
      </w:r>
    </w:p>
    <w:p w14:paraId="0EA81006">
      <w:pPr>
        <w:autoSpaceDE w:val="0"/>
        <w:autoSpaceDN w:val="0"/>
        <w:adjustRightInd w:val="0"/>
        <w:spacing w:line="360" w:lineRule="auto"/>
        <w:ind w:firstLine="630" w:firstLineChars="300"/>
        <w:rPr>
          <w:rFonts w:hint="eastAsia" w:ascii="宋体" w:hAnsi="宋体" w:cs="宋体"/>
          <w:color w:val="auto"/>
          <w:sz w:val="21"/>
          <w:szCs w:val="22"/>
          <w:highlight w:val="none"/>
        </w:rPr>
      </w:pPr>
      <w:r>
        <w:rPr>
          <w:rFonts w:hint="eastAsia" w:ascii="宋体" w:hAnsi="宋体" w:cs="宋体"/>
          <w:color w:val="auto"/>
          <w:sz w:val="21"/>
          <w:szCs w:val="22"/>
          <w:highlight w:val="none"/>
        </w:rPr>
        <w:t>(3) 专用合同条款；</w:t>
      </w:r>
    </w:p>
    <w:p w14:paraId="607B75CB">
      <w:pPr>
        <w:autoSpaceDE w:val="0"/>
        <w:autoSpaceDN w:val="0"/>
        <w:adjustRightInd w:val="0"/>
        <w:spacing w:line="360" w:lineRule="auto"/>
        <w:ind w:firstLine="630" w:firstLineChars="300"/>
        <w:rPr>
          <w:rFonts w:hint="eastAsia" w:ascii="宋体" w:hAnsi="宋体" w:cs="宋体"/>
          <w:color w:val="auto"/>
          <w:sz w:val="21"/>
          <w:szCs w:val="22"/>
          <w:highlight w:val="none"/>
        </w:rPr>
      </w:pPr>
      <w:r>
        <w:rPr>
          <w:rFonts w:hint="eastAsia" w:ascii="宋体" w:hAnsi="宋体" w:cs="宋体"/>
          <w:color w:val="auto"/>
          <w:sz w:val="21"/>
          <w:szCs w:val="22"/>
          <w:highlight w:val="none"/>
        </w:rPr>
        <w:t>(4) 通用合同条款；</w:t>
      </w:r>
    </w:p>
    <w:p w14:paraId="7B62CEC0">
      <w:pPr>
        <w:autoSpaceDE w:val="0"/>
        <w:autoSpaceDN w:val="0"/>
        <w:adjustRightInd w:val="0"/>
        <w:spacing w:line="360" w:lineRule="auto"/>
        <w:ind w:firstLine="630" w:firstLineChars="300"/>
        <w:rPr>
          <w:rFonts w:hint="eastAsia" w:ascii="宋体" w:hAnsi="宋体" w:cs="宋体"/>
          <w:color w:val="auto"/>
          <w:sz w:val="21"/>
          <w:szCs w:val="22"/>
          <w:highlight w:val="none"/>
        </w:rPr>
      </w:pPr>
      <w:r>
        <w:rPr>
          <w:rFonts w:hint="eastAsia" w:ascii="宋体" w:hAnsi="宋体" w:cs="宋体"/>
          <w:color w:val="auto"/>
          <w:sz w:val="21"/>
          <w:szCs w:val="22"/>
          <w:highlight w:val="none"/>
        </w:rPr>
        <w:t>(5) 技术标准和要求；</w:t>
      </w:r>
    </w:p>
    <w:p w14:paraId="18A28C12">
      <w:pPr>
        <w:autoSpaceDE w:val="0"/>
        <w:autoSpaceDN w:val="0"/>
        <w:adjustRightInd w:val="0"/>
        <w:spacing w:line="360" w:lineRule="auto"/>
        <w:ind w:firstLine="630" w:firstLineChars="300"/>
        <w:rPr>
          <w:rFonts w:hint="eastAsia" w:ascii="宋体" w:hAnsi="宋体" w:cs="宋体"/>
          <w:color w:val="auto"/>
          <w:sz w:val="21"/>
          <w:szCs w:val="22"/>
          <w:highlight w:val="none"/>
        </w:rPr>
      </w:pPr>
      <w:r>
        <w:rPr>
          <w:rFonts w:hint="eastAsia" w:ascii="宋体" w:hAnsi="宋体" w:cs="宋体"/>
          <w:color w:val="auto"/>
          <w:sz w:val="21"/>
          <w:szCs w:val="22"/>
          <w:highlight w:val="none"/>
        </w:rPr>
        <w:t>(6) 图纸；</w:t>
      </w:r>
    </w:p>
    <w:p w14:paraId="2EE44CCE">
      <w:pPr>
        <w:autoSpaceDE w:val="0"/>
        <w:autoSpaceDN w:val="0"/>
        <w:adjustRightInd w:val="0"/>
        <w:spacing w:line="360" w:lineRule="auto"/>
        <w:ind w:firstLine="630" w:firstLineChars="300"/>
        <w:rPr>
          <w:rFonts w:hint="eastAsia" w:ascii="宋体" w:hAnsi="宋体" w:cs="宋体"/>
          <w:color w:val="auto"/>
          <w:sz w:val="21"/>
          <w:szCs w:val="22"/>
          <w:highlight w:val="none"/>
        </w:rPr>
      </w:pPr>
      <w:r>
        <w:rPr>
          <w:rFonts w:hint="eastAsia" w:ascii="宋体" w:hAnsi="宋体" w:cs="宋体"/>
          <w:color w:val="auto"/>
          <w:sz w:val="21"/>
          <w:szCs w:val="22"/>
          <w:highlight w:val="none"/>
        </w:rPr>
        <w:t>(7) 已标价工程量清单；</w:t>
      </w:r>
    </w:p>
    <w:p w14:paraId="07635281">
      <w:pPr>
        <w:autoSpaceDE w:val="0"/>
        <w:autoSpaceDN w:val="0"/>
        <w:adjustRightInd w:val="0"/>
        <w:spacing w:line="360" w:lineRule="auto"/>
        <w:ind w:firstLine="630" w:firstLineChars="300"/>
        <w:rPr>
          <w:rFonts w:hint="eastAsia" w:ascii="宋体" w:hAnsi="宋体" w:cs="宋体"/>
          <w:color w:val="auto"/>
          <w:sz w:val="21"/>
          <w:szCs w:val="22"/>
          <w:highlight w:val="none"/>
        </w:rPr>
      </w:pPr>
      <w:r>
        <w:rPr>
          <w:rFonts w:hint="eastAsia" w:ascii="宋体" w:hAnsi="宋体" w:cs="宋体"/>
          <w:color w:val="auto"/>
          <w:sz w:val="21"/>
          <w:szCs w:val="22"/>
          <w:highlight w:val="none"/>
        </w:rPr>
        <w:t>(8) 其他合同文件。</w:t>
      </w:r>
    </w:p>
    <w:p w14:paraId="0860E646">
      <w:pPr>
        <w:autoSpaceDE w:val="0"/>
        <w:autoSpaceDN w:val="0"/>
        <w:adjustRightInd w:val="0"/>
        <w:spacing w:line="360" w:lineRule="auto"/>
        <w:ind w:firstLine="315" w:firstLineChars="150"/>
        <w:rPr>
          <w:rFonts w:hint="eastAsia" w:ascii="宋体" w:hAnsi="宋体" w:cs="宋体"/>
          <w:color w:val="auto"/>
          <w:sz w:val="21"/>
          <w:szCs w:val="22"/>
          <w:highlight w:val="none"/>
        </w:rPr>
      </w:pPr>
      <w:r>
        <w:rPr>
          <w:rFonts w:hint="eastAsia" w:ascii="宋体" w:hAnsi="宋体" w:cs="宋体"/>
          <w:color w:val="auto"/>
          <w:sz w:val="21"/>
          <w:szCs w:val="22"/>
          <w:highlight w:val="none"/>
        </w:rPr>
        <w:t>2. 上述文件互相补充和解释，如有不明确或不一致之处，以合同约定次序在先者为准。</w:t>
      </w:r>
    </w:p>
    <w:p w14:paraId="086EC2E1">
      <w:pPr>
        <w:autoSpaceDE w:val="0"/>
        <w:autoSpaceDN w:val="0"/>
        <w:adjustRightInd w:val="0"/>
        <w:spacing w:line="360" w:lineRule="auto"/>
        <w:ind w:firstLine="315" w:firstLineChars="150"/>
        <w:rPr>
          <w:rFonts w:hint="eastAsia" w:ascii="宋体" w:hAnsi="宋体" w:cs="宋体"/>
          <w:color w:val="auto"/>
          <w:sz w:val="21"/>
          <w:szCs w:val="22"/>
          <w:highlight w:val="none"/>
        </w:rPr>
      </w:pPr>
      <w:r>
        <w:rPr>
          <w:rFonts w:hint="eastAsia" w:ascii="宋体" w:hAnsi="宋体" w:cs="宋体"/>
          <w:color w:val="auto"/>
          <w:sz w:val="21"/>
          <w:szCs w:val="22"/>
          <w:highlight w:val="none"/>
        </w:rPr>
        <w:t>3. 签约合同价：人民币（大写）</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元（￥</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 xml:space="preserve"> 元）。</w:t>
      </w:r>
    </w:p>
    <w:p w14:paraId="1C36F51A">
      <w:pPr>
        <w:autoSpaceDE w:val="0"/>
        <w:autoSpaceDN w:val="0"/>
        <w:adjustRightInd w:val="0"/>
        <w:spacing w:line="360" w:lineRule="auto"/>
        <w:ind w:firstLine="315" w:firstLineChars="150"/>
        <w:rPr>
          <w:rFonts w:hint="eastAsia" w:ascii="宋体" w:hAnsi="宋体" w:cs="宋体"/>
          <w:color w:val="auto"/>
          <w:sz w:val="21"/>
          <w:szCs w:val="22"/>
          <w:highlight w:val="none"/>
        </w:rPr>
      </w:pPr>
      <w:r>
        <w:rPr>
          <w:rFonts w:hint="eastAsia" w:ascii="宋体" w:hAnsi="宋体" w:cs="宋体"/>
          <w:color w:val="auto"/>
          <w:sz w:val="21"/>
          <w:szCs w:val="22"/>
          <w:highlight w:val="none"/>
        </w:rPr>
        <w:t>4. 承包人项目经理：</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w:t>
      </w:r>
    </w:p>
    <w:p w14:paraId="0365A53D">
      <w:pPr>
        <w:autoSpaceDE w:val="0"/>
        <w:autoSpaceDN w:val="0"/>
        <w:adjustRightInd w:val="0"/>
        <w:spacing w:line="360" w:lineRule="auto"/>
        <w:ind w:firstLine="315" w:firstLineChars="150"/>
        <w:rPr>
          <w:rFonts w:hint="eastAsia" w:ascii="宋体" w:hAnsi="宋体" w:cs="宋体"/>
          <w:color w:val="auto"/>
          <w:sz w:val="21"/>
          <w:szCs w:val="22"/>
          <w:highlight w:val="none"/>
        </w:rPr>
      </w:pPr>
      <w:r>
        <w:rPr>
          <w:rFonts w:hint="eastAsia" w:ascii="宋体" w:hAnsi="宋体" w:cs="宋体"/>
          <w:color w:val="auto"/>
          <w:sz w:val="21"/>
          <w:szCs w:val="22"/>
          <w:highlight w:val="none"/>
        </w:rPr>
        <w:t>5. 工程质量符合</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标准。</w:t>
      </w:r>
    </w:p>
    <w:p w14:paraId="6D80D0E0">
      <w:pPr>
        <w:autoSpaceDE w:val="0"/>
        <w:autoSpaceDN w:val="0"/>
        <w:adjustRightInd w:val="0"/>
        <w:spacing w:line="360" w:lineRule="auto"/>
        <w:ind w:firstLine="315" w:firstLineChars="150"/>
        <w:rPr>
          <w:rFonts w:hint="eastAsia" w:ascii="宋体" w:hAnsi="宋体" w:cs="宋体"/>
          <w:color w:val="auto"/>
          <w:sz w:val="21"/>
          <w:szCs w:val="22"/>
          <w:highlight w:val="none"/>
        </w:rPr>
      </w:pPr>
      <w:r>
        <w:rPr>
          <w:rFonts w:hint="eastAsia" w:ascii="宋体" w:hAnsi="宋体" w:cs="宋体"/>
          <w:color w:val="auto"/>
          <w:sz w:val="21"/>
          <w:szCs w:val="22"/>
          <w:highlight w:val="none"/>
        </w:rPr>
        <w:t>6. 承包人承诺按合同约定承担工程的实施、完成及缺陷修复。</w:t>
      </w:r>
    </w:p>
    <w:p w14:paraId="01DA18AA">
      <w:pPr>
        <w:autoSpaceDE w:val="0"/>
        <w:autoSpaceDN w:val="0"/>
        <w:adjustRightInd w:val="0"/>
        <w:spacing w:line="360" w:lineRule="auto"/>
        <w:ind w:firstLine="315" w:firstLineChars="150"/>
        <w:rPr>
          <w:rFonts w:hint="eastAsia" w:ascii="宋体" w:hAnsi="宋体" w:cs="宋体"/>
          <w:color w:val="auto"/>
          <w:sz w:val="21"/>
          <w:szCs w:val="22"/>
          <w:highlight w:val="none"/>
        </w:rPr>
      </w:pPr>
      <w:r>
        <w:rPr>
          <w:rFonts w:hint="eastAsia" w:ascii="宋体" w:hAnsi="宋体" w:cs="宋体"/>
          <w:color w:val="auto"/>
          <w:sz w:val="21"/>
          <w:szCs w:val="22"/>
          <w:highlight w:val="none"/>
        </w:rPr>
        <w:t>7. 发包人承诺按合同约定的条件、时间和方式向承包人支付合同价款</w:t>
      </w:r>
    </w:p>
    <w:p w14:paraId="26F0EBD4">
      <w:pPr>
        <w:autoSpaceDE w:val="0"/>
        <w:autoSpaceDN w:val="0"/>
        <w:adjustRightInd w:val="0"/>
        <w:spacing w:line="360" w:lineRule="auto"/>
        <w:ind w:firstLine="315" w:firstLineChars="150"/>
        <w:rPr>
          <w:rFonts w:hint="eastAsia" w:ascii="宋体" w:hAnsi="宋体" w:cs="宋体"/>
          <w:color w:val="auto"/>
          <w:sz w:val="21"/>
          <w:szCs w:val="22"/>
          <w:highlight w:val="none"/>
        </w:rPr>
      </w:pPr>
      <w:r>
        <w:rPr>
          <w:rFonts w:hint="eastAsia" w:ascii="宋体" w:hAnsi="宋体" w:cs="宋体"/>
          <w:color w:val="auto"/>
          <w:sz w:val="21"/>
          <w:szCs w:val="22"/>
          <w:highlight w:val="none"/>
        </w:rPr>
        <w:t>8. 承包人应按照监理人指示开工，工期为</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日历天。</w:t>
      </w:r>
    </w:p>
    <w:p w14:paraId="0393F518">
      <w:pPr>
        <w:autoSpaceDE w:val="0"/>
        <w:autoSpaceDN w:val="0"/>
        <w:adjustRightInd w:val="0"/>
        <w:spacing w:line="360" w:lineRule="auto"/>
        <w:ind w:firstLine="315" w:firstLineChars="150"/>
        <w:rPr>
          <w:rFonts w:hint="eastAsia" w:ascii="宋体" w:hAnsi="宋体" w:cs="宋体"/>
          <w:color w:val="auto"/>
          <w:sz w:val="21"/>
          <w:szCs w:val="22"/>
          <w:highlight w:val="none"/>
        </w:rPr>
      </w:pPr>
      <w:r>
        <w:rPr>
          <w:rFonts w:hint="eastAsia" w:ascii="宋体" w:hAnsi="宋体" w:cs="宋体"/>
          <w:color w:val="auto"/>
          <w:sz w:val="21"/>
          <w:szCs w:val="22"/>
          <w:highlight w:val="none"/>
        </w:rPr>
        <w:t>9. 本协议书一式</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份，合同双方各执一份。</w:t>
      </w:r>
    </w:p>
    <w:p w14:paraId="5E2E525D">
      <w:pPr>
        <w:autoSpaceDE w:val="0"/>
        <w:autoSpaceDN w:val="0"/>
        <w:adjustRightInd w:val="0"/>
        <w:spacing w:line="360" w:lineRule="auto"/>
        <w:ind w:firstLine="315" w:firstLineChars="150"/>
        <w:rPr>
          <w:rFonts w:hint="eastAsia" w:ascii="宋体" w:hAnsi="宋体" w:cs="宋体"/>
          <w:color w:val="auto"/>
          <w:sz w:val="21"/>
          <w:szCs w:val="22"/>
          <w:highlight w:val="none"/>
        </w:rPr>
      </w:pPr>
      <w:r>
        <w:rPr>
          <w:rFonts w:hint="eastAsia" w:ascii="宋体" w:hAnsi="宋体" w:cs="宋体"/>
          <w:color w:val="auto"/>
          <w:sz w:val="21"/>
          <w:szCs w:val="22"/>
          <w:highlight w:val="none"/>
        </w:rPr>
        <w:t>10. 合同未尽事宜，双方另行签订补充协议。补充协议是合同的组成部分。</w:t>
      </w:r>
    </w:p>
    <w:p w14:paraId="321A9FEA">
      <w:pPr>
        <w:autoSpaceDE w:val="0"/>
        <w:autoSpaceDN w:val="0"/>
        <w:adjustRightInd w:val="0"/>
        <w:spacing w:line="360" w:lineRule="auto"/>
        <w:rPr>
          <w:rFonts w:hint="eastAsia" w:ascii="宋体" w:hAnsi="宋体" w:cs="宋体"/>
          <w:color w:val="auto"/>
          <w:sz w:val="21"/>
          <w:szCs w:val="22"/>
          <w:highlight w:val="none"/>
        </w:rPr>
      </w:pPr>
    </w:p>
    <w:p w14:paraId="42759D96">
      <w:pPr>
        <w:autoSpaceDE w:val="0"/>
        <w:autoSpaceDN w:val="0"/>
        <w:adjustRightInd w:val="0"/>
        <w:spacing w:line="360" w:lineRule="auto"/>
        <w:rPr>
          <w:rFonts w:hint="eastAsia" w:ascii="宋体" w:hAnsi="宋体" w:cs="宋体"/>
          <w:color w:val="auto"/>
          <w:sz w:val="21"/>
          <w:szCs w:val="22"/>
          <w:highlight w:val="none"/>
        </w:rPr>
      </w:pPr>
      <w:r>
        <w:rPr>
          <w:rFonts w:hint="eastAsia" w:ascii="宋体" w:hAnsi="宋体" w:cs="宋体"/>
          <w:color w:val="auto"/>
          <w:sz w:val="21"/>
          <w:szCs w:val="22"/>
          <w:highlight w:val="none"/>
        </w:rPr>
        <w:t>发包人：</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 xml:space="preserve"> （盖单位章）        承包人：</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盖单位章）</w:t>
      </w:r>
    </w:p>
    <w:p w14:paraId="352B6B92">
      <w:pPr>
        <w:autoSpaceDE w:val="0"/>
        <w:autoSpaceDN w:val="0"/>
        <w:adjustRightInd w:val="0"/>
        <w:spacing w:line="360" w:lineRule="auto"/>
        <w:rPr>
          <w:rFonts w:hint="eastAsia" w:ascii="宋体" w:hAnsi="宋体" w:cs="宋体"/>
          <w:color w:val="auto"/>
          <w:sz w:val="21"/>
          <w:szCs w:val="22"/>
          <w:highlight w:val="none"/>
        </w:rPr>
      </w:pPr>
      <w:r>
        <w:rPr>
          <w:rFonts w:hint="eastAsia" w:ascii="宋体" w:hAnsi="宋体" w:cs="宋体"/>
          <w:color w:val="auto"/>
          <w:sz w:val="21"/>
          <w:szCs w:val="22"/>
          <w:highlight w:val="none"/>
        </w:rPr>
        <w:t>法定代表人或其委托代理人：</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签字）法定代表人或其委托代理人：</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签字）</w:t>
      </w:r>
    </w:p>
    <w:p w14:paraId="5DCA7EFA">
      <w:pPr>
        <w:autoSpaceDE w:val="0"/>
        <w:autoSpaceDN w:val="0"/>
        <w:adjustRightInd w:val="0"/>
        <w:spacing w:line="360" w:lineRule="auto"/>
        <w:rPr>
          <w:rFonts w:hint="eastAsia" w:ascii="宋体" w:hAnsi="宋体" w:cs="宋体"/>
          <w:color w:val="auto"/>
          <w:sz w:val="21"/>
          <w:szCs w:val="22"/>
          <w:highlight w:val="none"/>
        </w:rPr>
      </w:pP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年</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月</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 xml:space="preserve">日                   </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年</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月</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rPr>
        <w:t>日</w:t>
      </w:r>
    </w:p>
    <w:p w14:paraId="3C762CD7">
      <w:pPr>
        <w:keepNext/>
        <w:keepLines/>
        <w:spacing w:line="360" w:lineRule="auto"/>
        <w:jc w:val="center"/>
        <w:outlineLvl w:val="2"/>
        <w:rPr>
          <w:rFonts w:hint="eastAsia" w:ascii="宋体" w:hAnsi="宋体" w:cs="宋体"/>
          <w:bCs/>
          <w:color w:val="auto"/>
          <w:sz w:val="24"/>
          <w:highlight w:val="none"/>
        </w:rPr>
      </w:pPr>
      <w:bookmarkStart w:id="1154" w:name="_Toc3899387"/>
      <w:bookmarkStart w:id="1155" w:name="_Toc175063976"/>
      <w:bookmarkStart w:id="1156" w:name="_Toc4482"/>
      <w:r>
        <w:rPr>
          <w:rFonts w:hint="eastAsia" w:ascii="宋体" w:hAnsi="宋体" w:cs="宋体"/>
          <w:b/>
          <w:bCs/>
          <w:color w:val="auto"/>
          <w:sz w:val="24"/>
          <w:highlight w:val="none"/>
        </w:rPr>
        <w:t>附件二：履约担保格式</w:t>
      </w:r>
      <w:bookmarkEnd w:id="1154"/>
      <w:bookmarkEnd w:id="1155"/>
      <w:bookmarkEnd w:id="1156"/>
    </w:p>
    <w:p w14:paraId="1CA2FCCA">
      <w:pPr>
        <w:autoSpaceDE w:val="0"/>
        <w:autoSpaceDN w:val="0"/>
        <w:adjustRightIn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履约担保</w:t>
      </w:r>
    </w:p>
    <w:p w14:paraId="33C88C34">
      <w:pPr>
        <w:autoSpaceDE w:val="0"/>
        <w:autoSpaceDN w:val="0"/>
        <w:adjustRightIn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发包人名称）: </w:t>
      </w:r>
    </w:p>
    <w:p w14:paraId="2FB770EC">
      <w:pPr>
        <w:autoSpaceDE w:val="0"/>
        <w:autoSpaceDN w:val="0"/>
        <w:adjustRightInd w:val="0"/>
        <w:spacing w:line="360" w:lineRule="auto"/>
        <w:rPr>
          <w:rFonts w:hint="eastAsia" w:ascii="宋体" w:hAnsi="宋体" w:cs="宋体"/>
          <w:color w:val="auto"/>
          <w:sz w:val="21"/>
          <w:szCs w:val="21"/>
          <w:highlight w:val="none"/>
        </w:rPr>
      </w:pPr>
    </w:p>
    <w:p w14:paraId="2B73D2E5">
      <w:pPr>
        <w:autoSpaceDE w:val="0"/>
        <w:autoSpaceDN w:val="0"/>
        <w:adjustRightIn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鉴于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发包人名称，以下简称"发包人")接受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承包人名称） （以下称"承包人")于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日参加</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标段施工的投标。我方愿意无条件地、不可撤销地就承包人履行与你方订立的合同，向你方提供担保。</w:t>
      </w:r>
    </w:p>
    <w:p w14:paraId="156E67C5">
      <w:pPr>
        <w:autoSpaceDE w:val="0"/>
        <w:autoSpaceDN w:val="0"/>
        <w:adjustRightIn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 担保金额人民币（大写）             元（￥           元）。</w:t>
      </w:r>
    </w:p>
    <w:p w14:paraId="478FBC78">
      <w:pPr>
        <w:autoSpaceDE w:val="0"/>
        <w:autoSpaceDN w:val="0"/>
        <w:adjustRightIn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 担保有效期自发包人与承包人签订的合同生效之日起至发包人签发工程接收证书之日止。</w:t>
      </w:r>
    </w:p>
    <w:p w14:paraId="703E2181">
      <w:pPr>
        <w:autoSpaceDE w:val="0"/>
        <w:autoSpaceDN w:val="0"/>
        <w:adjustRightIn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 在本担保有效期内，因承包人违反合同约定的义务给你方造成经济损失时，我方在收到你方以书面形式提出的在担保金额内的赔偿要求后，在7 天内无条件支付。</w:t>
      </w:r>
    </w:p>
    <w:p w14:paraId="1A9850DF">
      <w:pPr>
        <w:autoSpaceDE w:val="0"/>
        <w:autoSpaceDN w:val="0"/>
        <w:adjustRightIn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4. 发包人和承包人按《通用合同条款》第15 条变更合同时，我方承担本担保规定的义务不变。</w:t>
      </w:r>
    </w:p>
    <w:p w14:paraId="606329FD">
      <w:pPr>
        <w:autoSpaceDE w:val="0"/>
        <w:autoSpaceDN w:val="0"/>
        <w:adjustRightInd w:val="0"/>
        <w:spacing w:line="360" w:lineRule="auto"/>
        <w:rPr>
          <w:rFonts w:hint="eastAsia" w:ascii="宋体" w:hAnsi="宋体" w:cs="宋体"/>
          <w:color w:val="auto"/>
          <w:sz w:val="21"/>
          <w:szCs w:val="21"/>
          <w:highlight w:val="none"/>
        </w:rPr>
      </w:pPr>
    </w:p>
    <w:p w14:paraId="574ECAD7">
      <w:pPr>
        <w:autoSpaceDE w:val="0"/>
        <w:autoSpaceDN w:val="0"/>
        <w:adjustRightInd w:val="0"/>
        <w:spacing w:line="360" w:lineRule="auto"/>
        <w:rPr>
          <w:rFonts w:hint="eastAsia" w:ascii="宋体" w:hAnsi="宋体" w:cs="宋体"/>
          <w:color w:val="auto"/>
          <w:sz w:val="21"/>
          <w:szCs w:val="21"/>
          <w:highlight w:val="none"/>
        </w:rPr>
      </w:pPr>
    </w:p>
    <w:p w14:paraId="04C88495">
      <w:pPr>
        <w:autoSpaceDE w:val="0"/>
        <w:autoSpaceDN w:val="0"/>
        <w:adjustRightIn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担保人：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盖单位章）</w:t>
      </w:r>
    </w:p>
    <w:p w14:paraId="1B92FFE1">
      <w:pPr>
        <w:autoSpaceDE w:val="0"/>
        <w:autoSpaceDN w:val="0"/>
        <w:adjustRightInd w:val="0"/>
        <w:spacing w:line="360" w:lineRule="auto"/>
        <w:ind w:firstLine="3780" w:firstLineChars="1800"/>
        <w:rPr>
          <w:rFonts w:hint="eastAsia" w:ascii="宋体" w:hAnsi="宋体" w:cs="宋体"/>
          <w:color w:val="auto"/>
          <w:sz w:val="21"/>
          <w:szCs w:val="21"/>
          <w:highlight w:val="none"/>
        </w:rPr>
      </w:pPr>
    </w:p>
    <w:p w14:paraId="716F139B">
      <w:pPr>
        <w:autoSpaceDE w:val="0"/>
        <w:autoSpaceDN w:val="0"/>
        <w:adjustRightIn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（签字）</w:t>
      </w:r>
    </w:p>
    <w:p w14:paraId="4D501C57">
      <w:pPr>
        <w:autoSpaceDE w:val="0"/>
        <w:autoSpaceDN w:val="0"/>
        <w:adjustRightInd w:val="0"/>
        <w:spacing w:line="360" w:lineRule="auto"/>
        <w:ind w:firstLine="3675" w:firstLineChars="1750"/>
        <w:rPr>
          <w:rFonts w:hint="eastAsia" w:ascii="宋体" w:hAnsi="宋体" w:cs="宋体"/>
          <w:color w:val="auto"/>
          <w:sz w:val="21"/>
          <w:szCs w:val="21"/>
          <w:highlight w:val="none"/>
        </w:rPr>
      </w:pPr>
    </w:p>
    <w:p w14:paraId="155C1957">
      <w:pPr>
        <w:autoSpaceDE w:val="0"/>
        <w:autoSpaceDN w:val="0"/>
        <w:adjustRightInd w:val="0"/>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p>
    <w:p w14:paraId="0944C905">
      <w:pPr>
        <w:autoSpaceDE w:val="0"/>
        <w:autoSpaceDN w:val="0"/>
        <w:adjustRightInd w:val="0"/>
        <w:spacing w:line="360" w:lineRule="auto"/>
        <w:ind w:firstLine="3675" w:firstLineChars="1750"/>
        <w:rPr>
          <w:rFonts w:hint="eastAsia" w:ascii="宋体" w:hAnsi="宋体" w:cs="宋体"/>
          <w:color w:val="auto"/>
          <w:sz w:val="21"/>
          <w:szCs w:val="21"/>
          <w:highlight w:val="none"/>
          <w:u w:val="single"/>
        </w:rPr>
      </w:pPr>
    </w:p>
    <w:p w14:paraId="2EE070F3">
      <w:pPr>
        <w:autoSpaceDE w:val="0"/>
        <w:autoSpaceDN w:val="0"/>
        <w:adjustRightInd w:val="0"/>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邮政编码：</w:t>
      </w:r>
      <w:r>
        <w:rPr>
          <w:rFonts w:hint="eastAsia" w:ascii="宋体" w:hAnsi="宋体" w:cs="宋体"/>
          <w:color w:val="auto"/>
          <w:sz w:val="21"/>
          <w:szCs w:val="21"/>
          <w:highlight w:val="none"/>
          <w:u w:val="single"/>
        </w:rPr>
        <w:t xml:space="preserve">                                  </w:t>
      </w:r>
    </w:p>
    <w:p w14:paraId="7359F397">
      <w:pPr>
        <w:autoSpaceDE w:val="0"/>
        <w:autoSpaceDN w:val="0"/>
        <w:adjustRightInd w:val="0"/>
        <w:spacing w:line="360" w:lineRule="auto"/>
        <w:ind w:firstLine="3675" w:firstLineChars="1750"/>
        <w:rPr>
          <w:rFonts w:hint="eastAsia" w:ascii="宋体" w:hAnsi="宋体" w:cs="宋体"/>
          <w:color w:val="auto"/>
          <w:sz w:val="21"/>
          <w:szCs w:val="21"/>
          <w:highlight w:val="none"/>
          <w:u w:val="single"/>
        </w:rPr>
      </w:pPr>
    </w:p>
    <w:p w14:paraId="5CE2D579">
      <w:pPr>
        <w:autoSpaceDE w:val="0"/>
        <w:autoSpaceDN w:val="0"/>
        <w:adjustRightInd w:val="0"/>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电话：</w:t>
      </w:r>
      <w:r>
        <w:rPr>
          <w:rFonts w:hint="eastAsia" w:ascii="宋体" w:hAnsi="宋体" w:cs="宋体"/>
          <w:color w:val="auto"/>
          <w:sz w:val="21"/>
          <w:szCs w:val="21"/>
          <w:highlight w:val="none"/>
          <w:u w:val="single"/>
        </w:rPr>
        <w:t xml:space="preserve">                                     </w:t>
      </w:r>
    </w:p>
    <w:p w14:paraId="05247946">
      <w:pPr>
        <w:autoSpaceDE w:val="0"/>
        <w:autoSpaceDN w:val="0"/>
        <w:adjustRightInd w:val="0"/>
        <w:spacing w:line="360" w:lineRule="auto"/>
        <w:ind w:firstLine="105" w:firstLineChars="50"/>
        <w:rPr>
          <w:rFonts w:hint="eastAsia" w:ascii="宋体" w:hAnsi="宋体" w:cs="宋体"/>
          <w:color w:val="auto"/>
          <w:sz w:val="21"/>
          <w:szCs w:val="21"/>
          <w:highlight w:val="none"/>
          <w:u w:val="single"/>
        </w:rPr>
      </w:pPr>
    </w:p>
    <w:p w14:paraId="634D1EA3">
      <w:pPr>
        <w:autoSpaceDE w:val="0"/>
        <w:autoSpaceDN w:val="0"/>
        <w:adjustRightInd w:val="0"/>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传真：</w:t>
      </w:r>
      <w:r>
        <w:rPr>
          <w:rFonts w:hint="eastAsia" w:ascii="宋体" w:hAnsi="宋体" w:cs="宋体"/>
          <w:color w:val="auto"/>
          <w:sz w:val="21"/>
          <w:szCs w:val="21"/>
          <w:highlight w:val="none"/>
          <w:u w:val="single"/>
        </w:rPr>
        <w:t xml:space="preserve">                                     </w:t>
      </w:r>
    </w:p>
    <w:p w14:paraId="209D3380">
      <w:pPr>
        <w:autoSpaceDE w:val="0"/>
        <w:autoSpaceDN w:val="0"/>
        <w:adjustRightInd w:val="0"/>
        <w:spacing w:line="360" w:lineRule="auto"/>
        <w:ind w:firstLine="105" w:firstLineChars="50"/>
        <w:rPr>
          <w:rFonts w:hint="eastAsia" w:ascii="宋体" w:hAnsi="宋体" w:cs="宋体"/>
          <w:color w:val="auto"/>
          <w:sz w:val="21"/>
          <w:szCs w:val="21"/>
          <w:highlight w:val="none"/>
          <w:u w:val="single"/>
        </w:rPr>
      </w:pPr>
    </w:p>
    <w:p w14:paraId="49CD78A3">
      <w:pPr>
        <w:autoSpaceDE w:val="0"/>
        <w:autoSpaceDN w:val="0"/>
        <w:adjustRightIn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6A99D57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2A9EFE50">
      <w:pPr>
        <w:autoSpaceDE w:val="0"/>
        <w:autoSpaceDN w:val="0"/>
        <w:adjustRightInd w:val="0"/>
        <w:spacing w:line="360" w:lineRule="auto"/>
        <w:rPr>
          <w:rFonts w:hint="eastAsia" w:ascii="宋体" w:hAnsi="宋体" w:cs="宋体"/>
          <w:color w:val="auto"/>
          <w:szCs w:val="21"/>
          <w:highlight w:val="none"/>
        </w:rPr>
      </w:pPr>
    </w:p>
    <w:p w14:paraId="308F12DD">
      <w:pPr>
        <w:keepNext/>
        <w:keepLines/>
        <w:spacing w:line="360" w:lineRule="auto"/>
        <w:jc w:val="center"/>
        <w:outlineLvl w:val="2"/>
        <w:rPr>
          <w:rFonts w:hint="eastAsia" w:ascii="宋体" w:hAnsi="宋体" w:cs="宋体"/>
          <w:bCs/>
          <w:color w:val="auto"/>
          <w:sz w:val="24"/>
          <w:highlight w:val="none"/>
        </w:rPr>
      </w:pPr>
      <w:bookmarkStart w:id="1157" w:name="_Toc175063977"/>
      <w:bookmarkStart w:id="1158" w:name="_Toc16493"/>
      <w:bookmarkStart w:id="1159" w:name="_Toc3899388"/>
      <w:r>
        <w:rPr>
          <w:rFonts w:hint="eastAsia" w:ascii="宋体" w:hAnsi="宋体" w:cs="宋体"/>
          <w:b/>
          <w:bCs/>
          <w:color w:val="auto"/>
          <w:sz w:val="24"/>
          <w:highlight w:val="none"/>
        </w:rPr>
        <w:t>附件三：预付款担保格式</w:t>
      </w:r>
      <w:bookmarkEnd w:id="1157"/>
      <w:bookmarkEnd w:id="1158"/>
      <w:bookmarkEnd w:id="1159"/>
    </w:p>
    <w:p w14:paraId="7BD36CEB">
      <w:pPr>
        <w:autoSpaceDE w:val="0"/>
        <w:autoSpaceDN w:val="0"/>
        <w:adjustRightIn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预付款担保函</w:t>
      </w:r>
    </w:p>
    <w:p w14:paraId="79065BE5">
      <w:pPr>
        <w:autoSpaceDE w:val="0"/>
        <w:autoSpaceDN w:val="0"/>
        <w:adjustRightInd w:val="0"/>
        <w:spacing w:line="360" w:lineRule="auto"/>
        <w:jc w:val="center"/>
        <w:rPr>
          <w:rFonts w:hint="eastAsia" w:ascii="宋体" w:hAnsi="宋体" w:cs="宋体"/>
          <w:b/>
          <w:color w:val="auto"/>
          <w:szCs w:val="21"/>
          <w:highlight w:val="none"/>
        </w:rPr>
      </w:pPr>
    </w:p>
    <w:p w14:paraId="04004905">
      <w:pPr>
        <w:autoSpaceDE w:val="0"/>
        <w:autoSpaceDN w:val="0"/>
        <w:adjustRightInd w:val="0"/>
        <w:spacing w:line="360" w:lineRule="auto"/>
        <w:ind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发包人名称）:</w:t>
      </w:r>
    </w:p>
    <w:p w14:paraId="19FDFCCA">
      <w:pPr>
        <w:autoSpaceDE w:val="0"/>
        <w:autoSpaceDN w:val="0"/>
        <w:adjustRightInd w:val="0"/>
        <w:spacing w:line="360" w:lineRule="auto"/>
        <w:ind w:firstLine="105" w:firstLineChars="50"/>
        <w:rPr>
          <w:rFonts w:hint="eastAsia" w:ascii="宋体" w:hAnsi="宋体" w:cs="宋体"/>
          <w:color w:val="auto"/>
          <w:sz w:val="21"/>
          <w:szCs w:val="21"/>
          <w:highlight w:val="none"/>
        </w:rPr>
      </w:pPr>
    </w:p>
    <w:p w14:paraId="3FD79F29">
      <w:pPr>
        <w:autoSpaceDE w:val="0"/>
        <w:autoSpaceDN w:val="0"/>
        <w:adjustRightIn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根据</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承包人名称，以下称“承包人”）与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发包人名称，以下简称“发包人”）于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日签订的（项目名称）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标段名称）合同协议书，承包人按约定的金额向发包人提交一份预付款担保，即有权得到发包人支付相等金额的预付款。我方愿意就你方提供给承包人的预付款提供担保。</w:t>
      </w:r>
    </w:p>
    <w:p w14:paraId="4E01B033">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 担保金额人民币（大写）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 ）。</w:t>
      </w:r>
    </w:p>
    <w:p w14:paraId="31D1793B">
      <w:pPr>
        <w:autoSpaceDE w:val="0"/>
        <w:autoSpaceDN w:val="0"/>
        <w:adjustRightInd w:val="0"/>
        <w:spacing w:line="360" w:lineRule="auto"/>
        <w:ind w:firstLine="428" w:firstLineChars="20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2. 担保有效期自预付款支付给承包人起生效，至发包人签发的进度付款证书说明预付款已完全扣清止</w:t>
      </w:r>
      <w:r>
        <w:rPr>
          <w:rFonts w:hint="eastAsia" w:ascii="宋体" w:hAnsi="宋体" w:cs="宋体"/>
          <w:color w:val="auto"/>
          <w:sz w:val="21"/>
          <w:szCs w:val="21"/>
          <w:highlight w:val="none"/>
        </w:rPr>
        <w:t>。</w:t>
      </w:r>
    </w:p>
    <w:p w14:paraId="4C24AB11">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 在本保函有效期内，因承包人违反合同约定的义务而要求收回预付款时，我方在收</w:t>
      </w:r>
    </w:p>
    <w:p w14:paraId="35C394D3">
      <w:pPr>
        <w:autoSpaceDE w:val="0"/>
        <w:autoSpaceDN w:val="0"/>
        <w:adjustRightIn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到你方的书面通知后，在7</w:t>
      </w:r>
      <w:r>
        <w:rPr>
          <w:rFonts w:hint="eastAsia" w:ascii="宋体" w:hAnsi="宋体" w:cs="宋体"/>
          <w:color w:val="auto"/>
          <w:sz w:val="21"/>
          <w:szCs w:val="21"/>
          <w:highlight w:val="none"/>
          <w:lang w:eastAsia="zh-CN"/>
        </w:rPr>
        <w:t>天</w:t>
      </w:r>
      <w:r>
        <w:rPr>
          <w:rFonts w:hint="eastAsia" w:ascii="宋体" w:hAnsi="宋体" w:cs="宋体"/>
          <w:color w:val="auto"/>
          <w:sz w:val="21"/>
          <w:szCs w:val="21"/>
          <w:highlight w:val="none"/>
        </w:rPr>
        <w:t>内无条件支付。但本保函的担保金额，在任何时候不应超过预</w:t>
      </w:r>
    </w:p>
    <w:p w14:paraId="2B3140D7">
      <w:pPr>
        <w:autoSpaceDE w:val="0"/>
        <w:autoSpaceDN w:val="0"/>
        <w:adjustRightIn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付款金额减去发包人按</w:t>
      </w:r>
      <w:r>
        <w:rPr>
          <w:rFonts w:hint="eastAsia" w:ascii="宋体" w:hAnsi="宋体" w:cs="宋体"/>
          <w:color w:val="auto"/>
          <w:sz w:val="21"/>
          <w:szCs w:val="21"/>
          <w:highlight w:val="none"/>
          <w:lang w:eastAsia="zh-CN"/>
        </w:rPr>
        <w:t>合同</w:t>
      </w:r>
      <w:r>
        <w:rPr>
          <w:rFonts w:hint="eastAsia" w:ascii="宋体" w:hAnsi="宋体" w:cs="宋体"/>
          <w:color w:val="auto"/>
          <w:sz w:val="21"/>
          <w:szCs w:val="21"/>
          <w:highlight w:val="none"/>
        </w:rPr>
        <w:t>约定在向承包人签发的进度付款证书中扣除的金额。</w:t>
      </w:r>
    </w:p>
    <w:p w14:paraId="1B9137F2">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 发包人和承包人按《通用合同条款》</w:t>
      </w:r>
      <w:r>
        <w:rPr>
          <w:rFonts w:hint="eastAsia" w:ascii="宋体" w:hAnsi="宋体" w:cs="宋体"/>
          <w:color w:val="auto"/>
          <w:sz w:val="21"/>
          <w:szCs w:val="21"/>
          <w:highlight w:val="none"/>
          <w:lang w:eastAsia="zh-CN"/>
        </w:rPr>
        <w:t>第十五条</w:t>
      </w:r>
      <w:r>
        <w:rPr>
          <w:rFonts w:hint="eastAsia" w:ascii="宋体" w:hAnsi="宋体" w:cs="宋体"/>
          <w:color w:val="auto"/>
          <w:sz w:val="21"/>
          <w:szCs w:val="21"/>
          <w:highlight w:val="none"/>
        </w:rPr>
        <w:t>变更合同时，我方承担本保函规定的义</w:t>
      </w:r>
    </w:p>
    <w:p w14:paraId="2D1C0F77">
      <w:pPr>
        <w:autoSpaceDE w:val="0"/>
        <w:autoSpaceDN w:val="0"/>
        <w:adjustRightIn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务不变。</w:t>
      </w:r>
    </w:p>
    <w:p w14:paraId="288A05D3">
      <w:pPr>
        <w:autoSpaceDE w:val="0"/>
        <w:autoSpaceDN w:val="0"/>
        <w:adjustRightInd w:val="0"/>
        <w:spacing w:line="360" w:lineRule="auto"/>
        <w:rPr>
          <w:rFonts w:hint="eastAsia" w:ascii="宋体" w:hAnsi="宋体" w:cs="宋体"/>
          <w:color w:val="auto"/>
          <w:sz w:val="21"/>
          <w:szCs w:val="21"/>
          <w:highlight w:val="none"/>
        </w:rPr>
      </w:pPr>
    </w:p>
    <w:p w14:paraId="520E2EF7">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担保人：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盖单位章）</w:t>
      </w:r>
    </w:p>
    <w:p w14:paraId="052CA63B">
      <w:pPr>
        <w:autoSpaceDE w:val="0"/>
        <w:autoSpaceDN w:val="0"/>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（签字）</w:t>
      </w:r>
    </w:p>
    <w:p w14:paraId="1CF1D983">
      <w:pPr>
        <w:autoSpaceDE w:val="0"/>
        <w:autoSpaceDN w:val="0"/>
        <w:adjustRightInd w:val="0"/>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p>
    <w:p w14:paraId="05323349">
      <w:pPr>
        <w:autoSpaceDE w:val="0"/>
        <w:autoSpaceDN w:val="0"/>
        <w:adjustRightInd w:val="0"/>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邮政编码：</w:t>
      </w:r>
      <w:r>
        <w:rPr>
          <w:rFonts w:hint="eastAsia" w:ascii="宋体" w:hAnsi="宋体" w:cs="宋体"/>
          <w:color w:val="auto"/>
          <w:sz w:val="21"/>
          <w:szCs w:val="21"/>
          <w:highlight w:val="none"/>
          <w:u w:val="single"/>
        </w:rPr>
        <w:t xml:space="preserve">                                 </w:t>
      </w:r>
    </w:p>
    <w:p w14:paraId="71E62FF0">
      <w:pPr>
        <w:autoSpaceDE w:val="0"/>
        <w:autoSpaceDN w:val="0"/>
        <w:adjustRightInd w:val="0"/>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电话：</w:t>
      </w:r>
      <w:r>
        <w:rPr>
          <w:rFonts w:hint="eastAsia" w:ascii="宋体" w:hAnsi="宋体" w:cs="宋体"/>
          <w:color w:val="auto"/>
          <w:sz w:val="21"/>
          <w:szCs w:val="21"/>
          <w:highlight w:val="none"/>
          <w:u w:val="single"/>
        </w:rPr>
        <w:t xml:space="preserve">                                       </w:t>
      </w:r>
    </w:p>
    <w:p w14:paraId="26CA01C6">
      <w:pPr>
        <w:autoSpaceDE w:val="0"/>
        <w:autoSpaceDN w:val="0"/>
        <w:adjustRightInd w:val="0"/>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传真：</w:t>
      </w:r>
      <w:r>
        <w:rPr>
          <w:rFonts w:hint="eastAsia" w:ascii="宋体" w:hAnsi="宋体" w:cs="宋体"/>
          <w:color w:val="auto"/>
          <w:sz w:val="21"/>
          <w:szCs w:val="21"/>
          <w:highlight w:val="none"/>
          <w:u w:val="single"/>
        </w:rPr>
        <w:t xml:space="preserve">                                      </w:t>
      </w:r>
    </w:p>
    <w:p w14:paraId="2EB2DEE0">
      <w:pPr>
        <w:spacing w:line="360" w:lineRule="auto"/>
        <w:ind w:firstLine="420" w:firstLineChars="200"/>
        <w:rPr>
          <w:rFonts w:hint="eastAsia" w:ascii="宋体" w:hAnsi="宋体" w:cs="宋体"/>
          <w:color w:val="auto"/>
          <w:sz w:val="21"/>
          <w:szCs w:val="21"/>
          <w:highlight w:val="none"/>
        </w:rPr>
      </w:pPr>
      <w:bookmarkStart w:id="1160" w:name="_Toc3899389"/>
      <w:bookmarkStart w:id="1161" w:name="_Toc175063978"/>
      <w:r>
        <w:rPr>
          <w:rFonts w:hint="eastAsia" w:ascii="宋体" w:hAnsi="宋体" w:cs="宋体"/>
          <w:color w:val="auto"/>
          <w:sz w:val="21"/>
          <w:szCs w:val="21"/>
          <w:highlight w:val="none"/>
        </w:rPr>
        <w:t>年       月      日</w:t>
      </w:r>
      <w:bookmarkEnd w:id="1160"/>
      <w:bookmarkEnd w:id="1161"/>
      <w:r>
        <w:rPr>
          <w:rFonts w:hint="eastAsia" w:ascii="宋体" w:hAnsi="宋体" w:cs="宋体"/>
          <w:color w:val="auto"/>
          <w:sz w:val="21"/>
          <w:szCs w:val="21"/>
          <w:highlight w:val="none"/>
        </w:rPr>
        <w:t xml:space="preserve">       </w:t>
      </w:r>
    </w:p>
    <w:p w14:paraId="1F1CF7F7">
      <w:pPr>
        <w:keepNext/>
        <w:keepLines/>
        <w:spacing w:line="360" w:lineRule="auto"/>
        <w:jc w:val="center"/>
        <w:outlineLvl w:val="2"/>
        <w:rPr>
          <w:rFonts w:hint="eastAsia" w:ascii="宋体" w:hAnsi="宋体" w:cs="宋体"/>
          <w:b/>
          <w:bCs/>
          <w:color w:val="auto"/>
          <w:sz w:val="24"/>
          <w:highlight w:val="none"/>
        </w:rPr>
      </w:pPr>
      <w:r>
        <w:rPr>
          <w:rFonts w:hint="eastAsia" w:ascii="宋体" w:hAnsi="宋体" w:cs="宋体"/>
          <w:b/>
          <w:bCs/>
          <w:color w:val="auto"/>
          <w:sz w:val="21"/>
          <w:szCs w:val="21"/>
          <w:highlight w:val="none"/>
        </w:rPr>
        <w:br w:type="page"/>
      </w:r>
      <w:bookmarkStart w:id="1162" w:name="_Toc22087"/>
      <w:bookmarkStart w:id="1163" w:name="_Toc175063979"/>
      <w:r>
        <w:rPr>
          <w:rFonts w:hint="eastAsia" w:ascii="宋体" w:hAnsi="宋体" w:cs="宋体"/>
          <w:b/>
          <w:bCs/>
          <w:color w:val="auto"/>
          <w:sz w:val="24"/>
          <w:highlight w:val="none"/>
        </w:rPr>
        <w:t>附件四、建设工程廉政责任书</w:t>
      </w:r>
      <w:bookmarkEnd w:id="1162"/>
      <w:bookmarkEnd w:id="1163"/>
    </w:p>
    <w:p w14:paraId="3561883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w:t>
      </w:r>
      <w:r>
        <w:rPr>
          <w:rFonts w:hint="eastAsia" w:ascii="宋体" w:hAnsi="宋体" w:cs="宋体"/>
          <w:color w:val="auto"/>
          <w:sz w:val="21"/>
          <w:szCs w:val="21"/>
          <w:highlight w:val="none"/>
          <w:u w:val="single"/>
        </w:rPr>
        <w:t xml:space="preserve">                                               </w:t>
      </w:r>
    </w:p>
    <w:p w14:paraId="79B446E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w:t>
      </w:r>
      <w:r>
        <w:rPr>
          <w:rFonts w:hint="eastAsia" w:ascii="宋体" w:hAnsi="宋体" w:cs="宋体"/>
          <w:color w:val="auto"/>
          <w:sz w:val="21"/>
          <w:szCs w:val="21"/>
          <w:highlight w:val="none"/>
          <w:u w:val="single"/>
        </w:rPr>
        <w:t xml:space="preserve">                                               </w:t>
      </w:r>
    </w:p>
    <w:p w14:paraId="1410F55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为加强建设工程廉政建设，规范建设工程各项活动中发包</w:t>
      </w:r>
      <w:r>
        <w:rPr>
          <w:rFonts w:hint="eastAsia" w:ascii="宋体" w:hAnsi="宋体" w:cs="宋体"/>
          <w:color w:val="auto"/>
          <w:sz w:val="21"/>
          <w:szCs w:val="21"/>
          <w:highlight w:val="none"/>
          <w:lang w:eastAsia="zh-CN"/>
        </w:rPr>
        <w:t>人和</w:t>
      </w:r>
      <w:r>
        <w:rPr>
          <w:rFonts w:hint="eastAsia" w:ascii="宋体" w:hAnsi="宋体" w:cs="宋体"/>
          <w:color w:val="auto"/>
          <w:sz w:val="21"/>
          <w:szCs w:val="21"/>
          <w:highlight w:val="none"/>
        </w:rPr>
        <w:t>承包人双方的行为，防止谋取不正当利益的违法违纪现象的发生，保护国家、集体和当事人的合法权益，根据国家有关工程建设的法律法规和廉政建设的有关规定，订立本廉政责任书。</w:t>
      </w:r>
    </w:p>
    <w:p w14:paraId="69A0FA52">
      <w:pPr>
        <w:adjustRightInd w:val="0"/>
        <w:snapToGrid w:val="0"/>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一、双方的责任</w:t>
      </w:r>
    </w:p>
    <w:p w14:paraId="5FB0155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1.1应严格遵守国家关于建设工程的有关</w:t>
      </w:r>
      <w:r>
        <w:rPr>
          <w:rFonts w:hint="eastAsia" w:ascii="宋体" w:hAnsi="宋体" w:cs="宋体"/>
          <w:color w:val="auto"/>
          <w:sz w:val="21"/>
          <w:szCs w:val="21"/>
          <w:highlight w:val="none"/>
          <w:lang w:eastAsia="zh-CN"/>
        </w:rPr>
        <w:t>法律法规</w:t>
      </w:r>
      <w:r>
        <w:rPr>
          <w:rFonts w:hint="eastAsia" w:ascii="宋体" w:hAnsi="宋体" w:cs="宋体"/>
          <w:color w:val="auto"/>
          <w:sz w:val="21"/>
          <w:szCs w:val="21"/>
          <w:highlight w:val="none"/>
        </w:rPr>
        <w:t>，相关政策，以及廉政建设的各项规定。</w:t>
      </w:r>
    </w:p>
    <w:p w14:paraId="012EDC7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1.2严格执行建设工程合同文件，自觉按合同办事。</w:t>
      </w:r>
    </w:p>
    <w:p w14:paraId="7DCC3D0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1.3各项活动必须坚持公开、公平、公正、诚信、透明的原则（除法律法规另有规定者外），不得为获取不正当的利益，损害国家、集体和对方利益，不得违反建设工程管理的规章制度。</w:t>
      </w:r>
    </w:p>
    <w:p w14:paraId="1F4E558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1.4发现对方在业务活动中有违规、违纪、违法行为的，应及时提醒对方，情节严重的，应向其上级主管部门或纪检监察、司法等有关机关举报。</w:t>
      </w:r>
    </w:p>
    <w:p w14:paraId="1B3386D7">
      <w:pPr>
        <w:adjustRightInd w:val="0"/>
        <w:snapToGrid w:val="0"/>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二、发包人责任</w:t>
      </w:r>
    </w:p>
    <w:p w14:paraId="22C8B07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发包人的领导和从事该建设工程项目的工作人员，在工程建设的事前、事中、事后应遵守以下规定：</w:t>
      </w:r>
    </w:p>
    <w:p w14:paraId="0825735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2.1不得向承包人和相关单位索要或接受回扣、礼金、有价证券、贵重物品和好处费、感谢费等。</w:t>
      </w:r>
    </w:p>
    <w:p w14:paraId="1FC74C8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2.2不得在承包人和相关单位报销任何应由发包人或个人支付的费用。</w:t>
      </w:r>
    </w:p>
    <w:p w14:paraId="3BCF315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2.3不得要求、暗示或接受承包人和相关单位为个人装修住房、婚丧嫁娶、配偶子女的工作安排以及出国（境）、旅游等提供方便。</w:t>
      </w:r>
    </w:p>
    <w:p w14:paraId="16A53BE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2.4不得参加有可能影响公正执行公务的承包人和相关单位的宴请、健身、娱乐等活动。</w:t>
      </w:r>
    </w:p>
    <w:p w14:paraId="5BF7466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2.5不得向承包人和相关单位介绍或为配偶、子女、亲属参与同发包人工程建设管理合同有关的业务活动；不得以任何理由要求承包人和相关单位使用某种产品、材料和设备。</w:t>
      </w:r>
    </w:p>
    <w:p w14:paraId="385506E8">
      <w:pPr>
        <w:adjustRightInd w:val="0"/>
        <w:snapToGrid w:val="0"/>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三、承包人责任</w:t>
      </w:r>
    </w:p>
    <w:p w14:paraId="30F6C72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应与发包人保持正常的业务交往，按照有关法律法规和程序开展业务工作，严格执行工程建设的有关方针、政策，执行工程建设强制性标准，并遵守以下规定：</w:t>
      </w:r>
    </w:p>
    <w:p w14:paraId="0643DB7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3.1不得以任何理由向发包人及其工作人员索要、接受或赠送礼金、有价证券、贵重物品及回扣、好处费、感谢费等。</w:t>
      </w:r>
    </w:p>
    <w:p w14:paraId="7447676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3.2不得以任何理由为发包人和相关单位报销应由对方或个人支付的费用。</w:t>
      </w:r>
    </w:p>
    <w:p w14:paraId="7257C2D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3.3不得接受或暗示为发包人、相关单位或个人装修住房、婚丧嫁娶、配偶子女的工作安排以及出国（境）、旅游等提供方便。</w:t>
      </w:r>
    </w:p>
    <w:p w14:paraId="2BD9E6C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3.4不得以任何理由为发包人、相关单位或个人组织有可能影响公正执行公务的宴请、健身、娱乐等活动。</w:t>
      </w:r>
    </w:p>
    <w:p w14:paraId="617831B1">
      <w:pPr>
        <w:adjustRightInd w:val="0"/>
        <w:snapToGrid w:val="0"/>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四、违约责任</w:t>
      </w:r>
    </w:p>
    <w:p w14:paraId="5B1750B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4.1发包人工作人员有违反本责任书第一、二条责任行为的，依据有关</w:t>
      </w:r>
      <w:r>
        <w:rPr>
          <w:rFonts w:hint="eastAsia" w:ascii="宋体" w:hAnsi="宋体" w:cs="宋体"/>
          <w:color w:val="auto"/>
          <w:sz w:val="21"/>
          <w:szCs w:val="21"/>
          <w:highlight w:val="none"/>
          <w:lang w:eastAsia="zh-CN"/>
        </w:rPr>
        <w:t>法律法规</w:t>
      </w:r>
      <w:r>
        <w:rPr>
          <w:rFonts w:hint="eastAsia" w:ascii="宋体" w:hAnsi="宋体" w:cs="宋体"/>
          <w:color w:val="auto"/>
          <w:sz w:val="21"/>
          <w:szCs w:val="21"/>
          <w:highlight w:val="none"/>
        </w:rPr>
        <w:t>给予处理；涉嫌犯罪的，移交司法机关追究刑事责任；给承包人单位造成经济损失的，应予以赔偿。</w:t>
      </w:r>
    </w:p>
    <w:p w14:paraId="2880F25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4.2承包人工作人员有违反本责任书第一、三条责任行为的，依据有关法律法规处理；涉嫌犯罪的，移交司法机关追究刑事责任；给发包人单位造成经济损失的，应予以赔偿。</w:t>
      </w:r>
    </w:p>
    <w:p w14:paraId="75DD0C3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4.3本责任书作为建设工程合同的组成部分，与建设工程合同具有同等法律效力。经双方签署后立即生效。</w:t>
      </w:r>
    </w:p>
    <w:p w14:paraId="3C2A0D9E">
      <w:pPr>
        <w:adjustRightInd w:val="0"/>
        <w:snapToGrid w:val="0"/>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五、责任书有效期</w:t>
      </w:r>
    </w:p>
    <w:p w14:paraId="3459417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本责任书的有效期为双方签署之日起至该工程项目竣工验收合格时止。</w:t>
      </w:r>
    </w:p>
    <w:p w14:paraId="5F3033C3">
      <w:pPr>
        <w:adjustRightInd w:val="0"/>
        <w:snapToGrid w:val="0"/>
        <w:spacing w:line="360" w:lineRule="auto"/>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六、责任书份数</w:t>
      </w:r>
    </w:p>
    <w:p w14:paraId="573EA40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本责任书</w:t>
      </w:r>
      <w:r>
        <w:rPr>
          <w:rFonts w:hint="eastAsia" w:ascii="宋体" w:hAnsi="宋体" w:cs="宋体"/>
          <w:color w:val="auto"/>
          <w:sz w:val="21"/>
          <w:szCs w:val="21"/>
          <w:highlight w:val="none"/>
          <w:lang w:eastAsia="zh-CN"/>
        </w:rPr>
        <w:t>一式两份</w:t>
      </w:r>
      <w:r>
        <w:rPr>
          <w:rFonts w:hint="eastAsia" w:ascii="宋体" w:hAnsi="宋体" w:cs="宋体"/>
          <w:color w:val="auto"/>
          <w:sz w:val="21"/>
          <w:szCs w:val="21"/>
          <w:highlight w:val="none"/>
        </w:rPr>
        <w:t>，发包人承包人各执一份，具有同等效力。</w:t>
      </w:r>
    </w:p>
    <w:p w14:paraId="1927280A">
      <w:pPr>
        <w:spacing w:line="360" w:lineRule="auto"/>
        <w:rPr>
          <w:rFonts w:hint="eastAsia" w:ascii="宋体" w:hAnsi="宋体" w:cs="宋体"/>
          <w:color w:val="auto"/>
          <w:sz w:val="21"/>
          <w:szCs w:val="21"/>
          <w:highlight w:val="none"/>
        </w:rPr>
      </w:pPr>
    </w:p>
    <w:p w14:paraId="0E37C16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公章）    承包人：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（公章）</w:t>
      </w:r>
    </w:p>
    <w:p w14:paraId="0C0367F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法定地址：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法定地址：</w:t>
      </w:r>
      <w:r>
        <w:rPr>
          <w:rFonts w:hint="eastAsia" w:ascii="宋体" w:hAnsi="宋体" w:cs="宋体"/>
          <w:color w:val="auto"/>
          <w:sz w:val="21"/>
          <w:szCs w:val="21"/>
          <w:highlight w:val="none"/>
          <w:u w:val="single"/>
        </w:rPr>
        <w:t xml:space="preserve">                   </w:t>
      </w:r>
    </w:p>
    <w:p w14:paraId="79B8E0A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法定代表人或其                         法定代表人或其</w:t>
      </w:r>
    </w:p>
    <w:p w14:paraId="4490142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    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（签字）</w:t>
      </w:r>
    </w:p>
    <w:p w14:paraId="6662FF8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电话：</w:t>
      </w:r>
      <w:r>
        <w:rPr>
          <w:rFonts w:hint="eastAsia" w:ascii="宋体" w:hAnsi="宋体" w:cs="宋体"/>
          <w:color w:val="auto"/>
          <w:sz w:val="21"/>
          <w:szCs w:val="21"/>
          <w:highlight w:val="none"/>
          <w:u w:val="single"/>
        </w:rPr>
        <w:t xml:space="preserve">                       </w:t>
      </w:r>
    </w:p>
    <w:p w14:paraId="7EF2B21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传真：</w:t>
      </w:r>
      <w:r>
        <w:rPr>
          <w:rFonts w:hint="eastAsia" w:ascii="宋体" w:hAnsi="宋体" w:cs="宋体"/>
          <w:color w:val="auto"/>
          <w:sz w:val="21"/>
          <w:szCs w:val="21"/>
          <w:highlight w:val="none"/>
          <w:u w:val="single"/>
        </w:rPr>
        <w:t xml:space="preserve">                       </w:t>
      </w:r>
    </w:p>
    <w:p w14:paraId="3FA61AF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电子邮箱：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电子邮箱：</w:t>
      </w:r>
      <w:r>
        <w:rPr>
          <w:rFonts w:hint="eastAsia" w:ascii="宋体" w:hAnsi="宋体" w:cs="宋体"/>
          <w:color w:val="auto"/>
          <w:sz w:val="21"/>
          <w:szCs w:val="21"/>
          <w:highlight w:val="none"/>
          <w:u w:val="single"/>
        </w:rPr>
        <w:t xml:space="preserve">                   </w:t>
      </w:r>
    </w:p>
    <w:p w14:paraId="6264E85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开户银行：</w:t>
      </w:r>
      <w:r>
        <w:rPr>
          <w:rFonts w:hint="eastAsia" w:ascii="宋体" w:hAnsi="宋体" w:cs="宋体"/>
          <w:color w:val="auto"/>
          <w:sz w:val="21"/>
          <w:szCs w:val="21"/>
          <w:highlight w:val="none"/>
          <w:u w:val="single"/>
        </w:rPr>
        <w:t xml:space="preserve">                   </w:t>
      </w:r>
    </w:p>
    <w:p w14:paraId="543157E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账号</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账号</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0406D32D">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邮政编码：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邮政编码：</w:t>
      </w:r>
      <w:r>
        <w:rPr>
          <w:rFonts w:hint="eastAsia" w:ascii="宋体" w:hAnsi="宋体" w:cs="宋体"/>
          <w:color w:val="auto"/>
          <w:sz w:val="21"/>
          <w:szCs w:val="21"/>
          <w:highlight w:val="none"/>
          <w:u w:val="single"/>
        </w:rPr>
        <w:t xml:space="preserve">                   </w:t>
      </w:r>
    </w:p>
    <w:p w14:paraId="14E0220B">
      <w:pPr>
        <w:spacing w:line="360" w:lineRule="auto"/>
        <w:rPr>
          <w:rFonts w:hint="eastAsia" w:ascii="宋体" w:hAnsi="宋体" w:cs="宋体"/>
          <w:b/>
          <w:bCs/>
          <w:color w:val="auto"/>
          <w:kern w:val="44"/>
          <w:sz w:val="40"/>
          <w:szCs w:val="44"/>
          <w:highlight w:val="none"/>
        </w:rPr>
      </w:pPr>
    </w:p>
    <w:p w14:paraId="7586B86A">
      <w:pPr>
        <w:spacing w:line="360" w:lineRule="auto"/>
        <w:rPr>
          <w:rFonts w:hint="eastAsia" w:ascii="宋体" w:hAnsi="宋体" w:cs="宋体"/>
          <w:b/>
          <w:bCs/>
          <w:color w:val="auto"/>
          <w:kern w:val="44"/>
          <w:sz w:val="40"/>
          <w:szCs w:val="44"/>
          <w:highlight w:val="none"/>
        </w:rPr>
      </w:pPr>
    </w:p>
    <w:p w14:paraId="4C5DB218">
      <w:pPr>
        <w:pStyle w:val="2"/>
        <w:spacing w:line="360" w:lineRule="auto"/>
        <w:ind w:left="0"/>
        <w:rPr>
          <w:rFonts w:hint="eastAsia" w:ascii="宋体" w:hAnsi="宋体" w:eastAsia="宋体" w:cs="宋体"/>
          <w:b/>
          <w:color w:val="auto"/>
          <w:sz w:val="36"/>
          <w:szCs w:val="36"/>
          <w:highlight w:val="none"/>
        </w:rPr>
      </w:pPr>
      <w:bookmarkStart w:id="1164" w:name="_Toc28576"/>
      <w:bookmarkStart w:id="1165" w:name="_Toc4009"/>
      <w:bookmarkStart w:id="1166" w:name="_Toc179912269"/>
      <w:bookmarkStart w:id="1167" w:name="_Toc14743"/>
      <w:r>
        <w:rPr>
          <w:rFonts w:hint="eastAsia" w:ascii="宋体" w:hAnsi="宋体" w:eastAsia="宋体" w:cs="宋体"/>
          <w:b/>
          <w:color w:val="auto"/>
          <w:sz w:val="36"/>
          <w:szCs w:val="36"/>
          <w:highlight w:val="none"/>
        </w:rPr>
        <w:t xml:space="preserve">第五章  </w:t>
      </w:r>
      <w:bookmarkEnd w:id="1164"/>
      <w:bookmarkEnd w:id="1165"/>
      <w:r>
        <w:rPr>
          <w:rFonts w:hint="eastAsia" w:ascii="宋体" w:hAnsi="宋体" w:eastAsia="宋体" w:cs="宋体"/>
          <w:b/>
          <w:color w:val="auto"/>
          <w:sz w:val="36"/>
          <w:szCs w:val="36"/>
          <w:highlight w:val="none"/>
        </w:rPr>
        <w:t>工程量清单</w:t>
      </w:r>
      <w:bookmarkEnd w:id="1166"/>
      <w:bookmarkEnd w:id="1167"/>
    </w:p>
    <w:p w14:paraId="418618A9">
      <w:pPr>
        <w:spacing w:line="360" w:lineRule="auto"/>
        <w:jc w:val="both"/>
        <w:rPr>
          <w:rStyle w:val="60"/>
          <w:rFonts w:hint="eastAsia" w:ascii="宋体" w:hAnsi="宋体" w:cs="宋体"/>
          <w:color w:val="auto"/>
          <w:highlight w:val="none"/>
        </w:rPr>
      </w:pPr>
      <w:r>
        <w:rPr>
          <w:rStyle w:val="60"/>
          <w:rFonts w:hint="eastAsia" w:ascii="宋体" w:hAnsi="宋体" w:cs="宋体"/>
          <w:color w:val="auto"/>
          <w:highlight w:val="none"/>
        </w:rPr>
        <w:t>另附</w:t>
      </w:r>
    </w:p>
    <w:p w14:paraId="506CF258">
      <w:pPr>
        <w:spacing w:line="360" w:lineRule="auto"/>
        <w:jc w:val="center"/>
        <w:rPr>
          <w:rFonts w:hint="eastAsia" w:ascii="宋体" w:hAnsi="宋体" w:cs="宋体"/>
          <w:color w:val="auto"/>
          <w:sz w:val="28"/>
          <w:szCs w:val="28"/>
          <w:highlight w:val="none"/>
        </w:rPr>
      </w:pPr>
    </w:p>
    <w:p w14:paraId="7E9A09D5">
      <w:pPr>
        <w:spacing w:line="360" w:lineRule="auto"/>
        <w:jc w:val="both"/>
        <w:rPr>
          <w:rStyle w:val="60"/>
          <w:rFonts w:hint="eastAsia" w:ascii="宋体" w:hAnsi="宋体" w:cs="宋体"/>
          <w:color w:val="auto"/>
          <w:highlight w:val="none"/>
        </w:rPr>
      </w:pPr>
    </w:p>
    <w:p w14:paraId="767837D9">
      <w:pPr>
        <w:spacing w:line="360" w:lineRule="auto"/>
        <w:rPr>
          <w:rFonts w:hint="eastAsia" w:ascii="宋体" w:hAnsi="宋体" w:cs="宋体"/>
          <w:color w:val="auto"/>
          <w:highlight w:val="none"/>
          <w:lang w:val="zh-CN"/>
        </w:rPr>
      </w:pPr>
    </w:p>
    <w:p w14:paraId="7D036941">
      <w:pPr>
        <w:pStyle w:val="2"/>
        <w:spacing w:line="360" w:lineRule="auto"/>
        <w:ind w:left="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br w:type="page"/>
      </w:r>
      <w:bookmarkStart w:id="1168" w:name="_Toc92958507"/>
      <w:bookmarkStart w:id="1169" w:name="_Toc179912270"/>
      <w:bookmarkStart w:id="1170" w:name="_Toc28472"/>
      <w:bookmarkStart w:id="1171" w:name="_Toc17524"/>
      <w:bookmarkStart w:id="1172" w:name="_Toc15101"/>
      <w:r>
        <w:rPr>
          <w:rFonts w:hint="eastAsia" w:ascii="宋体" w:hAnsi="宋体" w:eastAsia="宋体" w:cs="宋体"/>
          <w:b/>
          <w:color w:val="auto"/>
          <w:sz w:val="36"/>
          <w:szCs w:val="36"/>
          <w:highlight w:val="none"/>
        </w:rPr>
        <w:t>第六章  技术标准与规范</w:t>
      </w:r>
      <w:bookmarkEnd w:id="1168"/>
      <w:bookmarkEnd w:id="1169"/>
      <w:bookmarkEnd w:id="1170"/>
      <w:bookmarkEnd w:id="1171"/>
      <w:bookmarkEnd w:id="1172"/>
    </w:p>
    <w:p w14:paraId="06E9D256">
      <w:pPr>
        <w:adjustRightInd w:val="0"/>
        <w:snapToGrid w:val="0"/>
        <w:spacing w:line="360" w:lineRule="auto"/>
        <w:ind w:firstLine="400" w:firstLineChars="200"/>
        <w:rPr>
          <w:rFonts w:hint="eastAsia" w:ascii="宋体" w:hAnsi="宋体" w:cs="宋体"/>
          <w:color w:val="auto"/>
          <w:highlight w:val="none"/>
        </w:rPr>
      </w:pPr>
    </w:p>
    <w:p w14:paraId="5336DA20">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一、本采购工程项目的材料、设备、施工须达到现行中华人民共和国以及省、自治区、直辖市或行业的工程建设标准、规范的要求；严格遵照设计施工图及国家或行业有关标准、规范执行。</w:t>
      </w:r>
    </w:p>
    <w:p w14:paraId="7A5ACFE5">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二、本采购工程项目的安全生产、文明施工、环境保护措施应符合中华人民共和国以及省、市、自治区、直辖市或行业以及当地政府的有关</w:t>
      </w:r>
      <w:r>
        <w:rPr>
          <w:rFonts w:hint="eastAsia" w:ascii="宋体" w:hAnsi="宋体" w:cs="宋体"/>
          <w:color w:val="auto"/>
          <w:sz w:val="21"/>
          <w:szCs w:val="21"/>
          <w:highlight w:val="none"/>
          <w:lang w:eastAsia="zh-CN"/>
        </w:rPr>
        <w:t>法律法规</w:t>
      </w:r>
      <w:r>
        <w:rPr>
          <w:rFonts w:hint="eastAsia" w:ascii="宋体" w:hAnsi="宋体" w:cs="宋体"/>
          <w:color w:val="auto"/>
          <w:sz w:val="21"/>
          <w:szCs w:val="21"/>
          <w:highlight w:val="none"/>
        </w:rPr>
        <w:t>的要求。</w:t>
      </w:r>
    </w:p>
    <w:p w14:paraId="08E66EF8">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sz w:val="21"/>
          <w:szCs w:val="21"/>
          <w:highlight w:val="none"/>
        </w:rPr>
        <w:t>三、根据工程设计要求及所处地域当地政府的相关规定，适用时本采购工程项目的材料、设备、施工必须达到但不限于现行标准或规范及其最新版本的要求</w:t>
      </w:r>
      <w:r>
        <w:rPr>
          <w:rFonts w:hint="eastAsia" w:ascii="宋体" w:hAnsi="宋体" w:cs="宋体"/>
          <w:color w:val="auto"/>
          <w:sz w:val="24"/>
          <w:szCs w:val="24"/>
          <w:highlight w:val="none"/>
        </w:rPr>
        <w:t>。</w:t>
      </w:r>
      <w:r>
        <w:rPr>
          <w:rFonts w:hint="eastAsia" w:ascii="宋体" w:hAnsi="宋体" w:cs="宋体"/>
          <w:color w:val="auto"/>
          <w:highlight w:val="none"/>
        </w:rPr>
        <w:t xml:space="preserve"> </w:t>
      </w:r>
    </w:p>
    <w:p w14:paraId="0B3BCD6E">
      <w:pPr>
        <w:pStyle w:val="2"/>
        <w:tabs>
          <w:tab w:val="left" w:pos="0"/>
          <w:tab w:val="clear" w:pos="432"/>
        </w:tabs>
        <w:spacing w:line="360" w:lineRule="auto"/>
        <w:ind w:left="0" w:firstLine="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bookmarkStart w:id="1173" w:name="_Toc9976"/>
      <w:bookmarkStart w:id="1174" w:name="_Toc24667"/>
      <w:bookmarkStart w:id="1175" w:name="_Toc179912271"/>
      <w:bookmarkStart w:id="1176" w:name="_Toc23760"/>
      <w:r>
        <w:rPr>
          <w:rFonts w:hint="eastAsia" w:ascii="宋体" w:hAnsi="宋体" w:eastAsia="宋体" w:cs="宋体"/>
          <w:b/>
          <w:color w:val="auto"/>
          <w:sz w:val="36"/>
          <w:szCs w:val="36"/>
          <w:highlight w:val="none"/>
        </w:rPr>
        <w:t>第七章  响应文件格式</w:t>
      </w:r>
      <w:bookmarkEnd w:id="1173"/>
      <w:bookmarkEnd w:id="1174"/>
      <w:bookmarkEnd w:id="1175"/>
      <w:bookmarkEnd w:id="1176"/>
    </w:p>
    <w:p w14:paraId="40A85213">
      <w:pPr>
        <w:rPr>
          <w:rFonts w:hint="eastAsia"/>
          <w:color w:val="auto"/>
          <w:highlight w:val="none"/>
        </w:rPr>
      </w:pPr>
    </w:p>
    <w:p w14:paraId="1044A452">
      <w:pPr>
        <w:spacing w:line="360" w:lineRule="auto"/>
        <w:rPr>
          <w:rFonts w:hint="eastAsia" w:ascii="宋体" w:hAnsi="宋体" w:cs="宋体"/>
          <w:b/>
          <w:bCs/>
          <w:color w:val="auto"/>
          <w:sz w:val="44"/>
          <w:szCs w:val="44"/>
          <w:highlight w:val="none"/>
        </w:rPr>
      </w:pPr>
    </w:p>
    <w:p w14:paraId="34608979">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eastAsia="zh-CN"/>
        </w:rPr>
        <w:t>永胜县东山乡2026年牦牛坪村委会饮水应急工程项目</w:t>
      </w:r>
      <w:r>
        <w:rPr>
          <w:rFonts w:hint="eastAsia" w:ascii="宋体" w:hAnsi="宋体" w:cs="宋体"/>
          <w:b/>
          <w:color w:val="auto"/>
          <w:sz w:val="36"/>
          <w:szCs w:val="36"/>
          <w:highlight w:val="none"/>
        </w:rPr>
        <w:t xml:space="preserve"> </w:t>
      </w:r>
    </w:p>
    <w:p w14:paraId="7686BCD2">
      <w:pPr>
        <w:spacing w:line="360" w:lineRule="auto"/>
        <w:jc w:val="center"/>
        <w:rPr>
          <w:rFonts w:hint="eastAsia" w:ascii="宋体" w:hAnsi="宋体" w:cs="宋体"/>
          <w:b/>
          <w:color w:val="auto"/>
          <w:sz w:val="44"/>
          <w:szCs w:val="18"/>
          <w:highlight w:val="none"/>
        </w:rPr>
      </w:pPr>
    </w:p>
    <w:p w14:paraId="2A06CAA3">
      <w:pPr>
        <w:spacing w:line="360" w:lineRule="auto"/>
        <w:jc w:val="center"/>
        <w:rPr>
          <w:rFonts w:hint="eastAsia" w:ascii="宋体" w:hAnsi="宋体" w:cs="宋体"/>
          <w:b/>
          <w:color w:val="auto"/>
          <w:sz w:val="44"/>
          <w:szCs w:val="18"/>
          <w:highlight w:val="none"/>
        </w:rPr>
      </w:pPr>
    </w:p>
    <w:p w14:paraId="61989CEA">
      <w:pPr>
        <w:spacing w:line="360" w:lineRule="auto"/>
        <w:jc w:val="center"/>
        <w:rPr>
          <w:rFonts w:hint="eastAsia" w:ascii="宋体" w:hAnsi="宋体" w:cs="宋体"/>
          <w:b/>
          <w:color w:val="auto"/>
          <w:sz w:val="44"/>
          <w:szCs w:val="18"/>
          <w:highlight w:val="none"/>
        </w:rPr>
      </w:pPr>
    </w:p>
    <w:p w14:paraId="36C8A4B6">
      <w:pPr>
        <w:spacing w:line="360" w:lineRule="auto"/>
        <w:jc w:val="center"/>
        <w:rPr>
          <w:rFonts w:hint="eastAsia" w:ascii="宋体" w:hAnsi="宋体" w:cs="宋体"/>
          <w:b/>
          <w:color w:val="auto"/>
          <w:sz w:val="44"/>
          <w:szCs w:val="18"/>
          <w:highlight w:val="none"/>
        </w:rPr>
      </w:pPr>
    </w:p>
    <w:p w14:paraId="4A639C94">
      <w:pPr>
        <w:spacing w:line="360" w:lineRule="auto"/>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响 应 文 件</w:t>
      </w:r>
    </w:p>
    <w:p w14:paraId="6A7AB806">
      <w:pPr>
        <w:spacing w:line="360" w:lineRule="auto"/>
        <w:ind w:firstLine="2811" w:firstLineChars="1000"/>
        <w:jc w:val="both"/>
        <w:rPr>
          <w:rFonts w:hint="eastAsia" w:ascii="宋体" w:hAnsi="宋体" w:cs="宋体"/>
          <w:b/>
          <w:bCs/>
          <w:color w:val="auto"/>
          <w:sz w:val="28"/>
          <w:szCs w:val="28"/>
          <w:highlight w:val="none"/>
        </w:rPr>
      </w:pPr>
      <w:r>
        <w:rPr>
          <w:rFonts w:hint="eastAsia" w:ascii="宋体" w:hAnsi="宋体" w:cs="宋体"/>
          <w:b/>
          <w:color w:val="auto"/>
          <w:sz w:val="28"/>
          <w:szCs w:val="28"/>
          <w:highlight w:val="none"/>
        </w:rPr>
        <w:t>项目编号：</w:t>
      </w:r>
    </w:p>
    <w:p w14:paraId="00F2AB5B">
      <w:pPr>
        <w:spacing w:line="360" w:lineRule="auto"/>
        <w:jc w:val="center"/>
        <w:rPr>
          <w:rFonts w:hint="eastAsia" w:ascii="宋体" w:hAnsi="宋体" w:cs="宋体"/>
          <w:b/>
          <w:color w:val="auto"/>
          <w:sz w:val="44"/>
          <w:szCs w:val="18"/>
          <w:highlight w:val="none"/>
        </w:rPr>
      </w:pPr>
    </w:p>
    <w:p w14:paraId="78A4681E">
      <w:pPr>
        <w:spacing w:line="360" w:lineRule="auto"/>
        <w:jc w:val="center"/>
        <w:rPr>
          <w:rFonts w:hint="eastAsia" w:ascii="宋体" w:hAnsi="宋体" w:cs="宋体"/>
          <w:b/>
          <w:color w:val="auto"/>
          <w:sz w:val="44"/>
          <w:szCs w:val="18"/>
          <w:highlight w:val="none"/>
        </w:rPr>
      </w:pPr>
    </w:p>
    <w:p w14:paraId="563B5197">
      <w:pPr>
        <w:spacing w:line="360" w:lineRule="auto"/>
        <w:jc w:val="center"/>
        <w:rPr>
          <w:rFonts w:hint="eastAsia" w:ascii="宋体" w:hAnsi="宋体" w:cs="宋体"/>
          <w:b/>
          <w:color w:val="auto"/>
          <w:sz w:val="44"/>
          <w:szCs w:val="18"/>
          <w:highlight w:val="none"/>
        </w:rPr>
      </w:pPr>
    </w:p>
    <w:p w14:paraId="3CB5FBA0">
      <w:pPr>
        <w:spacing w:line="360" w:lineRule="auto"/>
        <w:jc w:val="center"/>
        <w:rPr>
          <w:rFonts w:hint="eastAsia" w:ascii="宋体" w:hAnsi="宋体" w:cs="宋体"/>
          <w:b/>
          <w:color w:val="auto"/>
          <w:sz w:val="44"/>
          <w:szCs w:val="18"/>
          <w:highlight w:val="none"/>
        </w:rPr>
      </w:pPr>
    </w:p>
    <w:p w14:paraId="2C8306F0">
      <w:pPr>
        <w:snapToGrid w:val="0"/>
        <w:spacing w:line="360" w:lineRule="auto"/>
        <w:jc w:val="center"/>
        <w:rPr>
          <w:rFonts w:hint="eastAsia" w:ascii="宋体" w:hAnsi="宋体" w:cs="宋体"/>
          <w:b/>
          <w:color w:val="auto"/>
          <w:sz w:val="28"/>
          <w:szCs w:val="18"/>
          <w:highlight w:val="none"/>
        </w:rPr>
      </w:pPr>
    </w:p>
    <w:p w14:paraId="39ADE88C">
      <w:pPr>
        <w:snapToGrid w:val="0"/>
        <w:spacing w:line="360" w:lineRule="auto"/>
        <w:ind w:firstLine="826" w:firstLineChars="294"/>
        <w:rPr>
          <w:rFonts w:hint="eastAsia" w:ascii="宋体" w:hAnsi="宋体" w:cs="宋体"/>
          <w:b/>
          <w:color w:val="auto"/>
          <w:sz w:val="28"/>
          <w:szCs w:val="18"/>
          <w:highlight w:val="none"/>
          <w:u w:val="single"/>
        </w:rPr>
      </w:pPr>
      <w:r>
        <w:rPr>
          <w:rFonts w:hint="eastAsia" w:ascii="宋体" w:hAnsi="宋体" w:cs="宋体"/>
          <w:b/>
          <w:color w:val="auto"/>
          <w:sz w:val="28"/>
          <w:szCs w:val="18"/>
          <w:highlight w:val="none"/>
        </w:rPr>
        <w:t>供应商：</w:t>
      </w:r>
      <w:r>
        <w:rPr>
          <w:rFonts w:hint="eastAsia" w:ascii="宋体" w:hAnsi="宋体" w:cs="宋体"/>
          <w:b/>
          <w:color w:val="auto"/>
          <w:sz w:val="28"/>
          <w:szCs w:val="18"/>
          <w:highlight w:val="none"/>
          <w:u w:val="single"/>
        </w:rPr>
        <w:t xml:space="preserve">                         </w:t>
      </w:r>
      <w:r>
        <w:rPr>
          <w:rFonts w:hint="eastAsia" w:ascii="宋体" w:hAnsi="宋体" w:cs="宋体"/>
          <w:b/>
          <w:color w:val="auto"/>
          <w:sz w:val="28"/>
          <w:szCs w:val="18"/>
          <w:highlight w:val="none"/>
          <w:u w:val="single"/>
        </w:rPr>
        <w:tab/>
      </w:r>
      <w:r>
        <w:rPr>
          <w:rFonts w:hint="eastAsia" w:ascii="宋体" w:hAnsi="宋体" w:cs="宋体"/>
          <w:b/>
          <w:color w:val="auto"/>
          <w:sz w:val="28"/>
          <w:szCs w:val="18"/>
          <w:highlight w:val="none"/>
          <w:u w:val="single"/>
        </w:rPr>
        <w:t xml:space="preserve">   </w:t>
      </w:r>
      <w:r>
        <w:rPr>
          <w:rFonts w:hint="eastAsia" w:ascii="宋体" w:hAnsi="宋体" w:cs="宋体"/>
          <w:b/>
          <w:color w:val="auto"/>
          <w:sz w:val="28"/>
          <w:szCs w:val="18"/>
          <w:highlight w:val="none"/>
        </w:rPr>
        <w:t>（电子签章）</w:t>
      </w:r>
    </w:p>
    <w:p w14:paraId="5FBF2803">
      <w:pPr>
        <w:snapToGrid w:val="0"/>
        <w:spacing w:line="360" w:lineRule="auto"/>
        <w:ind w:firstLine="826" w:firstLineChars="294"/>
        <w:rPr>
          <w:rFonts w:hint="eastAsia" w:ascii="宋体" w:hAnsi="宋体" w:cs="宋体"/>
          <w:b/>
          <w:color w:val="auto"/>
          <w:sz w:val="28"/>
          <w:szCs w:val="18"/>
          <w:highlight w:val="none"/>
        </w:rPr>
      </w:pPr>
      <w:r>
        <w:rPr>
          <w:rFonts w:hint="eastAsia" w:ascii="宋体" w:hAnsi="宋体" w:cs="宋体"/>
          <w:b/>
          <w:color w:val="auto"/>
          <w:sz w:val="28"/>
          <w:szCs w:val="18"/>
          <w:highlight w:val="none"/>
        </w:rPr>
        <w:t>法定代表人或其委托代理人：</w:t>
      </w:r>
      <w:r>
        <w:rPr>
          <w:rFonts w:hint="eastAsia" w:ascii="宋体" w:hAnsi="宋体" w:cs="宋体"/>
          <w:b/>
          <w:color w:val="auto"/>
          <w:sz w:val="28"/>
          <w:szCs w:val="18"/>
          <w:highlight w:val="none"/>
          <w:u w:val="single"/>
        </w:rPr>
        <w:t xml:space="preserve">             </w:t>
      </w:r>
      <w:r>
        <w:rPr>
          <w:rFonts w:hint="eastAsia" w:ascii="宋体" w:hAnsi="宋体" w:cs="宋体"/>
          <w:b/>
          <w:color w:val="auto"/>
          <w:sz w:val="28"/>
          <w:szCs w:val="18"/>
          <w:highlight w:val="none"/>
        </w:rPr>
        <w:t>（电子签章）</w:t>
      </w:r>
    </w:p>
    <w:p w14:paraId="436EDD2C">
      <w:pPr>
        <w:snapToGrid w:val="0"/>
        <w:spacing w:line="360" w:lineRule="auto"/>
        <w:ind w:firstLine="826" w:firstLineChars="294"/>
        <w:rPr>
          <w:rFonts w:hint="eastAsia" w:ascii="宋体" w:hAnsi="宋体" w:cs="宋体"/>
          <w:b/>
          <w:color w:val="auto"/>
          <w:sz w:val="28"/>
          <w:szCs w:val="18"/>
          <w:highlight w:val="none"/>
        </w:rPr>
      </w:pPr>
      <w:r>
        <w:rPr>
          <w:rFonts w:hint="eastAsia" w:ascii="宋体" w:hAnsi="宋体" w:cs="宋体"/>
          <w:b/>
          <w:color w:val="auto"/>
          <w:sz w:val="28"/>
          <w:szCs w:val="18"/>
          <w:highlight w:val="none"/>
        </w:rPr>
        <w:t>日  期：</w:t>
      </w:r>
      <w:r>
        <w:rPr>
          <w:rFonts w:hint="eastAsia" w:ascii="宋体" w:hAnsi="宋体" w:cs="宋体"/>
          <w:b/>
          <w:color w:val="auto"/>
          <w:sz w:val="28"/>
          <w:szCs w:val="18"/>
          <w:highlight w:val="none"/>
          <w:u w:val="single"/>
        </w:rPr>
        <w:t xml:space="preserve">      </w:t>
      </w:r>
      <w:r>
        <w:rPr>
          <w:rFonts w:hint="eastAsia" w:ascii="宋体" w:hAnsi="宋体" w:cs="宋体"/>
          <w:b/>
          <w:color w:val="auto"/>
          <w:sz w:val="28"/>
          <w:szCs w:val="18"/>
          <w:highlight w:val="none"/>
        </w:rPr>
        <w:t>年</w:t>
      </w:r>
      <w:r>
        <w:rPr>
          <w:rFonts w:hint="eastAsia" w:ascii="宋体" w:hAnsi="宋体" w:cs="宋体"/>
          <w:b/>
          <w:color w:val="auto"/>
          <w:sz w:val="28"/>
          <w:szCs w:val="18"/>
          <w:highlight w:val="none"/>
          <w:u w:val="single"/>
        </w:rPr>
        <w:t xml:space="preserve">     </w:t>
      </w:r>
      <w:r>
        <w:rPr>
          <w:rFonts w:hint="eastAsia" w:ascii="宋体" w:hAnsi="宋体" w:cs="宋体"/>
          <w:b/>
          <w:color w:val="auto"/>
          <w:sz w:val="28"/>
          <w:szCs w:val="18"/>
          <w:highlight w:val="none"/>
        </w:rPr>
        <w:t>月</w:t>
      </w:r>
      <w:r>
        <w:rPr>
          <w:rFonts w:hint="eastAsia" w:ascii="宋体" w:hAnsi="宋体" w:cs="宋体"/>
          <w:b/>
          <w:color w:val="auto"/>
          <w:sz w:val="28"/>
          <w:szCs w:val="18"/>
          <w:highlight w:val="none"/>
          <w:u w:val="single"/>
        </w:rPr>
        <w:t xml:space="preserve">     </w:t>
      </w:r>
      <w:r>
        <w:rPr>
          <w:rFonts w:hint="eastAsia" w:ascii="宋体" w:hAnsi="宋体" w:cs="宋体"/>
          <w:b/>
          <w:color w:val="auto"/>
          <w:sz w:val="28"/>
          <w:szCs w:val="18"/>
          <w:highlight w:val="none"/>
        </w:rPr>
        <w:t>日</w:t>
      </w:r>
    </w:p>
    <w:p w14:paraId="0F27B1E9">
      <w:pPr>
        <w:spacing w:line="360" w:lineRule="auto"/>
        <w:rPr>
          <w:rFonts w:hint="eastAsia" w:ascii="宋体" w:hAnsi="宋体" w:cs="宋体"/>
          <w:b/>
          <w:color w:val="auto"/>
          <w:sz w:val="28"/>
          <w:szCs w:val="18"/>
          <w:highlight w:val="none"/>
        </w:rPr>
      </w:pPr>
      <w:r>
        <w:rPr>
          <w:rFonts w:hint="eastAsia" w:ascii="宋体" w:hAnsi="宋体" w:cs="宋体"/>
          <w:b/>
          <w:color w:val="auto"/>
          <w:sz w:val="28"/>
          <w:szCs w:val="18"/>
          <w:highlight w:val="none"/>
        </w:rPr>
        <w:br w:type="page"/>
      </w:r>
    </w:p>
    <w:p w14:paraId="00E0F1B8">
      <w:pPr>
        <w:snapToGrid w:val="0"/>
        <w:spacing w:line="360" w:lineRule="auto"/>
        <w:ind w:firstLine="826" w:firstLineChars="294"/>
        <w:jc w:val="center"/>
        <w:rPr>
          <w:rFonts w:hint="eastAsia" w:ascii="宋体" w:hAnsi="宋体" w:cs="宋体"/>
          <w:b/>
          <w:color w:val="auto"/>
          <w:sz w:val="28"/>
          <w:szCs w:val="18"/>
          <w:highlight w:val="none"/>
        </w:rPr>
      </w:pPr>
      <w:r>
        <w:rPr>
          <w:rFonts w:hint="eastAsia" w:ascii="宋体" w:hAnsi="宋体" w:cs="宋体"/>
          <w:b/>
          <w:color w:val="auto"/>
          <w:sz w:val="28"/>
          <w:szCs w:val="18"/>
          <w:highlight w:val="none"/>
        </w:rPr>
        <w:t>目 录</w:t>
      </w:r>
    </w:p>
    <w:p w14:paraId="50A5CA8D">
      <w:pPr>
        <w:snapToGrid w:val="0"/>
        <w:spacing w:line="360" w:lineRule="auto"/>
        <w:ind w:firstLine="617" w:firstLineChars="294"/>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（供应商自行编制，格式自拟）</w:t>
      </w:r>
    </w:p>
    <w:p w14:paraId="03587199">
      <w:pPr>
        <w:pStyle w:val="5"/>
        <w:spacing w:line="360" w:lineRule="auto"/>
        <w:rPr>
          <w:rFonts w:hint="eastAsia" w:ascii="宋体" w:hAnsi="宋体" w:cs="宋体"/>
          <w:color w:val="auto"/>
          <w:highlight w:val="none"/>
        </w:rPr>
      </w:pPr>
      <w:r>
        <w:rPr>
          <w:rFonts w:hint="eastAsia" w:ascii="宋体" w:hAnsi="宋体" w:cs="宋体"/>
          <w:color w:val="auto"/>
          <w:highlight w:val="none"/>
        </w:rPr>
        <w:br w:type="page"/>
      </w:r>
    </w:p>
    <w:p w14:paraId="730AA883">
      <w:pPr>
        <w:pStyle w:val="3"/>
        <w:spacing w:before="0" w:after="0" w:line="360" w:lineRule="auto"/>
        <w:jc w:val="center"/>
        <w:rPr>
          <w:rFonts w:hint="eastAsia" w:ascii="宋体" w:hAnsi="宋体" w:eastAsia="宋体" w:cs="宋体"/>
          <w:color w:val="auto"/>
          <w:highlight w:val="none"/>
        </w:rPr>
      </w:pPr>
      <w:bookmarkStart w:id="1177" w:name="_Toc179912272"/>
      <w:bookmarkStart w:id="1178" w:name="_Toc31732"/>
      <w:r>
        <w:rPr>
          <w:rFonts w:hint="eastAsia" w:ascii="宋体" w:hAnsi="宋体" w:eastAsia="宋体" w:cs="宋体"/>
          <w:color w:val="auto"/>
          <w:highlight w:val="none"/>
        </w:rPr>
        <w:t>一、资格文件</w:t>
      </w:r>
      <w:bookmarkEnd w:id="1177"/>
      <w:bookmarkEnd w:id="1178"/>
    </w:p>
    <w:p w14:paraId="7AEF90B0">
      <w:pPr>
        <w:pStyle w:val="4"/>
        <w:numPr>
          <w:ilvl w:val="0"/>
          <w:numId w:val="0"/>
        </w:numPr>
        <w:spacing w:before="0" w:after="0"/>
        <w:rPr>
          <w:rFonts w:hint="eastAsia" w:ascii="宋体" w:hAnsi="宋体" w:cs="宋体"/>
          <w:color w:val="auto"/>
          <w:sz w:val="28"/>
          <w:szCs w:val="28"/>
          <w:highlight w:val="none"/>
        </w:rPr>
      </w:pPr>
      <w:bookmarkStart w:id="1179" w:name="_Toc13801"/>
      <w:bookmarkStart w:id="1180" w:name="_Toc179912273"/>
      <w:r>
        <w:rPr>
          <w:rFonts w:hint="eastAsia" w:ascii="宋体" w:hAnsi="宋体" w:cs="宋体"/>
          <w:color w:val="auto"/>
          <w:sz w:val="28"/>
          <w:szCs w:val="28"/>
          <w:highlight w:val="none"/>
        </w:rPr>
        <w:t>1.供应商情况一览表</w:t>
      </w:r>
      <w:bookmarkEnd w:id="1179"/>
      <w:bookmarkEnd w:id="1180"/>
    </w:p>
    <w:tbl>
      <w:tblPr>
        <w:tblStyle w:val="50"/>
        <w:tblW w:w="95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992"/>
        <w:gridCol w:w="1310"/>
        <w:gridCol w:w="905"/>
        <w:gridCol w:w="279"/>
        <w:gridCol w:w="1501"/>
        <w:gridCol w:w="393"/>
        <w:gridCol w:w="112"/>
        <w:gridCol w:w="374"/>
        <w:gridCol w:w="1848"/>
      </w:tblGrid>
      <w:tr w14:paraId="1EF91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843" w:type="dxa"/>
            <w:vAlign w:val="center"/>
          </w:tcPr>
          <w:p w14:paraId="538EADBE">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供应商名称</w:t>
            </w:r>
          </w:p>
        </w:tc>
        <w:tc>
          <w:tcPr>
            <w:tcW w:w="7714" w:type="dxa"/>
            <w:gridSpan w:val="9"/>
            <w:vAlign w:val="center"/>
          </w:tcPr>
          <w:p w14:paraId="23AC2AF7">
            <w:pPr>
              <w:tabs>
                <w:tab w:val="center" w:pos="4153"/>
                <w:tab w:val="right" w:pos="8306"/>
              </w:tabs>
              <w:snapToGrid w:val="0"/>
              <w:spacing w:line="360" w:lineRule="auto"/>
              <w:ind w:firstLine="480"/>
              <w:jc w:val="center"/>
              <w:rPr>
                <w:rFonts w:hint="eastAsia" w:ascii="宋体" w:hAnsi="宋体" w:cs="宋体"/>
                <w:color w:val="auto"/>
                <w:sz w:val="21"/>
                <w:szCs w:val="21"/>
                <w:highlight w:val="none"/>
              </w:rPr>
            </w:pPr>
          </w:p>
        </w:tc>
      </w:tr>
      <w:tr w14:paraId="2C1ED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1843" w:type="dxa"/>
            <w:vAlign w:val="center"/>
          </w:tcPr>
          <w:p w14:paraId="53FB2FB4">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注册地址</w:t>
            </w:r>
          </w:p>
        </w:tc>
        <w:tc>
          <w:tcPr>
            <w:tcW w:w="3486" w:type="dxa"/>
            <w:gridSpan w:val="4"/>
            <w:vAlign w:val="center"/>
          </w:tcPr>
          <w:p w14:paraId="6661FC7B">
            <w:pPr>
              <w:tabs>
                <w:tab w:val="center" w:pos="4153"/>
                <w:tab w:val="right" w:pos="8306"/>
              </w:tabs>
              <w:snapToGrid w:val="0"/>
              <w:spacing w:line="360" w:lineRule="auto"/>
              <w:ind w:firstLine="480"/>
              <w:jc w:val="center"/>
              <w:rPr>
                <w:rFonts w:hint="eastAsia" w:ascii="宋体" w:hAnsi="宋体" w:cs="宋体"/>
                <w:color w:val="auto"/>
                <w:sz w:val="21"/>
                <w:szCs w:val="21"/>
                <w:highlight w:val="none"/>
              </w:rPr>
            </w:pPr>
          </w:p>
        </w:tc>
        <w:tc>
          <w:tcPr>
            <w:tcW w:w="1894" w:type="dxa"/>
            <w:gridSpan w:val="2"/>
            <w:vAlign w:val="center"/>
          </w:tcPr>
          <w:p w14:paraId="581FF0B2">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邮政编码</w:t>
            </w:r>
          </w:p>
        </w:tc>
        <w:tc>
          <w:tcPr>
            <w:tcW w:w="2334" w:type="dxa"/>
            <w:gridSpan w:val="3"/>
            <w:vAlign w:val="center"/>
          </w:tcPr>
          <w:p w14:paraId="5C61B9B9">
            <w:pPr>
              <w:tabs>
                <w:tab w:val="center" w:pos="4153"/>
                <w:tab w:val="right" w:pos="8306"/>
              </w:tabs>
              <w:snapToGrid w:val="0"/>
              <w:spacing w:line="360" w:lineRule="auto"/>
              <w:jc w:val="center"/>
              <w:rPr>
                <w:rFonts w:hint="eastAsia" w:ascii="宋体" w:hAnsi="宋体" w:cs="宋体"/>
                <w:color w:val="auto"/>
                <w:sz w:val="21"/>
                <w:szCs w:val="21"/>
                <w:highlight w:val="none"/>
              </w:rPr>
            </w:pPr>
          </w:p>
        </w:tc>
      </w:tr>
      <w:tr w14:paraId="1C213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843" w:type="dxa"/>
            <w:vMerge w:val="restart"/>
            <w:vAlign w:val="center"/>
          </w:tcPr>
          <w:p w14:paraId="375CDE75">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联系方式</w:t>
            </w:r>
          </w:p>
        </w:tc>
        <w:tc>
          <w:tcPr>
            <w:tcW w:w="992" w:type="dxa"/>
            <w:vAlign w:val="center"/>
          </w:tcPr>
          <w:p w14:paraId="00CF0CD8">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联系人</w:t>
            </w:r>
          </w:p>
        </w:tc>
        <w:tc>
          <w:tcPr>
            <w:tcW w:w="2494" w:type="dxa"/>
            <w:gridSpan w:val="3"/>
            <w:vAlign w:val="center"/>
          </w:tcPr>
          <w:p w14:paraId="222C61E2">
            <w:pPr>
              <w:tabs>
                <w:tab w:val="center" w:pos="4153"/>
                <w:tab w:val="right" w:pos="8306"/>
              </w:tabs>
              <w:snapToGrid w:val="0"/>
              <w:spacing w:line="360" w:lineRule="auto"/>
              <w:ind w:firstLine="480"/>
              <w:jc w:val="center"/>
              <w:rPr>
                <w:rFonts w:hint="eastAsia" w:ascii="宋体" w:hAnsi="宋体" w:cs="宋体"/>
                <w:color w:val="auto"/>
                <w:sz w:val="21"/>
                <w:szCs w:val="21"/>
                <w:highlight w:val="none"/>
              </w:rPr>
            </w:pPr>
          </w:p>
        </w:tc>
        <w:tc>
          <w:tcPr>
            <w:tcW w:w="1894" w:type="dxa"/>
            <w:gridSpan w:val="2"/>
            <w:vAlign w:val="center"/>
          </w:tcPr>
          <w:p w14:paraId="1BB3E369">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tc>
        <w:tc>
          <w:tcPr>
            <w:tcW w:w="2334" w:type="dxa"/>
            <w:gridSpan w:val="3"/>
            <w:vAlign w:val="center"/>
          </w:tcPr>
          <w:p w14:paraId="5F27FCFC">
            <w:pPr>
              <w:tabs>
                <w:tab w:val="center" w:pos="4153"/>
                <w:tab w:val="right" w:pos="8306"/>
              </w:tabs>
              <w:snapToGrid w:val="0"/>
              <w:spacing w:line="360" w:lineRule="auto"/>
              <w:jc w:val="center"/>
              <w:rPr>
                <w:rFonts w:hint="eastAsia" w:ascii="宋体" w:hAnsi="宋体" w:cs="宋体"/>
                <w:color w:val="auto"/>
                <w:sz w:val="21"/>
                <w:szCs w:val="21"/>
                <w:highlight w:val="none"/>
              </w:rPr>
            </w:pPr>
          </w:p>
        </w:tc>
      </w:tr>
      <w:tr w14:paraId="05684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1843" w:type="dxa"/>
            <w:vMerge w:val="continue"/>
            <w:vAlign w:val="center"/>
          </w:tcPr>
          <w:p w14:paraId="42277B1D">
            <w:pPr>
              <w:tabs>
                <w:tab w:val="center" w:pos="4153"/>
                <w:tab w:val="right" w:pos="8306"/>
              </w:tabs>
              <w:snapToGrid w:val="0"/>
              <w:spacing w:line="360" w:lineRule="auto"/>
              <w:ind w:firstLine="480"/>
              <w:jc w:val="center"/>
              <w:rPr>
                <w:rFonts w:hint="eastAsia" w:ascii="宋体" w:hAnsi="宋体" w:cs="宋体"/>
                <w:color w:val="auto"/>
                <w:sz w:val="21"/>
                <w:szCs w:val="21"/>
                <w:highlight w:val="none"/>
              </w:rPr>
            </w:pPr>
          </w:p>
        </w:tc>
        <w:tc>
          <w:tcPr>
            <w:tcW w:w="992" w:type="dxa"/>
            <w:vAlign w:val="center"/>
          </w:tcPr>
          <w:p w14:paraId="7FAAE92A">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p>
        </w:tc>
        <w:tc>
          <w:tcPr>
            <w:tcW w:w="2494" w:type="dxa"/>
            <w:gridSpan w:val="3"/>
            <w:vAlign w:val="center"/>
          </w:tcPr>
          <w:p w14:paraId="5ABFE418">
            <w:pPr>
              <w:tabs>
                <w:tab w:val="center" w:pos="4153"/>
                <w:tab w:val="right" w:pos="8306"/>
              </w:tabs>
              <w:snapToGrid w:val="0"/>
              <w:spacing w:line="360" w:lineRule="auto"/>
              <w:ind w:firstLine="480"/>
              <w:jc w:val="center"/>
              <w:rPr>
                <w:rFonts w:hint="eastAsia" w:ascii="宋体" w:hAnsi="宋体" w:cs="宋体"/>
                <w:color w:val="auto"/>
                <w:sz w:val="21"/>
                <w:szCs w:val="21"/>
                <w:highlight w:val="none"/>
              </w:rPr>
            </w:pPr>
          </w:p>
        </w:tc>
        <w:tc>
          <w:tcPr>
            <w:tcW w:w="1894" w:type="dxa"/>
            <w:gridSpan w:val="2"/>
            <w:vAlign w:val="center"/>
          </w:tcPr>
          <w:p w14:paraId="0E9E6608">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网址</w:t>
            </w:r>
          </w:p>
        </w:tc>
        <w:tc>
          <w:tcPr>
            <w:tcW w:w="2334" w:type="dxa"/>
            <w:gridSpan w:val="3"/>
            <w:vAlign w:val="center"/>
          </w:tcPr>
          <w:p w14:paraId="6DBCF74D">
            <w:pPr>
              <w:tabs>
                <w:tab w:val="center" w:pos="4153"/>
                <w:tab w:val="right" w:pos="8306"/>
              </w:tabs>
              <w:snapToGrid w:val="0"/>
              <w:spacing w:line="360" w:lineRule="auto"/>
              <w:jc w:val="center"/>
              <w:rPr>
                <w:rFonts w:hint="eastAsia" w:ascii="宋体" w:hAnsi="宋体" w:cs="宋体"/>
                <w:color w:val="auto"/>
                <w:sz w:val="21"/>
                <w:szCs w:val="21"/>
                <w:highlight w:val="none"/>
              </w:rPr>
            </w:pPr>
          </w:p>
        </w:tc>
      </w:tr>
      <w:tr w14:paraId="1BF27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843" w:type="dxa"/>
            <w:vAlign w:val="center"/>
          </w:tcPr>
          <w:p w14:paraId="0B74E9A2">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组织结构</w:t>
            </w:r>
          </w:p>
        </w:tc>
        <w:tc>
          <w:tcPr>
            <w:tcW w:w="7714" w:type="dxa"/>
            <w:gridSpan w:val="9"/>
            <w:vAlign w:val="center"/>
          </w:tcPr>
          <w:p w14:paraId="1F33A94C">
            <w:pPr>
              <w:tabs>
                <w:tab w:val="center" w:pos="4153"/>
                <w:tab w:val="right" w:pos="8306"/>
              </w:tabs>
              <w:snapToGrid w:val="0"/>
              <w:spacing w:line="360" w:lineRule="auto"/>
              <w:ind w:firstLine="480"/>
              <w:jc w:val="center"/>
              <w:rPr>
                <w:rFonts w:hint="eastAsia" w:ascii="宋体" w:hAnsi="宋体" w:cs="宋体"/>
                <w:color w:val="auto"/>
                <w:sz w:val="21"/>
                <w:szCs w:val="21"/>
                <w:highlight w:val="none"/>
              </w:rPr>
            </w:pPr>
          </w:p>
        </w:tc>
      </w:tr>
      <w:tr w14:paraId="3DBA3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843" w:type="dxa"/>
            <w:vAlign w:val="center"/>
          </w:tcPr>
          <w:p w14:paraId="403EAD49">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992" w:type="dxa"/>
            <w:vAlign w:val="center"/>
          </w:tcPr>
          <w:p w14:paraId="3F8AA336">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1310" w:type="dxa"/>
            <w:vAlign w:val="center"/>
          </w:tcPr>
          <w:p w14:paraId="44A4125A">
            <w:pPr>
              <w:tabs>
                <w:tab w:val="center" w:pos="4153"/>
                <w:tab w:val="right" w:pos="8306"/>
              </w:tabs>
              <w:snapToGrid w:val="0"/>
              <w:spacing w:line="360" w:lineRule="auto"/>
              <w:jc w:val="center"/>
              <w:rPr>
                <w:rFonts w:hint="eastAsia" w:ascii="宋体" w:hAnsi="宋体" w:cs="宋体"/>
                <w:color w:val="auto"/>
                <w:sz w:val="21"/>
                <w:szCs w:val="21"/>
                <w:highlight w:val="none"/>
              </w:rPr>
            </w:pPr>
          </w:p>
        </w:tc>
        <w:tc>
          <w:tcPr>
            <w:tcW w:w="1184" w:type="dxa"/>
            <w:gridSpan w:val="2"/>
            <w:vAlign w:val="center"/>
          </w:tcPr>
          <w:p w14:paraId="6560E853">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技术职称</w:t>
            </w:r>
          </w:p>
        </w:tc>
        <w:tc>
          <w:tcPr>
            <w:tcW w:w="1501" w:type="dxa"/>
            <w:vAlign w:val="center"/>
          </w:tcPr>
          <w:p w14:paraId="51BDABFE">
            <w:pPr>
              <w:tabs>
                <w:tab w:val="center" w:pos="4153"/>
                <w:tab w:val="right" w:pos="8306"/>
              </w:tabs>
              <w:snapToGrid w:val="0"/>
              <w:spacing w:line="360" w:lineRule="auto"/>
              <w:jc w:val="center"/>
              <w:rPr>
                <w:rFonts w:hint="eastAsia" w:ascii="宋体" w:hAnsi="宋体" w:cs="宋体"/>
                <w:color w:val="auto"/>
                <w:sz w:val="21"/>
                <w:szCs w:val="21"/>
                <w:highlight w:val="none"/>
              </w:rPr>
            </w:pPr>
          </w:p>
        </w:tc>
        <w:tc>
          <w:tcPr>
            <w:tcW w:w="879" w:type="dxa"/>
            <w:gridSpan w:val="3"/>
            <w:vAlign w:val="center"/>
          </w:tcPr>
          <w:p w14:paraId="747C0211">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tc>
        <w:tc>
          <w:tcPr>
            <w:tcW w:w="1848" w:type="dxa"/>
            <w:vAlign w:val="center"/>
          </w:tcPr>
          <w:p w14:paraId="54683B5D">
            <w:pPr>
              <w:tabs>
                <w:tab w:val="center" w:pos="4153"/>
                <w:tab w:val="right" w:pos="8306"/>
              </w:tabs>
              <w:snapToGrid w:val="0"/>
              <w:spacing w:line="360" w:lineRule="auto"/>
              <w:jc w:val="center"/>
              <w:rPr>
                <w:rFonts w:hint="eastAsia" w:ascii="宋体" w:hAnsi="宋体" w:cs="宋体"/>
                <w:color w:val="auto"/>
                <w:sz w:val="21"/>
                <w:szCs w:val="21"/>
                <w:highlight w:val="none"/>
              </w:rPr>
            </w:pPr>
          </w:p>
        </w:tc>
      </w:tr>
      <w:tr w14:paraId="7C13B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1843" w:type="dxa"/>
            <w:vAlign w:val="center"/>
          </w:tcPr>
          <w:p w14:paraId="2C999E1C">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技术负责人</w:t>
            </w:r>
          </w:p>
        </w:tc>
        <w:tc>
          <w:tcPr>
            <w:tcW w:w="992" w:type="dxa"/>
            <w:vAlign w:val="center"/>
          </w:tcPr>
          <w:p w14:paraId="1C5355B1">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1310" w:type="dxa"/>
            <w:vAlign w:val="center"/>
          </w:tcPr>
          <w:p w14:paraId="440B1FA6">
            <w:pPr>
              <w:tabs>
                <w:tab w:val="center" w:pos="4153"/>
                <w:tab w:val="right" w:pos="8306"/>
              </w:tabs>
              <w:snapToGrid w:val="0"/>
              <w:spacing w:line="360" w:lineRule="auto"/>
              <w:jc w:val="center"/>
              <w:rPr>
                <w:rFonts w:hint="eastAsia" w:ascii="宋体" w:hAnsi="宋体" w:cs="宋体"/>
                <w:color w:val="auto"/>
                <w:sz w:val="21"/>
                <w:szCs w:val="21"/>
                <w:highlight w:val="none"/>
              </w:rPr>
            </w:pPr>
          </w:p>
        </w:tc>
        <w:tc>
          <w:tcPr>
            <w:tcW w:w="1184" w:type="dxa"/>
            <w:gridSpan w:val="2"/>
            <w:vAlign w:val="center"/>
          </w:tcPr>
          <w:p w14:paraId="79C9ED8E">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技术职称</w:t>
            </w:r>
          </w:p>
        </w:tc>
        <w:tc>
          <w:tcPr>
            <w:tcW w:w="1501" w:type="dxa"/>
            <w:vAlign w:val="center"/>
          </w:tcPr>
          <w:p w14:paraId="52AB6103">
            <w:pPr>
              <w:tabs>
                <w:tab w:val="center" w:pos="4153"/>
                <w:tab w:val="right" w:pos="8306"/>
              </w:tabs>
              <w:snapToGrid w:val="0"/>
              <w:spacing w:line="360" w:lineRule="auto"/>
              <w:jc w:val="center"/>
              <w:rPr>
                <w:rFonts w:hint="eastAsia" w:ascii="宋体" w:hAnsi="宋体" w:cs="宋体"/>
                <w:color w:val="auto"/>
                <w:sz w:val="21"/>
                <w:szCs w:val="21"/>
                <w:highlight w:val="none"/>
              </w:rPr>
            </w:pPr>
          </w:p>
        </w:tc>
        <w:tc>
          <w:tcPr>
            <w:tcW w:w="879" w:type="dxa"/>
            <w:gridSpan w:val="3"/>
            <w:vAlign w:val="center"/>
          </w:tcPr>
          <w:p w14:paraId="13B596D2">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tc>
        <w:tc>
          <w:tcPr>
            <w:tcW w:w="1848" w:type="dxa"/>
            <w:vAlign w:val="center"/>
          </w:tcPr>
          <w:p w14:paraId="3867AAE4">
            <w:pPr>
              <w:tabs>
                <w:tab w:val="center" w:pos="4153"/>
                <w:tab w:val="right" w:pos="8306"/>
              </w:tabs>
              <w:snapToGrid w:val="0"/>
              <w:spacing w:line="360" w:lineRule="auto"/>
              <w:jc w:val="center"/>
              <w:rPr>
                <w:rFonts w:hint="eastAsia" w:ascii="宋体" w:hAnsi="宋体" w:cs="宋体"/>
                <w:color w:val="auto"/>
                <w:sz w:val="21"/>
                <w:szCs w:val="21"/>
                <w:highlight w:val="none"/>
              </w:rPr>
            </w:pPr>
          </w:p>
        </w:tc>
      </w:tr>
      <w:tr w14:paraId="1B35F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843" w:type="dxa"/>
            <w:vAlign w:val="center"/>
          </w:tcPr>
          <w:p w14:paraId="1AEAC021">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成立时间</w:t>
            </w:r>
          </w:p>
        </w:tc>
        <w:tc>
          <w:tcPr>
            <w:tcW w:w="2302" w:type="dxa"/>
            <w:gridSpan w:val="2"/>
            <w:vAlign w:val="center"/>
          </w:tcPr>
          <w:p w14:paraId="3AD95F78">
            <w:pPr>
              <w:tabs>
                <w:tab w:val="center" w:pos="4153"/>
                <w:tab w:val="right" w:pos="8306"/>
              </w:tabs>
              <w:snapToGrid w:val="0"/>
              <w:spacing w:line="360" w:lineRule="auto"/>
              <w:ind w:firstLine="480"/>
              <w:jc w:val="center"/>
              <w:rPr>
                <w:rFonts w:hint="eastAsia" w:ascii="宋体" w:hAnsi="宋体" w:cs="宋体"/>
                <w:color w:val="auto"/>
                <w:sz w:val="21"/>
                <w:szCs w:val="21"/>
                <w:highlight w:val="none"/>
              </w:rPr>
            </w:pPr>
          </w:p>
        </w:tc>
        <w:tc>
          <w:tcPr>
            <w:tcW w:w="5412" w:type="dxa"/>
            <w:gridSpan w:val="7"/>
            <w:vAlign w:val="center"/>
          </w:tcPr>
          <w:p w14:paraId="40306240">
            <w:pPr>
              <w:tabs>
                <w:tab w:val="center" w:pos="4153"/>
                <w:tab w:val="right" w:pos="8306"/>
              </w:tabs>
              <w:snapToGrid w:val="0"/>
              <w:spacing w:line="360" w:lineRule="auto"/>
              <w:ind w:firstLine="48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员工总人数：      </w:t>
            </w:r>
          </w:p>
        </w:tc>
      </w:tr>
      <w:tr w14:paraId="0FEFA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843" w:type="dxa"/>
            <w:vAlign w:val="center"/>
          </w:tcPr>
          <w:p w14:paraId="00ED1EB5">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企业资质等级</w:t>
            </w:r>
          </w:p>
        </w:tc>
        <w:tc>
          <w:tcPr>
            <w:tcW w:w="2302" w:type="dxa"/>
            <w:gridSpan w:val="2"/>
            <w:vAlign w:val="center"/>
          </w:tcPr>
          <w:p w14:paraId="23BFB855">
            <w:pPr>
              <w:tabs>
                <w:tab w:val="center" w:pos="4153"/>
                <w:tab w:val="right" w:pos="8306"/>
              </w:tabs>
              <w:snapToGrid w:val="0"/>
              <w:spacing w:line="360" w:lineRule="auto"/>
              <w:ind w:firstLine="480"/>
              <w:jc w:val="center"/>
              <w:rPr>
                <w:rFonts w:hint="eastAsia" w:ascii="宋体" w:hAnsi="宋体" w:cs="宋体"/>
                <w:color w:val="auto"/>
                <w:sz w:val="21"/>
                <w:szCs w:val="21"/>
                <w:highlight w:val="none"/>
              </w:rPr>
            </w:pPr>
          </w:p>
        </w:tc>
        <w:tc>
          <w:tcPr>
            <w:tcW w:w="905" w:type="dxa"/>
            <w:vMerge w:val="restart"/>
            <w:vAlign w:val="center"/>
          </w:tcPr>
          <w:p w14:paraId="0D0F5FA9">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其中</w:t>
            </w:r>
          </w:p>
        </w:tc>
        <w:tc>
          <w:tcPr>
            <w:tcW w:w="2285" w:type="dxa"/>
            <w:gridSpan w:val="4"/>
            <w:vAlign w:val="center"/>
          </w:tcPr>
          <w:p w14:paraId="21D5A004">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建造师</w:t>
            </w:r>
          </w:p>
        </w:tc>
        <w:tc>
          <w:tcPr>
            <w:tcW w:w="2222" w:type="dxa"/>
            <w:gridSpan w:val="2"/>
            <w:vAlign w:val="center"/>
          </w:tcPr>
          <w:p w14:paraId="1B686B78">
            <w:pPr>
              <w:tabs>
                <w:tab w:val="center" w:pos="4153"/>
                <w:tab w:val="right" w:pos="8306"/>
              </w:tabs>
              <w:snapToGrid w:val="0"/>
              <w:spacing w:line="360" w:lineRule="auto"/>
              <w:ind w:left="2" w:hanging="2" w:hangingChars="1"/>
              <w:jc w:val="center"/>
              <w:rPr>
                <w:rFonts w:hint="eastAsia" w:ascii="宋体" w:hAnsi="宋体" w:cs="宋体"/>
                <w:color w:val="auto"/>
                <w:sz w:val="21"/>
                <w:szCs w:val="21"/>
                <w:highlight w:val="none"/>
              </w:rPr>
            </w:pPr>
          </w:p>
        </w:tc>
      </w:tr>
      <w:tr w14:paraId="355F5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1843" w:type="dxa"/>
            <w:vAlign w:val="center"/>
          </w:tcPr>
          <w:p w14:paraId="7872B8DF">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营业执照号</w:t>
            </w:r>
          </w:p>
        </w:tc>
        <w:tc>
          <w:tcPr>
            <w:tcW w:w="2302" w:type="dxa"/>
            <w:gridSpan w:val="2"/>
            <w:vAlign w:val="center"/>
          </w:tcPr>
          <w:p w14:paraId="642B304B">
            <w:pPr>
              <w:tabs>
                <w:tab w:val="center" w:pos="4153"/>
                <w:tab w:val="right" w:pos="8306"/>
              </w:tabs>
              <w:snapToGrid w:val="0"/>
              <w:spacing w:line="360" w:lineRule="auto"/>
              <w:jc w:val="center"/>
              <w:rPr>
                <w:rFonts w:hint="eastAsia" w:ascii="宋体" w:hAnsi="宋体" w:cs="宋体"/>
                <w:color w:val="auto"/>
                <w:sz w:val="21"/>
                <w:szCs w:val="21"/>
                <w:highlight w:val="none"/>
              </w:rPr>
            </w:pPr>
          </w:p>
        </w:tc>
        <w:tc>
          <w:tcPr>
            <w:tcW w:w="905" w:type="dxa"/>
            <w:vMerge w:val="continue"/>
            <w:vAlign w:val="center"/>
          </w:tcPr>
          <w:p w14:paraId="67E8976B">
            <w:pPr>
              <w:tabs>
                <w:tab w:val="center" w:pos="4153"/>
                <w:tab w:val="right" w:pos="8306"/>
              </w:tabs>
              <w:snapToGrid w:val="0"/>
              <w:spacing w:line="360" w:lineRule="auto"/>
              <w:ind w:firstLine="480"/>
              <w:jc w:val="center"/>
              <w:rPr>
                <w:rFonts w:hint="eastAsia" w:ascii="宋体" w:hAnsi="宋体" w:cs="宋体"/>
                <w:color w:val="auto"/>
                <w:sz w:val="21"/>
                <w:szCs w:val="21"/>
                <w:highlight w:val="none"/>
              </w:rPr>
            </w:pPr>
          </w:p>
        </w:tc>
        <w:tc>
          <w:tcPr>
            <w:tcW w:w="2285" w:type="dxa"/>
            <w:gridSpan w:val="4"/>
            <w:vAlign w:val="center"/>
          </w:tcPr>
          <w:p w14:paraId="6105CC78">
            <w:pPr>
              <w:tabs>
                <w:tab w:val="center" w:pos="4153"/>
                <w:tab w:val="right" w:pos="8306"/>
              </w:tabs>
              <w:snapToGrid w:val="0"/>
              <w:spacing w:line="360" w:lineRule="auto"/>
              <w:ind w:hanging="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高级职称人员</w:t>
            </w:r>
          </w:p>
        </w:tc>
        <w:tc>
          <w:tcPr>
            <w:tcW w:w="2222" w:type="dxa"/>
            <w:gridSpan w:val="2"/>
            <w:vAlign w:val="center"/>
          </w:tcPr>
          <w:p w14:paraId="36820750">
            <w:pPr>
              <w:tabs>
                <w:tab w:val="center" w:pos="4153"/>
                <w:tab w:val="right" w:pos="8306"/>
              </w:tabs>
              <w:snapToGrid w:val="0"/>
              <w:spacing w:line="360" w:lineRule="auto"/>
              <w:ind w:left="2" w:hanging="2" w:hangingChars="1"/>
              <w:jc w:val="center"/>
              <w:rPr>
                <w:rFonts w:hint="eastAsia" w:ascii="宋体" w:hAnsi="宋体" w:cs="宋体"/>
                <w:color w:val="auto"/>
                <w:sz w:val="21"/>
                <w:szCs w:val="21"/>
                <w:highlight w:val="none"/>
              </w:rPr>
            </w:pPr>
          </w:p>
        </w:tc>
      </w:tr>
      <w:tr w14:paraId="087B7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843" w:type="dxa"/>
            <w:vAlign w:val="center"/>
          </w:tcPr>
          <w:p w14:paraId="263BD81A">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注册资金</w:t>
            </w:r>
          </w:p>
        </w:tc>
        <w:tc>
          <w:tcPr>
            <w:tcW w:w="2302" w:type="dxa"/>
            <w:gridSpan w:val="2"/>
            <w:vAlign w:val="center"/>
          </w:tcPr>
          <w:p w14:paraId="60DE25F9">
            <w:pPr>
              <w:tabs>
                <w:tab w:val="center" w:pos="4153"/>
                <w:tab w:val="right" w:pos="8306"/>
              </w:tabs>
              <w:snapToGrid w:val="0"/>
              <w:spacing w:line="360" w:lineRule="auto"/>
              <w:ind w:firstLine="480"/>
              <w:jc w:val="center"/>
              <w:rPr>
                <w:rFonts w:hint="eastAsia" w:ascii="宋体" w:hAnsi="宋体" w:cs="宋体"/>
                <w:color w:val="auto"/>
                <w:sz w:val="21"/>
                <w:szCs w:val="21"/>
                <w:highlight w:val="none"/>
              </w:rPr>
            </w:pPr>
          </w:p>
        </w:tc>
        <w:tc>
          <w:tcPr>
            <w:tcW w:w="905" w:type="dxa"/>
            <w:vMerge w:val="continue"/>
            <w:vAlign w:val="center"/>
          </w:tcPr>
          <w:p w14:paraId="4563BB11">
            <w:pPr>
              <w:tabs>
                <w:tab w:val="center" w:pos="4153"/>
                <w:tab w:val="right" w:pos="8306"/>
              </w:tabs>
              <w:snapToGrid w:val="0"/>
              <w:spacing w:line="360" w:lineRule="auto"/>
              <w:ind w:firstLine="480"/>
              <w:jc w:val="center"/>
              <w:rPr>
                <w:rFonts w:hint="eastAsia" w:ascii="宋体" w:hAnsi="宋体" w:cs="宋体"/>
                <w:color w:val="auto"/>
                <w:sz w:val="21"/>
                <w:szCs w:val="21"/>
                <w:highlight w:val="none"/>
              </w:rPr>
            </w:pPr>
          </w:p>
        </w:tc>
        <w:tc>
          <w:tcPr>
            <w:tcW w:w="2285" w:type="dxa"/>
            <w:gridSpan w:val="4"/>
            <w:vAlign w:val="center"/>
          </w:tcPr>
          <w:p w14:paraId="1E0C4D73">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中级职称人员</w:t>
            </w:r>
          </w:p>
        </w:tc>
        <w:tc>
          <w:tcPr>
            <w:tcW w:w="2222" w:type="dxa"/>
            <w:gridSpan w:val="2"/>
            <w:vAlign w:val="center"/>
          </w:tcPr>
          <w:p w14:paraId="5903F930">
            <w:pPr>
              <w:tabs>
                <w:tab w:val="center" w:pos="4153"/>
                <w:tab w:val="right" w:pos="8306"/>
              </w:tabs>
              <w:snapToGrid w:val="0"/>
              <w:spacing w:line="360" w:lineRule="auto"/>
              <w:ind w:left="2" w:hanging="2" w:hangingChars="1"/>
              <w:jc w:val="center"/>
              <w:rPr>
                <w:rFonts w:hint="eastAsia" w:ascii="宋体" w:hAnsi="宋体" w:cs="宋体"/>
                <w:color w:val="auto"/>
                <w:sz w:val="21"/>
                <w:szCs w:val="21"/>
                <w:highlight w:val="none"/>
              </w:rPr>
            </w:pPr>
          </w:p>
        </w:tc>
      </w:tr>
      <w:tr w14:paraId="2944F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843" w:type="dxa"/>
            <w:vAlign w:val="center"/>
          </w:tcPr>
          <w:p w14:paraId="04066034">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p>
        </w:tc>
        <w:tc>
          <w:tcPr>
            <w:tcW w:w="2302" w:type="dxa"/>
            <w:gridSpan w:val="2"/>
            <w:vAlign w:val="center"/>
          </w:tcPr>
          <w:p w14:paraId="03A55AB3">
            <w:pPr>
              <w:tabs>
                <w:tab w:val="center" w:pos="4153"/>
                <w:tab w:val="right" w:pos="8306"/>
              </w:tabs>
              <w:snapToGrid w:val="0"/>
              <w:spacing w:line="360" w:lineRule="auto"/>
              <w:jc w:val="center"/>
              <w:rPr>
                <w:rFonts w:hint="eastAsia" w:ascii="宋体" w:hAnsi="宋体" w:cs="宋体"/>
                <w:color w:val="auto"/>
                <w:sz w:val="21"/>
                <w:szCs w:val="21"/>
                <w:highlight w:val="none"/>
              </w:rPr>
            </w:pPr>
          </w:p>
        </w:tc>
        <w:tc>
          <w:tcPr>
            <w:tcW w:w="905" w:type="dxa"/>
            <w:vMerge w:val="continue"/>
            <w:vAlign w:val="center"/>
          </w:tcPr>
          <w:p w14:paraId="79953427">
            <w:pPr>
              <w:tabs>
                <w:tab w:val="center" w:pos="4153"/>
                <w:tab w:val="right" w:pos="8306"/>
              </w:tabs>
              <w:snapToGrid w:val="0"/>
              <w:spacing w:line="360" w:lineRule="auto"/>
              <w:ind w:firstLine="480"/>
              <w:jc w:val="center"/>
              <w:rPr>
                <w:rFonts w:hint="eastAsia" w:ascii="宋体" w:hAnsi="宋体" w:cs="宋体"/>
                <w:color w:val="auto"/>
                <w:sz w:val="21"/>
                <w:szCs w:val="21"/>
                <w:highlight w:val="none"/>
              </w:rPr>
            </w:pPr>
          </w:p>
        </w:tc>
        <w:tc>
          <w:tcPr>
            <w:tcW w:w="2285" w:type="dxa"/>
            <w:gridSpan w:val="4"/>
            <w:vAlign w:val="center"/>
          </w:tcPr>
          <w:p w14:paraId="6BFEC609">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初级职称人员</w:t>
            </w:r>
          </w:p>
        </w:tc>
        <w:tc>
          <w:tcPr>
            <w:tcW w:w="2222" w:type="dxa"/>
            <w:gridSpan w:val="2"/>
            <w:vAlign w:val="center"/>
          </w:tcPr>
          <w:p w14:paraId="28002981">
            <w:pPr>
              <w:tabs>
                <w:tab w:val="center" w:pos="4153"/>
                <w:tab w:val="right" w:pos="8306"/>
              </w:tabs>
              <w:snapToGrid w:val="0"/>
              <w:spacing w:line="360" w:lineRule="auto"/>
              <w:ind w:left="2" w:hanging="2" w:hangingChars="1"/>
              <w:jc w:val="center"/>
              <w:rPr>
                <w:rFonts w:hint="eastAsia" w:ascii="宋体" w:hAnsi="宋体" w:cs="宋体"/>
                <w:color w:val="auto"/>
                <w:sz w:val="21"/>
                <w:szCs w:val="21"/>
                <w:highlight w:val="none"/>
              </w:rPr>
            </w:pPr>
          </w:p>
        </w:tc>
      </w:tr>
      <w:tr w14:paraId="081AF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43" w:type="dxa"/>
            <w:vAlign w:val="center"/>
          </w:tcPr>
          <w:p w14:paraId="55156B7B">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账号</w:t>
            </w:r>
          </w:p>
        </w:tc>
        <w:tc>
          <w:tcPr>
            <w:tcW w:w="2302" w:type="dxa"/>
            <w:gridSpan w:val="2"/>
            <w:vAlign w:val="center"/>
          </w:tcPr>
          <w:p w14:paraId="31C941C0">
            <w:pPr>
              <w:tabs>
                <w:tab w:val="center" w:pos="4153"/>
                <w:tab w:val="right" w:pos="8306"/>
              </w:tabs>
              <w:snapToGrid w:val="0"/>
              <w:spacing w:line="360" w:lineRule="auto"/>
              <w:jc w:val="center"/>
              <w:rPr>
                <w:rFonts w:hint="eastAsia" w:ascii="宋体" w:hAnsi="宋体" w:cs="宋体"/>
                <w:color w:val="auto"/>
                <w:sz w:val="21"/>
                <w:szCs w:val="21"/>
                <w:highlight w:val="none"/>
              </w:rPr>
            </w:pPr>
          </w:p>
        </w:tc>
        <w:tc>
          <w:tcPr>
            <w:tcW w:w="905" w:type="dxa"/>
            <w:vMerge w:val="continue"/>
            <w:vAlign w:val="center"/>
          </w:tcPr>
          <w:p w14:paraId="10EC2417">
            <w:pPr>
              <w:tabs>
                <w:tab w:val="center" w:pos="4153"/>
                <w:tab w:val="right" w:pos="8306"/>
              </w:tabs>
              <w:snapToGrid w:val="0"/>
              <w:spacing w:line="360" w:lineRule="auto"/>
              <w:ind w:firstLine="480"/>
              <w:jc w:val="center"/>
              <w:rPr>
                <w:rFonts w:hint="eastAsia" w:ascii="宋体" w:hAnsi="宋体" w:cs="宋体"/>
                <w:color w:val="auto"/>
                <w:sz w:val="21"/>
                <w:szCs w:val="21"/>
                <w:highlight w:val="none"/>
              </w:rPr>
            </w:pPr>
          </w:p>
        </w:tc>
        <w:tc>
          <w:tcPr>
            <w:tcW w:w="2285" w:type="dxa"/>
            <w:gridSpan w:val="4"/>
            <w:vAlign w:val="center"/>
          </w:tcPr>
          <w:p w14:paraId="4E3148D1">
            <w:pPr>
              <w:tabs>
                <w:tab w:val="center" w:pos="4153"/>
                <w:tab w:val="right" w:pos="8306"/>
              </w:tabs>
              <w:snapToGrid w:val="0"/>
              <w:spacing w:line="360" w:lineRule="auto"/>
              <w:ind w:hanging="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技工</w:t>
            </w:r>
          </w:p>
        </w:tc>
        <w:tc>
          <w:tcPr>
            <w:tcW w:w="2222" w:type="dxa"/>
            <w:gridSpan w:val="2"/>
            <w:vAlign w:val="center"/>
          </w:tcPr>
          <w:p w14:paraId="53C3582F">
            <w:pPr>
              <w:tabs>
                <w:tab w:val="center" w:pos="4153"/>
                <w:tab w:val="right" w:pos="8306"/>
              </w:tabs>
              <w:snapToGrid w:val="0"/>
              <w:spacing w:line="360" w:lineRule="auto"/>
              <w:ind w:left="2" w:hanging="2" w:hangingChars="1"/>
              <w:jc w:val="center"/>
              <w:rPr>
                <w:rFonts w:hint="eastAsia" w:ascii="宋体" w:hAnsi="宋体" w:cs="宋体"/>
                <w:color w:val="auto"/>
                <w:sz w:val="21"/>
                <w:szCs w:val="21"/>
                <w:highlight w:val="none"/>
              </w:rPr>
            </w:pPr>
          </w:p>
        </w:tc>
      </w:tr>
      <w:tr w14:paraId="5B113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843" w:type="dxa"/>
            <w:vAlign w:val="center"/>
          </w:tcPr>
          <w:p w14:paraId="0C7F6D51">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7714" w:type="dxa"/>
            <w:gridSpan w:val="9"/>
            <w:vAlign w:val="center"/>
          </w:tcPr>
          <w:p w14:paraId="0F917A65">
            <w:pPr>
              <w:tabs>
                <w:tab w:val="center" w:pos="4153"/>
                <w:tab w:val="right" w:pos="8306"/>
              </w:tabs>
              <w:snapToGrid w:val="0"/>
              <w:spacing w:line="360" w:lineRule="auto"/>
              <w:rPr>
                <w:rFonts w:hint="eastAsia" w:ascii="宋体" w:hAnsi="宋体" w:cs="宋体"/>
                <w:color w:val="auto"/>
                <w:sz w:val="21"/>
                <w:szCs w:val="21"/>
                <w:highlight w:val="none"/>
              </w:rPr>
            </w:pPr>
          </w:p>
        </w:tc>
      </w:tr>
      <w:tr w14:paraId="126C6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843" w:type="dxa"/>
            <w:vAlign w:val="center"/>
          </w:tcPr>
          <w:p w14:paraId="3D7DDCF0">
            <w:pPr>
              <w:tabs>
                <w:tab w:val="center" w:pos="4153"/>
                <w:tab w:val="right" w:pos="8306"/>
              </w:tabs>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c>
          <w:tcPr>
            <w:tcW w:w="7714" w:type="dxa"/>
            <w:gridSpan w:val="9"/>
            <w:vAlign w:val="center"/>
          </w:tcPr>
          <w:p w14:paraId="2091BF80">
            <w:pPr>
              <w:tabs>
                <w:tab w:val="center" w:pos="4153"/>
                <w:tab w:val="right" w:pos="8306"/>
              </w:tabs>
              <w:snapToGrid w:val="0"/>
              <w:spacing w:line="360" w:lineRule="auto"/>
              <w:jc w:val="center"/>
              <w:rPr>
                <w:rFonts w:hint="eastAsia" w:ascii="宋体" w:hAnsi="宋体" w:cs="宋体"/>
                <w:color w:val="auto"/>
                <w:sz w:val="21"/>
                <w:szCs w:val="21"/>
                <w:highlight w:val="none"/>
              </w:rPr>
            </w:pPr>
          </w:p>
        </w:tc>
      </w:tr>
    </w:tbl>
    <w:p w14:paraId="631CC8C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本表后请附以下资料，供应商应确保提供的资料清晰可辨，因资料模糊不清无法辨认的将可能导致否决响应文件。</w:t>
      </w:r>
    </w:p>
    <w:p w14:paraId="624EBB6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（1）企业营业执照扫描件；</w:t>
      </w:r>
    </w:p>
    <w:p w14:paraId="01793598">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（2）企业资质证书扫描件；</w:t>
      </w:r>
    </w:p>
    <w:p w14:paraId="2209B86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（3）企业安全生产许可证扫描件；</w:t>
      </w:r>
    </w:p>
    <w:p w14:paraId="69F3F30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（4）供应商认为需要提供的其他证明材料扫描件。</w:t>
      </w:r>
    </w:p>
    <w:p w14:paraId="4EBF2DF2">
      <w:pPr>
        <w:autoSpaceDE w:val="0"/>
        <w:autoSpaceDN w:val="0"/>
        <w:adjustRightInd w:val="0"/>
        <w:snapToGrid w:val="0"/>
        <w:spacing w:line="360" w:lineRule="auto"/>
        <w:ind w:firstLine="420" w:firstLineChars="200"/>
        <w:rPr>
          <w:rFonts w:hint="eastAsia" w:ascii="宋体" w:hAnsi="宋体" w:cs="宋体"/>
          <w:color w:val="auto"/>
          <w:sz w:val="21"/>
          <w:szCs w:val="21"/>
          <w:highlight w:val="none"/>
        </w:rPr>
      </w:pPr>
      <w:bookmarkStart w:id="1181" w:name="_Toc13331"/>
      <w:bookmarkStart w:id="1182" w:name="_Toc31980"/>
      <w:bookmarkStart w:id="1183" w:name="_Toc16644"/>
      <w:bookmarkStart w:id="1184" w:name="_Toc9322777"/>
      <w:r>
        <w:rPr>
          <w:rFonts w:hint="eastAsia" w:ascii="宋体" w:hAnsi="宋体" w:cs="宋体"/>
          <w:color w:val="auto"/>
          <w:sz w:val="21"/>
          <w:szCs w:val="21"/>
          <w:highlight w:val="none"/>
        </w:rPr>
        <w:t>供应商：</w:t>
      </w:r>
      <w:r>
        <w:rPr>
          <w:rFonts w:hint="eastAsia" w:ascii="宋体" w:hAnsi="宋体" w:cs="宋体"/>
          <w:color w:val="auto"/>
          <w:sz w:val="21"/>
          <w:szCs w:val="21"/>
          <w:highlight w:val="none"/>
          <w:u w:val="single"/>
        </w:rPr>
        <w:t xml:space="preserve">                      </w:t>
      </w:r>
      <w:r>
        <w:rPr>
          <w:rFonts w:hint="eastAsia" w:ascii="宋体" w:hAnsi="宋体" w:cs="宋体"/>
          <w:color w:val="auto"/>
          <w:spacing w:val="14"/>
          <w:sz w:val="21"/>
          <w:szCs w:val="21"/>
          <w:highlight w:val="none"/>
        </w:rPr>
        <w:t>（电子签章）</w:t>
      </w:r>
    </w:p>
    <w:p w14:paraId="17526958">
      <w:pPr>
        <w:autoSpaceDE w:val="0"/>
        <w:autoSpaceDN w:val="0"/>
        <w:adjustRightInd w:val="0"/>
        <w:snapToGrid w:val="0"/>
        <w:spacing w:line="360" w:lineRule="auto"/>
        <w:ind w:firstLine="464" w:firstLineChars="200"/>
        <w:rPr>
          <w:rFonts w:hint="eastAsia" w:ascii="宋体" w:hAnsi="宋体" w:cs="宋体"/>
          <w:color w:val="auto"/>
          <w:spacing w:val="11"/>
          <w:sz w:val="21"/>
          <w:szCs w:val="21"/>
          <w:highlight w:val="none"/>
        </w:rPr>
      </w:pPr>
      <w:r>
        <w:rPr>
          <w:rFonts w:hint="eastAsia" w:ascii="宋体" w:hAnsi="宋体" w:cs="宋体"/>
          <w:color w:val="auto"/>
          <w:spacing w:val="11"/>
          <w:sz w:val="21"/>
          <w:szCs w:val="21"/>
          <w:highlight w:val="none"/>
        </w:rPr>
        <w:t>法定代表人或其委托代理人：</w:t>
      </w:r>
      <w:r>
        <w:rPr>
          <w:rFonts w:hint="eastAsia" w:ascii="宋体" w:hAnsi="宋体" w:cs="宋体"/>
          <w:color w:val="auto"/>
          <w:spacing w:val="11"/>
          <w:sz w:val="21"/>
          <w:szCs w:val="21"/>
          <w:highlight w:val="none"/>
          <w:u w:val="single"/>
        </w:rPr>
        <w:t xml:space="preserve">       </w:t>
      </w:r>
      <w:r>
        <w:rPr>
          <w:rFonts w:hint="eastAsia" w:ascii="宋体" w:hAnsi="宋体" w:cs="宋体"/>
          <w:color w:val="auto"/>
          <w:spacing w:val="11"/>
          <w:sz w:val="21"/>
          <w:szCs w:val="21"/>
          <w:highlight w:val="none"/>
        </w:rPr>
        <w:t>（</w:t>
      </w:r>
      <w:r>
        <w:rPr>
          <w:rFonts w:hint="eastAsia" w:ascii="宋体" w:hAnsi="宋体" w:cs="宋体"/>
          <w:color w:val="auto"/>
          <w:spacing w:val="14"/>
          <w:sz w:val="21"/>
          <w:szCs w:val="21"/>
          <w:highlight w:val="none"/>
        </w:rPr>
        <w:t>电子签章</w:t>
      </w:r>
      <w:r>
        <w:rPr>
          <w:rFonts w:hint="eastAsia" w:ascii="宋体" w:hAnsi="宋体" w:cs="宋体"/>
          <w:color w:val="auto"/>
          <w:spacing w:val="11"/>
          <w:sz w:val="21"/>
          <w:szCs w:val="21"/>
          <w:highlight w:val="none"/>
        </w:rPr>
        <w:t>）</w:t>
      </w:r>
    </w:p>
    <w:p w14:paraId="4FA012EF">
      <w:pPr>
        <w:spacing w:line="360" w:lineRule="auto"/>
        <w:ind w:firstLine="420" w:firstLineChars="200"/>
        <w:rPr>
          <w:rFonts w:hint="eastAsia" w:ascii="宋体" w:hAnsi="宋体" w:cs="宋体"/>
          <w:color w:val="auto"/>
          <w:sz w:val="24"/>
          <w:szCs w:val="24"/>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4B033CFB">
      <w:pPr>
        <w:pStyle w:val="4"/>
        <w:numPr>
          <w:ilvl w:val="0"/>
          <w:numId w:val="0"/>
        </w:numPr>
        <w:spacing w:before="0" w:after="0"/>
        <w:rPr>
          <w:rFonts w:hint="eastAsia" w:ascii="宋体" w:hAnsi="宋体" w:cs="宋体"/>
          <w:bCs/>
          <w:color w:val="auto"/>
          <w:sz w:val="24"/>
          <w:szCs w:val="24"/>
          <w:highlight w:val="none"/>
        </w:rPr>
      </w:pPr>
      <w:bookmarkStart w:id="1185" w:name="_Toc179912274"/>
      <w:bookmarkStart w:id="1186" w:name="_Toc179529440"/>
      <w:bookmarkStart w:id="1187" w:name="_Toc4672"/>
      <w:r>
        <w:rPr>
          <w:rFonts w:hint="eastAsia" w:ascii="宋体" w:hAnsi="宋体" w:cs="宋体"/>
          <w:bCs/>
          <w:color w:val="auto"/>
          <w:sz w:val="24"/>
          <w:szCs w:val="24"/>
          <w:highlight w:val="none"/>
        </w:rPr>
        <w:t>2.具有良好的商业信誉和健全的财务会计制度</w:t>
      </w:r>
      <w:bookmarkEnd w:id="1185"/>
      <w:bookmarkEnd w:id="1186"/>
      <w:bookmarkEnd w:id="1187"/>
    </w:p>
    <w:p w14:paraId="5647411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符合第二章“供应商须知前附表”第1.4.1项规定附证明材料。</w:t>
      </w:r>
    </w:p>
    <w:bookmarkEnd w:id="1181"/>
    <w:bookmarkEnd w:id="1182"/>
    <w:p w14:paraId="06985238">
      <w:pPr>
        <w:spacing w:line="360" w:lineRule="auto"/>
        <w:rPr>
          <w:rFonts w:hint="eastAsia" w:ascii="宋体" w:hAnsi="宋体" w:cs="宋体"/>
          <w:b/>
          <w:color w:val="auto"/>
          <w:sz w:val="24"/>
          <w:szCs w:val="24"/>
          <w:highlight w:val="none"/>
        </w:rPr>
      </w:pPr>
      <w:r>
        <w:rPr>
          <w:rFonts w:hint="eastAsia" w:ascii="宋体" w:hAnsi="宋体" w:cs="宋体"/>
          <w:color w:val="auto"/>
          <w:sz w:val="24"/>
          <w:szCs w:val="24"/>
          <w:highlight w:val="none"/>
        </w:rPr>
        <w:br w:type="page"/>
      </w:r>
    </w:p>
    <w:p w14:paraId="1C96D96E">
      <w:pPr>
        <w:pStyle w:val="4"/>
        <w:numPr>
          <w:ilvl w:val="0"/>
          <w:numId w:val="0"/>
        </w:numPr>
        <w:spacing w:before="0" w:after="0"/>
        <w:rPr>
          <w:rStyle w:val="67"/>
          <w:rFonts w:hint="eastAsia" w:ascii="宋体" w:hAnsi="宋体" w:cs="宋体"/>
          <w:b w:val="0"/>
          <w:color w:val="auto"/>
          <w:highlight w:val="none"/>
        </w:rPr>
      </w:pPr>
      <w:bookmarkStart w:id="1188" w:name="_Toc32711"/>
      <w:bookmarkStart w:id="1189" w:name="_Toc179912275"/>
      <w:bookmarkStart w:id="1190" w:name="_Toc179529441"/>
      <w:r>
        <w:rPr>
          <w:rFonts w:hint="eastAsia" w:ascii="宋体" w:hAnsi="宋体" w:cs="宋体"/>
          <w:color w:val="auto"/>
          <w:sz w:val="24"/>
          <w:szCs w:val="24"/>
          <w:highlight w:val="none"/>
        </w:rPr>
        <w:t>3.具有依法缴纳税收和社会保障资金的良好记录</w:t>
      </w:r>
      <w:bookmarkEnd w:id="1188"/>
      <w:bookmarkEnd w:id="1189"/>
      <w:bookmarkEnd w:id="1190"/>
    </w:p>
    <w:p w14:paraId="62201572">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符合第二章“供应商须知前附表”第1.4.1项规定附证明材料。</w:t>
      </w:r>
    </w:p>
    <w:p w14:paraId="03E39102">
      <w:pPr>
        <w:adjustRightInd w:val="0"/>
        <w:snapToGrid w:val="0"/>
        <w:spacing w:line="360" w:lineRule="auto"/>
        <w:ind w:firstLine="484"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rPr>
        <w:t xml:space="preserve"> </w:t>
      </w:r>
    </w:p>
    <w:p w14:paraId="4C3E9DFE">
      <w:pPr>
        <w:pStyle w:val="4"/>
        <w:numPr>
          <w:ilvl w:val="0"/>
          <w:numId w:val="0"/>
        </w:numPr>
        <w:spacing w:before="0" w:after="0"/>
        <w:rPr>
          <w:rFonts w:hint="eastAsia" w:ascii="宋体" w:hAnsi="宋体" w:cs="宋体"/>
          <w:color w:val="auto"/>
          <w:sz w:val="24"/>
          <w:szCs w:val="24"/>
          <w:highlight w:val="none"/>
        </w:rPr>
      </w:pPr>
      <w:r>
        <w:rPr>
          <w:rFonts w:hint="eastAsia" w:ascii="宋体" w:hAnsi="宋体" w:cs="宋体"/>
          <w:color w:val="auto"/>
          <w:highlight w:val="none"/>
        </w:rPr>
        <w:br w:type="page"/>
      </w:r>
      <w:bookmarkEnd w:id="1183"/>
      <w:bookmarkEnd w:id="1184"/>
      <w:bookmarkStart w:id="1191" w:name="_Toc3069"/>
      <w:bookmarkStart w:id="1192" w:name="_Toc179529442"/>
      <w:bookmarkStart w:id="1193" w:name="_Toc179912276"/>
      <w:bookmarkStart w:id="1194" w:name="_Toc13418"/>
      <w:bookmarkStart w:id="1195" w:name="_Toc18801"/>
      <w:r>
        <w:rPr>
          <w:rFonts w:hint="eastAsia" w:ascii="宋体" w:hAnsi="宋体" w:cs="宋体"/>
          <w:color w:val="auto"/>
          <w:sz w:val="24"/>
          <w:szCs w:val="24"/>
          <w:highlight w:val="none"/>
        </w:rPr>
        <w:t>4.具有履行合同所必需的设备和专业技术能力</w:t>
      </w:r>
      <w:bookmarkEnd w:id="1191"/>
      <w:bookmarkEnd w:id="1192"/>
      <w:bookmarkEnd w:id="1193"/>
    </w:p>
    <w:p w14:paraId="193FEFD1">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提供具备履行合同所必需的设备和专业技术能力的证明材料或承诺书（格式及内容自拟）。</w:t>
      </w:r>
    </w:p>
    <w:p w14:paraId="44DFF6E6">
      <w:pPr>
        <w:pStyle w:val="4"/>
        <w:numPr>
          <w:ilvl w:val="2"/>
          <w:numId w:val="0"/>
        </w:numPr>
        <w:spacing w:before="0" w:after="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1196" w:name="_Toc5034"/>
      <w:bookmarkStart w:id="1197" w:name="_Toc179912277"/>
      <w:bookmarkStart w:id="1198" w:name="_Toc179529443"/>
      <w:r>
        <w:rPr>
          <w:rFonts w:hint="eastAsia" w:ascii="宋体" w:hAnsi="宋体" w:cs="宋体"/>
          <w:color w:val="auto"/>
          <w:sz w:val="24"/>
          <w:szCs w:val="24"/>
          <w:highlight w:val="none"/>
        </w:rPr>
        <w:t>5.声明函</w:t>
      </w:r>
      <w:bookmarkEnd w:id="1194"/>
      <w:bookmarkEnd w:id="1195"/>
      <w:bookmarkEnd w:id="1196"/>
      <w:bookmarkEnd w:id="1197"/>
      <w:bookmarkEnd w:id="1198"/>
    </w:p>
    <w:p w14:paraId="5F0FA474">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xml:space="preserve">      （采购人名称）</w:t>
      </w:r>
    </w:p>
    <w:p w14:paraId="7624DA3E">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我单位参加本次政府采购活动前三年内在经营活动中</w:t>
      </w:r>
      <w:r>
        <w:rPr>
          <w:rFonts w:hint="eastAsia" w:ascii="宋体" w:hAnsi="宋体" w:cs="宋体"/>
          <w:color w:val="auto"/>
          <w:sz w:val="21"/>
          <w:szCs w:val="21"/>
          <w:highlight w:val="none"/>
          <w:u w:val="single"/>
        </w:rPr>
        <w:t xml:space="preserve">   （此处填“有”或“没有”）</w:t>
      </w:r>
      <w:r>
        <w:rPr>
          <w:rFonts w:hint="eastAsia" w:ascii="宋体" w:hAnsi="宋体" w:cs="宋体"/>
          <w:color w:val="auto"/>
          <w:sz w:val="21"/>
          <w:szCs w:val="21"/>
          <w:highlight w:val="none"/>
        </w:rPr>
        <w:t>重大违法记录</w:t>
      </w:r>
      <w:r>
        <w:rPr>
          <w:rFonts w:hint="eastAsia" w:ascii="宋体" w:hAnsi="宋体" w:cs="宋体"/>
          <w:color w:val="auto"/>
          <w:spacing w:val="1"/>
          <w:sz w:val="21"/>
          <w:szCs w:val="21"/>
          <w:highlight w:val="none"/>
        </w:rPr>
        <w:t>（重大违法记录，是指供应商因违法经营受到刑事处罚或者责令停产停业、吊销许可证或者执照、较大数额罚款等行政处罚）。</w:t>
      </w:r>
    </w:p>
    <w:p w14:paraId="7ED57022">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如发现我单位提供的声明函不实时，我单位将按照</w:t>
      </w:r>
      <w:r>
        <w:rPr>
          <w:rFonts w:hint="eastAsia" w:ascii="宋体" w:hAnsi="宋体" w:cs="宋体"/>
          <w:color w:val="auto"/>
          <w:sz w:val="21"/>
          <w:szCs w:val="21"/>
          <w:highlight w:val="none"/>
          <w:lang w:eastAsia="zh-CN"/>
        </w:rPr>
        <w:t>《中华人民共和国政府采购法》</w:t>
      </w:r>
      <w:r>
        <w:rPr>
          <w:rFonts w:hint="eastAsia" w:ascii="宋体" w:hAnsi="宋体" w:cs="宋体"/>
          <w:color w:val="auto"/>
          <w:sz w:val="21"/>
          <w:szCs w:val="21"/>
          <w:highlight w:val="none"/>
        </w:rPr>
        <w:t>有关提供虚假材料的规定，接受处罚。</w:t>
      </w:r>
    </w:p>
    <w:p w14:paraId="5D3BD30B">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特此声明。</w:t>
      </w:r>
    </w:p>
    <w:p w14:paraId="5B1C2F3A">
      <w:pPr>
        <w:pStyle w:val="5"/>
        <w:spacing w:line="360" w:lineRule="auto"/>
        <w:rPr>
          <w:rFonts w:hint="eastAsia" w:ascii="宋体" w:hAnsi="宋体" w:cs="宋体"/>
          <w:color w:val="auto"/>
          <w:sz w:val="21"/>
          <w:szCs w:val="21"/>
          <w:highlight w:val="none"/>
        </w:rPr>
      </w:pPr>
    </w:p>
    <w:p w14:paraId="634CA2ED">
      <w:pPr>
        <w:pStyle w:val="5"/>
        <w:spacing w:line="360" w:lineRule="auto"/>
        <w:ind w:firstLine="0"/>
        <w:rPr>
          <w:rFonts w:hint="eastAsia" w:ascii="宋体" w:hAnsi="宋体" w:cs="宋体"/>
          <w:color w:val="auto"/>
          <w:sz w:val="21"/>
          <w:szCs w:val="21"/>
          <w:highlight w:val="none"/>
        </w:rPr>
      </w:pPr>
    </w:p>
    <w:p w14:paraId="0E135CA8">
      <w:pPr>
        <w:autoSpaceDE w:val="0"/>
        <w:autoSpaceDN w:val="0"/>
        <w:adjustRightInd w:val="0"/>
        <w:snapToGrid w:val="0"/>
        <w:spacing w:line="360" w:lineRule="auto"/>
        <w:rPr>
          <w:rFonts w:hint="eastAsia" w:ascii="宋体" w:hAnsi="宋体" w:cs="宋体"/>
          <w:color w:val="auto"/>
          <w:sz w:val="21"/>
          <w:szCs w:val="21"/>
          <w:highlight w:val="none"/>
        </w:rPr>
      </w:pPr>
    </w:p>
    <w:p w14:paraId="17D6447E">
      <w:pPr>
        <w:autoSpaceDE w:val="0"/>
        <w:autoSpaceDN w:val="0"/>
        <w:adjustRightInd w:val="0"/>
        <w:snapToGrid w:val="0"/>
        <w:spacing w:line="360" w:lineRule="auto"/>
        <w:rPr>
          <w:rFonts w:hint="eastAsia" w:ascii="宋体" w:hAnsi="宋体" w:cs="宋体"/>
          <w:color w:val="auto"/>
          <w:sz w:val="21"/>
          <w:szCs w:val="21"/>
          <w:highlight w:val="none"/>
        </w:rPr>
      </w:pPr>
    </w:p>
    <w:p w14:paraId="120E56BD">
      <w:pPr>
        <w:autoSpaceDE w:val="0"/>
        <w:autoSpaceDN w:val="0"/>
        <w:adjustRightInd w:val="0"/>
        <w:snapToGrid w:val="0"/>
        <w:spacing w:line="360" w:lineRule="auto"/>
        <w:rPr>
          <w:rFonts w:hint="eastAsia" w:ascii="宋体" w:hAnsi="宋体" w:cs="宋体"/>
          <w:color w:val="auto"/>
          <w:sz w:val="21"/>
          <w:szCs w:val="21"/>
          <w:highlight w:val="none"/>
        </w:rPr>
      </w:pPr>
    </w:p>
    <w:p w14:paraId="4B2256A5">
      <w:pPr>
        <w:autoSpaceDE w:val="0"/>
        <w:autoSpaceDN w:val="0"/>
        <w:adjustRightInd w:val="0"/>
        <w:snapToGrid w:val="0"/>
        <w:spacing w:line="360" w:lineRule="auto"/>
        <w:ind w:firstLine="420" w:firstLineChars="200"/>
        <w:rPr>
          <w:rFonts w:hint="eastAsia" w:ascii="宋体" w:hAnsi="宋体" w:cs="宋体"/>
          <w:color w:val="auto"/>
          <w:spacing w:val="14"/>
          <w:sz w:val="21"/>
          <w:szCs w:val="21"/>
          <w:highlight w:val="none"/>
          <w:u w:val="single"/>
        </w:rPr>
      </w:pPr>
      <w:bookmarkStart w:id="1199" w:name="_Toc179529444"/>
      <w:bookmarkStart w:id="1200" w:name="_Toc15056"/>
      <w:bookmarkStart w:id="1201" w:name="_Toc21135"/>
      <w:bookmarkStart w:id="1202" w:name="_Toc24043"/>
      <w:r>
        <w:rPr>
          <w:rFonts w:hint="eastAsia" w:ascii="宋体" w:hAnsi="宋体" w:cs="宋体"/>
          <w:color w:val="auto"/>
          <w:sz w:val="21"/>
          <w:szCs w:val="21"/>
          <w:highlight w:val="none"/>
        </w:rPr>
        <w:t>供应商：</w:t>
      </w:r>
      <w:r>
        <w:rPr>
          <w:rFonts w:hint="eastAsia" w:ascii="宋体" w:hAnsi="宋体" w:cs="宋体"/>
          <w:color w:val="auto"/>
          <w:sz w:val="21"/>
          <w:szCs w:val="21"/>
          <w:highlight w:val="none"/>
          <w:u w:val="single"/>
        </w:rPr>
        <w:t xml:space="preserve">                      </w:t>
      </w:r>
      <w:r>
        <w:rPr>
          <w:rFonts w:hint="eastAsia" w:ascii="宋体" w:hAnsi="宋体" w:cs="宋体"/>
          <w:color w:val="auto"/>
          <w:spacing w:val="14"/>
          <w:sz w:val="21"/>
          <w:szCs w:val="21"/>
          <w:highlight w:val="none"/>
        </w:rPr>
        <w:t>（电子签章）</w:t>
      </w:r>
    </w:p>
    <w:p w14:paraId="7F62C471">
      <w:pPr>
        <w:autoSpaceDE w:val="0"/>
        <w:autoSpaceDN w:val="0"/>
        <w:adjustRightInd w:val="0"/>
        <w:snapToGrid w:val="0"/>
        <w:spacing w:line="360" w:lineRule="auto"/>
        <w:ind w:firstLine="476" w:firstLineChars="200"/>
        <w:rPr>
          <w:rFonts w:hint="eastAsia" w:ascii="宋体" w:hAnsi="宋体" w:cs="宋体"/>
          <w:color w:val="auto"/>
          <w:spacing w:val="14"/>
          <w:sz w:val="21"/>
          <w:szCs w:val="21"/>
          <w:highlight w:val="none"/>
          <w:u w:val="single"/>
        </w:rPr>
      </w:pPr>
    </w:p>
    <w:p w14:paraId="0B170E5A">
      <w:pPr>
        <w:autoSpaceDE w:val="0"/>
        <w:autoSpaceDN w:val="0"/>
        <w:adjustRightInd w:val="0"/>
        <w:snapToGrid w:val="0"/>
        <w:spacing w:line="360" w:lineRule="auto"/>
        <w:ind w:firstLine="464" w:firstLineChars="200"/>
        <w:rPr>
          <w:rFonts w:hint="eastAsia" w:ascii="宋体" w:hAnsi="宋体" w:cs="宋体"/>
          <w:color w:val="auto"/>
          <w:spacing w:val="11"/>
          <w:sz w:val="21"/>
          <w:szCs w:val="21"/>
          <w:highlight w:val="none"/>
          <w:u w:val="single"/>
        </w:rPr>
      </w:pPr>
      <w:r>
        <w:rPr>
          <w:rFonts w:hint="eastAsia" w:ascii="宋体" w:hAnsi="宋体" w:cs="宋体"/>
          <w:color w:val="auto"/>
          <w:spacing w:val="11"/>
          <w:sz w:val="21"/>
          <w:szCs w:val="21"/>
          <w:highlight w:val="none"/>
        </w:rPr>
        <w:t>法定代表人或其委托代理人：</w:t>
      </w:r>
      <w:r>
        <w:rPr>
          <w:rFonts w:hint="eastAsia" w:ascii="宋体" w:hAnsi="宋体" w:cs="宋体"/>
          <w:color w:val="auto"/>
          <w:spacing w:val="11"/>
          <w:sz w:val="21"/>
          <w:szCs w:val="21"/>
          <w:highlight w:val="none"/>
          <w:u w:val="single"/>
        </w:rPr>
        <w:t xml:space="preserve">       </w:t>
      </w:r>
      <w:r>
        <w:rPr>
          <w:rFonts w:hint="eastAsia" w:ascii="宋体" w:hAnsi="宋体" w:cs="宋体"/>
          <w:color w:val="auto"/>
          <w:spacing w:val="11"/>
          <w:sz w:val="21"/>
          <w:szCs w:val="21"/>
          <w:highlight w:val="none"/>
        </w:rPr>
        <w:t>（</w:t>
      </w:r>
      <w:r>
        <w:rPr>
          <w:rFonts w:hint="eastAsia" w:ascii="宋体" w:hAnsi="宋体" w:cs="宋体"/>
          <w:color w:val="auto"/>
          <w:spacing w:val="14"/>
          <w:sz w:val="21"/>
          <w:szCs w:val="21"/>
          <w:highlight w:val="none"/>
        </w:rPr>
        <w:t>电子签章</w:t>
      </w:r>
      <w:r>
        <w:rPr>
          <w:rFonts w:hint="eastAsia" w:ascii="宋体" w:hAnsi="宋体" w:cs="宋体"/>
          <w:color w:val="auto"/>
          <w:spacing w:val="11"/>
          <w:sz w:val="21"/>
          <w:szCs w:val="21"/>
          <w:highlight w:val="none"/>
        </w:rPr>
        <w:t>）</w:t>
      </w:r>
    </w:p>
    <w:p w14:paraId="0E8E4A5F">
      <w:pPr>
        <w:autoSpaceDE w:val="0"/>
        <w:autoSpaceDN w:val="0"/>
        <w:adjustRightInd w:val="0"/>
        <w:snapToGrid w:val="0"/>
        <w:spacing w:line="360" w:lineRule="auto"/>
        <w:ind w:firstLine="464" w:firstLineChars="200"/>
        <w:rPr>
          <w:rFonts w:hint="eastAsia" w:ascii="宋体" w:hAnsi="宋体" w:cs="宋体"/>
          <w:color w:val="auto"/>
          <w:spacing w:val="11"/>
          <w:sz w:val="21"/>
          <w:szCs w:val="21"/>
          <w:highlight w:val="none"/>
          <w:u w:val="single"/>
        </w:rPr>
      </w:pPr>
    </w:p>
    <w:p w14:paraId="03C7D06B">
      <w:pPr>
        <w:spacing w:line="360" w:lineRule="auto"/>
        <w:ind w:firstLine="420" w:firstLineChars="200"/>
        <w:rPr>
          <w:rFonts w:hint="eastAsia" w:ascii="宋体" w:hAnsi="宋体" w:cs="宋体"/>
          <w:color w:val="auto"/>
          <w:sz w:val="24"/>
          <w:szCs w:val="24"/>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23934B4D">
      <w:pPr>
        <w:spacing w:line="360" w:lineRule="auto"/>
        <w:rPr>
          <w:rFonts w:hint="eastAsia" w:ascii="宋体" w:hAnsi="宋体" w:cs="宋体"/>
          <w:b/>
          <w:color w:val="auto"/>
          <w:sz w:val="24"/>
          <w:szCs w:val="24"/>
          <w:highlight w:val="none"/>
        </w:rPr>
      </w:pPr>
      <w:r>
        <w:rPr>
          <w:rFonts w:hint="eastAsia" w:ascii="宋体" w:hAnsi="宋体" w:cs="宋体"/>
          <w:color w:val="auto"/>
          <w:sz w:val="24"/>
          <w:szCs w:val="24"/>
          <w:highlight w:val="none"/>
        </w:rPr>
        <w:br w:type="page"/>
      </w:r>
    </w:p>
    <w:p w14:paraId="64BC85D0">
      <w:pPr>
        <w:pStyle w:val="4"/>
        <w:numPr>
          <w:ilvl w:val="2"/>
          <w:numId w:val="0"/>
        </w:numPr>
        <w:spacing w:before="0" w:after="0"/>
        <w:rPr>
          <w:rFonts w:hint="eastAsia" w:ascii="宋体" w:hAnsi="宋体" w:cs="宋体"/>
          <w:color w:val="auto"/>
          <w:sz w:val="24"/>
          <w:szCs w:val="24"/>
          <w:highlight w:val="none"/>
        </w:rPr>
      </w:pPr>
      <w:bookmarkStart w:id="1203" w:name="_Toc179912278"/>
      <w:bookmarkStart w:id="1204" w:name="_Toc14244"/>
      <w:r>
        <w:rPr>
          <w:rFonts w:hint="eastAsia" w:ascii="宋体" w:hAnsi="宋体" w:cs="宋体"/>
          <w:color w:val="auto"/>
          <w:sz w:val="24"/>
          <w:szCs w:val="24"/>
          <w:highlight w:val="none"/>
        </w:rPr>
        <w:t>6.落实政府采购政策需满足的资格要求</w:t>
      </w:r>
      <w:bookmarkEnd w:id="1199"/>
      <w:bookmarkEnd w:id="1203"/>
      <w:r>
        <w:rPr>
          <w:rFonts w:hint="eastAsia" w:ascii="宋体" w:hAnsi="宋体" w:cs="宋体"/>
          <w:color w:val="auto"/>
          <w:sz w:val="24"/>
          <w:szCs w:val="24"/>
          <w:highlight w:val="none"/>
        </w:rPr>
        <w:t>：本项目专门面向中小微企业采购。</w:t>
      </w:r>
      <w:bookmarkEnd w:id="1204"/>
    </w:p>
    <w:bookmarkEnd w:id="1200"/>
    <w:bookmarkEnd w:id="1201"/>
    <w:bookmarkEnd w:id="1202"/>
    <w:p w14:paraId="2F666949">
      <w:pPr>
        <w:spacing w:line="360" w:lineRule="auto"/>
        <w:jc w:val="center"/>
        <w:rPr>
          <w:rFonts w:hint="eastAsia" w:ascii="宋体" w:hAnsi="宋体" w:cs="宋体"/>
          <w:b/>
          <w:bCs/>
          <w:color w:val="auto"/>
          <w:sz w:val="28"/>
          <w:szCs w:val="28"/>
          <w:highlight w:val="none"/>
        </w:rPr>
      </w:pPr>
      <w:bookmarkStart w:id="1205" w:name="_Toc17935"/>
      <w:r>
        <w:rPr>
          <w:rFonts w:hint="eastAsia" w:ascii="宋体" w:hAnsi="宋体" w:cs="宋体"/>
          <w:b/>
          <w:bCs/>
          <w:color w:val="auto"/>
          <w:sz w:val="28"/>
          <w:szCs w:val="28"/>
          <w:highlight w:val="none"/>
        </w:rPr>
        <w:t>中小企业声明函（工程）</w:t>
      </w:r>
    </w:p>
    <w:p w14:paraId="06E1DE81">
      <w:pPr>
        <w:widowControl w:val="0"/>
        <w:spacing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本公司郑重声明，根据《政府采购促进中小企业发展管理办法》（财库( 2020 )46号）的规定，本公司参加</w:t>
      </w:r>
      <w:r>
        <w:rPr>
          <w:rFonts w:hint="eastAsia" w:ascii="宋体" w:hAnsi="宋体" w:cs="宋体"/>
          <w:color w:val="auto"/>
          <w:sz w:val="21"/>
          <w:szCs w:val="21"/>
          <w:highlight w:val="none"/>
          <w:u w:val="single"/>
          <w:shd w:val="clear" w:color="auto" w:fill="FFFFFF"/>
        </w:rPr>
        <w:t xml:space="preserve">        （单位名称）     </w:t>
      </w:r>
      <w:r>
        <w:rPr>
          <w:rFonts w:hint="eastAsia" w:ascii="宋体" w:hAnsi="宋体" w:cs="宋体"/>
          <w:color w:val="auto"/>
          <w:sz w:val="21"/>
          <w:szCs w:val="21"/>
          <w:highlight w:val="none"/>
          <w:shd w:val="clear" w:color="auto" w:fill="FFFFFF"/>
        </w:rPr>
        <w:t>的</w:t>
      </w:r>
      <w:r>
        <w:rPr>
          <w:rFonts w:hint="eastAsia" w:ascii="宋体" w:hAnsi="宋体" w:cs="宋体"/>
          <w:color w:val="auto"/>
          <w:sz w:val="21"/>
          <w:szCs w:val="21"/>
          <w:highlight w:val="none"/>
          <w:u w:val="single"/>
          <w:shd w:val="clear" w:color="auto" w:fill="FFFFFF"/>
        </w:rPr>
        <w:t xml:space="preserve">    （项目名称）    </w:t>
      </w:r>
      <w:r>
        <w:rPr>
          <w:rFonts w:hint="eastAsia" w:ascii="宋体" w:hAnsi="宋体" w:cs="宋体"/>
          <w:color w:val="auto"/>
          <w:sz w:val="21"/>
          <w:szCs w:val="21"/>
          <w:highlight w:val="none"/>
          <w:shd w:val="clear" w:color="auto" w:fill="FFFFFF"/>
        </w:rPr>
        <w:t>采购活动，工程的施工单位全部为符合政策要求的中小企业。相关企业（含联合体中的中小企业、签订分包意向协议的中小企业）的具体情况如下：</w:t>
      </w:r>
    </w:p>
    <w:p w14:paraId="2221AB32">
      <w:pPr>
        <w:widowControl w:val="0"/>
        <w:spacing w:line="360" w:lineRule="auto"/>
        <w:ind w:firstLine="420" w:firstLineChars="200"/>
        <w:jc w:val="both"/>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xml:space="preserve">1. </w:t>
      </w:r>
      <w:r>
        <w:rPr>
          <w:rFonts w:hint="eastAsia" w:ascii="宋体" w:hAnsi="宋体" w:cs="宋体"/>
          <w:color w:val="auto"/>
          <w:sz w:val="21"/>
          <w:szCs w:val="21"/>
          <w:highlight w:val="none"/>
          <w:u w:val="single"/>
          <w:shd w:val="clear" w:color="auto" w:fill="FFFFFF"/>
        </w:rPr>
        <w:t xml:space="preserve">    （标的名称）</w:t>
      </w:r>
      <w:r>
        <w:rPr>
          <w:rFonts w:hint="eastAsia" w:ascii="宋体" w:hAnsi="宋体" w:cs="宋体"/>
          <w:color w:val="auto"/>
          <w:sz w:val="21"/>
          <w:szCs w:val="21"/>
          <w:highlight w:val="none"/>
          <w:shd w:val="clear" w:color="auto" w:fill="FFFFFF"/>
        </w:rPr>
        <w:t>，属于</w:t>
      </w:r>
      <w:r>
        <w:rPr>
          <w:rFonts w:hint="eastAsia" w:ascii="宋体" w:hAnsi="宋体" w:cs="宋体"/>
          <w:color w:val="auto"/>
          <w:sz w:val="21"/>
          <w:szCs w:val="21"/>
          <w:highlight w:val="none"/>
          <w:u w:val="single"/>
          <w:shd w:val="clear" w:color="auto" w:fill="FFFFFF"/>
        </w:rPr>
        <w:t xml:space="preserve">     （采购文件中明确的所属行业）</w:t>
      </w:r>
      <w:r>
        <w:rPr>
          <w:rFonts w:hint="eastAsia" w:ascii="宋体" w:hAnsi="宋体" w:cs="宋体"/>
          <w:color w:val="auto"/>
          <w:sz w:val="21"/>
          <w:szCs w:val="21"/>
          <w:highlight w:val="none"/>
          <w:shd w:val="clear" w:color="auto" w:fill="FFFFFF"/>
        </w:rPr>
        <w:t>；承建（承接）企业为</w:t>
      </w:r>
      <w:r>
        <w:rPr>
          <w:rFonts w:hint="eastAsia" w:ascii="宋体" w:hAnsi="宋体" w:cs="宋体"/>
          <w:color w:val="auto"/>
          <w:sz w:val="21"/>
          <w:szCs w:val="21"/>
          <w:highlight w:val="none"/>
          <w:u w:val="single"/>
          <w:shd w:val="clear" w:color="auto" w:fill="FFFFFF"/>
        </w:rPr>
        <w:t xml:space="preserve">    （企业名称）</w:t>
      </w:r>
      <w:r>
        <w:rPr>
          <w:rFonts w:hint="eastAsia" w:ascii="宋体" w:hAnsi="宋体" w:cs="宋体"/>
          <w:color w:val="auto"/>
          <w:sz w:val="21"/>
          <w:szCs w:val="21"/>
          <w:highlight w:val="none"/>
          <w:shd w:val="clear" w:color="auto" w:fill="FFFFFF"/>
        </w:rPr>
        <w:t>，从业人员</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shd w:val="clear" w:color="auto" w:fill="FFFFFF"/>
        </w:rPr>
        <w:t>人， 营业收入为</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shd w:val="clear" w:color="auto" w:fill="FFFFFF"/>
        </w:rPr>
        <w:t>万元，资产总额为</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shd w:val="clear" w:color="auto" w:fill="FFFFFF"/>
        </w:rPr>
        <w:t>万元，属于</w:t>
      </w:r>
      <w:r>
        <w:rPr>
          <w:rFonts w:hint="eastAsia" w:ascii="宋体" w:hAnsi="宋体" w:cs="宋体"/>
          <w:color w:val="auto"/>
          <w:sz w:val="21"/>
          <w:szCs w:val="21"/>
          <w:highlight w:val="none"/>
          <w:u w:val="single"/>
          <w:shd w:val="clear" w:color="auto" w:fill="FFFFFF"/>
        </w:rPr>
        <w:t xml:space="preserve">     （中型企业、小型企业、微型企业）</w:t>
      </w:r>
      <w:r>
        <w:rPr>
          <w:rFonts w:hint="eastAsia" w:ascii="宋体" w:hAnsi="宋体" w:cs="宋体"/>
          <w:color w:val="auto"/>
          <w:sz w:val="21"/>
          <w:szCs w:val="21"/>
          <w:highlight w:val="none"/>
          <w:shd w:val="clear" w:color="auto" w:fill="FFFFFF"/>
        </w:rPr>
        <w:t>；</w:t>
      </w:r>
    </w:p>
    <w:p w14:paraId="00B156B7">
      <w:pPr>
        <w:widowControl w:val="0"/>
        <w:spacing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w:t>
      </w:r>
      <w:r>
        <w:rPr>
          <w:rFonts w:hint="eastAsia" w:ascii="宋体" w:hAnsi="宋体" w:cs="宋体"/>
          <w:color w:val="auto"/>
          <w:sz w:val="21"/>
          <w:szCs w:val="21"/>
          <w:highlight w:val="none"/>
          <w:u w:val="single"/>
          <w:shd w:val="clear" w:color="auto" w:fill="FFFFFF"/>
        </w:rPr>
        <w:t xml:space="preserve">     （标的名称）</w:t>
      </w:r>
      <w:r>
        <w:rPr>
          <w:rFonts w:hint="eastAsia" w:ascii="宋体" w:hAnsi="宋体" w:cs="宋体"/>
          <w:color w:val="auto"/>
          <w:sz w:val="21"/>
          <w:szCs w:val="21"/>
          <w:highlight w:val="none"/>
          <w:shd w:val="clear" w:color="auto" w:fill="FFFFFF"/>
        </w:rPr>
        <w:t>， 属于</w:t>
      </w:r>
      <w:r>
        <w:rPr>
          <w:rFonts w:hint="eastAsia" w:ascii="宋体" w:hAnsi="宋体" w:cs="宋体"/>
          <w:color w:val="auto"/>
          <w:sz w:val="21"/>
          <w:szCs w:val="21"/>
          <w:highlight w:val="none"/>
          <w:u w:val="single"/>
          <w:shd w:val="clear" w:color="auto" w:fill="FFFFFF"/>
        </w:rPr>
        <w:t xml:space="preserve">     （采购文件中明确的所属行业）</w:t>
      </w:r>
      <w:r>
        <w:rPr>
          <w:rFonts w:hint="eastAsia" w:ascii="宋体" w:hAnsi="宋体" w:cs="宋体"/>
          <w:color w:val="auto"/>
          <w:sz w:val="21"/>
          <w:szCs w:val="21"/>
          <w:highlight w:val="none"/>
          <w:shd w:val="clear" w:color="auto" w:fill="FFFFFF"/>
        </w:rPr>
        <w:t>行业；承建（承接）企业为</w:t>
      </w:r>
      <w:r>
        <w:rPr>
          <w:rFonts w:hint="eastAsia" w:ascii="宋体" w:hAnsi="宋体" w:cs="宋体"/>
          <w:color w:val="auto"/>
          <w:sz w:val="21"/>
          <w:szCs w:val="21"/>
          <w:highlight w:val="none"/>
          <w:u w:val="single"/>
          <w:shd w:val="clear" w:color="auto" w:fill="FFFFFF"/>
        </w:rPr>
        <w:t xml:space="preserve">       （企业名称）</w:t>
      </w:r>
      <w:r>
        <w:rPr>
          <w:rFonts w:hint="eastAsia" w:ascii="宋体" w:hAnsi="宋体" w:cs="宋体"/>
          <w:color w:val="auto"/>
          <w:sz w:val="21"/>
          <w:szCs w:val="21"/>
          <w:highlight w:val="none"/>
          <w:shd w:val="clear" w:color="auto" w:fill="FFFFFF"/>
        </w:rPr>
        <w:t>，从业人员</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shd w:val="clear" w:color="auto" w:fill="FFFFFF"/>
        </w:rPr>
        <w:t>人， 营业收入为</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shd w:val="clear" w:color="auto" w:fill="FFFFFF"/>
        </w:rPr>
        <w:t>万元， 资产总额为</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shd w:val="clear" w:color="auto" w:fill="FFFFFF"/>
        </w:rPr>
        <w:t>万元，属于</w:t>
      </w:r>
      <w:r>
        <w:rPr>
          <w:rFonts w:hint="eastAsia" w:ascii="宋体" w:hAnsi="宋体" w:cs="宋体"/>
          <w:color w:val="auto"/>
          <w:sz w:val="21"/>
          <w:szCs w:val="21"/>
          <w:highlight w:val="none"/>
          <w:u w:val="single"/>
          <w:shd w:val="clear" w:color="auto" w:fill="FFFFFF"/>
        </w:rPr>
        <w:t xml:space="preserve">      （中型企业、 小型企业、微型企业）</w:t>
      </w:r>
      <w:r>
        <w:rPr>
          <w:rFonts w:hint="eastAsia" w:ascii="宋体" w:hAnsi="宋体" w:cs="宋体"/>
          <w:color w:val="auto"/>
          <w:sz w:val="21"/>
          <w:szCs w:val="21"/>
          <w:highlight w:val="none"/>
          <w:shd w:val="clear" w:color="auto" w:fill="FFFFFF"/>
        </w:rPr>
        <w:t>；</w:t>
      </w:r>
    </w:p>
    <w:p w14:paraId="2E584AC7">
      <w:pPr>
        <w:widowControl w:val="0"/>
        <w:spacing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w:t>
      </w:r>
    </w:p>
    <w:p w14:paraId="0C3972CA">
      <w:pPr>
        <w:widowControl w:val="0"/>
        <w:spacing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以上企业，不属于大企业的分支机构，不存在控股股东为大企业的情形，也不存在与大企业的负责人为同一人的情形。</w:t>
      </w:r>
    </w:p>
    <w:p w14:paraId="12F55ABB">
      <w:pPr>
        <w:widowControl w:val="0"/>
        <w:spacing w:line="360" w:lineRule="auto"/>
        <w:ind w:firstLine="420" w:firstLineChars="200"/>
        <w:jc w:val="both"/>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本企业对上述声明内容的真实性负责。如有虚假，将依法承担相应责任。</w:t>
      </w:r>
    </w:p>
    <w:p w14:paraId="69A681A0">
      <w:pPr>
        <w:spacing w:line="360" w:lineRule="auto"/>
        <w:jc w:val="center"/>
        <w:rPr>
          <w:rFonts w:hint="eastAsia" w:ascii="宋体" w:hAnsi="宋体" w:cs="宋体"/>
          <w:color w:val="auto"/>
          <w:sz w:val="21"/>
          <w:szCs w:val="21"/>
          <w:highlight w:val="none"/>
          <w:shd w:val="clear" w:color="auto" w:fill="FFFFFF"/>
        </w:rPr>
      </w:pPr>
    </w:p>
    <w:p w14:paraId="33C7B679">
      <w:pPr>
        <w:spacing w:line="360" w:lineRule="auto"/>
        <w:jc w:val="center"/>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xml:space="preserve"> 企业名称（电子签章）:</w:t>
      </w:r>
      <w:r>
        <w:rPr>
          <w:rFonts w:hint="eastAsia" w:ascii="宋体" w:hAnsi="宋体" w:cs="宋体"/>
          <w:color w:val="auto"/>
          <w:sz w:val="21"/>
          <w:szCs w:val="21"/>
          <w:highlight w:val="none"/>
          <w:u w:val="single"/>
          <w:shd w:val="clear" w:color="auto" w:fill="FFFFFF"/>
        </w:rPr>
        <w:t xml:space="preserve">                   </w:t>
      </w:r>
    </w:p>
    <w:p w14:paraId="0FB00BF0">
      <w:pPr>
        <w:spacing w:line="360" w:lineRule="auto"/>
        <w:ind w:firstLine="3570" w:firstLineChars="17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日 期：</w:t>
      </w:r>
      <w:r>
        <w:rPr>
          <w:rFonts w:hint="eastAsia" w:ascii="宋体" w:hAnsi="宋体" w:cs="宋体"/>
          <w:color w:val="auto"/>
          <w:sz w:val="21"/>
          <w:szCs w:val="21"/>
          <w:highlight w:val="none"/>
          <w:u w:val="single"/>
          <w:shd w:val="clear" w:color="auto" w:fill="FFFFFF"/>
        </w:rPr>
        <w:t xml:space="preserve">                   </w:t>
      </w:r>
    </w:p>
    <w:p w14:paraId="6FC6B0B4">
      <w:pPr>
        <w:spacing w:line="360" w:lineRule="auto"/>
        <w:jc w:val="both"/>
        <w:rPr>
          <w:rFonts w:hint="eastAsia" w:ascii="宋体" w:hAnsi="宋体" w:cs="宋体"/>
          <w:color w:val="auto"/>
          <w:sz w:val="21"/>
          <w:szCs w:val="21"/>
          <w:highlight w:val="none"/>
          <w:shd w:val="clear" w:color="auto" w:fill="FFFFFF"/>
        </w:rPr>
      </w:pPr>
    </w:p>
    <w:p w14:paraId="3475E446">
      <w:pPr>
        <w:spacing w:line="360" w:lineRule="auto"/>
        <w:jc w:val="both"/>
        <w:rPr>
          <w:rFonts w:hint="eastAsia" w:ascii="宋体" w:hAnsi="宋体" w:cs="宋体"/>
          <w:color w:val="auto"/>
          <w:sz w:val="21"/>
          <w:szCs w:val="21"/>
          <w:highlight w:val="none"/>
          <w:shd w:val="clear" w:color="auto" w:fill="FFFFFF"/>
        </w:rPr>
      </w:pPr>
    </w:p>
    <w:p w14:paraId="29C32713">
      <w:pPr>
        <w:spacing w:line="360" w:lineRule="auto"/>
        <w:jc w:val="both"/>
        <w:rPr>
          <w:rFonts w:hint="eastAsia" w:ascii="宋体" w:hAnsi="宋体" w:cs="宋体"/>
          <w:color w:val="auto"/>
          <w:sz w:val="21"/>
          <w:szCs w:val="21"/>
          <w:highlight w:val="none"/>
          <w:shd w:val="clear" w:color="auto" w:fill="FFFFFF"/>
        </w:rPr>
      </w:pPr>
    </w:p>
    <w:p w14:paraId="3EBECEFB">
      <w:pPr>
        <w:spacing w:line="360" w:lineRule="auto"/>
        <w:jc w:val="both"/>
        <w:rPr>
          <w:rFonts w:hint="eastAsia" w:ascii="宋体" w:hAnsi="宋体" w:cs="宋体"/>
          <w:color w:val="auto"/>
          <w:sz w:val="21"/>
          <w:szCs w:val="21"/>
          <w:highlight w:val="none"/>
          <w:shd w:val="clear" w:color="auto" w:fill="FFFFFF"/>
        </w:rPr>
      </w:pPr>
    </w:p>
    <w:p w14:paraId="39174D2C">
      <w:pPr>
        <w:spacing w:line="360" w:lineRule="auto"/>
        <w:jc w:val="both"/>
        <w:rPr>
          <w:rFonts w:hint="eastAsia" w:ascii="宋体" w:hAnsi="宋体" w:cs="宋体"/>
          <w:color w:val="auto"/>
          <w:sz w:val="21"/>
          <w:szCs w:val="21"/>
          <w:highlight w:val="none"/>
          <w:shd w:val="clear" w:color="auto" w:fill="FFFFFF"/>
        </w:rPr>
      </w:pPr>
    </w:p>
    <w:p w14:paraId="4DF87098">
      <w:pPr>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从业人员、营业收入、资产总额填报上一年度数据，无上一年度数据的新成立企业可不填报。</w:t>
      </w:r>
      <w:r>
        <w:rPr>
          <w:rFonts w:hint="eastAsia" w:ascii="宋体" w:hAnsi="宋体" w:cs="宋体"/>
          <w:color w:val="auto"/>
          <w:sz w:val="21"/>
          <w:szCs w:val="21"/>
          <w:highlight w:val="none"/>
        </w:rPr>
        <w:t xml:space="preserve"> </w:t>
      </w:r>
    </w:p>
    <w:p w14:paraId="4F04485E">
      <w:pPr>
        <w:spacing w:line="360" w:lineRule="auto"/>
        <w:ind w:firstLine="630" w:firstLineChars="300"/>
        <w:rPr>
          <w:rFonts w:hint="eastAsia" w:ascii="宋体" w:hAnsi="宋体" w:cs="宋体"/>
          <w:color w:val="auto"/>
          <w:sz w:val="21"/>
          <w:szCs w:val="21"/>
          <w:highlight w:val="none"/>
        </w:rPr>
      </w:pPr>
    </w:p>
    <w:p w14:paraId="72590D1F">
      <w:pPr>
        <w:spacing w:line="360" w:lineRule="auto"/>
        <w:jc w:val="center"/>
        <w:rPr>
          <w:rFonts w:hint="eastAsia" w:ascii="宋体" w:hAnsi="宋体" w:cs="宋体"/>
          <w:color w:val="auto"/>
          <w:sz w:val="30"/>
          <w:szCs w:val="30"/>
          <w:highlight w:val="none"/>
        </w:rPr>
      </w:pPr>
      <w:r>
        <w:rPr>
          <w:rFonts w:hint="eastAsia" w:ascii="宋体" w:hAnsi="宋体" w:cs="宋体"/>
          <w:color w:val="auto"/>
          <w:sz w:val="24"/>
          <w:szCs w:val="24"/>
          <w:highlight w:val="none"/>
        </w:rPr>
        <w:br w:type="page"/>
      </w:r>
      <w:bookmarkStart w:id="1206" w:name="_Toc15442"/>
      <w:bookmarkStart w:id="1207" w:name="_Toc9367"/>
      <w:r>
        <w:rPr>
          <w:rFonts w:hint="eastAsia" w:ascii="宋体" w:hAnsi="宋体" w:cs="宋体"/>
          <w:b/>
          <w:bCs/>
          <w:color w:val="auto"/>
          <w:sz w:val="28"/>
          <w:szCs w:val="28"/>
          <w:highlight w:val="none"/>
        </w:rPr>
        <w:t>监狱企业证明材料（如有）</w:t>
      </w:r>
      <w:bookmarkEnd w:id="1205"/>
      <w:bookmarkEnd w:id="1206"/>
      <w:bookmarkEnd w:id="1207"/>
    </w:p>
    <w:p w14:paraId="5D594955">
      <w:pPr>
        <w:spacing w:line="360" w:lineRule="auto"/>
        <w:rPr>
          <w:rFonts w:hint="eastAsia" w:ascii="宋体" w:hAnsi="宋体" w:cs="宋体"/>
          <w:color w:val="auto"/>
          <w:sz w:val="24"/>
          <w:szCs w:val="24"/>
          <w:highlight w:val="none"/>
        </w:rPr>
      </w:pPr>
      <w:bookmarkStart w:id="1208" w:name="OLE_LINK14"/>
      <w:bookmarkStart w:id="1209" w:name="OLE_LINK13"/>
      <w:r>
        <w:rPr>
          <w:rFonts w:hint="eastAsia" w:ascii="宋体" w:hAnsi="宋体" w:cs="宋体"/>
          <w:color w:val="auto"/>
          <w:sz w:val="21"/>
          <w:szCs w:val="21"/>
          <w:highlight w:val="none"/>
        </w:rPr>
        <w:t>注：监狱企业视同小型、微型企业，监狱企业应当提供由省级以上监狱管理局、戒毒管理局（含新疆生产建设兵团）出具的属于监狱企业的证明文件。</w:t>
      </w:r>
    </w:p>
    <w:p w14:paraId="455F3172">
      <w:pPr>
        <w:spacing w:line="360" w:lineRule="auto"/>
        <w:jc w:val="center"/>
        <w:rPr>
          <w:rFonts w:hint="eastAsia" w:ascii="宋体" w:hAnsi="宋体" w:cs="宋体"/>
          <w:b/>
          <w:color w:val="auto"/>
          <w:spacing w:val="6"/>
          <w:sz w:val="32"/>
          <w:szCs w:val="32"/>
          <w:highlight w:val="none"/>
        </w:rPr>
      </w:pPr>
    </w:p>
    <w:p w14:paraId="6FF8CE02">
      <w:pPr>
        <w:spacing w:line="360" w:lineRule="auto"/>
        <w:rPr>
          <w:rFonts w:hint="eastAsia" w:ascii="宋体" w:hAnsi="宋体" w:cs="宋体"/>
          <w:b/>
          <w:color w:val="auto"/>
          <w:sz w:val="30"/>
          <w:szCs w:val="30"/>
          <w:highlight w:val="none"/>
        </w:rPr>
      </w:pPr>
      <w:bookmarkStart w:id="1210" w:name="_Toc20898"/>
      <w:bookmarkStart w:id="1211" w:name="_Toc9145"/>
      <w:bookmarkStart w:id="1212" w:name="_Toc2520"/>
      <w:r>
        <w:rPr>
          <w:rFonts w:hint="eastAsia" w:ascii="宋体" w:hAnsi="宋体" w:cs="宋体"/>
          <w:color w:val="auto"/>
          <w:sz w:val="30"/>
          <w:szCs w:val="30"/>
          <w:highlight w:val="none"/>
        </w:rPr>
        <w:br w:type="page"/>
      </w:r>
    </w:p>
    <w:p w14:paraId="37041CA3">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残疾人福利性单位声明函</w:t>
      </w:r>
      <w:bookmarkEnd w:id="1210"/>
      <w:bookmarkEnd w:id="1211"/>
      <w:bookmarkEnd w:id="1212"/>
      <w:r>
        <w:rPr>
          <w:rFonts w:hint="eastAsia" w:ascii="宋体" w:hAnsi="宋体" w:cs="宋体"/>
          <w:b/>
          <w:bCs/>
          <w:color w:val="auto"/>
          <w:sz w:val="28"/>
          <w:szCs w:val="28"/>
          <w:highlight w:val="none"/>
        </w:rPr>
        <w:t>（如有）</w:t>
      </w:r>
    </w:p>
    <w:bookmarkEnd w:id="1208"/>
    <w:bookmarkEnd w:id="1209"/>
    <w:p w14:paraId="33CB6112">
      <w:pPr>
        <w:spacing w:line="360" w:lineRule="auto"/>
        <w:rPr>
          <w:rFonts w:hint="eastAsia" w:ascii="宋体" w:hAnsi="宋体" w:cs="宋体"/>
          <w:b/>
          <w:color w:val="auto"/>
          <w:spacing w:val="6"/>
          <w:sz w:val="30"/>
          <w:szCs w:val="30"/>
          <w:highlight w:val="none"/>
        </w:rPr>
      </w:pPr>
    </w:p>
    <w:p w14:paraId="1C57D0CC">
      <w:pPr>
        <w:spacing w:line="360" w:lineRule="auto"/>
        <w:ind w:firstLine="420" w:firstLineChars="200"/>
        <w:rPr>
          <w:rFonts w:hint="eastAsia" w:ascii="宋体" w:hAnsi="宋体" w:cs="宋体"/>
          <w:color w:val="auto"/>
          <w:sz w:val="21"/>
          <w:szCs w:val="16"/>
          <w:highlight w:val="none"/>
        </w:rPr>
      </w:pPr>
      <w:r>
        <w:rPr>
          <w:rFonts w:hint="eastAsia" w:ascii="宋体" w:hAnsi="宋体" w:cs="宋体"/>
          <w:color w:val="auto"/>
          <w:sz w:val="21"/>
          <w:szCs w:val="16"/>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F1F31B">
      <w:pPr>
        <w:spacing w:line="360" w:lineRule="auto"/>
        <w:ind w:firstLine="420" w:firstLineChars="200"/>
        <w:rPr>
          <w:rFonts w:hint="eastAsia" w:ascii="宋体" w:hAnsi="宋体" w:cs="宋体"/>
          <w:color w:val="auto"/>
          <w:sz w:val="21"/>
          <w:szCs w:val="16"/>
          <w:highlight w:val="none"/>
        </w:rPr>
      </w:pPr>
      <w:r>
        <w:rPr>
          <w:rFonts w:hint="eastAsia" w:ascii="宋体" w:hAnsi="宋体" w:cs="宋体"/>
          <w:color w:val="auto"/>
          <w:sz w:val="21"/>
          <w:szCs w:val="16"/>
          <w:highlight w:val="none"/>
        </w:rPr>
        <w:t>本单位对上述声明的真实性负责。如有虚假，将依法承担相应责任。</w:t>
      </w:r>
    </w:p>
    <w:p w14:paraId="30083A36">
      <w:pPr>
        <w:spacing w:line="360" w:lineRule="auto"/>
        <w:ind w:firstLine="420" w:firstLineChars="200"/>
        <w:rPr>
          <w:rFonts w:hint="eastAsia" w:ascii="宋体" w:hAnsi="宋体" w:cs="宋体"/>
          <w:color w:val="auto"/>
          <w:sz w:val="21"/>
          <w:szCs w:val="16"/>
          <w:highlight w:val="none"/>
        </w:rPr>
      </w:pPr>
    </w:p>
    <w:p w14:paraId="46ADF692">
      <w:pPr>
        <w:spacing w:line="360" w:lineRule="auto"/>
        <w:ind w:firstLine="420" w:firstLineChars="200"/>
        <w:rPr>
          <w:rFonts w:hint="eastAsia" w:ascii="宋体" w:hAnsi="宋体" w:cs="宋体"/>
          <w:color w:val="auto"/>
          <w:sz w:val="21"/>
          <w:szCs w:val="16"/>
          <w:highlight w:val="none"/>
        </w:rPr>
      </w:pPr>
    </w:p>
    <w:p w14:paraId="1AD9076C">
      <w:pPr>
        <w:spacing w:line="360" w:lineRule="auto"/>
        <w:jc w:val="center"/>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xml:space="preserve"> 企业名称（电子签章）:</w:t>
      </w:r>
      <w:r>
        <w:rPr>
          <w:rFonts w:hint="eastAsia" w:ascii="宋体" w:hAnsi="宋体" w:cs="宋体"/>
          <w:color w:val="auto"/>
          <w:sz w:val="21"/>
          <w:szCs w:val="21"/>
          <w:highlight w:val="none"/>
          <w:u w:val="single"/>
          <w:shd w:val="clear" w:color="auto" w:fill="FFFFFF"/>
        </w:rPr>
        <w:t xml:space="preserve">                   </w:t>
      </w:r>
    </w:p>
    <w:p w14:paraId="12FE7F8C">
      <w:pPr>
        <w:spacing w:line="360" w:lineRule="auto"/>
        <w:ind w:firstLine="3570" w:firstLineChars="17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日 期：</w:t>
      </w:r>
      <w:r>
        <w:rPr>
          <w:rFonts w:hint="eastAsia" w:ascii="宋体" w:hAnsi="宋体" w:cs="宋体"/>
          <w:color w:val="auto"/>
          <w:sz w:val="21"/>
          <w:szCs w:val="21"/>
          <w:highlight w:val="none"/>
          <w:u w:val="single"/>
          <w:shd w:val="clear" w:color="auto" w:fill="FFFFFF"/>
        </w:rPr>
        <w:t xml:space="preserve">                   </w:t>
      </w:r>
    </w:p>
    <w:p w14:paraId="486FD202">
      <w:pPr>
        <w:spacing w:line="360" w:lineRule="auto"/>
        <w:rPr>
          <w:rFonts w:hint="eastAsia" w:ascii="宋体" w:hAnsi="宋体" w:cs="宋体"/>
          <w:color w:val="auto"/>
          <w:sz w:val="21"/>
          <w:szCs w:val="16"/>
          <w:highlight w:val="none"/>
        </w:rPr>
      </w:pPr>
    </w:p>
    <w:p w14:paraId="04D880C1">
      <w:pPr>
        <w:tabs>
          <w:tab w:val="left" w:pos="4860"/>
        </w:tabs>
        <w:spacing w:line="360" w:lineRule="auto"/>
        <w:ind w:firstLine="420" w:firstLineChars="200"/>
        <w:jc w:val="center"/>
        <w:rPr>
          <w:rFonts w:hint="eastAsia" w:ascii="宋体" w:hAnsi="宋体" w:cs="宋体"/>
          <w:color w:val="auto"/>
          <w:sz w:val="21"/>
          <w:szCs w:val="16"/>
          <w:highlight w:val="none"/>
        </w:rPr>
      </w:pPr>
    </w:p>
    <w:p w14:paraId="00D0206B">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注：非残疾人福利性单位无需填写。</w:t>
      </w:r>
    </w:p>
    <w:p w14:paraId="4B78541B">
      <w:pPr>
        <w:pStyle w:val="5"/>
        <w:spacing w:line="360" w:lineRule="auto"/>
        <w:rPr>
          <w:rFonts w:hint="eastAsia" w:ascii="宋体" w:hAnsi="宋体" w:cs="宋体"/>
          <w:color w:val="auto"/>
          <w:highlight w:val="none"/>
        </w:rPr>
      </w:pPr>
      <w:r>
        <w:rPr>
          <w:rFonts w:hint="eastAsia" w:ascii="宋体" w:hAnsi="宋体" w:cs="宋体"/>
          <w:color w:val="auto"/>
          <w:highlight w:val="none"/>
        </w:rPr>
        <w:br w:type="page"/>
      </w:r>
    </w:p>
    <w:p w14:paraId="623F623B">
      <w:pPr>
        <w:pStyle w:val="4"/>
        <w:numPr>
          <w:ilvl w:val="2"/>
          <w:numId w:val="0"/>
        </w:numPr>
        <w:spacing w:before="0" w:after="0"/>
        <w:rPr>
          <w:rFonts w:hint="eastAsia" w:ascii="宋体" w:hAnsi="宋体" w:cs="宋体"/>
          <w:color w:val="auto"/>
          <w:sz w:val="24"/>
          <w:szCs w:val="24"/>
          <w:highlight w:val="none"/>
        </w:rPr>
      </w:pPr>
      <w:bookmarkStart w:id="1213" w:name="_Toc179912279"/>
      <w:bookmarkStart w:id="1214" w:name="_Toc179529445"/>
      <w:bookmarkStart w:id="1215" w:name="_Toc6879"/>
      <w:r>
        <w:rPr>
          <w:rFonts w:hint="eastAsia" w:ascii="宋体" w:hAnsi="宋体" w:cs="宋体"/>
          <w:color w:val="auto"/>
          <w:sz w:val="24"/>
          <w:szCs w:val="24"/>
          <w:highlight w:val="none"/>
        </w:rPr>
        <w:t>7.</w:t>
      </w:r>
      <w:r>
        <w:rPr>
          <w:rFonts w:hint="eastAsia" w:ascii="宋体" w:hAnsi="宋体" w:cs="宋体"/>
          <w:color w:val="auto"/>
          <w:spacing w:val="1"/>
          <w:sz w:val="21"/>
          <w:szCs w:val="21"/>
          <w:highlight w:val="none"/>
        </w:rPr>
        <w:t>本项目的特定资格要求</w:t>
      </w:r>
      <w:bookmarkEnd w:id="1213"/>
      <w:bookmarkEnd w:id="1214"/>
      <w:bookmarkEnd w:id="1215"/>
    </w:p>
    <w:p w14:paraId="34A84F3F">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1.资质证书、安全生产许可证：详见供应商情况一览表后附的证明材料。</w:t>
      </w:r>
    </w:p>
    <w:p w14:paraId="37F4E740">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2.项目经理要求：详见商务文件项目经理简历表后附的证明材料。</w:t>
      </w:r>
    </w:p>
    <w:p w14:paraId="4958410A">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3.技术负责人：详见商务文件技术负责人简历表后附的证明材料。</w:t>
      </w:r>
    </w:p>
    <w:p w14:paraId="59C3FEB6">
      <w:pPr>
        <w:adjustRightInd w:val="0"/>
        <w:snapToGrid w:val="0"/>
        <w:spacing w:line="360" w:lineRule="auto"/>
        <w:ind w:firstLine="426" w:firstLineChars="200"/>
        <w:rPr>
          <w:rFonts w:hint="eastAsia" w:ascii="宋体" w:hAnsi="宋体" w:cs="宋体"/>
          <w:b/>
          <w:bCs/>
          <w:color w:val="auto"/>
          <w:spacing w:val="1"/>
          <w:sz w:val="21"/>
          <w:szCs w:val="21"/>
          <w:highlight w:val="none"/>
        </w:rPr>
      </w:pPr>
      <w:r>
        <w:rPr>
          <w:rFonts w:hint="eastAsia" w:ascii="宋体" w:hAnsi="宋体" w:cs="宋体"/>
          <w:b/>
          <w:bCs/>
          <w:color w:val="auto"/>
          <w:spacing w:val="1"/>
          <w:sz w:val="21"/>
          <w:szCs w:val="21"/>
          <w:highlight w:val="none"/>
        </w:rPr>
        <w:t>注：</w:t>
      </w:r>
      <w:r>
        <w:rPr>
          <w:rFonts w:hint="eastAsia" w:ascii="宋体" w:hAnsi="宋体" w:cs="宋体"/>
          <w:b/>
          <w:bCs/>
          <w:color w:val="auto"/>
          <w:highlight w:val="none"/>
        </w:rPr>
        <w:t>无需重复</w:t>
      </w:r>
      <w:r>
        <w:rPr>
          <w:rFonts w:hint="eastAsia" w:ascii="宋体" w:hAnsi="宋体" w:cs="宋体"/>
          <w:b/>
          <w:bCs/>
          <w:color w:val="auto"/>
          <w:spacing w:val="1"/>
          <w:sz w:val="21"/>
          <w:szCs w:val="21"/>
          <w:highlight w:val="none"/>
        </w:rPr>
        <w:t>附证明材料</w:t>
      </w:r>
    </w:p>
    <w:p w14:paraId="4F0F8367">
      <w:pPr>
        <w:pStyle w:val="4"/>
        <w:numPr>
          <w:ilvl w:val="2"/>
          <w:numId w:val="0"/>
        </w:numPr>
        <w:spacing w:before="0" w:after="0"/>
        <w:rPr>
          <w:rFonts w:hint="eastAsia" w:ascii="宋体" w:hAnsi="宋体" w:cs="宋体"/>
          <w:color w:val="auto"/>
          <w:sz w:val="30"/>
          <w:szCs w:val="30"/>
          <w:highlight w:val="none"/>
        </w:rPr>
      </w:pPr>
      <w:bookmarkStart w:id="1216" w:name="_Toc15528"/>
      <w:bookmarkStart w:id="1217" w:name="_Toc5033"/>
      <w:r>
        <w:rPr>
          <w:rFonts w:hint="eastAsia" w:ascii="宋体" w:hAnsi="宋体" w:cs="宋体"/>
          <w:color w:val="auto"/>
          <w:sz w:val="24"/>
          <w:szCs w:val="24"/>
          <w:highlight w:val="none"/>
        </w:rPr>
        <w:br w:type="page"/>
      </w:r>
      <w:bookmarkStart w:id="1218" w:name="_Toc9636"/>
      <w:bookmarkStart w:id="1219" w:name="_Toc11459"/>
      <w:bookmarkStart w:id="1220" w:name="_Toc17188"/>
      <w:bookmarkStart w:id="1221" w:name="_Toc179529446"/>
      <w:bookmarkStart w:id="1222" w:name="_Toc179912280"/>
      <w:r>
        <w:rPr>
          <w:rFonts w:hint="eastAsia" w:ascii="宋体" w:hAnsi="宋体" w:cs="宋体"/>
          <w:color w:val="auto"/>
          <w:sz w:val="24"/>
          <w:szCs w:val="24"/>
          <w:highlight w:val="none"/>
        </w:rPr>
        <w:t>8.</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要求</w:t>
      </w:r>
      <w:bookmarkEnd w:id="1218"/>
      <w:bookmarkEnd w:id="1219"/>
      <w:bookmarkEnd w:id="1220"/>
      <w:bookmarkEnd w:id="1221"/>
      <w:bookmarkEnd w:id="1222"/>
    </w:p>
    <w:p w14:paraId="2130E6DA">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承诺书）。</w:t>
      </w:r>
    </w:p>
    <w:p w14:paraId="6C150A44">
      <w:pPr>
        <w:adjustRightInd w:val="0"/>
        <w:snapToGrid w:val="0"/>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 xml:space="preserve">2. 供应商应在“信用中国”网站（https://www.creditchina.gov.cn）未被列入失信被执行人记录、重大税收违法失信主体且在中国政府采购网（https://www.ccgp.gov.cn）没有政府采购严重违法失信行为记录（被禁止在一定期限内参加政府采购活动但期限届满的除外）（由采购人或采购代理机构在响应文件开启时间前（当天）进行查询，供应商无需查询）。 </w:t>
      </w:r>
    </w:p>
    <w:p w14:paraId="7E37C112">
      <w:pPr>
        <w:pStyle w:val="49"/>
        <w:spacing w:after="0" w:line="360" w:lineRule="auto"/>
        <w:ind w:firstLine="400"/>
        <w:rPr>
          <w:rFonts w:hint="eastAsia" w:ascii="宋体" w:hAnsi="宋体" w:cs="宋体"/>
          <w:color w:val="auto"/>
          <w:highlight w:val="none"/>
        </w:rPr>
      </w:pPr>
    </w:p>
    <w:p w14:paraId="3BF6BECF">
      <w:pPr>
        <w:pStyle w:val="21"/>
        <w:spacing w:after="0"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（格式及内容由供应商自行拟定）</w:t>
      </w:r>
    </w:p>
    <w:p w14:paraId="0402DB00">
      <w:pPr>
        <w:pStyle w:val="4"/>
        <w:numPr>
          <w:ilvl w:val="0"/>
          <w:numId w:val="0"/>
        </w:numPr>
        <w:tabs>
          <w:tab w:val="left" w:pos="720"/>
        </w:tabs>
        <w:spacing w:before="0" w:after="0"/>
        <w:rPr>
          <w:rFonts w:hint="eastAsia" w:ascii="宋体" w:hAnsi="宋体" w:cs="宋体"/>
          <w:b w:val="0"/>
          <w:color w:val="auto"/>
          <w:sz w:val="28"/>
          <w:szCs w:val="28"/>
          <w:highlight w:val="none"/>
        </w:rPr>
      </w:pPr>
      <w:r>
        <w:rPr>
          <w:rFonts w:hint="eastAsia" w:ascii="宋体" w:hAnsi="宋体" w:cs="宋体"/>
          <w:color w:val="auto"/>
          <w:sz w:val="24"/>
          <w:szCs w:val="24"/>
          <w:highlight w:val="none"/>
        </w:rPr>
        <w:br w:type="page"/>
      </w:r>
      <w:bookmarkStart w:id="1223" w:name="_Toc179912281"/>
      <w:bookmarkStart w:id="1224" w:name="_Toc22056"/>
      <w:bookmarkStart w:id="1225" w:name="_Toc179529447"/>
      <w:r>
        <w:rPr>
          <w:rFonts w:hint="eastAsia" w:ascii="宋体" w:hAnsi="宋体" w:cs="宋体"/>
          <w:color w:val="auto"/>
          <w:sz w:val="28"/>
          <w:szCs w:val="28"/>
          <w:highlight w:val="none"/>
        </w:rPr>
        <w:t>9.其他</w:t>
      </w:r>
      <w:bookmarkEnd w:id="1216"/>
      <w:bookmarkEnd w:id="1217"/>
      <w:bookmarkEnd w:id="1223"/>
      <w:bookmarkEnd w:id="1224"/>
      <w:bookmarkEnd w:id="1225"/>
    </w:p>
    <w:p w14:paraId="7C9853A2">
      <w:pPr>
        <w:pStyle w:val="5"/>
        <w:spacing w:line="360" w:lineRule="auto"/>
        <w:jc w:val="center"/>
        <w:rPr>
          <w:rFonts w:hint="eastAsia" w:ascii="宋体" w:hAnsi="宋体" w:cs="宋体"/>
          <w:color w:val="auto"/>
          <w:sz w:val="21"/>
          <w:szCs w:val="16"/>
          <w:highlight w:val="none"/>
        </w:rPr>
      </w:pPr>
      <w:r>
        <w:rPr>
          <w:rFonts w:hint="eastAsia" w:ascii="宋体" w:hAnsi="宋体" w:cs="宋体"/>
          <w:color w:val="auto"/>
          <w:sz w:val="21"/>
          <w:szCs w:val="16"/>
          <w:highlight w:val="none"/>
        </w:rPr>
        <w:t>供应商认为有必要提交或磋商文件要求的其他资料，格式自拟，没有则填“无”。</w:t>
      </w:r>
      <w:bookmarkStart w:id="1226" w:name="_Toc300132838"/>
      <w:bookmarkStart w:id="1227" w:name="_Toc300132837"/>
    </w:p>
    <w:p w14:paraId="7ACD5660">
      <w:pPr>
        <w:pStyle w:val="5"/>
        <w:spacing w:line="360" w:lineRule="auto"/>
        <w:rPr>
          <w:rFonts w:hint="eastAsia" w:ascii="宋体" w:hAnsi="宋体" w:cs="宋体"/>
          <w:color w:val="auto"/>
          <w:highlight w:val="none"/>
        </w:rPr>
      </w:pPr>
      <w:r>
        <w:rPr>
          <w:rFonts w:hint="eastAsia" w:ascii="宋体" w:hAnsi="宋体" w:cs="宋体"/>
          <w:color w:val="auto"/>
          <w:highlight w:val="none"/>
        </w:rPr>
        <w:br w:type="page"/>
      </w:r>
    </w:p>
    <w:p w14:paraId="13B920ED">
      <w:pPr>
        <w:pStyle w:val="3"/>
        <w:spacing w:before="0" w:after="0" w:line="360" w:lineRule="auto"/>
        <w:jc w:val="center"/>
        <w:rPr>
          <w:rFonts w:hint="eastAsia" w:ascii="宋体" w:hAnsi="宋体" w:cs="宋体"/>
          <w:color w:val="auto"/>
          <w:kern w:val="2"/>
          <w:sz w:val="21"/>
          <w:highlight w:val="none"/>
        </w:rPr>
      </w:pPr>
      <w:bookmarkStart w:id="1228" w:name="_Toc375780237"/>
      <w:bookmarkStart w:id="1229" w:name="_Toc29836"/>
      <w:bookmarkStart w:id="1230" w:name="_Toc454"/>
      <w:bookmarkStart w:id="1231" w:name="_Toc13460"/>
      <w:bookmarkStart w:id="1232" w:name="_Toc179912282"/>
      <w:r>
        <w:rPr>
          <w:rFonts w:hint="eastAsia" w:ascii="宋体" w:hAnsi="宋体" w:eastAsia="宋体" w:cs="宋体"/>
          <w:color w:val="auto"/>
          <w:highlight w:val="none"/>
        </w:rPr>
        <w:t>二、</w:t>
      </w:r>
      <w:bookmarkEnd w:id="1228"/>
      <w:r>
        <w:rPr>
          <w:rFonts w:hint="eastAsia" w:ascii="宋体" w:hAnsi="宋体" w:eastAsia="宋体" w:cs="宋体"/>
          <w:color w:val="auto"/>
          <w:highlight w:val="none"/>
        </w:rPr>
        <w:t>商务</w:t>
      </w:r>
      <w:bookmarkEnd w:id="1229"/>
      <w:bookmarkEnd w:id="1230"/>
      <w:r>
        <w:rPr>
          <w:rFonts w:hint="eastAsia" w:ascii="宋体" w:hAnsi="宋体" w:eastAsia="宋体" w:cs="宋体"/>
          <w:color w:val="auto"/>
          <w:highlight w:val="none"/>
        </w:rPr>
        <w:t>文件</w:t>
      </w:r>
      <w:bookmarkEnd w:id="1231"/>
      <w:bookmarkEnd w:id="1232"/>
    </w:p>
    <w:p w14:paraId="4030D480">
      <w:pPr>
        <w:pStyle w:val="4"/>
        <w:numPr>
          <w:ilvl w:val="0"/>
          <w:numId w:val="0"/>
        </w:numPr>
        <w:tabs>
          <w:tab w:val="left" w:pos="720"/>
        </w:tabs>
        <w:spacing w:before="0" w:after="0"/>
        <w:rPr>
          <w:rFonts w:hint="eastAsia" w:ascii="宋体" w:hAnsi="宋体" w:cs="宋体"/>
          <w:color w:val="auto"/>
          <w:highlight w:val="none"/>
        </w:rPr>
      </w:pPr>
      <w:bookmarkStart w:id="1233" w:name="_Toc31793"/>
      <w:bookmarkStart w:id="1234" w:name="_Toc179912291"/>
      <w:bookmarkStart w:id="1235" w:name="_Toc9322774"/>
      <w:bookmarkStart w:id="1236" w:name="_Toc179529437"/>
      <w:bookmarkStart w:id="1237" w:name="_Toc3978"/>
      <w:bookmarkStart w:id="1238" w:name="_Toc25310"/>
      <w:bookmarkStart w:id="1239" w:name="_Toc28413"/>
      <w:bookmarkStart w:id="1240" w:name="_Toc7204"/>
      <w:r>
        <w:rPr>
          <w:rFonts w:hint="eastAsia" w:ascii="宋体" w:hAnsi="宋体" w:cs="宋体"/>
          <w:color w:val="auto"/>
          <w:highlight w:val="none"/>
          <w:lang w:val="en-US" w:eastAsia="zh-CN"/>
        </w:rPr>
        <w:t>1</w:t>
      </w:r>
      <w:r>
        <w:rPr>
          <w:rFonts w:hint="eastAsia" w:ascii="宋体" w:hAnsi="宋体" w:cs="宋体"/>
          <w:color w:val="auto"/>
          <w:highlight w:val="none"/>
        </w:rPr>
        <w:t>.项目管理机构配备</w:t>
      </w:r>
      <w:bookmarkEnd w:id="1233"/>
      <w:bookmarkEnd w:id="1234"/>
      <w:bookmarkEnd w:id="1235"/>
      <w:bookmarkEnd w:id="1236"/>
      <w:bookmarkEnd w:id="1237"/>
      <w:bookmarkEnd w:id="1238"/>
      <w:bookmarkEnd w:id="1239"/>
      <w:bookmarkEnd w:id="1240"/>
    </w:p>
    <w:p w14:paraId="2C551961">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（1）项目管理机构配备情况表</w:t>
      </w:r>
    </w:p>
    <w:tbl>
      <w:tblPr>
        <w:tblStyle w:val="50"/>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998"/>
        <w:gridCol w:w="1041"/>
        <w:gridCol w:w="1456"/>
        <w:gridCol w:w="1125"/>
        <w:gridCol w:w="1041"/>
        <w:gridCol w:w="1284"/>
        <w:gridCol w:w="1265"/>
      </w:tblGrid>
      <w:tr w14:paraId="7F75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1127" w:type="dxa"/>
            <w:vMerge w:val="restart"/>
            <w:vAlign w:val="center"/>
          </w:tcPr>
          <w:p w14:paraId="57BB60C6">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职务</w:t>
            </w:r>
          </w:p>
        </w:tc>
        <w:tc>
          <w:tcPr>
            <w:tcW w:w="998" w:type="dxa"/>
            <w:vMerge w:val="restart"/>
            <w:vAlign w:val="center"/>
          </w:tcPr>
          <w:p w14:paraId="4A7C7128">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1041" w:type="dxa"/>
            <w:vMerge w:val="restart"/>
            <w:vAlign w:val="center"/>
          </w:tcPr>
          <w:p w14:paraId="230DF495">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职称</w:t>
            </w:r>
          </w:p>
        </w:tc>
        <w:tc>
          <w:tcPr>
            <w:tcW w:w="4906" w:type="dxa"/>
            <w:gridSpan w:val="4"/>
            <w:vAlign w:val="center"/>
          </w:tcPr>
          <w:p w14:paraId="696CC4EE">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执业或职业资格证明</w:t>
            </w:r>
          </w:p>
        </w:tc>
        <w:tc>
          <w:tcPr>
            <w:tcW w:w="1265" w:type="dxa"/>
            <w:vMerge w:val="restart"/>
            <w:vAlign w:val="center"/>
          </w:tcPr>
          <w:p w14:paraId="0CCBBF46">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r>
      <w:tr w14:paraId="596E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1127" w:type="dxa"/>
            <w:vMerge w:val="continue"/>
          </w:tcPr>
          <w:p w14:paraId="5AE09229">
            <w:pPr>
              <w:spacing w:line="360" w:lineRule="auto"/>
              <w:jc w:val="center"/>
              <w:rPr>
                <w:rFonts w:hint="eastAsia" w:ascii="宋体" w:hAnsi="宋体" w:cs="宋体"/>
                <w:color w:val="auto"/>
                <w:sz w:val="21"/>
                <w:szCs w:val="21"/>
                <w:highlight w:val="none"/>
              </w:rPr>
            </w:pPr>
          </w:p>
        </w:tc>
        <w:tc>
          <w:tcPr>
            <w:tcW w:w="998" w:type="dxa"/>
            <w:vMerge w:val="continue"/>
          </w:tcPr>
          <w:p w14:paraId="7454201C">
            <w:pPr>
              <w:spacing w:line="360" w:lineRule="auto"/>
              <w:jc w:val="center"/>
              <w:rPr>
                <w:rFonts w:hint="eastAsia" w:ascii="宋体" w:hAnsi="宋体" w:cs="宋体"/>
                <w:color w:val="auto"/>
                <w:sz w:val="21"/>
                <w:szCs w:val="21"/>
                <w:highlight w:val="none"/>
              </w:rPr>
            </w:pPr>
          </w:p>
        </w:tc>
        <w:tc>
          <w:tcPr>
            <w:tcW w:w="1041" w:type="dxa"/>
            <w:vMerge w:val="continue"/>
          </w:tcPr>
          <w:p w14:paraId="5A60BD9E">
            <w:pPr>
              <w:spacing w:line="360" w:lineRule="auto"/>
              <w:jc w:val="center"/>
              <w:rPr>
                <w:rFonts w:hint="eastAsia" w:ascii="宋体" w:hAnsi="宋体" w:cs="宋体"/>
                <w:color w:val="auto"/>
                <w:sz w:val="21"/>
                <w:szCs w:val="21"/>
                <w:highlight w:val="none"/>
              </w:rPr>
            </w:pPr>
          </w:p>
        </w:tc>
        <w:tc>
          <w:tcPr>
            <w:tcW w:w="1456" w:type="dxa"/>
            <w:vAlign w:val="center"/>
          </w:tcPr>
          <w:p w14:paraId="4C574285">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证书名称</w:t>
            </w:r>
          </w:p>
        </w:tc>
        <w:tc>
          <w:tcPr>
            <w:tcW w:w="1125" w:type="dxa"/>
            <w:vAlign w:val="center"/>
          </w:tcPr>
          <w:p w14:paraId="4A9FC647">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级别</w:t>
            </w:r>
          </w:p>
        </w:tc>
        <w:tc>
          <w:tcPr>
            <w:tcW w:w="1041" w:type="dxa"/>
            <w:vAlign w:val="center"/>
          </w:tcPr>
          <w:p w14:paraId="6E866316">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证号</w:t>
            </w:r>
          </w:p>
        </w:tc>
        <w:tc>
          <w:tcPr>
            <w:tcW w:w="1284" w:type="dxa"/>
            <w:vAlign w:val="center"/>
          </w:tcPr>
          <w:p w14:paraId="34944644">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专业</w:t>
            </w:r>
          </w:p>
        </w:tc>
        <w:tc>
          <w:tcPr>
            <w:tcW w:w="1265" w:type="dxa"/>
            <w:vMerge w:val="continue"/>
            <w:vAlign w:val="center"/>
          </w:tcPr>
          <w:p w14:paraId="37588189">
            <w:pPr>
              <w:spacing w:line="360" w:lineRule="auto"/>
              <w:jc w:val="center"/>
              <w:rPr>
                <w:rFonts w:hint="eastAsia" w:ascii="宋体" w:hAnsi="宋体" w:cs="宋体"/>
                <w:color w:val="auto"/>
                <w:sz w:val="21"/>
                <w:szCs w:val="21"/>
                <w:highlight w:val="none"/>
              </w:rPr>
            </w:pPr>
          </w:p>
        </w:tc>
      </w:tr>
      <w:tr w14:paraId="2258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7" w:type="dxa"/>
          </w:tcPr>
          <w:p w14:paraId="730073E3">
            <w:pPr>
              <w:spacing w:line="360" w:lineRule="auto"/>
              <w:jc w:val="center"/>
              <w:rPr>
                <w:rFonts w:hint="eastAsia" w:ascii="宋体" w:hAnsi="宋体" w:cs="宋体"/>
                <w:color w:val="auto"/>
                <w:sz w:val="21"/>
                <w:szCs w:val="21"/>
                <w:highlight w:val="none"/>
              </w:rPr>
            </w:pPr>
          </w:p>
        </w:tc>
        <w:tc>
          <w:tcPr>
            <w:tcW w:w="998" w:type="dxa"/>
          </w:tcPr>
          <w:p w14:paraId="736AC6A5">
            <w:pPr>
              <w:spacing w:line="360" w:lineRule="auto"/>
              <w:jc w:val="center"/>
              <w:rPr>
                <w:rFonts w:hint="eastAsia" w:ascii="宋体" w:hAnsi="宋体" w:cs="宋体"/>
                <w:color w:val="auto"/>
                <w:sz w:val="21"/>
                <w:szCs w:val="21"/>
                <w:highlight w:val="none"/>
              </w:rPr>
            </w:pPr>
          </w:p>
        </w:tc>
        <w:tc>
          <w:tcPr>
            <w:tcW w:w="1041" w:type="dxa"/>
          </w:tcPr>
          <w:p w14:paraId="62539975">
            <w:pPr>
              <w:spacing w:line="360" w:lineRule="auto"/>
              <w:jc w:val="center"/>
              <w:rPr>
                <w:rFonts w:hint="eastAsia" w:ascii="宋体" w:hAnsi="宋体" w:cs="宋体"/>
                <w:color w:val="auto"/>
                <w:sz w:val="21"/>
                <w:szCs w:val="21"/>
                <w:highlight w:val="none"/>
              </w:rPr>
            </w:pPr>
          </w:p>
        </w:tc>
        <w:tc>
          <w:tcPr>
            <w:tcW w:w="1456" w:type="dxa"/>
          </w:tcPr>
          <w:p w14:paraId="3C32FE89">
            <w:pPr>
              <w:spacing w:line="360" w:lineRule="auto"/>
              <w:jc w:val="center"/>
              <w:rPr>
                <w:rFonts w:hint="eastAsia" w:ascii="宋体" w:hAnsi="宋体" w:cs="宋体"/>
                <w:color w:val="auto"/>
                <w:sz w:val="21"/>
                <w:szCs w:val="21"/>
                <w:highlight w:val="none"/>
              </w:rPr>
            </w:pPr>
          </w:p>
        </w:tc>
        <w:tc>
          <w:tcPr>
            <w:tcW w:w="1125" w:type="dxa"/>
          </w:tcPr>
          <w:p w14:paraId="0B5BB03B">
            <w:pPr>
              <w:spacing w:line="360" w:lineRule="auto"/>
              <w:jc w:val="center"/>
              <w:rPr>
                <w:rFonts w:hint="eastAsia" w:ascii="宋体" w:hAnsi="宋体" w:cs="宋体"/>
                <w:color w:val="auto"/>
                <w:sz w:val="21"/>
                <w:szCs w:val="21"/>
                <w:highlight w:val="none"/>
              </w:rPr>
            </w:pPr>
          </w:p>
        </w:tc>
        <w:tc>
          <w:tcPr>
            <w:tcW w:w="1041" w:type="dxa"/>
          </w:tcPr>
          <w:p w14:paraId="57846E78">
            <w:pPr>
              <w:spacing w:line="360" w:lineRule="auto"/>
              <w:jc w:val="center"/>
              <w:rPr>
                <w:rFonts w:hint="eastAsia" w:ascii="宋体" w:hAnsi="宋体" w:cs="宋体"/>
                <w:color w:val="auto"/>
                <w:sz w:val="21"/>
                <w:szCs w:val="21"/>
                <w:highlight w:val="none"/>
              </w:rPr>
            </w:pPr>
          </w:p>
        </w:tc>
        <w:tc>
          <w:tcPr>
            <w:tcW w:w="1284" w:type="dxa"/>
          </w:tcPr>
          <w:p w14:paraId="0E8EE3CA">
            <w:pPr>
              <w:spacing w:line="360" w:lineRule="auto"/>
              <w:jc w:val="center"/>
              <w:rPr>
                <w:rFonts w:hint="eastAsia" w:ascii="宋体" w:hAnsi="宋体" w:cs="宋体"/>
                <w:color w:val="auto"/>
                <w:sz w:val="21"/>
                <w:szCs w:val="21"/>
                <w:highlight w:val="none"/>
              </w:rPr>
            </w:pPr>
          </w:p>
        </w:tc>
        <w:tc>
          <w:tcPr>
            <w:tcW w:w="1265" w:type="dxa"/>
          </w:tcPr>
          <w:p w14:paraId="1AC568F8">
            <w:pPr>
              <w:spacing w:line="360" w:lineRule="auto"/>
              <w:jc w:val="center"/>
              <w:rPr>
                <w:rFonts w:hint="eastAsia" w:ascii="宋体" w:hAnsi="宋体" w:cs="宋体"/>
                <w:color w:val="auto"/>
                <w:sz w:val="21"/>
                <w:szCs w:val="21"/>
                <w:highlight w:val="none"/>
              </w:rPr>
            </w:pPr>
          </w:p>
        </w:tc>
      </w:tr>
      <w:tr w14:paraId="5FCF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7" w:type="dxa"/>
          </w:tcPr>
          <w:p w14:paraId="3E44BEAB">
            <w:pPr>
              <w:spacing w:line="360" w:lineRule="auto"/>
              <w:jc w:val="center"/>
              <w:rPr>
                <w:rFonts w:hint="eastAsia" w:ascii="宋体" w:hAnsi="宋体" w:cs="宋体"/>
                <w:color w:val="auto"/>
                <w:sz w:val="21"/>
                <w:szCs w:val="21"/>
                <w:highlight w:val="none"/>
              </w:rPr>
            </w:pPr>
          </w:p>
        </w:tc>
        <w:tc>
          <w:tcPr>
            <w:tcW w:w="998" w:type="dxa"/>
          </w:tcPr>
          <w:p w14:paraId="6E53783D">
            <w:pPr>
              <w:spacing w:line="360" w:lineRule="auto"/>
              <w:jc w:val="center"/>
              <w:rPr>
                <w:rFonts w:hint="eastAsia" w:ascii="宋体" w:hAnsi="宋体" w:cs="宋体"/>
                <w:color w:val="auto"/>
                <w:sz w:val="21"/>
                <w:szCs w:val="21"/>
                <w:highlight w:val="none"/>
              </w:rPr>
            </w:pPr>
          </w:p>
        </w:tc>
        <w:tc>
          <w:tcPr>
            <w:tcW w:w="1041" w:type="dxa"/>
          </w:tcPr>
          <w:p w14:paraId="1338BF5D">
            <w:pPr>
              <w:spacing w:line="360" w:lineRule="auto"/>
              <w:jc w:val="center"/>
              <w:rPr>
                <w:rFonts w:hint="eastAsia" w:ascii="宋体" w:hAnsi="宋体" w:cs="宋体"/>
                <w:color w:val="auto"/>
                <w:sz w:val="21"/>
                <w:szCs w:val="21"/>
                <w:highlight w:val="none"/>
              </w:rPr>
            </w:pPr>
          </w:p>
        </w:tc>
        <w:tc>
          <w:tcPr>
            <w:tcW w:w="1456" w:type="dxa"/>
          </w:tcPr>
          <w:p w14:paraId="0312085D">
            <w:pPr>
              <w:spacing w:line="360" w:lineRule="auto"/>
              <w:jc w:val="center"/>
              <w:rPr>
                <w:rFonts w:hint="eastAsia" w:ascii="宋体" w:hAnsi="宋体" w:cs="宋体"/>
                <w:color w:val="auto"/>
                <w:sz w:val="21"/>
                <w:szCs w:val="21"/>
                <w:highlight w:val="none"/>
              </w:rPr>
            </w:pPr>
          </w:p>
        </w:tc>
        <w:tc>
          <w:tcPr>
            <w:tcW w:w="1125" w:type="dxa"/>
          </w:tcPr>
          <w:p w14:paraId="65D78663">
            <w:pPr>
              <w:spacing w:line="360" w:lineRule="auto"/>
              <w:jc w:val="center"/>
              <w:rPr>
                <w:rFonts w:hint="eastAsia" w:ascii="宋体" w:hAnsi="宋体" w:cs="宋体"/>
                <w:color w:val="auto"/>
                <w:sz w:val="21"/>
                <w:szCs w:val="21"/>
                <w:highlight w:val="none"/>
              </w:rPr>
            </w:pPr>
          </w:p>
        </w:tc>
        <w:tc>
          <w:tcPr>
            <w:tcW w:w="1041" w:type="dxa"/>
          </w:tcPr>
          <w:p w14:paraId="184B836C">
            <w:pPr>
              <w:spacing w:line="360" w:lineRule="auto"/>
              <w:jc w:val="center"/>
              <w:rPr>
                <w:rFonts w:hint="eastAsia" w:ascii="宋体" w:hAnsi="宋体" w:cs="宋体"/>
                <w:color w:val="auto"/>
                <w:sz w:val="21"/>
                <w:szCs w:val="21"/>
                <w:highlight w:val="none"/>
              </w:rPr>
            </w:pPr>
          </w:p>
        </w:tc>
        <w:tc>
          <w:tcPr>
            <w:tcW w:w="1284" w:type="dxa"/>
          </w:tcPr>
          <w:p w14:paraId="23FD8F97">
            <w:pPr>
              <w:spacing w:line="360" w:lineRule="auto"/>
              <w:jc w:val="center"/>
              <w:rPr>
                <w:rFonts w:hint="eastAsia" w:ascii="宋体" w:hAnsi="宋体" w:cs="宋体"/>
                <w:color w:val="auto"/>
                <w:sz w:val="21"/>
                <w:szCs w:val="21"/>
                <w:highlight w:val="none"/>
              </w:rPr>
            </w:pPr>
          </w:p>
        </w:tc>
        <w:tc>
          <w:tcPr>
            <w:tcW w:w="1265" w:type="dxa"/>
          </w:tcPr>
          <w:p w14:paraId="517A6706">
            <w:pPr>
              <w:spacing w:line="360" w:lineRule="auto"/>
              <w:jc w:val="center"/>
              <w:rPr>
                <w:rFonts w:hint="eastAsia" w:ascii="宋体" w:hAnsi="宋体" w:cs="宋体"/>
                <w:color w:val="auto"/>
                <w:sz w:val="21"/>
                <w:szCs w:val="21"/>
                <w:highlight w:val="none"/>
              </w:rPr>
            </w:pPr>
          </w:p>
        </w:tc>
      </w:tr>
      <w:tr w14:paraId="3CD0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7" w:type="dxa"/>
          </w:tcPr>
          <w:p w14:paraId="2D44475D">
            <w:pPr>
              <w:spacing w:line="360" w:lineRule="auto"/>
              <w:jc w:val="center"/>
              <w:rPr>
                <w:rFonts w:hint="eastAsia" w:ascii="宋体" w:hAnsi="宋体" w:cs="宋体"/>
                <w:color w:val="auto"/>
                <w:sz w:val="21"/>
                <w:szCs w:val="21"/>
                <w:highlight w:val="none"/>
              </w:rPr>
            </w:pPr>
          </w:p>
        </w:tc>
        <w:tc>
          <w:tcPr>
            <w:tcW w:w="998" w:type="dxa"/>
          </w:tcPr>
          <w:p w14:paraId="2F728E08">
            <w:pPr>
              <w:spacing w:line="360" w:lineRule="auto"/>
              <w:jc w:val="center"/>
              <w:rPr>
                <w:rFonts w:hint="eastAsia" w:ascii="宋体" w:hAnsi="宋体" w:cs="宋体"/>
                <w:color w:val="auto"/>
                <w:sz w:val="21"/>
                <w:szCs w:val="21"/>
                <w:highlight w:val="none"/>
              </w:rPr>
            </w:pPr>
          </w:p>
        </w:tc>
        <w:tc>
          <w:tcPr>
            <w:tcW w:w="1041" w:type="dxa"/>
          </w:tcPr>
          <w:p w14:paraId="58BF9B2D">
            <w:pPr>
              <w:spacing w:line="360" w:lineRule="auto"/>
              <w:jc w:val="center"/>
              <w:rPr>
                <w:rFonts w:hint="eastAsia" w:ascii="宋体" w:hAnsi="宋体" w:cs="宋体"/>
                <w:color w:val="auto"/>
                <w:sz w:val="21"/>
                <w:szCs w:val="21"/>
                <w:highlight w:val="none"/>
              </w:rPr>
            </w:pPr>
          </w:p>
        </w:tc>
        <w:tc>
          <w:tcPr>
            <w:tcW w:w="1456" w:type="dxa"/>
          </w:tcPr>
          <w:p w14:paraId="49B0F81F">
            <w:pPr>
              <w:spacing w:line="360" w:lineRule="auto"/>
              <w:jc w:val="center"/>
              <w:rPr>
                <w:rFonts w:hint="eastAsia" w:ascii="宋体" w:hAnsi="宋体" w:cs="宋体"/>
                <w:color w:val="auto"/>
                <w:sz w:val="21"/>
                <w:szCs w:val="21"/>
                <w:highlight w:val="none"/>
              </w:rPr>
            </w:pPr>
          </w:p>
        </w:tc>
        <w:tc>
          <w:tcPr>
            <w:tcW w:w="1125" w:type="dxa"/>
          </w:tcPr>
          <w:p w14:paraId="252B90E2">
            <w:pPr>
              <w:spacing w:line="360" w:lineRule="auto"/>
              <w:jc w:val="center"/>
              <w:rPr>
                <w:rFonts w:hint="eastAsia" w:ascii="宋体" w:hAnsi="宋体" w:cs="宋体"/>
                <w:color w:val="auto"/>
                <w:sz w:val="21"/>
                <w:szCs w:val="21"/>
                <w:highlight w:val="none"/>
              </w:rPr>
            </w:pPr>
          </w:p>
        </w:tc>
        <w:tc>
          <w:tcPr>
            <w:tcW w:w="1041" w:type="dxa"/>
          </w:tcPr>
          <w:p w14:paraId="1361FCDB">
            <w:pPr>
              <w:spacing w:line="360" w:lineRule="auto"/>
              <w:jc w:val="center"/>
              <w:rPr>
                <w:rFonts w:hint="eastAsia" w:ascii="宋体" w:hAnsi="宋体" w:cs="宋体"/>
                <w:color w:val="auto"/>
                <w:sz w:val="21"/>
                <w:szCs w:val="21"/>
                <w:highlight w:val="none"/>
              </w:rPr>
            </w:pPr>
          </w:p>
        </w:tc>
        <w:tc>
          <w:tcPr>
            <w:tcW w:w="1284" w:type="dxa"/>
          </w:tcPr>
          <w:p w14:paraId="312E0D5D">
            <w:pPr>
              <w:spacing w:line="360" w:lineRule="auto"/>
              <w:jc w:val="center"/>
              <w:rPr>
                <w:rFonts w:hint="eastAsia" w:ascii="宋体" w:hAnsi="宋体" w:cs="宋体"/>
                <w:color w:val="auto"/>
                <w:sz w:val="21"/>
                <w:szCs w:val="21"/>
                <w:highlight w:val="none"/>
              </w:rPr>
            </w:pPr>
          </w:p>
        </w:tc>
        <w:tc>
          <w:tcPr>
            <w:tcW w:w="1265" w:type="dxa"/>
          </w:tcPr>
          <w:p w14:paraId="4EC37E47">
            <w:pPr>
              <w:spacing w:line="360" w:lineRule="auto"/>
              <w:jc w:val="center"/>
              <w:rPr>
                <w:rFonts w:hint="eastAsia" w:ascii="宋体" w:hAnsi="宋体" w:cs="宋体"/>
                <w:color w:val="auto"/>
                <w:sz w:val="21"/>
                <w:szCs w:val="21"/>
                <w:highlight w:val="none"/>
              </w:rPr>
            </w:pPr>
          </w:p>
        </w:tc>
      </w:tr>
      <w:tr w14:paraId="4D2F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7" w:type="dxa"/>
          </w:tcPr>
          <w:p w14:paraId="1E323ED8">
            <w:pPr>
              <w:spacing w:line="360" w:lineRule="auto"/>
              <w:jc w:val="center"/>
              <w:rPr>
                <w:rFonts w:hint="eastAsia" w:ascii="宋体" w:hAnsi="宋体" w:cs="宋体"/>
                <w:color w:val="auto"/>
                <w:sz w:val="21"/>
                <w:szCs w:val="21"/>
                <w:highlight w:val="none"/>
              </w:rPr>
            </w:pPr>
          </w:p>
        </w:tc>
        <w:tc>
          <w:tcPr>
            <w:tcW w:w="998" w:type="dxa"/>
          </w:tcPr>
          <w:p w14:paraId="08A19CF8">
            <w:pPr>
              <w:spacing w:line="360" w:lineRule="auto"/>
              <w:jc w:val="center"/>
              <w:rPr>
                <w:rFonts w:hint="eastAsia" w:ascii="宋体" w:hAnsi="宋体" w:cs="宋体"/>
                <w:color w:val="auto"/>
                <w:sz w:val="21"/>
                <w:szCs w:val="21"/>
                <w:highlight w:val="none"/>
              </w:rPr>
            </w:pPr>
          </w:p>
        </w:tc>
        <w:tc>
          <w:tcPr>
            <w:tcW w:w="1041" w:type="dxa"/>
          </w:tcPr>
          <w:p w14:paraId="3B0F87EC">
            <w:pPr>
              <w:spacing w:line="360" w:lineRule="auto"/>
              <w:jc w:val="center"/>
              <w:rPr>
                <w:rFonts w:hint="eastAsia" w:ascii="宋体" w:hAnsi="宋体" w:cs="宋体"/>
                <w:color w:val="auto"/>
                <w:sz w:val="21"/>
                <w:szCs w:val="21"/>
                <w:highlight w:val="none"/>
              </w:rPr>
            </w:pPr>
          </w:p>
        </w:tc>
        <w:tc>
          <w:tcPr>
            <w:tcW w:w="1456" w:type="dxa"/>
          </w:tcPr>
          <w:p w14:paraId="5DDE3A8E">
            <w:pPr>
              <w:spacing w:line="360" w:lineRule="auto"/>
              <w:jc w:val="center"/>
              <w:rPr>
                <w:rFonts w:hint="eastAsia" w:ascii="宋体" w:hAnsi="宋体" w:cs="宋体"/>
                <w:color w:val="auto"/>
                <w:sz w:val="21"/>
                <w:szCs w:val="21"/>
                <w:highlight w:val="none"/>
              </w:rPr>
            </w:pPr>
          </w:p>
        </w:tc>
        <w:tc>
          <w:tcPr>
            <w:tcW w:w="1125" w:type="dxa"/>
          </w:tcPr>
          <w:p w14:paraId="317940EA">
            <w:pPr>
              <w:spacing w:line="360" w:lineRule="auto"/>
              <w:jc w:val="center"/>
              <w:rPr>
                <w:rFonts w:hint="eastAsia" w:ascii="宋体" w:hAnsi="宋体" w:cs="宋体"/>
                <w:color w:val="auto"/>
                <w:sz w:val="21"/>
                <w:szCs w:val="21"/>
                <w:highlight w:val="none"/>
              </w:rPr>
            </w:pPr>
          </w:p>
        </w:tc>
        <w:tc>
          <w:tcPr>
            <w:tcW w:w="1041" w:type="dxa"/>
          </w:tcPr>
          <w:p w14:paraId="13BC16FE">
            <w:pPr>
              <w:spacing w:line="360" w:lineRule="auto"/>
              <w:jc w:val="center"/>
              <w:rPr>
                <w:rFonts w:hint="eastAsia" w:ascii="宋体" w:hAnsi="宋体" w:cs="宋体"/>
                <w:color w:val="auto"/>
                <w:sz w:val="21"/>
                <w:szCs w:val="21"/>
                <w:highlight w:val="none"/>
              </w:rPr>
            </w:pPr>
          </w:p>
        </w:tc>
        <w:tc>
          <w:tcPr>
            <w:tcW w:w="1284" w:type="dxa"/>
          </w:tcPr>
          <w:p w14:paraId="31CADAC7">
            <w:pPr>
              <w:spacing w:line="360" w:lineRule="auto"/>
              <w:jc w:val="center"/>
              <w:rPr>
                <w:rFonts w:hint="eastAsia" w:ascii="宋体" w:hAnsi="宋体" w:cs="宋体"/>
                <w:color w:val="auto"/>
                <w:sz w:val="21"/>
                <w:szCs w:val="21"/>
                <w:highlight w:val="none"/>
              </w:rPr>
            </w:pPr>
          </w:p>
        </w:tc>
        <w:tc>
          <w:tcPr>
            <w:tcW w:w="1265" w:type="dxa"/>
          </w:tcPr>
          <w:p w14:paraId="4E37C93A">
            <w:pPr>
              <w:spacing w:line="360" w:lineRule="auto"/>
              <w:jc w:val="center"/>
              <w:rPr>
                <w:rFonts w:hint="eastAsia" w:ascii="宋体" w:hAnsi="宋体" w:cs="宋体"/>
                <w:color w:val="auto"/>
                <w:sz w:val="21"/>
                <w:szCs w:val="21"/>
                <w:highlight w:val="none"/>
              </w:rPr>
            </w:pPr>
          </w:p>
        </w:tc>
      </w:tr>
      <w:tr w14:paraId="72A1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7" w:type="dxa"/>
          </w:tcPr>
          <w:p w14:paraId="3551A813">
            <w:pPr>
              <w:spacing w:line="360" w:lineRule="auto"/>
              <w:jc w:val="center"/>
              <w:rPr>
                <w:rFonts w:hint="eastAsia" w:ascii="宋体" w:hAnsi="宋体" w:cs="宋体"/>
                <w:color w:val="auto"/>
                <w:sz w:val="21"/>
                <w:szCs w:val="21"/>
                <w:highlight w:val="none"/>
              </w:rPr>
            </w:pPr>
          </w:p>
        </w:tc>
        <w:tc>
          <w:tcPr>
            <w:tcW w:w="998" w:type="dxa"/>
          </w:tcPr>
          <w:p w14:paraId="18A9B9B2">
            <w:pPr>
              <w:spacing w:line="360" w:lineRule="auto"/>
              <w:jc w:val="center"/>
              <w:rPr>
                <w:rFonts w:hint="eastAsia" w:ascii="宋体" w:hAnsi="宋体" w:cs="宋体"/>
                <w:color w:val="auto"/>
                <w:sz w:val="21"/>
                <w:szCs w:val="21"/>
                <w:highlight w:val="none"/>
              </w:rPr>
            </w:pPr>
          </w:p>
        </w:tc>
        <w:tc>
          <w:tcPr>
            <w:tcW w:w="1041" w:type="dxa"/>
          </w:tcPr>
          <w:p w14:paraId="42459E82">
            <w:pPr>
              <w:spacing w:line="360" w:lineRule="auto"/>
              <w:jc w:val="center"/>
              <w:rPr>
                <w:rFonts w:hint="eastAsia" w:ascii="宋体" w:hAnsi="宋体" w:cs="宋体"/>
                <w:color w:val="auto"/>
                <w:sz w:val="21"/>
                <w:szCs w:val="21"/>
                <w:highlight w:val="none"/>
              </w:rPr>
            </w:pPr>
          </w:p>
        </w:tc>
        <w:tc>
          <w:tcPr>
            <w:tcW w:w="1456" w:type="dxa"/>
          </w:tcPr>
          <w:p w14:paraId="03DEA797">
            <w:pPr>
              <w:spacing w:line="360" w:lineRule="auto"/>
              <w:jc w:val="center"/>
              <w:rPr>
                <w:rFonts w:hint="eastAsia" w:ascii="宋体" w:hAnsi="宋体" w:cs="宋体"/>
                <w:color w:val="auto"/>
                <w:sz w:val="21"/>
                <w:szCs w:val="21"/>
                <w:highlight w:val="none"/>
              </w:rPr>
            </w:pPr>
          </w:p>
        </w:tc>
        <w:tc>
          <w:tcPr>
            <w:tcW w:w="1125" w:type="dxa"/>
          </w:tcPr>
          <w:p w14:paraId="0FCFEE7A">
            <w:pPr>
              <w:spacing w:line="360" w:lineRule="auto"/>
              <w:jc w:val="center"/>
              <w:rPr>
                <w:rFonts w:hint="eastAsia" w:ascii="宋体" w:hAnsi="宋体" w:cs="宋体"/>
                <w:color w:val="auto"/>
                <w:sz w:val="21"/>
                <w:szCs w:val="21"/>
                <w:highlight w:val="none"/>
              </w:rPr>
            </w:pPr>
          </w:p>
        </w:tc>
        <w:tc>
          <w:tcPr>
            <w:tcW w:w="1041" w:type="dxa"/>
          </w:tcPr>
          <w:p w14:paraId="36FC6EA6">
            <w:pPr>
              <w:spacing w:line="360" w:lineRule="auto"/>
              <w:jc w:val="center"/>
              <w:rPr>
                <w:rFonts w:hint="eastAsia" w:ascii="宋体" w:hAnsi="宋体" w:cs="宋体"/>
                <w:color w:val="auto"/>
                <w:sz w:val="21"/>
                <w:szCs w:val="21"/>
                <w:highlight w:val="none"/>
              </w:rPr>
            </w:pPr>
          </w:p>
        </w:tc>
        <w:tc>
          <w:tcPr>
            <w:tcW w:w="1284" w:type="dxa"/>
          </w:tcPr>
          <w:p w14:paraId="0D2DB637">
            <w:pPr>
              <w:spacing w:line="360" w:lineRule="auto"/>
              <w:jc w:val="center"/>
              <w:rPr>
                <w:rFonts w:hint="eastAsia" w:ascii="宋体" w:hAnsi="宋体" w:cs="宋体"/>
                <w:color w:val="auto"/>
                <w:sz w:val="21"/>
                <w:szCs w:val="21"/>
                <w:highlight w:val="none"/>
              </w:rPr>
            </w:pPr>
          </w:p>
        </w:tc>
        <w:tc>
          <w:tcPr>
            <w:tcW w:w="1265" w:type="dxa"/>
          </w:tcPr>
          <w:p w14:paraId="2DB422A4">
            <w:pPr>
              <w:spacing w:line="360" w:lineRule="auto"/>
              <w:jc w:val="center"/>
              <w:rPr>
                <w:rFonts w:hint="eastAsia" w:ascii="宋体" w:hAnsi="宋体" w:cs="宋体"/>
                <w:color w:val="auto"/>
                <w:sz w:val="21"/>
                <w:szCs w:val="21"/>
                <w:highlight w:val="none"/>
              </w:rPr>
            </w:pPr>
          </w:p>
        </w:tc>
      </w:tr>
      <w:tr w14:paraId="5BA2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7" w:type="dxa"/>
          </w:tcPr>
          <w:p w14:paraId="3F52F4BF">
            <w:pPr>
              <w:spacing w:line="360" w:lineRule="auto"/>
              <w:jc w:val="center"/>
              <w:rPr>
                <w:rFonts w:hint="eastAsia" w:ascii="宋体" w:hAnsi="宋体" w:cs="宋体"/>
                <w:color w:val="auto"/>
                <w:sz w:val="21"/>
                <w:szCs w:val="21"/>
                <w:highlight w:val="none"/>
              </w:rPr>
            </w:pPr>
          </w:p>
        </w:tc>
        <w:tc>
          <w:tcPr>
            <w:tcW w:w="998" w:type="dxa"/>
          </w:tcPr>
          <w:p w14:paraId="6C8424DE">
            <w:pPr>
              <w:spacing w:line="360" w:lineRule="auto"/>
              <w:jc w:val="center"/>
              <w:rPr>
                <w:rFonts w:hint="eastAsia" w:ascii="宋体" w:hAnsi="宋体" w:cs="宋体"/>
                <w:color w:val="auto"/>
                <w:sz w:val="21"/>
                <w:szCs w:val="21"/>
                <w:highlight w:val="none"/>
              </w:rPr>
            </w:pPr>
          </w:p>
        </w:tc>
        <w:tc>
          <w:tcPr>
            <w:tcW w:w="1041" w:type="dxa"/>
          </w:tcPr>
          <w:p w14:paraId="24873E8E">
            <w:pPr>
              <w:spacing w:line="360" w:lineRule="auto"/>
              <w:jc w:val="center"/>
              <w:rPr>
                <w:rFonts w:hint="eastAsia" w:ascii="宋体" w:hAnsi="宋体" w:cs="宋体"/>
                <w:color w:val="auto"/>
                <w:sz w:val="21"/>
                <w:szCs w:val="21"/>
                <w:highlight w:val="none"/>
              </w:rPr>
            </w:pPr>
          </w:p>
        </w:tc>
        <w:tc>
          <w:tcPr>
            <w:tcW w:w="1456" w:type="dxa"/>
          </w:tcPr>
          <w:p w14:paraId="73778242">
            <w:pPr>
              <w:spacing w:line="360" w:lineRule="auto"/>
              <w:jc w:val="center"/>
              <w:rPr>
                <w:rFonts w:hint="eastAsia" w:ascii="宋体" w:hAnsi="宋体" w:cs="宋体"/>
                <w:color w:val="auto"/>
                <w:sz w:val="21"/>
                <w:szCs w:val="21"/>
                <w:highlight w:val="none"/>
              </w:rPr>
            </w:pPr>
          </w:p>
        </w:tc>
        <w:tc>
          <w:tcPr>
            <w:tcW w:w="1125" w:type="dxa"/>
          </w:tcPr>
          <w:p w14:paraId="4ACD126A">
            <w:pPr>
              <w:spacing w:line="360" w:lineRule="auto"/>
              <w:jc w:val="center"/>
              <w:rPr>
                <w:rFonts w:hint="eastAsia" w:ascii="宋体" w:hAnsi="宋体" w:cs="宋体"/>
                <w:color w:val="auto"/>
                <w:sz w:val="21"/>
                <w:szCs w:val="21"/>
                <w:highlight w:val="none"/>
              </w:rPr>
            </w:pPr>
          </w:p>
        </w:tc>
        <w:tc>
          <w:tcPr>
            <w:tcW w:w="1041" w:type="dxa"/>
          </w:tcPr>
          <w:p w14:paraId="384850D6">
            <w:pPr>
              <w:spacing w:line="360" w:lineRule="auto"/>
              <w:jc w:val="center"/>
              <w:rPr>
                <w:rFonts w:hint="eastAsia" w:ascii="宋体" w:hAnsi="宋体" w:cs="宋体"/>
                <w:color w:val="auto"/>
                <w:sz w:val="21"/>
                <w:szCs w:val="21"/>
                <w:highlight w:val="none"/>
              </w:rPr>
            </w:pPr>
          </w:p>
        </w:tc>
        <w:tc>
          <w:tcPr>
            <w:tcW w:w="1284" w:type="dxa"/>
          </w:tcPr>
          <w:p w14:paraId="495203E6">
            <w:pPr>
              <w:spacing w:line="360" w:lineRule="auto"/>
              <w:jc w:val="center"/>
              <w:rPr>
                <w:rFonts w:hint="eastAsia" w:ascii="宋体" w:hAnsi="宋体" w:cs="宋体"/>
                <w:color w:val="auto"/>
                <w:sz w:val="21"/>
                <w:szCs w:val="21"/>
                <w:highlight w:val="none"/>
              </w:rPr>
            </w:pPr>
          </w:p>
        </w:tc>
        <w:tc>
          <w:tcPr>
            <w:tcW w:w="1265" w:type="dxa"/>
          </w:tcPr>
          <w:p w14:paraId="6A6C6671">
            <w:pPr>
              <w:spacing w:line="360" w:lineRule="auto"/>
              <w:jc w:val="center"/>
              <w:rPr>
                <w:rFonts w:hint="eastAsia" w:ascii="宋体" w:hAnsi="宋体" w:cs="宋体"/>
                <w:color w:val="auto"/>
                <w:sz w:val="21"/>
                <w:szCs w:val="21"/>
                <w:highlight w:val="none"/>
              </w:rPr>
            </w:pPr>
          </w:p>
        </w:tc>
      </w:tr>
      <w:tr w14:paraId="1DF2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7" w:type="dxa"/>
          </w:tcPr>
          <w:p w14:paraId="17395405">
            <w:pPr>
              <w:spacing w:line="360" w:lineRule="auto"/>
              <w:jc w:val="center"/>
              <w:rPr>
                <w:rFonts w:hint="eastAsia" w:ascii="宋体" w:hAnsi="宋体" w:cs="宋体"/>
                <w:color w:val="auto"/>
                <w:sz w:val="21"/>
                <w:szCs w:val="21"/>
                <w:highlight w:val="none"/>
              </w:rPr>
            </w:pPr>
          </w:p>
        </w:tc>
        <w:tc>
          <w:tcPr>
            <w:tcW w:w="998" w:type="dxa"/>
          </w:tcPr>
          <w:p w14:paraId="0D59084E">
            <w:pPr>
              <w:spacing w:line="360" w:lineRule="auto"/>
              <w:jc w:val="center"/>
              <w:rPr>
                <w:rFonts w:hint="eastAsia" w:ascii="宋体" w:hAnsi="宋体" w:cs="宋体"/>
                <w:color w:val="auto"/>
                <w:sz w:val="21"/>
                <w:szCs w:val="21"/>
                <w:highlight w:val="none"/>
              </w:rPr>
            </w:pPr>
          </w:p>
        </w:tc>
        <w:tc>
          <w:tcPr>
            <w:tcW w:w="1041" w:type="dxa"/>
          </w:tcPr>
          <w:p w14:paraId="2BA04C90">
            <w:pPr>
              <w:spacing w:line="360" w:lineRule="auto"/>
              <w:jc w:val="center"/>
              <w:rPr>
                <w:rFonts w:hint="eastAsia" w:ascii="宋体" w:hAnsi="宋体" w:cs="宋体"/>
                <w:color w:val="auto"/>
                <w:sz w:val="21"/>
                <w:szCs w:val="21"/>
                <w:highlight w:val="none"/>
              </w:rPr>
            </w:pPr>
          </w:p>
        </w:tc>
        <w:tc>
          <w:tcPr>
            <w:tcW w:w="1456" w:type="dxa"/>
          </w:tcPr>
          <w:p w14:paraId="3FA5FAF1">
            <w:pPr>
              <w:spacing w:line="360" w:lineRule="auto"/>
              <w:jc w:val="center"/>
              <w:rPr>
                <w:rFonts w:hint="eastAsia" w:ascii="宋体" w:hAnsi="宋体" w:cs="宋体"/>
                <w:color w:val="auto"/>
                <w:sz w:val="21"/>
                <w:szCs w:val="21"/>
                <w:highlight w:val="none"/>
              </w:rPr>
            </w:pPr>
          </w:p>
        </w:tc>
        <w:tc>
          <w:tcPr>
            <w:tcW w:w="1125" w:type="dxa"/>
          </w:tcPr>
          <w:p w14:paraId="5D98C617">
            <w:pPr>
              <w:spacing w:line="360" w:lineRule="auto"/>
              <w:jc w:val="center"/>
              <w:rPr>
                <w:rFonts w:hint="eastAsia" w:ascii="宋体" w:hAnsi="宋体" w:cs="宋体"/>
                <w:color w:val="auto"/>
                <w:sz w:val="21"/>
                <w:szCs w:val="21"/>
                <w:highlight w:val="none"/>
              </w:rPr>
            </w:pPr>
          </w:p>
        </w:tc>
        <w:tc>
          <w:tcPr>
            <w:tcW w:w="1041" w:type="dxa"/>
          </w:tcPr>
          <w:p w14:paraId="48F458B1">
            <w:pPr>
              <w:spacing w:line="360" w:lineRule="auto"/>
              <w:jc w:val="center"/>
              <w:rPr>
                <w:rFonts w:hint="eastAsia" w:ascii="宋体" w:hAnsi="宋体" w:cs="宋体"/>
                <w:color w:val="auto"/>
                <w:sz w:val="21"/>
                <w:szCs w:val="21"/>
                <w:highlight w:val="none"/>
              </w:rPr>
            </w:pPr>
          </w:p>
        </w:tc>
        <w:tc>
          <w:tcPr>
            <w:tcW w:w="1284" w:type="dxa"/>
          </w:tcPr>
          <w:p w14:paraId="60FB4D33">
            <w:pPr>
              <w:spacing w:line="360" w:lineRule="auto"/>
              <w:jc w:val="center"/>
              <w:rPr>
                <w:rFonts w:hint="eastAsia" w:ascii="宋体" w:hAnsi="宋体" w:cs="宋体"/>
                <w:color w:val="auto"/>
                <w:sz w:val="21"/>
                <w:szCs w:val="21"/>
                <w:highlight w:val="none"/>
              </w:rPr>
            </w:pPr>
          </w:p>
        </w:tc>
        <w:tc>
          <w:tcPr>
            <w:tcW w:w="1265" w:type="dxa"/>
          </w:tcPr>
          <w:p w14:paraId="23CD81A2">
            <w:pPr>
              <w:spacing w:line="360" w:lineRule="auto"/>
              <w:jc w:val="center"/>
              <w:rPr>
                <w:rFonts w:hint="eastAsia" w:ascii="宋体" w:hAnsi="宋体" w:cs="宋体"/>
                <w:color w:val="auto"/>
                <w:sz w:val="21"/>
                <w:szCs w:val="21"/>
                <w:highlight w:val="none"/>
              </w:rPr>
            </w:pPr>
          </w:p>
        </w:tc>
      </w:tr>
      <w:tr w14:paraId="2722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7" w:type="dxa"/>
          </w:tcPr>
          <w:p w14:paraId="0C1856B4">
            <w:pPr>
              <w:spacing w:line="360" w:lineRule="auto"/>
              <w:jc w:val="center"/>
              <w:rPr>
                <w:rFonts w:hint="eastAsia" w:ascii="宋体" w:hAnsi="宋体" w:cs="宋体"/>
                <w:color w:val="auto"/>
                <w:sz w:val="21"/>
                <w:szCs w:val="21"/>
                <w:highlight w:val="none"/>
              </w:rPr>
            </w:pPr>
          </w:p>
        </w:tc>
        <w:tc>
          <w:tcPr>
            <w:tcW w:w="998" w:type="dxa"/>
          </w:tcPr>
          <w:p w14:paraId="1CC2EC38">
            <w:pPr>
              <w:spacing w:line="360" w:lineRule="auto"/>
              <w:jc w:val="center"/>
              <w:rPr>
                <w:rFonts w:hint="eastAsia" w:ascii="宋体" w:hAnsi="宋体" w:cs="宋体"/>
                <w:color w:val="auto"/>
                <w:sz w:val="21"/>
                <w:szCs w:val="21"/>
                <w:highlight w:val="none"/>
              </w:rPr>
            </w:pPr>
          </w:p>
        </w:tc>
        <w:tc>
          <w:tcPr>
            <w:tcW w:w="1041" w:type="dxa"/>
          </w:tcPr>
          <w:p w14:paraId="7CECD5FD">
            <w:pPr>
              <w:spacing w:line="360" w:lineRule="auto"/>
              <w:jc w:val="center"/>
              <w:rPr>
                <w:rFonts w:hint="eastAsia" w:ascii="宋体" w:hAnsi="宋体" w:cs="宋体"/>
                <w:color w:val="auto"/>
                <w:sz w:val="21"/>
                <w:szCs w:val="21"/>
                <w:highlight w:val="none"/>
              </w:rPr>
            </w:pPr>
          </w:p>
        </w:tc>
        <w:tc>
          <w:tcPr>
            <w:tcW w:w="1456" w:type="dxa"/>
          </w:tcPr>
          <w:p w14:paraId="24DA4D36">
            <w:pPr>
              <w:spacing w:line="360" w:lineRule="auto"/>
              <w:jc w:val="center"/>
              <w:rPr>
                <w:rFonts w:hint="eastAsia" w:ascii="宋体" w:hAnsi="宋体" w:cs="宋体"/>
                <w:color w:val="auto"/>
                <w:sz w:val="21"/>
                <w:szCs w:val="21"/>
                <w:highlight w:val="none"/>
              </w:rPr>
            </w:pPr>
          </w:p>
        </w:tc>
        <w:tc>
          <w:tcPr>
            <w:tcW w:w="1125" w:type="dxa"/>
          </w:tcPr>
          <w:p w14:paraId="65D0E5A9">
            <w:pPr>
              <w:spacing w:line="360" w:lineRule="auto"/>
              <w:jc w:val="center"/>
              <w:rPr>
                <w:rFonts w:hint="eastAsia" w:ascii="宋体" w:hAnsi="宋体" w:cs="宋体"/>
                <w:color w:val="auto"/>
                <w:sz w:val="21"/>
                <w:szCs w:val="21"/>
                <w:highlight w:val="none"/>
              </w:rPr>
            </w:pPr>
          </w:p>
        </w:tc>
        <w:tc>
          <w:tcPr>
            <w:tcW w:w="1041" w:type="dxa"/>
          </w:tcPr>
          <w:p w14:paraId="1A076475">
            <w:pPr>
              <w:spacing w:line="360" w:lineRule="auto"/>
              <w:jc w:val="center"/>
              <w:rPr>
                <w:rFonts w:hint="eastAsia" w:ascii="宋体" w:hAnsi="宋体" w:cs="宋体"/>
                <w:color w:val="auto"/>
                <w:sz w:val="21"/>
                <w:szCs w:val="21"/>
                <w:highlight w:val="none"/>
              </w:rPr>
            </w:pPr>
          </w:p>
        </w:tc>
        <w:tc>
          <w:tcPr>
            <w:tcW w:w="1284" w:type="dxa"/>
          </w:tcPr>
          <w:p w14:paraId="28A58ABD">
            <w:pPr>
              <w:spacing w:line="360" w:lineRule="auto"/>
              <w:jc w:val="center"/>
              <w:rPr>
                <w:rFonts w:hint="eastAsia" w:ascii="宋体" w:hAnsi="宋体" w:cs="宋体"/>
                <w:color w:val="auto"/>
                <w:sz w:val="21"/>
                <w:szCs w:val="21"/>
                <w:highlight w:val="none"/>
              </w:rPr>
            </w:pPr>
          </w:p>
        </w:tc>
        <w:tc>
          <w:tcPr>
            <w:tcW w:w="1265" w:type="dxa"/>
          </w:tcPr>
          <w:p w14:paraId="71C82AE8">
            <w:pPr>
              <w:spacing w:line="360" w:lineRule="auto"/>
              <w:jc w:val="center"/>
              <w:rPr>
                <w:rFonts w:hint="eastAsia" w:ascii="宋体" w:hAnsi="宋体" w:cs="宋体"/>
                <w:color w:val="auto"/>
                <w:sz w:val="21"/>
                <w:szCs w:val="21"/>
                <w:highlight w:val="none"/>
              </w:rPr>
            </w:pPr>
          </w:p>
        </w:tc>
      </w:tr>
      <w:tr w14:paraId="634E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7" w:type="dxa"/>
          </w:tcPr>
          <w:p w14:paraId="02E83563">
            <w:pPr>
              <w:spacing w:line="360" w:lineRule="auto"/>
              <w:jc w:val="center"/>
              <w:rPr>
                <w:rFonts w:hint="eastAsia" w:ascii="宋体" w:hAnsi="宋体" w:cs="宋体"/>
                <w:color w:val="auto"/>
                <w:sz w:val="21"/>
                <w:szCs w:val="21"/>
                <w:highlight w:val="none"/>
              </w:rPr>
            </w:pPr>
          </w:p>
        </w:tc>
        <w:tc>
          <w:tcPr>
            <w:tcW w:w="998" w:type="dxa"/>
          </w:tcPr>
          <w:p w14:paraId="2154D3A9">
            <w:pPr>
              <w:spacing w:line="360" w:lineRule="auto"/>
              <w:jc w:val="center"/>
              <w:rPr>
                <w:rFonts w:hint="eastAsia" w:ascii="宋体" w:hAnsi="宋体" w:cs="宋体"/>
                <w:color w:val="auto"/>
                <w:sz w:val="21"/>
                <w:szCs w:val="21"/>
                <w:highlight w:val="none"/>
              </w:rPr>
            </w:pPr>
          </w:p>
        </w:tc>
        <w:tc>
          <w:tcPr>
            <w:tcW w:w="1041" w:type="dxa"/>
          </w:tcPr>
          <w:p w14:paraId="4E48B2D1">
            <w:pPr>
              <w:spacing w:line="360" w:lineRule="auto"/>
              <w:jc w:val="center"/>
              <w:rPr>
                <w:rFonts w:hint="eastAsia" w:ascii="宋体" w:hAnsi="宋体" w:cs="宋体"/>
                <w:color w:val="auto"/>
                <w:sz w:val="21"/>
                <w:szCs w:val="21"/>
                <w:highlight w:val="none"/>
              </w:rPr>
            </w:pPr>
          </w:p>
        </w:tc>
        <w:tc>
          <w:tcPr>
            <w:tcW w:w="1456" w:type="dxa"/>
          </w:tcPr>
          <w:p w14:paraId="5600E426">
            <w:pPr>
              <w:spacing w:line="360" w:lineRule="auto"/>
              <w:jc w:val="center"/>
              <w:rPr>
                <w:rFonts w:hint="eastAsia" w:ascii="宋体" w:hAnsi="宋体" w:cs="宋体"/>
                <w:color w:val="auto"/>
                <w:sz w:val="21"/>
                <w:szCs w:val="21"/>
                <w:highlight w:val="none"/>
              </w:rPr>
            </w:pPr>
          </w:p>
        </w:tc>
        <w:tc>
          <w:tcPr>
            <w:tcW w:w="1125" w:type="dxa"/>
          </w:tcPr>
          <w:p w14:paraId="7B3D790B">
            <w:pPr>
              <w:spacing w:line="360" w:lineRule="auto"/>
              <w:jc w:val="center"/>
              <w:rPr>
                <w:rFonts w:hint="eastAsia" w:ascii="宋体" w:hAnsi="宋体" w:cs="宋体"/>
                <w:color w:val="auto"/>
                <w:sz w:val="21"/>
                <w:szCs w:val="21"/>
                <w:highlight w:val="none"/>
              </w:rPr>
            </w:pPr>
          </w:p>
        </w:tc>
        <w:tc>
          <w:tcPr>
            <w:tcW w:w="1041" w:type="dxa"/>
          </w:tcPr>
          <w:p w14:paraId="005982C7">
            <w:pPr>
              <w:spacing w:line="360" w:lineRule="auto"/>
              <w:jc w:val="center"/>
              <w:rPr>
                <w:rFonts w:hint="eastAsia" w:ascii="宋体" w:hAnsi="宋体" w:cs="宋体"/>
                <w:color w:val="auto"/>
                <w:sz w:val="21"/>
                <w:szCs w:val="21"/>
                <w:highlight w:val="none"/>
              </w:rPr>
            </w:pPr>
          </w:p>
        </w:tc>
        <w:tc>
          <w:tcPr>
            <w:tcW w:w="1284" w:type="dxa"/>
          </w:tcPr>
          <w:p w14:paraId="04FAAF70">
            <w:pPr>
              <w:spacing w:line="360" w:lineRule="auto"/>
              <w:jc w:val="center"/>
              <w:rPr>
                <w:rFonts w:hint="eastAsia" w:ascii="宋体" w:hAnsi="宋体" w:cs="宋体"/>
                <w:color w:val="auto"/>
                <w:sz w:val="21"/>
                <w:szCs w:val="21"/>
                <w:highlight w:val="none"/>
              </w:rPr>
            </w:pPr>
          </w:p>
        </w:tc>
        <w:tc>
          <w:tcPr>
            <w:tcW w:w="1265" w:type="dxa"/>
          </w:tcPr>
          <w:p w14:paraId="2029166F">
            <w:pPr>
              <w:spacing w:line="360" w:lineRule="auto"/>
              <w:jc w:val="center"/>
              <w:rPr>
                <w:rFonts w:hint="eastAsia" w:ascii="宋体" w:hAnsi="宋体" w:cs="宋体"/>
                <w:color w:val="auto"/>
                <w:sz w:val="21"/>
                <w:szCs w:val="21"/>
                <w:highlight w:val="none"/>
              </w:rPr>
            </w:pPr>
          </w:p>
        </w:tc>
      </w:tr>
      <w:tr w14:paraId="7269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7" w:type="dxa"/>
          </w:tcPr>
          <w:p w14:paraId="536EF36F">
            <w:pPr>
              <w:spacing w:line="360" w:lineRule="auto"/>
              <w:jc w:val="center"/>
              <w:rPr>
                <w:rFonts w:hint="eastAsia" w:ascii="宋体" w:hAnsi="宋体" w:cs="宋体"/>
                <w:color w:val="auto"/>
                <w:sz w:val="21"/>
                <w:szCs w:val="21"/>
                <w:highlight w:val="none"/>
              </w:rPr>
            </w:pPr>
          </w:p>
        </w:tc>
        <w:tc>
          <w:tcPr>
            <w:tcW w:w="998" w:type="dxa"/>
          </w:tcPr>
          <w:p w14:paraId="627DC449">
            <w:pPr>
              <w:spacing w:line="360" w:lineRule="auto"/>
              <w:jc w:val="center"/>
              <w:rPr>
                <w:rFonts w:hint="eastAsia" w:ascii="宋体" w:hAnsi="宋体" w:cs="宋体"/>
                <w:color w:val="auto"/>
                <w:sz w:val="21"/>
                <w:szCs w:val="21"/>
                <w:highlight w:val="none"/>
              </w:rPr>
            </w:pPr>
          </w:p>
        </w:tc>
        <w:tc>
          <w:tcPr>
            <w:tcW w:w="1041" w:type="dxa"/>
          </w:tcPr>
          <w:p w14:paraId="0DE011FE">
            <w:pPr>
              <w:spacing w:line="360" w:lineRule="auto"/>
              <w:jc w:val="center"/>
              <w:rPr>
                <w:rFonts w:hint="eastAsia" w:ascii="宋体" w:hAnsi="宋体" w:cs="宋体"/>
                <w:color w:val="auto"/>
                <w:sz w:val="21"/>
                <w:szCs w:val="21"/>
                <w:highlight w:val="none"/>
              </w:rPr>
            </w:pPr>
          </w:p>
        </w:tc>
        <w:tc>
          <w:tcPr>
            <w:tcW w:w="1456" w:type="dxa"/>
          </w:tcPr>
          <w:p w14:paraId="681EFF35">
            <w:pPr>
              <w:spacing w:line="360" w:lineRule="auto"/>
              <w:jc w:val="center"/>
              <w:rPr>
                <w:rFonts w:hint="eastAsia" w:ascii="宋体" w:hAnsi="宋体" w:cs="宋体"/>
                <w:color w:val="auto"/>
                <w:sz w:val="21"/>
                <w:szCs w:val="21"/>
                <w:highlight w:val="none"/>
              </w:rPr>
            </w:pPr>
          </w:p>
        </w:tc>
        <w:tc>
          <w:tcPr>
            <w:tcW w:w="1125" w:type="dxa"/>
          </w:tcPr>
          <w:p w14:paraId="08318E77">
            <w:pPr>
              <w:spacing w:line="360" w:lineRule="auto"/>
              <w:jc w:val="center"/>
              <w:rPr>
                <w:rFonts w:hint="eastAsia" w:ascii="宋体" w:hAnsi="宋体" w:cs="宋体"/>
                <w:color w:val="auto"/>
                <w:sz w:val="21"/>
                <w:szCs w:val="21"/>
                <w:highlight w:val="none"/>
              </w:rPr>
            </w:pPr>
          </w:p>
        </w:tc>
        <w:tc>
          <w:tcPr>
            <w:tcW w:w="1041" w:type="dxa"/>
          </w:tcPr>
          <w:p w14:paraId="70332885">
            <w:pPr>
              <w:spacing w:line="360" w:lineRule="auto"/>
              <w:jc w:val="center"/>
              <w:rPr>
                <w:rFonts w:hint="eastAsia" w:ascii="宋体" w:hAnsi="宋体" w:cs="宋体"/>
                <w:color w:val="auto"/>
                <w:sz w:val="21"/>
                <w:szCs w:val="21"/>
                <w:highlight w:val="none"/>
              </w:rPr>
            </w:pPr>
          </w:p>
        </w:tc>
        <w:tc>
          <w:tcPr>
            <w:tcW w:w="1284" w:type="dxa"/>
          </w:tcPr>
          <w:p w14:paraId="75A6667B">
            <w:pPr>
              <w:spacing w:line="360" w:lineRule="auto"/>
              <w:jc w:val="center"/>
              <w:rPr>
                <w:rFonts w:hint="eastAsia" w:ascii="宋体" w:hAnsi="宋体" w:cs="宋体"/>
                <w:color w:val="auto"/>
                <w:sz w:val="21"/>
                <w:szCs w:val="21"/>
                <w:highlight w:val="none"/>
              </w:rPr>
            </w:pPr>
          </w:p>
        </w:tc>
        <w:tc>
          <w:tcPr>
            <w:tcW w:w="1265" w:type="dxa"/>
          </w:tcPr>
          <w:p w14:paraId="0BB679BE">
            <w:pPr>
              <w:spacing w:line="360" w:lineRule="auto"/>
              <w:jc w:val="center"/>
              <w:rPr>
                <w:rFonts w:hint="eastAsia" w:ascii="宋体" w:hAnsi="宋体" w:cs="宋体"/>
                <w:color w:val="auto"/>
                <w:sz w:val="21"/>
                <w:szCs w:val="21"/>
                <w:highlight w:val="none"/>
              </w:rPr>
            </w:pPr>
          </w:p>
        </w:tc>
      </w:tr>
      <w:tr w14:paraId="7285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27" w:type="dxa"/>
          </w:tcPr>
          <w:p w14:paraId="4722B291">
            <w:pPr>
              <w:spacing w:line="360" w:lineRule="auto"/>
              <w:jc w:val="center"/>
              <w:rPr>
                <w:rFonts w:hint="eastAsia" w:ascii="宋体" w:hAnsi="宋体" w:cs="宋体"/>
                <w:color w:val="auto"/>
                <w:sz w:val="21"/>
                <w:szCs w:val="21"/>
                <w:highlight w:val="none"/>
              </w:rPr>
            </w:pPr>
          </w:p>
        </w:tc>
        <w:tc>
          <w:tcPr>
            <w:tcW w:w="998" w:type="dxa"/>
          </w:tcPr>
          <w:p w14:paraId="19294569">
            <w:pPr>
              <w:spacing w:line="360" w:lineRule="auto"/>
              <w:jc w:val="center"/>
              <w:rPr>
                <w:rFonts w:hint="eastAsia" w:ascii="宋体" w:hAnsi="宋体" w:cs="宋体"/>
                <w:color w:val="auto"/>
                <w:sz w:val="21"/>
                <w:szCs w:val="21"/>
                <w:highlight w:val="none"/>
              </w:rPr>
            </w:pPr>
          </w:p>
        </w:tc>
        <w:tc>
          <w:tcPr>
            <w:tcW w:w="1041" w:type="dxa"/>
          </w:tcPr>
          <w:p w14:paraId="5F5893BA">
            <w:pPr>
              <w:spacing w:line="360" w:lineRule="auto"/>
              <w:jc w:val="center"/>
              <w:rPr>
                <w:rFonts w:hint="eastAsia" w:ascii="宋体" w:hAnsi="宋体" w:cs="宋体"/>
                <w:color w:val="auto"/>
                <w:sz w:val="21"/>
                <w:szCs w:val="21"/>
                <w:highlight w:val="none"/>
              </w:rPr>
            </w:pPr>
          </w:p>
        </w:tc>
        <w:tc>
          <w:tcPr>
            <w:tcW w:w="1456" w:type="dxa"/>
          </w:tcPr>
          <w:p w14:paraId="64282474">
            <w:pPr>
              <w:spacing w:line="360" w:lineRule="auto"/>
              <w:jc w:val="center"/>
              <w:rPr>
                <w:rFonts w:hint="eastAsia" w:ascii="宋体" w:hAnsi="宋体" w:cs="宋体"/>
                <w:color w:val="auto"/>
                <w:sz w:val="21"/>
                <w:szCs w:val="21"/>
                <w:highlight w:val="none"/>
              </w:rPr>
            </w:pPr>
          </w:p>
        </w:tc>
        <w:tc>
          <w:tcPr>
            <w:tcW w:w="1125" w:type="dxa"/>
          </w:tcPr>
          <w:p w14:paraId="730B66D4">
            <w:pPr>
              <w:spacing w:line="360" w:lineRule="auto"/>
              <w:jc w:val="center"/>
              <w:rPr>
                <w:rFonts w:hint="eastAsia" w:ascii="宋体" w:hAnsi="宋体" w:cs="宋体"/>
                <w:color w:val="auto"/>
                <w:sz w:val="21"/>
                <w:szCs w:val="21"/>
                <w:highlight w:val="none"/>
              </w:rPr>
            </w:pPr>
          </w:p>
        </w:tc>
        <w:tc>
          <w:tcPr>
            <w:tcW w:w="1041" w:type="dxa"/>
          </w:tcPr>
          <w:p w14:paraId="1774DA6A">
            <w:pPr>
              <w:spacing w:line="360" w:lineRule="auto"/>
              <w:jc w:val="center"/>
              <w:rPr>
                <w:rFonts w:hint="eastAsia" w:ascii="宋体" w:hAnsi="宋体" w:cs="宋体"/>
                <w:color w:val="auto"/>
                <w:sz w:val="21"/>
                <w:szCs w:val="21"/>
                <w:highlight w:val="none"/>
              </w:rPr>
            </w:pPr>
          </w:p>
        </w:tc>
        <w:tc>
          <w:tcPr>
            <w:tcW w:w="1284" w:type="dxa"/>
          </w:tcPr>
          <w:p w14:paraId="78EBD0AC">
            <w:pPr>
              <w:spacing w:line="360" w:lineRule="auto"/>
              <w:jc w:val="center"/>
              <w:rPr>
                <w:rFonts w:hint="eastAsia" w:ascii="宋体" w:hAnsi="宋体" w:cs="宋体"/>
                <w:color w:val="auto"/>
                <w:sz w:val="21"/>
                <w:szCs w:val="21"/>
                <w:highlight w:val="none"/>
              </w:rPr>
            </w:pPr>
          </w:p>
        </w:tc>
        <w:tc>
          <w:tcPr>
            <w:tcW w:w="1265" w:type="dxa"/>
          </w:tcPr>
          <w:p w14:paraId="09B15138">
            <w:pPr>
              <w:spacing w:line="360" w:lineRule="auto"/>
              <w:jc w:val="center"/>
              <w:rPr>
                <w:rFonts w:hint="eastAsia" w:ascii="宋体" w:hAnsi="宋体" w:cs="宋体"/>
                <w:color w:val="auto"/>
                <w:sz w:val="21"/>
                <w:szCs w:val="21"/>
                <w:highlight w:val="none"/>
              </w:rPr>
            </w:pPr>
          </w:p>
        </w:tc>
      </w:tr>
    </w:tbl>
    <w:p w14:paraId="0E507D10">
      <w:pPr>
        <w:spacing w:line="360" w:lineRule="auto"/>
        <w:jc w:val="both"/>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注：</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rPr>
        <w:t>拟派人员应满足本工程需求，供应商结合本项目情况自行配备</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所有人员均为本单位人员</w:t>
      </w:r>
    </w:p>
    <w:p w14:paraId="0A531ACA">
      <w:pPr>
        <w:spacing w:line="360" w:lineRule="auto"/>
        <w:jc w:val="both"/>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（除项目经理及技术负责人外）其他人员应附身份证、职称证（如有）、资格（注册、岗位）证书（如有）、劳动合同</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社保证明材料等扫描件。</w:t>
      </w:r>
    </w:p>
    <w:p w14:paraId="3137622B">
      <w:pPr>
        <w:spacing w:line="360" w:lineRule="auto"/>
        <w:rPr>
          <w:rFonts w:hint="eastAsia" w:ascii="宋体" w:hAnsi="宋体" w:cs="宋体"/>
          <w:b/>
          <w:color w:val="auto"/>
          <w:sz w:val="24"/>
          <w:szCs w:val="18"/>
          <w:highlight w:val="none"/>
        </w:rPr>
      </w:pPr>
      <w:r>
        <w:rPr>
          <w:rFonts w:hint="eastAsia" w:ascii="宋体" w:hAnsi="宋体" w:cs="宋体"/>
          <w:color w:val="auto"/>
          <w:sz w:val="24"/>
          <w:szCs w:val="18"/>
          <w:highlight w:val="none"/>
        </w:rPr>
        <w:br w:type="page"/>
      </w:r>
    </w:p>
    <w:p w14:paraId="34BDDA99">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（2）项目经理简历表</w:t>
      </w:r>
    </w:p>
    <w:tbl>
      <w:tblPr>
        <w:tblStyle w:val="50"/>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575"/>
        <w:gridCol w:w="1393"/>
        <w:gridCol w:w="1253"/>
        <w:gridCol w:w="1812"/>
        <w:gridCol w:w="2370"/>
      </w:tblGrid>
      <w:tr w14:paraId="6B31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73" w:type="dxa"/>
            <w:vAlign w:val="center"/>
          </w:tcPr>
          <w:p w14:paraId="7277E44A">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姓  名</w:t>
            </w:r>
          </w:p>
        </w:tc>
        <w:tc>
          <w:tcPr>
            <w:tcW w:w="1575" w:type="dxa"/>
            <w:vAlign w:val="center"/>
          </w:tcPr>
          <w:p w14:paraId="7C7DDA5F">
            <w:pPr>
              <w:spacing w:line="360" w:lineRule="auto"/>
              <w:jc w:val="center"/>
              <w:rPr>
                <w:rFonts w:hint="eastAsia" w:ascii="宋体" w:hAnsi="宋体" w:cs="宋体"/>
                <w:color w:val="auto"/>
                <w:sz w:val="21"/>
                <w:szCs w:val="21"/>
                <w:highlight w:val="none"/>
              </w:rPr>
            </w:pPr>
          </w:p>
        </w:tc>
        <w:tc>
          <w:tcPr>
            <w:tcW w:w="1393" w:type="dxa"/>
            <w:vAlign w:val="center"/>
          </w:tcPr>
          <w:p w14:paraId="032F7982">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年  龄</w:t>
            </w:r>
          </w:p>
        </w:tc>
        <w:tc>
          <w:tcPr>
            <w:tcW w:w="1253" w:type="dxa"/>
            <w:vAlign w:val="center"/>
          </w:tcPr>
          <w:p w14:paraId="4F55219B">
            <w:pPr>
              <w:spacing w:line="360" w:lineRule="auto"/>
              <w:jc w:val="center"/>
              <w:rPr>
                <w:rFonts w:hint="eastAsia" w:ascii="宋体" w:hAnsi="宋体" w:cs="宋体"/>
                <w:color w:val="auto"/>
                <w:sz w:val="21"/>
                <w:szCs w:val="21"/>
                <w:highlight w:val="none"/>
              </w:rPr>
            </w:pPr>
          </w:p>
        </w:tc>
        <w:tc>
          <w:tcPr>
            <w:tcW w:w="1812" w:type="dxa"/>
            <w:vAlign w:val="center"/>
          </w:tcPr>
          <w:p w14:paraId="0FF705B0">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  历</w:t>
            </w:r>
          </w:p>
        </w:tc>
        <w:tc>
          <w:tcPr>
            <w:tcW w:w="2370" w:type="dxa"/>
            <w:vAlign w:val="center"/>
          </w:tcPr>
          <w:p w14:paraId="12A1FB45">
            <w:pPr>
              <w:spacing w:line="360" w:lineRule="auto"/>
              <w:ind w:firstLine="420"/>
              <w:jc w:val="center"/>
              <w:rPr>
                <w:rFonts w:hint="eastAsia" w:ascii="宋体" w:hAnsi="宋体" w:cs="宋体"/>
                <w:color w:val="auto"/>
                <w:sz w:val="21"/>
                <w:szCs w:val="21"/>
                <w:highlight w:val="none"/>
              </w:rPr>
            </w:pPr>
          </w:p>
        </w:tc>
      </w:tr>
      <w:tr w14:paraId="14E9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73" w:type="dxa"/>
            <w:vAlign w:val="center"/>
          </w:tcPr>
          <w:p w14:paraId="5B8D4EC0">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  称</w:t>
            </w:r>
          </w:p>
        </w:tc>
        <w:tc>
          <w:tcPr>
            <w:tcW w:w="1575" w:type="dxa"/>
            <w:vAlign w:val="center"/>
          </w:tcPr>
          <w:p w14:paraId="57130FAA">
            <w:pPr>
              <w:spacing w:line="360" w:lineRule="auto"/>
              <w:ind w:firstLine="420"/>
              <w:jc w:val="center"/>
              <w:rPr>
                <w:rFonts w:hint="eastAsia" w:ascii="宋体" w:hAnsi="宋体" w:cs="宋体"/>
                <w:color w:val="auto"/>
                <w:sz w:val="21"/>
                <w:szCs w:val="21"/>
                <w:highlight w:val="none"/>
              </w:rPr>
            </w:pPr>
          </w:p>
        </w:tc>
        <w:tc>
          <w:tcPr>
            <w:tcW w:w="1393" w:type="dxa"/>
            <w:vAlign w:val="center"/>
          </w:tcPr>
          <w:p w14:paraId="114CC686">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  务</w:t>
            </w:r>
          </w:p>
        </w:tc>
        <w:tc>
          <w:tcPr>
            <w:tcW w:w="1253" w:type="dxa"/>
            <w:vAlign w:val="center"/>
          </w:tcPr>
          <w:p w14:paraId="4968CD62">
            <w:pPr>
              <w:spacing w:line="360" w:lineRule="auto"/>
              <w:ind w:firstLine="420"/>
              <w:jc w:val="center"/>
              <w:rPr>
                <w:rFonts w:hint="eastAsia" w:ascii="宋体" w:hAnsi="宋体" w:cs="宋体"/>
                <w:color w:val="auto"/>
                <w:sz w:val="21"/>
                <w:szCs w:val="21"/>
                <w:highlight w:val="none"/>
              </w:rPr>
            </w:pPr>
          </w:p>
        </w:tc>
        <w:tc>
          <w:tcPr>
            <w:tcW w:w="1812" w:type="dxa"/>
            <w:vAlign w:val="center"/>
          </w:tcPr>
          <w:p w14:paraId="549C061C">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拟在本工程任职</w:t>
            </w:r>
          </w:p>
        </w:tc>
        <w:tc>
          <w:tcPr>
            <w:tcW w:w="2370" w:type="dxa"/>
            <w:vAlign w:val="center"/>
          </w:tcPr>
          <w:p w14:paraId="00A35464">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项目经理</w:t>
            </w:r>
          </w:p>
        </w:tc>
      </w:tr>
      <w:tr w14:paraId="221C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41" w:type="dxa"/>
            <w:gridSpan w:val="3"/>
            <w:vAlign w:val="center"/>
          </w:tcPr>
          <w:p w14:paraId="4FDFE9BE">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注册建造师执业资格等级</w:t>
            </w:r>
          </w:p>
        </w:tc>
        <w:tc>
          <w:tcPr>
            <w:tcW w:w="1253" w:type="dxa"/>
            <w:vAlign w:val="center"/>
          </w:tcPr>
          <w:p w14:paraId="5C170888">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级</w:t>
            </w:r>
          </w:p>
        </w:tc>
        <w:tc>
          <w:tcPr>
            <w:tcW w:w="1812" w:type="dxa"/>
            <w:vAlign w:val="center"/>
          </w:tcPr>
          <w:p w14:paraId="7AAF3E24">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建造师专业</w:t>
            </w:r>
          </w:p>
        </w:tc>
        <w:tc>
          <w:tcPr>
            <w:tcW w:w="2370" w:type="dxa"/>
            <w:vAlign w:val="center"/>
          </w:tcPr>
          <w:p w14:paraId="2FEFEB22">
            <w:pPr>
              <w:spacing w:line="360" w:lineRule="auto"/>
              <w:ind w:firstLine="420"/>
              <w:jc w:val="center"/>
              <w:rPr>
                <w:rFonts w:hint="eastAsia" w:ascii="宋体" w:hAnsi="宋体" w:cs="宋体"/>
                <w:color w:val="auto"/>
                <w:sz w:val="21"/>
                <w:szCs w:val="21"/>
                <w:highlight w:val="none"/>
              </w:rPr>
            </w:pPr>
          </w:p>
        </w:tc>
      </w:tr>
      <w:tr w14:paraId="0DE7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41" w:type="dxa"/>
            <w:gridSpan w:val="3"/>
            <w:vAlign w:val="center"/>
          </w:tcPr>
          <w:p w14:paraId="30167C7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安全生产考核合格证书</w:t>
            </w:r>
          </w:p>
        </w:tc>
        <w:tc>
          <w:tcPr>
            <w:tcW w:w="5435" w:type="dxa"/>
            <w:gridSpan w:val="3"/>
            <w:vAlign w:val="center"/>
          </w:tcPr>
          <w:p w14:paraId="69B2DD7D">
            <w:pPr>
              <w:spacing w:line="360" w:lineRule="auto"/>
              <w:ind w:firstLine="420"/>
              <w:jc w:val="center"/>
              <w:rPr>
                <w:rFonts w:hint="eastAsia" w:ascii="宋体" w:hAnsi="宋体" w:cs="宋体"/>
                <w:color w:val="auto"/>
                <w:sz w:val="21"/>
                <w:szCs w:val="21"/>
                <w:highlight w:val="none"/>
              </w:rPr>
            </w:pPr>
          </w:p>
        </w:tc>
      </w:tr>
      <w:tr w14:paraId="632F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73" w:type="dxa"/>
            <w:vAlign w:val="center"/>
          </w:tcPr>
          <w:p w14:paraId="1805F838">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毕业学校</w:t>
            </w:r>
          </w:p>
        </w:tc>
        <w:tc>
          <w:tcPr>
            <w:tcW w:w="8403" w:type="dxa"/>
            <w:gridSpan w:val="5"/>
            <w:vAlign w:val="center"/>
          </w:tcPr>
          <w:p w14:paraId="381044E0">
            <w:pPr>
              <w:spacing w:line="360" w:lineRule="auto"/>
              <w:ind w:firstLine="840" w:firstLineChars="4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年毕业于                  学校            专业</w:t>
            </w:r>
          </w:p>
        </w:tc>
      </w:tr>
      <w:tr w14:paraId="74B4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76" w:type="dxa"/>
            <w:gridSpan w:val="6"/>
            <w:vAlign w:val="center"/>
          </w:tcPr>
          <w:p w14:paraId="20D05E09">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主要工作经历</w:t>
            </w:r>
          </w:p>
        </w:tc>
      </w:tr>
      <w:tr w14:paraId="2492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73" w:type="dxa"/>
            <w:vAlign w:val="center"/>
          </w:tcPr>
          <w:p w14:paraId="42953DD5">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时  间</w:t>
            </w:r>
          </w:p>
        </w:tc>
        <w:tc>
          <w:tcPr>
            <w:tcW w:w="4221" w:type="dxa"/>
            <w:gridSpan w:val="3"/>
            <w:vAlign w:val="center"/>
          </w:tcPr>
          <w:p w14:paraId="7271E320">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参加过的类似项目名称</w:t>
            </w:r>
          </w:p>
        </w:tc>
        <w:tc>
          <w:tcPr>
            <w:tcW w:w="1812" w:type="dxa"/>
            <w:vAlign w:val="center"/>
          </w:tcPr>
          <w:p w14:paraId="16233F29">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建设规模</w:t>
            </w:r>
          </w:p>
        </w:tc>
        <w:tc>
          <w:tcPr>
            <w:tcW w:w="2370" w:type="dxa"/>
            <w:vAlign w:val="center"/>
          </w:tcPr>
          <w:p w14:paraId="613AB72C">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担任职务</w:t>
            </w:r>
          </w:p>
        </w:tc>
      </w:tr>
      <w:tr w14:paraId="029D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73" w:type="dxa"/>
            <w:vAlign w:val="center"/>
          </w:tcPr>
          <w:p w14:paraId="10C0A397">
            <w:pPr>
              <w:spacing w:line="360" w:lineRule="auto"/>
              <w:ind w:firstLine="420"/>
              <w:jc w:val="center"/>
              <w:rPr>
                <w:rFonts w:hint="eastAsia" w:ascii="宋体" w:hAnsi="宋体" w:cs="宋体"/>
                <w:color w:val="auto"/>
                <w:sz w:val="21"/>
                <w:szCs w:val="21"/>
                <w:highlight w:val="none"/>
              </w:rPr>
            </w:pPr>
          </w:p>
        </w:tc>
        <w:tc>
          <w:tcPr>
            <w:tcW w:w="4221" w:type="dxa"/>
            <w:gridSpan w:val="3"/>
            <w:vAlign w:val="center"/>
          </w:tcPr>
          <w:p w14:paraId="4950911A">
            <w:pPr>
              <w:spacing w:line="360" w:lineRule="auto"/>
              <w:ind w:firstLine="420"/>
              <w:jc w:val="center"/>
              <w:rPr>
                <w:rFonts w:hint="eastAsia" w:ascii="宋体" w:hAnsi="宋体" w:cs="宋体"/>
                <w:color w:val="auto"/>
                <w:sz w:val="21"/>
                <w:szCs w:val="21"/>
                <w:highlight w:val="none"/>
              </w:rPr>
            </w:pPr>
          </w:p>
        </w:tc>
        <w:tc>
          <w:tcPr>
            <w:tcW w:w="1812" w:type="dxa"/>
            <w:vAlign w:val="center"/>
          </w:tcPr>
          <w:p w14:paraId="32DB6398">
            <w:pPr>
              <w:spacing w:line="360" w:lineRule="auto"/>
              <w:ind w:firstLine="420"/>
              <w:jc w:val="center"/>
              <w:rPr>
                <w:rFonts w:hint="eastAsia" w:ascii="宋体" w:hAnsi="宋体" w:cs="宋体"/>
                <w:color w:val="auto"/>
                <w:sz w:val="21"/>
                <w:szCs w:val="21"/>
                <w:highlight w:val="none"/>
              </w:rPr>
            </w:pPr>
          </w:p>
        </w:tc>
        <w:tc>
          <w:tcPr>
            <w:tcW w:w="2370" w:type="dxa"/>
            <w:vAlign w:val="center"/>
          </w:tcPr>
          <w:p w14:paraId="25888D32">
            <w:pPr>
              <w:spacing w:line="360" w:lineRule="auto"/>
              <w:ind w:firstLine="420"/>
              <w:jc w:val="center"/>
              <w:rPr>
                <w:rFonts w:hint="eastAsia" w:ascii="宋体" w:hAnsi="宋体" w:cs="宋体"/>
                <w:color w:val="auto"/>
                <w:sz w:val="21"/>
                <w:szCs w:val="21"/>
                <w:highlight w:val="none"/>
              </w:rPr>
            </w:pPr>
          </w:p>
        </w:tc>
      </w:tr>
      <w:tr w14:paraId="4D34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73" w:type="dxa"/>
            <w:vAlign w:val="center"/>
          </w:tcPr>
          <w:p w14:paraId="6EA60981">
            <w:pPr>
              <w:spacing w:line="360" w:lineRule="auto"/>
              <w:ind w:firstLine="420"/>
              <w:jc w:val="center"/>
              <w:rPr>
                <w:rFonts w:hint="eastAsia" w:ascii="宋体" w:hAnsi="宋体" w:cs="宋体"/>
                <w:color w:val="auto"/>
                <w:sz w:val="21"/>
                <w:szCs w:val="21"/>
                <w:highlight w:val="none"/>
              </w:rPr>
            </w:pPr>
          </w:p>
        </w:tc>
        <w:tc>
          <w:tcPr>
            <w:tcW w:w="4221" w:type="dxa"/>
            <w:gridSpan w:val="3"/>
            <w:vAlign w:val="center"/>
          </w:tcPr>
          <w:p w14:paraId="72C77E7E">
            <w:pPr>
              <w:spacing w:line="360" w:lineRule="auto"/>
              <w:ind w:firstLine="420"/>
              <w:jc w:val="center"/>
              <w:rPr>
                <w:rFonts w:hint="eastAsia" w:ascii="宋体" w:hAnsi="宋体" w:cs="宋体"/>
                <w:color w:val="auto"/>
                <w:sz w:val="21"/>
                <w:szCs w:val="21"/>
                <w:highlight w:val="none"/>
              </w:rPr>
            </w:pPr>
          </w:p>
        </w:tc>
        <w:tc>
          <w:tcPr>
            <w:tcW w:w="1812" w:type="dxa"/>
            <w:vAlign w:val="center"/>
          </w:tcPr>
          <w:p w14:paraId="6A4C9671">
            <w:pPr>
              <w:spacing w:line="360" w:lineRule="auto"/>
              <w:ind w:firstLine="420"/>
              <w:jc w:val="center"/>
              <w:rPr>
                <w:rFonts w:hint="eastAsia" w:ascii="宋体" w:hAnsi="宋体" w:cs="宋体"/>
                <w:color w:val="auto"/>
                <w:sz w:val="21"/>
                <w:szCs w:val="21"/>
                <w:highlight w:val="none"/>
              </w:rPr>
            </w:pPr>
          </w:p>
        </w:tc>
        <w:tc>
          <w:tcPr>
            <w:tcW w:w="2370" w:type="dxa"/>
            <w:vAlign w:val="center"/>
          </w:tcPr>
          <w:p w14:paraId="173451D5">
            <w:pPr>
              <w:spacing w:line="360" w:lineRule="auto"/>
              <w:ind w:firstLine="420"/>
              <w:jc w:val="center"/>
              <w:rPr>
                <w:rFonts w:hint="eastAsia" w:ascii="宋体" w:hAnsi="宋体" w:cs="宋体"/>
                <w:color w:val="auto"/>
                <w:sz w:val="21"/>
                <w:szCs w:val="21"/>
                <w:highlight w:val="none"/>
              </w:rPr>
            </w:pPr>
          </w:p>
        </w:tc>
      </w:tr>
      <w:tr w14:paraId="1FD0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73" w:type="dxa"/>
            <w:vAlign w:val="center"/>
          </w:tcPr>
          <w:p w14:paraId="627AEDED">
            <w:pPr>
              <w:spacing w:line="360" w:lineRule="auto"/>
              <w:ind w:firstLine="420"/>
              <w:jc w:val="center"/>
              <w:rPr>
                <w:rFonts w:hint="eastAsia" w:ascii="宋体" w:hAnsi="宋体" w:cs="宋体"/>
                <w:color w:val="auto"/>
                <w:sz w:val="21"/>
                <w:szCs w:val="21"/>
                <w:highlight w:val="none"/>
              </w:rPr>
            </w:pPr>
          </w:p>
        </w:tc>
        <w:tc>
          <w:tcPr>
            <w:tcW w:w="4221" w:type="dxa"/>
            <w:gridSpan w:val="3"/>
            <w:vAlign w:val="center"/>
          </w:tcPr>
          <w:p w14:paraId="21067BA9">
            <w:pPr>
              <w:spacing w:line="360" w:lineRule="auto"/>
              <w:ind w:firstLine="420"/>
              <w:jc w:val="center"/>
              <w:rPr>
                <w:rFonts w:hint="eastAsia" w:ascii="宋体" w:hAnsi="宋体" w:cs="宋体"/>
                <w:color w:val="auto"/>
                <w:sz w:val="21"/>
                <w:szCs w:val="21"/>
                <w:highlight w:val="none"/>
              </w:rPr>
            </w:pPr>
          </w:p>
        </w:tc>
        <w:tc>
          <w:tcPr>
            <w:tcW w:w="1812" w:type="dxa"/>
            <w:vAlign w:val="center"/>
          </w:tcPr>
          <w:p w14:paraId="10C2BEB7">
            <w:pPr>
              <w:spacing w:line="360" w:lineRule="auto"/>
              <w:ind w:firstLine="420"/>
              <w:jc w:val="center"/>
              <w:rPr>
                <w:rFonts w:hint="eastAsia" w:ascii="宋体" w:hAnsi="宋体" w:cs="宋体"/>
                <w:color w:val="auto"/>
                <w:sz w:val="21"/>
                <w:szCs w:val="21"/>
                <w:highlight w:val="none"/>
              </w:rPr>
            </w:pPr>
          </w:p>
        </w:tc>
        <w:tc>
          <w:tcPr>
            <w:tcW w:w="2370" w:type="dxa"/>
            <w:vAlign w:val="center"/>
          </w:tcPr>
          <w:p w14:paraId="1A1B2E6D">
            <w:pPr>
              <w:spacing w:line="360" w:lineRule="auto"/>
              <w:ind w:firstLine="420"/>
              <w:jc w:val="center"/>
              <w:rPr>
                <w:rFonts w:hint="eastAsia" w:ascii="宋体" w:hAnsi="宋体" w:cs="宋体"/>
                <w:color w:val="auto"/>
                <w:sz w:val="21"/>
                <w:szCs w:val="21"/>
                <w:highlight w:val="none"/>
              </w:rPr>
            </w:pPr>
          </w:p>
        </w:tc>
      </w:tr>
      <w:tr w14:paraId="0FC2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73" w:type="dxa"/>
            <w:vAlign w:val="center"/>
          </w:tcPr>
          <w:p w14:paraId="280AF8E2">
            <w:pPr>
              <w:spacing w:line="360" w:lineRule="auto"/>
              <w:ind w:firstLine="420"/>
              <w:jc w:val="center"/>
              <w:rPr>
                <w:rFonts w:hint="eastAsia" w:ascii="宋体" w:hAnsi="宋体" w:cs="宋体"/>
                <w:color w:val="auto"/>
                <w:sz w:val="21"/>
                <w:szCs w:val="21"/>
                <w:highlight w:val="none"/>
              </w:rPr>
            </w:pPr>
          </w:p>
        </w:tc>
        <w:tc>
          <w:tcPr>
            <w:tcW w:w="4221" w:type="dxa"/>
            <w:gridSpan w:val="3"/>
            <w:vAlign w:val="center"/>
          </w:tcPr>
          <w:p w14:paraId="47FAC84C">
            <w:pPr>
              <w:spacing w:line="360" w:lineRule="auto"/>
              <w:ind w:firstLine="420"/>
              <w:jc w:val="center"/>
              <w:rPr>
                <w:rFonts w:hint="eastAsia" w:ascii="宋体" w:hAnsi="宋体" w:cs="宋体"/>
                <w:color w:val="auto"/>
                <w:sz w:val="21"/>
                <w:szCs w:val="21"/>
                <w:highlight w:val="none"/>
              </w:rPr>
            </w:pPr>
          </w:p>
        </w:tc>
        <w:tc>
          <w:tcPr>
            <w:tcW w:w="1812" w:type="dxa"/>
            <w:vAlign w:val="center"/>
          </w:tcPr>
          <w:p w14:paraId="7AE2EF69">
            <w:pPr>
              <w:spacing w:line="360" w:lineRule="auto"/>
              <w:ind w:firstLine="420"/>
              <w:jc w:val="center"/>
              <w:rPr>
                <w:rFonts w:hint="eastAsia" w:ascii="宋体" w:hAnsi="宋体" w:cs="宋体"/>
                <w:color w:val="auto"/>
                <w:sz w:val="21"/>
                <w:szCs w:val="21"/>
                <w:highlight w:val="none"/>
              </w:rPr>
            </w:pPr>
          </w:p>
        </w:tc>
        <w:tc>
          <w:tcPr>
            <w:tcW w:w="2370" w:type="dxa"/>
            <w:vAlign w:val="center"/>
          </w:tcPr>
          <w:p w14:paraId="6F078D3F">
            <w:pPr>
              <w:spacing w:line="360" w:lineRule="auto"/>
              <w:ind w:firstLine="420"/>
              <w:jc w:val="center"/>
              <w:rPr>
                <w:rFonts w:hint="eastAsia" w:ascii="宋体" w:hAnsi="宋体" w:cs="宋体"/>
                <w:color w:val="auto"/>
                <w:sz w:val="21"/>
                <w:szCs w:val="21"/>
                <w:highlight w:val="none"/>
              </w:rPr>
            </w:pPr>
          </w:p>
        </w:tc>
      </w:tr>
      <w:tr w14:paraId="6607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73" w:type="dxa"/>
            <w:vAlign w:val="center"/>
          </w:tcPr>
          <w:p w14:paraId="384F19C3">
            <w:pPr>
              <w:spacing w:line="360" w:lineRule="auto"/>
              <w:ind w:firstLine="420"/>
              <w:jc w:val="center"/>
              <w:rPr>
                <w:rFonts w:hint="eastAsia" w:ascii="宋体" w:hAnsi="宋体" w:cs="宋体"/>
                <w:color w:val="auto"/>
                <w:sz w:val="21"/>
                <w:szCs w:val="21"/>
                <w:highlight w:val="none"/>
              </w:rPr>
            </w:pPr>
          </w:p>
        </w:tc>
        <w:tc>
          <w:tcPr>
            <w:tcW w:w="4221" w:type="dxa"/>
            <w:gridSpan w:val="3"/>
            <w:vAlign w:val="center"/>
          </w:tcPr>
          <w:p w14:paraId="4D9C146C">
            <w:pPr>
              <w:spacing w:line="360" w:lineRule="auto"/>
              <w:ind w:firstLine="420"/>
              <w:jc w:val="center"/>
              <w:rPr>
                <w:rFonts w:hint="eastAsia" w:ascii="宋体" w:hAnsi="宋体" w:cs="宋体"/>
                <w:color w:val="auto"/>
                <w:sz w:val="21"/>
                <w:szCs w:val="21"/>
                <w:highlight w:val="none"/>
              </w:rPr>
            </w:pPr>
          </w:p>
        </w:tc>
        <w:tc>
          <w:tcPr>
            <w:tcW w:w="1812" w:type="dxa"/>
            <w:vAlign w:val="center"/>
          </w:tcPr>
          <w:p w14:paraId="77C8511E">
            <w:pPr>
              <w:spacing w:line="360" w:lineRule="auto"/>
              <w:ind w:firstLine="420"/>
              <w:jc w:val="center"/>
              <w:rPr>
                <w:rFonts w:hint="eastAsia" w:ascii="宋体" w:hAnsi="宋体" w:cs="宋体"/>
                <w:color w:val="auto"/>
                <w:sz w:val="21"/>
                <w:szCs w:val="21"/>
                <w:highlight w:val="none"/>
              </w:rPr>
            </w:pPr>
          </w:p>
        </w:tc>
        <w:tc>
          <w:tcPr>
            <w:tcW w:w="2370" w:type="dxa"/>
            <w:vAlign w:val="center"/>
          </w:tcPr>
          <w:p w14:paraId="5ADCDC97">
            <w:pPr>
              <w:spacing w:line="360" w:lineRule="auto"/>
              <w:ind w:firstLine="420"/>
              <w:jc w:val="center"/>
              <w:rPr>
                <w:rFonts w:hint="eastAsia" w:ascii="宋体" w:hAnsi="宋体" w:cs="宋体"/>
                <w:color w:val="auto"/>
                <w:sz w:val="21"/>
                <w:szCs w:val="21"/>
                <w:highlight w:val="none"/>
              </w:rPr>
            </w:pPr>
          </w:p>
        </w:tc>
      </w:tr>
      <w:tr w14:paraId="66F5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3" w:type="dxa"/>
            <w:vAlign w:val="center"/>
          </w:tcPr>
          <w:p w14:paraId="460F7FEC">
            <w:pPr>
              <w:spacing w:line="360" w:lineRule="auto"/>
              <w:ind w:firstLine="420"/>
              <w:jc w:val="center"/>
              <w:rPr>
                <w:rFonts w:hint="eastAsia" w:ascii="宋体" w:hAnsi="宋体" w:cs="宋体"/>
                <w:color w:val="auto"/>
                <w:sz w:val="21"/>
                <w:szCs w:val="21"/>
                <w:highlight w:val="none"/>
              </w:rPr>
            </w:pPr>
          </w:p>
        </w:tc>
        <w:tc>
          <w:tcPr>
            <w:tcW w:w="4221" w:type="dxa"/>
            <w:gridSpan w:val="3"/>
            <w:vAlign w:val="center"/>
          </w:tcPr>
          <w:p w14:paraId="5BAB4E22">
            <w:pPr>
              <w:spacing w:line="360" w:lineRule="auto"/>
              <w:ind w:firstLine="420"/>
              <w:jc w:val="center"/>
              <w:rPr>
                <w:rFonts w:hint="eastAsia" w:ascii="宋体" w:hAnsi="宋体" w:cs="宋体"/>
                <w:color w:val="auto"/>
                <w:sz w:val="21"/>
                <w:szCs w:val="21"/>
                <w:highlight w:val="none"/>
              </w:rPr>
            </w:pPr>
          </w:p>
        </w:tc>
        <w:tc>
          <w:tcPr>
            <w:tcW w:w="1812" w:type="dxa"/>
            <w:vAlign w:val="center"/>
          </w:tcPr>
          <w:p w14:paraId="55E1608B">
            <w:pPr>
              <w:spacing w:line="360" w:lineRule="auto"/>
              <w:ind w:firstLine="420"/>
              <w:jc w:val="center"/>
              <w:rPr>
                <w:rFonts w:hint="eastAsia" w:ascii="宋体" w:hAnsi="宋体" w:cs="宋体"/>
                <w:color w:val="auto"/>
                <w:sz w:val="21"/>
                <w:szCs w:val="21"/>
                <w:highlight w:val="none"/>
              </w:rPr>
            </w:pPr>
          </w:p>
        </w:tc>
        <w:tc>
          <w:tcPr>
            <w:tcW w:w="2370" w:type="dxa"/>
            <w:vAlign w:val="center"/>
          </w:tcPr>
          <w:p w14:paraId="42418771">
            <w:pPr>
              <w:spacing w:line="360" w:lineRule="auto"/>
              <w:ind w:firstLine="420"/>
              <w:jc w:val="center"/>
              <w:rPr>
                <w:rFonts w:hint="eastAsia" w:ascii="宋体" w:hAnsi="宋体" w:cs="宋体"/>
                <w:color w:val="auto"/>
                <w:sz w:val="21"/>
                <w:szCs w:val="21"/>
                <w:highlight w:val="none"/>
              </w:rPr>
            </w:pPr>
          </w:p>
        </w:tc>
      </w:tr>
      <w:tr w14:paraId="2940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73" w:type="dxa"/>
            <w:vAlign w:val="center"/>
          </w:tcPr>
          <w:p w14:paraId="003EBE76">
            <w:pPr>
              <w:spacing w:line="360" w:lineRule="auto"/>
              <w:ind w:firstLine="420"/>
              <w:jc w:val="center"/>
              <w:rPr>
                <w:rFonts w:hint="eastAsia" w:ascii="宋体" w:hAnsi="宋体" w:cs="宋体"/>
                <w:color w:val="auto"/>
                <w:sz w:val="21"/>
                <w:szCs w:val="21"/>
                <w:highlight w:val="none"/>
              </w:rPr>
            </w:pPr>
          </w:p>
        </w:tc>
        <w:tc>
          <w:tcPr>
            <w:tcW w:w="4221" w:type="dxa"/>
            <w:gridSpan w:val="3"/>
            <w:vAlign w:val="center"/>
          </w:tcPr>
          <w:p w14:paraId="021D60A1">
            <w:pPr>
              <w:spacing w:line="360" w:lineRule="auto"/>
              <w:ind w:firstLine="420"/>
              <w:jc w:val="center"/>
              <w:rPr>
                <w:rFonts w:hint="eastAsia" w:ascii="宋体" w:hAnsi="宋体" w:cs="宋体"/>
                <w:color w:val="auto"/>
                <w:sz w:val="21"/>
                <w:szCs w:val="21"/>
                <w:highlight w:val="none"/>
              </w:rPr>
            </w:pPr>
          </w:p>
        </w:tc>
        <w:tc>
          <w:tcPr>
            <w:tcW w:w="1812" w:type="dxa"/>
            <w:vAlign w:val="center"/>
          </w:tcPr>
          <w:p w14:paraId="3C10B6F7">
            <w:pPr>
              <w:spacing w:line="360" w:lineRule="auto"/>
              <w:ind w:firstLine="420"/>
              <w:jc w:val="center"/>
              <w:rPr>
                <w:rFonts w:hint="eastAsia" w:ascii="宋体" w:hAnsi="宋体" w:cs="宋体"/>
                <w:color w:val="auto"/>
                <w:sz w:val="21"/>
                <w:szCs w:val="21"/>
                <w:highlight w:val="none"/>
              </w:rPr>
            </w:pPr>
          </w:p>
        </w:tc>
        <w:tc>
          <w:tcPr>
            <w:tcW w:w="2370" w:type="dxa"/>
            <w:vAlign w:val="center"/>
          </w:tcPr>
          <w:p w14:paraId="6847E59A">
            <w:pPr>
              <w:spacing w:line="360" w:lineRule="auto"/>
              <w:ind w:firstLine="420"/>
              <w:jc w:val="center"/>
              <w:rPr>
                <w:rFonts w:hint="eastAsia" w:ascii="宋体" w:hAnsi="宋体" w:cs="宋体"/>
                <w:color w:val="auto"/>
                <w:sz w:val="21"/>
                <w:szCs w:val="21"/>
                <w:highlight w:val="none"/>
              </w:rPr>
            </w:pPr>
          </w:p>
        </w:tc>
      </w:tr>
    </w:tbl>
    <w:p w14:paraId="1F2E510F">
      <w:pPr>
        <w:spacing w:line="360" w:lineRule="auto"/>
        <w:jc w:val="right"/>
        <w:rPr>
          <w:rFonts w:hint="eastAsia" w:ascii="宋体" w:hAnsi="宋体" w:cs="宋体"/>
          <w:color w:val="auto"/>
          <w:sz w:val="21"/>
          <w:szCs w:val="21"/>
          <w:highlight w:val="none"/>
        </w:rPr>
      </w:pPr>
    </w:p>
    <w:p w14:paraId="4EE87BDF">
      <w:pPr>
        <w:spacing w:line="360" w:lineRule="auto"/>
        <w:ind w:firstLine="426" w:firstLineChars="202"/>
        <w:rPr>
          <w:rFonts w:hint="eastAsia" w:ascii="宋体" w:hAnsi="宋体" w:cs="宋体"/>
          <w:b/>
          <w:color w:val="auto"/>
          <w:sz w:val="21"/>
          <w:szCs w:val="21"/>
          <w:highlight w:val="none"/>
        </w:rPr>
      </w:pPr>
      <w:r>
        <w:rPr>
          <w:rFonts w:hint="eastAsia" w:ascii="宋体" w:hAnsi="宋体" w:cs="宋体"/>
          <w:b/>
          <w:color w:val="auto"/>
          <w:sz w:val="21"/>
          <w:szCs w:val="21"/>
          <w:highlight w:val="none"/>
        </w:rPr>
        <w:t>注：表后应附以下证照资料，并确保证照资料所示内容清晰可辨，如因证照资料模糊无法识别的，将导致否决响应文件。</w:t>
      </w:r>
    </w:p>
    <w:p w14:paraId="47E50888">
      <w:pPr>
        <w:spacing w:line="360" w:lineRule="auto"/>
        <w:ind w:firstLine="426" w:firstLineChars="202"/>
        <w:rPr>
          <w:rFonts w:hint="eastAsia" w:ascii="宋体" w:hAnsi="宋体" w:cs="宋体"/>
          <w:b/>
          <w:color w:val="auto"/>
          <w:sz w:val="21"/>
          <w:szCs w:val="21"/>
          <w:highlight w:val="none"/>
        </w:rPr>
      </w:pPr>
      <w:r>
        <w:rPr>
          <w:rFonts w:hint="eastAsia" w:ascii="宋体" w:hAnsi="宋体" w:cs="宋体"/>
          <w:b/>
          <w:color w:val="auto"/>
          <w:sz w:val="21"/>
          <w:szCs w:val="21"/>
          <w:highlight w:val="none"/>
        </w:rPr>
        <w:t>（1）项目经理建造师注册证书扫描件；</w:t>
      </w:r>
    </w:p>
    <w:p w14:paraId="3885202D">
      <w:pPr>
        <w:spacing w:line="360" w:lineRule="auto"/>
        <w:ind w:firstLine="426" w:firstLineChars="202"/>
        <w:rPr>
          <w:rFonts w:hint="eastAsia" w:ascii="宋体" w:hAnsi="宋体" w:cs="宋体"/>
          <w:b/>
          <w:color w:val="auto"/>
          <w:sz w:val="21"/>
          <w:szCs w:val="21"/>
          <w:highlight w:val="none"/>
        </w:rPr>
      </w:pPr>
      <w:r>
        <w:rPr>
          <w:rFonts w:hint="eastAsia" w:ascii="宋体" w:hAnsi="宋体" w:cs="宋体"/>
          <w:b/>
          <w:color w:val="auto"/>
          <w:sz w:val="21"/>
          <w:szCs w:val="21"/>
          <w:highlight w:val="none"/>
        </w:rPr>
        <w:t>（2）安全生产考核合格证书（B证）扫描件；</w:t>
      </w:r>
    </w:p>
    <w:p w14:paraId="66301EDC">
      <w:pPr>
        <w:spacing w:line="360" w:lineRule="auto"/>
        <w:ind w:firstLine="426" w:firstLineChars="202"/>
        <w:rPr>
          <w:rFonts w:hint="eastAsia" w:ascii="宋体" w:hAnsi="宋体" w:cs="宋体"/>
          <w:b/>
          <w:color w:val="auto"/>
          <w:sz w:val="21"/>
          <w:szCs w:val="21"/>
          <w:highlight w:val="none"/>
        </w:rPr>
      </w:pPr>
      <w:r>
        <w:rPr>
          <w:rFonts w:hint="eastAsia" w:ascii="宋体" w:hAnsi="宋体" w:cs="宋体"/>
          <w:b/>
          <w:color w:val="auto"/>
          <w:sz w:val="21"/>
          <w:szCs w:val="21"/>
          <w:highlight w:val="none"/>
        </w:rPr>
        <w:t>（3）类似业绩证明材料（如有）；</w:t>
      </w:r>
    </w:p>
    <w:p w14:paraId="5F1CC6D2">
      <w:pPr>
        <w:spacing w:line="360" w:lineRule="auto"/>
        <w:ind w:firstLine="426" w:firstLineChars="202"/>
        <w:rPr>
          <w:rFonts w:hint="eastAsia" w:ascii="宋体" w:hAnsi="宋体" w:cs="宋体"/>
          <w:b/>
          <w:color w:val="auto"/>
          <w:sz w:val="21"/>
          <w:szCs w:val="21"/>
          <w:highlight w:val="none"/>
        </w:rPr>
      </w:pPr>
      <w:r>
        <w:rPr>
          <w:rFonts w:hint="eastAsia" w:ascii="宋体" w:hAnsi="宋体" w:cs="宋体"/>
          <w:b/>
          <w:color w:val="auto"/>
          <w:sz w:val="21"/>
          <w:szCs w:val="21"/>
          <w:highlight w:val="none"/>
        </w:rPr>
        <w:t>（4）居民身份证（正面及反面）扫描件；</w:t>
      </w:r>
    </w:p>
    <w:p w14:paraId="02A973B3">
      <w:pPr>
        <w:spacing w:line="360" w:lineRule="auto"/>
        <w:ind w:firstLine="426" w:firstLineChars="202"/>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rPr>
        <w:t>（</w:t>
      </w:r>
      <w:r>
        <w:rPr>
          <w:rFonts w:hint="eastAsia" w:ascii="宋体" w:hAnsi="宋体" w:cs="宋体"/>
          <w:b/>
          <w:color w:val="auto"/>
          <w:sz w:val="21"/>
          <w:szCs w:val="21"/>
          <w:highlight w:val="none"/>
          <w:lang w:val="en-US" w:eastAsia="zh-CN"/>
        </w:rPr>
        <w:t>5</w:t>
      </w:r>
      <w:r>
        <w:rPr>
          <w:rFonts w:hint="eastAsia" w:ascii="宋体" w:hAnsi="宋体" w:cs="宋体"/>
          <w:b/>
          <w:color w:val="auto"/>
          <w:sz w:val="21"/>
          <w:szCs w:val="21"/>
          <w:highlight w:val="none"/>
        </w:rPr>
        <w:t>）</w:t>
      </w:r>
      <w:r>
        <w:rPr>
          <w:rFonts w:hint="eastAsia" w:ascii="宋体" w:hAnsi="宋体" w:cs="宋体"/>
          <w:b/>
          <w:color w:val="auto"/>
          <w:sz w:val="21"/>
          <w:szCs w:val="21"/>
          <w:highlight w:val="none"/>
          <w:lang w:val="en-US" w:eastAsia="zh-CN"/>
        </w:rPr>
        <w:t>劳动合同扫描件</w:t>
      </w:r>
    </w:p>
    <w:p w14:paraId="7A66A130">
      <w:pPr>
        <w:spacing w:line="360" w:lineRule="auto"/>
        <w:ind w:firstLine="426" w:firstLineChars="202"/>
        <w:rPr>
          <w:rFonts w:hint="eastAsia" w:ascii="宋体" w:hAnsi="宋体" w:cs="宋体"/>
          <w:b/>
          <w:color w:val="auto"/>
          <w:sz w:val="21"/>
          <w:szCs w:val="21"/>
          <w:highlight w:val="none"/>
        </w:rPr>
      </w:pPr>
      <w:r>
        <w:rPr>
          <w:rFonts w:hint="eastAsia" w:ascii="宋体" w:hAnsi="宋体" w:cs="宋体"/>
          <w:b/>
          <w:color w:val="auto"/>
          <w:sz w:val="21"/>
          <w:szCs w:val="21"/>
          <w:highlight w:val="none"/>
        </w:rPr>
        <w:t>（</w:t>
      </w:r>
      <w:r>
        <w:rPr>
          <w:rFonts w:hint="eastAsia" w:ascii="宋体" w:hAnsi="宋体" w:cs="宋体"/>
          <w:b/>
          <w:color w:val="auto"/>
          <w:sz w:val="21"/>
          <w:szCs w:val="21"/>
          <w:highlight w:val="none"/>
          <w:lang w:val="en-US" w:eastAsia="zh-CN"/>
        </w:rPr>
        <w:t>6</w:t>
      </w:r>
      <w:r>
        <w:rPr>
          <w:rFonts w:hint="eastAsia" w:ascii="宋体" w:hAnsi="宋体" w:cs="宋体"/>
          <w:b/>
          <w:color w:val="auto"/>
          <w:sz w:val="21"/>
          <w:szCs w:val="21"/>
          <w:highlight w:val="none"/>
        </w:rPr>
        <w:t>）社保证明材料扫描件；</w:t>
      </w:r>
    </w:p>
    <w:p w14:paraId="51F12350">
      <w:pPr>
        <w:spacing w:line="360" w:lineRule="auto"/>
        <w:ind w:firstLine="426" w:firstLineChars="202"/>
        <w:rPr>
          <w:rFonts w:hint="eastAsia" w:ascii="宋体" w:hAnsi="宋体" w:cs="宋体"/>
          <w:color w:val="auto"/>
          <w:sz w:val="21"/>
          <w:szCs w:val="21"/>
          <w:highlight w:val="none"/>
        </w:rPr>
      </w:pPr>
      <w:r>
        <w:rPr>
          <w:rFonts w:hint="eastAsia" w:ascii="宋体" w:hAnsi="宋体" w:cs="宋体"/>
          <w:b/>
          <w:color w:val="auto"/>
          <w:sz w:val="21"/>
          <w:szCs w:val="21"/>
          <w:highlight w:val="none"/>
        </w:rPr>
        <w:t>（</w:t>
      </w:r>
      <w:r>
        <w:rPr>
          <w:rFonts w:hint="eastAsia" w:ascii="宋体" w:hAnsi="宋体" w:cs="宋体"/>
          <w:b/>
          <w:color w:val="auto"/>
          <w:sz w:val="21"/>
          <w:szCs w:val="21"/>
          <w:highlight w:val="none"/>
          <w:lang w:val="en-US" w:eastAsia="zh-CN"/>
        </w:rPr>
        <w:t>7</w:t>
      </w:r>
      <w:r>
        <w:rPr>
          <w:rFonts w:hint="eastAsia" w:ascii="宋体" w:hAnsi="宋体" w:cs="宋体"/>
          <w:b/>
          <w:color w:val="auto"/>
          <w:sz w:val="21"/>
          <w:szCs w:val="21"/>
          <w:highlight w:val="none"/>
        </w:rPr>
        <w:t>）供应商认为需要提供的其他材料扫描件。</w:t>
      </w:r>
    </w:p>
    <w:p w14:paraId="2AE4A2CF">
      <w:pPr>
        <w:autoSpaceDE w:val="0"/>
        <w:autoSpaceDN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w:t>
      </w:r>
      <w:r>
        <w:rPr>
          <w:rFonts w:hint="eastAsia" w:ascii="宋体" w:hAnsi="宋体" w:cs="宋体"/>
          <w:color w:val="auto"/>
          <w:sz w:val="21"/>
          <w:szCs w:val="21"/>
          <w:highlight w:val="none"/>
          <w:u w:val="single"/>
        </w:rPr>
        <w:t xml:space="preserve">                      </w:t>
      </w:r>
      <w:r>
        <w:rPr>
          <w:rFonts w:hint="eastAsia" w:ascii="宋体" w:hAnsi="宋体" w:cs="宋体"/>
          <w:color w:val="auto"/>
          <w:spacing w:val="14"/>
          <w:sz w:val="21"/>
          <w:szCs w:val="21"/>
          <w:highlight w:val="none"/>
        </w:rPr>
        <w:t>（电子签章）</w:t>
      </w:r>
    </w:p>
    <w:p w14:paraId="2046A483">
      <w:pPr>
        <w:autoSpaceDE w:val="0"/>
        <w:autoSpaceDN w:val="0"/>
        <w:adjustRightInd w:val="0"/>
        <w:snapToGrid w:val="0"/>
        <w:spacing w:line="360" w:lineRule="auto"/>
        <w:ind w:firstLine="464" w:firstLineChars="200"/>
        <w:rPr>
          <w:rFonts w:hint="eastAsia" w:ascii="宋体" w:hAnsi="宋体" w:cs="宋体"/>
          <w:color w:val="auto"/>
          <w:spacing w:val="11"/>
          <w:sz w:val="21"/>
          <w:szCs w:val="21"/>
          <w:highlight w:val="none"/>
        </w:rPr>
      </w:pPr>
      <w:r>
        <w:rPr>
          <w:rFonts w:hint="eastAsia" w:ascii="宋体" w:hAnsi="宋体" w:cs="宋体"/>
          <w:color w:val="auto"/>
          <w:spacing w:val="11"/>
          <w:sz w:val="21"/>
          <w:szCs w:val="21"/>
          <w:highlight w:val="none"/>
        </w:rPr>
        <w:t>法定代表人或其委托代理人：</w:t>
      </w:r>
      <w:r>
        <w:rPr>
          <w:rFonts w:hint="eastAsia" w:ascii="宋体" w:hAnsi="宋体" w:cs="宋体"/>
          <w:color w:val="auto"/>
          <w:spacing w:val="11"/>
          <w:sz w:val="21"/>
          <w:szCs w:val="21"/>
          <w:highlight w:val="none"/>
          <w:u w:val="single"/>
        </w:rPr>
        <w:t xml:space="preserve">       </w:t>
      </w:r>
      <w:r>
        <w:rPr>
          <w:rFonts w:hint="eastAsia" w:ascii="宋体" w:hAnsi="宋体" w:cs="宋体"/>
          <w:color w:val="auto"/>
          <w:spacing w:val="11"/>
          <w:sz w:val="21"/>
          <w:szCs w:val="21"/>
          <w:highlight w:val="none"/>
        </w:rPr>
        <w:t>（</w:t>
      </w:r>
      <w:r>
        <w:rPr>
          <w:rFonts w:hint="eastAsia" w:ascii="宋体" w:hAnsi="宋体" w:cs="宋体"/>
          <w:color w:val="auto"/>
          <w:spacing w:val="14"/>
          <w:sz w:val="21"/>
          <w:szCs w:val="21"/>
          <w:highlight w:val="none"/>
        </w:rPr>
        <w:t>电子签章</w:t>
      </w:r>
      <w:r>
        <w:rPr>
          <w:rFonts w:hint="eastAsia" w:ascii="宋体" w:hAnsi="宋体" w:cs="宋体"/>
          <w:color w:val="auto"/>
          <w:spacing w:val="11"/>
          <w:sz w:val="21"/>
          <w:szCs w:val="21"/>
          <w:highlight w:val="none"/>
        </w:rPr>
        <w:t>）</w:t>
      </w:r>
    </w:p>
    <w:p w14:paraId="5121E9BD">
      <w:pPr>
        <w:spacing w:line="360" w:lineRule="auto"/>
        <w:ind w:firstLine="420" w:firstLineChars="200"/>
        <w:rPr>
          <w:rFonts w:hint="eastAsia" w:ascii="宋体" w:hAnsi="宋体" w:cs="宋体"/>
          <w:color w:val="auto"/>
          <w:sz w:val="24"/>
          <w:szCs w:val="24"/>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1D10E1B0">
      <w:pPr>
        <w:pStyle w:val="27"/>
        <w:spacing w:line="360" w:lineRule="auto"/>
        <w:ind w:firstLine="420" w:firstLineChars="200"/>
        <w:rPr>
          <w:rFonts w:hint="eastAsia" w:hAnsi="宋体" w:cs="宋体"/>
          <w:color w:val="auto"/>
          <w:highlight w:val="none"/>
        </w:rPr>
      </w:pPr>
    </w:p>
    <w:p w14:paraId="2BAED13D">
      <w:pPr>
        <w:pStyle w:val="243"/>
        <w:spacing w:line="360" w:lineRule="auto"/>
        <w:rPr>
          <w:rFonts w:hint="eastAsia" w:ascii="宋体" w:hAnsi="宋体" w:cs="宋体"/>
          <w:b w:val="0"/>
          <w:bCs/>
          <w:color w:val="auto"/>
          <w:sz w:val="28"/>
          <w:szCs w:val="28"/>
          <w:highlight w:val="none"/>
        </w:rPr>
      </w:pPr>
      <w:r>
        <w:rPr>
          <w:rStyle w:val="201"/>
          <w:rFonts w:hint="eastAsia" w:ascii="宋体" w:hAnsi="宋体" w:cs="宋体"/>
          <w:color w:val="auto"/>
          <w:highlight w:val="none"/>
        </w:rPr>
        <w:t>承  诺  书</w:t>
      </w:r>
    </w:p>
    <w:p w14:paraId="6C9DE2C1">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致：________________________（采购人名称）：</w:t>
      </w:r>
    </w:p>
    <w:p w14:paraId="0010FEE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我方在此声明，我方拟派往_____________________（项目名称）（以下简称“本工程”）的项目经理_________（项目经理姓名）现阶段没有担任任何在建建设工程项目的项目经理。</w:t>
      </w:r>
    </w:p>
    <w:p w14:paraId="270F8FE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我方保证上述信息的真实和准确，并愿意承担因我方就此弄虚作假所引起的一切法律后果。</w:t>
      </w:r>
    </w:p>
    <w:p w14:paraId="1B105C4D">
      <w:pPr>
        <w:spacing w:line="360" w:lineRule="auto"/>
        <w:ind w:firstLine="420" w:firstLineChars="200"/>
        <w:rPr>
          <w:rFonts w:hint="eastAsia" w:ascii="宋体" w:hAnsi="宋体" w:cs="宋体"/>
          <w:color w:val="auto"/>
          <w:sz w:val="21"/>
          <w:szCs w:val="21"/>
          <w:highlight w:val="none"/>
        </w:rPr>
      </w:pPr>
    </w:p>
    <w:p w14:paraId="5DB1ACB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特此承诺！</w:t>
      </w:r>
    </w:p>
    <w:p w14:paraId="043CECC3">
      <w:pPr>
        <w:spacing w:line="360" w:lineRule="auto"/>
        <w:ind w:firstLine="420" w:firstLineChars="200"/>
        <w:rPr>
          <w:rFonts w:hint="eastAsia" w:ascii="宋体" w:hAnsi="宋体" w:cs="宋体"/>
          <w:color w:val="auto"/>
          <w:sz w:val="21"/>
          <w:szCs w:val="21"/>
          <w:highlight w:val="none"/>
        </w:rPr>
      </w:pPr>
    </w:p>
    <w:p w14:paraId="3053B25B">
      <w:pPr>
        <w:spacing w:line="360" w:lineRule="auto"/>
        <w:ind w:firstLine="420" w:firstLineChars="200"/>
        <w:rPr>
          <w:rFonts w:hint="eastAsia" w:ascii="宋体" w:hAnsi="宋体" w:cs="宋体"/>
          <w:color w:val="auto"/>
          <w:sz w:val="21"/>
          <w:szCs w:val="21"/>
          <w:highlight w:val="none"/>
        </w:rPr>
      </w:pPr>
    </w:p>
    <w:p w14:paraId="15EE2BC5">
      <w:pPr>
        <w:spacing w:line="360" w:lineRule="auto"/>
        <w:ind w:firstLine="420" w:firstLineChars="200"/>
        <w:rPr>
          <w:rFonts w:hint="eastAsia" w:ascii="宋体" w:hAnsi="宋体" w:cs="宋体"/>
          <w:color w:val="auto"/>
          <w:sz w:val="21"/>
          <w:szCs w:val="21"/>
          <w:highlight w:val="none"/>
        </w:rPr>
      </w:pPr>
    </w:p>
    <w:p w14:paraId="6D11EED1">
      <w:pPr>
        <w:autoSpaceDE w:val="0"/>
        <w:autoSpaceDN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w:t>
      </w:r>
      <w:r>
        <w:rPr>
          <w:rFonts w:hint="eastAsia" w:ascii="宋体" w:hAnsi="宋体" w:cs="宋体"/>
          <w:color w:val="auto"/>
          <w:sz w:val="21"/>
          <w:szCs w:val="21"/>
          <w:highlight w:val="none"/>
          <w:u w:val="single"/>
        </w:rPr>
        <w:t xml:space="preserve">                             </w:t>
      </w:r>
      <w:r>
        <w:rPr>
          <w:rFonts w:hint="eastAsia" w:ascii="宋体" w:hAnsi="宋体" w:cs="宋体"/>
          <w:color w:val="auto"/>
          <w:spacing w:val="14"/>
          <w:sz w:val="21"/>
          <w:szCs w:val="21"/>
          <w:highlight w:val="none"/>
        </w:rPr>
        <w:t>（电子签章）</w:t>
      </w:r>
    </w:p>
    <w:p w14:paraId="6403C85A">
      <w:pPr>
        <w:autoSpaceDE w:val="0"/>
        <w:autoSpaceDN w:val="0"/>
        <w:adjustRightInd w:val="0"/>
        <w:snapToGrid w:val="0"/>
        <w:spacing w:line="360" w:lineRule="auto"/>
        <w:ind w:firstLine="464" w:firstLineChars="200"/>
        <w:rPr>
          <w:rFonts w:hint="eastAsia" w:ascii="宋体" w:hAnsi="宋体" w:cs="宋体"/>
          <w:color w:val="auto"/>
          <w:spacing w:val="11"/>
          <w:sz w:val="21"/>
          <w:szCs w:val="21"/>
          <w:highlight w:val="none"/>
        </w:rPr>
      </w:pPr>
      <w:r>
        <w:rPr>
          <w:rFonts w:hint="eastAsia" w:ascii="宋体" w:hAnsi="宋体" w:cs="宋体"/>
          <w:color w:val="auto"/>
          <w:spacing w:val="11"/>
          <w:sz w:val="21"/>
          <w:szCs w:val="21"/>
          <w:highlight w:val="none"/>
        </w:rPr>
        <w:t>法定代表人或其委托代理人：</w:t>
      </w:r>
      <w:r>
        <w:rPr>
          <w:rFonts w:hint="eastAsia" w:ascii="宋体" w:hAnsi="宋体" w:cs="宋体"/>
          <w:color w:val="auto"/>
          <w:spacing w:val="11"/>
          <w:sz w:val="21"/>
          <w:szCs w:val="21"/>
          <w:highlight w:val="none"/>
          <w:u w:val="single"/>
        </w:rPr>
        <w:t xml:space="preserve">       </w:t>
      </w:r>
      <w:r>
        <w:rPr>
          <w:rFonts w:hint="eastAsia" w:ascii="宋体" w:hAnsi="宋体" w:cs="宋体"/>
          <w:color w:val="auto"/>
          <w:spacing w:val="11"/>
          <w:sz w:val="21"/>
          <w:szCs w:val="21"/>
          <w:highlight w:val="none"/>
        </w:rPr>
        <w:t>（</w:t>
      </w:r>
      <w:r>
        <w:rPr>
          <w:rFonts w:hint="eastAsia" w:ascii="宋体" w:hAnsi="宋体" w:cs="宋体"/>
          <w:color w:val="auto"/>
          <w:spacing w:val="14"/>
          <w:sz w:val="21"/>
          <w:szCs w:val="21"/>
          <w:highlight w:val="none"/>
        </w:rPr>
        <w:t>电子签章</w:t>
      </w:r>
      <w:r>
        <w:rPr>
          <w:rFonts w:hint="eastAsia" w:ascii="宋体" w:hAnsi="宋体" w:cs="宋体"/>
          <w:color w:val="auto"/>
          <w:spacing w:val="11"/>
          <w:sz w:val="21"/>
          <w:szCs w:val="21"/>
          <w:highlight w:val="none"/>
        </w:rPr>
        <w:t>）</w:t>
      </w:r>
    </w:p>
    <w:p w14:paraId="002A0B6D">
      <w:pPr>
        <w:spacing w:line="360" w:lineRule="auto"/>
        <w:ind w:firstLine="420" w:firstLineChars="200"/>
        <w:rPr>
          <w:rFonts w:hint="eastAsia" w:ascii="宋体" w:hAnsi="宋体" w:cs="宋体"/>
          <w:color w:val="auto"/>
          <w:sz w:val="24"/>
          <w:szCs w:val="24"/>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68050932">
      <w:pPr>
        <w:pStyle w:val="5"/>
        <w:spacing w:line="360" w:lineRule="auto"/>
        <w:rPr>
          <w:rFonts w:hint="eastAsia" w:ascii="宋体" w:hAnsi="宋体" w:cs="宋体"/>
          <w:color w:val="auto"/>
          <w:highlight w:val="none"/>
        </w:rPr>
      </w:pPr>
    </w:p>
    <w:p w14:paraId="243EB0A3">
      <w:pPr>
        <w:spacing w:line="360" w:lineRule="auto"/>
        <w:rPr>
          <w:rFonts w:hint="eastAsia" w:ascii="宋体" w:hAnsi="宋体" w:cs="宋体"/>
          <w:color w:val="auto"/>
          <w:highlight w:val="none"/>
        </w:rPr>
      </w:pPr>
    </w:p>
    <w:p w14:paraId="140B2D8A">
      <w:pPr>
        <w:pStyle w:val="27"/>
        <w:spacing w:line="360" w:lineRule="auto"/>
        <w:rPr>
          <w:rFonts w:hint="eastAsia" w:hAnsi="宋体" w:cs="宋体"/>
          <w:color w:val="auto"/>
          <w:highlight w:val="none"/>
        </w:rPr>
      </w:pPr>
    </w:p>
    <w:p w14:paraId="0BDED630">
      <w:pPr>
        <w:pStyle w:val="27"/>
        <w:spacing w:line="360" w:lineRule="auto"/>
        <w:rPr>
          <w:rFonts w:hint="eastAsia" w:hAnsi="宋体" w:cs="宋体"/>
          <w:bCs/>
          <w:color w:val="auto"/>
          <w:highlight w:val="none"/>
        </w:rPr>
      </w:pPr>
    </w:p>
    <w:p w14:paraId="7ECB94C0">
      <w:pPr>
        <w:pStyle w:val="27"/>
        <w:spacing w:line="360" w:lineRule="auto"/>
        <w:ind w:firstLine="420" w:firstLineChars="200"/>
        <w:rPr>
          <w:rFonts w:hint="eastAsia" w:hAnsi="宋体" w:cs="宋体"/>
          <w:color w:val="auto"/>
          <w:highlight w:val="none"/>
          <w:u w:val="single"/>
        </w:rPr>
      </w:pPr>
    </w:p>
    <w:p w14:paraId="6316751F">
      <w:pPr>
        <w:spacing w:line="360" w:lineRule="auto"/>
        <w:rPr>
          <w:rFonts w:hint="eastAsia" w:ascii="宋体" w:hAnsi="宋体" w:cs="宋体"/>
          <w:b/>
          <w:color w:val="auto"/>
          <w:sz w:val="24"/>
          <w:szCs w:val="18"/>
          <w:highlight w:val="none"/>
        </w:rPr>
      </w:pPr>
      <w:bookmarkStart w:id="1241" w:name="_Toc240709669"/>
      <w:bookmarkStart w:id="1242" w:name="_Toc239751243"/>
    </w:p>
    <w:p w14:paraId="6F980B56">
      <w:pPr>
        <w:spacing w:line="360" w:lineRule="auto"/>
        <w:rPr>
          <w:rFonts w:hint="eastAsia" w:ascii="宋体" w:hAnsi="宋体" w:cs="宋体"/>
          <w:b/>
          <w:color w:val="auto"/>
          <w:sz w:val="24"/>
          <w:szCs w:val="18"/>
          <w:highlight w:val="none"/>
        </w:rPr>
      </w:pPr>
      <w:r>
        <w:rPr>
          <w:rFonts w:hint="eastAsia" w:ascii="宋体" w:hAnsi="宋体" w:cs="宋体"/>
          <w:color w:val="auto"/>
          <w:sz w:val="24"/>
          <w:szCs w:val="18"/>
          <w:highlight w:val="none"/>
        </w:rPr>
        <w:br w:type="page"/>
      </w:r>
    </w:p>
    <w:p w14:paraId="36F7E3B8">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（3）技术负责人简历表</w:t>
      </w:r>
      <w:bookmarkEnd w:id="1241"/>
      <w:bookmarkEnd w:id="1242"/>
    </w:p>
    <w:tbl>
      <w:tblPr>
        <w:tblStyle w:val="50"/>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878"/>
        <w:gridCol w:w="1257"/>
        <w:gridCol w:w="525"/>
        <w:gridCol w:w="800"/>
        <w:gridCol w:w="1326"/>
        <w:gridCol w:w="1663"/>
        <w:gridCol w:w="1441"/>
      </w:tblGrid>
      <w:tr w14:paraId="0700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65" w:type="dxa"/>
            <w:gridSpan w:val="2"/>
            <w:vAlign w:val="center"/>
          </w:tcPr>
          <w:p w14:paraId="5EE7DEE3">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1257" w:type="dxa"/>
            <w:vAlign w:val="center"/>
          </w:tcPr>
          <w:p w14:paraId="005E8A87">
            <w:pPr>
              <w:spacing w:line="360" w:lineRule="auto"/>
              <w:jc w:val="center"/>
              <w:rPr>
                <w:rFonts w:hint="eastAsia" w:ascii="宋体" w:hAnsi="宋体" w:cs="宋体"/>
                <w:color w:val="auto"/>
                <w:sz w:val="21"/>
                <w:szCs w:val="21"/>
                <w:highlight w:val="none"/>
              </w:rPr>
            </w:pPr>
          </w:p>
        </w:tc>
        <w:tc>
          <w:tcPr>
            <w:tcW w:w="1325" w:type="dxa"/>
            <w:gridSpan w:val="2"/>
            <w:vAlign w:val="center"/>
          </w:tcPr>
          <w:p w14:paraId="45F50B46">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性别</w:t>
            </w:r>
          </w:p>
        </w:tc>
        <w:tc>
          <w:tcPr>
            <w:tcW w:w="1326" w:type="dxa"/>
            <w:vAlign w:val="center"/>
          </w:tcPr>
          <w:p w14:paraId="64BE590A">
            <w:pPr>
              <w:spacing w:line="360" w:lineRule="auto"/>
              <w:jc w:val="center"/>
              <w:rPr>
                <w:rFonts w:hint="eastAsia" w:ascii="宋体" w:hAnsi="宋体" w:cs="宋体"/>
                <w:color w:val="auto"/>
                <w:sz w:val="21"/>
                <w:szCs w:val="21"/>
                <w:highlight w:val="none"/>
              </w:rPr>
            </w:pPr>
          </w:p>
        </w:tc>
        <w:tc>
          <w:tcPr>
            <w:tcW w:w="1663" w:type="dxa"/>
            <w:vAlign w:val="center"/>
          </w:tcPr>
          <w:p w14:paraId="756AD056">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年龄</w:t>
            </w:r>
          </w:p>
        </w:tc>
        <w:tc>
          <w:tcPr>
            <w:tcW w:w="1441" w:type="dxa"/>
            <w:vAlign w:val="center"/>
          </w:tcPr>
          <w:p w14:paraId="1DC76F2D">
            <w:pPr>
              <w:spacing w:line="360" w:lineRule="auto"/>
              <w:jc w:val="center"/>
              <w:rPr>
                <w:rFonts w:hint="eastAsia" w:ascii="宋体" w:hAnsi="宋体" w:cs="宋体"/>
                <w:color w:val="auto"/>
                <w:sz w:val="21"/>
                <w:szCs w:val="21"/>
                <w:highlight w:val="none"/>
              </w:rPr>
            </w:pPr>
          </w:p>
        </w:tc>
      </w:tr>
      <w:tr w14:paraId="0BF4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65" w:type="dxa"/>
            <w:gridSpan w:val="2"/>
            <w:vAlign w:val="center"/>
          </w:tcPr>
          <w:p w14:paraId="460F875B">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执业资格</w:t>
            </w:r>
          </w:p>
        </w:tc>
        <w:tc>
          <w:tcPr>
            <w:tcW w:w="1257" w:type="dxa"/>
            <w:vAlign w:val="center"/>
          </w:tcPr>
          <w:p w14:paraId="5CC8850D">
            <w:pPr>
              <w:spacing w:line="360" w:lineRule="auto"/>
              <w:jc w:val="center"/>
              <w:rPr>
                <w:rFonts w:hint="eastAsia" w:ascii="宋体" w:hAnsi="宋体" w:cs="宋体"/>
                <w:color w:val="auto"/>
                <w:sz w:val="21"/>
                <w:szCs w:val="21"/>
                <w:highlight w:val="none"/>
              </w:rPr>
            </w:pPr>
          </w:p>
        </w:tc>
        <w:tc>
          <w:tcPr>
            <w:tcW w:w="1325" w:type="dxa"/>
            <w:gridSpan w:val="2"/>
            <w:vAlign w:val="center"/>
          </w:tcPr>
          <w:p w14:paraId="13A51925">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职称</w:t>
            </w:r>
          </w:p>
        </w:tc>
        <w:tc>
          <w:tcPr>
            <w:tcW w:w="1326" w:type="dxa"/>
            <w:vAlign w:val="center"/>
          </w:tcPr>
          <w:p w14:paraId="3FC2569D">
            <w:pPr>
              <w:spacing w:line="360" w:lineRule="auto"/>
              <w:jc w:val="center"/>
              <w:rPr>
                <w:rFonts w:hint="eastAsia" w:ascii="宋体" w:hAnsi="宋体" w:cs="宋体"/>
                <w:color w:val="auto"/>
                <w:sz w:val="21"/>
                <w:szCs w:val="21"/>
                <w:highlight w:val="none"/>
              </w:rPr>
            </w:pPr>
          </w:p>
        </w:tc>
        <w:tc>
          <w:tcPr>
            <w:tcW w:w="1663" w:type="dxa"/>
            <w:vAlign w:val="center"/>
          </w:tcPr>
          <w:p w14:paraId="1D81AB64">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学历</w:t>
            </w:r>
          </w:p>
        </w:tc>
        <w:tc>
          <w:tcPr>
            <w:tcW w:w="1441" w:type="dxa"/>
            <w:vAlign w:val="center"/>
          </w:tcPr>
          <w:p w14:paraId="1298D374">
            <w:pPr>
              <w:spacing w:line="360" w:lineRule="auto"/>
              <w:jc w:val="center"/>
              <w:rPr>
                <w:rFonts w:hint="eastAsia" w:ascii="宋体" w:hAnsi="宋体" w:cs="宋体"/>
                <w:color w:val="auto"/>
                <w:sz w:val="21"/>
                <w:szCs w:val="21"/>
                <w:highlight w:val="none"/>
              </w:rPr>
            </w:pPr>
          </w:p>
        </w:tc>
      </w:tr>
      <w:tr w14:paraId="0CD6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3422" w:type="dxa"/>
            <w:gridSpan w:val="3"/>
            <w:vAlign w:val="center"/>
          </w:tcPr>
          <w:p w14:paraId="473CA7D6">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参加工作时间</w:t>
            </w:r>
          </w:p>
        </w:tc>
        <w:tc>
          <w:tcPr>
            <w:tcW w:w="1325" w:type="dxa"/>
            <w:gridSpan w:val="2"/>
            <w:vAlign w:val="center"/>
          </w:tcPr>
          <w:p w14:paraId="7CFFA231">
            <w:pPr>
              <w:spacing w:line="360" w:lineRule="auto"/>
              <w:jc w:val="center"/>
              <w:rPr>
                <w:rFonts w:hint="eastAsia" w:ascii="宋体" w:hAnsi="宋体" w:cs="宋体"/>
                <w:color w:val="auto"/>
                <w:sz w:val="21"/>
                <w:szCs w:val="21"/>
                <w:highlight w:val="none"/>
              </w:rPr>
            </w:pPr>
          </w:p>
        </w:tc>
        <w:tc>
          <w:tcPr>
            <w:tcW w:w="2989" w:type="dxa"/>
            <w:gridSpan w:val="2"/>
            <w:vAlign w:val="center"/>
          </w:tcPr>
          <w:p w14:paraId="75FE2FC1">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从事技术负责人年限</w:t>
            </w:r>
          </w:p>
        </w:tc>
        <w:tc>
          <w:tcPr>
            <w:tcW w:w="1441" w:type="dxa"/>
            <w:vAlign w:val="center"/>
          </w:tcPr>
          <w:p w14:paraId="337AE5FE">
            <w:pPr>
              <w:spacing w:line="360" w:lineRule="auto"/>
              <w:jc w:val="center"/>
              <w:rPr>
                <w:rFonts w:hint="eastAsia" w:ascii="宋体" w:hAnsi="宋体" w:cs="宋体"/>
                <w:color w:val="auto"/>
                <w:sz w:val="21"/>
                <w:szCs w:val="21"/>
                <w:highlight w:val="none"/>
              </w:rPr>
            </w:pPr>
          </w:p>
        </w:tc>
      </w:tr>
      <w:tr w14:paraId="3E53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177" w:type="dxa"/>
            <w:gridSpan w:val="8"/>
            <w:vAlign w:val="center"/>
          </w:tcPr>
          <w:p w14:paraId="095FE14D">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承担过的类似项目工程情况表</w:t>
            </w:r>
          </w:p>
        </w:tc>
      </w:tr>
      <w:tr w14:paraId="4862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287" w:type="dxa"/>
            <w:vAlign w:val="center"/>
          </w:tcPr>
          <w:p w14:paraId="12084C50">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时间</w:t>
            </w:r>
          </w:p>
        </w:tc>
        <w:tc>
          <w:tcPr>
            <w:tcW w:w="2660" w:type="dxa"/>
            <w:gridSpan w:val="3"/>
            <w:vAlign w:val="center"/>
          </w:tcPr>
          <w:p w14:paraId="63644FFC">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参加过的类似项目名称</w:t>
            </w:r>
          </w:p>
        </w:tc>
        <w:tc>
          <w:tcPr>
            <w:tcW w:w="2126" w:type="dxa"/>
            <w:gridSpan w:val="2"/>
            <w:vAlign w:val="center"/>
          </w:tcPr>
          <w:p w14:paraId="1A5D55DC">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建设规模</w:t>
            </w:r>
          </w:p>
        </w:tc>
        <w:tc>
          <w:tcPr>
            <w:tcW w:w="3104" w:type="dxa"/>
            <w:gridSpan w:val="2"/>
            <w:vAlign w:val="center"/>
          </w:tcPr>
          <w:p w14:paraId="09B38E33">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担任职务</w:t>
            </w:r>
          </w:p>
        </w:tc>
      </w:tr>
      <w:tr w14:paraId="435E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287" w:type="dxa"/>
            <w:vAlign w:val="center"/>
          </w:tcPr>
          <w:p w14:paraId="17290457">
            <w:pPr>
              <w:spacing w:line="360" w:lineRule="auto"/>
              <w:jc w:val="center"/>
              <w:rPr>
                <w:rFonts w:hint="eastAsia" w:ascii="宋体" w:hAnsi="宋体" w:cs="宋体"/>
                <w:color w:val="auto"/>
                <w:sz w:val="21"/>
                <w:szCs w:val="21"/>
                <w:highlight w:val="none"/>
              </w:rPr>
            </w:pPr>
          </w:p>
        </w:tc>
        <w:tc>
          <w:tcPr>
            <w:tcW w:w="2660" w:type="dxa"/>
            <w:gridSpan w:val="3"/>
            <w:vAlign w:val="center"/>
          </w:tcPr>
          <w:p w14:paraId="1B982E76">
            <w:pPr>
              <w:spacing w:line="360" w:lineRule="auto"/>
              <w:jc w:val="center"/>
              <w:rPr>
                <w:rFonts w:hint="eastAsia" w:ascii="宋体" w:hAnsi="宋体" w:cs="宋体"/>
                <w:color w:val="auto"/>
                <w:sz w:val="21"/>
                <w:szCs w:val="21"/>
                <w:highlight w:val="none"/>
              </w:rPr>
            </w:pPr>
          </w:p>
        </w:tc>
        <w:tc>
          <w:tcPr>
            <w:tcW w:w="2126" w:type="dxa"/>
            <w:gridSpan w:val="2"/>
            <w:vAlign w:val="center"/>
          </w:tcPr>
          <w:p w14:paraId="383B28D4">
            <w:pPr>
              <w:spacing w:line="360" w:lineRule="auto"/>
              <w:jc w:val="center"/>
              <w:rPr>
                <w:rFonts w:hint="eastAsia" w:ascii="宋体" w:hAnsi="宋体" w:cs="宋体"/>
                <w:color w:val="auto"/>
                <w:sz w:val="21"/>
                <w:szCs w:val="21"/>
                <w:highlight w:val="none"/>
              </w:rPr>
            </w:pPr>
          </w:p>
        </w:tc>
        <w:tc>
          <w:tcPr>
            <w:tcW w:w="3104" w:type="dxa"/>
            <w:gridSpan w:val="2"/>
            <w:vAlign w:val="center"/>
          </w:tcPr>
          <w:p w14:paraId="509A1D30">
            <w:pPr>
              <w:spacing w:line="360" w:lineRule="auto"/>
              <w:jc w:val="center"/>
              <w:rPr>
                <w:rFonts w:hint="eastAsia" w:ascii="宋体" w:hAnsi="宋体" w:cs="宋体"/>
                <w:color w:val="auto"/>
                <w:sz w:val="21"/>
                <w:szCs w:val="21"/>
                <w:highlight w:val="none"/>
              </w:rPr>
            </w:pPr>
          </w:p>
        </w:tc>
      </w:tr>
      <w:tr w14:paraId="78CA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287" w:type="dxa"/>
            <w:vAlign w:val="center"/>
          </w:tcPr>
          <w:p w14:paraId="207661EE">
            <w:pPr>
              <w:spacing w:line="360" w:lineRule="auto"/>
              <w:jc w:val="center"/>
              <w:rPr>
                <w:rFonts w:hint="eastAsia" w:ascii="宋体" w:hAnsi="宋体" w:cs="宋体"/>
                <w:color w:val="auto"/>
                <w:sz w:val="21"/>
                <w:szCs w:val="21"/>
                <w:highlight w:val="none"/>
              </w:rPr>
            </w:pPr>
          </w:p>
        </w:tc>
        <w:tc>
          <w:tcPr>
            <w:tcW w:w="2660" w:type="dxa"/>
            <w:gridSpan w:val="3"/>
            <w:vAlign w:val="center"/>
          </w:tcPr>
          <w:p w14:paraId="7897ABB8">
            <w:pPr>
              <w:spacing w:line="360" w:lineRule="auto"/>
              <w:jc w:val="center"/>
              <w:rPr>
                <w:rFonts w:hint="eastAsia" w:ascii="宋体" w:hAnsi="宋体" w:cs="宋体"/>
                <w:color w:val="auto"/>
                <w:sz w:val="21"/>
                <w:szCs w:val="21"/>
                <w:highlight w:val="none"/>
              </w:rPr>
            </w:pPr>
          </w:p>
        </w:tc>
        <w:tc>
          <w:tcPr>
            <w:tcW w:w="2126" w:type="dxa"/>
            <w:gridSpan w:val="2"/>
            <w:vAlign w:val="center"/>
          </w:tcPr>
          <w:p w14:paraId="6DA39DE3">
            <w:pPr>
              <w:spacing w:line="360" w:lineRule="auto"/>
              <w:jc w:val="center"/>
              <w:rPr>
                <w:rFonts w:hint="eastAsia" w:ascii="宋体" w:hAnsi="宋体" w:cs="宋体"/>
                <w:color w:val="auto"/>
                <w:sz w:val="21"/>
                <w:szCs w:val="21"/>
                <w:highlight w:val="none"/>
              </w:rPr>
            </w:pPr>
          </w:p>
        </w:tc>
        <w:tc>
          <w:tcPr>
            <w:tcW w:w="3104" w:type="dxa"/>
            <w:gridSpan w:val="2"/>
            <w:vAlign w:val="center"/>
          </w:tcPr>
          <w:p w14:paraId="38ED0AF8">
            <w:pPr>
              <w:spacing w:line="360" w:lineRule="auto"/>
              <w:jc w:val="center"/>
              <w:rPr>
                <w:rFonts w:hint="eastAsia" w:ascii="宋体" w:hAnsi="宋体" w:cs="宋体"/>
                <w:color w:val="auto"/>
                <w:sz w:val="21"/>
                <w:szCs w:val="21"/>
                <w:highlight w:val="none"/>
              </w:rPr>
            </w:pPr>
          </w:p>
        </w:tc>
      </w:tr>
      <w:tr w14:paraId="33FF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287" w:type="dxa"/>
            <w:vAlign w:val="center"/>
          </w:tcPr>
          <w:p w14:paraId="12BC82F2">
            <w:pPr>
              <w:spacing w:line="360" w:lineRule="auto"/>
              <w:jc w:val="center"/>
              <w:rPr>
                <w:rFonts w:hint="eastAsia" w:ascii="宋体" w:hAnsi="宋体" w:cs="宋体"/>
                <w:color w:val="auto"/>
                <w:sz w:val="21"/>
                <w:szCs w:val="21"/>
                <w:highlight w:val="none"/>
              </w:rPr>
            </w:pPr>
          </w:p>
        </w:tc>
        <w:tc>
          <w:tcPr>
            <w:tcW w:w="2660" w:type="dxa"/>
            <w:gridSpan w:val="3"/>
            <w:vAlign w:val="center"/>
          </w:tcPr>
          <w:p w14:paraId="64F83AAE">
            <w:pPr>
              <w:spacing w:line="360" w:lineRule="auto"/>
              <w:jc w:val="center"/>
              <w:rPr>
                <w:rFonts w:hint="eastAsia" w:ascii="宋体" w:hAnsi="宋体" w:cs="宋体"/>
                <w:color w:val="auto"/>
                <w:sz w:val="21"/>
                <w:szCs w:val="21"/>
                <w:highlight w:val="none"/>
              </w:rPr>
            </w:pPr>
          </w:p>
        </w:tc>
        <w:tc>
          <w:tcPr>
            <w:tcW w:w="2126" w:type="dxa"/>
            <w:gridSpan w:val="2"/>
            <w:vAlign w:val="center"/>
          </w:tcPr>
          <w:p w14:paraId="21F00AF7">
            <w:pPr>
              <w:spacing w:line="360" w:lineRule="auto"/>
              <w:jc w:val="center"/>
              <w:rPr>
                <w:rFonts w:hint="eastAsia" w:ascii="宋体" w:hAnsi="宋体" w:cs="宋体"/>
                <w:color w:val="auto"/>
                <w:sz w:val="21"/>
                <w:szCs w:val="21"/>
                <w:highlight w:val="none"/>
              </w:rPr>
            </w:pPr>
          </w:p>
        </w:tc>
        <w:tc>
          <w:tcPr>
            <w:tcW w:w="3104" w:type="dxa"/>
            <w:gridSpan w:val="2"/>
            <w:vAlign w:val="center"/>
          </w:tcPr>
          <w:p w14:paraId="10E172D6">
            <w:pPr>
              <w:spacing w:line="360" w:lineRule="auto"/>
              <w:jc w:val="center"/>
              <w:rPr>
                <w:rFonts w:hint="eastAsia" w:ascii="宋体" w:hAnsi="宋体" w:cs="宋体"/>
                <w:color w:val="auto"/>
                <w:sz w:val="21"/>
                <w:szCs w:val="21"/>
                <w:highlight w:val="none"/>
              </w:rPr>
            </w:pPr>
          </w:p>
        </w:tc>
      </w:tr>
      <w:tr w14:paraId="6C91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287" w:type="dxa"/>
            <w:vAlign w:val="center"/>
          </w:tcPr>
          <w:p w14:paraId="5F3C2F18">
            <w:pPr>
              <w:spacing w:line="360" w:lineRule="auto"/>
              <w:jc w:val="center"/>
              <w:rPr>
                <w:rFonts w:hint="eastAsia" w:ascii="宋体" w:hAnsi="宋体" w:cs="宋体"/>
                <w:color w:val="auto"/>
                <w:sz w:val="21"/>
                <w:szCs w:val="21"/>
                <w:highlight w:val="none"/>
              </w:rPr>
            </w:pPr>
          </w:p>
        </w:tc>
        <w:tc>
          <w:tcPr>
            <w:tcW w:w="2660" w:type="dxa"/>
            <w:gridSpan w:val="3"/>
            <w:vAlign w:val="center"/>
          </w:tcPr>
          <w:p w14:paraId="22E786FC">
            <w:pPr>
              <w:spacing w:line="360" w:lineRule="auto"/>
              <w:jc w:val="center"/>
              <w:rPr>
                <w:rFonts w:hint="eastAsia" w:ascii="宋体" w:hAnsi="宋体" w:cs="宋体"/>
                <w:color w:val="auto"/>
                <w:sz w:val="21"/>
                <w:szCs w:val="21"/>
                <w:highlight w:val="none"/>
              </w:rPr>
            </w:pPr>
          </w:p>
        </w:tc>
        <w:tc>
          <w:tcPr>
            <w:tcW w:w="2126" w:type="dxa"/>
            <w:gridSpan w:val="2"/>
            <w:vAlign w:val="center"/>
          </w:tcPr>
          <w:p w14:paraId="27322E2A">
            <w:pPr>
              <w:spacing w:line="360" w:lineRule="auto"/>
              <w:jc w:val="center"/>
              <w:rPr>
                <w:rFonts w:hint="eastAsia" w:ascii="宋体" w:hAnsi="宋体" w:cs="宋体"/>
                <w:color w:val="auto"/>
                <w:sz w:val="21"/>
                <w:szCs w:val="21"/>
                <w:highlight w:val="none"/>
              </w:rPr>
            </w:pPr>
          </w:p>
        </w:tc>
        <w:tc>
          <w:tcPr>
            <w:tcW w:w="3104" w:type="dxa"/>
            <w:gridSpan w:val="2"/>
            <w:vAlign w:val="center"/>
          </w:tcPr>
          <w:p w14:paraId="4B21D913">
            <w:pPr>
              <w:spacing w:line="360" w:lineRule="auto"/>
              <w:jc w:val="center"/>
              <w:rPr>
                <w:rFonts w:hint="eastAsia" w:ascii="宋体" w:hAnsi="宋体" w:cs="宋体"/>
                <w:color w:val="auto"/>
                <w:sz w:val="21"/>
                <w:szCs w:val="21"/>
                <w:highlight w:val="none"/>
              </w:rPr>
            </w:pPr>
          </w:p>
        </w:tc>
      </w:tr>
    </w:tbl>
    <w:p w14:paraId="2564DD75">
      <w:pPr>
        <w:spacing w:line="360" w:lineRule="auto"/>
        <w:jc w:val="center"/>
        <w:rPr>
          <w:rFonts w:hint="eastAsia" w:ascii="宋体" w:hAnsi="宋体" w:cs="宋体"/>
          <w:color w:val="auto"/>
          <w:highlight w:val="none"/>
        </w:rPr>
      </w:pPr>
    </w:p>
    <w:p w14:paraId="299095C4">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注：附技术负责人职称证书扫描件、居民身份证（正面及反面）扫描件、社保证明材料</w:t>
      </w:r>
      <w:r>
        <w:rPr>
          <w:rFonts w:hint="eastAsia" w:ascii="宋体" w:hAnsi="宋体" w:cs="宋体"/>
          <w:b/>
          <w:color w:val="auto"/>
          <w:sz w:val="21"/>
          <w:szCs w:val="21"/>
          <w:highlight w:val="none"/>
          <w:lang w:val="en-US" w:eastAsia="zh-CN"/>
        </w:rPr>
        <w:t>和</w:t>
      </w:r>
      <w:r>
        <w:rPr>
          <w:rFonts w:hint="eastAsia" w:ascii="宋体" w:hAnsi="宋体" w:cs="宋体"/>
          <w:b/>
          <w:color w:val="auto"/>
          <w:sz w:val="21"/>
          <w:szCs w:val="21"/>
          <w:highlight w:val="none"/>
        </w:rPr>
        <w:t>劳动合同扫描件。</w:t>
      </w:r>
    </w:p>
    <w:p w14:paraId="2ACE45E3">
      <w:pPr>
        <w:pStyle w:val="5"/>
        <w:spacing w:line="360" w:lineRule="auto"/>
        <w:ind w:firstLine="0"/>
        <w:rPr>
          <w:rFonts w:hint="eastAsia" w:ascii="宋体" w:hAnsi="宋体" w:cs="宋体"/>
          <w:color w:val="auto"/>
          <w:highlight w:val="none"/>
        </w:rPr>
      </w:pPr>
    </w:p>
    <w:p w14:paraId="465BEC75">
      <w:pPr>
        <w:pStyle w:val="27"/>
        <w:spacing w:line="360" w:lineRule="auto"/>
        <w:rPr>
          <w:rFonts w:hint="eastAsia" w:hAnsi="宋体" w:cs="宋体"/>
          <w:color w:val="auto"/>
          <w:highlight w:val="none"/>
        </w:rPr>
      </w:pPr>
    </w:p>
    <w:p w14:paraId="4F8B19EC">
      <w:pPr>
        <w:autoSpaceDE w:val="0"/>
        <w:autoSpaceDN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供应商：</w:t>
      </w:r>
      <w:r>
        <w:rPr>
          <w:rFonts w:hint="eastAsia" w:ascii="宋体" w:hAnsi="宋体" w:cs="宋体"/>
          <w:color w:val="auto"/>
          <w:sz w:val="21"/>
          <w:szCs w:val="21"/>
          <w:highlight w:val="none"/>
          <w:u w:val="single"/>
        </w:rPr>
        <w:t xml:space="preserve">                            </w:t>
      </w:r>
      <w:r>
        <w:rPr>
          <w:rFonts w:hint="eastAsia" w:ascii="宋体" w:hAnsi="宋体" w:cs="宋体"/>
          <w:color w:val="auto"/>
          <w:spacing w:val="14"/>
          <w:sz w:val="21"/>
          <w:szCs w:val="21"/>
          <w:highlight w:val="none"/>
        </w:rPr>
        <w:t>（电子签章）</w:t>
      </w:r>
    </w:p>
    <w:p w14:paraId="266E4F46">
      <w:pPr>
        <w:autoSpaceDE w:val="0"/>
        <w:autoSpaceDN w:val="0"/>
        <w:adjustRightInd w:val="0"/>
        <w:snapToGrid w:val="0"/>
        <w:spacing w:line="360" w:lineRule="auto"/>
        <w:rPr>
          <w:rFonts w:hint="eastAsia" w:ascii="宋体" w:hAnsi="宋体" w:cs="宋体"/>
          <w:color w:val="auto"/>
          <w:spacing w:val="11"/>
          <w:sz w:val="21"/>
          <w:szCs w:val="21"/>
          <w:highlight w:val="none"/>
        </w:rPr>
      </w:pPr>
      <w:r>
        <w:rPr>
          <w:rFonts w:hint="eastAsia" w:ascii="宋体" w:hAnsi="宋体" w:cs="宋体"/>
          <w:color w:val="auto"/>
          <w:spacing w:val="11"/>
          <w:sz w:val="21"/>
          <w:szCs w:val="21"/>
          <w:highlight w:val="none"/>
        </w:rPr>
        <w:t>法定代表人或其委托代理人：</w:t>
      </w:r>
      <w:r>
        <w:rPr>
          <w:rFonts w:hint="eastAsia" w:ascii="宋体" w:hAnsi="宋体" w:cs="宋体"/>
          <w:color w:val="auto"/>
          <w:spacing w:val="11"/>
          <w:sz w:val="21"/>
          <w:szCs w:val="21"/>
          <w:highlight w:val="none"/>
          <w:u w:val="single"/>
        </w:rPr>
        <w:t xml:space="preserve">       </w:t>
      </w:r>
      <w:r>
        <w:rPr>
          <w:rFonts w:hint="eastAsia" w:ascii="宋体" w:hAnsi="宋体" w:cs="宋体"/>
          <w:color w:val="auto"/>
          <w:spacing w:val="11"/>
          <w:sz w:val="21"/>
          <w:szCs w:val="21"/>
          <w:highlight w:val="none"/>
        </w:rPr>
        <w:t>（</w:t>
      </w:r>
      <w:r>
        <w:rPr>
          <w:rFonts w:hint="eastAsia" w:ascii="宋体" w:hAnsi="宋体" w:cs="宋体"/>
          <w:color w:val="auto"/>
          <w:spacing w:val="14"/>
          <w:sz w:val="21"/>
          <w:szCs w:val="21"/>
          <w:highlight w:val="none"/>
        </w:rPr>
        <w:t>电子签章</w:t>
      </w:r>
      <w:r>
        <w:rPr>
          <w:rFonts w:hint="eastAsia" w:ascii="宋体" w:hAnsi="宋体" w:cs="宋体"/>
          <w:color w:val="auto"/>
          <w:spacing w:val="11"/>
          <w:sz w:val="21"/>
          <w:szCs w:val="21"/>
          <w:highlight w:val="none"/>
        </w:rPr>
        <w:t>）</w:t>
      </w:r>
    </w:p>
    <w:p w14:paraId="70E3F06A">
      <w:pPr>
        <w:spacing w:line="360" w:lineRule="auto"/>
        <w:rPr>
          <w:rFonts w:hint="eastAsia" w:ascii="宋体" w:hAnsi="宋体" w:cs="宋体"/>
          <w:color w:val="auto"/>
          <w:sz w:val="24"/>
          <w:szCs w:val="24"/>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738B175A">
      <w:pPr>
        <w:pStyle w:val="27"/>
        <w:spacing w:line="360" w:lineRule="auto"/>
        <w:ind w:firstLine="480" w:firstLineChars="200"/>
        <w:rPr>
          <w:rFonts w:hint="eastAsia" w:hAnsi="宋体" w:cs="宋体"/>
          <w:bCs/>
          <w:color w:val="auto"/>
          <w:sz w:val="24"/>
          <w:highlight w:val="none"/>
        </w:rPr>
      </w:pPr>
    </w:p>
    <w:p w14:paraId="3A0BD9D9">
      <w:pPr>
        <w:spacing w:line="360" w:lineRule="auto"/>
        <w:rPr>
          <w:rFonts w:hint="eastAsia" w:ascii="宋体" w:hAnsi="宋体" w:cs="宋体"/>
          <w:b/>
          <w:color w:val="auto"/>
          <w:sz w:val="24"/>
          <w:szCs w:val="18"/>
          <w:highlight w:val="none"/>
        </w:rPr>
      </w:pPr>
      <w:r>
        <w:rPr>
          <w:rFonts w:hint="eastAsia" w:ascii="宋体" w:hAnsi="宋体" w:cs="宋体"/>
          <w:color w:val="auto"/>
          <w:sz w:val="24"/>
          <w:szCs w:val="18"/>
          <w:highlight w:val="none"/>
        </w:rPr>
        <w:br w:type="page"/>
      </w:r>
    </w:p>
    <w:p w14:paraId="73B120F0">
      <w:pPr>
        <w:pStyle w:val="4"/>
        <w:numPr>
          <w:ilvl w:val="0"/>
          <w:numId w:val="0"/>
        </w:numPr>
        <w:tabs>
          <w:tab w:val="left" w:pos="720"/>
        </w:tabs>
        <w:spacing w:before="0" w:after="0"/>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.供应商完成过的类似工程业绩（如有）</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32"/>
        <w:gridCol w:w="6227"/>
      </w:tblGrid>
      <w:tr w14:paraId="773F4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32" w:type="dxa"/>
            <w:vAlign w:val="center"/>
          </w:tcPr>
          <w:p w14:paraId="6D497F7C">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6227" w:type="dxa"/>
            <w:vAlign w:val="center"/>
          </w:tcPr>
          <w:p w14:paraId="37ACB241">
            <w:pPr>
              <w:adjustRightInd w:val="0"/>
              <w:snapToGrid w:val="0"/>
              <w:spacing w:line="360" w:lineRule="auto"/>
              <w:rPr>
                <w:rFonts w:hint="eastAsia" w:ascii="宋体" w:hAnsi="宋体" w:cs="宋体"/>
                <w:color w:val="auto"/>
                <w:sz w:val="21"/>
                <w:szCs w:val="21"/>
                <w:highlight w:val="none"/>
              </w:rPr>
            </w:pPr>
          </w:p>
        </w:tc>
      </w:tr>
      <w:tr w14:paraId="2B873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32" w:type="dxa"/>
            <w:vAlign w:val="center"/>
          </w:tcPr>
          <w:p w14:paraId="523A3FBE">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227" w:type="dxa"/>
            <w:vAlign w:val="center"/>
          </w:tcPr>
          <w:p w14:paraId="1FAC2EAC">
            <w:pPr>
              <w:adjustRightInd w:val="0"/>
              <w:snapToGrid w:val="0"/>
              <w:spacing w:line="360" w:lineRule="auto"/>
              <w:rPr>
                <w:rFonts w:hint="eastAsia" w:ascii="宋体" w:hAnsi="宋体" w:cs="宋体"/>
                <w:color w:val="auto"/>
                <w:sz w:val="21"/>
                <w:szCs w:val="21"/>
                <w:highlight w:val="none"/>
              </w:rPr>
            </w:pPr>
          </w:p>
        </w:tc>
      </w:tr>
      <w:tr w14:paraId="2B676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32" w:type="dxa"/>
            <w:vAlign w:val="center"/>
          </w:tcPr>
          <w:p w14:paraId="7E4A4AE3">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项目所在地</w:t>
            </w:r>
          </w:p>
        </w:tc>
        <w:tc>
          <w:tcPr>
            <w:tcW w:w="6227" w:type="dxa"/>
            <w:vAlign w:val="center"/>
          </w:tcPr>
          <w:p w14:paraId="0327DD74">
            <w:pPr>
              <w:adjustRightInd w:val="0"/>
              <w:snapToGrid w:val="0"/>
              <w:spacing w:line="360" w:lineRule="auto"/>
              <w:rPr>
                <w:rFonts w:hint="eastAsia" w:ascii="宋体" w:hAnsi="宋体" w:cs="宋体"/>
                <w:color w:val="auto"/>
                <w:sz w:val="21"/>
                <w:szCs w:val="21"/>
                <w:highlight w:val="none"/>
              </w:rPr>
            </w:pPr>
          </w:p>
        </w:tc>
      </w:tr>
      <w:tr w14:paraId="48C16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3132" w:type="dxa"/>
            <w:vAlign w:val="center"/>
          </w:tcPr>
          <w:p w14:paraId="3A350796">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发包人名称</w:t>
            </w:r>
          </w:p>
        </w:tc>
        <w:tc>
          <w:tcPr>
            <w:tcW w:w="6227" w:type="dxa"/>
            <w:tcBorders>
              <w:bottom w:val="single" w:color="auto" w:sz="4" w:space="0"/>
            </w:tcBorders>
            <w:vAlign w:val="center"/>
          </w:tcPr>
          <w:p w14:paraId="1F70E301">
            <w:pPr>
              <w:adjustRightInd w:val="0"/>
              <w:snapToGrid w:val="0"/>
              <w:spacing w:line="360" w:lineRule="auto"/>
              <w:rPr>
                <w:rFonts w:hint="eastAsia" w:ascii="宋体" w:hAnsi="宋体" w:cs="宋体"/>
                <w:color w:val="auto"/>
                <w:sz w:val="21"/>
                <w:szCs w:val="21"/>
                <w:highlight w:val="none"/>
              </w:rPr>
            </w:pPr>
          </w:p>
        </w:tc>
      </w:tr>
      <w:tr w14:paraId="073F0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32" w:type="dxa"/>
            <w:vAlign w:val="center"/>
          </w:tcPr>
          <w:p w14:paraId="3F3AEC41">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发包人地址</w:t>
            </w:r>
          </w:p>
        </w:tc>
        <w:tc>
          <w:tcPr>
            <w:tcW w:w="6227" w:type="dxa"/>
            <w:tcBorders>
              <w:top w:val="single" w:color="auto" w:sz="4" w:space="0"/>
              <w:bottom w:val="single" w:color="auto" w:sz="4" w:space="0"/>
            </w:tcBorders>
            <w:vAlign w:val="center"/>
          </w:tcPr>
          <w:p w14:paraId="52865A32">
            <w:pPr>
              <w:adjustRightInd w:val="0"/>
              <w:snapToGrid w:val="0"/>
              <w:spacing w:line="360" w:lineRule="auto"/>
              <w:rPr>
                <w:rFonts w:hint="eastAsia" w:ascii="宋体" w:hAnsi="宋体" w:cs="宋体"/>
                <w:color w:val="auto"/>
                <w:sz w:val="21"/>
                <w:szCs w:val="21"/>
                <w:highlight w:val="none"/>
              </w:rPr>
            </w:pPr>
          </w:p>
        </w:tc>
      </w:tr>
      <w:tr w14:paraId="689DD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32" w:type="dxa"/>
            <w:vAlign w:val="center"/>
          </w:tcPr>
          <w:p w14:paraId="1935F11D">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发包人电话</w:t>
            </w:r>
          </w:p>
        </w:tc>
        <w:tc>
          <w:tcPr>
            <w:tcW w:w="6227" w:type="dxa"/>
            <w:tcBorders>
              <w:top w:val="single" w:color="auto" w:sz="4" w:space="0"/>
              <w:bottom w:val="single" w:color="auto" w:sz="4" w:space="0"/>
            </w:tcBorders>
            <w:vAlign w:val="center"/>
          </w:tcPr>
          <w:p w14:paraId="456FAF1D">
            <w:pPr>
              <w:adjustRightInd w:val="0"/>
              <w:snapToGrid w:val="0"/>
              <w:spacing w:line="360" w:lineRule="auto"/>
              <w:rPr>
                <w:rFonts w:hint="eastAsia" w:ascii="宋体" w:hAnsi="宋体" w:cs="宋体"/>
                <w:color w:val="auto"/>
                <w:sz w:val="21"/>
                <w:szCs w:val="21"/>
                <w:highlight w:val="none"/>
              </w:rPr>
            </w:pPr>
          </w:p>
        </w:tc>
      </w:tr>
      <w:tr w14:paraId="44389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32" w:type="dxa"/>
            <w:vAlign w:val="center"/>
          </w:tcPr>
          <w:p w14:paraId="09CBECFB">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签约合同价</w:t>
            </w:r>
          </w:p>
        </w:tc>
        <w:tc>
          <w:tcPr>
            <w:tcW w:w="6227" w:type="dxa"/>
            <w:vAlign w:val="center"/>
          </w:tcPr>
          <w:p w14:paraId="6F4EFC79">
            <w:pPr>
              <w:adjustRightInd w:val="0"/>
              <w:snapToGrid w:val="0"/>
              <w:spacing w:line="360" w:lineRule="auto"/>
              <w:rPr>
                <w:rFonts w:hint="eastAsia" w:ascii="宋体" w:hAnsi="宋体" w:cs="宋体"/>
                <w:color w:val="auto"/>
                <w:sz w:val="21"/>
                <w:szCs w:val="21"/>
                <w:highlight w:val="none"/>
              </w:rPr>
            </w:pPr>
          </w:p>
        </w:tc>
      </w:tr>
      <w:tr w14:paraId="546CB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32" w:type="dxa"/>
            <w:vAlign w:val="center"/>
          </w:tcPr>
          <w:p w14:paraId="4AEBEA55">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项目内容</w:t>
            </w:r>
          </w:p>
        </w:tc>
        <w:tc>
          <w:tcPr>
            <w:tcW w:w="6227" w:type="dxa"/>
            <w:vAlign w:val="center"/>
          </w:tcPr>
          <w:p w14:paraId="578996D8">
            <w:pPr>
              <w:adjustRightInd w:val="0"/>
              <w:snapToGrid w:val="0"/>
              <w:spacing w:line="360" w:lineRule="auto"/>
              <w:rPr>
                <w:rFonts w:hint="eastAsia" w:ascii="宋体" w:hAnsi="宋体" w:cs="宋体"/>
                <w:color w:val="auto"/>
                <w:sz w:val="21"/>
                <w:szCs w:val="21"/>
                <w:highlight w:val="none"/>
              </w:rPr>
            </w:pPr>
          </w:p>
        </w:tc>
      </w:tr>
      <w:tr w14:paraId="0166F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32" w:type="dxa"/>
            <w:vAlign w:val="center"/>
          </w:tcPr>
          <w:p w14:paraId="6B04F613">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开竣工日期</w:t>
            </w:r>
          </w:p>
        </w:tc>
        <w:tc>
          <w:tcPr>
            <w:tcW w:w="6227" w:type="dxa"/>
            <w:vAlign w:val="center"/>
          </w:tcPr>
          <w:p w14:paraId="38612220">
            <w:pPr>
              <w:adjustRightInd w:val="0"/>
              <w:snapToGrid w:val="0"/>
              <w:spacing w:line="360" w:lineRule="auto"/>
              <w:rPr>
                <w:rFonts w:hint="eastAsia" w:ascii="宋体" w:hAnsi="宋体" w:cs="宋体"/>
                <w:color w:val="auto"/>
                <w:sz w:val="21"/>
                <w:szCs w:val="21"/>
                <w:highlight w:val="none"/>
              </w:rPr>
            </w:pPr>
          </w:p>
        </w:tc>
      </w:tr>
      <w:tr w14:paraId="011EF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32" w:type="dxa"/>
            <w:vAlign w:val="center"/>
          </w:tcPr>
          <w:p w14:paraId="66FBCE8E">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项目经理</w:t>
            </w:r>
          </w:p>
        </w:tc>
        <w:tc>
          <w:tcPr>
            <w:tcW w:w="6227" w:type="dxa"/>
            <w:vAlign w:val="center"/>
          </w:tcPr>
          <w:p w14:paraId="6530183E">
            <w:pPr>
              <w:adjustRightInd w:val="0"/>
              <w:snapToGrid w:val="0"/>
              <w:spacing w:line="360" w:lineRule="auto"/>
              <w:rPr>
                <w:rFonts w:hint="eastAsia" w:ascii="宋体" w:hAnsi="宋体" w:cs="宋体"/>
                <w:color w:val="auto"/>
                <w:sz w:val="21"/>
                <w:szCs w:val="21"/>
                <w:highlight w:val="none"/>
              </w:rPr>
            </w:pPr>
          </w:p>
        </w:tc>
      </w:tr>
      <w:tr w14:paraId="34F69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32" w:type="dxa"/>
            <w:vAlign w:val="center"/>
          </w:tcPr>
          <w:p w14:paraId="1BAD42C8">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技术负责人</w:t>
            </w:r>
          </w:p>
        </w:tc>
        <w:tc>
          <w:tcPr>
            <w:tcW w:w="6227" w:type="dxa"/>
            <w:vAlign w:val="center"/>
          </w:tcPr>
          <w:p w14:paraId="60E7BAD0">
            <w:pPr>
              <w:adjustRightInd w:val="0"/>
              <w:snapToGrid w:val="0"/>
              <w:spacing w:line="360" w:lineRule="auto"/>
              <w:rPr>
                <w:rFonts w:hint="eastAsia" w:ascii="宋体" w:hAnsi="宋体" w:cs="宋体"/>
                <w:color w:val="auto"/>
                <w:sz w:val="21"/>
                <w:szCs w:val="21"/>
                <w:highlight w:val="none"/>
              </w:rPr>
            </w:pPr>
          </w:p>
        </w:tc>
      </w:tr>
      <w:tr w14:paraId="1F11B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32" w:type="dxa"/>
            <w:vAlign w:val="center"/>
          </w:tcPr>
          <w:p w14:paraId="745E7D80">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c>
          <w:tcPr>
            <w:tcW w:w="6227" w:type="dxa"/>
            <w:vAlign w:val="center"/>
          </w:tcPr>
          <w:p w14:paraId="68019082">
            <w:pPr>
              <w:adjustRightInd w:val="0"/>
              <w:snapToGrid w:val="0"/>
              <w:spacing w:line="360" w:lineRule="auto"/>
              <w:rPr>
                <w:rFonts w:hint="eastAsia" w:ascii="宋体" w:hAnsi="宋体" w:cs="宋体"/>
                <w:color w:val="auto"/>
                <w:sz w:val="21"/>
                <w:szCs w:val="21"/>
                <w:highlight w:val="none"/>
              </w:rPr>
            </w:pPr>
          </w:p>
        </w:tc>
      </w:tr>
    </w:tbl>
    <w:p w14:paraId="04FBB79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47BE288A">
      <w:pPr>
        <w:spacing w:line="360" w:lineRule="auto"/>
        <w:ind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1、本表后附企业业绩证明材料（以中标（成交）通知书或合同协议书或相关证明材料为准），每张表格只填写一个项目，并标明序号。</w:t>
      </w:r>
    </w:p>
    <w:p w14:paraId="6526216E">
      <w:pPr>
        <w:spacing w:line="360" w:lineRule="auto"/>
        <w:ind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2、供应商必须确保所提交的业绩证明材料的真实性，采购人评标结束后有权对成交候选人提交的业绩证明查验其真实性。如发现供应商所报信息不属实或经查实所提交的业绩证明为虚假伪造证明的，除将其取消成交候选人资格外，还将提交建设行政主管部门备案登记不良行为记录</w:t>
      </w:r>
      <w:r>
        <w:rPr>
          <w:rFonts w:hint="eastAsia" w:ascii="宋体" w:hAnsi="宋体" w:cs="宋体"/>
          <w:color w:val="auto"/>
          <w:sz w:val="21"/>
          <w:szCs w:val="21"/>
          <w:highlight w:val="none"/>
          <w:lang w:eastAsia="zh-CN"/>
        </w:rPr>
        <w:t>，并</w:t>
      </w:r>
      <w:r>
        <w:rPr>
          <w:rFonts w:hint="eastAsia" w:ascii="宋体" w:hAnsi="宋体" w:cs="宋体"/>
          <w:color w:val="auto"/>
          <w:sz w:val="21"/>
          <w:szCs w:val="21"/>
          <w:highlight w:val="none"/>
        </w:rPr>
        <w:t>按相关规定进行处罚，供应商自行承担由此造成的一切法律责任。</w:t>
      </w:r>
    </w:p>
    <w:p w14:paraId="02DD5700">
      <w:pPr>
        <w:pStyle w:val="27"/>
        <w:spacing w:line="360" w:lineRule="auto"/>
        <w:ind w:firstLine="420" w:firstLineChars="200"/>
        <w:rPr>
          <w:rFonts w:hint="eastAsia" w:hAnsi="宋体" w:cs="宋体"/>
          <w:color w:val="auto"/>
          <w:highlight w:val="none"/>
        </w:rPr>
      </w:pPr>
    </w:p>
    <w:p w14:paraId="005F4CE8">
      <w:pPr>
        <w:autoSpaceDE w:val="0"/>
        <w:autoSpaceDN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供应商：</w:t>
      </w:r>
      <w:r>
        <w:rPr>
          <w:rFonts w:hint="eastAsia" w:ascii="宋体" w:hAnsi="宋体" w:cs="宋体"/>
          <w:color w:val="auto"/>
          <w:sz w:val="21"/>
          <w:szCs w:val="21"/>
          <w:highlight w:val="none"/>
          <w:u w:val="single"/>
        </w:rPr>
        <w:t xml:space="preserve">                             </w:t>
      </w:r>
      <w:r>
        <w:rPr>
          <w:rFonts w:hint="eastAsia" w:ascii="宋体" w:hAnsi="宋体" w:cs="宋体"/>
          <w:color w:val="auto"/>
          <w:spacing w:val="14"/>
          <w:sz w:val="21"/>
          <w:szCs w:val="21"/>
          <w:highlight w:val="none"/>
        </w:rPr>
        <w:t>（电子签章）</w:t>
      </w:r>
    </w:p>
    <w:p w14:paraId="631612B5">
      <w:pPr>
        <w:autoSpaceDE w:val="0"/>
        <w:autoSpaceDN w:val="0"/>
        <w:adjustRightInd w:val="0"/>
        <w:snapToGrid w:val="0"/>
        <w:spacing w:line="360" w:lineRule="auto"/>
        <w:rPr>
          <w:rFonts w:hint="eastAsia" w:ascii="宋体" w:hAnsi="宋体" w:cs="宋体"/>
          <w:color w:val="auto"/>
          <w:spacing w:val="11"/>
          <w:sz w:val="21"/>
          <w:szCs w:val="21"/>
          <w:highlight w:val="none"/>
        </w:rPr>
      </w:pPr>
      <w:r>
        <w:rPr>
          <w:rFonts w:hint="eastAsia" w:ascii="宋体" w:hAnsi="宋体" w:cs="宋体"/>
          <w:color w:val="auto"/>
          <w:spacing w:val="11"/>
          <w:sz w:val="21"/>
          <w:szCs w:val="21"/>
          <w:highlight w:val="none"/>
        </w:rPr>
        <w:t>法定代表人或其委托代理人：</w:t>
      </w:r>
      <w:r>
        <w:rPr>
          <w:rFonts w:hint="eastAsia" w:ascii="宋体" w:hAnsi="宋体" w:cs="宋体"/>
          <w:color w:val="auto"/>
          <w:spacing w:val="11"/>
          <w:sz w:val="21"/>
          <w:szCs w:val="21"/>
          <w:highlight w:val="none"/>
          <w:u w:val="single"/>
        </w:rPr>
        <w:t xml:space="preserve">       </w:t>
      </w:r>
      <w:r>
        <w:rPr>
          <w:rFonts w:hint="eastAsia" w:ascii="宋体" w:hAnsi="宋体" w:cs="宋体"/>
          <w:color w:val="auto"/>
          <w:spacing w:val="11"/>
          <w:sz w:val="21"/>
          <w:szCs w:val="21"/>
          <w:highlight w:val="none"/>
        </w:rPr>
        <w:t>（</w:t>
      </w:r>
      <w:r>
        <w:rPr>
          <w:rFonts w:hint="eastAsia" w:ascii="宋体" w:hAnsi="宋体" w:cs="宋体"/>
          <w:color w:val="auto"/>
          <w:spacing w:val="14"/>
          <w:sz w:val="21"/>
          <w:szCs w:val="21"/>
          <w:highlight w:val="none"/>
        </w:rPr>
        <w:t>电子签章</w:t>
      </w:r>
      <w:r>
        <w:rPr>
          <w:rFonts w:hint="eastAsia" w:ascii="宋体" w:hAnsi="宋体" w:cs="宋体"/>
          <w:color w:val="auto"/>
          <w:spacing w:val="11"/>
          <w:sz w:val="21"/>
          <w:szCs w:val="21"/>
          <w:highlight w:val="none"/>
        </w:rPr>
        <w:t>）</w:t>
      </w:r>
    </w:p>
    <w:p w14:paraId="60D8A3F4">
      <w:pPr>
        <w:spacing w:line="360" w:lineRule="auto"/>
        <w:rPr>
          <w:rFonts w:hint="eastAsia" w:ascii="宋体" w:hAnsi="宋体" w:cs="宋体"/>
          <w:color w:val="auto"/>
          <w:sz w:val="24"/>
          <w:szCs w:val="24"/>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highlight w:val="none"/>
        </w:rPr>
        <w:t xml:space="preserve"> </w:t>
      </w:r>
    </w:p>
    <w:p w14:paraId="7216C165">
      <w:pPr>
        <w:pStyle w:val="243"/>
        <w:spacing w:line="360" w:lineRule="auto"/>
        <w:ind w:firstLine="420" w:firstLineChars="200"/>
        <w:rPr>
          <w:rFonts w:hint="eastAsia" w:ascii="宋体" w:hAnsi="宋体" w:cs="宋体"/>
          <w:b w:val="0"/>
          <w:color w:val="auto"/>
          <w:kern w:val="2"/>
          <w:sz w:val="21"/>
          <w:highlight w:val="none"/>
        </w:rPr>
      </w:pPr>
    </w:p>
    <w:p w14:paraId="6E064643">
      <w:pPr>
        <w:pStyle w:val="5"/>
        <w:spacing w:line="360" w:lineRule="auto"/>
        <w:rPr>
          <w:rFonts w:hint="eastAsia" w:ascii="宋体" w:hAnsi="宋体" w:cs="宋体"/>
          <w:color w:val="auto"/>
          <w:highlight w:val="none"/>
        </w:rPr>
      </w:pPr>
    </w:p>
    <w:p w14:paraId="01C25AE0">
      <w:pPr>
        <w:pStyle w:val="5"/>
        <w:spacing w:line="360" w:lineRule="auto"/>
        <w:rPr>
          <w:rFonts w:hint="eastAsia" w:ascii="宋体" w:hAnsi="宋体" w:cs="宋体"/>
          <w:color w:val="auto"/>
          <w:highlight w:val="none"/>
        </w:rPr>
      </w:pPr>
    </w:p>
    <w:p w14:paraId="1824F175">
      <w:pPr>
        <w:pStyle w:val="3"/>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bookmarkStart w:id="1243" w:name="_Toc375780231"/>
      <w:bookmarkStart w:id="1244" w:name="_Toc24944"/>
      <w:bookmarkStart w:id="1245" w:name="_Toc9440"/>
      <w:bookmarkStart w:id="1246" w:name="_Toc179912285"/>
      <w:bookmarkStart w:id="1247" w:name="_Toc29936"/>
      <w:r>
        <w:rPr>
          <w:rFonts w:hint="eastAsia" w:ascii="宋体" w:hAnsi="宋体" w:eastAsia="宋体" w:cs="宋体"/>
          <w:color w:val="auto"/>
          <w:highlight w:val="none"/>
        </w:rPr>
        <w:t>三、报价</w:t>
      </w:r>
      <w:bookmarkEnd w:id="1243"/>
      <w:bookmarkEnd w:id="1244"/>
      <w:bookmarkEnd w:id="1245"/>
      <w:r>
        <w:rPr>
          <w:rFonts w:hint="eastAsia" w:ascii="宋体" w:hAnsi="宋体" w:eastAsia="宋体" w:cs="宋体"/>
          <w:color w:val="auto"/>
          <w:highlight w:val="none"/>
        </w:rPr>
        <w:t>文件</w:t>
      </w:r>
      <w:bookmarkEnd w:id="1246"/>
      <w:bookmarkEnd w:id="1247"/>
    </w:p>
    <w:p w14:paraId="0BA01DBF">
      <w:pPr>
        <w:pStyle w:val="4"/>
        <w:numPr>
          <w:ilvl w:val="0"/>
          <w:numId w:val="0"/>
        </w:numPr>
        <w:tabs>
          <w:tab w:val="left" w:pos="720"/>
        </w:tabs>
        <w:spacing w:before="0" w:after="0"/>
        <w:rPr>
          <w:rFonts w:hint="eastAsia" w:ascii="宋体" w:hAnsi="宋体" w:cs="宋体"/>
          <w:color w:val="auto"/>
          <w:highlight w:val="none"/>
        </w:rPr>
      </w:pPr>
      <w:bookmarkStart w:id="1248" w:name="_Toc9339"/>
      <w:bookmarkStart w:id="1249" w:name="_Toc25106"/>
      <w:bookmarkStart w:id="1250" w:name="_Toc479761826"/>
      <w:bookmarkStart w:id="1251" w:name="_Toc179912283"/>
      <w:bookmarkStart w:id="1252" w:name="_Toc17183"/>
      <w:bookmarkStart w:id="1253" w:name="_Toc144974858"/>
      <w:bookmarkStart w:id="1254" w:name="_Toc296602603"/>
      <w:bookmarkStart w:id="1255" w:name="_Toc5348"/>
      <w:bookmarkStart w:id="1256" w:name="_Toc152045789"/>
      <w:bookmarkStart w:id="1257" w:name="_Toc366262537"/>
      <w:bookmarkStart w:id="1258" w:name="_Toc22583"/>
      <w:bookmarkStart w:id="1259" w:name="_Toc31952"/>
      <w:bookmarkStart w:id="1260" w:name="_Toc246996357"/>
      <w:bookmarkStart w:id="1261" w:name="_Toc152042578"/>
      <w:bookmarkStart w:id="1262" w:name="_Toc247085875"/>
      <w:bookmarkStart w:id="1263" w:name="_Toc246997100"/>
      <w:bookmarkStart w:id="1264" w:name="_Toc375780232"/>
      <w:bookmarkStart w:id="1265" w:name="_Toc179632809"/>
      <w:bookmarkStart w:id="1266" w:name="_Toc179912286"/>
      <w:r>
        <w:rPr>
          <w:rFonts w:hint="eastAsia" w:ascii="宋体" w:hAnsi="宋体" w:cs="宋体"/>
          <w:color w:val="auto"/>
          <w:highlight w:val="none"/>
        </w:rPr>
        <w:t>1.报价一览表</w:t>
      </w:r>
      <w:bookmarkEnd w:id="1248"/>
      <w:bookmarkEnd w:id="1249"/>
      <w:bookmarkEnd w:id="1250"/>
      <w:bookmarkEnd w:id="1251"/>
      <w:bookmarkEnd w:id="1252"/>
    </w:p>
    <w:p w14:paraId="38D8D02D">
      <w:pPr>
        <w:pStyle w:val="5"/>
        <w:spacing w:line="360" w:lineRule="auto"/>
        <w:ind w:firstLine="0"/>
        <w:rPr>
          <w:rFonts w:hint="eastAsia" w:ascii="宋体" w:hAnsi="宋体" w:cs="宋体"/>
          <w:color w:val="auto"/>
          <w:highlight w:val="none"/>
        </w:rPr>
      </w:pPr>
      <w:r>
        <w:rPr>
          <w:rFonts w:hint="eastAsia" w:ascii="宋体" w:hAnsi="宋体" w:cs="宋体"/>
          <w:color w:val="auto"/>
          <w:highlight w:val="none"/>
        </w:rPr>
        <w:t>项目名称：</w:t>
      </w:r>
    </w:p>
    <w:p w14:paraId="55582EBE">
      <w:pPr>
        <w:pStyle w:val="49"/>
        <w:spacing w:after="0" w:line="360" w:lineRule="auto"/>
        <w:ind w:left="0" w:firstLine="0" w:firstLineChars="0"/>
        <w:rPr>
          <w:rFonts w:hint="eastAsia" w:ascii="宋体" w:hAnsi="宋体" w:cs="宋体"/>
          <w:color w:val="auto"/>
          <w:highlight w:val="none"/>
        </w:rPr>
      </w:pPr>
      <w:r>
        <w:rPr>
          <w:rFonts w:hint="eastAsia" w:ascii="宋体" w:hAnsi="宋体" w:cs="宋体"/>
          <w:color w:val="auto"/>
          <w:highlight w:val="none"/>
        </w:rPr>
        <w:t>项目编号：</w:t>
      </w:r>
    </w:p>
    <w:tbl>
      <w:tblPr>
        <w:tblStyle w:val="50"/>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155"/>
        <w:gridCol w:w="4819"/>
        <w:gridCol w:w="1007"/>
      </w:tblGrid>
      <w:tr w14:paraId="5C71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01" w:type="dxa"/>
            <w:vAlign w:val="center"/>
          </w:tcPr>
          <w:p w14:paraId="310A21DD">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2155" w:type="dxa"/>
            <w:vAlign w:val="center"/>
          </w:tcPr>
          <w:p w14:paraId="67AF17F7">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w:t>
            </w:r>
          </w:p>
        </w:tc>
        <w:tc>
          <w:tcPr>
            <w:tcW w:w="4819" w:type="dxa"/>
            <w:vAlign w:val="center"/>
          </w:tcPr>
          <w:p w14:paraId="22003FCC">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内容</w:t>
            </w:r>
          </w:p>
        </w:tc>
        <w:tc>
          <w:tcPr>
            <w:tcW w:w="1007" w:type="dxa"/>
            <w:vAlign w:val="center"/>
          </w:tcPr>
          <w:p w14:paraId="2E28A04C">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r>
      <w:tr w14:paraId="4236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101" w:type="dxa"/>
            <w:vAlign w:val="center"/>
          </w:tcPr>
          <w:p w14:paraId="476D936D">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155" w:type="dxa"/>
            <w:vAlign w:val="center"/>
          </w:tcPr>
          <w:p w14:paraId="2753612A">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磋商总报价（元）</w:t>
            </w:r>
          </w:p>
        </w:tc>
        <w:tc>
          <w:tcPr>
            <w:tcW w:w="4819" w:type="dxa"/>
            <w:vAlign w:val="center"/>
          </w:tcPr>
          <w:p w14:paraId="66C2A08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大写：</w:t>
            </w:r>
          </w:p>
          <w:p w14:paraId="4F816DA8">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小写：</w:t>
            </w:r>
          </w:p>
        </w:tc>
        <w:tc>
          <w:tcPr>
            <w:tcW w:w="1007" w:type="dxa"/>
            <w:vAlign w:val="center"/>
          </w:tcPr>
          <w:p w14:paraId="575C481D">
            <w:pPr>
              <w:spacing w:line="360" w:lineRule="auto"/>
              <w:rPr>
                <w:rFonts w:hint="eastAsia" w:ascii="宋体" w:hAnsi="宋体" w:cs="宋体"/>
                <w:color w:val="auto"/>
                <w:sz w:val="21"/>
                <w:szCs w:val="21"/>
                <w:highlight w:val="none"/>
              </w:rPr>
            </w:pPr>
          </w:p>
        </w:tc>
      </w:tr>
      <w:tr w14:paraId="58A4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01" w:type="dxa"/>
            <w:vAlign w:val="center"/>
          </w:tcPr>
          <w:p w14:paraId="7D6357BE">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155" w:type="dxa"/>
            <w:vAlign w:val="center"/>
          </w:tcPr>
          <w:p w14:paraId="1BE0C60E">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合同履行期限</w:t>
            </w:r>
          </w:p>
        </w:tc>
        <w:tc>
          <w:tcPr>
            <w:tcW w:w="4819" w:type="dxa"/>
            <w:vAlign w:val="center"/>
          </w:tcPr>
          <w:p w14:paraId="5074F129">
            <w:pPr>
              <w:spacing w:line="360" w:lineRule="auto"/>
              <w:jc w:val="center"/>
              <w:rPr>
                <w:rFonts w:hint="eastAsia" w:ascii="宋体" w:hAnsi="宋体" w:cs="宋体"/>
                <w:color w:val="auto"/>
                <w:sz w:val="21"/>
                <w:szCs w:val="21"/>
                <w:highlight w:val="none"/>
              </w:rPr>
            </w:pPr>
          </w:p>
        </w:tc>
        <w:tc>
          <w:tcPr>
            <w:tcW w:w="1007" w:type="dxa"/>
            <w:vAlign w:val="center"/>
          </w:tcPr>
          <w:p w14:paraId="318A75FD">
            <w:pPr>
              <w:spacing w:line="360" w:lineRule="auto"/>
              <w:jc w:val="center"/>
              <w:rPr>
                <w:rFonts w:hint="eastAsia" w:ascii="宋体" w:hAnsi="宋体" w:cs="宋体"/>
                <w:color w:val="auto"/>
                <w:sz w:val="21"/>
                <w:szCs w:val="21"/>
                <w:highlight w:val="none"/>
              </w:rPr>
            </w:pPr>
          </w:p>
        </w:tc>
      </w:tr>
      <w:tr w14:paraId="6D27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vAlign w:val="center"/>
          </w:tcPr>
          <w:p w14:paraId="1E7EBC66">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155" w:type="dxa"/>
            <w:vAlign w:val="center"/>
          </w:tcPr>
          <w:p w14:paraId="640145B4">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质量承诺</w:t>
            </w:r>
          </w:p>
        </w:tc>
        <w:tc>
          <w:tcPr>
            <w:tcW w:w="4819" w:type="dxa"/>
            <w:vAlign w:val="center"/>
          </w:tcPr>
          <w:p w14:paraId="4A9288CF">
            <w:pPr>
              <w:spacing w:line="360" w:lineRule="auto"/>
              <w:jc w:val="center"/>
              <w:rPr>
                <w:rFonts w:hint="eastAsia" w:ascii="宋体" w:hAnsi="宋体" w:cs="宋体"/>
                <w:color w:val="auto"/>
                <w:sz w:val="21"/>
                <w:szCs w:val="21"/>
                <w:highlight w:val="none"/>
              </w:rPr>
            </w:pPr>
          </w:p>
        </w:tc>
        <w:tc>
          <w:tcPr>
            <w:tcW w:w="1007" w:type="dxa"/>
            <w:vAlign w:val="center"/>
          </w:tcPr>
          <w:p w14:paraId="7F68BF16">
            <w:pPr>
              <w:spacing w:line="360" w:lineRule="auto"/>
              <w:jc w:val="center"/>
              <w:rPr>
                <w:rFonts w:hint="eastAsia" w:ascii="宋体" w:hAnsi="宋体" w:cs="宋体"/>
                <w:color w:val="auto"/>
                <w:sz w:val="21"/>
                <w:szCs w:val="21"/>
                <w:highlight w:val="none"/>
              </w:rPr>
            </w:pPr>
          </w:p>
        </w:tc>
      </w:tr>
      <w:tr w14:paraId="68BA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vAlign w:val="center"/>
          </w:tcPr>
          <w:p w14:paraId="0DDCBAED">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2155" w:type="dxa"/>
            <w:vAlign w:val="center"/>
          </w:tcPr>
          <w:p w14:paraId="444D9499">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项目经理</w:t>
            </w:r>
          </w:p>
        </w:tc>
        <w:tc>
          <w:tcPr>
            <w:tcW w:w="4819" w:type="dxa"/>
            <w:vAlign w:val="center"/>
          </w:tcPr>
          <w:p w14:paraId="42078963">
            <w:pPr>
              <w:spacing w:line="360" w:lineRule="auto"/>
              <w:rPr>
                <w:rFonts w:hint="eastAsia" w:ascii="宋体" w:hAnsi="宋体" w:cs="宋体"/>
                <w:color w:val="auto"/>
                <w:sz w:val="21"/>
                <w:szCs w:val="21"/>
                <w:highlight w:val="none"/>
              </w:rPr>
            </w:pPr>
          </w:p>
        </w:tc>
        <w:tc>
          <w:tcPr>
            <w:tcW w:w="1007" w:type="dxa"/>
            <w:vAlign w:val="center"/>
          </w:tcPr>
          <w:p w14:paraId="6EB621A7">
            <w:pPr>
              <w:spacing w:line="360" w:lineRule="auto"/>
              <w:jc w:val="center"/>
              <w:rPr>
                <w:rFonts w:hint="eastAsia" w:ascii="宋体" w:hAnsi="宋体" w:cs="宋体"/>
                <w:color w:val="auto"/>
                <w:sz w:val="21"/>
                <w:szCs w:val="21"/>
                <w:highlight w:val="none"/>
              </w:rPr>
            </w:pPr>
          </w:p>
        </w:tc>
      </w:tr>
      <w:tr w14:paraId="2DF8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vAlign w:val="center"/>
          </w:tcPr>
          <w:p w14:paraId="364574DA">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2155" w:type="dxa"/>
            <w:vAlign w:val="center"/>
          </w:tcPr>
          <w:p w14:paraId="366E3EF2">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技术负责人</w:t>
            </w:r>
          </w:p>
        </w:tc>
        <w:tc>
          <w:tcPr>
            <w:tcW w:w="4819" w:type="dxa"/>
            <w:vAlign w:val="center"/>
          </w:tcPr>
          <w:p w14:paraId="486D2CEF">
            <w:pPr>
              <w:spacing w:line="360" w:lineRule="auto"/>
              <w:rPr>
                <w:rFonts w:hint="eastAsia" w:ascii="宋体" w:hAnsi="宋体" w:cs="宋体"/>
                <w:color w:val="auto"/>
                <w:sz w:val="21"/>
                <w:szCs w:val="21"/>
                <w:highlight w:val="none"/>
              </w:rPr>
            </w:pPr>
          </w:p>
        </w:tc>
        <w:tc>
          <w:tcPr>
            <w:tcW w:w="1007" w:type="dxa"/>
            <w:vAlign w:val="center"/>
          </w:tcPr>
          <w:p w14:paraId="137C51AC">
            <w:pPr>
              <w:spacing w:line="360" w:lineRule="auto"/>
              <w:jc w:val="center"/>
              <w:rPr>
                <w:rFonts w:hint="eastAsia" w:ascii="宋体" w:hAnsi="宋体" w:cs="宋体"/>
                <w:color w:val="auto"/>
                <w:sz w:val="21"/>
                <w:szCs w:val="21"/>
                <w:highlight w:val="none"/>
              </w:rPr>
            </w:pPr>
          </w:p>
        </w:tc>
      </w:tr>
      <w:tr w14:paraId="5DE5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vAlign w:val="center"/>
          </w:tcPr>
          <w:p w14:paraId="7040E6D7">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2155" w:type="dxa"/>
            <w:vAlign w:val="center"/>
          </w:tcPr>
          <w:p w14:paraId="5CA0B224">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c>
          <w:tcPr>
            <w:tcW w:w="4819" w:type="dxa"/>
            <w:vAlign w:val="center"/>
          </w:tcPr>
          <w:p w14:paraId="5601E4FB">
            <w:pPr>
              <w:spacing w:line="360" w:lineRule="auto"/>
              <w:jc w:val="center"/>
              <w:rPr>
                <w:rFonts w:hint="eastAsia" w:ascii="宋体" w:hAnsi="宋体" w:cs="宋体"/>
                <w:color w:val="auto"/>
                <w:sz w:val="21"/>
                <w:szCs w:val="21"/>
                <w:highlight w:val="none"/>
              </w:rPr>
            </w:pPr>
          </w:p>
        </w:tc>
        <w:tc>
          <w:tcPr>
            <w:tcW w:w="1007" w:type="dxa"/>
            <w:vAlign w:val="center"/>
          </w:tcPr>
          <w:p w14:paraId="28D068E1">
            <w:pPr>
              <w:spacing w:line="360" w:lineRule="auto"/>
              <w:jc w:val="center"/>
              <w:rPr>
                <w:rFonts w:hint="eastAsia" w:ascii="宋体" w:hAnsi="宋体" w:cs="宋体"/>
                <w:color w:val="auto"/>
                <w:sz w:val="21"/>
                <w:szCs w:val="21"/>
                <w:highlight w:val="none"/>
              </w:rPr>
            </w:pPr>
          </w:p>
        </w:tc>
      </w:tr>
    </w:tbl>
    <w:p w14:paraId="3C10F9FE">
      <w:pPr>
        <w:spacing w:line="360" w:lineRule="auto"/>
        <w:rPr>
          <w:rFonts w:hint="eastAsia" w:ascii="宋体" w:hAnsi="宋体" w:cs="宋体"/>
          <w:color w:val="auto"/>
          <w:sz w:val="21"/>
          <w:szCs w:val="21"/>
          <w:highlight w:val="none"/>
        </w:rPr>
      </w:pPr>
    </w:p>
    <w:p w14:paraId="2559435D">
      <w:pPr>
        <w:spacing w:line="360" w:lineRule="auto"/>
        <w:jc w:val="center"/>
        <w:rPr>
          <w:rFonts w:hint="eastAsia" w:ascii="宋体" w:hAnsi="宋体" w:cs="宋体"/>
          <w:color w:val="auto"/>
          <w:sz w:val="21"/>
          <w:szCs w:val="21"/>
          <w:highlight w:val="none"/>
        </w:rPr>
      </w:pPr>
    </w:p>
    <w:p w14:paraId="1BA8217E">
      <w:pPr>
        <w:spacing w:line="360" w:lineRule="auto"/>
        <w:jc w:val="center"/>
        <w:rPr>
          <w:rFonts w:hint="eastAsia" w:ascii="宋体" w:hAnsi="宋体" w:cs="宋体"/>
          <w:color w:val="auto"/>
          <w:sz w:val="21"/>
          <w:szCs w:val="21"/>
          <w:highlight w:val="none"/>
        </w:rPr>
      </w:pPr>
    </w:p>
    <w:p w14:paraId="286D9980">
      <w:pPr>
        <w:autoSpaceDE w:val="0"/>
        <w:autoSpaceDN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供应商：</w:t>
      </w:r>
      <w:r>
        <w:rPr>
          <w:rFonts w:hint="eastAsia" w:ascii="宋体" w:hAnsi="宋体" w:cs="宋体"/>
          <w:color w:val="auto"/>
          <w:sz w:val="21"/>
          <w:szCs w:val="21"/>
          <w:highlight w:val="none"/>
          <w:u w:val="single"/>
        </w:rPr>
        <w:t xml:space="preserve">                                        </w:t>
      </w:r>
      <w:r>
        <w:rPr>
          <w:rFonts w:hint="eastAsia" w:ascii="宋体" w:hAnsi="宋体" w:cs="宋体"/>
          <w:color w:val="auto"/>
          <w:spacing w:val="14"/>
          <w:sz w:val="21"/>
          <w:szCs w:val="21"/>
          <w:highlight w:val="none"/>
        </w:rPr>
        <w:t>（电子签章）</w:t>
      </w:r>
    </w:p>
    <w:p w14:paraId="4E1BA258">
      <w:pPr>
        <w:autoSpaceDE w:val="0"/>
        <w:autoSpaceDN w:val="0"/>
        <w:adjustRightInd w:val="0"/>
        <w:snapToGrid w:val="0"/>
        <w:spacing w:line="360" w:lineRule="auto"/>
        <w:rPr>
          <w:rFonts w:hint="eastAsia" w:ascii="宋体" w:hAnsi="宋体" w:cs="宋体"/>
          <w:color w:val="auto"/>
          <w:spacing w:val="11"/>
          <w:sz w:val="21"/>
          <w:szCs w:val="21"/>
          <w:highlight w:val="none"/>
        </w:rPr>
      </w:pPr>
      <w:r>
        <w:rPr>
          <w:rFonts w:hint="eastAsia" w:ascii="宋体" w:hAnsi="宋体" w:cs="宋体"/>
          <w:color w:val="auto"/>
          <w:spacing w:val="11"/>
          <w:sz w:val="21"/>
          <w:szCs w:val="21"/>
          <w:highlight w:val="none"/>
        </w:rPr>
        <w:t>法定代表人或其委托代理人：</w:t>
      </w:r>
      <w:r>
        <w:rPr>
          <w:rFonts w:hint="eastAsia" w:ascii="宋体" w:hAnsi="宋体" w:cs="宋体"/>
          <w:color w:val="auto"/>
          <w:spacing w:val="11"/>
          <w:sz w:val="21"/>
          <w:szCs w:val="21"/>
          <w:highlight w:val="none"/>
          <w:u w:val="single"/>
        </w:rPr>
        <w:t xml:space="preserve">                 </w:t>
      </w:r>
      <w:r>
        <w:rPr>
          <w:rFonts w:hint="eastAsia" w:ascii="宋体" w:hAnsi="宋体" w:cs="宋体"/>
          <w:color w:val="auto"/>
          <w:spacing w:val="11"/>
          <w:sz w:val="21"/>
          <w:szCs w:val="21"/>
          <w:highlight w:val="none"/>
        </w:rPr>
        <w:t>（电子签章）</w:t>
      </w:r>
    </w:p>
    <w:p w14:paraId="54F11F71">
      <w:pPr>
        <w:spacing w:line="360" w:lineRule="auto"/>
        <w:rPr>
          <w:rFonts w:hint="eastAsia" w:ascii="宋体" w:hAnsi="宋体" w:cs="宋体"/>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45347C27">
      <w:pPr>
        <w:rPr>
          <w:rFonts w:hint="eastAsia" w:ascii="宋体" w:hAnsi="宋体" w:cs="宋体"/>
          <w:color w:val="auto"/>
          <w:highlight w:val="none"/>
          <w:lang w:val="en-US" w:eastAsia="zh-CN"/>
        </w:rPr>
      </w:pPr>
      <w:r>
        <w:rPr>
          <w:rFonts w:hint="eastAsia" w:ascii="宋体" w:hAnsi="宋体" w:cs="宋体"/>
          <w:color w:val="auto"/>
          <w:highlight w:val="none"/>
          <w:lang w:val="en-US" w:eastAsia="zh-CN"/>
        </w:rPr>
        <w:br w:type="page"/>
      </w:r>
    </w:p>
    <w:p w14:paraId="5C4FE42E">
      <w:pPr>
        <w:pStyle w:val="4"/>
        <w:numPr>
          <w:ilvl w:val="0"/>
          <w:numId w:val="0"/>
        </w:numPr>
        <w:tabs>
          <w:tab w:val="left" w:pos="720"/>
        </w:tabs>
        <w:spacing w:before="0" w:after="0"/>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.报价函</w:t>
      </w:r>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14:paraId="7FF19EE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采购人名称）：</w:t>
      </w:r>
    </w:p>
    <w:p w14:paraId="736A478E">
      <w:pPr>
        <w:autoSpaceDE w:val="0"/>
        <w:autoSpaceDN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我方已仔细研究了</w:t>
      </w:r>
      <w:r>
        <w:rPr>
          <w:rFonts w:hint="eastAsia" w:ascii="宋体" w:hAnsi="宋体" w:cs="宋体"/>
          <w:color w:val="auto"/>
          <w:sz w:val="21"/>
          <w:szCs w:val="21"/>
          <w:highlight w:val="none"/>
          <w:u w:val="single"/>
        </w:rPr>
        <w:t xml:space="preserve">              （项目名称）        </w:t>
      </w:r>
      <w:r>
        <w:rPr>
          <w:rFonts w:hint="eastAsia" w:ascii="宋体" w:hAnsi="宋体" w:cs="宋体"/>
          <w:color w:val="auto"/>
          <w:sz w:val="21"/>
          <w:szCs w:val="21"/>
          <w:highlight w:val="none"/>
        </w:rPr>
        <w:t xml:space="preserve">竞争性磋商文件的全部内容，且对竞争性磋商文件无任何异议，并愿意以最后磋商报价，向你方提供竞争性磋商文件要求的工程。 </w:t>
      </w:r>
    </w:p>
    <w:p w14:paraId="4F47F69D">
      <w:pPr>
        <w:widowControl w:val="0"/>
        <w:tabs>
          <w:tab w:val="left" w:pos="312"/>
        </w:tabs>
        <w:autoSpaceDE w:val="0"/>
        <w:autoSpaceDN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1.我方承诺在磋商有效期内不修改或撤销响应文件。</w:t>
      </w:r>
    </w:p>
    <w:p w14:paraId="16CCD1C2">
      <w:pPr>
        <w:autoSpaceDE w:val="0"/>
        <w:autoSpaceDN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2.本磋商的磋商有效期为自响应文件递交截止之日起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个日历天。</w:t>
      </w:r>
    </w:p>
    <w:p w14:paraId="4A97C875">
      <w:pPr>
        <w:pStyle w:val="21"/>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3.我方承诺所提交的响应文件及有关资料是完整的、真实的、准确的和有效的，否则，我方承担由此造成的任何损失及引起的任何后果。</w:t>
      </w:r>
    </w:p>
    <w:p w14:paraId="3BF20732">
      <w:pPr>
        <w:autoSpaceDE w:val="0"/>
        <w:autoSpaceDN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4．如我方成交：</w:t>
      </w:r>
    </w:p>
    <w:p w14:paraId="4F0AE912">
      <w:pPr>
        <w:autoSpaceDE w:val="0"/>
        <w:autoSpaceDN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（1）我方承诺在收到成交通知书后，在成交通知书规定的期限内与你方签订合同。</w:t>
      </w:r>
    </w:p>
    <w:p w14:paraId="709C448F">
      <w:pPr>
        <w:autoSpaceDE w:val="0"/>
        <w:autoSpaceDN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（2）我方承诺按照竞争性磋商文件规定向你方递交履约保证金。</w:t>
      </w:r>
    </w:p>
    <w:p w14:paraId="35FF06CE">
      <w:pPr>
        <w:autoSpaceDE w:val="0"/>
        <w:autoSpaceDN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（3）我方承诺按合同约定的工期和地点，按竞争性磋商文件要求完成工程。</w:t>
      </w:r>
    </w:p>
    <w:p w14:paraId="13B4D332">
      <w:pPr>
        <w:autoSpaceDE w:val="0"/>
        <w:autoSpaceDN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其他补充说明）。</w:t>
      </w:r>
    </w:p>
    <w:p w14:paraId="1B16EE26">
      <w:pPr>
        <w:spacing w:line="360" w:lineRule="auto"/>
        <w:ind w:firstLine="3324" w:firstLineChars="1583"/>
        <w:rPr>
          <w:rFonts w:hint="eastAsia" w:ascii="宋体" w:hAnsi="宋体" w:cs="宋体"/>
          <w:color w:val="auto"/>
          <w:sz w:val="21"/>
          <w:szCs w:val="21"/>
          <w:highlight w:val="none"/>
        </w:rPr>
      </w:pPr>
    </w:p>
    <w:p w14:paraId="59BAD82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 应 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（电子签章）</w:t>
      </w:r>
    </w:p>
    <w:p w14:paraId="7002704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（电子签章）</w:t>
      </w:r>
    </w:p>
    <w:p w14:paraId="2899810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p>
    <w:p w14:paraId="23F69B9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r>
        <w:rPr>
          <w:rFonts w:hint="eastAsia" w:ascii="宋体" w:hAnsi="宋体" w:cs="宋体"/>
          <w:color w:val="auto"/>
          <w:sz w:val="21"/>
          <w:szCs w:val="21"/>
          <w:highlight w:val="none"/>
          <w:u w:val="single"/>
        </w:rPr>
        <w:t xml:space="preserve">                                     </w:t>
      </w:r>
    </w:p>
    <w:p w14:paraId="46BAD6D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r>
        <w:rPr>
          <w:rFonts w:hint="eastAsia" w:ascii="宋体" w:hAnsi="宋体" w:cs="宋体"/>
          <w:color w:val="auto"/>
          <w:sz w:val="21"/>
          <w:szCs w:val="21"/>
          <w:highlight w:val="none"/>
          <w:u w:val="single"/>
        </w:rPr>
        <w:t xml:space="preserve">                                     </w:t>
      </w:r>
    </w:p>
    <w:p w14:paraId="08D1467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邮政编码：</w:t>
      </w:r>
      <w:r>
        <w:rPr>
          <w:rFonts w:hint="eastAsia" w:ascii="宋体" w:hAnsi="宋体" w:cs="宋体"/>
          <w:color w:val="auto"/>
          <w:sz w:val="21"/>
          <w:szCs w:val="21"/>
          <w:highlight w:val="none"/>
          <w:u w:val="single"/>
        </w:rPr>
        <w:t xml:space="preserve">                                 </w:t>
      </w:r>
    </w:p>
    <w:p w14:paraId="5F89BBFE">
      <w:pPr>
        <w:spacing w:line="360" w:lineRule="auto"/>
        <w:ind w:firstLine="420" w:firstLineChars="200"/>
        <w:rPr>
          <w:rFonts w:hint="eastAsia" w:ascii="宋体" w:hAnsi="宋体" w:cs="宋体"/>
          <w:color w:val="auto"/>
          <w:sz w:val="24"/>
          <w:szCs w:val="24"/>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41FDDAE9">
      <w:pPr>
        <w:spacing w:line="360" w:lineRule="auto"/>
        <w:rPr>
          <w:rFonts w:hint="eastAsia" w:ascii="宋体" w:hAnsi="宋体" w:cs="宋体"/>
          <w:color w:val="auto"/>
          <w:sz w:val="24"/>
          <w:szCs w:val="24"/>
          <w:highlight w:val="none"/>
        </w:rPr>
      </w:pPr>
    </w:p>
    <w:p w14:paraId="42C3FC1A">
      <w:pPr>
        <w:pStyle w:val="27"/>
        <w:spacing w:line="360" w:lineRule="auto"/>
        <w:ind w:firstLine="420" w:firstLineChars="200"/>
        <w:rPr>
          <w:rFonts w:hint="eastAsia" w:hAnsi="宋体" w:cs="宋体"/>
          <w:color w:val="auto"/>
          <w:highlight w:val="none"/>
        </w:rPr>
      </w:pPr>
      <w:r>
        <w:rPr>
          <w:rFonts w:hint="eastAsia" w:hAnsi="宋体" w:cs="宋体"/>
          <w:color w:val="auto"/>
          <w:highlight w:val="none"/>
        </w:rPr>
        <w:br w:type="page"/>
      </w:r>
    </w:p>
    <w:p w14:paraId="73AB5B04">
      <w:pPr>
        <w:pStyle w:val="4"/>
        <w:numPr>
          <w:ilvl w:val="0"/>
          <w:numId w:val="0"/>
        </w:numPr>
        <w:tabs>
          <w:tab w:val="left" w:pos="720"/>
        </w:tabs>
        <w:spacing w:before="0" w:after="0"/>
        <w:rPr>
          <w:rFonts w:hint="eastAsia" w:ascii="宋体" w:hAnsi="宋体" w:cs="宋体"/>
          <w:color w:val="auto"/>
          <w:highlight w:val="none"/>
        </w:rPr>
      </w:pPr>
      <w:bookmarkStart w:id="1267" w:name="_Toc7886"/>
      <w:bookmarkStart w:id="1268" w:name="_Toc90"/>
      <w:bookmarkStart w:id="1269" w:name="_Toc179912287"/>
      <w:bookmarkStart w:id="1270" w:name="_Toc375780234"/>
      <w:bookmarkStart w:id="1271" w:name="_Toc31200"/>
      <w:r>
        <w:rPr>
          <w:rFonts w:hint="eastAsia" w:ascii="宋体" w:hAnsi="宋体" w:cs="宋体"/>
          <w:color w:val="auto"/>
          <w:highlight w:val="none"/>
          <w:lang w:val="en-US" w:eastAsia="zh-CN"/>
        </w:rPr>
        <w:t>3</w:t>
      </w:r>
      <w:r>
        <w:rPr>
          <w:rFonts w:hint="eastAsia" w:ascii="宋体" w:hAnsi="宋体" w:cs="宋体"/>
          <w:color w:val="auto"/>
          <w:highlight w:val="none"/>
        </w:rPr>
        <w:t>.法定代表人身份证明书</w:t>
      </w:r>
      <w:bookmarkEnd w:id="1267"/>
      <w:bookmarkEnd w:id="1268"/>
      <w:bookmarkEnd w:id="1269"/>
      <w:bookmarkEnd w:id="1270"/>
      <w:bookmarkEnd w:id="1271"/>
    </w:p>
    <w:p w14:paraId="0FCFA609">
      <w:pPr>
        <w:spacing w:line="360" w:lineRule="auto"/>
        <w:ind w:firstLine="42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单位名称：</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p>
    <w:p w14:paraId="2C216B3B">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单位性质：</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p>
    <w:p w14:paraId="191B869C">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p>
    <w:p w14:paraId="5007CFC9">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成立时间：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56BB25F0">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经营期限：</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p>
    <w:p w14:paraId="64AB52CF">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姓    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性别：</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年龄：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职务：</w:t>
      </w:r>
      <w:r>
        <w:rPr>
          <w:rFonts w:hint="eastAsia" w:ascii="宋体" w:hAnsi="宋体" w:cs="宋体"/>
          <w:color w:val="auto"/>
          <w:sz w:val="21"/>
          <w:szCs w:val="21"/>
          <w:highlight w:val="none"/>
          <w:u w:val="single"/>
        </w:rPr>
        <w:t xml:space="preserve">       </w:t>
      </w:r>
    </w:p>
    <w:p w14:paraId="1B94BB40">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系</w:t>
      </w:r>
      <w:r>
        <w:rPr>
          <w:rFonts w:hint="eastAsia" w:ascii="宋体" w:hAnsi="宋体" w:cs="宋体"/>
          <w:color w:val="auto"/>
          <w:sz w:val="21"/>
          <w:szCs w:val="21"/>
          <w:highlight w:val="none"/>
          <w:u w:val="single"/>
        </w:rPr>
        <w:t xml:space="preserve">          （供应商单位名称）                   </w:t>
      </w:r>
      <w:r>
        <w:rPr>
          <w:rFonts w:hint="eastAsia" w:ascii="宋体" w:hAnsi="宋体" w:cs="宋体"/>
          <w:color w:val="auto"/>
          <w:sz w:val="21"/>
          <w:szCs w:val="21"/>
          <w:highlight w:val="none"/>
        </w:rPr>
        <w:t>的法定代表人。</w:t>
      </w:r>
    </w:p>
    <w:p w14:paraId="33E036E1">
      <w:pPr>
        <w:spacing w:line="360" w:lineRule="auto"/>
        <w:ind w:firstLine="420"/>
        <w:rPr>
          <w:rFonts w:hint="eastAsia" w:ascii="宋体" w:hAnsi="宋体" w:cs="宋体"/>
          <w:color w:val="auto"/>
          <w:sz w:val="21"/>
          <w:szCs w:val="21"/>
          <w:highlight w:val="none"/>
        </w:rPr>
      </w:pPr>
    </w:p>
    <w:p w14:paraId="3BA62B28">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特此证明。</w:t>
      </w:r>
    </w:p>
    <w:p w14:paraId="70D27A11">
      <w:pPr>
        <w:spacing w:line="360" w:lineRule="auto"/>
        <w:ind w:firstLine="525" w:firstLineChars="250"/>
        <w:rPr>
          <w:rFonts w:hint="eastAsia" w:ascii="宋体" w:hAnsi="宋体" w:cs="宋体"/>
          <w:color w:val="auto"/>
          <w:sz w:val="21"/>
          <w:szCs w:val="21"/>
          <w:highlight w:val="none"/>
        </w:rPr>
      </w:pPr>
      <w:r>
        <w:rPr>
          <w:rFonts w:hint="eastAsia" w:ascii="宋体" w:hAnsi="宋体" w:cs="宋体"/>
          <w:color w:val="auto"/>
          <w:sz w:val="21"/>
          <w:szCs w:val="21"/>
          <w:highlight w:val="none"/>
        </w:rPr>
        <w:t>注：附法定代表人的二代身份证扫描件（含正反面）。</w:t>
      </w:r>
    </w:p>
    <w:tbl>
      <w:tblPr>
        <w:tblStyle w:val="5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708"/>
        <w:gridCol w:w="3969"/>
      </w:tblGrid>
      <w:tr w14:paraId="38BA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3969" w:type="dxa"/>
            <w:tcBorders>
              <w:right w:val="single" w:color="auto" w:sz="4" w:space="0"/>
            </w:tcBorders>
            <w:vAlign w:val="center"/>
          </w:tcPr>
          <w:p w14:paraId="55A1C487">
            <w:pPr>
              <w:spacing w:line="360" w:lineRule="auto"/>
              <w:jc w:val="center"/>
              <w:rPr>
                <w:rFonts w:hint="eastAsia" w:ascii="宋体" w:hAnsi="宋体" w:cs="宋体"/>
                <w:color w:val="auto"/>
                <w:sz w:val="21"/>
                <w:szCs w:val="21"/>
                <w:highlight w:val="none"/>
              </w:rPr>
            </w:pPr>
          </w:p>
        </w:tc>
        <w:tc>
          <w:tcPr>
            <w:tcW w:w="708" w:type="dxa"/>
            <w:tcBorders>
              <w:top w:val="nil"/>
              <w:left w:val="single" w:color="auto" w:sz="4" w:space="0"/>
              <w:bottom w:val="nil"/>
              <w:right w:val="single" w:color="auto" w:sz="4" w:space="0"/>
            </w:tcBorders>
          </w:tcPr>
          <w:p w14:paraId="39FD4DAE">
            <w:pPr>
              <w:spacing w:line="360" w:lineRule="auto"/>
              <w:jc w:val="center"/>
              <w:rPr>
                <w:rFonts w:hint="eastAsia" w:ascii="宋体" w:hAnsi="宋体" w:cs="宋体"/>
                <w:color w:val="auto"/>
                <w:sz w:val="21"/>
                <w:szCs w:val="21"/>
                <w:highlight w:val="none"/>
              </w:rPr>
            </w:pPr>
          </w:p>
        </w:tc>
        <w:tc>
          <w:tcPr>
            <w:tcW w:w="3969" w:type="dxa"/>
            <w:tcBorders>
              <w:left w:val="single" w:color="auto" w:sz="4" w:space="0"/>
            </w:tcBorders>
            <w:vAlign w:val="center"/>
          </w:tcPr>
          <w:p w14:paraId="4599CF7F">
            <w:pPr>
              <w:spacing w:line="360" w:lineRule="auto"/>
              <w:jc w:val="center"/>
              <w:rPr>
                <w:rFonts w:hint="eastAsia" w:ascii="宋体" w:hAnsi="宋体" w:cs="宋体"/>
                <w:color w:val="auto"/>
                <w:sz w:val="21"/>
                <w:szCs w:val="21"/>
                <w:highlight w:val="none"/>
              </w:rPr>
            </w:pPr>
          </w:p>
        </w:tc>
      </w:tr>
    </w:tbl>
    <w:p w14:paraId="566A44FD">
      <w:pPr>
        <w:spacing w:line="360" w:lineRule="auto"/>
        <w:ind w:firstLine="420"/>
        <w:jc w:val="right"/>
        <w:rPr>
          <w:rFonts w:hint="eastAsia" w:ascii="宋体" w:hAnsi="宋体" w:cs="宋体"/>
          <w:color w:val="auto"/>
          <w:sz w:val="21"/>
          <w:szCs w:val="21"/>
          <w:highlight w:val="none"/>
        </w:rPr>
      </w:pPr>
    </w:p>
    <w:p w14:paraId="45E594D2">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供应商：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（电子签章）</w:t>
      </w:r>
    </w:p>
    <w:p w14:paraId="138B203F">
      <w:pPr>
        <w:spacing w:line="360" w:lineRule="auto"/>
        <w:ind w:firstLine="630" w:firstLineChars="300"/>
        <w:rPr>
          <w:rFonts w:hint="eastAsia" w:ascii="宋体" w:hAnsi="宋体" w:cs="宋体"/>
          <w:color w:val="auto"/>
          <w:sz w:val="21"/>
          <w:szCs w:val="21"/>
          <w:highlight w:val="none"/>
        </w:rPr>
      </w:pPr>
    </w:p>
    <w:p w14:paraId="5B60D033">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2C202106">
      <w:pPr>
        <w:pStyle w:val="5"/>
        <w:spacing w:line="360" w:lineRule="auto"/>
        <w:rPr>
          <w:rFonts w:hint="eastAsia" w:ascii="宋体" w:hAnsi="宋体" w:cs="宋体"/>
          <w:color w:val="auto"/>
          <w:highlight w:val="none"/>
        </w:rPr>
      </w:pPr>
      <w:r>
        <w:rPr>
          <w:rFonts w:hint="eastAsia" w:ascii="宋体" w:hAnsi="宋体" w:cs="宋体"/>
          <w:color w:val="auto"/>
          <w:highlight w:val="none"/>
        </w:rPr>
        <w:br w:type="page"/>
      </w:r>
    </w:p>
    <w:p w14:paraId="679FBD9E">
      <w:pPr>
        <w:spacing w:line="360" w:lineRule="auto"/>
        <w:ind w:firstLine="720" w:firstLineChars="300"/>
        <w:rPr>
          <w:rFonts w:hint="eastAsia" w:ascii="宋体" w:hAnsi="宋体" w:cs="宋体"/>
          <w:color w:val="auto"/>
          <w:sz w:val="24"/>
          <w:szCs w:val="24"/>
          <w:highlight w:val="none"/>
        </w:rPr>
      </w:pPr>
    </w:p>
    <w:p w14:paraId="763A3973">
      <w:pPr>
        <w:pStyle w:val="4"/>
        <w:numPr>
          <w:ilvl w:val="0"/>
          <w:numId w:val="0"/>
        </w:numPr>
        <w:tabs>
          <w:tab w:val="left" w:pos="720"/>
        </w:tabs>
        <w:spacing w:before="0" w:after="0"/>
        <w:rPr>
          <w:rFonts w:hint="eastAsia" w:ascii="宋体" w:hAnsi="宋体" w:cs="宋体"/>
          <w:color w:val="auto"/>
          <w:highlight w:val="none"/>
        </w:rPr>
      </w:pPr>
      <w:bookmarkStart w:id="1272" w:name="_Toc375780235"/>
      <w:bookmarkStart w:id="1273" w:name="_Toc8849"/>
      <w:bookmarkStart w:id="1274" w:name="_Toc272515768"/>
      <w:bookmarkStart w:id="1275" w:name="_Toc355713138"/>
      <w:bookmarkStart w:id="1276" w:name="_Toc24486"/>
      <w:bookmarkStart w:id="1277" w:name="_Toc25575"/>
      <w:bookmarkStart w:id="1278" w:name="_Toc179912288"/>
      <w:r>
        <w:rPr>
          <w:rFonts w:hint="eastAsia" w:ascii="宋体" w:hAnsi="宋体" w:cs="宋体"/>
          <w:color w:val="auto"/>
          <w:highlight w:val="none"/>
          <w:lang w:val="en-US" w:eastAsia="zh-CN"/>
        </w:rPr>
        <w:t>4</w:t>
      </w:r>
      <w:r>
        <w:rPr>
          <w:rFonts w:hint="eastAsia" w:ascii="宋体" w:hAnsi="宋体" w:cs="宋体"/>
          <w:color w:val="auto"/>
          <w:highlight w:val="none"/>
        </w:rPr>
        <w:t>.授权委托书</w:t>
      </w:r>
      <w:bookmarkEnd w:id="1272"/>
      <w:bookmarkEnd w:id="1273"/>
      <w:bookmarkEnd w:id="1274"/>
      <w:bookmarkEnd w:id="1275"/>
      <w:bookmarkEnd w:id="1276"/>
      <w:bookmarkEnd w:id="1277"/>
      <w:bookmarkEnd w:id="1278"/>
    </w:p>
    <w:p w14:paraId="32BAF5E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（姓名）系</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（供应商名称）的法定代表人，现委托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（姓名）为我方代理人。代理人根据授权，以我方名义签署、澄清、说明、补正、递交、撤回、修改</w:t>
      </w:r>
      <w:r>
        <w:rPr>
          <w:rFonts w:hint="eastAsia" w:ascii="宋体" w:hAnsi="宋体" w:cs="宋体"/>
          <w:color w:val="auto"/>
          <w:sz w:val="21"/>
          <w:szCs w:val="21"/>
          <w:highlight w:val="none"/>
          <w:u w:val="single"/>
        </w:rPr>
        <w:t xml:space="preserve">             （项目名称）      </w:t>
      </w:r>
      <w:r>
        <w:rPr>
          <w:rFonts w:hint="eastAsia" w:ascii="宋体" w:hAnsi="宋体" w:cs="宋体"/>
          <w:color w:val="auto"/>
          <w:sz w:val="21"/>
          <w:szCs w:val="21"/>
          <w:highlight w:val="none"/>
        </w:rPr>
        <w:t>响应文件、签订合同和处理有关事宜，其法律后果由我方承担。</w:t>
      </w:r>
    </w:p>
    <w:p w14:paraId="4979566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委托期限：</w:t>
      </w:r>
      <w:r>
        <w:rPr>
          <w:rFonts w:hint="eastAsia" w:ascii="宋体" w:hAnsi="宋体" w:cs="宋体"/>
          <w:color w:val="auto"/>
          <w:sz w:val="21"/>
          <w:szCs w:val="21"/>
          <w:highlight w:val="none"/>
          <w:u w:val="single"/>
        </w:rPr>
        <w:t xml:space="preserve">                           </w:t>
      </w:r>
    </w:p>
    <w:p w14:paraId="4EF43D9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代理人无转委托权。</w:t>
      </w:r>
    </w:p>
    <w:p w14:paraId="0AEC1FC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附：授权委托代理人的二代身份证扫描件（含正反面）。</w:t>
      </w:r>
    </w:p>
    <w:tbl>
      <w:tblPr>
        <w:tblStyle w:val="5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708"/>
        <w:gridCol w:w="3969"/>
      </w:tblGrid>
      <w:tr w14:paraId="3942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3969" w:type="dxa"/>
            <w:tcBorders>
              <w:right w:val="single" w:color="auto" w:sz="4" w:space="0"/>
            </w:tcBorders>
            <w:vAlign w:val="center"/>
          </w:tcPr>
          <w:p w14:paraId="1F8BDF2D">
            <w:pPr>
              <w:spacing w:line="360" w:lineRule="auto"/>
              <w:jc w:val="center"/>
              <w:rPr>
                <w:rFonts w:hint="eastAsia" w:ascii="宋体" w:hAnsi="宋体" w:cs="宋体"/>
                <w:color w:val="auto"/>
                <w:sz w:val="21"/>
                <w:szCs w:val="21"/>
                <w:highlight w:val="none"/>
              </w:rPr>
            </w:pPr>
          </w:p>
        </w:tc>
        <w:tc>
          <w:tcPr>
            <w:tcW w:w="708" w:type="dxa"/>
            <w:tcBorders>
              <w:top w:val="nil"/>
              <w:left w:val="single" w:color="auto" w:sz="4" w:space="0"/>
              <w:bottom w:val="nil"/>
              <w:right w:val="single" w:color="auto" w:sz="4" w:space="0"/>
            </w:tcBorders>
          </w:tcPr>
          <w:p w14:paraId="53FD7892">
            <w:pPr>
              <w:spacing w:line="360" w:lineRule="auto"/>
              <w:jc w:val="center"/>
              <w:rPr>
                <w:rFonts w:hint="eastAsia" w:ascii="宋体" w:hAnsi="宋体" w:cs="宋体"/>
                <w:color w:val="auto"/>
                <w:sz w:val="21"/>
                <w:szCs w:val="21"/>
                <w:highlight w:val="none"/>
              </w:rPr>
            </w:pPr>
          </w:p>
        </w:tc>
        <w:tc>
          <w:tcPr>
            <w:tcW w:w="3969" w:type="dxa"/>
            <w:tcBorders>
              <w:left w:val="single" w:color="auto" w:sz="4" w:space="0"/>
            </w:tcBorders>
            <w:vAlign w:val="center"/>
          </w:tcPr>
          <w:p w14:paraId="3E074DDC">
            <w:pPr>
              <w:spacing w:line="360" w:lineRule="auto"/>
              <w:jc w:val="center"/>
              <w:rPr>
                <w:rFonts w:hint="eastAsia" w:ascii="宋体" w:hAnsi="宋体" w:cs="宋体"/>
                <w:color w:val="auto"/>
                <w:sz w:val="21"/>
                <w:szCs w:val="21"/>
                <w:highlight w:val="none"/>
              </w:rPr>
            </w:pPr>
          </w:p>
        </w:tc>
      </w:tr>
    </w:tbl>
    <w:p w14:paraId="503605DC">
      <w:pPr>
        <w:spacing w:line="360" w:lineRule="auto"/>
        <w:ind w:firstLine="420" w:firstLineChars="200"/>
        <w:rPr>
          <w:rFonts w:hint="eastAsia" w:ascii="宋体" w:hAnsi="宋体" w:cs="宋体"/>
          <w:color w:val="auto"/>
          <w:sz w:val="21"/>
          <w:szCs w:val="21"/>
          <w:highlight w:val="none"/>
        </w:rPr>
      </w:pPr>
    </w:p>
    <w:p w14:paraId="438BA469">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供  应  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（电子签章）</w:t>
      </w:r>
    </w:p>
    <w:p w14:paraId="5F2F21AA">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（电子签章）</w:t>
      </w:r>
    </w:p>
    <w:p w14:paraId="2E2B6893">
      <w:pPr>
        <w:spacing w:line="360" w:lineRule="auto"/>
        <w:ind w:firstLine="630" w:firstLineChars="3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身份证号码：</w:t>
      </w:r>
      <w:r>
        <w:rPr>
          <w:rFonts w:hint="eastAsia" w:ascii="宋体" w:hAnsi="宋体" w:cs="宋体"/>
          <w:color w:val="auto"/>
          <w:sz w:val="21"/>
          <w:szCs w:val="21"/>
          <w:highlight w:val="none"/>
          <w:u w:val="single"/>
        </w:rPr>
        <w:t xml:space="preserve">                                   </w:t>
      </w:r>
    </w:p>
    <w:p w14:paraId="5257A5DE">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（签字或电子签章）</w:t>
      </w:r>
    </w:p>
    <w:p w14:paraId="07832705">
      <w:pPr>
        <w:spacing w:line="360" w:lineRule="auto"/>
        <w:ind w:firstLine="630" w:firstLineChars="3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身份证号码：</w:t>
      </w:r>
      <w:r>
        <w:rPr>
          <w:rFonts w:hint="eastAsia" w:ascii="宋体" w:hAnsi="宋体" w:cs="宋体"/>
          <w:color w:val="auto"/>
          <w:sz w:val="21"/>
          <w:szCs w:val="21"/>
          <w:highlight w:val="none"/>
          <w:u w:val="single"/>
        </w:rPr>
        <w:t xml:space="preserve">                                   </w:t>
      </w:r>
    </w:p>
    <w:p w14:paraId="4D7C9779">
      <w:pPr>
        <w:spacing w:line="360" w:lineRule="auto"/>
        <w:ind w:firstLine="630" w:firstLineChars="3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手  机  号：</w:t>
      </w:r>
      <w:r>
        <w:rPr>
          <w:rFonts w:hint="eastAsia" w:ascii="宋体" w:hAnsi="宋体" w:cs="宋体"/>
          <w:color w:val="auto"/>
          <w:sz w:val="21"/>
          <w:szCs w:val="21"/>
          <w:highlight w:val="none"/>
          <w:u w:val="single"/>
        </w:rPr>
        <w:t xml:space="preserve">                                   </w:t>
      </w:r>
    </w:p>
    <w:p w14:paraId="6AD83905">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3FCBE0B0">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3FE193D6">
      <w:pPr>
        <w:pStyle w:val="4"/>
        <w:numPr>
          <w:ilvl w:val="0"/>
          <w:numId w:val="0"/>
        </w:numPr>
        <w:tabs>
          <w:tab w:val="left" w:pos="720"/>
        </w:tabs>
        <w:spacing w:before="0" w:after="0"/>
        <w:rPr>
          <w:rFonts w:hint="eastAsia" w:ascii="宋体" w:hAnsi="宋体" w:cs="宋体"/>
          <w:color w:val="auto"/>
          <w:highlight w:val="none"/>
        </w:rPr>
      </w:pPr>
      <w:bookmarkStart w:id="1279" w:name="_Toc179912284"/>
      <w:bookmarkStart w:id="1280" w:name="_Toc4548"/>
      <w:r>
        <w:rPr>
          <w:rFonts w:hint="eastAsia" w:ascii="宋体" w:hAnsi="宋体" w:cs="宋体"/>
          <w:color w:val="auto"/>
          <w:highlight w:val="none"/>
          <w:lang w:val="en-US" w:eastAsia="zh-CN"/>
        </w:rPr>
        <w:t>5</w:t>
      </w:r>
      <w:r>
        <w:rPr>
          <w:rFonts w:hint="eastAsia" w:ascii="宋体" w:hAnsi="宋体" w:cs="宋体"/>
          <w:color w:val="auto"/>
          <w:highlight w:val="none"/>
        </w:rPr>
        <w:t>.已标价工程量清单</w:t>
      </w:r>
      <w:bookmarkEnd w:id="1279"/>
      <w:bookmarkEnd w:id="1280"/>
    </w:p>
    <w:p w14:paraId="0E47C91C">
      <w:pPr>
        <w:spacing w:line="360" w:lineRule="auto"/>
        <w:ind w:firstLine="420" w:firstLineChars="200"/>
        <w:rPr>
          <w:rFonts w:hint="eastAsia" w:ascii="宋体" w:hAnsi="宋体" w:cs="宋体"/>
          <w:b w:val="0"/>
          <w:color w:val="auto"/>
          <w:kern w:val="2"/>
          <w:sz w:val="21"/>
          <w:highlight w:val="none"/>
          <w:lang w:eastAsia="zh-CN"/>
        </w:rPr>
      </w:pPr>
      <w:r>
        <w:rPr>
          <w:rFonts w:hint="eastAsia" w:ascii="宋体" w:hAnsi="宋体" w:cs="宋体"/>
          <w:b w:val="0"/>
          <w:color w:val="auto"/>
          <w:kern w:val="2"/>
          <w:sz w:val="21"/>
          <w:highlight w:val="none"/>
        </w:rPr>
        <w:t>附已标价工程量清单</w:t>
      </w:r>
    </w:p>
    <w:p w14:paraId="23C79E02">
      <w:pPr>
        <w:spacing w:line="360" w:lineRule="auto"/>
        <w:ind w:firstLine="422" w:firstLineChars="200"/>
        <w:rPr>
          <w:rFonts w:hint="eastAsia" w:ascii="宋体" w:hAnsi="宋体" w:eastAsia="宋体" w:cs="宋体"/>
          <w:color w:val="auto"/>
          <w:kern w:val="2"/>
          <w:sz w:val="21"/>
          <w:szCs w:val="21"/>
          <w:highlight w:val="none"/>
          <w:lang w:val="en-US" w:eastAsia="zh-CN"/>
        </w:rPr>
      </w:pPr>
      <w:r>
        <w:rPr>
          <w:rFonts w:hint="eastAsia" w:ascii="宋体" w:hAnsi="宋体" w:cs="宋体"/>
          <w:b/>
          <w:bCs/>
          <w:color w:val="auto"/>
          <w:kern w:val="2"/>
          <w:sz w:val="21"/>
          <w:highlight w:val="none"/>
          <w:lang w:val="en-US" w:eastAsia="zh-CN"/>
        </w:rPr>
        <w:t>注：</w:t>
      </w:r>
      <w:r>
        <w:rPr>
          <w:rFonts w:hint="eastAsia" w:ascii="宋体" w:hAnsi="宋体" w:cs="宋体"/>
          <w:b/>
          <w:bCs/>
          <w:color w:val="auto"/>
          <w:kern w:val="2"/>
          <w:sz w:val="21"/>
          <w:highlight w:val="none"/>
        </w:rPr>
        <w:t>已标价工程量清单</w:t>
      </w:r>
      <w:r>
        <w:rPr>
          <w:rFonts w:hint="eastAsia" w:ascii="宋体" w:hAnsi="宋体" w:eastAsia="宋体" w:cs="宋体"/>
          <w:b/>
          <w:bCs/>
          <w:color w:val="auto"/>
          <w:kern w:val="2"/>
          <w:sz w:val="21"/>
          <w:szCs w:val="21"/>
          <w:highlight w:val="none"/>
          <w:lang w:val="en-US" w:eastAsia="zh-CN"/>
        </w:rPr>
        <w:t>须</w:t>
      </w:r>
      <w:r>
        <w:rPr>
          <w:rFonts w:hint="eastAsia" w:ascii="宋体" w:hAnsi="宋体" w:eastAsia="宋体" w:cs="宋体"/>
          <w:b/>
          <w:bCs/>
          <w:color w:val="auto"/>
          <w:sz w:val="21"/>
          <w:szCs w:val="21"/>
          <w:highlight w:val="none"/>
        </w:rPr>
        <w:t>由造价人员编制并加盖造价资格章。如本单位不满足要求，可委托有造价从业资质的单位编制，委托书须附在响应文件中（格式自拟）</w:t>
      </w:r>
      <w:r>
        <w:rPr>
          <w:rFonts w:hint="eastAsia" w:ascii="宋体" w:hAnsi="宋体" w:eastAsia="宋体" w:cs="宋体"/>
          <w:color w:val="auto"/>
          <w:sz w:val="21"/>
          <w:szCs w:val="21"/>
          <w:highlight w:val="none"/>
        </w:rPr>
        <w:t>。</w:t>
      </w:r>
    </w:p>
    <w:p w14:paraId="24A6EAFB">
      <w:pPr>
        <w:spacing w:line="360" w:lineRule="auto"/>
        <w:ind w:firstLine="630" w:firstLineChars="300"/>
        <w:rPr>
          <w:rFonts w:hint="eastAsia" w:ascii="宋体" w:hAnsi="宋体" w:cs="宋体"/>
          <w:color w:val="auto"/>
          <w:sz w:val="21"/>
          <w:szCs w:val="21"/>
          <w:highlight w:val="none"/>
        </w:rPr>
      </w:pPr>
    </w:p>
    <w:p w14:paraId="0B7790B7">
      <w:pPr>
        <w:spacing w:line="360" w:lineRule="auto"/>
        <w:jc w:val="both"/>
        <w:rPr>
          <w:rFonts w:hint="eastAsia" w:ascii="宋体" w:hAnsi="宋体" w:cs="宋体"/>
          <w:b/>
          <w:color w:val="auto"/>
          <w:sz w:val="21"/>
          <w:szCs w:val="21"/>
          <w:highlight w:val="none"/>
        </w:rPr>
      </w:pPr>
    </w:p>
    <w:p w14:paraId="04F7689E">
      <w:pPr>
        <w:spacing w:line="360" w:lineRule="auto"/>
        <w:jc w:val="center"/>
        <w:rPr>
          <w:rFonts w:hint="eastAsia" w:ascii="宋体" w:hAnsi="宋体" w:cs="宋体"/>
          <w:color w:val="auto"/>
          <w:sz w:val="24"/>
          <w:szCs w:val="24"/>
          <w:highlight w:val="none"/>
        </w:rPr>
      </w:pPr>
    </w:p>
    <w:p w14:paraId="2275285A">
      <w:pPr>
        <w:spacing w:line="360" w:lineRule="auto"/>
        <w:rPr>
          <w:rFonts w:hint="eastAsia" w:ascii="宋体" w:hAnsi="宋体" w:cs="宋体"/>
          <w:color w:val="auto"/>
          <w:highlight w:val="none"/>
        </w:rPr>
      </w:pPr>
    </w:p>
    <w:p w14:paraId="0399CBF5">
      <w:pPr>
        <w:pStyle w:val="3"/>
        <w:spacing w:before="0" w:after="0" w:line="360" w:lineRule="auto"/>
        <w:jc w:val="center"/>
        <w:rPr>
          <w:rFonts w:hint="eastAsia" w:ascii="宋体" w:hAnsi="宋体" w:eastAsia="宋体" w:cs="宋体"/>
          <w:color w:val="auto"/>
          <w:sz w:val="24"/>
          <w:highlight w:val="none"/>
        </w:rPr>
        <w:sectPr>
          <w:headerReference r:id="rId8" w:type="first"/>
          <w:headerReference r:id="rId7" w:type="default"/>
          <w:pgSz w:w="11906" w:h="16838"/>
          <w:pgMar w:top="1417" w:right="1417" w:bottom="1417" w:left="1417" w:header="850" w:footer="907" w:gutter="0"/>
          <w:cols w:space="720" w:num="1"/>
          <w:titlePg/>
          <w:docGrid w:type="lines" w:linePitch="312" w:charSpace="0"/>
        </w:sectPr>
      </w:pPr>
      <w:r>
        <w:rPr>
          <w:rFonts w:hint="eastAsia" w:ascii="宋体" w:hAnsi="宋体" w:eastAsia="宋体" w:cs="宋体"/>
          <w:color w:val="auto"/>
          <w:highlight w:val="none"/>
        </w:rPr>
        <w:br w:type="page"/>
      </w:r>
    </w:p>
    <w:p w14:paraId="3E321F84">
      <w:pPr>
        <w:pStyle w:val="3"/>
        <w:spacing w:before="0" w:after="0" w:line="360" w:lineRule="auto"/>
        <w:jc w:val="center"/>
        <w:rPr>
          <w:rFonts w:hint="eastAsia" w:ascii="宋体" w:hAnsi="宋体" w:eastAsia="宋体" w:cs="宋体"/>
          <w:color w:val="auto"/>
          <w:highlight w:val="none"/>
        </w:rPr>
      </w:pPr>
      <w:bookmarkStart w:id="1281" w:name="_Toc14287"/>
      <w:bookmarkStart w:id="1282" w:name="_Toc4896"/>
      <w:bookmarkStart w:id="1283" w:name="_Toc179912289"/>
      <w:bookmarkStart w:id="1284" w:name="_Toc28590"/>
      <w:r>
        <w:rPr>
          <w:rFonts w:hint="eastAsia" w:ascii="宋体" w:hAnsi="宋体" w:eastAsia="宋体" w:cs="宋体"/>
          <w:color w:val="auto"/>
          <w:highlight w:val="none"/>
        </w:rPr>
        <w:t>四、技术</w:t>
      </w:r>
      <w:bookmarkEnd w:id="1281"/>
      <w:bookmarkEnd w:id="1282"/>
      <w:r>
        <w:rPr>
          <w:rFonts w:hint="eastAsia" w:ascii="宋体" w:hAnsi="宋体" w:eastAsia="宋体" w:cs="宋体"/>
          <w:color w:val="auto"/>
          <w:highlight w:val="none"/>
        </w:rPr>
        <w:t>文件</w:t>
      </w:r>
      <w:bookmarkEnd w:id="1283"/>
      <w:bookmarkEnd w:id="1284"/>
    </w:p>
    <w:p w14:paraId="23EFD68F">
      <w:pPr>
        <w:pStyle w:val="4"/>
        <w:numPr>
          <w:ilvl w:val="0"/>
          <w:numId w:val="0"/>
        </w:numPr>
        <w:spacing w:before="0" w:after="0"/>
        <w:rPr>
          <w:rFonts w:hint="eastAsia" w:ascii="宋体" w:hAnsi="宋体" w:cs="宋体"/>
          <w:color w:val="auto"/>
          <w:sz w:val="28"/>
          <w:szCs w:val="28"/>
          <w:highlight w:val="none"/>
        </w:rPr>
      </w:pPr>
      <w:bookmarkStart w:id="1285" w:name="_Toc26176"/>
      <w:bookmarkStart w:id="1286" w:name="_Toc179912290"/>
      <w:bookmarkStart w:id="1287" w:name="_Toc179912409"/>
      <w:r>
        <w:rPr>
          <w:rFonts w:hint="eastAsia" w:ascii="宋体" w:hAnsi="宋体" w:cs="宋体"/>
          <w:color w:val="auto"/>
          <w:sz w:val="28"/>
          <w:szCs w:val="28"/>
          <w:highlight w:val="none"/>
        </w:rPr>
        <w:t>1.施工组织设计</w:t>
      </w:r>
      <w:bookmarkEnd w:id="1285"/>
      <w:bookmarkEnd w:id="1286"/>
      <w:bookmarkEnd w:id="1287"/>
    </w:p>
    <w:p w14:paraId="4306E9FD">
      <w:pPr>
        <w:spacing w:line="360" w:lineRule="auto"/>
        <w:ind w:firstLine="525" w:firstLineChars="250"/>
        <w:rPr>
          <w:rFonts w:hint="eastAsia" w:ascii="宋体" w:hAnsi="宋体" w:cs="宋体"/>
          <w:color w:val="auto"/>
          <w:sz w:val="21"/>
          <w:szCs w:val="21"/>
          <w:highlight w:val="none"/>
        </w:rPr>
      </w:pPr>
      <w:r>
        <w:rPr>
          <w:rFonts w:hint="eastAsia" w:ascii="宋体" w:hAnsi="宋体" w:cs="宋体"/>
          <w:color w:val="auto"/>
          <w:sz w:val="21"/>
          <w:szCs w:val="21"/>
          <w:highlight w:val="none"/>
        </w:rPr>
        <w:t>施工组织设计应包括内容：</w:t>
      </w:r>
    </w:p>
    <w:p w14:paraId="7B4B780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（1）施工技术方案：结合采购工程特点提出切实可行的施工技术方案。</w:t>
      </w:r>
    </w:p>
    <w:p w14:paraId="1948C50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（2）质量承诺及保证措施。</w:t>
      </w:r>
    </w:p>
    <w:p w14:paraId="17BBED7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（3）施工主要工序：对施工主要工序进行阐述并明确主要工种施工方法。其中关键技术、工艺须进行明确、深入的表述；对重点、难点须提出相应保证措施。</w:t>
      </w:r>
    </w:p>
    <w:p w14:paraId="1F91F07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（4）安全文明施工保证措施：结合采购工程特点提出切实可行的安全文明施工保证措施。</w:t>
      </w:r>
    </w:p>
    <w:p w14:paraId="3CC2868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（5）环境保护措施：结合采购工程特点提出切实可行的环境保护措施。</w:t>
      </w:r>
    </w:p>
    <w:p w14:paraId="0DAEE01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（6）工期承诺、保证措施和施工进度计划：工期承</w:t>
      </w:r>
      <w:r>
        <w:rPr>
          <w:rFonts w:hint="eastAsia" w:ascii="宋体" w:hAnsi="宋体" w:cs="宋体"/>
          <w:color w:val="auto"/>
          <w:sz w:val="21"/>
          <w:szCs w:val="21"/>
          <w:highlight w:val="none"/>
          <w:lang w:eastAsia="zh-CN"/>
        </w:rPr>
        <w:t>诺和</w:t>
      </w:r>
      <w:r>
        <w:rPr>
          <w:rFonts w:hint="eastAsia" w:ascii="宋体" w:hAnsi="宋体" w:cs="宋体"/>
          <w:color w:val="auto"/>
          <w:sz w:val="21"/>
          <w:szCs w:val="21"/>
          <w:highlight w:val="none"/>
        </w:rPr>
        <w:t>施工进度计划应与施工组织设计相适应。</w:t>
      </w:r>
    </w:p>
    <w:p w14:paraId="3DBD5748">
      <w:pPr>
        <w:spacing w:line="360" w:lineRule="auto"/>
        <w:ind w:firstLine="420" w:firstLineChars="200"/>
        <w:rPr>
          <w:rFonts w:hint="eastAsia" w:ascii="宋体" w:hAnsi="宋体" w:cs="宋体"/>
          <w:color w:val="auto"/>
          <w:sz w:val="24"/>
          <w:szCs w:val="24"/>
          <w:highlight w:val="none"/>
        </w:rPr>
      </w:pPr>
      <w:r>
        <w:rPr>
          <w:rFonts w:hint="eastAsia" w:ascii="宋体" w:hAnsi="宋体" w:cs="宋体"/>
          <w:color w:val="auto"/>
          <w:sz w:val="21"/>
          <w:szCs w:val="21"/>
          <w:highlight w:val="none"/>
        </w:rPr>
        <w:t>（7）劳动力安排和材料投入计划</w:t>
      </w:r>
      <w:r>
        <w:rPr>
          <w:rFonts w:hint="eastAsia" w:ascii="宋体" w:hAnsi="宋体" w:cs="宋体"/>
          <w:color w:val="auto"/>
          <w:sz w:val="21"/>
          <w:szCs w:val="21"/>
          <w:highlight w:val="none"/>
          <w:lang w:eastAsia="zh-CN"/>
        </w:rPr>
        <w:t>及</w:t>
      </w:r>
      <w:r>
        <w:rPr>
          <w:rFonts w:hint="eastAsia" w:ascii="宋体" w:hAnsi="宋体" w:cs="宋体"/>
          <w:color w:val="auto"/>
          <w:sz w:val="21"/>
          <w:szCs w:val="21"/>
          <w:highlight w:val="none"/>
        </w:rPr>
        <w:t>保证措施。</w:t>
      </w:r>
      <w:bookmarkEnd w:id="1226"/>
      <w:bookmarkEnd w:id="1227"/>
    </w:p>
    <w:sectPr>
      <w:pgSz w:w="11906" w:h="16838"/>
      <w:pgMar w:top="1417" w:right="1417" w:bottom="1417" w:left="1417"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A00002BF" w:usb1="78CF7CFB" w:usb2="00000016" w:usb3="00000000" w:csb0="6006009F" w:csb1="DFD70000"/>
  </w:font>
  <w:font w:name="等线">
    <w:panose1 w:val="02010600030101010101"/>
    <w:charset w:val="86"/>
    <w:family w:val="auto"/>
    <w:pitch w:val="default"/>
    <w:sig w:usb0="A00002BF" w:usb1="38CF7CFA" w:usb2="00000016" w:usb3="00000000" w:csb0="0004000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time">
    <w:altName w:val="Times New Roman"/>
    <w:panose1 w:val="00000000000000000000"/>
    <w:charset w:val="00"/>
    <w:family w:val="roman"/>
    <w:pitch w:val="default"/>
    <w:sig w:usb0="00000000" w:usb1="00000000" w:usb2="00000000"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C80EE">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6048"/>
    </w:sdtPr>
    <w:sdtContent>
      <w:p w14:paraId="5472F8F9">
        <w:pPr>
          <w:pStyle w:val="32"/>
          <w:jc w:val="cente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951"/>
    </w:sdtPr>
    <w:sdtContent>
      <w:p w14:paraId="69A9EF7B">
        <w:pPr>
          <w:pStyle w:val="32"/>
          <w:jc w:val="center"/>
        </w:pPr>
        <w:r>
          <w:fldChar w:fldCharType="begin"/>
        </w:r>
        <w:r>
          <w:instrText xml:space="preserve">PAGE   \* MERGEFORMAT</w:instrText>
        </w:r>
        <w:r>
          <w:fldChar w:fldCharType="separate"/>
        </w:r>
        <w:r>
          <w:rPr>
            <w:lang w:val="zh-CN"/>
          </w:rPr>
          <w:t>2</w:t>
        </w:r>
        <w:r>
          <w:fldChar w:fldCharType="end"/>
        </w:r>
      </w:p>
    </w:sdtContent>
  </w:sdt>
  <w:p w14:paraId="452566DD">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40401">
    <w:pPr>
      <w:pStyle w:val="33"/>
      <w:pBdr>
        <w:bottom w:val="none" w:color="auto" w:sz="0" w:space="0"/>
      </w:pBdr>
      <w:jc w:val="both"/>
    </w:pPr>
    <w:r>
      <w:rPr>
        <w:rFonts w:hint="eastAsia" w:ascii="宋体" w:hAnsi="宋体" w:cs="宋体"/>
        <w:sz w:val="21"/>
        <w:szCs w:val="21"/>
        <w:u w:val="single"/>
        <w:lang w:eastAsia="zh-CN"/>
      </w:rPr>
      <w:t>永胜县东山乡2026年牦牛坪村委会饮水应急工程项目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sz w:val="21"/>
        <w:szCs w:val="22"/>
        <w:u w:val="single"/>
      </w:rPr>
      <w:t>竞争性磋商文件</w:t>
    </w:r>
  </w:p>
  <w:p w14:paraId="18EA6213">
    <w:pPr>
      <w:pBdr>
        <w:bottom w:val="none" w:color="auto" w:sz="0" w:space="1"/>
      </w:pBdr>
      <w:tabs>
        <w:tab w:val="center" w:pos="4153"/>
        <w:tab w:val="right" w:pos="8306"/>
      </w:tabs>
      <w:snapToGrid w:val="0"/>
      <w:jc w:val="center"/>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1D623">
    <w:pPr>
      <w:pStyle w:val="33"/>
      <w:pBdr>
        <w:bottom w:val="none" w:color="auto" w:sz="0" w:space="0"/>
      </w:pBdr>
      <w:jc w:val="both"/>
    </w:pPr>
    <w:r>
      <w:rPr>
        <w:rFonts w:hint="eastAsia" w:ascii="宋体" w:hAnsi="宋体" w:cs="宋体"/>
        <w:sz w:val="21"/>
        <w:szCs w:val="21"/>
        <w:u w:val="single"/>
        <w:lang w:eastAsia="zh-CN"/>
      </w:rPr>
      <w:t>永胜县东山乡2026年牦牛坪村委会饮水应急工程项目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sz w:val="21"/>
        <w:szCs w:val="22"/>
        <w:u w:val="single"/>
      </w:rPr>
      <w:t>竞争性磋商文件</w:t>
    </w:r>
  </w:p>
  <w:p w14:paraId="4F90CA57">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6C30">
    <w:pPr>
      <w:pStyle w:val="33"/>
      <w:pBdr>
        <w:bottom w:val="none" w:color="auto" w:sz="0" w:space="0"/>
      </w:pBdr>
      <w:jc w:val="both"/>
    </w:pPr>
    <w:r>
      <w:rPr>
        <w:rFonts w:hint="eastAsia" w:ascii="宋体" w:hAnsi="宋体" w:cs="宋体"/>
        <w:sz w:val="21"/>
        <w:szCs w:val="21"/>
        <w:u w:val="single"/>
        <w:lang w:eastAsia="zh-CN"/>
      </w:rPr>
      <w:t>永胜县东山乡2026年牦牛坪村委会饮水应急工程项目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sz w:val="21"/>
        <w:szCs w:val="22"/>
        <w:u w:val="single"/>
      </w:rPr>
      <w:t>竞争性磋商文件</w:t>
    </w:r>
  </w:p>
  <w:p w14:paraId="71134B52">
    <w:pPr>
      <w:pStyle w:val="3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C8BBAC"/>
    <w:multiLevelType w:val="singleLevel"/>
    <w:tmpl w:val="FEC8BBAC"/>
    <w:lvl w:ilvl="0" w:tentative="0">
      <w:start w:val="1"/>
      <w:numFmt w:val="decimal"/>
      <w:suff w:val="nothing"/>
      <w:lvlText w:val="（%1）"/>
      <w:lvlJc w:val="left"/>
    </w:lvl>
  </w:abstractNum>
  <w:abstractNum w:abstractNumId="1">
    <w:nsid w:val="00000008"/>
    <w:multiLevelType w:val="multilevel"/>
    <w:tmpl w:val="00000008"/>
    <w:lvl w:ilvl="0" w:tentative="0">
      <w:start w:val="1"/>
      <w:numFmt w:val="none"/>
      <w:lvlText w:val=""/>
      <w:lvlJc w:val="left"/>
      <w:pPr>
        <w:tabs>
          <w:tab w:val="left" w:pos="5394"/>
        </w:tabs>
        <w:ind w:left="5394" w:hanging="432"/>
      </w:pPr>
      <w:rPr>
        <w:rFonts w:hint="eastAsia"/>
      </w:rPr>
    </w:lvl>
    <w:lvl w:ilvl="1" w:tentative="0">
      <w:start w:val="1"/>
      <w:numFmt w:val="none"/>
      <w:lvlText w:val=" "/>
      <w:lvlJc w:val="left"/>
      <w:pPr>
        <w:tabs>
          <w:tab w:val="left" w:pos="5538"/>
        </w:tabs>
        <w:ind w:left="5538" w:hanging="576"/>
      </w:pPr>
      <w:rPr>
        <w:rFonts w:hint="eastAsia"/>
      </w:rPr>
    </w:lvl>
    <w:lvl w:ilvl="2" w:tentative="0">
      <w:start w:val="1"/>
      <w:numFmt w:val="none"/>
      <w:pStyle w:val="4"/>
      <w:lvlText w:val=""/>
      <w:lvlJc w:val="left"/>
      <w:pPr>
        <w:tabs>
          <w:tab w:val="left" w:pos="5682"/>
        </w:tabs>
        <w:ind w:left="5682" w:hanging="720"/>
      </w:pPr>
      <w:rPr>
        <w:rFonts w:hint="eastAsia"/>
      </w:rPr>
    </w:lvl>
    <w:lvl w:ilvl="3" w:tentative="0">
      <w:start w:val="1"/>
      <w:numFmt w:val="none"/>
      <w:lvlText w:val="    "/>
      <w:lvlJc w:val="left"/>
      <w:pPr>
        <w:tabs>
          <w:tab w:val="left" w:pos="5826"/>
        </w:tabs>
        <w:ind w:left="5826" w:hanging="864"/>
      </w:pPr>
      <w:rPr>
        <w:rFonts w:hint="eastAsia"/>
      </w:rPr>
    </w:lvl>
    <w:lvl w:ilvl="4" w:tentative="0">
      <w:start w:val="1"/>
      <w:numFmt w:val="none"/>
      <w:lvlText w:val="      "/>
      <w:lvlJc w:val="left"/>
      <w:pPr>
        <w:tabs>
          <w:tab w:val="left" w:pos="5970"/>
        </w:tabs>
        <w:ind w:left="5970" w:hanging="1008"/>
      </w:pPr>
      <w:rPr>
        <w:rFonts w:hint="eastAsia"/>
      </w:rPr>
    </w:lvl>
    <w:lvl w:ilvl="5" w:tentative="0">
      <w:start w:val="1"/>
      <w:numFmt w:val="none"/>
      <w:lvlText w:val="           "/>
      <w:lvlJc w:val="left"/>
      <w:pPr>
        <w:tabs>
          <w:tab w:val="left" w:pos="6402"/>
        </w:tabs>
        <w:ind w:left="6114" w:hanging="1152"/>
      </w:pPr>
      <w:rPr>
        <w:rFonts w:hint="eastAsia"/>
      </w:rPr>
    </w:lvl>
    <w:lvl w:ilvl="6" w:tentative="0">
      <w:start w:val="1"/>
      <w:numFmt w:val="decimal"/>
      <w:lvlText w:val="%1.%2.%3.%4.%5.%6.%7"/>
      <w:lvlJc w:val="left"/>
      <w:pPr>
        <w:tabs>
          <w:tab w:val="left" w:pos="7482"/>
        </w:tabs>
        <w:ind w:left="6258" w:hanging="1296"/>
      </w:pPr>
      <w:rPr>
        <w:rFonts w:hint="eastAsia"/>
      </w:rPr>
    </w:lvl>
    <w:lvl w:ilvl="7" w:tentative="0">
      <w:start w:val="1"/>
      <w:numFmt w:val="decimal"/>
      <w:lvlText w:val="%1.%2.%3.%4.%5.%6.%7.%8"/>
      <w:lvlJc w:val="left"/>
      <w:pPr>
        <w:tabs>
          <w:tab w:val="left" w:pos="6402"/>
        </w:tabs>
        <w:ind w:left="6402" w:hanging="1440"/>
      </w:pPr>
      <w:rPr>
        <w:rFonts w:hint="eastAsia"/>
      </w:rPr>
    </w:lvl>
    <w:lvl w:ilvl="8" w:tentative="0">
      <w:start w:val="1"/>
      <w:numFmt w:val="decimal"/>
      <w:lvlText w:val="%1.%2.%3.%4.%5.%6.%7.%8.%9"/>
      <w:lvlJc w:val="left"/>
      <w:pPr>
        <w:tabs>
          <w:tab w:val="left" w:pos="6546"/>
        </w:tabs>
        <w:ind w:left="6546" w:hanging="1584"/>
      </w:pPr>
      <w:rPr>
        <w:rFonts w:hint="eastAsia"/>
      </w:rPr>
    </w:lvl>
  </w:abstractNum>
  <w:abstractNum w:abstractNumId="2">
    <w:nsid w:val="06F2EB61"/>
    <w:multiLevelType w:val="singleLevel"/>
    <w:tmpl w:val="06F2EB61"/>
    <w:lvl w:ilvl="0" w:tentative="0">
      <w:start w:val="1"/>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0"/>
  <w:drawingGridVerticalSpacing w:val="163"/>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1Mjc4YzA2YTkzZWRmNDA4MWE4M2NhY2ZjNDY0MmYifQ=="/>
    <w:docVar w:name="KSO_WPS_MARK_KEY" w:val="4e53979a-5231-4b8b-8f4c-e65251d37a1d"/>
  </w:docVars>
  <w:rsids>
    <w:rsidRoot w:val="00EA5072"/>
    <w:rsid w:val="00000095"/>
    <w:rsid w:val="00000465"/>
    <w:rsid w:val="00001143"/>
    <w:rsid w:val="0000158A"/>
    <w:rsid w:val="00001D6A"/>
    <w:rsid w:val="00001FF6"/>
    <w:rsid w:val="00002A1C"/>
    <w:rsid w:val="000032DB"/>
    <w:rsid w:val="00003367"/>
    <w:rsid w:val="0000348A"/>
    <w:rsid w:val="00003592"/>
    <w:rsid w:val="00003A15"/>
    <w:rsid w:val="00003A19"/>
    <w:rsid w:val="00003A3E"/>
    <w:rsid w:val="00003C85"/>
    <w:rsid w:val="0000512C"/>
    <w:rsid w:val="00005D7F"/>
    <w:rsid w:val="0000630A"/>
    <w:rsid w:val="000065F1"/>
    <w:rsid w:val="00006B15"/>
    <w:rsid w:val="00006BE5"/>
    <w:rsid w:val="00007644"/>
    <w:rsid w:val="0000771F"/>
    <w:rsid w:val="00007929"/>
    <w:rsid w:val="0000795E"/>
    <w:rsid w:val="00007AAE"/>
    <w:rsid w:val="00007CE4"/>
    <w:rsid w:val="00007F3A"/>
    <w:rsid w:val="0001041A"/>
    <w:rsid w:val="000106E2"/>
    <w:rsid w:val="00010941"/>
    <w:rsid w:val="00010B8A"/>
    <w:rsid w:val="000111AE"/>
    <w:rsid w:val="000111D6"/>
    <w:rsid w:val="00011E39"/>
    <w:rsid w:val="00011FA5"/>
    <w:rsid w:val="000123BC"/>
    <w:rsid w:val="00012556"/>
    <w:rsid w:val="00013EB1"/>
    <w:rsid w:val="00014273"/>
    <w:rsid w:val="0001470B"/>
    <w:rsid w:val="00014BF6"/>
    <w:rsid w:val="000151EB"/>
    <w:rsid w:val="000152DA"/>
    <w:rsid w:val="00015C41"/>
    <w:rsid w:val="00015E4C"/>
    <w:rsid w:val="000162A4"/>
    <w:rsid w:val="000171B6"/>
    <w:rsid w:val="000173CE"/>
    <w:rsid w:val="00017723"/>
    <w:rsid w:val="00017E7C"/>
    <w:rsid w:val="000200E4"/>
    <w:rsid w:val="0002042F"/>
    <w:rsid w:val="00020EC9"/>
    <w:rsid w:val="00021028"/>
    <w:rsid w:val="00021034"/>
    <w:rsid w:val="00021D46"/>
    <w:rsid w:val="00021E89"/>
    <w:rsid w:val="0002216B"/>
    <w:rsid w:val="000221B0"/>
    <w:rsid w:val="00022461"/>
    <w:rsid w:val="00022DEA"/>
    <w:rsid w:val="00023981"/>
    <w:rsid w:val="00023A74"/>
    <w:rsid w:val="00023E62"/>
    <w:rsid w:val="000241E6"/>
    <w:rsid w:val="0002430D"/>
    <w:rsid w:val="000243D0"/>
    <w:rsid w:val="000246E6"/>
    <w:rsid w:val="00024C41"/>
    <w:rsid w:val="00024CD8"/>
    <w:rsid w:val="00025AAC"/>
    <w:rsid w:val="000260AC"/>
    <w:rsid w:val="0002615D"/>
    <w:rsid w:val="00026335"/>
    <w:rsid w:val="00026561"/>
    <w:rsid w:val="000269FC"/>
    <w:rsid w:val="00026AC4"/>
    <w:rsid w:val="00026B72"/>
    <w:rsid w:val="00026C9E"/>
    <w:rsid w:val="00027350"/>
    <w:rsid w:val="00027D9D"/>
    <w:rsid w:val="0003015E"/>
    <w:rsid w:val="00030229"/>
    <w:rsid w:val="000309D5"/>
    <w:rsid w:val="00030DB7"/>
    <w:rsid w:val="00030E58"/>
    <w:rsid w:val="00030F72"/>
    <w:rsid w:val="00031171"/>
    <w:rsid w:val="000341BC"/>
    <w:rsid w:val="000345AC"/>
    <w:rsid w:val="00034ABB"/>
    <w:rsid w:val="00034BB6"/>
    <w:rsid w:val="0003534C"/>
    <w:rsid w:val="00035626"/>
    <w:rsid w:val="00035C32"/>
    <w:rsid w:val="00035C85"/>
    <w:rsid w:val="00035DB2"/>
    <w:rsid w:val="00036E77"/>
    <w:rsid w:val="00037117"/>
    <w:rsid w:val="00037134"/>
    <w:rsid w:val="00037372"/>
    <w:rsid w:val="00037826"/>
    <w:rsid w:val="000402AA"/>
    <w:rsid w:val="00040356"/>
    <w:rsid w:val="0004043F"/>
    <w:rsid w:val="0004075A"/>
    <w:rsid w:val="00040D0C"/>
    <w:rsid w:val="000412EE"/>
    <w:rsid w:val="00041F2F"/>
    <w:rsid w:val="00042207"/>
    <w:rsid w:val="00043356"/>
    <w:rsid w:val="00043769"/>
    <w:rsid w:val="00043C52"/>
    <w:rsid w:val="00044579"/>
    <w:rsid w:val="000448F5"/>
    <w:rsid w:val="00044D9F"/>
    <w:rsid w:val="00045328"/>
    <w:rsid w:val="00045572"/>
    <w:rsid w:val="00045726"/>
    <w:rsid w:val="00045DBF"/>
    <w:rsid w:val="00045FB3"/>
    <w:rsid w:val="00046521"/>
    <w:rsid w:val="000468F7"/>
    <w:rsid w:val="00046E8E"/>
    <w:rsid w:val="00046EA1"/>
    <w:rsid w:val="00046F80"/>
    <w:rsid w:val="00047D10"/>
    <w:rsid w:val="00047D99"/>
    <w:rsid w:val="00047F37"/>
    <w:rsid w:val="00050410"/>
    <w:rsid w:val="00051037"/>
    <w:rsid w:val="00051039"/>
    <w:rsid w:val="00051457"/>
    <w:rsid w:val="00051460"/>
    <w:rsid w:val="0005187E"/>
    <w:rsid w:val="000520EE"/>
    <w:rsid w:val="00052411"/>
    <w:rsid w:val="0005303D"/>
    <w:rsid w:val="00053056"/>
    <w:rsid w:val="0005314D"/>
    <w:rsid w:val="00053BE7"/>
    <w:rsid w:val="00053FE3"/>
    <w:rsid w:val="00054793"/>
    <w:rsid w:val="0005492F"/>
    <w:rsid w:val="00054D76"/>
    <w:rsid w:val="00055014"/>
    <w:rsid w:val="00055547"/>
    <w:rsid w:val="00055574"/>
    <w:rsid w:val="00055EB0"/>
    <w:rsid w:val="000562E7"/>
    <w:rsid w:val="00056854"/>
    <w:rsid w:val="000570F8"/>
    <w:rsid w:val="000571EF"/>
    <w:rsid w:val="000578C5"/>
    <w:rsid w:val="00057C0D"/>
    <w:rsid w:val="000600E6"/>
    <w:rsid w:val="0006025E"/>
    <w:rsid w:val="0006055B"/>
    <w:rsid w:val="00060992"/>
    <w:rsid w:val="00060DA1"/>
    <w:rsid w:val="000613B0"/>
    <w:rsid w:val="000613D7"/>
    <w:rsid w:val="00061C7B"/>
    <w:rsid w:val="0006312F"/>
    <w:rsid w:val="000635B8"/>
    <w:rsid w:val="00063B65"/>
    <w:rsid w:val="00063B94"/>
    <w:rsid w:val="00063C51"/>
    <w:rsid w:val="00063F21"/>
    <w:rsid w:val="000645EE"/>
    <w:rsid w:val="000648FF"/>
    <w:rsid w:val="00064A0E"/>
    <w:rsid w:val="00064B82"/>
    <w:rsid w:val="00064C78"/>
    <w:rsid w:val="00064C8F"/>
    <w:rsid w:val="00064F1F"/>
    <w:rsid w:val="00065065"/>
    <w:rsid w:val="00065C2C"/>
    <w:rsid w:val="00065E42"/>
    <w:rsid w:val="0006665E"/>
    <w:rsid w:val="0006678E"/>
    <w:rsid w:val="00066E01"/>
    <w:rsid w:val="0006704F"/>
    <w:rsid w:val="00067B6A"/>
    <w:rsid w:val="00067E64"/>
    <w:rsid w:val="000703C1"/>
    <w:rsid w:val="000707E9"/>
    <w:rsid w:val="00070B94"/>
    <w:rsid w:val="00070FB8"/>
    <w:rsid w:val="0007109F"/>
    <w:rsid w:val="0007138D"/>
    <w:rsid w:val="00071A1B"/>
    <w:rsid w:val="00071E8D"/>
    <w:rsid w:val="000728D0"/>
    <w:rsid w:val="00072C27"/>
    <w:rsid w:val="00072D0D"/>
    <w:rsid w:val="000730F5"/>
    <w:rsid w:val="0007328D"/>
    <w:rsid w:val="00073899"/>
    <w:rsid w:val="00073B43"/>
    <w:rsid w:val="00074289"/>
    <w:rsid w:val="00074CBB"/>
    <w:rsid w:val="000753F4"/>
    <w:rsid w:val="0007564D"/>
    <w:rsid w:val="000756B5"/>
    <w:rsid w:val="00075A03"/>
    <w:rsid w:val="00075A42"/>
    <w:rsid w:val="00075ED7"/>
    <w:rsid w:val="0007602D"/>
    <w:rsid w:val="00076479"/>
    <w:rsid w:val="00076E22"/>
    <w:rsid w:val="00076FB7"/>
    <w:rsid w:val="00077644"/>
    <w:rsid w:val="00077E6D"/>
    <w:rsid w:val="00080461"/>
    <w:rsid w:val="000805F5"/>
    <w:rsid w:val="00080ED4"/>
    <w:rsid w:val="00080F00"/>
    <w:rsid w:val="0008125E"/>
    <w:rsid w:val="00081D2C"/>
    <w:rsid w:val="0008236D"/>
    <w:rsid w:val="00083200"/>
    <w:rsid w:val="000836D9"/>
    <w:rsid w:val="0008378A"/>
    <w:rsid w:val="00083AFD"/>
    <w:rsid w:val="00084208"/>
    <w:rsid w:val="00084307"/>
    <w:rsid w:val="00084D03"/>
    <w:rsid w:val="000850B9"/>
    <w:rsid w:val="0008567C"/>
    <w:rsid w:val="00085863"/>
    <w:rsid w:val="000861BB"/>
    <w:rsid w:val="00087557"/>
    <w:rsid w:val="00090D74"/>
    <w:rsid w:val="00091049"/>
    <w:rsid w:val="0009189D"/>
    <w:rsid w:val="00091ABA"/>
    <w:rsid w:val="00092050"/>
    <w:rsid w:val="0009262F"/>
    <w:rsid w:val="000926D9"/>
    <w:rsid w:val="000927D4"/>
    <w:rsid w:val="00092AF8"/>
    <w:rsid w:val="00092D34"/>
    <w:rsid w:val="00093B8E"/>
    <w:rsid w:val="0009482D"/>
    <w:rsid w:val="00094D26"/>
    <w:rsid w:val="00095A55"/>
    <w:rsid w:val="00095D4C"/>
    <w:rsid w:val="00095D9B"/>
    <w:rsid w:val="000960BE"/>
    <w:rsid w:val="000964A5"/>
    <w:rsid w:val="00096FBB"/>
    <w:rsid w:val="00097165"/>
    <w:rsid w:val="00097623"/>
    <w:rsid w:val="00097826"/>
    <w:rsid w:val="000979EE"/>
    <w:rsid w:val="00097E65"/>
    <w:rsid w:val="000A04FD"/>
    <w:rsid w:val="000A0602"/>
    <w:rsid w:val="000A09BC"/>
    <w:rsid w:val="000A0EDD"/>
    <w:rsid w:val="000A109C"/>
    <w:rsid w:val="000A1C07"/>
    <w:rsid w:val="000A1CCB"/>
    <w:rsid w:val="000A1D38"/>
    <w:rsid w:val="000A20BD"/>
    <w:rsid w:val="000A2A60"/>
    <w:rsid w:val="000A2A61"/>
    <w:rsid w:val="000A2A9C"/>
    <w:rsid w:val="000A2FB6"/>
    <w:rsid w:val="000A3119"/>
    <w:rsid w:val="000A325D"/>
    <w:rsid w:val="000A3297"/>
    <w:rsid w:val="000A350A"/>
    <w:rsid w:val="000A35C1"/>
    <w:rsid w:val="000A496B"/>
    <w:rsid w:val="000A5045"/>
    <w:rsid w:val="000A54F4"/>
    <w:rsid w:val="000A58D0"/>
    <w:rsid w:val="000A611E"/>
    <w:rsid w:val="000A61C0"/>
    <w:rsid w:val="000A68E5"/>
    <w:rsid w:val="000A7826"/>
    <w:rsid w:val="000A78DC"/>
    <w:rsid w:val="000B06B8"/>
    <w:rsid w:val="000B0F87"/>
    <w:rsid w:val="000B1504"/>
    <w:rsid w:val="000B15AB"/>
    <w:rsid w:val="000B2541"/>
    <w:rsid w:val="000B29A8"/>
    <w:rsid w:val="000B29D9"/>
    <w:rsid w:val="000B29F4"/>
    <w:rsid w:val="000B2B49"/>
    <w:rsid w:val="000B30EA"/>
    <w:rsid w:val="000B3374"/>
    <w:rsid w:val="000B3BED"/>
    <w:rsid w:val="000B4C2F"/>
    <w:rsid w:val="000B4C80"/>
    <w:rsid w:val="000B6703"/>
    <w:rsid w:val="000B6B35"/>
    <w:rsid w:val="000B70A0"/>
    <w:rsid w:val="000B70CE"/>
    <w:rsid w:val="000B73D9"/>
    <w:rsid w:val="000B74F9"/>
    <w:rsid w:val="000B7674"/>
    <w:rsid w:val="000B7BF1"/>
    <w:rsid w:val="000B7EF6"/>
    <w:rsid w:val="000C02BD"/>
    <w:rsid w:val="000C0495"/>
    <w:rsid w:val="000C06E7"/>
    <w:rsid w:val="000C0D1F"/>
    <w:rsid w:val="000C10D8"/>
    <w:rsid w:val="000C1297"/>
    <w:rsid w:val="000C16E9"/>
    <w:rsid w:val="000C192C"/>
    <w:rsid w:val="000C20DE"/>
    <w:rsid w:val="000C2C74"/>
    <w:rsid w:val="000C3103"/>
    <w:rsid w:val="000C32F4"/>
    <w:rsid w:val="000C3C8D"/>
    <w:rsid w:val="000C4741"/>
    <w:rsid w:val="000C4E0B"/>
    <w:rsid w:val="000C5101"/>
    <w:rsid w:val="000C54D7"/>
    <w:rsid w:val="000C62E5"/>
    <w:rsid w:val="000C6A13"/>
    <w:rsid w:val="000C7432"/>
    <w:rsid w:val="000C7A7D"/>
    <w:rsid w:val="000D0091"/>
    <w:rsid w:val="000D0331"/>
    <w:rsid w:val="000D0545"/>
    <w:rsid w:val="000D06A3"/>
    <w:rsid w:val="000D0EAA"/>
    <w:rsid w:val="000D121F"/>
    <w:rsid w:val="000D1289"/>
    <w:rsid w:val="000D135C"/>
    <w:rsid w:val="000D1513"/>
    <w:rsid w:val="000D2739"/>
    <w:rsid w:val="000D3F29"/>
    <w:rsid w:val="000D4076"/>
    <w:rsid w:val="000D433B"/>
    <w:rsid w:val="000D48CE"/>
    <w:rsid w:val="000D4A10"/>
    <w:rsid w:val="000D5A48"/>
    <w:rsid w:val="000D62DF"/>
    <w:rsid w:val="000D6629"/>
    <w:rsid w:val="000D7713"/>
    <w:rsid w:val="000D79BC"/>
    <w:rsid w:val="000D7EEE"/>
    <w:rsid w:val="000D7FAD"/>
    <w:rsid w:val="000E0A18"/>
    <w:rsid w:val="000E0D35"/>
    <w:rsid w:val="000E0D99"/>
    <w:rsid w:val="000E19E3"/>
    <w:rsid w:val="000E1A00"/>
    <w:rsid w:val="000E1FB5"/>
    <w:rsid w:val="000E22CE"/>
    <w:rsid w:val="000E23A4"/>
    <w:rsid w:val="000E2582"/>
    <w:rsid w:val="000E2A45"/>
    <w:rsid w:val="000E357A"/>
    <w:rsid w:val="000E3D35"/>
    <w:rsid w:val="000E3E9B"/>
    <w:rsid w:val="000E41AA"/>
    <w:rsid w:val="000E497A"/>
    <w:rsid w:val="000E4F08"/>
    <w:rsid w:val="000E4F3E"/>
    <w:rsid w:val="000E53F5"/>
    <w:rsid w:val="000E5CE6"/>
    <w:rsid w:val="000E5FCD"/>
    <w:rsid w:val="000E6030"/>
    <w:rsid w:val="000E6733"/>
    <w:rsid w:val="000E6A8D"/>
    <w:rsid w:val="000E6B25"/>
    <w:rsid w:val="000E79C0"/>
    <w:rsid w:val="000E7ADC"/>
    <w:rsid w:val="000F1874"/>
    <w:rsid w:val="000F1B4B"/>
    <w:rsid w:val="000F1EEF"/>
    <w:rsid w:val="000F3759"/>
    <w:rsid w:val="000F438D"/>
    <w:rsid w:val="000F4CCE"/>
    <w:rsid w:val="000F53C9"/>
    <w:rsid w:val="000F5432"/>
    <w:rsid w:val="000F5DC9"/>
    <w:rsid w:val="000F60FD"/>
    <w:rsid w:val="000F643D"/>
    <w:rsid w:val="000F76DF"/>
    <w:rsid w:val="000F77FD"/>
    <w:rsid w:val="000F7905"/>
    <w:rsid w:val="000F7AC5"/>
    <w:rsid w:val="000F7B98"/>
    <w:rsid w:val="001002A4"/>
    <w:rsid w:val="00100715"/>
    <w:rsid w:val="00100CCC"/>
    <w:rsid w:val="0010159F"/>
    <w:rsid w:val="00101A6F"/>
    <w:rsid w:val="001022AC"/>
    <w:rsid w:val="001023C6"/>
    <w:rsid w:val="001028F6"/>
    <w:rsid w:val="00103822"/>
    <w:rsid w:val="00103D68"/>
    <w:rsid w:val="00103F01"/>
    <w:rsid w:val="00104430"/>
    <w:rsid w:val="00104604"/>
    <w:rsid w:val="0010477C"/>
    <w:rsid w:val="00104874"/>
    <w:rsid w:val="001048AB"/>
    <w:rsid w:val="00104BBE"/>
    <w:rsid w:val="00104D52"/>
    <w:rsid w:val="00105ED0"/>
    <w:rsid w:val="001068E1"/>
    <w:rsid w:val="00106DB3"/>
    <w:rsid w:val="00106F63"/>
    <w:rsid w:val="001073D9"/>
    <w:rsid w:val="001075A7"/>
    <w:rsid w:val="0010762E"/>
    <w:rsid w:val="00107B2D"/>
    <w:rsid w:val="001104A5"/>
    <w:rsid w:val="0011094E"/>
    <w:rsid w:val="001110C6"/>
    <w:rsid w:val="00111704"/>
    <w:rsid w:val="001119F8"/>
    <w:rsid w:val="00111FA2"/>
    <w:rsid w:val="001120BB"/>
    <w:rsid w:val="00112427"/>
    <w:rsid w:val="001129BB"/>
    <w:rsid w:val="00112ABA"/>
    <w:rsid w:val="001130FE"/>
    <w:rsid w:val="0011329E"/>
    <w:rsid w:val="001133F3"/>
    <w:rsid w:val="0011363F"/>
    <w:rsid w:val="00113AC1"/>
    <w:rsid w:val="00113F39"/>
    <w:rsid w:val="00114553"/>
    <w:rsid w:val="00114D1E"/>
    <w:rsid w:val="00114D5E"/>
    <w:rsid w:val="00114F65"/>
    <w:rsid w:val="001152A2"/>
    <w:rsid w:val="00115555"/>
    <w:rsid w:val="00115969"/>
    <w:rsid w:val="00115B0F"/>
    <w:rsid w:val="00115CE8"/>
    <w:rsid w:val="001160AA"/>
    <w:rsid w:val="0011610B"/>
    <w:rsid w:val="00116304"/>
    <w:rsid w:val="0011698D"/>
    <w:rsid w:val="00116AF6"/>
    <w:rsid w:val="00116CA7"/>
    <w:rsid w:val="00116CF0"/>
    <w:rsid w:val="001174DE"/>
    <w:rsid w:val="00117FEE"/>
    <w:rsid w:val="0012004E"/>
    <w:rsid w:val="0012092C"/>
    <w:rsid w:val="001209B2"/>
    <w:rsid w:val="0012185E"/>
    <w:rsid w:val="00121D76"/>
    <w:rsid w:val="00122111"/>
    <w:rsid w:val="001222DD"/>
    <w:rsid w:val="00122435"/>
    <w:rsid w:val="001228F7"/>
    <w:rsid w:val="00122D76"/>
    <w:rsid w:val="00122F0D"/>
    <w:rsid w:val="00122F24"/>
    <w:rsid w:val="00123910"/>
    <w:rsid w:val="00123921"/>
    <w:rsid w:val="00123D15"/>
    <w:rsid w:val="00124019"/>
    <w:rsid w:val="0012457B"/>
    <w:rsid w:val="00124E8D"/>
    <w:rsid w:val="00125B53"/>
    <w:rsid w:val="00126158"/>
    <w:rsid w:val="00126BD7"/>
    <w:rsid w:val="00126C85"/>
    <w:rsid w:val="001274C1"/>
    <w:rsid w:val="0013014F"/>
    <w:rsid w:val="0013052B"/>
    <w:rsid w:val="0013074F"/>
    <w:rsid w:val="00130872"/>
    <w:rsid w:val="001308A8"/>
    <w:rsid w:val="00130C2A"/>
    <w:rsid w:val="00130DB0"/>
    <w:rsid w:val="00130E7E"/>
    <w:rsid w:val="001314AD"/>
    <w:rsid w:val="00131948"/>
    <w:rsid w:val="00131F79"/>
    <w:rsid w:val="001322EA"/>
    <w:rsid w:val="00132A7F"/>
    <w:rsid w:val="001336E1"/>
    <w:rsid w:val="00133A8D"/>
    <w:rsid w:val="00133FE9"/>
    <w:rsid w:val="00134088"/>
    <w:rsid w:val="00134171"/>
    <w:rsid w:val="001343AA"/>
    <w:rsid w:val="001348CF"/>
    <w:rsid w:val="00134D4F"/>
    <w:rsid w:val="001351FC"/>
    <w:rsid w:val="00135285"/>
    <w:rsid w:val="00135760"/>
    <w:rsid w:val="00135F5D"/>
    <w:rsid w:val="0013632F"/>
    <w:rsid w:val="00136A8C"/>
    <w:rsid w:val="00136D1F"/>
    <w:rsid w:val="00136DCB"/>
    <w:rsid w:val="00136E79"/>
    <w:rsid w:val="001378B8"/>
    <w:rsid w:val="00137D55"/>
    <w:rsid w:val="001400C9"/>
    <w:rsid w:val="00140A6A"/>
    <w:rsid w:val="001412BA"/>
    <w:rsid w:val="001415F6"/>
    <w:rsid w:val="00141CE3"/>
    <w:rsid w:val="00141E0D"/>
    <w:rsid w:val="00142AA6"/>
    <w:rsid w:val="0014363A"/>
    <w:rsid w:val="0014372B"/>
    <w:rsid w:val="00143A99"/>
    <w:rsid w:val="00143AA0"/>
    <w:rsid w:val="001445C6"/>
    <w:rsid w:val="00144A28"/>
    <w:rsid w:val="00144AD8"/>
    <w:rsid w:val="00145495"/>
    <w:rsid w:val="001462F1"/>
    <w:rsid w:val="00146404"/>
    <w:rsid w:val="00146477"/>
    <w:rsid w:val="00146619"/>
    <w:rsid w:val="00146CAA"/>
    <w:rsid w:val="00147439"/>
    <w:rsid w:val="001474C4"/>
    <w:rsid w:val="0014763A"/>
    <w:rsid w:val="00147D54"/>
    <w:rsid w:val="00150F02"/>
    <w:rsid w:val="0015136B"/>
    <w:rsid w:val="0015176A"/>
    <w:rsid w:val="00151A1C"/>
    <w:rsid w:val="00151D32"/>
    <w:rsid w:val="00151D6D"/>
    <w:rsid w:val="00152133"/>
    <w:rsid w:val="0015254A"/>
    <w:rsid w:val="001525F6"/>
    <w:rsid w:val="001529B0"/>
    <w:rsid w:val="00152A12"/>
    <w:rsid w:val="00152A4B"/>
    <w:rsid w:val="00152B68"/>
    <w:rsid w:val="00152F66"/>
    <w:rsid w:val="001530B2"/>
    <w:rsid w:val="00153333"/>
    <w:rsid w:val="001535A5"/>
    <w:rsid w:val="001538D7"/>
    <w:rsid w:val="00153BA4"/>
    <w:rsid w:val="00155877"/>
    <w:rsid w:val="00155FF2"/>
    <w:rsid w:val="001572C3"/>
    <w:rsid w:val="00157312"/>
    <w:rsid w:val="00157775"/>
    <w:rsid w:val="00157B6B"/>
    <w:rsid w:val="00157EE8"/>
    <w:rsid w:val="001601B5"/>
    <w:rsid w:val="001602AF"/>
    <w:rsid w:val="0016119A"/>
    <w:rsid w:val="00161320"/>
    <w:rsid w:val="00161C39"/>
    <w:rsid w:val="00161C3B"/>
    <w:rsid w:val="00161F2B"/>
    <w:rsid w:val="00162535"/>
    <w:rsid w:val="0016275C"/>
    <w:rsid w:val="00162887"/>
    <w:rsid w:val="00162A83"/>
    <w:rsid w:val="001634B0"/>
    <w:rsid w:val="00163662"/>
    <w:rsid w:val="001651A9"/>
    <w:rsid w:val="0016536B"/>
    <w:rsid w:val="00165CA5"/>
    <w:rsid w:val="001661C6"/>
    <w:rsid w:val="00166426"/>
    <w:rsid w:val="00166B80"/>
    <w:rsid w:val="00166FC0"/>
    <w:rsid w:val="001675B1"/>
    <w:rsid w:val="00167657"/>
    <w:rsid w:val="00167E3F"/>
    <w:rsid w:val="00167F0B"/>
    <w:rsid w:val="001700B7"/>
    <w:rsid w:val="001705EF"/>
    <w:rsid w:val="001707D6"/>
    <w:rsid w:val="001708CE"/>
    <w:rsid w:val="00170914"/>
    <w:rsid w:val="00171D33"/>
    <w:rsid w:val="00172717"/>
    <w:rsid w:val="001729C1"/>
    <w:rsid w:val="001729DC"/>
    <w:rsid w:val="00172A7D"/>
    <w:rsid w:val="001731F2"/>
    <w:rsid w:val="001733EA"/>
    <w:rsid w:val="0017363E"/>
    <w:rsid w:val="0017382B"/>
    <w:rsid w:val="00174430"/>
    <w:rsid w:val="001746DE"/>
    <w:rsid w:val="00175683"/>
    <w:rsid w:val="00175AAC"/>
    <w:rsid w:val="00175E7B"/>
    <w:rsid w:val="0017654B"/>
    <w:rsid w:val="0017668F"/>
    <w:rsid w:val="001767FB"/>
    <w:rsid w:val="00176C23"/>
    <w:rsid w:val="00177333"/>
    <w:rsid w:val="0017763A"/>
    <w:rsid w:val="00180097"/>
    <w:rsid w:val="00180731"/>
    <w:rsid w:val="00180FAE"/>
    <w:rsid w:val="001810CF"/>
    <w:rsid w:val="001811BC"/>
    <w:rsid w:val="00181618"/>
    <w:rsid w:val="00181BC0"/>
    <w:rsid w:val="00182283"/>
    <w:rsid w:val="00182688"/>
    <w:rsid w:val="001835D5"/>
    <w:rsid w:val="00183930"/>
    <w:rsid w:val="0018443E"/>
    <w:rsid w:val="00184A41"/>
    <w:rsid w:val="00184C11"/>
    <w:rsid w:val="00184E29"/>
    <w:rsid w:val="00184EDD"/>
    <w:rsid w:val="00184F8A"/>
    <w:rsid w:val="0018592A"/>
    <w:rsid w:val="00185A1F"/>
    <w:rsid w:val="00185CEA"/>
    <w:rsid w:val="001860BD"/>
    <w:rsid w:val="001861B7"/>
    <w:rsid w:val="0018678C"/>
    <w:rsid w:val="00186FF7"/>
    <w:rsid w:val="001876DE"/>
    <w:rsid w:val="00187AA9"/>
    <w:rsid w:val="00190553"/>
    <w:rsid w:val="0019121F"/>
    <w:rsid w:val="001918B9"/>
    <w:rsid w:val="00191ED0"/>
    <w:rsid w:val="0019215F"/>
    <w:rsid w:val="00192274"/>
    <w:rsid w:val="001926D7"/>
    <w:rsid w:val="00192A36"/>
    <w:rsid w:val="00192C1F"/>
    <w:rsid w:val="00192F87"/>
    <w:rsid w:val="001934AD"/>
    <w:rsid w:val="00193683"/>
    <w:rsid w:val="00193E06"/>
    <w:rsid w:val="0019402A"/>
    <w:rsid w:val="001942E0"/>
    <w:rsid w:val="00194CA8"/>
    <w:rsid w:val="00194DCF"/>
    <w:rsid w:val="00195208"/>
    <w:rsid w:val="001954D8"/>
    <w:rsid w:val="00196344"/>
    <w:rsid w:val="001963FE"/>
    <w:rsid w:val="0019650F"/>
    <w:rsid w:val="00196517"/>
    <w:rsid w:val="00196548"/>
    <w:rsid w:val="0019669A"/>
    <w:rsid w:val="001972E5"/>
    <w:rsid w:val="001975ED"/>
    <w:rsid w:val="001977DA"/>
    <w:rsid w:val="00197B73"/>
    <w:rsid w:val="001A0511"/>
    <w:rsid w:val="001A0A1B"/>
    <w:rsid w:val="001A1857"/>
    <w:rsid w:val="001A186A"/>
    <w:rsid w:val="001A1A09"/>
    <w:rsid w:val="001A1BFB"/>
    <w:rsid w:val="001A2331"/>
    <w:rsid w:val="001A2477"/>
    <w:rsid w:val="001A2C94"/>
    <w:rsid w:val="001A3CD5"/>
    <w:rsid w:val="001A3F48"/>
    <w:rsid w:val="001A447F"/>
    <w:rsid w:val="001A4500"/>
    <w:rsid w:val="001A48EB"/>
    <w:rsid w:val="001A4A4B"/>
    <w:rsid w:val="001A4C39"/>
    <w:rsid w:val="001A53B4"/>
    <w:rsid w:val="001A55CB"/>
    <w:rsid w:val="001A585B"/>
    <w:rsid w:val="001A5E3F"/>
    <w:rsid w:val="001A609C"/>
    <w:rsid w:val="001A61CE"/>
    <w:rsid w:val="001A62FB"/>
    <w:rsid w:val="001A73D7"/>
    <w:rsid w:val="001A7456"/>
    <w:rsid w:val="001A77C9"/>
    <w:rsid w:val="001A7850"/>
    <w:rsid w:val="001B0461"/>
    <w:rsid w:val="001B0597"/>
    <w:rsid w:val="001B0AB2"/>
    <w:rsid w:val="001B0AEA"/>
    <w:rsid w:val="001B0AF0"/>
    <w:rsid w:val="001B1023"/>
    <w:rsid w:val="001B1376"/>
    <w:rsid w:val="001B237E"/>
    <w:rsid w:val="001B3483"/>
    <w:rsid w:val="001B385B"/>
    <w:rsid w:val="001B3D32"/>
    <w:rsid w:val="001B4178"/>
    <w:rsid w:val="001B4340"/>
    <w:rsid w:val="001B4675"/>
    <w:rsid w:val="001B473C"/>
    <w:rsid w:val="001B47AF"/>
    <w:rsid w:val="001B480E"/>
    <w:rsid w:val="001B4E07"/>
    <w:rsid w:val="001B50A4"/>
    <w:rsid w:val="001B5522"/>
    <w:rsid w:val="001B6AFB"/>
    <w:rsid w:val="001B6B54"/>
    <w:rsid w:val="001B6DA3"/>
    <w:rsid w:val="001B6F0C"/>
    <w:rsid w:val="001B7778"/>
    <w:rsid w:val="001C0149"/>
    <w:rsid w:val="001C0449"/>
    <w:rsid w:val="001C07EC"/>
    <w:rsid w:val="001C08B4"/>
    <w:rsid w:val="001C0BDC"/>
    <w:rsid w:val="001C1468"/>
    <w:rsid w:val="001C1778"/>
    <w:rsid w:val="001C1CC2"/>
    <w:rsid w:val="001C22C0"/>
    <w:rsid w:val="001C2876"/>
    <w:rsid w:val="001C2C93"/>
    <w:rsid w:val="001C31E6"/>
    <w:rsid w:val="001C393A"/>
    <w:rsid w:val="001C4025"/>
    <w:rsid w:val="001C4119"/>
    <w:rsid w:val="001C422C"/>
    <w:rsid w:val="001C44EA"/>
    <w:rsid w:val="001C4EBC"/>
    <w:rsid w:val="001C4F5B"/>
    <w:rsid w:val="001C50C7"/>
    <w:rsid w:val="001C6118"/>
    <w:rsid w:val="001C6204"/>
    <w:rsid w:val="001C65B9"/>
    <w:rsid w:val="001C6795"/>
    <w:rsid w:val="001C6AE8"/>
    <w:rsid w:val="001C6E4E"/>
    <w:rsid w:val="001C6F60"/>
    <w:rsid w:val="001C792B"/>
    <w:rsid w:val="001D0476"/>
    <w:rsid w:val="001D0B9A"/>
    <w:rsid w:val="001D0EB6"/>
    <w:rsid w:val="001D0F93"/>
    <w:rsid w:val="001D0FE5"/>
    <w:rsid w:val="001D17B6"/>
    <w:rsid w:val="001D19CA"/>
    <w:rsid w:val="001D1B85"/>
    <w:rsid w:val="001D21D7"/>
    <w:rsid w:val="001D2960"/>
    <w:rsid w:val="001D29B4"/>
    <w:rsid w:val="001D2AE6"/>
    <w:rsid w:val="001D32CF"/>
    <w:rsid w:val="001D33B0"/>
    <w:rsid w:val="001D3F67"/>
    <w:rsid w:val="001D3FB8"/>
    <w:rsid w:val="001D41F4"/>
    <w:rsid w:val="001D49E4"/>
    <w:rsid w:val="001D578A"/>
    <w:rsid w:val="001D59B8"/>
    <w:rsid w:val="001D5FB4"/>
    <w:rsid w:val="001D6106"/>
    <w:rsid w:val="001D64BC"/>
    <w:rsid w:val="001D65AE"/>
    <w:rsid w:val="001D6906"/>
    <w:rsid w:val="001D6A47"/>
    <w:rsid w:val="001D6B7A"/>
    <w:rsid w:val="001D6C8F"/>
    <w:rsid w:val="001D6F65"/>
    <w:rsid w:val="001D72F2"/>
    <w:rsid w:val="001D737C"/>
    <w:rsid w:val="001D76D2"/>
    <w:rsid w:val="001D7CC5"/>
    <w:rsid w:val="001E07E3"/>
    <w:rsid w:val="001E15F0"/>
    <w:rsid w:val="001E1833"/>
    <w:rsid w:val="001E185C"/>
    <w:rsid w:val="001E1BA1"/>
    <w:rsid w:val="001E2437"/>
    <w:rsid w:val="001E2463"/>
    <w:rsid w:val="001E24F2"/>
    <w:rsid w:val="001E2F8E"/>
    <w:rsid w:val="001E356A"/>
    <w:rsid w:val="001E358A"/>
    <w:rsid w:val="001E485D"/>
    <w:rsid w:val="001E4B53"/>
    <w:rsid w:val="001E4F10"/>
    <w:rsid w:val="001E525B"/>
    <w:rsid w:val="001E54E0"/>
    <w:rsid w:val="001E62B5"/>
    <w:rsid w:val="001E6A3E"/>
    <w:rsid w:val="001E7312"/>
    <w:rsid w:val="001E7400"/>
    <w:rsid w:val="001E75FB"/>
    <w:rsid w:val="001E78DE"/>
    <w:rsid w:val="001E7C3A"/>
    <w:rsid w:val="001F072A"/>
    <w:rsid w:val="001F07F0"/>
    <w:rsid w:val="001F0978"/>
    <w:rsid w:val="001F1712"/>
    <w:rsid w:val="001F1B01"/>
    <w:rsid w:val="001F276E"/>
    <w:rsid w:val="001F2B14"/>
    <w:rsid w:val="001F31E8"/>
    <w:rsid w:val="001F4005"/>
    <w:rsid w:val="001F4650"/>
    <w:rsid w:val="001F499A"/>
    <w:rsid w:val="001F4AD0"/>
    <w:rsid w:val="001F4D6B"/>
    <w:rsid w:val="001F56AE"/>
    <w:rsid w:val="001F5743"/>
    <w:rsid w:val="001F57DB"/>
    <w:rsid w:val="001F580E"/>
    <w:rsid w:val="001F5A5E"/>
    <w:rsid w:val="001F5CA1"/>
    <w:rsid w:val="001F5EC7"/>
    <w:rsid w:val="001F62BD"/>
    <w:rsid w:val="001F6AC8"/>
    <w:rsid w:val="001F6B01"/>
    <w:rsid w:val="001F7188"/>
    <w:rsid w:val="001F740B"/>
    <w:rsid w:val="001F76F0"/>
    <w:rsid w:val="001F781C"/>
    <w:rsid w:val="001F78D0"/>
    <w:rsid w:val="00200C65"/>
    <w:rsid w:val="00200EE7"/>
    <w:rsid w:val="00201084"/>
    <w:rsid w:val="00201203"/>
    <w:rsid w:val="00201273"/>
    <w:rsid w:val="002017D5"/>
    <w:rsid w:val="00201BEC"/>
    <w:rsid w:val="002025FD"/>
    <w:rsid w:val="00202A14"/>
    <w:rsid w:val="002035A2"/>
    <w:rsid w:val="002035EE"/>
    <w:rsid w:val="00203691"/>
    <w:rsid w:val="002039FB"/>
    <w:rsid w:val="00203A62"/>
    <w:rsid w:val="002044C9"/>
    <w:rsid w:val="00204726"/>
    <w:rsid w:val="0020530D"/>
    <w:rsid w:val="00205469"/>
    <w:rsid w:val="002056C6"/>
    <w:rsid w:val="00205B3D"/>
    <w:rsid w:val="00206024"/>
    <w:rsid w:val="00206AE6"/>
    <w:rsid w:val="00206B7A"/>
    <w:rsid w:val="00206DFE"/>
    <w:rsid w:val="002071DB"/>
    <w:rsid w:val="00207918"/>
    <w:rsid w:val="00207FF8"/>
    <w:rsid w:val="00211200"/>
    <w:rsid w:val="002112F5"/>
    <w:rsid w:val="002117D2"/>
    <w:rsid w:val="002117ED"/>
    <w:rsid w:val="00212006"/>
    <w:rsid w:val="00212485"/>
    <w:rsid w:val="002124BF"/>
    <w:rsid w:val="002128D8"/>
    <w:rsid w:val="0021292E"/>
    <w:rsid w:val="002130CF"/>
    <w:rsid w:val="002135F5"/>
    <w:rsid w:val="002138F6"/>
    <w:rsid w:val="00213A7B"/>
    <w:rsid w:val="00213B2D"/>
    <w:rsid w:val="002143CA"/>
    <w:rsid w:val="0021442B"/>
    <w:rsid w:val="00214DE2"/>
    <w:rsid w:val="00215924"/>
    <w:rsid w:val="00216010"/>
    <w:rsid w:val="00216173"/>
    <w:rsid w:val="002166C3"/>
    <w:rsid w:val="00216726"/>
    <w:rsid w:val="00216BA1"/>
    <w:rsid w:val="00216EDF"/>
    <w:rsid w:val="00217179"/>
    <w:rsid w:val="002173CB"/>
    <w:rsid w:val="00217527"/>
    <w:rsid w:val="00217579"/>
    <w:rsid w:val="00217766"/>
    <w:rsid w:val="00217D90"/>
    <w:rsid w:val="00217F39"/>
    <w:rsid w:val="002200F2"/>
    <w:rsid w:val="00220719"/>
    <w:rsid w:val="00220953"/>
    <w:rsid w:val="002210BE"/>
    <w:rsid w:val="002214C6"/>
    <w:rsid w:val="0022165E"/>
    <w:rsid w:val="002216D3"/>
    <w:rsid w:val="00221A9D"/>
    <w:rsid w:val="0022256F"/>
    <w:rsid w:val="00222A55"/>
    <w:rsid w:val="0022331A"/>
    <w:rsid w:val="002236FA"/>
    <w:rsid w:val="002238B2"/>
    <w:rsid w:val="00223BB2"/>
    <w:rsid w:val="00223EBE"/>
    <w:rsid w:val="00223F6F"/>
    <w:rsid w:val="00224A07"/>
    <w:rsid w:val="00225506"/>
    <w:rsid w:val="002260AE"/>
    <w:rsid w:val="00226166"/>
    <w:rsid w:val="00226169"/>
    <w:rsid w:val="00226709"/>
    <w:rsid w:val="0022675B"/>
    <w:rsid w:val="00226DBA"/>
    <w:rsid w:val="0022736A"/>
    <w:rsid w:val="00227EEA"/>
    <w:rsid w:val="002303C1"/>
    <w:rsid w:val="00230972"/>
    <w:rsid w:val="002309F6"/>
    <w:rsid w:val="00230F6E"/>
    <w:rsid w:val="00230F9E"/>
    <w:rsid w:val="00231C79"/>
    <w:rsid w:val="002320BB"/>
    <w:rsid w:val="00232418"/>
    <w:rsid w:val="00232617"/>
    <w:rsid w:val="00232C4A"/>
    <w:rsid w:val="00232E43"/>
    <w:rsid w:val="00232FE2"/>
    <w:rsid w:val="0023312A"/>
    <w:rsid w:val="00233147"/>
    <w:rsid w:val="002335F9"/>
    <w:rsid w:val="002337B3"/>
    <w:rsid w:val="00233B58"/>
    <w:rsid w:val="0023402F"/>
    <w:rsid w:val="00234075"/>
    <w:rsid w:val="00234AC3"/>
    <w:rsid w:val="00234B69"/>
    <w:rsid w:val="00234D2B"/>
    <w:rsid w:val="002351EA"/>
    <w:rsid w:val="00236453"/>
    <w:rsid w:val="00236B18"/>
    <w:rsid w:val="00236C05"/>
    <w:rsid w:val="00236C63"/>
    <w:rsid w:val="00236D73"/>
    <w:rsid w:val="00236EDA"/>
    <w:rsid w:val="0023720E"/>
    <w:rsid w:val="00237C3C"/>
    <w:rsid w:val="00240654"/>
    <w:rsid w:val="002406CE"/>
    <w:rsid w:val="00241222"/>
    <w:rsid w:val="00241409"/>
    <w:rsid w:val="0024144F"/>
    <w:rsid w:val="0024162A"/>
    <w:rsid w:val="00242708"/>
    <w:rsid w:val="0024303E"/>
    <w:rsid w:val="002430B0"/>
    <w:rsid w:val="00243363"/>
    <w:rsid w:val="0024362C"/>
    <w:rsid w:val="002436B0"/>
    <w:rsid w:val="00243D42"/>
    <w:rsid w:val="00243E07"/>
    <w:rsid w:val="00244069"/>
    <w:rsid w:val="0024453C"/>
    <w:rsid w:val="0024466E"/>
    <w:rsid w:val="0024488C"/>
    <w:rsid w:val="00244AEA"/>
    <w:rsid w:val="00244AF8"/>
    <w:rsid w:val="00244C97"/>
    <w:rsid w:val="00244D67"/>
    <w:rsid w:val="00245204"/>
    <w:rsid w:val="00245344"/>
    <w:rsid w:val="0024554C"/>
    <w:rsid w:val="00245A1E"/>
    <w:rsid w:val="00246003"/>
    <w:rsid w:val="002462BB"/>
    <w:rsid w:val="00246BA8"/>
    <w:rsid w:val="0024703B"/>
    <w:rsid w:val="002470F2"/>
    <w:rsid w:val="00247C9E"/>
    <w:rsid w:val="00247D7D"/>
    <w:rsid w:val="00250487"/>
    <w:rsid w:val="002504F5"/>
    <w:rsid w:val="00250E58"/>
    <w:rsid w:val="0025138B"/>
    <w:rsid w:val="00251FFB"/>
    <w:rsid w:val="0025257C"/>
    <w:rsid w:val="00252617"/>
    <w:rsid w:val="002526EF"/>
    <w:rsid w:val="002527F4"/>
    <w:rsid w:val="0025299A"/>
    <w:rsid w:val="00253013"/>
    <w:rsid w:val="002532B0"/>
    <w:rsid w:val="00253358"/>
    <w:rsid w:val="002536A8"/>
    <w:rsid w:val="002542C2"/>
    <w:rsid w:val="002545B0"/>
    <w:rsid w:val="00254620"/>
    <w:rsid w:val="00254FA0"/>
    <w:rsid w:val="002561EC"/>
    <w:rsid w:val="00256370"/>
    <w:rsid w:val="002567BF"/>
    <w:rsid w:val="00256891"/>
    <w:rsid w:val="00257CD0"/>
    <w:rsid w:val="00257DDB"/>
    <w:rsid w:val="002601C8"/>
    <w:rsid w:val="002608C3"/>
    <w:rsid w:val="002608DF"/>
    <w:rsid w:val="00260B0F"/>
    <w:rsid w:val="002613F6"/>
    <w:rsid w:val="0026173C"/>
    <w:rsid w:val="002617C0"/>
    <w:rsid w:val="0026190E"/>
    <w:rsid w:val="00262788"/>
    <w:rsid w:val="002627B0"/>
    <w:rsid w:val="0026399C"/>
    <w:rsid w:val="00263BD9"/>
    <w:rsid w:val="002641D6"/>
    <w:rsid w:val="0026453F"/>
    <w:rsid w:val="0026468B"/>
    <w:rsid w:val="00265216"/>
    <w:rsid w:val="00265506"/>
    <w:rsid w:val="00265BD6"/>
    <w:rsid w:val="00265E7D"/>
    <w:rsid w:val="0026629F"/>
    <w:rsid w:val="0026651E"/>
    <w:rsid w:val="00266EFB"/>
    <w:rsid w:val="002676E6"/>
    <w:rsid w:val="0026774C"/>
    <w:rsid w:val="002702A5"/>
    <w:rsid w:val="00270848"/>
    <w:rsid w:val="002709AF"/>
    <w:rsid w:val="00270CE9"/>
    <w:rsid w:val="00270FEC"/>
    <w:rsid w:val="00271BBD"/>
    <w:rsid w:val="00271F6B"/>
    <w:rsid w:val="00272161"/>
    <w:rsid w:val="00272A55"/>
    <w:rsid w:val="00272D39"/>
    <w:rsid w:val="00273D11"/>
    <w:rsid w:val="00273D6B"/>
    <w:rsid w:val="00274E4E"/>
    <w:rsid w:val="00275137"/>
    <w:rsid w:val="00275159"/>
    <w:rsid w:val="00276431"/>
    <w:rsid w:val="00276673"/>
    <w:rsid w:val="00276A48"/>
    <w:rsid w:val="00276C9E"/>
    <w:rsid w:val="00276D1E"/>
    <w:rsid w:val="00276F41"/>
    <w:rsid w:val="00277FD9"/>
    <w:rsid w:val="00280169"/>
    <w:rsid w:val="0028059C"/>
    <w:rsid w:val="00280D81"/>
    <w:rsid w:val="00281184"/>
    <w:rsid w:val="00281498"/>
    <w:rsid w:val="00281C29"/>
    <w:rsid w:val="00281F33"/>
    <w:rsid w:val="0028214A"/>
    <w:rsid w:val="002827A9"/>
    <w:rsid w:val="0028383B"/>
    <w:rsid w:val="00283E76"/>
    <w:rsid w:val="002840D8"/>
    <w:rsid w:val="00284AA3"/>
    <w:rsid w:val="00285453"/>
    <w:rsid w:val="00285613"/>
    <w:rsid w:val="002856EF"/>
    <w:rsid w:val="002859BB"/>
    <w:rsid w:val="0028652A"/>
    <w:rsid w:val="00286980"/>
    <w:rsid w:val="0028754C"/>
    <w:rsid w:val="0028756C"/>
    <w:rsid w:val="00287723"/>
    <w:rsid w:val="00290105"/>
    <w:rsid w:val="00290A1D"/>
    <w:rsid w:val="002916E9"/>
    <w:rsid w:val="00291AB0"/>
    <w:rsid w:val="00291AB1"/>
    <w:rsid w:val="00291C0A"/>
    <w:rsid w:val="00291C73"/>
    <w:rsid w:val="002921FA"/>
    <w:rsid w:val="00292342"/>
    <w:rsid w:val="00292620"/>
    <w:rsid w:val="00292BD7"/>
    <w:rsid w:val="00293200"/>
    <w:rsid w:val="002934AA"/>
    <w:rsid w:val="002936EE"/>
    <w:rsid w:val="00295A13"/>
    <w:rsid w:val="00295B06"/>
    <w:rsid w:val="00295C2F"/>
    <w:rsid w:val="002963DF"/>
    <w:rsid w:val="00296764"/>
    <w:rsid w:val="00296F10"/>
    <w:rsid w:val="00297ADE"/>
    <w:rsid w:val="00297C18"/>
    <w:rsid w:val="00297D5A"/>
    <w:rsid w:val="002A0392"/>
    <w:rsid w:val="002A0CAF"/>
    <w:rsid w:val="002A0DC0"/>
    <w:rsid w:val="002A1EC5"/>
    <w:rsid w:val="002A28E9"/>
    <w:rsid w:val="002A298A"/>
    <w:rsid w:val="002A2FF4"/>
    <w:rsid w:val="002A30D2"/>
    <w:rsid w:val="002A324B"/>
    <w:rsid w:val="002A3456"/>
    <w:rsid w:val="002A367B"/>
    <w:rsid w:val="002A36A2"/>
    <w:rsid w:val="002A4269"/>
    <w:rsid w:val="002A45C9"/>
    <w:rsid w:val="002A45FE"/>
    <w:rsid w:val="002A575B"/>
    <w:rsid w:val="002A5A16"/>
    <w:rsid w:val="002A5A31"/>
    <w:rsid w:val="002A5B92"/>
    <w:rsid w:val="002A7029"/>
    <w:rsid w:val="002A72A4"/>
    <w:rsid w:val="002A741E"/>
    <w:rsid w:val="002A796A"/>
    <w:rsid w:val="002A7B60"/>
    <w:rsid w:val="002A7C4C"/>
    <w:rsid w:val="002A7E50"/>
    <w:rsid w:val="002B0AE3"/>
    <w:rsid w:val="002B153B"/>
    <w:rsid w:val="002B17C8"/>
    <w:rsid w:val="002B1813"/>
    <w:rsid w:val="002B1D7D"/>
    <w:rsid w:val="002B1D7E"/>
    <w:rsid w:val="002B2051"/>
    <w:rsid w:val="002B2722"/>
    <w:rsid w:val="002B2C04"/>
    <w:rsid w:val="002B2F61"/>
    <w:rsid w:val="002B3229"/>
    <w:rsid w:val="002B5313"/>
    <w:rsid w:val="002B55BB"/>
    <w:rsid w:val="002B5AE1"/>
    <w:rsid w:val="002B6802"/>
    <w:rsid w:val="002B699B"/>
    <w:rsid w:val="002B6CF6"/>
    <w:rsid w:val="002B7169"/>
    <w:rsid w:val="002B7EC1"/>
    <w:rsid w:val="002C0145"/>
    <w:rsid w:val="002C02DC"/>
    <w:rsid w:val="002C05B5"/>
    <w:rsid w:val="002C0765"/>
    <w:rsid w:val="002C09AE"/>
    <w:rsid w:val="002C0EAB"/>
    <w:rsid w:val="002C0FCB"/>
    <w:rsid w:val="002C15FF"/>
    <w:rsid w:val="002C17E6"/>
    <w:rsid w:val="002C1A5C"/>
    <w:rsid w:val="002C1BEA"/>
    <w:rsid w:val="002C2490"/>
    <w:rsid w:val="002C2FD3"/>
    <w:rsid w:val="002C31B6"/>
    <w:rsid w:val="002C3454"/>
    <w:rsid w:val="002C39CB"/>
    <w:rsid w:val="002C4253"/>
    <w:rsid w:val="002C4971"/>
    <w:rsid w:val="002C559B"/>
    <w:rsid w:val="002C5A23"/>
    <w:rsid w:val="002C6193"/>
    <w:rsid w:val="002C67C8"/>
    <w:rsid w:val="002C6855"/>
    <w:rsid w:val="002C6BFF"/>
    <w:rsid w:val="002C6C54"/>
    <w:rsid w:val="002C70DA"/>
    <w:rsid w:val="002C7A53"/>
    <w:rsid w:val="002D0501"/>
    <w:rsid w:val="002D06F0"/>
    <w:rsid w:val="002D08A6"/>
    <w:rsid w:val="002D1008"/>
    <w:rsid w:val="002D10C2"/>
    <w:rsid w:val="002D1632"/>
    <w:rsid w:val="002D171D"/>
    <w:rsid w:val="002D1AD5"/>
    <w:rsid w:val="002D2225"/>
    <w:rsid w:val="002D264F"/>
    <w:rsid w:val="002D2900"/>
    <w:rsid w:val="002D2BC7"/>
    <w:rsid w:val="002D2F08"/>
    <w:rsid w:val="002D2F23"/>
    <w:rsid w:val="002D32E3"/>
    <w:rsid w:val="002D3360"/>
    <w:rsid w:val="002D3410"/>
    <w:rsid w:val="002D347A"/>
    <w:rsid w:val="002D36AB"/>
    <w:rsid w:val="002D3895"/>
    <w:rsid w:val="002D433F"/>
    <w:rsid w:val="002D4416"/>
    <w:rsid w:val="002D6FF9"/>
    <w:rsid w:val="002D71B0"/>
    <w:rsid w:val="002D71BE"/>
    <w:rsid w:val="002D7395"/>
    <w:rsid w:val="002E0502"/>
    <w:rsid w:val="002E067F"/>
    <w:rsid w:val="002E0AC2"/>
    <w:rsid w:val="002E0C00"/>
    <w:rsid w:val="002E107C"/>
    <w:rsid w:val="002E14B7"/>
    <w:rsid w:val="002E203B"/>
    <w:rsid w:val="002E226C"/>
    <w:rsid w:val="002E27EF"/>
    <w:rsid w:val="002E2940"/>
    <w:rsid w:val="002E2B34"/>
    <w:rsid w:val="002E2BC8"/>
    <w:rsid w:val="002E2D4B"/>
    <w:rsid w:val="002E304B"/>
    <w:rsid w:val="002E3114"/>
    <w:rsid w:val="002E374C"/>
    <w:rsid w:val="002E37D4"/>
    <w:rsid w:val="002E398B"/>
    <w:rsid w:val="002E3E29"/>
    <w:rsid w:val="002E42B8"/>
    <w:rsid w:val="002E508E"/>
    <w:rsid w:val="002E50B8"/>
    <w:rsid w:val="002E5765"/>
    <w:rsid w:val="002E5890"/>
    <w:rsid w:val="002E5A92"/>
    <w:rsid w:val="002E5DA7"/>
    <w:rsid w:val="002E616C"/>
    <w:rsid w:val="002E6CE9"/>
    <w:rsid w:val="002E6D8D"/>
    <w:rsid w:val="002E6EB2"/>
    <w:rsid w:val="002E72D7"/>
    <w:rsid w:val="002E7484"/>
    <w:rsid w:val="002E74D0"/>
    <w:rsid w:val="002E78C2"/>
    <w:rsid w:val="002E793D"/>
    <w:rsid w:val="002E7A96"/>
    <w:rsid w:val="002F08C5"/>
    <w:rsid w:val="002F0A50"/>
    <w:rsid w:val="002F0E2F"/>
    <w:rsid w:val="002F11E2"/>
    <w:rsid w:val="002F1311"/>
    <w:rsid w:val="002F1E59"/>
    <w:rsid w:val="002F31F6"/>
    <w:rsid w:val="002F32BA"/>
    <w:rsid w:val="002F341D"/>
    <w:rsid w:val="002F345C"/>
    <w:rsid w:val="002F38C6"/>
    <w:rsid w:val="002F3ECC"/>
    <w:rsid w:val="002F4082"/>
    <w:rsid w:val="002F4EC9"/>
    <w:rsid w:val="002F50D2"/>
    <w:rsid w:val="002F61BC"/>
    <w:rsid w:val="002F695A"/>
    <w:rsid w:val="002F6A38"/>
    <w:rsid w:val="002F6FE6"/>
    <w:rsid w:val="002F7A85"/>
    <w:rsid w:val="002F7B07"/>
    <w:rsid w:val="002F7EA8"/>
    <w:rsid w:val="002F7F1B"/>
    <w:rsid w:val="0030062E"/>
    <w:rsid w:val="00300787"/>
    <w:rsid w:val="00300876"/>
    <w:rsid w:val="00300D9E"/>
    <w:rsid w:val="00301017"/>
    <w:rsid w:val="003018CE"/>
    <w:rsid w:val="00301C2F"/>
    <w:rsid w:val="00301D0B"/>
    <w:rsid w:val="00301DF5"/>
    <w:rsid w:val="00301F34"/>
    <w:rsid w:val="003026DC"/>
    <w:rsid w:val="003026E3"/>
    <w:rsid w:val="00302B89"/>
    <w:rsid w:val="003039FD"/>
    <w:rsid w:val="00303D02"/>
    <w:rsid w:val="0030412B"/>
    <w:rsid w:val="0030425A"/>
    <w:rsid w:val="003042ED"/>
    <w:rsid w:val="0030452A"/>
    <w:rsid w:val="003045AA"/>
    <w:rsid w:val="00304712"/>
    <w:rsid w:val="00305019"/>
    <w:rsid w:val="00305650"/>
    <w:rsid w:val="00305A47"/>
    <w:rsid w:val="0030602E"/>
    <w:rsid w:val="00306149"/>
    <w:rsid w:val="0030639C"/>
    <w:rsid w:val="00306419"/>
    <w:rsid w:val="00306C7B"/>
    <w:rsid w:val="003072AA"/>
    <w:rsid w:val="003077A1"/>
    <w:rsid w:val="0030798C"/>
    <w:rsid w:val="00307A10"/>
    <w:rsid w:val="00307DEB"/>
    <w:rsid w:val="00307E78"/>
    <w:rsid w:val="003107EE"/>
    <w:rsid w:val="00310971"/>
    <w:rsid w:val="00310974"/>
    <w:rsid w:val="00310CB9"/>
    <w:rsid w:val="00310EA9"/>
    <w:rsid w:val="00310F5E"/>
    <w:rsid w:val="003119EE"/>
    <w:rsid w:val="00311BDB"/>
    <w:rsid w:val="00312679"/>
    <w:rsid w:val="0031293A"/>
    <w:rsid w:val="00312AF0"/>
    <w:rsid w:val="00312B2E"/>
    <w:rsid w:val="00312D26"/>
    <w:rsid w:val="0031310D"/>
    <w:rsid w:val="0031359F"/>
    <w:rsid w:val="00313711"/>
    <w:rsid w:val="00313758"/>
    <w:rsid w:val="00313B3C"/>
    <w:rsid w:val="003140DA"/>
    <w:rsid w:val="0031479F"/>
    <w:rsid w:val="00314879"/>
    <w:rsid w:val="00314B89"/>
    <w:rsid w:val="00315253"/>
    <w:rsid w:val="00315321"/>
    <w:rsid w:val="0031595E"/>
    <w:rsid w:val="00316115"/>
    <w:rsid w:val="003164E1"/>
    <w:rsid w:val="0031692E"/>
    <w:rsid w:val="003169DF"/>
    <w:rsid w:val="00316A11"/>
    <w:rsid w:val="00316DFC"/>
    <w:rsid w:val="00316FEA"/>
    <w:rsid w:val="00317374"/>
    <w:rsid w:val="003175EA"/>
    <w:rsid w:val="003178E0"/>
    <w:rsid w:val="0032000E"/>
    <w:rsid w:val="00320704"/>
    <w:rsid w:val="003208D1"/>
    <w:rsid w:val="00320ACF"/>
    <w:rsid w:val="00320C30"/>
    <w:rsid w:val="00321625"/>
    <w:rsid w:val="00321853"/>
    <w:rsid w:val="003219B2"/>
    <w:rsid w:val="00321E5C"/>
    <w:rsid w:val="003220A0"/>
    <w:rsid w:val="0032221F"/>
    <w:rsid w:val="00322250"/>
    <w:rsid w:val="00322350"/>
    <w:rsid w:val="00322539"/>
    <w:rsid w:val="003229BB"/>
    <w:rsid w:val="00323066"/>
    <w:rsid w:val="00323354"/>
    <w:rsid w:val="003233AD"/>
    <w:rsid w:val="003233DE"/>
    <w:rsid w:val="00323662"/>
    <w:rsid w:val="00323B11"/>
    <w:rsid w:val="00323EFF"/>
    <w:rsid w:val="00324973"/>
    <w:rsid w:val="00324B4A"/>
    <w:rsid w:val="00324DE5"/>
    <w:rsid w:val="003250B1"/>
    <w:rsid w:val="0032564A"/>
    <w:rsid w:val="0032592F"/>
    <w:rsid w:val="00325BCD"/>
    <w:rsid w:val="00325C7A"/>
    <w:rsid w:val="003262F8"/>
    <w:rsid w:val="00326C56"/>
    <w:rsid w:val="003271FE"/>
    <w:rsid w:val="0032758D"/>
    <w:rsid w:val="003275E0"/>
    <w:rsid w:val="00330079"/>
    <w:rsid w:val="0033040E"/>
    <w:rsid w:val="00330568"/>
    <w:rsid w:val="00330577"/>
    <w:rsid w:val="0033058E"/>
    <w:rsid w:val="00330A7F"/>
    <w:rsid w:val="00330C58"/>
    <w:rsid w:val="003314EA"/>
    <w:rsid w:val="00331599"/>
    <w:rsid w:val="00332110"/>
    <w:rsid w:val="00332779"/>
    <w:rsid w:val="0033279D"/>
    <w:rsid w:val="00333118"/>
    <w:rsid w:val="0033388B"/>
    <w:rsid w:val="00333A0D"/>
    <w:rsid w:val="003341AD"/>
    <w:rsid w:val="00334680"/>
    <w:rsid w:val="0033482D"/>
    <w:rsid w:val="00334A31"/>
    <w:rsid w:val="00334AFC"/>
    <w:rsid w:val="003351B4"/>
    <w:rsid w:val="00335833"/>
    <w:rsid w:val="00335A79"/>
    <w:rsid w:val="00335CE0"/>
    <w:rsid w:val="00335D42"/>
    <w:rsid w:val="00335DF6"/>
    <w:rsid w:val="00335F12"/>
    <w:rsid w:val="00336242"/>
    <w:rsid w:val="0033683D"/>
    <w:rsid w:val="003368E5"/>
    <w:rsid w:val="00336953"/>
    <w:rsid w:val="00336A35"/>
    <w:rsid w:val="00336CAE"/>
    <w:rsid w:val="003372E7"/>
    <w:rsid w:val="0033733D"/>
    <w:rsid w:val="00337560"/>
    <w:rsid w:val="003375E4"/>
    <w:rsid w:val="00337604"/>
    <w:rsid w:val="003379ED"/>
    <w:rsid w:val="0034033C"/>
    <w:rsid w:val="0034075B"/>
    <w:rsid w:val="00340AD6"/>
    <w:rsid w:val="00340C2A"/>
    <w:rsid w:val="00340EB0"/>
    <w:rsid w:val="003410A8"/>
    <w:rsid w:val="00342631"/>
    <w:rsid w:val="00342C92"/>
    <w:rsid w:val="00343524"/>
    <w:rsid w:val="0034366D"/>
    <w:rsid w:val="00343863"/>
    <w:rsid w:val="00343A42"/>
    <w:rsid w:val="00343BAB"/>
    <w:rsid w:val="00343DEC"/>
    <w:rsid w:val="00343F24"/>
    <w:rsid w:val="00344244"/>
    <w:rsid w:val="0034510D"/>
    <w:rsid w:val="00345A8E"/>
    <w:rsid w:val="003462B8"/>
    <w:rsid w:val="00346C23"/>
    <w:rsid w:val="00347058"/>
    <w:rsid w:val="00347BB4"/>
    <w:rsid w:val="0035011D"/>
    <w:rsid w:val="0035093A"/>
    <w:rsid w:val="00350E84"/>
    <w:rsid w:val="00350F42"/>
    <w:rsid w:val="00351950"/>
    <w:rsid w:val="00351A71"/>
    <w:rsid w:val="00351D75"/>
    <w:rsid w:val="0035236B"/>
    <w:rsid w:val="003523D6"/>
    <w:rsid w:val="003531ED"/>
    <w:rsid w:val="003537ED"/>
    <w:rsid w:val="00353914"/>
    <w:rsid w:val="00353A59"/>
    <w:rsid w:val="00353FA8"/>
    <w:rsid w:val="00354047"/>
    <w:rsid w:val="00354A4D"/>
    <w:rsid w:val="00354B57"/>
    <w:rsid w:val="00354B6F"/>
    <w:rsid w:val="00354DCF"/>
    <w:rsid w:val="00355034"/>
    <w:rsid w:val="00355C2B"/>
    <w:rsid w:val="003562F1"/>
    <w:rsid w:val="003566E1"/>
    <w:rsid w:val="00356743"/>
    <w:rsid w:val="00356D3F"/>
    <w:rsid w:val="00356FC7"/>
    <w:rsid w:val="003571AD"/>
    <w:rsid w:val="0035732B"/>
    <w:rsid w:val="00357682"/>
    <w:rsid w:val="00357779"/>
    <w:rsid w:val="003578B6"/>
    <w:rsid w:val="003579C5"/>
    <w:rsid w:val="00357DC9"/>
    <w:rsid w:val="00357DDB"/>
    <w:rsid w:val="00361670"/>
    <w:rsid w:val="003629BB"/>
    <w:rsid w:val="00362C5F"/>
    <w:rsid w:val="00363028"/>
    <w:rsid w:val="003632DB"/>
    <w:rsid w:val="0036365E"/>
    <w:rsid w:val="0036418B"/>
    <w:rsid w:val="003644F2"/>
    <w:rsid w:val="00364671"/>
    <w:rsid w:val="00364A8D"/>
    <w:rsid w:val="00364F39"/>
    <w:rsid w:val="00364FAB"/>
    <w:rsid w:val="003654D9"/>
    <w:rsid w:val="00365871"/>
    <w:rsid w:val="003658AA"/>
    <w:rsid w:val="00365FF0"/>
    <w:rsid w:val="0036635D"/>
    <w:rsid w:val="003665DF"/>
    <w:rsid w:val="003665F6"/>
    <w:rsid w:val="00366F42"/>
    <w:rsid w:val="0036745D"/>
    <w:rsid w:val="00367899"/>
    <w:rsid w:val="00370E46"/>
    <w:rsid w:val="003715CC"/>
    <w:rsid w:val="003716B1"/>
    <w:rsid w:val="00371AB5"/>
    <w:rsid w:val="00372FB5"/>
    <w:rsid w:val="00373327"/>
    <w:rsid w:val="0037398B"/>
    <w:rsid w:val="00373B5E"/>
    <w:rsid w:val="00374081"/>
    <w:rsid w:val="0037413B"/>
    <w:rsid w:val="003742DF"/>
    <w:rsid w:val="00374812"/>
    <w:rsid w:val="00374AAB"/>
    <w:rsid w:val="003754B5"/>
    <w:rsid w:val="0037625C"/>
    <w:rsid w:val="00377001"/>
    <w:rsid w:val="003772E6"/>
    <w:rsid w:val="00377432"/>
    <w:rsid w:val="00377E04"/>
    <w:rsid w:val="00377FBB"/>
    <w:rsid w:val="00380128"/>
    <w:rsid w:val="00380305"/>
    <w:rsid w:val="00380719"/>
    <w:rsid w:val="00380A68"/>
    <w:rsid w:val="00380CB8"/>
    <w:rsid w:val="00380F44"/>
    <w:rsid w:val="00381667"/>
    <w:rsid w:val="003817E2"/>
    <w:rsid w:val="00381820"/>
    <w:rsid w:val="003818C4"/>
    <w:rsid w:val="00381B26"/>
    <w:rsid w:val="00381FDC"/>
    <w:rsid w:val="00382953"/>
    <w:rsid w:val="003829D7"/>
    <w:rsid w:val="00382C45"/>
    <w:rsid w:val="00382E89"/>
    <w:rsid w:val="0038395D"/>
    <w:rsid w:val="00384068"/>
    <w:rsid w:val="003840CC"/>
    <w:rsid w:val="0038419C"/>
    <w:rsid w:val="003843F3"/>
    <w:rsid w:val="00384B0B"/>
    <w:rsid w:val="0038568E"/>
    <w:rsid w:val="003858DE"/>
    <w:rsid w:val="00385A66"/>
    <w:rsid w:val="00385E15"/>
    <w:rsid w:val="003860C9"/>
    <w:rsid w:val="0038643A"/>
    <w:rsid w:val="00386D77"/>
    <w:rsid w:val="00387179"/>
    <w:rsid w:val="003877F2"/>
    <w:rsid w:val="00387BF1"/>
    <w:rsid w:val="00391E39"/>
    <w:rsid w:val="00391FB5"/>
    <w:rsid w:val="003926F8"/>
    <w:rsid w:val="00392791"/>
    <w:rsid w:val="00392874"/>
    <w:rsid w:val="00392D89"/>
    <w:rsid w:val="00392DF8"/>
    <w:rsid w:val="00393045"/>
    <w:rsid w:val="00393BD5"/>
    <w:rsid w:val="00393FAC"/>
    <w:rsid w:val="0039400D"/>
    <w:rsid w:val="0039447E"/>
    <w:rsid w:val="00394E2B"/>
    <w:rsid w:val="00394EA1"/>
    <w:rsid w:val="0039507D"/>
    <w:rsid w:val="00395231"/>
    <w:rsid w:val="003957CB"/>
    <w:rsid w:val="00395A32"/>
    <w:rsid w:val="00395C16"/>
    <w:rsid w:val="00396CB6"/>
    <w:rsid w:val="00397075"/>
    <w:rsid w:val="003973A5"/>
    <w:rsid w:val="00397935"/>
    <w:rsid w:val="003A0B11"/>
    <w:rsid w:val="003A0ED5"/>
    <w:rsid w:val="003A10A3"/>
    <w:rsid w:val="003A1ACE"/>
    <w:rsid w:val="003A1B38"/>
    <w:rsid w:val="003A1D67"/>
    <w:rsid w:val="003A1EA4"/>
    <w:rsid w:val="003A1FD2"/>
    <w:rsid w:val="003A2230"/>
    <w:rsid w:val="003A25B9"/>
    <w:rsid w:val="003A26EC"/>
    <w:rsid w:val="003A29A4"/>
    <w:rsid w:val="003A2A1D"/>
    <w:rsid w:val="003A2FAC"/>
    <w:rsid w:val="003A32A3"/>
    <w:rsid w:val="003A36E4"/>
    <w:rsid w:val="003A38F8"/>
    <w:rsid w:val="003A3FDB"/>
    <w:rsid w:val="003A5DBC"/>
    <w:rsid w:val="003A5EC2"/>
    <w:rsid w:val="003A619F"/>
    <w:rsid w:val="003A6539"/>
    <w:rsid w:val="003A6582"/>
    <w:rsid w:val="003A67B3"/>
    <w:rsid w:val="003A6BCF"/>
    <w:rsid w:val="003A6EB3"/>
    <w:rsid w:val="003A72E1"/>
    <w:rsid w:val="003A7829"/>
    <w:rsid w:val="003A79A1"/>
    <w:rsid w:val="003A7BA1"/>
    <w:rsid w:val="003B0037"/>
    <w:rsid w:val="003B0FF2"/>
    <w:rsid w:val="003B1649"/>
    <w:rsid w:val="003B17B6"/>
    <w:rsid w:val="003B2606"/>
    <w:rsid w:val="003B27E3"/>
    <w:rsid w:val="003B28F2"/>
    <w:rsid w:val="003B2A7A"/>
    <w:rsid w:val="003B2F24"/>
    <w:rsid w:val="003B322B"/>
    <w:rsid w:val="003B3388"/>
    <w:rsid w:val="003B394F"/>
    <w:rsid w:val="003B4358"/>
    <w:rsid w:val="003B4E00"/>
    <w:rsid w:val="003B58B2"/>
    <w:rsid w:val="003B59F2"/>
    <w:rsid w:val="003B641D"/>
    <w:rsid w:val="003B6977"/>
    <w:rsid w:val="003B6B2F"/>
    <w:rsid w:val="003B6B82"/>
    <w:rsid w:val="003B6BE2"/>
    <w:rsid w:val="003B7844"/>
    <w:rsid w:val="003B7B1F"/>
    <w:rsid w:val="003B7EFD"/>
    <w:rsid w:val="003C0404"/>
    <w:rsid w:val="003C0B40"/>
    <w:rsid w:val="003C10BF"/>
    <w:rsid w:val="003C1B03"/>
    <w:rsid w:val="003C26A1"/>
    <w:rsid w:val="003C3C57"/>
    <w:rsid w:val="003C3E54"/>
    <w:rsid w:val="003C59A1"/>
    <w:rsid w:val="003C5A91"/>
    <w:rsid w:val="003C6157"/>
    <w:rsid w:val="003C653B"/>
    <w:rsid w:val="003C6F74"/>
    <w:rsid w:val="003C72D2"/>
    <w:rsid w:val="003C76BA"/>
    <w:rsid w:val="003C7977"/>
    <w:rsid w:val="003D06BE"/>
    <w:rsid w:val="003D0D04"/>
    <w:rsid w:val="003D12D6"/>
    <w:rsid w:val="003D1433"/>
    <w:rsid w:val="003D1FB4"/>
    <w:rsid w:val="003D23D0"/>
    <w:rsid w:val="003D2776"/>
    <w:rsid w:val="003D32B0"/>
    <w:rsid w:val="003D44E0"/>
    <w:rsid w:val="003D44E1"/>
    <w:rsid w:val="003D4C25"/>
    <w:rsid w:val="003D4C93"/>
    <w:rsid w:val="003D4EE2"/>
    <w:rsid w:val="003D5152"/>
    <w:rsid w:val="003D5232"/>
    <w:rsid w:val="003D5323"/>
    <w:rsid w:val="003D558D"/>
    <w:rsid w:val="003D5CB6"/>
    <w:rsid w:val="003D6186"/>
    <w:rsid w:val="003D63F4"/>
    <w:rsid w:val="003D64EC"/>
    <w:rsid w:val="003D711C"/>
    <w:rsid w:val="003D714F"/>
    <w:rsid w:val="003D7443"/>
    <w:rsid w:val="003D7D3E"/>
    <w:rsid w:val="003E0928"/>
    <w:rsid w:val="003E0ADD"/>
    <w:rsid w:val="003E10E8"/>
    <w:rsid w:val="003E115E"/>
    <w:rsid w:val="003E1477"/>
    <w:rsid w:val="003E1B76"/>
    <w:rsid w:val="003E1E65"/>
    <w:rsid w:val="003E215A"/>
    <w:rsid w:val="003E289F"/>
    <w:rsid w:val="003E2FA5"/>
    <w:rsid w:val="003E3895"/>
    <w:rsid w:val="003E3921"/>
    <w:rsid w:val="003E46F4"/>
    <w:rsid w:val="003E48E5"/>
    <w:rsid w:val="003E5554"/>
    <w:rsid w:val="003E5956"/>
    <w:rsid w:val="003E5A3E"/>
    <w:rsid w:val="003E5AE9"/>
    <w:rsid w:val="003E5D78"/>
    <w:rsid w:val="003E5EB4"/>
    <w:rsid w:val="003E6104"/>
    <w:rsid w:val="003E66DD"/>
    <w:rsid w:val="003E6B75"/>
    <w:rsid w:val="003E71D3"/>
    <w:rsid w:val="003E73E7"/>
    <w:rsid w:val="003E74E6"/>
    <w:rsid w:val="003E75BE"/>
    <w:rsid w:val="003E7972"/>
    <w:rsid w:val="003E7FB4"/>
    <w:rsid w:val="003F092E"/>
    <w:rsid w:val="003F18E5"/>
    <w:rsid w:val="003F1EF5"/>
    <w:rsid w:val="003F2121"/>
    <w:rsid w:val="003F291A"/>
    <w:rsid w:val="003F2921"/>
    <w:rsid w:val="003F31A4"/>
    <w:rsid w:val="003F3406"/>
    <w:rsid w:val="003F3662"/>
    <w:rsid w:val="003F3B52"/>
    <w:rsid w:val="003F425B"/>
    <w:rsid w:val="003F46CD"/>
    <w:rsid w:val="003F5239"/>
    <w:rsid w:val="003F534B"/>
    <w:rsid w:val="003F5AEE"/>
    <w:rsid w:val="003F5E1B"/>
    <w:rsid w:val="003F60C6"/>
    <w:rsid w:val="003F6967"/>
    <w:rsid w:val="003F6BDD"/>
    <w:rsid w:val="003F6C67"/>
    <w:rsid w:val="003F6C74"/>
    <w:rsid w:val="003F6DCA"/>
    <w:rsid w:val="003F715D"/>
    <w:rsid w:val="003F7396"/>
    <w:rsid w:val="003F7B38"/>
    <w:rsid w:val="003F7D1F"/>
    <w:rsid w:val="003F7DDB"/>
    <w:rsid w:val="004000A6"/>
    <w:rsid w:val="0040056A"/>
    <w:rsid w:val="004005B2"/>
    <w:rsid w:val="0040075D"/>
    <w:rsid w:val="00400C4C"/>
    <w:rsid w:val="00401398"/>
    <w:rsid w:val="004015E3"/>
    <w:rsid w:val="0040169C"/>
    <w:rsid w:val="0040185B"/>
    <w:rsid w:val="00401BCC"/>
    <w:rsid w:val="004025C9"/>
    <w:rsid w:val="00402B41"/>
    <w:rsid w:val="004030E6"/>
    <w:rsid w:val="00403B0E"/>
    <w:rsid w:val="00403F3A"/>
    <w:rsid w:val="00403FF0"/>
    <w:rsid w:val="00404990"/>
    <w:rsid w:val="00404A89"/>
    <w:rsid w:val="00404B61"/>
    <w:rsid w:val="00404BE7"/>
    <w:rsid w:val="0040587C"/>
    <w:rsid w:val="00405E0E"/>
    <w:rsid w:val="0040640F"/>
    <w:rsid w:val="0040660B"/>
    <w:rsid w:val="0040684E"/>
    <w:rsid w:val="00406DB5"/>
    <w:rsid w:val="004071A1"/>
    <w:rsid w:val="004077C4"/>
    <w:rsid w:val="00410D95"/>
    <w:rsid w:val="00411134"/>
    <w:rsid w:val="00411183"/>
    <w:rsid w:val="00411A09"/>
    <w:rsid w:val="00411A7D"/>
    <w:rsid w:val="00411E26"/>
    <w:rsid w:val="004121CD"/>
    <w:rsid w:val="0041293A"/>
    <w:rsid w:val="00412BF9"/>
    <w:rsid w:val="004130BD"/>
    <w:rsid w:val="0041374A"/>
    <w:rsid w:val="00414652"/>
    <w:rsid w:val="00414B46"/>
    <w:rsid w:val="00414CF7"/>
    <w:rsid w:val="00415102"/>
    <w:rsid w:val="00415157"/>
    <w:rsid w:val="00415EAC"/>
    <w:rsid w:val="00415EDE"/>
    <w:rsid w:val="004167B2"/>
    <w:rsid w:val="00416A84"/>
    <w:rsid w:val="004176AE"/>
    <w:rsid w:val="00417DA9"/>
    <w:rsid w:val="00421619"/>
    <w:rsid w:val="00421625"/>
    <w:rsid w:val="0042181E"/>
    <w:rsid w:val="00421ED7"/>
    <w:rsid w:val="00422823"/>
    <w:rsid w:val="00422C11"/>
    <w:rsid w:val="00422F15"/>
    <w:rsid w:val="00423409"/>
    <w:rsid w:val="004239E6"/>
    <w:rsid w:val="00423D38"/>
    <w:rsid w:val="00423D7E"/>
    <w:rsid w:val="00424001"/>
    <w:rsid w:val="004245B1"/>
    <w:rsid w:val="004247FF"/>
    <w:rsid w:val="004249CA"/>
    <w:rsid w:val="00424A5F"/>
    <w:rsid w:val="00424F27"/>
    <w:rsid w:val="00425306"/>
    <w:rsid w:val="00425A39"/>
    <w:rsid w:val="00425F39"/>
    <w:rsid w:val="004260B6"/>
    <w:rsid w:val="00426563"/>
    <w:rsid w:val="00426849"/>
    <w:rsid w:val="00426D69"/>
    <w:rsid w:val="004274A9"/>
    <w:rsid w:val="0042759A"/>
    <w:rsid w:val="004276E3"/>
    <w:rsid w:val="00427CFB"/>
    <w:rsid w:val="00427DF3"/>
    <w:rsid w:val="004301F9"/>
    <w:rsid w:val="00430B50"/>
    <w:rsid w:val="00430EC0"/>
    <w:rsid w:val="0043124E"/>
    <w:rsid w:val="0043147B"/>
    <w:rsid w:val="0043196A"/>
    <w:rsid w:val="0043242D"/>
    <w:rsid w:val="00432554"/>
    <w:rsid w:val="00432576"/>
    <w:rsid w:val="00432631"/>
    <w:rsid w:val="004327EC"/>
    <w:rsid w:val="00432AFC"/>
    <w:rsid w:val="00433263"/>
    <w:rsid w:val="0043361C"/>
    <w:rsid w:val="00433A69"/>
    <w:rsid w:val="00433C9B"/>
    <w:rsid w:val="00433D33"/>
    <w:rsid w:val="004346DF"/>
    <w:rsid w:val="00435402"/>
    <w:rsid w:val="0043541E"/>
    <w:rsid w:val="004366C3"/>
    <w:rsid w:val="004366C6"/>
    <w:rsid w:val="00436F96"/>
    <w:rsid w:val="00437257"/>
    <w:rsid w:val="00437DC0"/>
    <w:rsid w:val="00440968"/>
    <w:rsid w:val="00440F23"/>
    <w:rsid w:val="0044122F"/>
    <w:rsid w:val="004416A5"/>
    <w:rsid w:val="00441B95"/>
    <w:rsid w:val="004422B3"/>
    <w:rsid w:val="00442683"/>
    <w:rsid w:val="00443AA4"/>
    <w:rsid w:val="00443FD9"/>
    <w:rsid w:val="004441F8"/>
    <w:rsid w:val="004444DB"/>
    <w:rsid w:val="00444908"/>
    <w:rsid w:val="00444B59"/>
    <w:rsid w:val="0044504D"/>
    <w:rsid w:val="004452CE"/>
    <w:rsid w:val="004453FF"/>
    <w:rsid w:val="004460AD"/>
    <w:rsid w:val="0044639B"/>
    <w:rsid w:val="004463B1"/>
    <w:rsid w:val="00446606"/>
    <w:rsid w:val="00446A83"/>
    <w:rsid w:val="00446FB5"/>
    <w:rsid w:val="00447100"/>
    <w:rsid w:val="0044716D"/>
    <w:rsid w:val="0044757C"/>
    <w:rsid w:val="004475D5"/>
    <w:rsid w:val="004475FA"/>
    <w:rsid w:val="004479D1"/>
    <w:rsid w:val="00447A9C"/>
    <w:rsid w:val="00447F0D"/>
    <w:rsid w:val="00451CA2"/>
    <w:rsid w:val="00451EB3"/>
    <w:rsid w:val="00451FD7"/>
    <w:rsid w:val="00452467"/>
    <w:rsid w:val="00452493"/>
    <w:rsid w:val="00452937"/>
    <w:rsid w:val="004530D9"/>
    <w:rsid w:val="004537DD"/>
    <w:rsid w:val="00453995"/>
    <w:rsid w:val="0045441A"/>
    <w:rsid w:val="00454EF1"/>
    <w:rsid w:val="00454F96"/>
    <w:rsid w:val="004556B7"/>
    <w:rsid w:val="00455812"/>
    <w:rsid w:val="00455ACA"/>
    <w:rsid w:val="00456616"/>
    <w:rsid w:val="00456749"/>
    <w:rsid w:val="00456E77"/>
    <w:rsid w:val="0045706D"/>
    <w:rsid w:val="0045770C"/>
    <w:rsid w:val="00457C2A"/>
    <w:rsid w:val="00457E8A"/>
    <w:rsid w:val="00460077"/>
    <w:rsid w:val="0046076D"/>
    <w:rsid w:val="004615B8"/>
    <w:rsid w:val="0046202B"/>
    <w:rsid w:val="004623A9"/>
    <w:rsid w:val="00462CBB"/>
    <w:rsid w:val="00462D1A"/>
    <w:rsid w:val="00463771"/>
    <w:rsid w:val="00463849"/>
    <w:rsid w:val="00463CB2"/>
    <w:rsid w:val="0046409D"/>
    <w:rsid w:val="004644C4"/>
    <w:rsid w:val="004644F6"/>
    <w:rsid w:val="00464AB3"/>
    <w:rsid w:val="004659E6"/>
    <w:rsid w:val="00465F88"/>
    <w:rsid w:val="00466795"/>
    <w:rsid w:val="00466EDB"/>
    <w:rsid w:val="0046719E"/>
    <w:rsid w:val="00467637"/>
    <w:rsid w:val="00467B29"/>
    <w:rsid w:val="00467D21"/>
    <w:rsid w:val="00470048"/>
    <w:rsid w:val="00470A77"/>
    <w:rsid w:val="00470C56"/>
    <w:rsid w:val="00470ED7"/>
    <w:rsid w:val="00471261"/>
    <w:rsid w:val="00471611"/>
    <w:rsid w:val="00471A22"/>
    <w:rsid w:val="00471EE1"/>
    <w:rsid w:val="00471FCF"/>
    <w:rsid w:val="00472012"/>
    <w:rsid w:val="0047219A"/>
    <w:rsid w:val="00473511"/>
    <w:rsid w:val="004736C1"/>
    <w:rsid w:val="004737CD"/>
    <w:rsid w:val="004738F6"/>
    <w:rsid w:val="00474422"/>
    <w:rsid w:val="004747F5"/>
    <w:rsid w:val="00474A63"/>
    <w:rsid w:val="00474E03"/>
    <w:rsid w:val="0047517C"/>
    <w:rsid w:val="004757F0"/>
    <w:rsid w:val="00475FCB"/>
    <w:rsid w:val="0047710F"/>
    <w:rsid w:val="00477587"/>
    <w:rsid w:val="00477A6A"/>
    <w:rsid w:val="00477EF2"/>
    <w:rsid w:val="00480188"/>
    <w:rsid w:val="004803B6"/>
    <w:rsid w:val="00480676"/>
    <w:rsid w:val="00480BEB"/>
    <w:rsid w:val="00480C12"/>
    <w:rsid w:val="00480D5D"/>
    <w:rsid w:val="00480E00"/>
    <w:rsid w:val="004810EF"/>
    <w:rsid w:val="0048149D"/>
    <w:rsid w:val="004814A2"/>
    <w:rsid w:val="00481623"/>
    <w:rsid w:val="0048163E"/>
    <w:rsid w:val="00481AED"/>
    <w:rsid w:val="00482873"/>
    <w:rsid w:val="00482C23"/>
    <w:rsid w:val="00483579"/>
    <w:rsid w:val="00483730"/>
    <w:rsid w:val="00483F1A"/>
    <w:rsid w:val="004846F1"/>
    <w:rsid w:val="00484727"/>
    <w:rsid w:val="00484D7B"/>
    <w:rsid w:val="004850DF"/>
    <w:rsid w:val="00485161"/>
    <w:rsid w:val="00485558"/>
    <w:rsid w:val="00485872"/>
    <w:rsid w:val="00486731"/>
    <w:rsid w:val="00486F50"/>
    <w:rsid w:val="00487303"/>
    <w:rsid w:val="0048782E"/>
    <w:rsid w:val="00487A65"/>
    <w:rsid w:val="00490599"/>
    <w:rsid w:val="00490891"/>
    <w:rsid w:val="00490C19"/>
    <w:rsid w:val="00491341"/>
    <w:rsid w:val="00491BA1"/>
    <w:rsid w:val="00491DBE"/>
    <w:rsid w:val="00492751"/>
    <w:rsid w:val="004927EA"/>
    <w:rsid w:val="00492996"/>
    <w:rsid w:val="00492B1C"/>
    <w:rsid w:val="00492CAC"/>
    <w:rsid w:val="00492E85"/>
    <w:rsid w:val="0049306C"/>
    <w:rsid w:val="00493D04"/>
    <w:rsid w:val="004940F0"/>
    <w:rsid w:val="0049422B"/>
    <w:rsid w:val="00494AD3"/>
    <w:rsid w:val="00494AF9"/>
    <w:rsid w:val="00494E5B"/>
    <w:rsid w:val="004956A3"/>
    <w:rsid w:val="00495A62"/>
    <w:rsid w:val="00495CC0"/>
    <w:rsid w:val="00495DD7"/>
    <w:rsid w:val="00496752"/>
    <w:rsid w:val="004968BF"/>
    <w:rsid w:val="00497186"/>
    <w:rsid w:val="00497DAD"/>
    <w:rsid w:val="004A022E"/>
    <w:rsid w:val="004A0B1A"/>
    <w:rsid w:val="004A0EDD"/>
    <w:rsid w:val="004A176D"/>
    <w:rsid w:val="004A1D99"/>
    <w:rsid w:val="004A25CE"/>
    <w:rsid w:val="004A2875"/>
    <w:rsid w:val="004A2A3E"/>
    <w:rsid w:val="004A3077"/>
    <w:rsid w:val="004A32AC"/>
    <w:rsid w:val="004A3370"/>
    <w:rsid w:val="004A368E"/>
    <w:rsid w:val="004A36A8"/>
    <w:rsid w:val="004A3812"/>
    <w:rsid w:val="004A4100"/>
    <w:rsid w:val="004A46EC"/>
    <w:rsid w:val="004A52AB"/>
    <w:rsid w:val="004A5301"/>
    <w:rsid w:val="004A541F"/>
    <w:rsid w:val="004A56B0"/>
    <w:rsid w:val="004A5A02"/>
    <w:rsid w:val="004A5DCB"/>
    <w:rsid w:val="004A5FE4"/>
    <w:rsid w:val="004A6705"/>
    <w:rsid w:val="004A6837"/>
    <w:rsid w:val="004A683B"/>
    <w:rsid w:val="004A7102"/>
    <w:rsid w:val="004A7F97"/>
    <w:rsid w:val="004B03BB"/>
    <w:rsid w:val="004B06E9"/>
    <w:rsid w:val="004B0737"/>
    <w:rsid w:val="004B0A4D"/>
    <w:rsid w:val="004B177A"/>
    <w:rsid w:val="004B1948"/>
    <w:rsid w:val="004B1D2C"/>
    <w:rsid w:val="004B292A"/>
    <w:rsid w:val="004B2AAB"/>
    <w:rsid w:val="004B2BFD"/>
    <w:rsid w:val="004B37DA"/>
    <w:rsid w:val="004B3916"/>
    <w:rsid w:val="004B3E47"/>
    <w:rsid w:val="004B3ECD"/>
    <w:rsid w:val="004B4494"/>
    <w:rsid w:val="004B4546"/>
    <w:rsid w:val="004B4FBB"/>
    <w:rsid w:val="004B5024"/>
    <w:rsid w:val="004B577A"/>
    <w:rsid w:val="004B5AC5"/>
    <w:rsid w:val="004B5F49"/>
    <w:rsid w:val="004B6135"/>
    <w:rsid w:val="004B6BC2"/>
    <w:rsid w:val="004B6FF6"/>
    <w:rsid w:val="004B7342"/>
    <w:rsid w:val="004B7BF6"/>
    <w:rsid w:val="004B7C4E"/>
    <w:rsid w:val="004C020F"/>
    <w:rsid w:val="004C03C6"/>
    <w:rsid w:val="004C0427"/>
    <w:rsid w:val="004C0550"/>
    <w:rsid w:val="004C0B7F"/>
    <w:rsid w:val="004C1A70"/>
    <w:rsid w:val="004C211D"/>
    <w:rsid w:val="004C24BC"/>
    <w:rsid w:val="004C26C0"/>
    <w:rsid w:val="004C2C27"/>
    <w:rsid w:val="004C2D9B"/>
    <w:rsid w:val="004C33A9"/>
    <w:rsid w:val="004C33E7"/>
    <w:rsid w:val="004C3464"/>
    <w:rsid w:val="004C34EB"/>
    <w:rsid w:val="004C370B"/>
    <w:rsid w:val="004C3AC0"/>
    <w:rsid w:val="004C3C2E"/>
    <w:rsid w:val="004C3D34"/>
    <w:rsid w:val="004C3FF7"/>
    <w:rsid w:val="004C4058"/>
    <w:rsid w:val="004C4BFB"/>
    <w:rsid w:val="004C52C6"/>
    <w:rsid w:val="004C555B"/>
    <w:rsid w:val="004C571B"/>
    <w:rsid w:val="004C5B0E"/>
    <w:rsid w:val="004C5D8C"/>
    <w:rsid w:val="004C65DC"/>
    <w:rsid w:val="004C6A11"/>
    <w:rsid w:val="004C6DB4"/>
    <w:rsid w:val="004C6F1E"/>
    <w:rsid w:val="004D0C17"/>
    <w:rsid w:val="004D0D97"/>
    <w:rsid w:val="004D14AE"/>
    <w:rsid w:val="004D14DB"/>
    <w:rsid w:val="004D1A5B"/>
    <w:rsid w:val="004D1E7D"/>
    <w:rsid w:val="004D274B"/>
    <w:rsid w:val="004D2993"/>
    <w:rsid w:val="004D3002"/>
    <w:rsid w:val="004D3584"/>
    <w:rsid w:val="004D35F6"/>
    <w:rsid w:val="004D3759"/>
    <w:rsid w:val="004D3B12"/>
    <w:rsid w:val="004D3B70"/>
    <w:rsid w:val="004D3B78"/>
    <w:rsid w:val="004D3BB5"/>
    <w:rsid w:val="004D3C52"/>
    <w:rsid w:val="004D3E3F"/>
    <w:rsid w:val="004D3F98"/>
    <w:rsid w:val="004D3FC9"/>
    <w:rsid w:val="004D424C"/>
    <w:rsid w:val="004D46DD"/>
    <w:rsid w:val="004D48A1"/>
    <w:rsid w:val="004D4D08"/>
    <w:rsid w:val="004D4F41"/>
    <w:rsid w:val="004D5269"/>
    <w:rsid w:val="004D5424"/>
    <w:rsid w:val="004D55B1"/>
    <w:rsid w:val="004D55FD"/>
    <w:rsid w:val="004D57B6"/>
    <w:rsid w:val="004D5BA2"/>
    <w:rsid w:val="004D6790"/>
    <w:rsid w:val="004D6BE8"/>
    <w:rsid w:val="004D6F0E"/>
    <w:rsid w:val="004D7012"/>
    <w:rsid w:val="004D72ED"/>
    <w:rsid w:val="004D7CEB"/>
    <w:rsid w:val="004D7E27"/>
    <w:rsid w:val="004E00FE"/>
    <w:rsid w:val="004E0650"/>
    <w:rsid w:val="004E0CCD"/>
    <w:rsid w:val="004E0E27"/>
    <w:rsid w:val="004E112A"/>
    <w:rsid w:val="004E1872"/>
    <w:rsid w:val="004E1F56"/>
    <w:rsid w:val="004E2084"/>
    <w:rsid w:val="004E277A"/>
    <w:rsid w:val="004E349A"/>
    <w:rsid w:val="004E3771"/>
    <w:rsid w:val="004E480C"/>
    <w:rsid w:val="004E4E3A"/>
    <w:rsid w:val="004E4FA7"/>
    <w:rsid w:val="004E5993"/>
    <w:rsid w:val="004E5B77"/>
    <w:rsid w:val="004E5D3F"/>
    <w:rsid w:val="004E5DC8"/>
    <w:rsid w:val="004E6AF5"/>
    <w:rsid w:val="004E6B40"/>
    <w:rsid w:val="004E6E18"/>
    <w:rsid w:val="004E7412"/>
    <w:rsid w:val="004E7E4A"/>
    <w:rsid w:val="004F02BA"/>
    <w:rsid w:val="004F07DB"/>
    <w:rsid w:val="004F0FEF"/>
    <w:rsid w:val="004F13BF"/>
    <w:rsid w:val="004F1729"/>
    <w:rsid w:val="004F1A74"/>
    <w:rsid w:val="004F200A"/>
    <w:rsid w:val="004F230E"/>
    <w:rsid w:val="004F251E"/>
    <w:rsid w:val="004F28E2"/>
    <w:rsid w:val="004F29C8"/>
    <w:rsid w:val="004F2F11"/>
    <w:rsid w:val="004F2F63"/>
    <w:rsid w:val="004F31E9"/>
    <w:rsid w:val="004F3939"/>
    <w:rsid w:val="004F3C48"/>
    <w:rsid w:val="004F4048"/>
    <w:rsid w:val="004F4A07"/>
    <w:rsid w:val="004F4B7D"/>
    <w:rsid w:val="004F4DFC"/>
    <w:rsid w:val="004F545C"/>
    <w:rsid w:val="004F5927"/>
    <w:rsid w:val="004F5D1C"/>
    <w:rsid w:val="004F64CB"/>
    <w:rsid w:val="004F6755"/>
    <w:rsid w:val="004F694C"/>
    <w:rsid w:val="004F6A1F"/>
    <w:rsid w:val="004F6BB5"/>
    <w:rsid w:val="004F6BEE"/>
    <w:rsid w:val="004F6EDC"/>
    <w:rsid w:val="004F71AB"/>
    <w:rsid w:val="004F7779"/>
    <w:rsid w:val="004F79C8"/>
    <w:rsid w:val="004F7BA1"/>
    <w:rsid w:val="005011EC"/>
    <w:rsid w:val="00501420"/>
    <w:rsid w:val="005015C1"/>
    <w:rsid w:val="00501829"/>
    <w:rsid w:val="00501997"/>
    <w:rsid w:val="00501B70"/>
    <w:rsid w:val="0050234A"/>
    <w:rsid w:val="00502669"/>
    <w:rsid w:val="005027E9"/>
    <w:rsid w:val="00502C36"/>
    <w:rsid w:val="005033A5"/>
    <w:rsid w:val="0050395B"/>
    <w:rsid w:val="00504054"/>
    <w:rsid w:val="005042FF"/>
    <w:rsid w:val="00504FAD"/>
    <w:rsid w:val="0050505E"/>
    <w:rsid w:val="005051AD"/>
    <w:rsid w:val="00505A55"/>
    <w:rsid w:val="00505FB4"/>
    <w:rsid w:val="00506339"/>
    <w:rsid w:val="005068FD"/>
    <w:rsid w:val="00506967"/>
    <w:rsid w:val="00506D50"/>
    <w:rsid w:val="005072D9"/>
    <w:rsid w:val="0050770A"/>
    <w:rsid w:val="00507C5A"/>
    <w:rsid w:val="0051024E"/>
    <w:rsid w:val="005104CC"/>
    <w:rsid w:val="0051071E"/>
    <w:rsid w:val="00510769"/>
    <w:rsid w:val="00510C5C"/>
    <w:rsid w:val="00510D61"/>
    <w:rsid w:val="00511510"/>
    <w:rsid w:val="00511851"/>
    <w:rsid w:val="00511F0B"/>
    <w:rsid w:val="00511FCC"/>
    <w:rsid w:val="005133AF"/>
    <w:rsid w:val="00513659"/>
    <w:rsid w:val="0051365E"/>
    <w:rsid w:val="00513A17"/>
    <w:rsid w:val="00513C25"/>
    <w:rsid w:val="00513C43"/>
    <w:rsid w:val="00513D6E"/>
    <w:rsid w:val="0051433E"/>
    <w:rsid w:val="00514376"/>
    <w:rsid w:val="00514CC8"/>
    <w:rsid w:val="00514D17"/>
    <w:rsid w:val="00515009"/>
    <w:rsid w:val="00515282"/>
    <w:rsid w:val="00516018"/>
    <w:rsid w:val="00516255"/>
    <w:rsid w:val="00516FB5"/>
    <w:rsid w:val="00517462"/>
    <w:rsid w:val="00517B9A"/>
    <w:rsid w:val="00517EE0"/>
    <w:rsid w:val="00520086"/>
    <w:rsid w:val="00520335"/>
    <w:rsid w:val="005203E9"/>
    <w:rsid w:val="00520480"/>
    <w:rsid w:val="0052095B"/>
    <w:rsid w:val="00521079"/>
    <w:rsid w:val="005210D8"/>
    <w:rsid w:val="005212A8"/>
    <w:rsid w:val="005217B6"/>
    <w:rsid w:val="00522112"/>
    <w:rsid w:val="00522298"/>
    <w:rsid w:val="005222D1"/>
    <w:rsid w:val="00522882"/>
    <w:rsid w:val="00522BA7"/>
    <w:rsid w:val="00522DE6"/>
    <w:rsid w:val="00523562"/>
    <w:rsid w:val="005236BA"/>
    <w:rsid w:val="00523A24"/>
    <w:rsid w:val="00523AC7"/>
    <w:rsid w:val="00524370"/>
    <w:rsid w:val="00524943"/>
    <w:rsid w:val="00525392"/>
    <w:rsid w:val="00525486"/>
    <w:rsid w:val="005255F0"/>
    <w:rsid w:val="00525783"/>
    <w:rsid w:val="00525A3B"/>
    <w:rsid w:val="00525A43"/>
    <w:rsid w:val="0052651C"/>
    <w:rsid w:val="00526C8E"/>
    <w:rsid w:val="00526CE2"/>
    <w:rsid w:val="00526DF6"/>
    <w:rsid w:val="00527A26"/>
    <w:rsid w:val="005302A1"/>
    <w:rsid w:val="00530CD8"/>
    <w:rsid w:val="00530E5E"/>
    <w:rsid w:val="005313CB"/>
    <w:rsid w:val="00531732"/>
    <w:rsid w:val="00531E8B"/>
    <w:rsid w:val="00532253"/>
    <w:rsid w:val="00532257"/>
    <w:rsid w:val="00532A55"/>
    <w:rsid w:val="00533024"/>
    <w:rsid w:val="00533363"/>
    <w:rsid w:val="00533931"/>
    <w:rsid w:val="00533A24"/>
    <w:rsid w:val="005341AD"/>
    <w:rsid w:val="005342E3"/>
    <w:rsid w:val="00534E1F"/>
    <w:rsid w:val="00535102"/>
    <w:rsid w:val="005351E2"/>
    <w:rsid w:val="00535295"/>
    <w:rsid w:val="00535504"/>
    <w:rsid w:val="00535B17"/>
    <w:rsid w:val="005360D7"/>
    <w:rsid w:val="005366A2"/>
    <w:rsid w:val="00536997"/>
    <w:rsid w:val="00536A35"/>
    <w:rsid w:val="00536B5B"/>
    <w:rsid w:val="005374DB"/>
    <w:rsid w:val="005376A2"/>
    <w:rsid w:val="00537991"/>
    <w:rsid w:val="0054019F"/>
    <w:rsid w:val="0054049A"/>
    <w:rsid w:val="00540E67"/>
    <w:rsid w:val="005410CB"/>
    <w:rsid w:val="005410D6"/>
    <w:rsid w:val="005413D6"/>
    <w:rsid w:val="00541A51"/>
    <w:rsid w:val="00541DD7"/>
    <w:rsid w:val="0054228C"/>
    <w:rsid w:val="00542F4B"/>
    <w:rsid w:val="00543783"/>
    <w:rsid w:val="00543B71"/>
    <w:rsid w:val="00543E69"/>
    <w:rsid w:val="00544A7E"/>
    <w:rsid w:val="00544E4D"/>
    <w:rsid w:val="00545036"/>
    <w:rsid w:val="005453B8"/>
    <w:rsid w:val="0054559E"/>
    <w:rsid w:val="00545B91"/>
    <w:rsid w:val="0054624A"/>
    <w:rsid w:val="005463DC"/>
    <w:rsid w:val="00546DF0"/>
    <w:rsid w:val="00546EB3"/>
    <w:rsid w:val="00546F92"/>
    <w:rsid w:val="00546FC6"/>
    <w:rsid w:val="00547D1E"/>
    <w:rsid w:val="00547DC6"/>
    <w:rsid w:val="005502F0"/>
    <w:rsid w:val="005503C7"/>
    <w:rsid w:val="005509B4"/>
    <w:rsid w:val="00550A5D"/>
    <w:rsid w:val="00551169"/>
    <w:rsid w:val="005514DC"/>
    <w:rsid w:val="005522C3"/>
    <w:rsid w:val="00552379"/>
    <w:rsid w:val="00552B07"/>
    <w:rsid w:val="005536E6"/>
    <w:rsid w:val="0055423A"/>
    <w:rsid w:val="0055436E"/>
    <w:rsid w:val="00555795"/>
    <w:rsid w:val="00555EA0"/>
    <w:rsid w:val="00556218"/>
    <w:rsid w:val="005563D7"/>
    <w:rsid w:val="00556B2E"/>
    <w:rsid w:val="00556B48"/>
    <w:rsid w:val="00556CBD"/>
    <w:rsid w:val="005572D9"/>
    <w:rsid w:val="00557388"/>
    <w:rsid w:val="00560387"/>
    <w:rsid w:val="00561534"/>
    <w:rsid w:val="005620A3"/>
    <w:rsid w:val="005620AB"/>
    <w:rsid w:val="0056292E"/>
    <w:rsid w:val="00562A33"/>
    <w:rsid w:val="00562B91"/>
    <w:rsid w:val="00562CCA"/>
    <w:rsid w:val="00562DC0"/>
    <w:rsid w:val="00562E1C"/>
    <w:rsid w:val="0056417E"/>
    <w:rsid w:val="00564DDA"/>
    <w:rsid w:val="0056524D"/>
    <w:rsid w:val="0056565D"/>
    <w:rsid w:val="0056592C"/>
    <w:rsid w:val="00565E4B"/>
    <w:rsid w:val="0056623F"/>
    <w:rsid w:val="0056645F"/>
    <w:rsid w:val="0056648E"/>
    <w:rsid w:val="005664C2"/>
    <w:rsid w:val="00566B75"/>
    <w:rsid w:val="005671AD"/>
    <w:rsid w:val="00567726"/>
    <w:rsid w:val="00570061"/>
    <w:rsid w:val="00570420"/>
    <w:rsid w:val="0057066A"/>
    <w:rsid w:val="00570E1D"/>
    <w:rsid w:val="00570F20"/>
    <w:rsid w:val="005712EC"/>
    <w:rsid w:val="0057156A"/>
    <w:rsid w:val="005719D9"/>
    <w:rsid w:val="00571A3C"/>
    <w:rsid w:val="00571E8F"/>
    <w:rsid w:val="00572344"/>
    <w:rsid w:val="00572B53"/>
    <w:rsid w:val="00572BDA"/>
    <w:rsid w:val="00572D04"/>
    <w:rsid w:val="00572E2C"/>
    <w:rsid w:val="00572EEB"/>
    <w:rsid w:val="0057338C"/>
    <w:rsid w:val="00573A1E"/>
    <w:rsid w:val="00573C51"/>
    <w:rsid w:val="00573C5A"/>
    <w:rsid w:val="005745C3"/>
    <w:rsid w:val="00574707"/>
    <w:rsid w:val="00574D93"/>
    <w:rsid w:val="005751D0"/>
    <w:rsid w:val="005751E4"/>
    <w:rsid w:val="00575391"/>
    <w:rsid w:val="0057566D"/>
    <w:rsid w:val="005757CB"/>
    <w:rsid w:val="00575B8F"/>
    <w:rsid w:val="00575C54"/>
    <w:rsid w:val="00576F0F"/>
    <w:rsid w:val="005774FE"/>
    <w:rsid w:val="005776A5"/>
    <w:rsid w:val="00577774"/>
    <w:rsid w:val="00577980"/>
    <w:rsid w:val="005779AC"/>
    <w:rsid w:val="00577A0F"/>
    <w:rsid w:val="00580002"/>
    <w:rsid w:val="0058012D"/>
    <w:rsid w:val="00580F20"/>
    <w:rsid w:val="00581392"/>
    <w:rsid w:val="00581E80"/>
    <w:rsid w:val="00581F02"/>
    <w:rsid w:val="00582039"/>
    <w:rsid w:val="00582FCA"/>
    <w:rsid w:val="00583302"/>
    <w:rsid w:val="00583633"/>
    <w:rsid w:val="00583F83"/>
    <w:rsid w:val="00584267"/>
    <w:rsid w:val="0058495C"/>
    <w:rsid w:val="00584CBE"/>
    <w:rsid w:val="00584CFC"/>
    <w:rsid w:val="00584FA1"/>
    <w:rsid w:val="005853E3"/>
    <w:rsid w:val="00585915"/>
    <w:rsid w:val="0058634C"/>
    <w:rsid w:val="00586F35"/>
    <w:rsid w:val="00586F98"/>
    <w:rsid w:val="00586FEC"/>
    <w:rsid w:val="00587078"/>
    <w:rsid w:val="005871B6"/>
    <w:rsid w:val="0058768F"/>
    <w:rsid w:val="0058796A"/>
    <w:rsid w:val="00587A81"/>
    <w:rsid w:val="0059008E"/>
    <w:rsid w:val="005901F2"/>
    <w:rsid w:val="00590250"/>
    <w:rsid w:val="005903F1"/>
    <w:rsid w:val="00590592"/>
    <w:rsid w:val="005905A9"/>
    <w:rsid w:val="005905D2"/>
    <w:rsid w:val="00590ED0"/>
    <w:rsid w:val="00591794"/>
    <w:rsid w:val="0059224C"/>
    <w:rsid w:val="005923E1"/>
    <w:rsid w:val="00592C7B"/>
    <w:rsid w:val="00592E4A"/>
    <w:rsid w:val="0059343B"/>
    <w:rsid w:val="005940A6"/>
    <w:rsid w:val="005942AE"/>
    <w:rsid w:val="00594C68"/>
    <w:rsid w:val="00595AA4"/>
    <w:rsid w:val="00595DF2"/>
    <w:rsid w:val="005960DA"/>
    <w:rsid w:val="0059611F"/>
    <w:rsid w:val="005966B7"/>
    <w:rsid w:val="005974C3"/>
    <w:rsid w:val="00597C68"/>
    <w:rsid w:val="005A00A7"/>
    <w:rsid w:val="005A0139"/>
    <w:rsid w:val="005A058D"/>
    <w:rsid w:val="005A0730"/>
    <w:rsid w:val="005A097E"/>
    <w:rsid w:val="005A0E30"/>
    <w:rsid w:val="005A1205"/>
    <w:rsid w:val="005A130A"/>
    <w:rsid w:val="005A1B9B"/>
    <w:rsid w:val="005A23BE"/>
    <w:rsid w:val="005A2668"/>
    <w:rsid w:val="005A2A63"/>
    <w:rsid w:val="005A2BDF"/>
    <w:rsid w:val="005A2F77"/>
    <w:rsid w:val="005A37E0"/>
    <w:rsid w:val="005A37F5"/>
    <w:rsid w:val="005A437A"/>
    <w:rsid w:val="005A4DCD"/>
    <w:rsid w:val="005A5294"/>
    <w:rsid w:val="005A5409"/>
    <w:rsid w:val="005A5B9F"/>
    <w:rsid w:val="005A5BE5"/>
    <w:rsid w:val="005A6518"/>
    <w:rsid w:val="005A6859"/>
    <w:rsid w:val="005A7249"/>
    <w:rsid w:val="005A7832"/>
    <w:rsid w:val="005A7913"/>
    <w:rsid w:val="005A79B8"/>
    <w:rsid w:val="005A7B8D"/>
    <w:rsid w:val="005A7DA2"/>
    <w:rsid w:val="005B003C"/>
    <w:rsid w:val="005B00DC"/>
    <w:rsid w:val="005B0A9E"/>
    <w:rsid w:val="005B1823"/>
    <w:rsid w:val="005B1B11"/>
    <w:rsid w:val="005B1C08"/>
    <w:rsid w:val="005B1F3B"/>
    <w:rsid w:val="005B1F90"/>
    <w:rsid w:val="005B2102"/>
    <w:rsid w:val="005B2229"/>
    <w:rsid w:val="005B260E"/>
    <w:rsid w:val="005B2638"/>
    <w:rsid w:val="005B272D"/>
    <w:rsid w:val="005B2BF3"/>
    <w:rsid w:val="005B3252"/>
    <w:rsid w:val="005B32CB"/>
    <w:rsid w:val="005B3D6E"/>
    <w:rsid w:val="005B3E66"/>
    <w:rsid w:val="005B3E88"/>
    <w:rsid w:val="005B3F60"/>
    <w:rsid w:val="005B4AA9"/>
    <w:rsid w:val="005B5773"/>
    <w:rsid w:val="005B6810"/>
    <w:rsid w:val="005B6A17"/>
    <w:rsid w:val="005B6A63"/>
    <w:rsid w:val="005B6A90"/>
    <w:rsid w:val="005B6CAA"/>
    <w:rsid w:val="005B7458"/>
    <w:rsid w:val="005B7FB8"/>
    <w:rsid w:val="005C04AF"/>
    <w:rsid w:val="005C06C5"/>
    <w:rsid w:val="005C0FD8"/>
    <w:rsid w:val="005C130F"/>
    <w:rsid w:val="005C2063"/>
    <w:rsid w:val="005C25C7"/>
    <w:rsid w:val="005C2720"/>
    <w:rsid w:val="005C2E89"/>
    <w:rsid w:val="005C2E8C"/>
    <w:rsid w:val="005C32FA"/>
    <w:rsid w:val="005C3BB4"/>
    <w:rsid w:val="005C3DA7"/>
    <w:rsid w:val="005C41AA"/>
    <w:rsid w:val="005C4233"/>
    <w:rsid w:val="005C4248"/>
    <w:rsid w:val="005C42C6"/>
    <w:rsid w:val="005C566F"/>
    <w:rsid w:val="005C61EA"/>
    <w:rsid w:val="005C6537"/>
    <w:rsid w:val="005C655B"/>
    <w:rsid w:val="005C6AE5"/>
    <w:rsid w:val="005C6EB1"/>
    <w:rsid w:val="005C70F5"/>
    <w:rsid w:val="005C72C5"/>
    <w:rsid w:val="005C73E4"/>
    <w:rsid w:val="005C7909"/>
    <w:rsid w:val="005D10FC"/>
    <w:rsid w:val="005D21CA"/>
    <w:rsid w:val="005D2398"/>
    <w:rsid w:val="005D28D0"/>
    <w:rsid w:val="005D2DE9"/>
    <w:rsid w:val="005D30B8"/>
    <w:rsid w:val="005D36F0"/>
    <w:rsid w:val="005D377D"/>
    <w:rsid w:val="005D3D05"/>
    <w:rsid w:val="005D3EDC"/>
    <w:rsid w:val="005D4FB9"/>
    <w:rsid w:val="005D56B2"/>
    <w:rsid w:val="005D5991"/>
    <w:rsid w:val="005D5D62"/>
    <w:rsid w:val="005D5E5E"/>
    <w:rsid w:val="005D6319"/>
    <w:rsid w:val="005D64A6"/>
    <w:rsid w:val="005D7562"/>
    <w:rsid w:val="005D7CA1"/>
    <w:rsid w:val="005E01D4"/>
    <w:rsid w:val="005E0864"/>
    <w:rsid w:val="005E0BCC"/>
    <w:rsid w:val="005E146D"/>
    <w:rsid w:val="005E15AE"/>
    <w:rsid w:val="005E27CC"/>
    <w:rsid w:val="005E2D9D"/>
    <w:rsid w:val="005E3E75"/>
    <w:rsid w:val="005E488E"/>
    <w:rsid w:val="005E4940"/>
    <w:rsid w:val="005E4B89"/>
    <w:rsid w:val="005E512A"/>
    <w:rsid w:val="005E534B"/>
    <w:rsid w:val="005E5938"/>
    <w:rsid w:val="005E5CC4"/>
    <w:rsid w:val="005E5F47"/>
    <w:rsid w:val="005E7389"/>
    <w:rsid w:val="005E745D"/>
    <w:rsid w:val="005E74FE"/>
    <w:rsid w:val="005E75DE"/>
    <w:rsid w:val="005E777F"/>
    <w:rsid w:val="005E7C3C"/>
    <w:rsid w:val="005F08AD"/>
    <w:rsid w:val="005F0D9F"/>
    <w:rsid w:val="005F0E7D"/>
    <w:rsid w:val="005F1037"/>
    <w:rsid w:val="005F107B"/>
    <w:rsid w:val="005F1515"/>
    <w:rsid w:val="005F15AD"/>
    <w:rsid w:val="005F22E2"/>
    <w:rsid w:val="005F2673"/>
    <w:rsid w:val="005F2C4B"/>
    <w:rsid w:val="005F2E0A"/>
    <w:rsid w:val="005F2E94"/>
    <w:rsid w:val="005F38D4"/>
    <w:rsid w:val="005F3E67"/>
    <w:rsid w:val="005F43B4"/>
    <w:rsid w:val="005F43C7"/>
    <w:rsid w:val="005F4E15"/>
    <w:rsid w:val="005F4E1A"/>
    <w:rsid w:val="005F5689"/>
    <w:rsid w:val="005F5F52"/>
    <w:rsid w:val="005F6554"/>
    <w:rsid w:val="005F6D50"/>
    <w:rsid w:val="005F6E8C"/>
    <w:rsid w:val="005F7042"/>
    <w:rsid w:val="005F7884"/>
    <w:rsid w:val="005F7ECE"/>
    <w:rsid w:val="00600365"/>
    <w:rsid w:val="006005D3"/>
    <w:rsid w:val="006006EE"/>
    <w:rsid w:val="0060090B"/>
    <w:rsid w:val="00601047"/>
    <w:rsid w:val="0060138F"/>
    <w:rsid w:val="00601395"/>
    <w:rsid w:val="006014B2"/>
    <w:rsid w:val="0060167E"/>
    <w:rsid w:val="0060184A"/>
    <w:rsid w:val="006019F3"/>
    <w:rsid w:val="00601B8F"/>
    <w:rsid w:val="00601D0B"/>
    <w:rsid w:val="00602317"/>
    <w:rsid w:val="0060251B"/>
    <w:rsid w:val="00602926"/>
    <w:rsid w:val="006031E3"/>
    <w:rsid w:val="00603B08"/>
    <w:rsid w:val="00603FDB"/>
    <w:rsid w:val="00604042"/>
    <w:rsid w:val="00604769"/>
    <w:rsid w:val="00604F96"/>
    <w:rsid w:val="0060533A"/>
    <w:rsid w:val="006053E9"/>
    <w:rsid w:val="006055DC"/>
    <w:rsid w:val="00606199"/>
    <w:rsid w:val="0060650A"/>
    <w:rsid w:val="006067EF"/>
    <w:rsid w:val="00606CB1"/>
    <w:rsid w:val="006077B5"/>
    <w:rsid w:val="00607A4F"/>
    <w:rsid w:val="0061002D"/>
    <w:rsid w:val="00610F16"/>
    <w:rsid w:val="00611929"/>
    <w:rsid w:val="00612173"/>
    <w:rsid w:val="00612C12"/>
    <w:rsid w:val="006136D2"/>
    <w:rsid w:val="00613CA2"/>
    <w:rsid w:val="00613E95"/>
    <w:rsid w:val="00614211"/>
    <w:rsid w:val="00614A39"/>
    <w:rsid w:val="006161E2"/>
    <w:rsid w:val="00616E60"/>
    <w:rsid w:val="0061711F"/>
    <w:rsid w:val="0061736D"/>
    <w:rsid w:val="00617430"/>
    <w:rsid w:val="00617D4B"/>
    <w:rsid w:val="00620092"/>
    <w:rsid w:val="00620628"/>
    <w:rsid w:val="00620DB6"/>
    <w:rsid w:val="00621542"/>
    <w:rsid w:val="0062161C"/>
    <w:rsid w:val="006216AC"/>
    <w:rsid w:val="00622620"/>
    <w:rsid w:val="006234FD"/>
    <w:rsid w:val="00623541"/>
    <w:rsid w:val="00623642"/>
    <w:rsid w:val="00623ED9"/>
    <w:rsid w:val="0062459C"/>
    <w:rsid w:val="0062464C"/>
    <w:rsid w:val="006249E4"/>
    <w:rsid w:val="00625129"/>
    <w:rsid w:val="0062513B"/>
    <w:rsid w:val="0062674C"/>
    <w:rsid w:val="00627319"/>
    <w:rsid w:val="00627EC9"/>
    <w:rsid w:val="006300F0"/>
    <w:rsid w:val="0063037E"/>
    <w:rsid w:val="0063062E"/>
    <w:rsid w:val="00630FF4"/>
    <w:rsid w:val="006317FA"/>
    <w:rsid w:val="00631CFA"/>
    <w:rsid w:val="006326B0"/>
    <w:rsid w:val="00632B2F"/>
    <w:rsid w:val="00633108"/>
    <w:rsid w:val="00633744"/>
    <w:rsid w:val="00633AB0"/>
    <w:rsid w:val="00633DA5"/>
    <w:rsid w:val="00633E23"/>
    <w:rsid w:val="00633F4A"/>
    <w:rsid w:val="00634314"/>
    <w:rsid w:val="006344A4"/>
    <w:rsid w:val="00634579"/>
    <w:rsid w:val="00634D9D"/>
    <w:rsid w:val="006350E3"/>
    <w:rsid w:val="006357DB"/>
    <w:rsid w:val="0063618A"/>
    <w:rsid w:val="006365BB"/>
    <w:rsid w:val="006365E1"/>
    <w:rsid w:val="006367B1"/>
    <w:rsid w:val="00636E02"/>
    <w:rsid w:val="006377AB"/>
    <w:rsid w:val="006406AD"/>
    <w:rsid w:val="00640ADC"/>
    <w:rsid w:val="00640BB9"/>
    <w:rsid w:val="00640FFA"/>
    <w:rsid w:val="00642368"/>
    <w:rsid w:val="0064252E"/>
    <w:rsid w:val="006442FF"/>
    <w:rsid w:val="0064483C"/>
    <w:rsid w:val="00644976"/>
    <w:rsid w:val="00644AF2"/>
    <w:rsid w:val="00645378"/>
    <w:rsid w:val="00645706"/>
    <w:rsid w:val="00646378"/>
    <w:rsid w:val="00646516"/>
    <w:rsid w:val="00646A07"/>
    <w:rsid w:val="00646FD3"/>
    <w:rsid w:val="0064727B"/>
    <w:rsid w:val="00647E64"/>
    <w:rsid w:val="00647ECC"/>
    <w:rsid w:val="00650647"/>
    <w:rsid w:val="0065097F"/>
    <w:rsid w:val="00650BDB"/>
    <w:rsid w:val="00650D0D"/>
    <w:rsid w:val="00650DF7"/>
    <w:rsid w:val="0065121B"/>
    <w:rsid w:val="00651275"/>
    <w:rsid w:val="00651722"/>
    <w:rsid w:val="0065172F"/>
    <w:rsid w:val="00651863"/>
    <w:rsid w:val="006523E3"/>
    <w:rsid w:val="00652881"/>
    <w:rsid w:val="00652D8C"/>
    <w:rsid w:val="00653140"/>
    <w:rsid w:val="00653503"/>
    <w:rsid w:val="00654717"/>
    <w:rsid w:val="006548BC"/>
    <w:rsid w:val="00654BD7"/>
    <w:rsid w:val="00654BD9"/>
    <w:rsid w:val="00654CFD"/>
    <w:rsid w:val="00654ECF"/>
    <w:rsid w:val="00654F8C"/>
    <w:rsid w:val="00656421"/>
    <w:rsid w:val="0065663A"/>
    <w:rsid w:val="00656F7B"/>
    <w:rsid w:val="00657641"/>
    <w:rsid w:val="00657736"/>
    <w:rsid w:val="006603F8"/>
    <w:rsid w:val="006606BB"/>
    <w:rsid w:val="006608F1"/>
    <w:rsid w:val="0066115A"/>
    <w:rsid w:val="00661301"/>
    <w:rsid w:val="006613BE"/>
    <w:rsid w:val="0066172E"/>
    <w:rsid w:val="0066195B"/>
    <w:rsid w:val="00661A09"/>
    <w:rsid w:val="00661C08"/>
    <w:rsid w:val="00661FC7"/>
    <w:rsid w:val="00662D6C"/>
    <w:rsid w:val="006630FB"/>
    <w:rsid w:val="006634BD"/>
    <w:rsid w:val="006637FD"/>
    <w:rsid w:val="00663872"/>
    <w:rsid w:val="0066388E"/>
    <w:rsid w:val="006638FB"/>
    <w:rsid w:val="00664C00"/>
    <w:rsid w:val="00664CFF"/>
    <w:rsid w:val="00664E4B"/>
    <w:rsid w:val="00665583"/>
    <w:rsid w:val="00665626"/>
    <w:rsid w:val="00665AD0"/>
    <w:rsid w:val="00665C63"/>
    <w:rsid w:val="00666321"/>
    <w:rsid w:val="006663C1"/>
    <w:rsid w:val="00666B3A"/>
    <w:rsid w:val="006677CC"/>
    <w:rsid w:val="006678E5"/>
    <w:rsid w:val="00667B17"/>
    <w:rsid w:val="006700BC"/>
    <w:rsid w:val="006702F7"/>
    <w:rsid w:val="006709FA"/>
    <w:rsid w:val="00670B8B"/>
    <w:rsid w:val="00670D80"/>
    <w:rsid w:val="006710F6"/>
    <w:rsid w:val="0067159C"/>
    <w:rsid w:val="00671903"/>
    <w:rsid w:val="00671926"/>
    <w:rsid w:val="00671D97"/>
    <w:rsid w:val="00671E2B"/>
    <w:rsid w:val="006729BD"/>
    <w:rsid w:val="00672A52"/>
    <w:rsid w:val="00673A5E"/>
    <w:rsid w:val="006742CB"/>
    <w:rsid w:val="0067430A"/>
    <w:rsid w:val="006749A0"/>
    <w:rsid w:val="006756CC"/>
    <w:rsid w:val="00675B4D"/>
    <w:rsid w:val="00675CF3"/>
    <w:rsid w:val="0067611A"/>
    <w:rsid w:val="00676426"/>
    <w:rsid w:val="006765BB"/>
    <w:rsid w:val="00676C93"/>
    <w:rsid w:val="00676DDB"/>
    <w:rsid w:val="0067719A"/>
    <w:rsid w:val="00677C01"/>
    <w:rsid w:val="00677D0B"/>
    <w:rsid w:val="0068003A"/>
    <w:rsid w:val="00680116"/>
    <w:rsid w:val="0068088B"/>
    <w:rsid w:val="006812E0"/>
    <w:rsid w:val="00682482"/>
    <w:rsid w:val="006826E7"/>
    <w:rsid w:val="006829FC"/>
    <w:rsid w:val="00682AAF"/>
    <w:rsid w:val="00682B41"/>
    <w:rsid w:val="00682D1C"/>
    <w:rsid w:val="006837FB"/>
    <w:rsid w:val="00683991"/>
    <w:rsid w:val="00683D30"/>
    <w:rsid w:val="00683D97"/>
    <w:rsid w:val="00684AD2"/>
    <w:rsid w:val="00686392"/>
    <w:rsid w:val="006866CC"/>
    <w:rsid w:val="00686718"/>
    <w:rsid w:val="00686B33"/>
    <w:rsid w:val="00686C7D"/>
    <w:rsid w:val="00686D50"/>
    <w:rsid w:val="00686E26"/>
    <w:rsid w:val="006876D4"/>
    <w:rsid w:val="00690F5D"/>
    <w:rsid w:val="006914E0"/>
    <w:rsid w:val="0069157C"/>
    <w:rsid w:val="0069169F"/>
    <w:rsid w:val="00691BD9"/>
    <w:rsid w:val="00691C47"/>
    <w:rsid w:val="00692010"/>
    <w:rsid w:val="00692017"/>
    <w:rsid w:val="00692042"/>
    <w:rsid w:val="00692121"/>
    <w:rsid w:val="006924C4"/>
    <w:rsid w:val="00692E31"/>
    <w:rsid w:val="006932A6"/>
    <w:rsid w:val="006932A8"/>
    <w:rsid w:val="006933FC"/>
    <w:rsid w:val="0069348F"/>
    <w:rsid w:val="006947E0"/>
    <w:rsid w:val="00694CD0"/>
    <w:rsid w:val="00694DB9"/>
    <w:rsid w:val="00694E9E"/>
    <w:rsid w:val="00695315"/>
    <w:rsid w:val="00695658"/>
    <w:rsid w:val="00695C45"/>
    <w:rsid w:val="006960FC"/>
    <w:rsid w:val="0069671E"/>
    <w:rsid w:val="006967C4"/>
    <w:rsid w:val="00696CCD"/>
    <w:rsid w:val="00696FD0"/>
    <w:rsid w:val="00697745"/>
    <w:rsid w:val="006A1195"/>
    <w:rsid w:val="006A1A8A"/>
    <w:rsid w:val="006A1B6E"/>
    <w:rsid w:val="006A1D59"/>
    <w:rsid w:val="006A25EA"/>
    <w:rsid w:val="006A2986"/>
    <w:rsid w:val="006A29E6"/>
    <w:rsid w:val="006A2E58"/>
    <w:rsid w:val="006A37FF"/>
    <w:rsid w:val="006A3918"/>
    <w:rsid w:val="006A3CCE"/>
    <w:rsid w:val="006A4DC7"/>
    <w:rsid w:val="006A5777"/>
    <w:rsid w:val="006A5812"/>
    <w:rsid w:val="006A5A1F"/>
    <w:rsid w:val="006A5E3D"/>
    <w:rsid w:val="006A5E43"/>
    <w:rsid w:val="006A681D"/>
    <w:rsid w:val="006A69A5"/>
    <w:rsid w:val="006A6B89"/>
    <w:rsid w:val="006A6EEA"/>
    <w:rsid w:val="006A6F45"/>
    <w:rsid w:val="006A7207"/>
    <w:rsid w:val="006A77AA"/>
    <w:rsid w:val="006A7D24"/>
    <w:rsid w:val="006B0447"/>
    <w:rsid w:val="006B081A"/>
    <w:rsid w:val="006B097D"/>
    <w:rsid w:val="006B0B5F"/>
    <w:rsid w:val="006B0E55"/>
    <w:rsid w:val="006B1271"/>
    <w:rsid w:val="006B15FE"/>
    <w:rsid w:val="006B1848"/>
    <w:rsid w:val="006B1C5D"/>
    <w:rsid w:val="006B1EA3"/>
    <w:rsid w:val="006B1EA9"/>
    <w:rsid w:val="006B20D5"/>
    <w:rsid w:val="006B284F"/>
    <w:rsid w:val="006B2D9E"/>
    <w:rsid w:val="006B3B39"/>
    <w:rsid w:val="006B4152"/>
    <w:rsid w:val="006B4930"/>
    <w:rsid w:val="006B4F5D"/>
    <w:rsid w:val="006B52D5"/>
    <w:rsid w:val="006B5403"/>
    <w:rsid w:val="006B5640"/>
    <w:rsid w:val="006B5826"/>
    <w:rsid w:val="006B5844"/>
    <w:rsid w:val="006B667D"/>
    <w:rsid w:val="006B6830"/>
    <w:rsid w:val="006B7DA5"/>
    <w:rsid w:val="006C0570"/>
    <w:rsid w:val="006C067A"/>
    <w:rsid w:val="006C0F17"/>
    <w:rsid w:val="006C0F8B"/>
    <w:rsid w:val="006C131B"/>
    <w:rsid w:val="006C23BD"/>
    <w:rsid w:val="006C25C7"/>
    <w:rsid w:val="006C290B"/>
    <w:rsid w:val="006C303D"/>
    <w:rsid w:val="006C32A8"/>
    <w:rsid w:val="006C332E"/>
    <w:rsid w:val="006C3659"/>
    <w:rsid w:val="006C39C2"/>
    <w:rsid w:val="006C4397"/>
    <w:rsid w:val="006C456D"/>
    <w:rsid w:val="006C4A35"/>
    <w:rsid w:val="006C5176"/>
    <w:rsid w:val="006C520E"/>
    <w:rsid w:val="006C531F"/>
    <w:rsid w:val="006C7107"/>
    <w:rsid w:val="006C7123"/>
    <w:rsid w:val="006C72F6"/>
    <w:rsid w:val="006C7CDD"/>
    <w:rsid w:val="006C7D5E"/>
    <w:rsid w:val="006D0837"/>
    <w:rsid w:val="006D0989"/>
    <w:rsid w:val="006D0B7B"/>
    <w:rsid w:val="006D0BAC"/>
    <w:rsid w:val="006D0BF2"/>
    <w:rsid w:val="006D0F1B"/>
    <w:rsid w:val="006D1402"/>
    <w:rsid w:val="006D1471"/>
    <w:rsid w:val="006D18CA"/>
    <w:rsid w:val="006D22B8"/>
    <w:rsid w:val="006D22E4"/>
    <w:rsid w:val="006D2A89"/>
    <w:rsid w:val="006D35A1"/>
    <w:rsid w:val="006D4246"/>
    <w:rsid w:val="006D4313"/>
    <w:rsid w:val="006D450E"/>
    <w:rsid w:val="006D4622"/>
    <w:rsid w:val="006D4B62"/>
    <w:rsid w:val="006D4BEC"/>
    <w:rsid w:val="006D538A"/>
    <w:rsid w:val="006D54A4"/>
    <w:rsid w:val="006D592D"/>
    <w:rsid w:val="006D611A"/>
    <w:rsid w:val="006D6356"/>
    <w:rsid w:val="006D6C97"/>
    <w:rsid w:val="006D6D20"/>
    <w:rsid w:val="006D71CB"/>
    <w:rsid w:val="006D72D7"/>
    <w:rsid w:val="006D7BAB"/>
    <w:rsid w:val="006D7C72"/>
    <w:rsid w:val="006E00E4"/>
    <w:rsid w:val="006E0375"/>
    <w:rsid w:val="006E05C1"/>
    <w:rsid w:val="006E0D57"/>
    <w:rsid w:val="006E13EA"/>
    <w:rsid w:val="006E1681"/>
    <w:rsid w:val="006E1772"/>
    <w:rsid w:val="006E23DA"/>
    <w:rsid w:val="006E2BCD"/>
    <w:rsid w:val="006E2BD4"/>
    <w:rsid w:val="006E314E"/>
    <w:rsid w:val="006E3162"/>
    <w:rsid w:val="006E32E4"/>
    <w:rsid w:val="006E419C"/>
    <w:rsid w:val="006E41B6"/>
    <w:rsid w:val="006E438D"/>
    <w:rsid w:val="006E4443"/>
    <w:rsid w:val="006E463C"/>
    <w:rsid w:val="006E4D95"/>
    <w:rsid w:val="006E50C0"/>
    <w:rsid w:val="006E50D9"/>
    <w:rsid w:val="006E570C"/>
    <w:rsid w:val="006E5891"/>
    <w:rsid w:val="006E6498"/>
    <w:rsid w:val="006E690F"/>
    <w:rsid w:val="006E6EEB"/>
    <w:rsid w:val="006E767E"/>
    <w:rsid w:val="006E7B6F"/>
    <w:rsid w:val="006F06A2"/>
    <w:rsid w:val="006F07F7"/>
    <w:rsid w:val="006F0C59"/>
    <w:rsid w:val="006F19EE"/>
    <w:rsid w:val="006F1D99"/>
    <w:rsid w:val="006F20A0"/>
    <w:rsid w:val="006F26C8"/>
    <w:rsid w:val="006F28E4"/>
    <w:rsid w:val="006F2E2E"/>
    <w:rsid w:val="006F3324"/>
    <w:rsid w:val="006F3449"/>
    <w:rsid w:val="006F36F2"/>
    <w:rsid w:val="006F44A4"/>
    <w:rsid w:val="006F4A27"/>
    <w:rsid w:val="006F50CC"/>
    <w:rsid w:val="006F528A"/>
    <w:rsid w:val="006F5804"/>
    <w:rsid w:val="006F584F"/>
    <w:rsid w:val="006F5CE6"/>
    <w:rsid w:val="006F5EDB"/>
    <w:rsid w:val="006F63AA"/>
    <w:rsid w:val="006F643D"/>
    <w:rsid w:val="006F6766"/>
    <w:rsid w:val="006F6887"/>
    <w:rsid w:val="006F6F9E"/>
    <w:rsid w:val="006F7314"/>
    <w:rsid w:val="006F74FF"/>
    <w:rsid w:val="006F7638"/>
    <w:rsid w:val="006F7AFF"/>
    <w:rsid w:val="006F7EF9"/>
    <w:rsid w:val="00700129"/>
    <w:rsid w:val="00700F56"/>
    <w:rsid w:val="00701022"/>
    <w:rsid w:val="007014AD"/>
    <w:rsid w:val="007016FE"/>
    <w:rsid w:val="00701CF0"/>
    <w:rsid w:val="00701D12"/>
    <w:rsid w:val="00701F26"/>
    <w:rsid w:val="00701F95"/>
    <w:rsid w:val="00702115"/>
    <w:rsid w:val="0070224B"/>
    <w:rsid w:val="007028BF"/>
    <w:rsid w:val="00702998"/>
    <w:rsid w:val="00702EDE"/>
    <w:rsid w:val="007034E4"/>
    <w:rsid w:val="007039B9"/>
    <w:rsid w:val="00703B43"/>
    <w:rsid w:val="00703D46"/>
    <w:rsid w:val="00704796"/>
    <w:rsid w:val="00704AEE"/>
    <w:rsid w:val="00704C51"/>
    <w:rsid w:val="00704F06"/>
    <w:rsid w:val="00705035"/>
    <w:rsid w:val="00705545"/>
    <w:rsid w:val="00705587"/>
    <w:rsid w:val="00705833"/>
    <w:rsid w:val="007069AB"/>
    <w:rsid w:val="00706C53"/>
    <w:rsid w:val="00706D3A"/>
    <w:rsid w:val="00706E12"/>
    <w:rsid w:val="00707167"/>
    <w:rsid w:val="007072D9"/>
    <w:rsid w:val="007073EF"/>
    <w:rsid w:val="00707D87"/>
    <w:rsid w:val="007101D7"/>
    <w:rsid w:val="00710340"/>
    <w:rsid w:val="007108CB"/>
    <w:rsid w:val="007109C5"/>
    <w:rsid w:val="00710B0F"/>
    <w:rsid w:val="00711663"/>
    <w:rsid w:val="00711757"/>
    <w:rsid w:val="00711A4A"/>
    <w:rsid w:val="00711E0F"/>
    <w:rsid w:val="00711E4B"/>
    <w:rsid w:val="00711E4D"/>
    <w:rsid w:val="00712045"/>
    <w:rsid w:val="00712155"/>
    <w:rsid w:val="00712BC9"/>
    <w:rsid w:val="007130C2"/>
    <w:rsid w:val="00713249"/>
    <w:rsid w:val="00713332"/>
    <w:rsid w:val="0071383B"/>
    <w:rsid w:val="00713D50"/>
    <w:rsid w:val="00713F55"/>
    <w:rsid w:val="007144A8"/>
    <w:rsid w:val="00714A32"/>
    <w:rsid w:val="00714F20"/>
    <w:rsid w:val="0071503E"/>
    <w:rsid w:val="00715074"/>
    <w:rsid w:val="007153DC"/>
    <w:rsid w:val="00716A39"/>
    <w:rsid w:val="00716C03"/>
    <w:rsid w:val="00716E3C"/>
    <w:rsid w:val="007171C8"/>
    <w:rsid w:val="0071756A"/>
    <w:rsid w:val="007175FF"/>
    <w:rsid w:val="00717D96"/>
    <w:rsid w:val="00720267"/>
    <w:rsid w:val="0072056A"/>
    <w:rsid w:val="0072096A"/>
    <w:rsid w:val="00720988"/>
    <w:rsid w:val="00720B9A"/>
    <w:rsid w:val="00720FE4"/>
    <w:rsid w:val="007216E3"/>
    <w:rsid w:val="00721740"/>
    <w:rsid w:val="00721CE4"/>
    <w:rsid w:val="00722235"/>
    <w:rsid w:val="00722284"/>
    <w:rsid w:val="0072230A"/>
    <w:rsid w:val="0072294C"/>
    <w:rsid w:val="00723113"/>
    <w:rsid w:val="00723374"/>
    <w:rsid w:val="0072355E"/>
    <w:rsid w:val="00723FC0"/>
    <w:rsid w:val="00724375"/>
    <w:rsid w:val="007247E9"/>
    <w:rsid w:val="007251D0"/>
    <w:rsid w:val="00725447"/>
    <w:rsid w:val="00725891"/>
    <w:rsid w:val="00725979"/>
    <w:rsid w:val="007259C2"/>
    <w:rsid w:val="00726E65"/>
    <w:rsid w:val="00727B7E"/>
    <w:rsid w:val="00727FB2"/>
    <w:rsid w:val="0073030D"/>
    <w:rsid w:val="0073097B"/>
    <w:rsid w:val="00730F46"/>
    <w:rsid w:val="007314A1"/>
    <w:rsid w:val="0073153F"/>
    <w:rsid w:val="00732DBC"/>
    <w:rsid w:val="00732F20"/>
    <w:rsid w:val="007336BD"/>
    <w:rsid w:val="00733BA2"/>
    <w:rsid w:val="0073421A"/>
    <w:rsid w:val="0073460D"/>
    <w:rsid w:val="00734B46"/>
    <w:rsid w:val="00734B4A"/>
    <w:rsid w:val="00736384"/>
    <w:rsid w:val="00736B7A"/>
    <w:rsid w:val="00736F3F"/>
    <w:rsid w:val="00737217"/>
    <w:rsid w:val="00737A1C"/>
    <w:rsid w:val="00737FAD"/>
    <w:rsid w:val="007404A8"/>
    <w:rsid w:val="0074099C"/>
    <w:rsid w:val="00740A4C"/>
    <w:rsid w:val="007412AE"/>
    <w:rsid w:val="007417D2"/>
    <w:rsid w:val="00743768"/>
    <w:rsid w:val="00743FCA"/>
    <w:rsid w:val="0074425E"/>
    <w:rsid w:val="0074534F"/>
    <w:rsid w:val="007454BC"/>
    <w:rsid w:val="0074574A"/>
    <w:rsid w:val="00745896"/>
    <w:rsid w:val="00745A39"/>
    <w:rsid w:val="00745CE3"/>
    <w:rsid w:val="00746156"/>
    <w:rsid w:val="0074639D"/>
    <w:rsid w:val="0074684B"/>
    <w:rsid w:val="00746EB7"/>
    <w:rsid w:val="00746F5B"/>
    <w:rsid w:val="00747252"/>
    <w:rsid w:val="0074735E"/>
    <w:rsid w:val="00747AEC"/>
    <w:rsid w:val="00747B1C"/>
    <w:rsid w:val="0075006C"/>
    <w:rsid w:val="00750C66"/>
    <w:rsid w:val="00750FDD"/>
    <w:rsid w:val="0075103E"/>
    <w:rsid w:val="00751982"/>
    <w:rsid w:val="00751DB7"/>
    <w:rsid w:val="00751EA8"/>
    <w:rsid w:val="00751EFA"/>
    <w:rsid w:val="00751F67"/>
    <w:rsid w:val="00752883"/>
    <w:rsid w:val="007528BF"/>
    <w:rsid w:val="00752911"/>
    <w:rsid w:val="00752C25"/>
    <w:rsid w:val="00752C96"/>
    <w:rsid w:val="00752F93"/>
    <w:rsid w:val="00753178"/>
    <w:rsid w:val="00753B91"/>
    <w:rsid w:val="00753CC3"/>
    <w:rsid w:val="0075432E"/>
    <w:rsid w:val="00754655"/>
    <w:rsid w:val="00754B95"/>
    <w:rsid w:val="00755048"/>
    <w:rsid w:val="007555C9"/>
    <w:rsid w:val="00755740"/>
    <w:rsid w:val="00755A21"/>
    <w:rsid w:val="0075604D"/>
    <w:rsid w:val="00756197"/>
    <w:rsid w:val="00756215"/>
    <w:rsid w:val="00756B8D"/>
    <w:rsid w:val="00756C44"/>
    <w:rsid w:val="00756D27"/>
    <w:rsid w:val="00756DE4"/>
    <w:rsid w:val="007572DE"/>
    <w:rsid w:val="0075758F"/>
    <w:rsid w:val="00757761"/>
    <w:rsid w:val="00757EFC"/>
    <w:rsid w:val="00760160"/>
    <w:rsid w:val="007601AA"/>
    <w:rsid w:val="00760A23"/>
    <w:rsid w:val="007616B6"/>
    <w:rsid w:val="007616DC"/>
    <w:rsid w:val="00761F89"/>
    <w:rsid w:val="007622DA"/>
    <w:rsid w:val="00762556"/>
    <w:rsid w:val="007627A1"/>
    <w:rsid w:val="00762CB7"/>
    <w:rsid w:val="00763493"/>
    <w:rsid w:val="00764157"/>
    <w:rsid w:val="00764381"/>
    <w:rsid w:val="00764849"/>
    <w:rsid w:val="0076489B"/>
    <w:rsid w:val="00764CB9"/>
    <w:rsid w:val="00764FFF"/>
    <w:rsid w:val="0076548B"/>
    <w:rsid w:val="007664F9"/>
    <w:rsid w:val="0076683D"/>
    <w:rsid w:val="0076693D"/>
    <w:rsid w:val="007677FC"/>
    <w:rsid w:val="00770681"/>
    <w:rsid w:val="00770FE7"/>
    <w:rsid w:val="007713B3"/>
    <w:rsid w:val="007716F4"/>
    <w:rsid w:val="007717B0"/>
    <w:rsid w:val="00771B61"/>
    <w:rsid w:val="00771F4A"/>
    <w:rsid w:val="00772027"/>
    <w:rsid w:val="007720A0"/>
    <w:rsid w:val="007721F7"/>
    <w:rsid w:val="007723C8"/>
    <w:rsid w:val="00772B2F"/>
    <w:rsid w:val="00772E04"/>
    <w:rsid w:val="007737D7"/>
    <w:rsid w:val="00773B74"/>
    <w:rsid w:val="0077405F"/>
    <w:rsid w:val="007747A3"/>
    <w:rsid w:val="00774A85"/>
    <w:rsid w:val="00774ABE"/>
    <w:rsid w:val="00774B8B"/>
    <w:rsid w:val="00774E60"/>
    <w:rsid w:val="007750D4"/>
    <w:rsid w:val="007752A3"/>
    <w:rsid w:val="007752D4"/>
    <w:rsid w:val="007752D9"/>
    <w:rsid w:val="00775500"/>
    <w:rsid w:val="00775782"/>
    <w:rsid w:val="00775850"/>
    <w:rsid w:val="00775AF1"/>
    <w:rsid w:val="00775D4B"/>
    <w:rsid w:val="00775EB4"/>
    <w:rsid w:val="00775EB8"/>
    <w:rsid w:val="007764F2"/>
    <w:rsid w:val="00776622"/>
    <w:rsid w:val="00776703"/>
    <w:rsid w:val="00776E1F"/>
    <w:rsid w:val="007771D3"/>
    <w:rsid w:val="00777276"/>
    <w:rsid w:val="00777648"/>
    <w:rsid w:val="007777FF"/>
    <w:rsid w:val="0078027F"/>
    <w:rsid w:val="007803C3"/>
    <w:rsid w:val="007811D4"/>
    <w:rsid w:val="0078205A"/>
    <w:rsid w:val="00782082"/>
    <w:rsid w:val="0078266F"/>
    <w:rsid w:val="0078284A"/>
    <w:rsid w:val="007832C9"/>
    <w:rsid w:val="0078330B"/>
    <w:rsid w:val="00783A7E"/>
    <w:rsid w:val="00783D86"/>
    <w:rsid w:val="00783EA7"/>
    <w:rsid w:val="0078414C"/>
    <w:rsid w:val="0078421E"/>
    <w:rsid w:val="00784422"/>
    <w:rsid w:val="00784482"/>
    <w:rsid w:val="007848EF"/>
    <w:rsid w:val="00784A7E"/>
    <w:rsid w:val="00784CDD"/>
    <w:rsid w:val="00784EA5"/>
    <w:rsid w:val="00784FD2"/>
    <w:rsid w:val="007854DE"/>
    <w:rsid w:val="0078558F"/>
    <w:rsid w:val="00786315"/>
    <w:rsid w:val="0078698C"/>
    <w:rsid w:val="00786DA1"/>
    <w:rsid w:val="00786E3C"/>
    <w:rsid w:val="0078733E"/>
    <w:rsid w:val="0078790C"/>
    <w:rsid w:val="00787E60"/>
    <w:rsid w:val="00787E7F"/>
    <w:rsid w:val="00787F20"/>
    <w:rsid w:val="00790245"/>
    <w:rsid w:val="007909F3"/>
    <w:rsid w:val="00790C17"/>
    <w:rsid w:val="007912A1"/>
    <w:rsid w:val="007912FF"/>
    <w:rsid w:val="00791467"/>
    <w:rsid w:val="00791626"/>
    <w:rsid w:val="00791641"/>
    <w:rsid w:val="0079218B"/>
    <w:rsid w:val="007921EA"/>
    <w:rsid w:val="007926AA"/>
    <w:rsid w:val="0079297B"/>
    <w:rsid w:val="00792D04"/>
    <w:rsid w:val="007934FD"/>
    <w:rsid w:val="00793B47"/>
    <w:rsid w:val="00794132"/>
    <w:rsid w:val="0079475A"/>
    <w:rsid w:val="00794873"/>
    <w:rsid w:val="00794892"/>
    <w:rsid w:val="00794992"/>
    <w:rsid w:val="00794C26"/>
    <w:rsid w:val="00794ECE"/>
    <w:rsid w:val="00794FC9"/>
    <w:rsid w:val="00795043"/>
    <w:rsid w:val="00795415"/>
    <w:rsid w:val="00795518"/>
    <w:rsid w:val="0079578E"/>
    <w:rsid w:val="00796A4A"/>
    <w:rsid w:val="00796B85"/>
    <w:rsid w:val="00796FA0"/>
    <w:rsid w:val="00797434"/>
    <w:rsid w:val="0079754B"/>
    <w:rsid w:val="007976A0"/>
    <w:rsid w:val="007A03E1"/>
    <w:rsid w:val="007A0617"/>
    <w:rsid w:val="007A0820"/>
    <w:rsid w:val="007A0980"/>
    <w:rsid w:val="007A18FB"/>
    <w:rsid w:val="007A1CCA"/>
    <w:rsid w:val="007A1D5E"/>
    <w:rsid w:val="007A3256"/>
    <w:rsid w:val="007A3592"/>
    <w:rsid w:val="007A382F"/>
    <w:rsid w:val="007A38DB"/>
    <w:rsid w:val="007A3A1D"/>
    <w:rsid w:val="007A3F16"/>
    <w:rsid w:val="007A3F8A"/>
    <w:rsid w:val="007A400C"/>
    <w:rsid w:val="007A4632"/>
    <w:rsid w:val="007A4739"/>
    <w:rsid w:val="007A47DD"/>
    <w:rsid w:val="007A4A55"/>
    <w:rsid w:val="007A4BEA"/>
    <w:rsid w:val="007A5703"/>
    <w:rsid w:val="007A575D"/>
    <w:rsid w:val="007A59D1"/>
    <w:rsid w:val="007A6DF0"/>
    <w:rsid w:val="007A6FA3"/>
    <w:rsid w:val="007A721F"/>
    <w:rsid w:val="007A727F"/>
    <w:rsid w:val="007A7418"/>
    <w:rsid w:val="007A767D"/>
    <w:rsid w:val="007A7C37"/>
    <w:rsid w:val="007B040C"/>
    <w:rsid w:val="007B05D8"/>
    <w:rsid w:val="007B07AE"/>
    <w:rsid w:val="007B120B"/>
    <w:rsid w:val="007B165F"/>
    <w:rsid w:val="007B1D41"/>
    <w:rsid w:val="007B1F56"/>
    <w:rsid w:val="007B26D4"/>
    <w:rsid w:val="007B2A66"/>
    <w:rsid w:val="007B2AA4"/>
    <w:rsid w:val="007B32E5"/>
    <w:rsid w:val="007B42D4"/>
    <w:rsid w:val="007B43FF"/>
    <w:rsid w:val="007B4576"/>
    <w:rsid w:val="007B4CA5"/>
    <w:rsid w:val="007B4CB5"/>
    <w:rsid w:val="007B4E88"/>
    <w:rsid w:val="007B57BA"/>
    <w:rsid w:val="007B5D09"/>
    <w:rsid w:val="007B60CA"/>
    <w:rsid w:val="007B6AC7"/>
    <w:rsid w:val="007B6F4D"/>
    <w:rsid w:val="007B792C"/>
    <w:rsid w:val="007B7CF9"/>
    <w:rsid w:val="007C0411"/>
    <w:rsid w:val="007C0499"/>
    <w:rsid w:val="007C0721"/>
    <w:rsid w:val="007C09DD"/>
    <w:rsid w:val="007C0DEC"/>
    <w:rsid w:val="007C1798"/>
    <w:rsid w:val="007C17BE"/>
    <w:rsid w:val="007C1B74"/>
    <w:rsid w:val="007C1F8F"/>
    <w:rsid w:val="007C253D"/>
    <w:rsid w:val="007C296A"/>
    <w:rsid w:val="007C2AF8"/>
    <w:rsid w:val="007C2C6B"/>
    <w:rsid w:val="007C367C"/>
    <w:rsid w:val="007C39F2"/>
    <w:rsid w:val="007C3E85"/>
    <w:rsid w:val="007C4A68"/>
    <w:rsid w:val="007C4DB5"/>
    <w:rsid w:val="007C5D30"/>
    <w:rsid w:val="007C5FE6"/>
    <w:rsid w:val="007C677B"/>
    <w:rsid w:val="007C6900"/>
    <w:rsid w:val="007C6C68"/>
    <w:rsid w:val="007C6CFF"/>
    <w:rsid w:val="007C6D80"/>
    <w:rsid w:val="007C6EAB"/>
    <w:rsid w:val="007C6EDE"/>
    <w:rsid w:val="007C70B8"/>
    <w:rsid w:val="007C7248"/>
    <w:rsid w:val="007C7292"/>
    <w:rsid w:val="007C75E4"/>
    <w:rsid w:val="007C7D2F"/>
    <w:rsid w:val="007D014F"/>
    <w:rsid w:val="007D041D"/>
    <w:rsid w:val="007D07F0"/>
    <w:rsid w:val="007D0EA7"/>
    <w:rsid w:val="007D12D8"/>
    <w:rsid w:val="007D1B58"/>
    <w:rsid w:val="007D1B78"/>
    <w:rsid w:val="007D1CC7"/>
    <w:rsid w:val="007D2111"/>
    <w:rsid w:val="007D238F"/>
    <w:rsid w:val="007D279A"/>
    <w:rsid w:val="007D27A6"/>
    <w:rsid w:val="007D30E9"/>
    <w:rsid w:val="007D3519"/>
    <w:rsid w:val="007D4104"/>
    <w:rsid w:val="007D4146"/>
    <w:rsid w:val="007D4759"/>
    <w:rsid w:val="007D4B0F"/>
    <w:rsid w:val="007D4BBB"/>
    <w:rsid w:val="007D4CC7"/>
    <w:rsid w:val="007D5869"/>
    <w:rsid w:val="007D58DE"/>
    <w:rsid w:val="007D592F"/>
    <w:rsid w:val="007D66FA"/>
    <w:rsid w:val="007D67A0"/>
    <w:rsid w:val="007D67BA"/>
    <w:rsid w:val="007D6DB5"/>
    <w:rsid w:val="007D776C"/>
    <w:rsid w:val="007D784B"/>
    <w:rsid w:val="007D78CA"/>
    <w:rsid w:val="007D7E83"/>
    <w:rsid w:val="007E0A4F"/>
    <w:rsid w:val="007E0F67"/>
    <w:rsid w:val="007E10F2"/>
    <w:rsid w:val="007E1478"/>
    <w:rsid w:val="007E17FD"/>
    <w:rsid w:val="007E18F6"/>
    <w:rsid w:val="007E1DDB"/>
    <w:rsid w:val="007E1F2C"/>
    <w:rsid w:val="007E213B"/>
    <w:rsid w:val="007E2296"/>
    <w:rsid w:val="007E2769"/>
    <w:rsid w:val="007E2EEA"/>
    <w:rsid w:val="007E3E7A"/>
    <w:rsid w:val="007E45BE"/>
    <w:rsid w:val="007E4708"/>
    <w:rsid w:val="007E48B7"/>
    <w:rsid w:val="007E4C2B"/>
    <w:rsid w:val="007E4EC2"/>
    <w:rsid w:val="007E580C"/>
    <w:rsid w:val="007E5C85"/>
    <w:rsid w:val="007E6D40"/>
    <w:rsid w:val="007E7202"/>
    <w:rsid w:val="007E733F"/>
    <w:rsid w:val="007E7423"/>
    <w:rsid w:val="007E7882"/>
    <w:rsid w:val="007F0368"/>
    <w:rsid w:val="007F090A"/>
    <w:rsid w:val="007F0F58"/>
    <w:rsid w:val="007F106B"/>
    <w:rsid w:val="007F15BA"/>
    <w:rsid w:val="007F1B7F"/>
    <w:rsid w:val="007F1CE4"/>
    <w:rsid w:val="007F1E03"/>
    <w:rsid w:val="007F218C"/>
    <w:rsid w:val="007F2D39"/>
    <w:rsid w:val="007F2FD4"/>
    <w:rsid w:val="007F3054"/>
    <w:rsid w:val="007F3133"/>
    <w:rsid w:val="007F3967"/>
    <w:rsid w:val="007F3CD8"/>
    <w:rsid w:val="007F401F"/>
    <w:rsid w:val="007F4366"/>
    <w:rsid w:val="007F5501"/>
    <w:rsid w:val="007F70E1"/>
    <w:rsid w:val="007F715A"/>
    <w:rsid w:val="007F7681"/>
    <w:rsid w:val="007F778C"/>
    <w:rsid w:val="007F7B45"/>
    <w:rsid w:val="007F7B49"/>
    <w:rsid w:val="007F7D60"/>
    <w:rsid w:val="00800BF4"/>
    <w:rsid w:val="00800F0E"/>
    <w:rsid w:val="008011D7"/>
    <w:rsid w:val="00802679"/>
    <w:rsid w:val="00802D02"/>
    <w:rsid w:val="00802E21"/>
    <w:rsid w:val="00802F14"/>
    <w:rsid w:val="00803108"/>
    <w:rsid w:val="00803571"/>
    <w:rsid w:val="00803769"/>
    <w:rsid w:val="00803846"/>
    <w:rsid w:val="00803BB8"/>
    <w:rsid w:val="00803BDA"/>
    <w:rsid w:val="00804C42"/>
    <w:rsid w:val="00804C4A"/>
    <w:rsid w:val="00804C92"/>
    <w:rsid w:val="00804DCE"/>
    <w:rsid w:val="00804F73"/>
    <w:rsid w:val="00805B42"/>
    <w:rsid w:val="008060C6"/>
    <w:rsid w:val="008071EB"/>
    <w:rsid w:val="00807867"/>
    <w:rsid w:val="00807A36"/>
    <w:rsid w:val="00807A6F"/>
    <w:rsid w:val="00807CC7"/>
    <w:rsid w:val="008109E4"/>
    <w:rsid w:val="00810C43"/>
    <w:rsid w:val="00811443"/>
    <w:rsid w:val="008114C3"/>
    <w:rsid w:val="008114C7"/>
    <w:rsid w:val="008118F5"/>
    <w:rsid w:val="00811B35"/>
    <w:rsid w:val="0081250E"/>
    <w:rsid w:val="00812779"/>
    <w:rsid w:val="008129DC"/>
    <w:rsid w:val="00812DE3"/>
    <w:rsid w:val="00812E68"/>
    <w:rsid w:val="00812EB2"/>
    <w:rsid w:val="00813242"/>
    <w:rsid w:val="0081328A"/>
    <w:rsid w:val="008138E0"/>
    <w:rsid w:val="00813A23"/>
    <w:rsid w:val="008142A0"/>
    <w:rsid w:val="008144D8"/>
    <w:rsid w:val="00814CD3"/>
    <w:rsid w:val="00814CE1"/>
    <w:rsid w:val="008152DE"/>
    <w:rsid w:val="0081536B"/>
    <w:rsid w:val="00815D40"/>
    <w:rsid w:val="008167D4"/>
    <w:rsid w:val="008175C9"/>
    <w:rsid w:val="008178ED"/>
    <w:rsid w:val="008179BE"/>
    <w:rsid w:val="00817A8A"/>
    <w:rsid w:val="00817BC4"/>
    <w:rsid w:val="0082089B"/>
    <w:rsid w:val="00821CA6"/>
    <w:rsid w:val="008225AB"/>
    <w:rsid w:val="00822A23"/>
    <w:rsid w:val="00822CE7"/>
    <w:rsid w:val="00822DCA"/>
    <w:rsid w:val="00822E2D"/>
    <w:rsid w:val="00823389"/>
    <w:rsid w:val="00823486"/>
    <w:rsid w:val="008238ED"/>
    <w:rsid w:val="00823E12"/>
    <w:rsid w:val="00823FAA"/>
    <w:rsid w:val="00824796"/>
    <w:rsid w:val="00824AF3"/>
    <w:rsid w:val="00825016"/>
    <w:rsid w:val="0082505D"/>
    <w:rsid w:val="00825293"/>
    <w:rsid w:val="00825FA8"/>
    <w:rsid w:val="008260DA"/>
    <w:rsid w:val="00826860"/>
    <w:rsid w:val="00826D20"/>
    <w:rsid w:val="00826D3F"/>
    <w:rsid w:val="00826F6B"/>
    <w:rsid w:val="00827807"/>
    <w:rsid w:val="00827821"/>
    <w:rsid w:val="00827F60"/>
    <w:rsid w:val="008302D6"/>
    <w:rsid w:val="008304DE"/>
    <w:rsid w:val="00830555"/>
    <w:rsid w:val="00830D65"/>
    <w:rsid w:val="008319BB"/>
    <w:rsid w:val="00831A20"/>
    <w:rsid w:val="00831E9B"/>
    <w:rsid w:val="008320DB"/>
    <w:rsid w:val="008331C4"/>
    <w:rsid w:val="00833625"/>
    <w:rsid w:val="008336E0"/>
    <w:rsid w:val="00833923"/>
    <w:rsid w:val="00833A95"/>
    <w:rsid w:val="00834028"/>
    <w:rsid w:val="008342B8"/>
    <w:rsid w:val="008347FA"/>
    <w:rsid w:val="00834967"/>
    <w:rsid w:val="00834C88"/>
    <w:rsid w:val="0083542E"/>
    <w:rsid w:val="00835C11"/>
    <w:rsid w:val="00837071"/>
    <w:rsid w:val="008400EF"/>
    <w:rsid w:val="00840D48"/>
    <w:rsid w:val="0084126A"/>
    <w:rsid w:val="0084138E"/>
    <w:rsid w:val="00841EAA"/>
    <w:rsid w:val="00842554"/>
    <w:rsid w:val="00842E86"/>
    <w:rsid w:val="00843A24"/>
    <w:rsid w:val="00843FF9"/>
    <w:rsid w:val="00844D74"/>
    <w:rsid w:val="0084521F"/>
    <w:rsid w:val="008453CC"/>
    <w:rsid w:val="008459D6"/>
    <w:rsid w:val="00846030"/>
    <w:rsid w:val="008464BB"/>
    <w:rsid w:val="00846DD3"/>
    <w:rsid w:val="00847858"/>
    <w:rsid w:val="00847902"/>
    <w:rsid w:val="00847A31"/>
    <w:rsid w:val="00847B0A"/>
    <w:rsid w:val="00850957"/>
    <w:rsid w:val="00850E15"/>
    <w:rsid w:val="00851427"/>
    <w:rsid w:val="00851A2C"/>
    <w:rsid w:val="00851A9E"/>
    <w:rsid w:val="008520DE"/>
    <w:rsid w:val="00852C26"/>
    <w:rsid w:val="00852C2D"/>
    <w:rsid w:val="0085336D"/>
    <w:rsid w:val="008533A0"/>
    <w:rsid w:val="008533CE"/>
    <w:rsid w:val="00853552"/>
    <w:rsid w:val="00853997"/>
    <w:rsid w:val="00853C53"/>
    <w:rsid w:val="00853D74"/>
    <w:rsid w:val="00853F2D"/>
    <w:rsid w:val="00854440"/>
    <w:rsid w:val="00855124"/>
    <w:rsid w:val="00855288"/>
    <w:rsid w:val="00855841"/>
    <w:rsid w:val="00855A53"/>
    <w:rsid w:val="0085714B"/>
    <w:rsid w:val="008576CF"/>
    <w:rsid w:val="0086003B"/>
    <w:rsid w:val="0086093B"/>
    <w:rsid w:val="008609FA"/>
    <w:rsid w:val="00860A5B"/>
    <w:rsid w:val="00860B75"/>
    <w:rsid w:val="00860F13"/>
    <w:rsid w:val="00861BAB"/>
    <w:rsid w:val="00861F58"/>
    <w:rsid w:val="00862068"/>
    <w:rsid w:val="00862195"/>
    <w:rsid w:val="008621DE"/>
    <w:rsid w:val="0086242B"/>
    <w:rsid w:val="00862440"/>
    <w:rsid w:val="00862465"/>
    <w:rsid w:val="008626DB"/>
    <w:rsid w:val="00862A89"/>
    <w:rsid w:val="008635AE"/>
    <w:rsid w:val="00863CCF"/>
    <w:rsid w:val="00863F80"/>
    <w:rsid w:val="00864C51"/>
    <w:rsid w:val="00865D8D"/>
    <w:rsid w:val="00865F74"/>
    <w:rsid w:val="00866192"/>
    <w:rsid w:val="00866B7D"/>
    <w:rsid w:val="00866EA0"/>
    <w:rsid w:val="00866FE0"/>
    <w:rsid w:val="00867815"/>
    <w:rsid w:val="008700E2"/>
    <w:rsid w:val="008702B5"/>
    <w:rsid w:val="00870382"/>
    <w:rsid w:val="00870933"/>
    <w:rsid w:val="00870C0E"/>
    <w:rsid w:val="00870C98"/>
    <w:rsid w:val="00870D3A"/>
    <w:rsid w:val="00870F89"/>
    <w:rsid w:val="00871224"/>
    <w:rsid w:val="00871398"/>
    <w:rsid w:val="00871885"/>
    <w:rsid w:val="008719C7"/>
    <w:rsid w:val="00871F65"/>
    <w:rsid w:val="00872116"/>
    <w:rsid w:val="00872533"/>
    <w:rsid w:val="0087266C"/>
    <w:rsid w:val="00872B9B"/>
    <w:rsid w:val="00872D06"/>
    <w:rsid w:val="00872D81"/>
    <w:rsid w:val="00872F43"/>
    <w:rsid w:val="0087320A"/>
    <w:rsid w:val="0087334B"/>
    <w:rsid w:val="00873CAB"/>
    <w:rsid w:val="0087407D"/>
    <w:rsid w:val="00874229"/>
    <w:rsid w:val="00874615"/>
    <w:rsid w:val="008747E2"/>
    <w:rsid w:val="00875398"/>
    <w:rsid w:val="00875789"/>
    <w:rsid w:val="00876339"/>
    <w:rsid w:val="00876387"/>
    <w:rsid w:val="008766C7"/>
    <w:rsid w:val="008768A4"/>
    <w:rsid w:val="00876F6C"/>
    <w:rsid w:val="00876FD1"/>
    <w:rsid w:val="00877692"/>
    <w:rsid w:val="00877977"/>
    <w:rsid w:val="008802BB"/>
    <w:rsid w:val="00880351"/>
    <w:rsid w:val="008805DE"/>
    <w:rsid w:val="0088074C"/>
    <w:rsid w:val="00880820"/>
    <w:rsid w:val="00880852"/>
    <w:rsid w:val="00880A51"/>
    <w:rsid w:val="00880AE0"/>
    <w:rsid w:val="00880D37"/>
    <w:rsid w:val="00881A14"/>
    <w:rsid w:val="00881F4C"/>
    <w:rsid w:val="008820B1"/>
    <w:rsid w:val="008822E7"/>
    <w:rsid w:val="0088297D"/>
    <w:rsid w:val="00882A6E"/>
    <w:rsid w:val="008832CF"/>
    <w:rsid w:val="00883AD5"/>
    <w:rsid w:val="008840E9"/>
    <w:rsid w:val="00884B24"/>
    <w:rsid w:val="00884B29"/>
    <w:rsid w:val="00884FA4"/>
    <w:rsid w:val="00885091"/>
    <w:rsid w:val="00885B0E"/>
    <w:rsid w:val="00886164"/>
    <w:rsid w:val="008862E7"/>
    <w:rsid w:val="00886315"/>
    <w:rsid w:val="008868F0"/>
    <w:rsid w:val="00887331"/>
    <w:rsid w:val="008879CA"/>
    <w:rsid w:val="00887FEA"/>
    <w:rsid w:val="008902E5"/>
    <w:rsid w:val="0089042A"/>
    <w:rsid w:val="0089067C"/>
    <w:rsid w:val="00890A9B"/>
    <w:rsid w:val="00890CDC"/>
    <w:rsid w:val="008915C6"/>
    <w:rsid w:val="00891CFA"/>
    <w:rsid w:val="00892799"/>
    <w:rsid w:val="008933E0"/>
    <w:rsid w:val="0089364F"/>
    <w:rsid w:val="00893721"/>
    <w:rsid w:val="00894578"/>
    <w:rsid w:val="00894783"/>
    <w:rsid w:val="00895587"/>
    <w:rsid w:val="0089572F"/>
    <w:rsid w:val="0089582E"/>
    <w:rsid w:val="00895B1B"/>
    <w:rsid w:val="00895BDB"/>
    <w:rsid w:val="00895C78"/>
    <w:rsid w:val="00895D4B"/>
    <w:rsid w:val="00895F3D"/>
    <w:rsid w:val="0089607B"/>
    <w:rsid w:val="008960C1"/>
    <w:rsid w:val="00896133"/>
    <w:rsid w:val="00896630"/>
    <w:rsid w:val="008967EC"/>
    <w:rsid w:val="00896C6E"/>
    <w:rsid w:val="00896ECF"/>
    <w:rsid w:val="00897302"/>
    <w:rsid w:val="0089737B"/>
    <w:rsid w:val="008975B4"/>
    <w:rsid w:val="008977E0"/>
    <w:rsid w:val="008977FD"/>
    <w:rsid w:val="008A0305"/>
    <w:rsid w:val="008A0571"/>
    <w:rsid w:val="008A07D4"/>
    <w:rsid w:val="008A10B4"/>
    <w:rsid w:val="008A15C7"/>
    <w:rsid w:val="008A1AB5"/>
    <w:rsid w:val="008A27A4"/>
    <w:rsid w:val="008A3742"/>
    <w:rsid w:val="008A39DF"/>
    <w:rsid w:val="008A3BA9"/>
    <w:rsid w:val="008A3BEB"/>
    <w:rsid w:val="008A4632"/>
    <w:rsid w:val="008A4E63"/>
    <w:rsid w:val="008A4F0E"/>
    <w:rsid w:val="008A4F7D"/>
    <w:rsid w:val="008A5262"/>
    <w:rsid w:val="008A5274"/>
    <w:rsid w:val="008A5326"/>
    <w:rsid w:val="008A5DAC"/>
    <w:rsid w:val="008A5ECA"/>
    <w:rsid w:val="008A621C"/>
    <w:rsid w:val="008A6541"/>
    <w:rsid w:val="008A65A3"/>
    <w:rsid w:val="008A66A3"/>
    <w:rsid w:val="008A6749"/>
    <w:rsid w:val="008A682B"/>
    <w:rsid w:val="008A69CD"/>
    <w:rsid w:val="008A6A77"/>
    <w:rsid w:val="008A716B"/>
    <w:rsid w:val="008A7C63"/>
    <w:rsid w:val="008A7F3C"/>
    <w:rsid w:val="008B0587"/>
    <w:rsid w:val="008B07FC"/>
    <w:rsid w:val="008B0FA0"/>
    <w:rsid w:val="008B0FC6"/>
    <w:rsid w:val="008B1076"/>
    <w:rsid w:val="008B1149"/>
    <w:rsid w:val="008B183A"/>
    <w:rsid w:val="008B1B91"/>
    <w:rsid w:val="008B1DAC"/>
    <w:rsid w:val="008B1E9F"/>
    <w:rsid w:val="008B1EB4"/>
    <w:rsid w:val="008B2085"/>
    <w:rsid w:val="008B24A6"/>
    <w:rsid w:val="008B2E62"/>
    <w:rsid w:val="008B357D"/>
    <w:rsid w:val="008B3692"/>
    <w:rsid w:val="008B3A58"/>
    <w:rsid w:val="008B4567"/>
    <w:rsid w:val="008B4D25"/>
    <w:rsid w:val="008B570D"/>
    <w:rsid w:val="008B572E"/>
    <w:rsid w:val="008B57B1"/>
    <w:rsid w:val="008B5849"/>
    <w:rsid w:val="008B5B1D"/>
    <w:rsid w:val="008B5B37"/>
    <w:rsid w:val="008B5D19"/>
    <w:rsid w:val="008B64B4"/>
    <w:rsid w:val="008B7B93"/>
    <w:rsid w:val="008B7F86"/>
    <w:rsid w:val="008C0879"/>
    <w:rsid w:val="008C0B5F"/>
    <w:rsid w:val="008C0C7B"/>
    <w:rsid w:val="008C0F39"/>
    <w:rsid w:val="008C10C1"/>
    <w:rsid w:val="008C1853"/>
    <w:rsid w:val="008C188B"/>
    <w:rsid w:val="008C1C69"/>
    <w:rsid w:val="008C1E47"/>
    <w:rsid w:val="008C2EE9"/>
    <w:rsid w:val="008C2F91"/>
    <w:rsid w:val="008C3028"/>
    <w:rsid w:val="008C30BE"/>
    <w:rsid w:val="008C33BF"/>
    <w:rsid w:val="008C35CB"/>
    <w:rsid w:val="008C4A0E"/>
    <w:rsid w:val="008C634E"/>
    <w:rsid w:val="008C63DB"/>
    <w:rsid w:val="008C64E6"/>
    <w:rsid w:val="008C68D9"/>
    <w:rsid w:val="008C7B17"/>
    <w:rsid w:val="008D037D"/>
    <w:rsid w:val="008D0415"/>
    <w:rsid w:val="008D0A0B"/>
    <w:rsid w:val="008D0D24"/>
    <w:rsid w:val="008D1476"/>
    <w:rsid w:val="008D14ED"/>
    <w:rsid w:val="008D1699"/>
    <w:rsid w:val="008D16E6"/>
    <w:rsid w:val="008D27E0"/>
    <w:rsid w:val="008D2EA8"/>
    <w:rsid w:val="008D3251"/>
    <w:rsid w:val="008D38FE"/>
    <w:rsid w:val="008D3C8F"/>
    <w:rsid w:val="008D3CBE"/>
    <w:rsid w:val="008D3DFF"/>
    <w:rsid w:val="008D3EBF"/>
    <w:rsid w:val="008D3FE1"/>
    <w:rsid w:val="008D4156"/>
    <w:rsid w:val="008D4675"/>
    <w:rsid w:val="008D4EE8"/>
    <w:rsid w:val="008D5236"/>
    <w:rsid w:val="008D5AFF"/>
    <w:rsid w:val="008D7004"/>
    <w:rsid w:val="008D71D2"/>
    <w:rsid w:val="008D75C7"/>
    <w:rsid w:val="008D79FF"/>
    <w:rsid w:val="008E0180"/>
    <w:rsid w:val="008E03C6"/>
    <w:rsid w:val="008E046C"/>
    <w:rsid w:val="008E06A4"/>
    <w:rsid w:val="008E0C60"/>
    <w:rsid w:val="008E118E"/>
    <w:rsid w:val="008E1554"/>
    <w:rsid w:val="008E194A"/>
    <w:rsid w:val="008E1AEE"/>
    <w:rsid w:val="008E1F61"/>
    <w:rsid w:val="008E26CB"/>
    <w:rsid w:val="008E2A5D"/>
    <w:rsid w:val="008E31E9"/>
    <w:rsid w:val="008E407E"/>
    <w:rsid w:val="008E4234"/>
    <w:rsid w:val="008E52E3"/>
    <w:rsid w:val="008E554A"/>
    <w:rsid w:val="008E5B91"/>
    <w:rsid w:val="008E6544"/>
    <w:rsid w:val="008E68B7"/>
    <w:rsid w:val="008E6ED6"/>
    <w:rsid w:val="008E7102"/>
    <w:rsid w:val="008E7593"/>
    <w:rsid w:val="008E7868"/>
    <w:rsid w:val="008E78E9"/>
    <w:rsid w:val="008E7C42"/>
    <w:rsid w:val="008F0471"/>
    <w:rsid w:val="008F0520"/>
    <w:rsid w:val="008F074A"/>
    <w:rsid w:val="008F07CB"/>
    <w:rsid w:val="008F0D81"/>
    <w:rsid w:val="008F14F1"/>
    <w:rsid w:val="008F176D"/>
    <w:rsid w:val="008F1A36"/>
    <w:rsid w:val="008F1C91"/>
    <w:rsid w:val="008F2348"/>
    <w:rsid w:val="008F2A9F"/>
    <w:rsid w:val="008F31A0"/>
    <w:rsid w:val="008F3597"/>
    <w:rsid w:val="008F3B94"/>
    <w:rsid w:val="008F47FB"/>
    <w:rsid w:val="008F4827"/>
    <w:rsid w:val="008F4FCC"/>
    <w:rsid w:val="008F5436"/>
    <w:rsid w:val="008F57D4"/>
    <w:rsid w:val="008F5E19"/>
    <w:rsid w:val="008F64AC"/>
    <w:rsid w:val="008F711E"/>
    <w:rsid w:val="008F75C3"/>
    <w:rsid w:val="008F763A"/>
    <w:rsid w:val="008F7A73"/>
    <w:rsid w:val="008F7EB6"/>
    <w:rsid w:val="009000C1"/>
    <w:rsid w:val="009000FB"/>
    <w:rsid w:val="00900496"/>
    <w:rsid w:val="0090082B"/>
    <w:rsid w:val="00900A6D"/>
    <w:rsid w:val="00900B41"/>
    <w:rsid w:val="00901111"/>
    <w:rsid w:val="00901A04"/>
    <w:rsid w:val="00901CAD"/>
    <w:rsid w:val="00901D5D"/>
    <w:rsid w:val="00901E86"/>
    <w:rsid w:val="0090264B"/>
    <w:rsid w:val="0090272D"/>
    <w:rsid w:val="00902993"/>
    <w:rsid w:val="009029FA"/>
    <w:rsid w:val="00902AA7"/>
    <w:rsid w:val="00902EA5"/>
    <w:rsid w:val="00902EEC"/>
    <w:rsid w:val="0090335B"/>
    <w:rsid w:val="0090352A"/>
    <w:rsid w:val="00904000"/>
    <w:rsid w:val="00904057"/>
    <w:rsid w:val="00904233"/>
    <w:rsid w:val="009042D7"/>
    <w:rsid w:val="0090465F"/>
    <w:rsid w:val="00904A61"/>
    <w:rsid w:val="00904D95"/>
    <w:rsid w:val="00905732"/>
    <w:rsid w:val="009070EE"/>
    <w:rsid w:val="00907784"/>
    <w:rsid w:val="00907B26"/>
    <w:rsid w:val="00907B3C"/>
    <w:rsid w:val="00907E8C"/>
    <w:rsid w:val="00907FDA"/>
    <w:rsid w:val="0091081C"/>
    <w:rsid w:val="00910D52"/>
    <w:rsid w:val="00911044"/>
    <w:rsid w:val="009111FE"/>
    <w:rsid w:val="00911324"/>
    <w:rsid w:val="0091143A"/>
    <w:rsid w:val="00911699"/>
    <w:rsid w:val="009119EB"/>
    <w:rsid w:val="00912739"/>
    <w:rsid w:val="00912886"/>
    <w:rsid w:val="00912DC9"/>
    <w:rsid w:val="009136AB"/>
    <w:rsid w:val="009138B5"/>
    <w:rsid w:val="009138F8"/>
    <w:rsid w:val="00913AD5"/>
    <w:rsid w:val="00913AF8"/>
    <w:rsid w:val="00913B75"/>
    <w:rsid w:val="00913D21"/>
    <w:rsid w:val="0091423B"/>
    <w:rsid w:val="00914B79"/>
    <w:rsid w:val="00914C5B"/>
    <w:rsid w:val="00914CD9"/>
    <w:rsid w:val="00915949"/>
    <w:rsid w:val="00915A70"/>
    <w:rsid w:val="00915C31"/>
    <w:rsid w:val="00916918"/>
    <w:rsid w:val="00916DB8"/>
    <w:rsid w:val="009173EC"/>
    <w:rsid w:val="009174B8"/>
    <w:rsid w:val="00917954"/>
    <w:rsid w:val="009201BC"/>
    <w:rsid w:val="00920BCF"/>
    <w:rsid w:val="00920D8A"/>
    <w:rsid w:val="00921247"/>
    <w:rsid w:val="00921813"/>
    <w:rsid w:val="009219F8"/>
    <w:rsid w:val="00922A10"/>
    <w:rsid w:val="009233E3"/>
    <w:rsid w:val="009233F7"/>
    <w:rsid w:val="0092368A"/>
    <w:rsid w:val="009243F0"/>
    <w:rsid w:val="00924814"/>
    <w:rsid w:val="00925400"/>
    <w:rsid w:val="0092579C"/>
    <w:rsid w:val="00925E66"/>
    <w:rsid w:val="0092600C"/>
    <w:rsid w:val="00926C87"/>
    <w:rsid w:val="009275AE"/>
    <w:rsid w:val="00927D4C"/>
    <w:rsid w:val="00927F84"/>
    <w:rsid w:val="00930CC0"/>
    <w:rsid w:val="009310D4"/>
    <w:rsid w:val="00931432"/>
    <w:rsid w:val="00931AB6"/>
    <w:rsid w:val="00931CE0"/>
    <w:rsid w:val="00931D7D"/>
    <w:rsid w:val="0093218D"/>
    <w:rsid w:val="009326E4"/>
    <w:rsid w:val="00932A3F"/>
    <w:rsid w:val="00932B5D"/>
    <w:rsid w:val="00932CD1"/>
    <w:rsid w:val="00932D8D"/>
    <w:rsid w:val="00932EA1"/>
    <w:rsid w:val="00933177"/>
    <w:rsid w:val="009335C9"/>
    <w:rsid w:val="009335FD"/>
    <w:rsid w:val="00933821"/>
    <w:rsid w:val="00933B19"/>
    <w:rsid w:val="009341CE"/>
    <w:rsid w:val="00934A20"/>
    <w:rsid w:val="00934A6C"/>
    <w:rsid w:val="00934CE5"/>
    <w:rsid w:val="00934FEE"/>
    <w:rsid w:val="009350AC"/>
    <w:rsid w:val="00935620"/>
    <w:rsid w:val="00936B78"/>
    <w:rsid w:val="00936F81"/>
    <w:rsid w:val="00937258"/>
    <w:rsid w:val="009378A1"/>
    <w:rsid w:val="00937E22"/>
    <w:rsid w:val="00937EDA"/>
    <w:rsid w:val="00940223"/>
    <w:rsid w:val="0094060B"/>
    <w:rsid w:val="00940AD7"/>
    <w:rsid w:val="00940FC5"/>
    <w:rsid w:val="00941866"/>
    <w:rsid w:val="00941A42"/>
    <w:rsid w:val="00941A6A"/>
    <w:rsid w:val="00942175"/>
    <w:rsid w:val="00942586"/>
    <w:rsid w:val="00942681"/>
    <w:rsid w:val="0094348E"/>
    <w:rsid w:val="00943894"/>
    <w:rsid w:val="0094419C"/>
    <w:rsid w:val="00944C0B"/>
    <w:rsid w:val="009455ED"/>
    <w:rsid w:val="00945693"/>
    <w:rsid w:val="00945886"/>
    <w:rsid w:val="009466BB"/>
    <w:rsid w:val="00946BA8"/>
    <w:rsid w:val="009471B4"/>
    <w:rsid w:val="00947342"/>
    <w:rsid w:val="0094737D"/>
    <w:rsid w:val="0095008E"/>
    <w:rsid w:val="00950104"/>
    <w:rsid w:val="009509CB"/>
    <w:rsid w:val="00950B0B"/>
    <w:rsid w:val="00950E7D"/>
    <w:rsid w:val="00951864"/>
    <w:rsid w:val="00951BEC"/>
    <w:rsid w:val="00951CEC"/>
    <w:rsid w:val="00951D72"/>
    <w:rsid w:val="00952147"/>
    <w:rsid w:val="0095284C"/>
    <w:rsid w:val="00952DA7"/>
    <w:rsid w:val="00952E1D"/>
    <w:rsid w:val="00953045"/>
    <w:rsid w:val="00953701"/>
    <w:rsid w:val="00953774"/>
    <w:rsid w:val="009545F3"/>
    <w:rsid w:val="009546F3"/>
    <w:rsid w:val="00954FC0"/>
    <w:rsid w:val="00955AC4"/>
    <w:rsid w:val="0095724D"/>
    <w:rsid w:val="009574BD"/>
    <w:rsid w:val="009575DF"/>
    <w:rsid w:val="00957691"/>
    <w:rsid w:val="009600AF"/>
    <w:rsid w:val="00960380"/>
    <w:rsid w:val="00960B13"/>
    <w:rsid w:val="00960EC3"/>
    <w:rsid w:val="00961449"/>
    <w:rsid w:val="00961B3D"/>
    <w:rsid w:val="0096250B"/>
    <w:rsid w:val="009625F3"/>
    <w:rsid w:val="0096279B"/>
    <w:rsid w:val="00962C40"/>
    <w:rsid w:val="00963015"/>
    <w:rsid w:val="009633A0"/>
    <w:rsid w:val="0096385C"/>
    <w:rsid w:val="00963FF0"/>
    <w:rsid w:val="0096454A"/>
    <w:rsid w:val="00964566"/>
    <w:rsid w:val="009651F0"/>
    <w:rsid w:val="00965226"/>
    <w:rsid w:val="009653B4"/>
    <w:rsid w:val="009653CD"/>
    <w:rsid w:val="00965729"/>
    <w:rsid w:val="00965BC3"/>
    <w:rsid w:val="00965C5D"/>
    <w:rsid w:val="00965C8A"/>
    <w:rsid w:val="00966715"/>
    <w:rsid w:val="00966DED"/>
    <w:rsid w:val="00966FD0"/>
    <w:rsid w:val="0096736E"/>
    <w:rsid w:val="0096799C"/>
    <w:rsid w:val="00967DD7"/>
    <w:rsid w:val="00970153"/>
    <w:rsid w:val="0097031D"/>
    <w:rsid w:val="0097065D"/>
    <w:rsid w:val="009706FE"/>
    <w:rsid w:val="00970DA7"/>
    <w:rsid w:val="009710F5"/>
    <w:rsid w:val="009715C3"/>
    <w:rsid w:val="00972700"/>
    <w:rsid w:val="00972868"/>
    <w:rsid w:val="00972F43"/>
    <w:rsid w:val="0097302F"/>
    <w:rsid w:val="00973067"/>
    <w:rsid w:val="009730C7"/>
    <w:rsid w:val="0097331F"/>
    <w:rsid w:val="009739FD"/>
    <w:rsid w:val="00973D17"/>
    <w:rsid w:val="00973D67"/>
    <w:rsid w:val="00973E6D"/>
    <w:rsid w:val="00973FB8"/>
    <w:rsid w:val="009741AD"/>
    <w:rsid w:val="0097494D"/>
    <w:rsid w:val="0097495D"/>
    <w:rsid w:val="00974E59"/>
    <w:rsid w:val="0097523D"/>
    <w:rsid w:val="0097560D"/>
    <w:rsid w:val="00975B7E"/>
    <w:rsid w:val="00976085"/>
    <w:rsid w:val="009763E1"/>
    <w:rsid w:val="009765A4"/>
    <w:rsid w:val="00977001"/>
    <w:rsid w:val="00977148"/>
    <w:rsid w:val="00977350"/>
    <w:rsid w:val="009777C9"/>
    <w:rsid w:val="00977CFC"/>
    <w:rsid w:val="00980386"/>
    <w:rsid w:val="0098102A"/>
    <w:rsid w:val="009813E1"/>
    <w:rsid w:val="009813F7"/>
    <w:rsid w:val="00981C27"/>
    <w:rsid w:val="00982ADD"/>
    <w:rsid w:val="00983B2E"/>
    <w:rsid w:val="00983FA5"/>
    <w:rsid w:val="0098425B"/>
    <w:rsid w:val="0098483C"/>
    <w:rsid w:val="00984C9B"/>
    <w:rsid w:val="009869C8"/>
    <w:rsid w:val="00987B07"/>
    <w:rsid w:val="00987D19"/>
    <w:rsid w:val="009900C6"/>
    <w:rsid w:val="00990C80"/>
    <w:rsid w:val="00990FF3"/>
    <w:rsid w:val="009910D1"/>
    <w:rsid w:val="00991494"/>
    <w:rsid w:val="00991500"/>
    <w:rsid w:val="00992214"/>
    <w:rsid w:val="0099287B"/>
    <w:rsid w:val="009928DB"/>
    <w:rsid w:val="00992BE0"/>
    <w:rsid w:val="00992E03"/>
    <w:rsid w:val="00993055"/>
    <w:rsid w:val="00993604"/>
    <w:rsid w:val="0099384C"/>
    <w:rsid w:val="009940B5"/>
    <w:rsid w:val="00994ECF"/>
    <w:rsid w:val="0099540D"/>
    <w:rsid w:val="00995A50"/>
    <w:rsid w:val="00995C58"/>
    <w:rsid w:val="00996076"/>
    <w:rsid w:val="00997080"/>
    <w:rsid w:val="009974AE"/>
    <w:rsid w:val="00997561"/>
    <w:rsid w:val="009A094E"/>
    <w:rsid w:val="009A0E02"/>
    <w:rsid w:val="009A0E93"/>
    <w:rsid w:val="009A0F8E"/>
    <w:rsid w:val="009A1791"/>
    <w:rsid w:val="009A1CC5"/>
    <w:rsid w:val="009A1D5C"/>
    <w:rsid w:val="009A2FAA"/>
    <w:rsid w:val="009A31E1"/>
    <w:rsid w:val="009A376F"/>
    <w:rsid w:val="009A4603"/>
    <w:rsid w:val="009A493E"/>
    <w:rsid w:val="009A5610"/>
    <w:rsid w:val="009A5BD6"/>
    <w:rsid w:val="009A6628"/>
    <w:rsid w:val="009A6A81"/>
    <w:rsid w:val="009A7577"/>
    <w:rsid w:val="009A777C"/>
    <w:rsid w:val="009A7885"/>
    <w:rsid w:val="009A7A6C"/>
    <w:rsid w:val="009A7D48"/>
    <w:rsid w:val="009A7D78"/>
    <w:rsid w:val="009A7D80"/>
    <w:rsid w:val="009B0659"/>
    <w:rsid w:val="009B0A1D"/>
    <w:rsid w:val="009B0BD4"/>
    <w:rsid w:val="009B0CD2"/>
    <w:rsid w:val="009B108F"/>
    <w:rsid w:val="009B13C3"/>
    <w:rsid w:val="009B14AF"/>
    <w:rsid w:val="009B159D"/>
    <w:rsid w:val="009B1A3B"/>
    <w:rsid w:val="009B1CF3"/>
    <w:rsid w:val="009B1EA6"/>
    <w:rsid w:val="009B28BB"/>
    <w:rsid w:val="009B2E42"/>
    <w:rsid w:val="009B3147"/>
    <w:rsid w:val="009B399A"/>
    <w:rsid w:val="009B426D"/>
    <w:rsid w:val="009B486C"/>
    <w:rsid w:val="009B4884"/>
    <w:rsid w:val="009B5377"/>
    <w:rsid w:val="009B54F2"/>
    <w:rsid w:val="009B5D73"/>
    <w:rsid w:val="009B5F53"/>
    <w:rsid w:val="009B6A95"/>
    <w:rsid w:val="009B6B83"/>
    <w:rsid w:val="009B70DC"/>
    <w:rsid w:val="009B76FF"/>
    <w:rsid w:val="009C007F"/>
    <w:rsid w:val="009C066C"/>
    <w:rsid w:val="009C0BFA"/>
    <w:rsid w:val="009C0E6D"/>
    <w:rsid w:val="009C11E0"/>
    <w:rsid w:val="009C11E9"/>
    <w:rsid w:val="009C16DD"/>
    <w:rsid w:val="009C1A51"/>
    <w:rsid w:val="009C1C22"/>
    <w:rsid w:val="009C21DC"/>
    <w:rsid w:val="009C29F6"/>
    <w:rsid w:val="009C2B84"/>
    <w:rsid w:val="009C2DE9"/>
    <w:rsid w:val="009C2E20"/>
    <w:rsid w:val="009C3301"/>
    <w:rsid w:val="009C39CF"/>
    <w:rsid w:val="009C3C8B"/>
    <w:rsid w:val="009C4069"/>
    <w:rsid w:val="009C4137"/>
    <w:rsid w:val="009C46B7"/>
    <w:rsid w:val="009C4794"/>
    <w:rsid w:val="009C4FB8"/>
    <w:rsid w:val="009C5AE5"/>
    <w:rsid w:val="009C5F1A"/>
    <w:rsid w:val="009C620D"/>
    <w:rsid w:val="009C62E8"/>
    <w:rsid w:val="009C6579"/>
    <w:rsid w:val="009C662B"/>
    <w:rsid w:val="009C67C1"/>
    <w:rsid w:val="009C684C"/>
    <w:rsid w:val="009C690A"/>
    <w:rsid w:val="009C6A56"/>
    <w:rsid w:val="009C7133"/>
    <w:rsid w:val="009C73DA"/>
    <w:rsid w:val="009D05DF"/>
    <w:rsid w:val="009D087F"/>
    <w:rsid w:val="009D09C9"/>
    <w:rsid w:val="009D0A13"/>
    <w:rsid w:val="009D0E03"/>
    <w:rsid w:val="009D1350"/>
    <w:rsid w:val="009D1C25"/>
    <w:rsid w:val="009D22AD"/>
    <w:rsid w:val="009D254D"/>
    <w:rsid w:val="009D25E8"/>
    <w:rsid w:val="009D2AA7"/>
    <w:rsid w:val="009D2ABD"/>
    <w:rsid w:val="009D2B72"/>
    <w:rsid w:val="009D2D09"/>
    <w:rsid w:val="009D2EE5"/>
    <w:rsid w:val="009D2F61"/>
    <w:rsid w:val="009D302C"/>
    <w:rsid w:val="009D3226"/>
    <w:rsid w:val="009D3228"/>
    <w:rsid w:val="009D3529"/>
    <w:rsid w:val="009D3CD4"/>
    <w:rsid w:val="009D3CE3"/>
    <w:rsid w:val="009D3E0A"/>
    <w:rsid w:val="009D486F"/>
    <w:rsid w:val="009D4CCA"/>
    <w:rsid w:val="009D5179"/>
    <w:rsid w:val="009D5AAA"/>
    <w:rsid w:val="009D61F8"/>
    <w:rsid w:val="009D666E"/>
    <w:rsid w:val="009D6B82"/>
    <w:rsid w:val="009D6E06"/>
    <w:rsid w:val="009D7141"/>
    <w:rsid w:val="009D736A"/>
    <w:rsid w:val="009D7703"/>
    <w:rsid w:val="009E008D"/>
    <w:rsid w:val="009E009D"/>
    <w:rsid w:val="009E0C54"/>
    <w:rsid w:val="009E1D9C"/>
    <w:rsid w:val="009E1F04"/>
    <w:rsid w:val="009E2048"/>
    <w:rsid w:val="009E209E"/>
    <w:rsid w:val="009E2438"/>
    <w:rsid w:val="009E2457"/>
    <w:rsid w:val="009E2796"/>
    <w:rsid w:val="009E29D1"/>
    <w:rsid w:val="009E2B78"/>
    <w:rsid w:val="009E2FEA"/>
    <w:rsid w:val="009E30D8"/>
    <w:rsid w:val="009E3290"/>
    <w:rsid w:val="009E336F"/>
    <w:rsid w:val="009E353F"/>
    <w:rsid w:val="009E3AD7"/>
    <w:rsid w:val="009E45DD"/>
    <w:rsid w:val="009E485E"/>
    <w:rsid w:val="009E4C1F"/>
    <w:rsid w:val="009E5470"/>
    <w:rsid w:val="009E5628"/>
    <w:rsid w:val="009E5838"/>
    <w:rsid w:val="009E58E6"/>
    <w:rsid w:val="009E5A10"/>
    <w:rsid w:val="009E5F5E"/>
    <w:rsid w:val="009E6175"/>
    <w:rsid w:val="009E64B2"/>
    <w:rsid w:val="009E6763"/>
    <w:rsid w:val="009E6A09"/>
    <w:rsid w:val="009E6DC6"/>
    <w:rsid w:val="009E785B"/>
    <w:rsid w:val="009E78A7"/>
    <w:rsid w:val="009F0366"/>
    <w:rsid w:val="009F046F"/>
    <w:rsid w:val="009F0475"/>
    <w:rsid w:val="009F0FF6"/>
    <w:rsid w:val="009F120B"/>
    <w:rsid w:val="009F1679"/>
    <w:rsid w:val="009F1DFA"/>
    <w:rsid w:val="009F1E74"/>
    <w:rsid w:val="009F1FC5"/>
    <w:rsid w:val="009F2B45"/>
    <w:rsid w:val="009F2EA3"/>
    <w:rsid w:val="009F2F56"/>
    <w:rsid w:val="009F351F"/>
    <w:rsid w:val="009F35A6"/>
    <w:rsid w:val="009F40B0"/>
    <w:rsid w:val="009F422E"/>
    <w:rsid w:val="009F4301"/>
    <w:rsid w:val="009F4822"/>
    <w:rsid w:val="009F4F4E"/>
    <w:rsid w:val="009F4FB0"/>
    <w:rsid w:val="009F4FB1"/>
    <w:rsid w:val="009F507C"/>
    <w:rsid w:val="009F5221"/>
    <w:rsid w:val="009F5223"/>
    <w:rsid w:val="009F54F3"/>
    <w:rsid w:val="009F59AE"/>
    <w:rsid w:val="009F5B67"/>
    <w:rsid w:val="009F5DFF"/>
    <w:rsid w:val="009F5E9C"/>
    <w:rsid w:val="009F6A12"/>
    <w:rsid w:val="009F6AA4"/>
    <w:rsid w:val="009F6ADC"/>
    <w:rsid w:val="009F6C45"/>
    <w:rsid w:val="009F6F0B"/>
    <w:rsid w:val="009F6FC7"/>
    <w:rsid w:val="009F70D1"/>
    <w:rsid w:val="009F7342"/>
    <w:rsid w:val="009F7366"/>
    <w:rsid w:val="009F75D4"/>
    <w:rsid w:val="009F7BE4"/>
    <w:rsid w:val="009F7CFF"/>
    <w:rsid w:val="009F7EF1"/>
    <w:rsid w:val="00A003B0"/>
    <w:rsid w:val="00A008DD"/>
    <w:rsid w:val="00A011BC"/>
    <w:rsid w:val="00A01965"/>
    <w:rsid w:val="00A01E78"/>
    <w:rsid w:val="00A023F2"/>
    <w:rsid w:val="00A026DE"/>
    <w:rsid w:val="00A0294C"/>
    <w:rsid w:val="00A02BE6"/>
    <w:rsid w:val="00A032C0"/>
    <w:rsid w:val="00A03CAE"/>
    <w:rsid w:val="00A03DB2"/>
    <w:rsid w:val="00A04CEC"/>
    <w:rsid w:val="00A0533D"/>
    <w:rsid w:val="00A062AE"/>
    <w:rsid w:val="00A066DD"/>
    <w:rsid w:val="00A06759"/>
    <w:rsid w:val="00A0688B"/>
    <w:rsid w:val="00A06B34"/>
    <w:rsid w:val="00A06E1F"/>
    <w:rsid w:val="00A0754C"/>
    <w:rsid w:val="00A0765E"/>
    <w:rsid w:val="00A079E9"/>
    <w:rsid w:val="00A07A0A"/>
    <w:rsid w:val="00A101EA"/>
    <w:rsid w:val="00A10234"/>
    <w:rsid w:val="00A1090C"/>
    <w:rsid w:val="00A10EF4"/>
    <w:rsid w:val="00A117D9"/>
    <w:rsid w:val="00A11BC7"/>
    <w:rsid w:val="00A12116"/>
    <w:rsid w:val="00A12260"/>
    <w:rsid w:val="00A1229B"/>
    <w:rsid w:val="00A123D7"/>
    <w:rsid w:val="00A12632"/>
    <w:rsid w:val="00A128A1"/>
    <w:rsid w:val="00A12E8C"/>
    <w:rsid w:val="00A132D2"/>
    <w:rsid w:val="00A13CCE"/>
    <w:rsid w:val="00A1422D"/>
    <w:rsid w:val="00A14243"/>
    <w:rsid w:val="00A145DE"/>
    <w:rsid w:val="00A1489A"/>
    <w:rsid w:val="00A14A57"/>
    <w:rsid w:val="00A14BBD"/>
    <w:rsid w:val="00A14E3D"/>
    <w:rsid w:val="00A14F0C"/>
    <w:rsid w:val="00A15113"/>
    <w:rsid w:val="00A15420"/>
    <w:rsid w:val="00A16240"/>
    <w:rsid w:val="00A16514"/>
    <w:rsid w:val="00A17146"/>
    <w:rsid w:val="00A1733C"/>
    <w:rsid w:val="00A178A3"/>
    <w:rsid w:val="00A17F1D"/>
    <w:rsid w:val="00A20042"/>
    <w:rsid w:val="00A20F27"/>
    <w:rsid w:val="00A20FF5"/>
    <w:rsid w:val="00A21034"/>
    <w:rsid w:val="00A217A8"/>
    <w:rsid w:val="00A226A0"/>
    <w:rsid w:val="00A22FF2"/>
    <w:rsid w:val="00A2325C"/>
    <w:rsid w:val="00A23927"/>
    <w:rsid w:val="00A23DEB"/>
    <w:rsid w:val="00A245AD"/>
    <w:rsid w:val="00A24644"/>
    <w:rsid w:val="00A25928"/>
    <w:rsid w:val="00A259CA"/>
    <w:rsid w:val="00A25F75"/>
    <w:rsid w:val="00A262EF"/>
    <w:rsid w:val="00A26D83"/>
    <w:rsid w:val="00A26F0C"/>
    <w:rsid w:val="00A26FA5"/>
    <w:rsid w:val="00A27159"/>
    <w:rsid w:val="00A27A3E"/>
    <w:rsid w:val="00A27A55"/>
    <w:rsid w:val="00A27E88"/>
    <w:rsid w:val="00A27F1F"/>
    <w:rsid w:val="00A301F5"/>
    <w:rsid w:val="00A30215"/>
    <w:rsid w:val="00A302B0"/>
    <w:rsid w:val="00A3053A"/>
    <w:rsid w:val="00A30C0F"/>
    <w:rsid w:val="00A31033"/>
    <w:rsid w:val="00A31B59"/>
    <w:rsid w:val="00A31BF4"/>
    <w:rsid w:val="00A31C22"/>
    <w:rsid w:val="00A31CBB"/>
    <w:rsid w:val="00A326F8"/>
    <w:rsid w:val="00A329B0"/>
    <w:rsid w:val="00A32D6C"/>
    <w:rsid w:val="00A330B1"/>
    <w:rsid w:val="00A33222"/>
    <w:rsid w:val="00A33521"/>
    <w:rsid w:val="00A3401F"/>
    <w:rsid w:val="00A344EA"/>
    <w:rsid w:val="00A35101"/>
    <w:rsid w:val="00A35391"/>
    <w:rsid w:val="00A35877"/>
    <w:rsid w:val="00A36079"/>
    <w:rsid w:val="00A36DCC"/>
    <w:rsid w:val="00A36E11"/>
    <w:rsid w:val="00A376DF"/>
    <w:rsid w:val="00A37843"/>
    <w:rsid w:val="00A37DEC"/>
    <w:rsid w:val="00A40376"/>
    <w:rsid w:val="00A40502"/>
    <w:rsid w:val="00A41159"/>
    <w:rsid w:val="00A413F7"/>
    <w:rsid w:val="00A419CF"/>
    <w:rsid w:val="00A423CF"/>
    <w:rsid w:val="00A42439"/>
    <w:rsid w:val="00A42823"/>
    <w:rsid w:val="00A4288D"/>
    <w:rsid w:val="00A42BAF"/>
    <w:rsid w:val="00A42C2A"/>
    <w:rsid w:val="00A42F7B"/>
    <w:rsid w:val="00A43006"/>
    <w:rsid w:val="00A436A8"/>
    <w:rsid w:val="00A43FF7"/>
    <w:rsid w:val="00A44828"/>
    <w:rsid w:val="00A44C2A"/>
    <w:rsid w:val="00A44CBD"/>
    <w:rsid w:val="00A44CC6"/>
    <w:rsid w:val="00A44E74"/>
    <w:rsid w:val="00A451D1"/>
    <w:rsid w:val="00A45476"/>
    <w:rsid w:val="00A4591E"/>
    <w:rsid w:val="00A46278"/>
    <w:rsid w:val="00A46435"/>
    <w:rsid w:val="00A46670"/>
    <w:rsid w:val="00A46BCD"/>
    <w:rsid w:val="00A47871"/>
    <w:rsid w:val="00A47A62"/>
    <w:rsid w:val="00A50343"/>
    <w:rsid w:val="00A5034E"/>
    <w:rsid w:val="00A503AA"/>
    <w:rsid w:val="00A50467"/>
    <w:rsid w:val="00A50F90"/>
    <w:rsid w:val="00A5131C"/>
    <w:rsid w:val="00A51B49"/>
    <w:rsid w:val="00A51C7E"/>
    <w:rsid w:val="00A52703"/>
    <w:rsid w:val="00A52C02"/>
    <w:rsid w:val="00A53A4A"/>
    <w:rsid w:val="00A53B86"/>
    <w:rsid w:val="00A53CB1"/>
    <w:rsid w:val="00A53E95"/>
    <w:rsid w:val="00A54796"/>
    <w:rsid w:val="00A547BA"/>
    <w:rsid w:val="00A54D0B"/>
    <w:rsid w:val="00A55224"/>
    <w:rsid w:val="00A55242"/>
    <w:rsid w:val="00A552E5"/>
    <w:rsid w:val="00A5606B"/>
    <w:rsid w:val="00A56336"/>
    <w:rsid w:val="00A564C4"/>
    <w:rsid w:val="00A56588"/>
    <w:rsid w:val="00A565C7"/>
    <w:rsid w:val="00A5667D"/>
    <w:rsid w:val="00A567B9"/>
    <w:rsid w:val="00A56B5F"/>
    <w:rsid w:val="00A56F3F"/>
    <w:rsid w:val="00A5706A"/>
    <w:rsid w:val="00A5717B"/>
    <w:rsid w:val="00A5798C"/>
    <w:rsid w:val="00A6014C"/>
    <w:rsid w:val="00A607FA"/>
    <w:rsid w:val="00A60896"/>
    <w:rsid w:val="00A6103B"/>
    <w:rsid w:val="00A61388"/>
    <w:rsid w:val="00A61467"/>
    <w:rsid w:val="00A61BF1"/>
    <w:rsid w:val="00A61CBA"/>
    <w:rsid w:val="00A6226D"/>
    <w:rsid w:val="00A63433"/>
    <w:rsid w:val="00A63974"/>
    <w:rsid w:val="00A63B82"/>
    <w:rsid w:val="00A63EE8"/>
    <w:rsid w:val="00A642E9"/>
    <w:rsid w:val="00A64418"/>
    <w:rsid w:val="00A648BB"/>
    <w:rsid w:val="00A650CA"/>
    <w:rsid w:val="00A65925"/>
    <w:rsid w:val="00A65DCB"/>
    <w:rsid w:val="00A66162"/>
    <w:rsid w:val="00A66C24"/>
    <w:rsid w:val="00A67592"/>
    <w:rsid w:val="00A677CA"/>
    <w:rsid w:val="00A7011B"/>
    <w:rsid w:val="00A7096C"/>
    <w:rsid w:val="00A70A59"/>
    <w:rsid w:val="00A71A54"/>
    <w:rsid w:val="00A71BBC"/>
    <w:rsid w:val="00A71C07"/>
    <w:rsid w:val="00A71CA0"/>
    <w:rsid w:val="00A7208B"/>
    <w:rsid w:val="00A726BE"/>
    <w:rsid w:val="00A729ED"/>
    <w:rsid w:val="00A72B7B"/>
    <w:rsid w:val="00A72DC7"/>
    <w:rsid w:val="00A7306E"/>
    <w:rsid w:val="00A738C4"/>
    <w:rsid w:val="00A73FF4"/>
    <w:rsid w:val="00A74039"/>
    <w:rsid w:val="00A740A5"/>
    <w:rsid w:val="00A743E9"/>
    <w:rsid w:val="00A7455E"/>
    <w:rsid w:val="00A7478A"/>
    <w:rsid w:val="00A74F7F"/>
    <w:rsid w:val="00A752E8"/>
    <w:rsid w:val="00A7566F"/>
    <w:rsid w:val="00A757C3"/>
    <w:rsid w:val="00A75BEB"/>
    <w:rsid w:val="00A76079"/>
    <w:rsid w:val="00A7682D"/>
    <w:rsid w:val="00A76A88"/>
    <w:rsid w:val="00A77F8A"/>
    <w:rsid w:val="00A8011D"/>
    <w:rsid w:val="00A808E0"/>
    <w:rsid w:val="00A80CA0"/>
    <w:rsid w:val="00A80D69"/>
    <w:rsid w:val="00A81279"/>
    <w:rsid w:val="00A819C5"/>
    <w:rsid w:val="00A819C9"/>
    <w:rsid w:val="00A828BC"/>
    <w:rsid w:val="00A82F9A"/>
    <w:rsid w:val="00A83E27"/>
    <w:rsid w:val="00A844AA"/>
    <w:rsid w:val="00A844EF"/>
    <w:rsid w:val="00A84597"/>
    <w:rsid w:val="00A84A37"/>
    <w:rsid w:val="00A84BE6"/>
    <w:rsid w:val="00A85B83"/>
    <w:rsid w:val="00A85E14"/>
    <w:rsid w:val="00A85E2D"/>
    <w:rsid w:val="00A865CE"/>
    <w:rsid w:val="00A87024"/>
    <w:rsid w:val="00A8779D"/>
    <w:rsid w:val="00A87BA1"/>
    <w:rsid w:val="00A9016E"/>
    <w:rsid w:val="00A903F6"/>
    <w:rsid w:val="00A9054C"/>
    <w:rsid w:val="00A90766"/>
    <w:rsid w:val="00A9175A"/>
    <w:rsid w:val="00A91A45"/>
    <w:rsid w:val="00A91CC9"/>
    <w:rsid w:val="00A923B9"/>
    <w:rsid w:val="00A92438"/>
    <w:rsid w:val="00A92CB0"/>
    <w:rsid w:val="00A9305E"/>
    <w:rsid w:val="00A932A7"/>
    <w:rsid w:val="00A93421"/>
    <w:rsid w:val="00A93528"/>
    <w:rsid w:val="00A93DB7"/>
    <w:rsid w:val="00A93E7E"/>
    <w:rsid w:val="00A93F3B"/>
    <w:rsid w:val="00A943C6"/>
    <w:rsid w:val="00A94433"/>
    <w:rsid w:val="00A94597"/>
    <w:rsid w:val="00A94EE2"/>
    <w:rsid w:val="00A956F8"/>
    <w:rsid w:val="00A95CD6"/>
    <w:rsid w:val="00A95D15"/>
    <w:rsid w:val="00A96192"/>
    <w:rsid w:val="00A974FD"/>
    <w:rsid w:val="00A97789"/>
    <w:rsid w:val="00A97D2C"/>
    <w:rsid w:val="00A97F23"/>
    <w:rsid w:val="00AA2104"/>
    <w:rsid w:val="00AA246F"/>
    <w:rsid w:val="00AA26EF"/>
    <w:rsid w:val="00AA2786"/>
    <w:rsid w:val="00AA2806"/>
    <w:rsid w:val="00AA3647"/>
    <w:rsid w:val="00AA39D0"/>
    <w:rsid w:val="00AA40F1"/>
    <w:rsid w:val="00AA4581"/>
    <w:rsid w:val="00AA4AFC"/>
    <w:rsid w:val="00AA5427"/>
    <w:rsid w:val="00AA54BF"/>
    <w:rsid w:val="00AA58CD"/>
    <w:rsid w:val="00AA5D97"/>
    <w:rsid w:val="00AA62AC"/>
    <w:rsid w:val="00AA6543"/>
    <w:rsid w:val="00AA6EE1"/>
    <w:rsid w:val="00AA75DA"/>
    <w:rsid w:val="00AA75FF"/>
    <w:rsid w:val="00AA782B"/>
    <w:rsid w:val="00AB09C1"/>
    <w:rsid w:val="00AB19EE"/>
    <w:rsid w:val="00AB1C0C"/>
    <w:rsid w:val="00AB2042"/>
    <w:rsid w:val="00AB23D7"/>
    <w:rsid w:val="00AB24FF"/>
    <w:rsid w:val="00AB26C3"/>
    <w:rsid w:val="00AB2720"/>
    <w:rsid w:val="00AB282C"/>
    <w:rsid w:val="00AB290D"/>
    <w:rsid w:val="00AB290F"/>
    <w:rsid w:val="00AB2AFD"/>
    <w:rsid w:val="00AB2C88"/>
    <w:rsid w:val="00AB339B"/>
    <w:rsid w:val="00AB349B"/>
    <w:rsid w:val="00AB3AB6"/>
    <w:rsid w:val="00AB3C04"/>
    <w:rsid w:val="00AB3FB2"/>
    <w:rsid w:val="00AB420C"/>
    <w:rsid w:val="00AB4391"/>
    <w:rsid w:val="00AB4AF7"/>
    <w:rsid w:val="00AB4B77"/>
    <w:rsid w:val="00AB4B8B"/>
    <w:rsid w:val="00AB4C32"/>
    <w:rsid w:val="00AB5081"/>
    <w:rsid w:val="00AB5541"/>
    <w:rsid w:val="00AB57AA"/>
    <w:rsid w:val="00AB5C8F"/>
    <w:rsid w:val="00AB5D7D"/>
    <w:rsid w:val="00AB5E7D"/>
    <w:rsid w:val="00AB604D"/>
    <w:rsid w:val="00AB63E9"/>
    <w:rsid w:val="00AB6894"/>
    <w:rsid w:val="00AB6B9C"/>
    <w:rsid w:val="00AB6E05"/>
    <w:rsid w:val="00AB7380"/>
    <w:rsid w:val="00AB779B"/>
    <w:rsid w:val="00AB7C0F"/>
    <w:rsid w:val="00AB7C6C"/>
    <w:rsid w:val="00AB7FAB"/>
    <w:rsid w:val="00AB7FD4"/>
    <w:rsid w:val="00AC041F"/>
    <w:rsid w:val="00AC04F6"/>
    <w:rsid w:val="00AC0EB6"/>
    <w:rsid w:val="00AC18C0"/>
    <w:rsid w:val="00AC1CF2"/>
    <w:rsid w:val="00AC3CA7"/>
    <w:rsid w:val="00AC415C"/>
    <w:rsid w:val="00AC4604"/>
    <w:rsid w:val="00AC483F"/>
    <w:rsid w:val="00AC4E27"/>
    <w:rsid w:val="00AC51DD"/>
    <w:rsid w:val="00AC5548"/>
    <w:rsid w:val="00AC59C2"/>
    <w:rsid w:val="00AC5F1B"/>
    <w:rsid w:val="00AC6744"/>
    <w:rsid w:val="00AC6916"/>
    <w:rsid w:val="00AC6A09"/>
    <w:rsid w:val="00AC6DD1"/>
    <w:rsid w:val="00AC6DF1"/>
    <w:rsid w:val="00AC6F1F"/>
    <w:rsid w:val="00AC74FC"/>
    <w:rsid w:val="00AC7613"/>
    <w:rsid w:val="00AC7AAF"/>
    <w:rsid w:val="00AC7EAE"/>
    <w:rsid w:val="00AC7FF7"/>
    <w:rsid w:val="00AD023A"/>
    <w:rsid w:val="00AD0261"/>
    <w:rsid w:val="00AD06B9"/>
    <w:rsid w:val="00AD0958"/>
    <w:rsid w:val="00AD09FC"/>
    <w:rsid w:val="00AD0B5A"/>
    <w:rsid w:val="00AD0D3E"/>
    <w:rsid w:val="00AD13B6"/>
    <w:rsid w:val="00AD17AA"/>
    <w:rsid w:val="00AD1C53"/>
    <w:rsid w:val="00AD25E6"/>
    <w:rsid w:val="00AD2DDF"/>
    <w:rsid w:val="00AD390C"/>
    <w:rsid w:val="00AD39EF"/>
    <w:rsid w:val="00AD3C75"/>
    <w:rsid w:val="00AD3CF4"/>
    <w:rsid w:val="00AD449C"/>
    <w:rsid w:val="00AD4999"/>
    <w:rsid w:val="00AD4AF8"/>
    <w:rsid w:val="00AD4B25"/>
    <w:rsid w:val="00AD4C40"/>
    <w:rsid w:val="00AD4FD8"/>
    <w:rsid w:val="00AD598E"/>
    <w:rsid w:val="00AD599F"/>
    <w:rsid w:val="00AD5BAE"/>
    <w:rsid w:val="00AD5E23"/>
    <w:rsid w:val="00AD5EB1"/>
    <w:rsid w:val="00AD608D"/>
    <w:rsid w:val="00AD6619"/>
    <w:rsid w:val="00AD6A04"/>
    <w:rsid w:val="00AD6E41"/>
    <w:rsid w:val="00AD70DF"/>
    <w:rsid w:val="00AD7457"/>
    <w:rsid w:val="00AD7497"/>
    <w:rsid w:val="00AD75AA"/>
    <w:rsid w:val="00AD76A7"/>
    <w:rsid w:val="00AD7BE7"/>
    <w:rsid w:val="00AD7E70"/>
    <w:rsid w:val="00AE05FC"/>
    <w:rsid w:val="00AE0A98"/>
    <w:rsid w:val="00AE0CF1"/>
    <w:rsid w:val="00AE14DC"/>
    <w:rsid w:val="00AE1926"/>
    <w:rsid w:val="00AE1CE5"/>
    <w:rsid w:val="00AE2257"/>
    <w:rsid w:val="00AE23C5"/>
    <w:rsid w:val="00AE2558"/>
    <w:rsid w:val="00AE26F5"/>
    <w:rsid w:val="00AE2705"/>
    <w:rsid w:val="00AE2902"/>
    <w:rsid w:val="00AE2E5F"/>
    <w:rsid w:val="00AE2FF1"/>
    <w:rsid w:val="00AE32FF"/>
    <w:rsid w:val="00AE3551"/>
    <w:rsid w:val="00AE35C0"/>
    <w:rsid w:val="00AE3AD2"/>
    <w:rsid w:val="00AE3DF8"/>
    <w:rsid w:val="00AE3F86"/>
    <w:rsid w:val="00AE4944"/>
    <w:rsid w:val="00AE50D5"/>
    <w:rsid w:val="00AE5702"/>
    <w:rsid w:val="00AE5816"/>
    <w:rsid w:val="00AE64F5"/>
    <w:rsid w:val="00AE6962"/>
    <w:rsid w:val="00AE69F1"/>
    <w:rsid w:val="00AE6B5D"/>
    <w:rsid w:val="00AE709A"/>
    <w:rsid w:val="00AE7550"/>
    <w:rsid w:val="00AE78D6"/>
    <w:rsid w:val="00AE7F73"/>
    <w:rsid w:val="00AE7FBB"/>
    <w:rsid w:val="00AF0AAC"/>
    <w:rsid w:val="00AF0DFD"/>
    <w:rsid w:val="00AF0E87"/>
    <w:rsid w:val="00AF109A"/>
    <w:rsid w:val="00AF16D7"/>
    <w:rsid w:val="00AF1F8B"/>
    <w:rsid w:val="00AF2147"/>
    <w:rsid w:val="00AF3E44"/>
    <w:rsid w:val="00AF3EFE"/>
    <w:rsid w:val="00AF4008"/>
    <w:rsid w:val="00AF40DB"/>
    <w:rsid w:val="00AF43F5"/>
    <w:rsid w:val="00AF44DE"/>
    <w:rsid w:val="00AF535D"/>
    <w:rsid w:val="00AF5482"/>
    <w:rsid w:val="00AF55BF"/>
    <w:rsid w:val="00AF6355"/>
    <w:rsid w:val="00AF6819"/>
    <w:rsid w:val="00AF6FFE"/>
    <w:rsid w:val="00AF71CA"/>
    <w:rsid w:val="00B002DE"/>
    <w:rsid w:val="00B00B37"/>
    <w:rsid w:val="00B01089"/>
    <w:rsid w:val="00B01442"/>
    <w:rsid w:val="00B015DA"/>
    <w:rsid w:val="00B01753"/>
    <w:rsid w:val="00B01959"/>
    <w:rsid w:val="00B01D03"/>
    <w:rsid w:val="00B01EEE"/>
    <w:rsid w:val="00B02557"/>
    <w:rsid w:val="00B0317C"/>
    <w:rsid w:val="00B03647"/>
    <w:rsid w:val="00B03676"/>
    <w:rsid w:val="00B0430A"/>
    <w:rsid w:val="00B044FE"/>
    <w:rsid w:val="00B0451C"/>
    <w:rsid w:val="00B04F5C"/>
    <w:rsid w:val="00B054F8"/>
    <w:rsid w:val="00B05563"/>
    <w:rsid w:val="00B05EE5"/>
    <w:rsid w:val="00B060DF"/>
    <w:rsid w:val="00B06B11"/>
    <w:rsid w:val="00B079BC"/>
    <w:rsid w:val="00B07BAE"/>
    <w:rsid w:val="00B100D7"/>
    <w:rsid w:val="00B11B28"/>
    <w:rsid w:val="00B11BDA"/>
    <w:rsid w:val="00B11CDB"/>
    <w:rsid w:val="00B13412"/>
    <w:rsid w:val="00B13549"/>
    <w:rsid w:val="00B13A7D"/>
    <w:rsid w:val="00B13D77"/>
    <w:rsid w:val="00B1413C"/>
    <w:rsid w:val="00B1437C"/>
    <w:rsid w:val="00B146C2"/>
    <w:rsid w:val="00B14FA2"/>
    <w:rsid w:val="00B156E3"/>
    <w:rsid w:val="00B15F64"/>
    <w:rsid w:val="00B163D1"/>
    <w:rsid w:val="00B16448"/>
    <w:rsid w:val="00B16510"/>
    <w:rsid w:val="00B1683E"/>
    <w:rsid w:val="00B17957"/>
    <w:rsid w:val="00B203A0"/>
    <w:rsid w:val="00B20599"/>
    <w:rsid w:val="00B216C0"/>
    <w:rsid w:val="00B21BF6"/>
    <w:rsid w:val="00B21C6E"/>
    <w:rsid w:val="00B220B0"/>
    <w:rsid w:val="00B22C5D"/>
    <w:rsid w:val="00B22CB0"/>
    <w:rsid w:val="00B22FC1"/>
    <w:rsid w:val="00B23229"/>
    <w:rsid w:val="00B237C5"/>
    <w:rsid w:val="00B2401C"/>
    <w:rsid w:val="00B2471A"/>
    <w:rsid w:val="00B24795"/>
    <w:rsid w:val="00B24ECB"/>
    <w:rsid w:val="00B2547A"/>
    <w:rsid w:val="00B25743"/>
    <w:rsid w:val="00B257F7"/>
    <w:rsid w:val="00B259D0"/>
    <w:rsid w:val="00B25BC9"/>
    <w:rsid w:val="00B25BFF"/>
    <w:rsid w:val="00B261B7"/>
    <w:rsid w:val="00B26318"/>
    <w:rsid w:val="00B26452"/>
    <w:rsid w:val="00B26A07"/>
    <w:rsid w:val="00B2712A"/>
    <w:rsid w:val="00B27EB1"/>
    <w:rsid w:val="00B305B6"/>
    <w:rsid w:val="00B305DD"/>
    <w:rsid w:val="00B3156F"/>
    <w:rsid w:val="00B3160F"/>
    <w:rsid w:val="00B31A5D"/>
    <w:rsid w:val="00B31E3F"/>
    <w:rsid w:val="00B32576"/>
    <w:rsid w:val="00B3280F"/>
    <w:rsid w:val="00B32C8F"/>
    <w:rsid w:val="00B32DB3"/>
    <w:rsid w:val="00B33707"/>
    <w:rsid w:val="00B33F0C"/>
    <w:rsid w:val="00B34839"/>
    <w:rsid w:val="00B34DC7"/>
    <w:rsid w:val="00B35353"/>
    <w:rsid w:val="00B35743"/>
    <w:rsid w:val="00B35E3B"/>
    <w:rsid w:val="00B364FD"/>
    <w:rsid w:val="00B36AC9"/>
    <w:rsid w:val="00B3793B"/>
    <w:rsid w:val="00B37A18"/>
    <w:rsid w:val="00B37D73"/>
    <w:rsid w:val="00B37FC9"/>
    <w:rsid w:val="00B40648"/>
    <w:rsid w:val="00B4078B"/>
    <w:rsid w:val="00B40A8C"/>
    <w:rsid w:val="00B411A9"/>
    <w:rsid w:val="00B417A2"/>
    <w:rsid w:val="00B41A1D"/>
    <w:rsid w:val="00B41BB8"/>
    <w:rsid w:val="00B41C15"/>
    <w:rsid w:val="00B421C5"/>
    <w:rsid w:val="00B427B6"/>
    <w:rsid w:val="00B42DE7"/>
    <w:rsid w:val="00B42F27"/>
    <w:rsid w:val="00B42F68"/>
    <w:rsid w:val="00B4300D"/>
    <w:rsid w:val="00B43882"/>
    <w:rsid w:val="00B445E6"/>
    <w:rsid w:val="00B44DC7"/>
    <w:rsid w:val="00B45093"/>
    <w:rsid w:val="00B450E9"/>
    <w:rsid w:val="00B456FF"/>
    <w:rsid w:val="00B45B0E"/>
    <w:rsid w:val="00B45F7C"/>
    <w:rsid w:val="00B45FE8"/>
    <w:rsid w:val="00B462FC"/>
    <w:rsid w:val="00B4660E"/>
    <w:rsid w:val="00B46794"/>
    <w:rsid w:val="00B4688D"/>
    <w:rsid w:val="00B46A68"/>
    <w:rsid w:val="00B47497"/>
    <w:rsid w:val="00B50E55"/>
    <w:rsid w:val="00B50F2C"/>
    <w:rsid w:val="00B50F3E"/>
    <w:rsid w:val="00B511EA"/>
    <w:rsid w:val="00B514B6"/>
    <w:rsid w:val="00B51543"/>
    <w:rsid w:val="00B51C37"/>
    <w:rsid w:val="00B52E34"/>
    <w:rsid w:val="00B52FB9"/>
    <w:rsid w:val="00B52FFE"/>
    <w:rsid w:val="00B5304B"/>
    <w:rsid w:val="00B5312F"/>
    <w:rsid w:val="00B53771"/>
    <w:rsid w:val="00B53821"/>
    <w:rsid w:val="00B53CD6"/>
    <w:rsid w:val="00B554C8"/>
    <w:rsid w:val="00B55825"/>
    <w:rsid w:val="00B55DAD"/>
    <w:rsid w:val="00B567AE"/>
    <w:rsid w:val="00B5685B"/>
    <w:rsid w:val="00B56C70"/>
    <w:rsid w:val="00B56D7B"/>
    <w:rsid w:val="00B56E18"/>
    <w:rsid w:val="00B57304"/>
    <w:rsid w:val="00B57A3C"/>
    <w:rsid w:val="00B57A7E"/>
    <w:rsid w:val="00B602FF"/>
    <w:rsid w:val="00B6030C"/>
    <w:rsid w:val="00B60D6B"/>
    <w:rsid w:val="00B61218"/>
    <w:rsid w:val="00B618B1"/>
    <w:rsid w:val="00B61B34"/>
    <w:rsid w:val="00B61D3C"/>
    <w:rsid w:val="00B622BE"/>
    <w:rsid w:val="00B626F5"/>
    <w:rsid w:val="00B62994"/>
    <w:rsid w:val="00B63771"/>
    <w:rsid w:val="00B63A1D"/>
    <w:rsid w:val="00B63D28"/>
    <w:rsid w:val="00B640E0"/>
    <w:rsid w:val="00B6443D"/>
    <w:rsid w:val="00B64B88"/>
    <w:rsid w:val="00B64D7D"/>
    <w:rsid w:val="00B6574E"/>
    <w:rsid w:val="00B65F17"/>
    <w:rsid w:val="00B66623"/>
    <w:rsid w:val="00B67406"/>
    <w:rsid w:val="00B67536"/>
    <w:rsid w:val="00B67FA3"/>
    <w:rsid w:val="00B701DA"/>
    <w:rsid w:val="00B704CC"/>
    <w:rsid w:val="00B70822"/>
    <w:rsid w:val="00B70B9A"/>
    <w:rsid w:val="00B71508"/>
    <w:rsid w:val="00B7224F"/>
    <w:rsid w:val="00B7284C"/>
    <w:rsid w:val="00B72F56"/>
    <w:rsid w:val="00B73118"/>
    <w:rsid w:val="00B73C63"/>
    <w:rsid w:val="00B73C92"/>
    <w:rsid w:val="00B73FFC"/>
    <w:rsid w:val="00B741B9"/>
    <w:rsid w:val="00B74A7D"/>
    <w:rsid w:val="00B74F41"/>
    <w:rsid w:val="00B7614C"/>
    <w:rsid w:val="00B764D1"/>
    <w:rsid w:val="00B76A7E"/>
    <w:rsid w:val="00B7711B"/>
    <w:rsid w:val="00B772B6"/>
    <w:rsid w:val="00B77567"/>
    <w:rsid w:val="00B77AF4"/>
    <w:rsid w:val="00B801B9"/>
    <w:rsid w:val="00B801E4"/>
    <w:rsid w:val="00B80244"/>
    <w:rsid w:val="00B80311"/>
    <w:rsid w:val="00B80586"/>
    <w:rsid w:val="00B8060E"/>
    <w:rsid w:val="00B80B4E"/>
    <w:rsid w:val="00B80F3F"/>
    <w:rsid w:val="00B81F62"/>
    <w:rsid w:val="00B8242A"/>
    <w:rsid w:val="00B825EB"/>
    <w:rsid w:val="00B82B43"/>
    <w:rsid w:val="00B82EC3"/>
    <w:rsid w:val="00B8327A"/>
    <w:rsid w:val="00B833AE"/>
    <w:rsid w:val="00B837A8"/>
    <w:rsid w:val="00B838EC"/>
    <w:rsid w:val="00B83BDC"/>
    <w:rsid w:val="00B85308"/>
    <w:rsid w:val="00B85620"/>
    <w:rsid w:val="00B85690"/>
    <w:rsid w:val="00B8587F"/>
    <w:rsid w:val="00B85AAF"/>
    <w:rsid w:val="00B86E9C"/>
    <w:rsid w:val="00B86EB9"/>
    <w:rsid w:val="00B87DCF"/>
    <w:rsid w:val="00B903AF"/>
    <w:rsid w:val="00B90A6A"/>
    <w:rsid w:val="00B913BA"/>
    <w:rsid w:val="00B9151A"/>
    <w:rsid w:val="00B91B48"/>
    <w:rsid w:val="00B91CEA"/>
    <w:rsid w:val="00B92584"/>
    <w:rsid w:val="00B92588"/>
    <w:rsid w:val="00B92810"/>
    <w:rsid w:val="00B92D27"/>
    <w:rsid w:val="00B9346B"/>
    <w:rsid w:val="00B9354D"/>
    <w:rsid w:val="00B93CF3"/>
    <w:rsid w:val="00B93DFF"/>
    <w:rsid w:val="00B941E5"/>
    <w:rsid w:val="00B950B0"/>
    <w:rsid w:val="00B951D5"/>
    <w:rsid w:val="00B95539"/>
    <w:rsid w:val="00B958C9"/>
    <w:rsid w:val="00B9595D"/>
    <w:rsid w:val="00B961DB"/>
    <w:rsid w:val="00B96370"/>
    <w:rsid w:val="00B9650F"/>
    <w:rsid w:val="00B9651F"/>
    <w:rsid w:val="00B9679C"/>
    <w:rsid w:val="00B96CE8"/>
    <w:rsid w:val="00B96DD6"/>
    <w:rsid w:val="00B97131"/>
    <w:rsid w:val="00B9754C"/>
    <w:rsid w:val="00B97637"/>
    <w:rsid w:val="00BA0001"/>
    <w:rsid w:val="00BA0004"/>
    <w:rsid w:val="00BA01A2"/>
    <w:rsid w:val="00BA035A"/>
    <w:rsid w:val="00BA03CB"/>
    <w:rsid w:val="00BA06D3"/>
    <w:rsid w:val="00BA0972"/>
    <w:rsid w:val="00BA0AE8"/>
    <w:rsid w:val="00BA1A63"/>
    <w:rsid w:val="00BA1DDC"/>
    <w:rsid w:val="00BA203C"/>
    <w:rsid w:val="00BA22C3"/>
    <w:rsid w:val="00BA28E3"/>
    <w:rsid w:val="00BA2A1F"/>
    <w:rsid w:val="00BA3119"/>
    <w:rsid w:val="00BA31B9"/>
    <w:rsid w:val="00BA3965"/>
    <w:rsid w:val="00BA3AD8"/>
    <w:rsid w:val="00BA45A1"/>
    <w:rsid w:val="00BA469B"/>
    <w:rsid w:val="00BA4FED"/>
    <w:rsid w:val="00BA552E"/>
    <w:rsid w:val="00BA557D"/>
    <w:rsid w:val="00BA558F"/>
    <w:rsid w:val="00BA5D11"/>
    <w:rsid w:val="00BA68B2"/>
    <w:rsid w:val="00BA69B6"/>
    <w:rsid w:val="00BA6BEB"/>
    <w:rsid w:val="00BA7665"/>
    <w:rsid w:val="00BA799C"/>
    <w:rsid w:val="00BB0166"/>
    <w:rsid w:val="00BB0430"/>
    <w:rsid w:val="00BB0731"/>
    <w:rsid w:val="00BB0EDA"/>
    <w:rsid w:val="00BB0EF1"/>
    <w:rsid w:val="00BB149E"/>
    <w:rsid w:val="00BB17D5"/>
    <w:rsid w:val="00BB188B"/>
    <w:rsid w:val="00BB1E18"/>
    <w:rsid w:val="00BB1F50"/>
    <w:rsid w:val="00BB20C6"/>
    <w:rsid w:val="00BB233D"/>
    <w:rsid w:val="00BB28BC"/>
    <w:rsid w:val="00BB2D93"/>
    <w:rsid w:val="00BB3028"/>
    <w:rsid w:val="00BB3608"/>
    <w:rsid w:val="00BB3735"/>
    <w:rsid w:val="00BB411A"/>
    <w:rsid w:val="00BB4432"/>
    <w:rsid w:val="00BB488F"/>
    <w:rsid w:val="00BB4BF7"/>
    <w:rsid w:val="00BB4CBF"/>
    <w:rsid w:val="00BB5324"/>
    <w:rsid w:val="00BB53E6"/>
    <w:rsid w:val="00BB5C62"/>
    <w:rsid w:val="00BB6351"/>
    <w:rsid w:val="00BB693C"/>
    <w:rsid w:val="00BB6C17"/>
    <w:rsid w:val="00BB6E2E"/>
    <w:rsid w:val="00BB6F58"/>
    <w:rsid w:val="00BB7903"/>
    <w:rsid w:val="00BB7DBC"/>
    <w:rsid w:val="00BB7F4E"/>
    <w:rsid w:val="00BC02C1"/>
    <w:rsid w:val="00BC0EAD"/>
    <w:rsid w:val="00BC1124"/>
    <w:rsid w:val="00BC127C"/>
    <w:rsid w:val="00BC139F"/>
    <w:rsid w:val="00BC1804"/>
    <w:rsid w:val="00BC1B83"/>
    <w:rsid w:val="00BC1EC1"/>
    <w:rsid w:val="00BC1F14"/>
    <w:rsid w:val="00BC325E"/>
    <w:rsid w:val="00BC4256"/>
    <w:rsid w:val="00BC465B"/>
    <w:rsid w:val="00BC4A95"/>
    <w:rsid w:val="00BC4C22"/>
    <w:rsid w:val="00BC4E02"/>
    <w:rsid w:val="00BC5340"/>
    <w:rsid w:val="00BC5495"/>
    <w:rsid w:val="00BC576F"/>
    <w:rsid w:val="00BC5C0A"/>
    <w:rsid w:val="00BC5EEB"/>
    <w:rsid w:val="00BC5EF3"/>
    <w:rsid w:val="00BC63E0"/>
    <w:rsid w:val="00BC79BE"/>
    <w:rsid w:val="00BC7B27"/>
    <w:rsid w:val="00BD040D"/>
    <w:rsid w:val="00BD0818"/>
    <w:rsid w:val="00BD1387"/>
    <w:rsid w:val="00BD165F"/>
    <w:rsid w:val="00BD18BE"/>
    <w:rsid w:val="00BD1A3A"/>
    <w:rsid w:val="00BD1D85"/>
    <w:rsid w:val="00BD1F40"/>
    <w:rsid w:val="00BD2198"/>
    <w:rsid w:val="00BD219F"/>
    <w:rsid w:val="00BD2727"/>
    <w:rsid w:val="00BD27F9"/>
    <w:rsid w:val="00BD2947"/>
    <w:rsid w:val="00BD2962"/>
    <w:rsid w:val="00BD2B0D"/>
    <w:rsid w:val="00BD2C88"/>
    <w:rsid w:val="00BD2D48"/>
    <w:rsid w:val="00BD3889"/>
    <w:rsid w:val="00BD4B09"/>
    <w:rsid w:val="00BD4B6D"/>
    <w:rsid w:val="00BD5485"/>
    <w:rsid w:val="00BD55F8"/>
    <w:rsid w:val="00BD6179"/>
    <w:rsid w:val="00BD659E"/>
    <w:rsid w:val="00BD76A8"/>
    <w:rsid w:val="00BD7C4A"/>
    <w:rsid w:val="00BD7E3E"/>
    <w:rsid w:val="00BE0DD7"/>
    <w:rsid w:val="00BE1500"/>
    <w:rsid w:val="00BE185F"/>
    <w:rsid w:val="00BE1BCA"/>
    <w:rsid w:val="00BE1E56"/>
    <w:rsid w:val="00BE2982"/>
    <w:rsid w:val="00BE2D66"/>
    <w:rsid w:val="00BE3671"/>
    <w:rsid w:val="00BE36C3"/>
    <w:rsid w:val="00BE38C8"/>
    <w:rsid w:val="00BE3ED6"/>
    <w:rsid w:val="00BE409C"/>
    <w:rsid w:val="00BE41A1"/>
    <w:rsid w:val="00BE48A5"/>
    <w:rsid w:val="00BE4EAF"/>
    <w:rsid w:val="00BE5151"/>
    <w:rsid w:val="00BE5577"/>
    <w:rsid w:val="00BE5A6F"/>
    <w:rsid w:val="00BE6635"/>
    <w:rsid w:val="00BE6A2A"/>
    <w:rsid w:val="00BE7013"/>
    <w:rsid w:val="00BE71E4"/>
    <w:rsid w:val="00BE7372"/>
    <w:rsid w:val="00BE77EE"/>
    <w:rsid w:val="00BE7C7B"/>
    <w:rsid w:val="00BF05EA"/>
    <w:rsid w:val="00BF0BD1"/>
    <w:rsid w:val="00BF0E66"/>
    <w:rsid w:val="00BF1192"/>
    <w:rsid w:val="00BF1315"/>
    <w:rsid w:val="00BF18CA"/>
    <w:rsid w:val="00BF1FB1"/>
    <w:rsid w:val="00BF1FF1"/>
    <w:rsid w:val="00BF226F"/>
    <w:rsid w:val="00BF231D"/>
    <w:rsid w:val="00BF25C3"/>
    <w:rsid w:val="00BF2EF1"/>
    <w:rsid w:val="00BF3DC5"/>
    <w:rsid w:val="00BF3F64"/>
    <w:rsid w:val="00BF43FA"/>
    <w:rsid w:val="00BF4E92"/>
    <w:rsid w:val="00BF51CB"/>
    <w:rsid w:val="00BF5BCF"/>
    <w:rsid w:val="00BF6C6F"/>
    <w:rsid w:val="00BF6E9E"/>
    <w:rsid w:val="00BF71D7"/>
    <w:rsid w:val="00BF76D3"/>
    <w:rsid w:val="00BF79D7"/>
    <w:rsid w:val="00C0003B"/>
    <w:rsid w:val="00C00467"/>
    <w:rsid w:val="00C00468"/>
    <w:rsid w:val="00C00685"/>
    <w:rsid w:val="00C0071E"/>
    <w:rsid w:val="00C008C3"/>
    <w:rsid w:val="00C00FAA"/>
    <w:rsid w:val="00C013A9"/>
    <w:rsid w:val="00C01677"/>
    <w:rsid w:val="00C01954"/>
    <w:rsid w:val="00C01AA5"/>
    <w:rsid w:val="00C01CAA"/>
    <w:rsid w:val="00C01CC9"/>
    <w:rsid w:val="00C01F66"/>
    <w:rsid w:val="00C0227C"/>
    <w:rsid w:val="00C02D5F"/>
    <w:rsid w:val="00C02EC7"/>
    <w:rsid w:val="00C03074"/>
    <w:rsid w:val="00C03145"/>
    <w:rsid w:val="00C0331B"/>
    <w:rsid w:val="00C0377C"/>
    <w:rsid w:val="00C03A51"/>
    <w:rsid w:val="00C04565"/>
    <w:rsid w:val="00C048BB"/>
    <w:rsid w:val="00C04C7B"/>
    <w:rsid w:val="00C05348"/>
    <w:rsid w:val="00C0649E"/>
    <w:rsid w:val="00C06E1A"/>
    <w:rsid w:val="00C078C3"/>
    <w:rsid w:val="00C10AA0"/>
    <w:rsid w:val="00C10B2E"/>
    <w:rsid w:val="00C10FF5"/>
    <w:rsid w:val="00C113C1"/>
    <w:rsid w:val="00C124D7"/>
    <w:rsid w:val="00C128E9"/>
    <w:rsid w:val="00C12E4B"/>
    <w:rsid w:val="00C12E84"/>
    <w:rsid w:val="00C1382D"/>
    <w:rsid w:val="00C13952"/>
    <w:rsid w:val="00C15175"/>
    <w:rsid w:val="00C157DE"/>
    <w:rsid w:val="00C15AFD"/>
    <w:rsid w:val="00C16142"/>
    <w:rsid w:val="00C165BF"/>
    <w:rsid w:val="00C16C11"/>
    <w:rsid w:val="00C16D2D"/>
    <w:rsid w:val="00C16E3A"/>
    <w:rsid w:val="00C171A6"/>
    <w:rsid w:val="00C17314"/>
    <w:rsid w:val="00C1781F"/>
    <w:rsid w:val="00C17BBE"/>
    <w:rsid w:val="00C200FD"/>
    <w:rsid w:val="00C20166"/>
    <w:rsid w:val="00C20431"/>
    <w:rsid w:val="00C209AD"/>
    <w:rsid w:val="00C20B84"/>
    <w:rsid w:val="00C214BC"/>
    <w:rsid w:val="00C21759"/>
    <w:rsid w:val="00C220EC"/>
    <w:rsid w:val="00C224B4"/>
    <w:rsid w:val="00C2265D"/>
    <w:rsid w:val="00C22A50"/>
    <w:rsid w:val="00C245B6"/>
    <w:rsid w:val="00C24718"/>
    <w:rsid w:val="00C24DF9"/>
    <w:rsid w:val="00C24EA1"/>
    <w:rsid w:val="00C2510F"/>
    <w:rsid w:val="00C253A7"/>
    <w:rsid w:val="00C254DC"/>
    <w:rsid w:val="00C2593E"/>
    <w:rsid w:val="00C259B7"/>
    <w:rsid w:val="00C25EBD"/>
    <w:rsid w:val="00C260E5"/>
    <w:rsid w:val="00C26BF1"/>
    <w:rsid w:val="00C27048"/>
    <w:rsid w:val="00C27226"/>
    <w:rsid w:val="00C2789F"/>
    <w:rsid w:val="00C301F9"/>
    <w:rsid w:val="00C3097F"/>
    <w:rsid w:val="00C31877"/>
    <w:rsid w:val="00C31A42"/>
    <w:rsid w:val="00C31B3C"/>
    <w:rsid w:val="00C32A5F"/>
    <w:rsid w:val="00C33365"/>
    <w:rsid w:val="00C33369"/>
    <w:rsid w:val="00C3367C"/>
    <w:rsid w:val="00C338FF"/>
    <w:rsid w:val="00C33C0C"/>
    <w:rsid w:val="00C342FA"/>
    <w:rsid w:val="00C34355"/>
    <w:rsid w:val="00C34E86"/>
    <w:rsid w:val="00C35059"/>
    <w:rsid w:val="00C3512C"/>
    <w:rsid w:val="00C351AF"/>
    <w:rsid w:val="00C353A3"/>
    <w:rsid w:val="00C35D0B"/>
    <w:rsid w:val="00C35DBF"/>
    <w:rsid w:val="00C35EDE"/>
    <w:rsid w:val="00C35F33"/>
    <w:rsid w:val="00C363CE"/>
    <w:rsid w:val="00C365EB"/>
    <w:rsid w:val="00C371FE"/>
    <w:rsid w:val="00C37404"/>
    <w:rsid w:val="00C378CF"/>
    <w:rsid w:val="00C408E6"/>
    <w:rsid w:val="00C40C4D"/>
    <w:rsid w:val="00C40D1C"/>
    <w:rsid w:val="00C415D8"/>
    <w:rsid w:val="00C4210D"/>
    <w:rsid w:val="00C43564"/>
    <w:rsid w:val="00C437A8"/>
    <w:rsid w:val="00C4460B"/>
    <w:rsid w:val="00C44E09"/>
    <w:rsid w:val="00C44FE9"/>
    <w:rsid w:val="00C456A8"/>
    <w:rsid w:val="00C45B2A"/>
    <w:rsid w:val="00C45DC0"/>
    <w:rsid w:val="00C46CB2"/>
    <w:rsid w:val="00C4708A"/>
    <w:rsid w:val="00C476FA"/>
    <w:rsid w:val="00C47A85"/>
    <w:rsid w:val="00C47D73"/>
    <w:rsid w:val="00C47F2A"/>
    <w:rsid w:val="00C5070A"/>
    <w:rsid w:val="00C50D7F"/>
    <w:rsid w:val="00C50E9C"/>
    <w:rsid w:val="00C50F7A"/>
    <w:rsid w:val="00C5109C"/>
    <w:rsid w:val="00C51469"/>
    <w:rsid w:val="00C51711"/>
    <w:rsid w:val="00C51C3B"/>
    <w:rsid w:val="00C51C41"/>
    <w:rsid w:val="00C522E9"/>
    <w:rsid w:val="00C52418"/>
    <w:rsid w:val="00C5289E"/>
    <w:rsid w:val="00C52D05"/>
    <w:rsid w:val="00C53241"/>
    <w:rsid w:val="00C53E37"/>
    <w:rsid w:val="00C53F3D"/>
    <w:rsid w:val="00C54149"/>
    <w:rsid w:val="00C544A8"/>
    <w:rsid w:val="00C54588"/>
    <w:rsid w:val="00C54A3E"/>
    <w:rsid w:val="00C54FB2"/>
    <w:rsid w:val="00C550EA"/>
    <w:rsid w:val="00C551A9"/>
    <w:rsid w:val="00C557CF"/>
    <w:rsid w:val="00C55EDA"/>
    <w:rsid w:val="00C55F96"/>
    <w:rsid w:val="00C56572"/>
    <w:rsid w:val="00C56DE5"/>
    <w:rsid w:val="00C57024"/>
    <w:rsid w:val="00C6045C"/>
    <w:rsid w:val="00C60664"/>
    <w:rsid w:val="00C606F6"/>
    <w:rsid w:val="00C60700"/>
    <w:rsid w:val="00C6073A"/>
    <w:rsid w:val="00C60744"/>
    <w:rsid w:val="00C61984"/>
    <w:rsid w:val="00C61E39"/>
    <w:rsid w:val="00C61E49"/>
    <w:rsid w:val="00C6276A"/>
    <w:rsid w:val="00C62AE0"/>
    <w:rsid w:val="00C62FCF"/>
    <w:rsid w:val="00C631F0"/>
    <w:rsid w:val="00C6437E"/>
    <w:rsid w:val="00C64C51"/>
    <w:rsid w:val="00C64F85"/>
    <w:rsid w:val="00C654EA"/>
    <w:rsid w:val="00C65EAC"/>
    <w:rsid w:val="00C66716"/>
    <w:rsid w:val="00C66855"/>
    <w:rsid w:val="00C66986"/>
    <w:rsid w:val="00C669F3"/>
    <w:rsid w:val="00C66B4C"/>
    <w:rsid w:val="00C673C7"/>
    <w:rsid w:val="00C67BF0"/>
    <w:rsid w:val="00C67BFF"/>
    <w:rsid w:val="00C67ECB"/>
    <w:rsid w:val="00C705F1"/>
    <w:rsid w:val="00C709CA"/>
    <w:rsid w:val="00C70BF7"/>
    <w:rsid w:val="00C70F73"/>
    <w:rsid w:val="00C70F94"/>
    <w:rsid w:val="00C712C8"/>
    <w:rsid w:val="00C71A0E"/>
    <w:rsid w:val="00C71A65"/>
    <w:rsid w:val="00C71AF4"/>
    <w:rsid w:val="00C71B58"/>
    <w:rsid w:val="00C71BFC"/>
    <w:rsid w:val="00C71C36"/>
    <w:rsid w:val="00C722C4"/>
    <w:rsid w:val="00C7286D"/>
    <w:rsid w:val="00C73160"/>
    <w:rsid w:val="00C733CF"/>
    <w:rsid w:val="00C734BE"/>
    <w:rsid w:val="00C73D62"/>
    <w:rsid w:val="00C73EC5"/>
    <w:rsid w:val="00C74122"/>
    <w:rsid w:val="00C74804"/>
    <w:rsid w:val="00C74A8C"/>
    <w:rsid w:val="00C75315"/>
    <w:rsid w:val="00C75317"/>
    <w:rsid w:val="00C75401"/>
    <w:rsid w:val="00C75406"/>
    <w:rsid w:val="00C756A1"/>
    <w:rsid w:val="00C758C8"/>
    <w:rsid w:val="00C75920"/>
    <w:rsid w:val="00C75CD7"/>
    <w:rsid w:val="00C762D7"/>
    <w:rsid w:val="00C76453"/>
    <w:rsid w:val="00C76555"/>
    <w:rsid w:val="00C76609"/>
    <w:rsid w:val="00C77274"/>
    <w:rsid w:val="00C775EA"/>
    <w:rsid w:val="00C7779F"/>
    <w:rsid w:val="00C805CB"/>
    <w:rsid w:val="00C806B9"/>
    <w:rsid w:val="00C806E9"/>
    <w:rsid w:val="00C811F1"/>
    <w:rsid w:val="00C8174F"/>
    <w:rsid w:val="00C8192A"/>
    <w:rsid w:val="00C82582"/>
    <w:rsid w:val="00C8269A"/>
    <w:rsid w:val="00C826D1"/>
    <w:rsid w:val="00C82BEF"/>
    <w:rsid w:val="00C82CFE"/>
    <w:rsid w:val="00C830DA"/>
    <w:rsid w:val="00C83715"/>
    <w:rsid w:val="00C839A6"/>
    <w:rsid w:val="00C83C3E"/>
    <w:rsid w:val="00C83DAA"/>
    <w:rsid w:val="00C848C5"/>
    <w:rsid w:val="00C84DFF"/>
    <w:rsid w:val="00C856DA"/>
    <w:rsid w:val="00C85848"/>
    <w:rsid w:val="00C85A77"/>
    <w:rsid w:val="00C85E7D"/>
    <w:rsid w:val="00C85EAA"/>
    <w:rsid w:val="00C85F72"/>
    <w:rsid w:val="00C85F9E"/>
    <w:rsid w:val="00C864CA"/>
    <w:rsid w:val="00C86641"/>
    <w:rsid w:val="00C86971"/>
    <w:rsid w:val="00C86A5C"/>
    <w:rsid w:val="00C870E6"/>
    <w:rsid w:val="00C8779A"/>
    <w:rsid w:val="00C878D9"/>
    <w:rsid w:val="00C87908"/>
    <w:rsid w:val="00C87C97"/>
    <w:rsid w:val="00C90123"/>
    <w:rsid w:val="00C90310"/>
    <w:rsid w:val="00C90B0B"/>
    <w:rsid w:val="00C9204B"/>
    <w:rsid w:val="00C925BA"/>
    <w:rsid w:val="00C9260E"/>
    <w:rsid w:val="00C92CC8"/>
    <w:rsid w:val="00C9343F"/>
    <w:rsid w:val="00C938FA"/>
    <w:rsid w:val="00C93A14"/>
    <w:rsid w:val="00C93C8B"/>
    <w:rsid w:val="00C93E2A"/>
    <w:rsid w:val="00C94412"/>
    <w:rsid w:val="00C95D3B"/>
    <w:rsid w:val="00C96054"/>
    <w:rsid w:val="00C961DD"/>
    <w:rsid w:val="00C9624B"/>
    <w:rsid w:val="00C96491"/>
    <w:rsid w:val="00C967AF"/>
    <w:rsid w:val="00C97360"/>
    <w:rsid w:val="00C973B4"/>
    <w:rsid w:val="00C976FF"/>
    <w:rsid w:val="00C97FE8"/>
    <w:rsid w:val="00CA006E"/>
    <w:rsid w:val="00CA0250"/>
    <w:rsid w:val="00CA06CB"/>
    <w:rsid w:val="00CA10FE"/>
    <w:rsid w:val="00CA162A"/>
    <w:rsid w:val="00CA208B"/>
    <w:rsid w:val="00CA2648"/>
    <w:rsid w:val="00CA2BBC"/>
    <w:rsid w:val="00CA2D74"/>
    <w:rsid w:val="00CA2FFF"/>
    <w:rsid w:val="00CA3134"/>
    <w:rsid w:val="00CA3C0E"/>
    <w:rsid w:val="00CA3DDF"/>
    <w:rsid w:val="00CA4251"/>
    <w:rsid w:val="00CA4652"/>
    <w:rsid w:val="00CA4A96"/>
    <w:rsid w:val="00CA4FA9"/>
    <w:rsid w:val="00CA525E"/>
    <w:rsid w:val="00CA5D16"/>
    <w:rsid w:val="00CA6525"/>
    <w:rsid w:val="00CA7189"/>
    <w:rsid w:val="00CA7300"/>
    <w:rsid w:val="00CB00A5"/>
    <w:rsid w:val="00CB0726"/>
    <w:rsid w:val="00CB0BAF"/>
    <w:rsid w:val="00CB0C35"/>
    <w:rsid w:val="00CB14AF"/>
    <w:rsid w:val="00CB1659"/>
    <w:rsid w:val="00CB180F"/>
    <w:rsid w:val="00CB18FB"/>
    <w:rsid w:val="00CB1BEF"/>
    <w:rsid w:val="00CB1CA4"/>
    <w:rsid w:val="00CB277E"/>
    <w:rsid w:val="00CB2ADA"/>
    <w:rsid w:val="00CB2CB3"/>
    <w:rsid w:val="00CB2DFB"/>
    <w:rsid w:val="00CB2F3C"/>
    <w:rsid w:val="00CB3368"/>
    <w:rsid w:val="00CB5939"/>
    <w:rsid w:val="00CB5EAF"/>
    <w:rsid w:val="00CB6112"/>
    <w:rsid w:val="00CB6730"/>
    <w:rsid w:val="00CB6841"/>
    <w:rsid w:val="00CB75FB"/>
    <w:rsid w:val="00CB7638"/>
    <w:rsid w:val="00CB7750"/>
    <w:rsid w:val="00CB7894"/>
    <w:rsid w:val="00CB7E42"/>
    <w:rsid w:val="00CC016A"/>
    <w:rsid w:val="00CC0265"/>
    <w:rsid w:val="00CC028F"/>
    <w:rsid w:val="00CC046E"/>
    <w:rsid w:val="00CC0D55"/>
    <w:rsid w:val="00CC1424"/>
    <w:rsid w:val="00CC15DF"/>
    <w:rsid w:val="00CC1714"/>
    <w:rsid w:val="00CC1EBE"/>
    <w:rsid w:val="00CC1FC9"/>
    <w:rsid w:val="00CC20CC"/>
    <w:rsid w:val="00CC2192"/>
    <w:rsid w:val="00CC239B"/>
    <w:rsid w:val="00CC250D"/>
    <w:rsid w:val="00CC3197"/>
    <w:rsid w:val="00CC32B4"/>
    <w:rsid w:val="00CC3713"/>
    <w:rsid w:val="00CC3A2B"/>
    <w:rsid w:val="00CC5102"/>
    <w:rsid w:val="00CC51F5"/>
    <w:rsid w:val="00CC5276"/>
    <w:rsid w:val="00CC5390"/>
    <w:rsid w:val="00CC5503"/>
    <w:rsid w:val="00CC5A55"/>
    <w:rsid w:val="00CC5C3A"/>
    <w:rsid w:val="00CC5DAA"/>
    <w:rsid w:val="00CC5DF4"/>
    <w:rsid w:val="00CC63A6"/>
    <w:rsid w:val="00CC6906"/>
    <w:rsid w:val="00CC6C9A"/>
    <w:rsid w:val="00CC6E62"/>
    <w:rsid w:val="00CC6FDF"/>
    <w:rsid w:val="00CC7532"/>
    <w:rsid w:val="00CC757D"/>
    <w:rsid w:val="00CC7F3A"/>
    <w:rsid w:val="00CC7F4E"/>
    <w:rsid w:val="00CD0C37"/>
    <w:rsid w:val="00CD0DB0"/>
    <w:rsid w:val="00CD13CA"/>
    <w:rsid w:val="00CD1734"/>
    <w:rsid w:val="00CD19CE"/>
    <w:rsid w:val="00CD240F"/>
    <w:rsid w:val="00CD27B6"/>
    <w:rsid w:val="00CD2E3D"/>
    <w:rsid w:val="00CD2FAC"/>
    <w:rsid w:val="00CD35C3"/>
    <w:rsid w:val="00CD3CAE"/>
    <w:rsid w:val="00CD411E"/>
    <w:rsid w:val="00CD41CB"/>
    <w:rsid w:val="00CD437B"/>
    <w:rsid w:val="00CD4965"/>
    <w:rsid w:val="00CD5023"/>
    <w:rsid w:val="00CD5A6A"/>
    <w:rsid w:val="00CD6F0E"/>
    <w:rsid w:val="00CD79E4"/>
    <w:rsid w:val="00CD7B39"/>
    <w:rsid w:val="00CD7C4B"/>
    <w:rsid w:val="00CD7F56"/>
    <w:rsid w:val="00CE0360"/>
    <w:rsid w:val="00CE0889"/>
    <w:rsid w:val="00CE0C8E"/>
    <w:rsid w:val="00CE10AB"/>
    <w:rsid w:val="00CE172F"/>
    <w:rsid w:val="00CE199F"/>
    <w:rsid w:val="00CE2058"/>
    <w:rsid w:val="00CE27BD"/>
    <w:rsid w:val="00CE2948"/>
    <w:rsid w:val="00CE2A80"/>
    <w:rsid w:val="00CE2ADB"/>
    <w:rsid w:val="00CE39D8"/>
    <w:rsid w:val="00CE42F6"/>
    <w:rsid w:val="00CE5232"/>
    <w:rsid w:val="00CE5CF5"/>
    <w:rsid w:val="00CE6241"/>
    <w:rsid w:val="00CE62BD"/>
    <w:rsid w:val="00CE66A3"/>
    <w:rsid w:val="00CE6BF0"/>
    <w:rsid w:val="00CE74D5"/>
    <w:rsid w:val="00CE76E1"/>
    <w:rsid w:val="00CE7932"/>
    <w:rsid w:val="00CF04C9"/>
    <w:rsid w:val="00CF0C6E"/>
    <w:rsid w:val="00CF0E0E"/>
    <w:rsid w:val="00CF136D"/>
    <w:rsid w:val="00CF13DF"/>
    <w:rsid w:val="00CF13ED"/>
    <w:rsid w:val="00CF14E7"/>
    <w:rsid w:val="00CF1935"/>
    <w:rsid w:val="00CF1DB9"/>
    <w:rsid w:val="00CF1F0F"/>
    <w:rsid w:val="00CF2197"/>
    <w:rsid w:val="00CF28D3"/>
    <w:rsid w:val="00CF2963"/>
    <w:rsid w:val="00CF3699"/>
    <w:rsid w:val="00CF3BC2"/>
    <w:rsid w:val="00CF4742"/>
    <w:rsid w:val="00CF4A41"/>
    <w:rsid w:val="00CF4A89"/>
    <w:rsid w:val="00CF4D0F"/>
    <w:rsid w:val="00CF5281"/>
    <w:rsid w:val="00CF5390"/>
    <w:rsid w:val="00CF57BF"/>
    <w:rsid w:val="00CF5A06"/>
    <w:rsid w:val="00CF6125"/>
    <w:rsid w:val="00CF64A6"/>
    <w:rsid w:val="00CF64F3"/>
    <w:rsid w:val="00CF70FA"/>
    <w:rsid w:val="00CF748C"/>
    <w:rsid w:val="00D00DF6"/>
    <w:rsid w:val="00D01897"/>
    <w:rsid w:val="00D020BC"/>
    <w:rsid w:val="00D0242E"/>
    <w:rsid w:val="00D0285D"/>
    <w:rsid w:val="00D02BFE"/>
    <w:rsid w:val="00D02DA2"/>
    <w:rsid w:val="00D02E5C"/>
    <w:rsid w:val="00D037DA"/>
    <w:rsid w:val="00D037E8"/>
    <w:rsid w:val="00D03ADB"/>
    <w:rsid w:val="00D03F41"/>
    <w:rsid w:val="00D04622"/>
    <w:rsid w:val="00D04710"/>
    <w:rsid w:val="00D04B68"/>
    <w:rsid w:val="00D04BB5"/>
    <w:rsid w:val="00D059E0"/>
    <w:rsid w:val="00D0603A"/>
    <w:rsid w:val="00D062E3"/>
    <w:rsid w:val="00D06346"/>
    <w:rsid w:val="00D064BC"/>
    <w:rsid w:val="00D0694A"/>
    <w:rsid w:val="00D07793"/>
    <w:rsid w:val="00D07EB9"/>
    <w:rsid w:val="00D07FEC"/>
    <w:rsid w:val="00D115AA"/>
    <w:rsid w:val="00D11C24"/>
    <w:rsid w:val="00D11D29"/>
    <w:rsid w:val="00D11D7A"/>
    <w:rsid w:val="00D12279"/>
    <w:rsid w:val="00D12E0B"/>
    <w:rsid w:val="00D13353"/>
    <w:rsid w:val="00D14197"/>
    <w:rsid w:val="00D14466"/>
    <w:rsid w:val="00D14D34"/>
    <w:rsid w:val="00D1528D"/>
    <w:rsid w:val="00D15DBD"/>
    <w:rsid w:val="00D161A6"/>
    <w:rsid w:val="00D16430"/>
    <w:rsid w:val="00D16809"/>
    <w:rsid w:val="00D16832"/>
    <w:rsid w:val="00D16B4E"/>
    <w:rsid w:val="00D16FBE"/>
    <w:rsid w:val="00D17A04"/>
    <w:rsid w:val="00D17D75"/>
    <w:rsid w:val="00D202F8"/>
    <w:rsid w:val="00D2057E"/>
    <w:rsid w:val="00D20B91"/>
    <w:rsid w:val="00D20D0A"/>
    <w:rsid w:val="00D21A33"/>
    <w:rsid w:val="00D21FA6"/>
    <w:rsid w:val="00D220D9"/>
    <w:rsid w:val="00D22320"/>
    <w:rsid w:val="00D2287C"/>
    <w:rsid w:val="00D230D3"/>
    <w:rsid w:val="00D234AA"/>
    <w:rsid w:val="00D234B3"/>
    <w:rsid w:val="00D23A8D"/>
    <w:rsid w:val="00D23C07"/>
    <w:rsid w:val="00D242B9"/>
    <w:rsid w:val="00D24303"/>
    <w:rsid w:val="00D24DBE"/>
    <w:rsid w:val="00D251AF"/>
    <w:rsid w:val="00D256BF"/>
    <w:rsid w:val="00D25715"/>
    <w:rsid w:val="00D25F28"/>
    <w:rsid w:val="00D2727F"/>
    <w:rsid w:val="00D27596"/>
    <w:rsid w:val="00D27A1A"/>
    <w:rsid w:val="00D27B45"/>
    <w:rsid w:val="00D301BF"/>
    <w:rsid w:val="00D30D5A"/>
    <w:rsid w:val="00D30E59"/>
    <w:rsid w:val="00D31476"/>
    <w:rsid w:val="00D31C70"/>
    <w:rsid w:val="00D31E9E"/>
    <w:rsid w:val="00D3240F"/>
    <w:rsid w:val="00D3260D"/>
    <w:rsid w:val="00D328F5"/>
    <w:rsid w:val="00D32E1A"/>
    <w:rsid w:val="00D32F42"/>
    <w:rsid w:val="00D331AC"/>
    <w:rsid w:val="00D33932"/>
    <w:rsid w:val="00D34478"/>
    <w:rsid w:val="00D345DA"/>
    <w:rsid w:val="00D34681"/>
    <w:rsid w:val="00D3470E"/>
    <w:rsid w:val="00D348A8"/>
    <w:rsid w:val="00D34FC3"/>
    <w:rsid w:val="00D3537C"/>
    <w:rsid w:val="00D372D4"/>
    <w:rsid w:val="00D3731F"/>
    <w:rsid w:val="00D37D54"/>
    <w:rsid w:val="00D37E30"/>
    <w:rsid w:val="00D40360"/>
    <w:rsid w:val="00D403D4"/>
    <w:rsid w:val="00D40B18"/>
    <w:rsid w:val="00D40F67"/>
    <w:rsid w:val="00D41512"/>
    <w:rsid w:val="00D417D3"/>
    <w:rsid w:val="00D41CA7"/>
    <w:rsid w:val="00D423C8"/>
    <w:rsid w:val="00D429E9"/>
    <w:rsid w:val="00D42B66"/>
    <w:rsid w:val="00D42E4E"/>
    <w:rsid w:val="00D43295"/>
    <w:rsid w:val="00D4370D"/>
    <w:rsid w:val="00D43F0F"/>
    <w:rsid w:val="00D441B4"/>
    <w:rsid w:val="00D44315"/>
    <w:rsid w:val="00D44B9A"/>
    <w:rsid w:val="00D461FD"/>
    <w:rsid w:val="00D4624E"/>
    <w:rsid w:val="00D46522"/>
    <w:rsid w:val="00D46803"/>
    <w:rsid w:val="00D46AC0"/>
    <w:rsid w:val="00D46CE6"/>
    <w:rsid w:val="00D47519"/>
    <w:rsid w:val="00D4767F"/>
    <w:rsid w:val="00D478B2"/>
    <w:rsid w:val="00D47990"/>
    <w:rsid w:val="00D47C61"/>
    <w:rsid w:val="00D5038A"/>
    <w:rsid w:val="00D509EA"/>
    <w:rsid w:val="00D50D86"/>
    <w:rsid w:val="00D50EBD"/>
    <w:rsid w:val="00D51098"/>
    <w:rsid w:val="00D51178"/>
    <w:rsid w:val="00D511E9"/>
    <w:rsid w:val="00D5140D"/>
    <w:rsid w:val="00D51E39"/>
    <w:rsid w:val="00D51F80"/>
    <w:rsid w:val="00D524E5"/>
    <w:rsid w:val="00D52837"/>
    <w:rsid w:val="00D52D47"/>
    <w:rsid w:val="00D53065"/>
    <w:rsid w:val="00D53723"/>
    <w:rsid w:val="00D53A14"/>
    <w:rsid w:val="00D53D63"/>
    <w:rsid w:val="00D54568"/>
    <w:rsid w:val="00D54C2F"/>
    <w:rsid w:val="00D5542A"/>
    <w:rsid w:val="00D55D3C"/>
    <w:rsid w:val="00D55FBA"/>
    <w:rsid w:val="00D56A00"/>
    <w:rsid w:val="00D56A8C"/>
    <w:rsid w:val="00D5711F"/>
    <w:rsid w:val="00D5788F"/>
    <w:rsid w:val="00D57C0F"/>
    <w:rsid w:val="00D57D11"/>
    <w:rsid w:val="00D60526"/>
    <w:rsid w:val="00D6077B"/>
    <w:rsid w:val="00D60A10"/>
    <w:rsid w:val="00D60BE8"/>
    <w:rsid w:val="00D61117"/>
    <w:rsid w:val="00D6157E"/>
    <w:rsid w:val="00D62091"/>
    <w:rsid w:val="00D621D3"/>
    <w:rsid w:val="00D623EA"/>
    <w:rsid w:val="00D6386A"/>
    <w:rsid w:val="00D638BB"/>
    <w:rsid w:val="00D638C5"/>
    <w:rsid w:val="00D63978"/>
    <w:rsid w:val="00D63A6A"/>
    <w:rsid w:val="00D63C37"/>
    <w:rsid w:val="00D64090"/>
    <w:rsid w:val="00D64687"/>
    <w:rsid w:val="00D6474A"/>
    <w:rsid w:val="00D648A1"/>
    <w:rsid w:val="00D6490B"/>
    <w:rsid w:val="00D64D43"/>
    <w:rsid w:val="00D64DDD"/>
    <w:rsid w:val="00D651D7"/>
    <w:rsid w:val="00D65417"/>
    <w:rsid w:val="00D657E2"/>
    <w:rsid w:val="00D664D1"/>
    <w:rsid w:val="00D66BA6"/>
    <w:rsid w:val="00D66C8A"/>
    <w:rsid w:val="00D66C8E"/>
    <w:rsid w:val="00D670C6"/>
    <w:rsid w:val="00D67131"/>
    <w:rsid w:val="00D6714B"/>
    <w:rsid w:val="00D67230"/>
    <w:rsid w:val="00D6740F"/>
    <w:rsid w:val="00D67563"/>
    <w:rsid w:val="00D67665"/>
    <w:rsid w:val="00D67792"/>
    <w:rsid w:val="00D70875"/>
    <w:rsid w:val="00D70A51"/>
    <w:rsid w:val="00D70C2A"/>
    <w:rsid w:val="00D70F3F"/>
    <w:rsid w:val="00D70F4A"/>
    <w:rsid w:val="00D7159A"/>
    <w:rsid w:val="00D719EA"/>
    <w:rsid w:val="00D71A5A"/>
    <w:rsid w:val="00D71F75"/>
    <w:rsid w:val="00D727F1"/>
    <w:rsid w:val="00D72B8A"/>
    <w:rsid w:val="00D72C09"/>
    <w:rsid w:val="00D733F9"/>
    <w:rsid w:val="00D735E5"/>
    <w:rsid w:val="00D73833"/>
    <w:rsid w:val="00D73A88"/>
    <w:rsid w:val="00D74043"/>
    <w:rsid w:val="00D7477E"/>
    <w:rsid w:val="00D7499F"/>
    <w:rsid w:val="00D749CE"/>
    <w:rsid w:val="00D74F2C"/>
    <w:rsid w:val="00D7514F"/>
    <w:rsid w:val="00D76011"/>
    <w:rsid w:val="00D76109"/>
    <w:rsid w:val="00D7623A"/>
    <w:rsid w:val="00D76292"/>
    <w:rsid w:val="00D7659E"/>
    <w:rsid w:val="00D770CC"/>
    <w:rsid w:val="00D77493"/>
    <w:rsid w:val="00D77663"/>
    <w:rsid w:val="00D77713"/>
    <w:rsid w:val="00D77847"/>
    <w:rsid w:val="00D77C16"/>
    <w:rsid w:val="00D77FCF"/>
    <w:rsid w:val="00D80868"/>
    <w:rsid w:val="00D80F6B"/>
    <w:rsid w:val="00D81274"/>
    <w:rsid w:val="00D814F8"/>
    <w:rsid w:val="00D81C0B"/>
    <w:rsid w:val="00D82CB3"/>
    <w:rsid w:val="00D832D6"/>
    <w:rsid w:val="00D84294"/>
    <w:rsid w:val="00D846F1"/>
    <w:rsid w:val="00D8471F"/>
    <w:rsid w:val="00D84D36"/>
    <w:rsid w:val="00D84F4D"/>
    <w:rsid w:val="00D854DE"/>
    <w:rsid w:val="00D85C24"/>
    <w:rsid w:val="00D8680C"/>
    <w:rsid w:val="00D86C33"/>
    <w:rsid w:val="00D86C43"/>
    <w:rsid w:val="00D87052"/>
    <w:rsid w:val="00D870F4"/>
    <w:rsid w:val="00D87106"/>
    <w:rsid w:val="00D8790E"/>
    <w:rsid w:val="00D87A6E"/>
    <w:rsid w:val="00D87E53"/>
    <w:rsid w:val="00D87E64"/>
    <w:rsid w:val="00D9041E"/>
    <w:rsid w:val="00D905D2"/>
    <w:rsid w:val="00D90675"/>
    <w:rsid w:val="00D907D0"/>
    <w:rsid w:val="00D910B8"/>
    <w:rsid w:val="00D91863"/>
    <w:rsid w:val="00D91916"/>
    <w:rsid w:val="00D91B01"/>
    <w:rsid w:val="00D91D2F"/>
    <w:rsid w:val="00D92212"/>
    <w:rsid w:val="00D92472"/>
    <w:rsid w:val="00D926D8"/>
    <w:rsid w:val="00D92970"/>
    <w:rsid w:val="00D92F51"/>
    <w:rsid w:val="00D92F6D"/>
    <w:rsid w:val="00D9356B"/>
    <w:rsid w:val="00D93606"/>
    <w:rsid w:val="00D937D3"/>
    <w:rsid w:val="00D94165"/>
    <w:rsid w:val="00D945B3"/>
    <w:rsid w:val="00D94C92"/>
    <w:rsid w:val="00D94F02"/>
    <w:rsid w:val="00D956A2"/>
    <w:rsid w:val="00D9574A"/>
    <w:rsid w:val="00D95AF3"/>
    <w:rsid w:val="00D95C9E"/>
    <w:rsid w:val="00D95E09"/>
    <w:rsid w:val="00D96459"/>
    <w:rsid w:val="00D964BF"/>
    <w:rsid w:val="00D97190"/>
    <w:rsid w:val="00D9737E"/>
    <w:rsid w:val="00D97384"/>
    <w:rsid w:val="00D975AC"/>
    <w:rsid w:val="00DA05C6"/>
    <w:rsid w:val="00DA100C"/>
    <w:rsid w:val="00DA12DE"/>
    <w:rsid w:val="00DA1334"/>
    <w:rsid w:val="00DA13DA"/>
    <w:rsid w:val="00DA158D"/>
    <w:rsid w:val="00DA162A"/>
    <w:rsid w:val="00DA1696"/>
    <w:rsid w:val="00DA2362"/>
    <w:rsid w:val="00DA2E74"/>
    <w:rsid w:val="00DA2EBF"/>
    <w:rsid w:val="00DA334D"/>
    <w:rsid w:val="00DA3508"/>
    <w:rsid w:val="00DA36C5"/>
    <w:rsid w:val="00DA36E6"/>
    <w:rsid w:val="00DA3F05"/>
    <w:rsid w:val="00DA4582"/>
    <w:rsid w:val="00DA45A9"/>
    <w:rsid w:val="00DA4805"/>
    <w:rsid w:val="00DA491D"/>
    <w:rsid w:val="00DA4B0B"/>
    <w:rsid w:val="00DA51DE"/>
    <w:rsid w:val="00DA52C8"/>
    <w:rsid w:val="00DA5982"/>
    <w:rsid w:val="00DA5B26"/>
    <w:rsid w:val="00DA70D8"/>
    <w:rsid w:val="00DA72B8"/>
    <w:rsid w:val="00DA7346"/>
    <w:rsid w:val="00DA7712"/>
    <w:rsid w:val="00DA7FC6"/>
    <w:rsid w:val="00DB03D4"/>
    <w:rsid w:val="00DB0646"/>
    <w:rsid w:val="00DB2034"/>
    <w:rsid w:val="00DB2772"/>
    <w:rsid w:val="00DB2E09"/>
    <w:rsid w:val="00DB30A0"/>
    <w:rsid w:val="00DB3803"/>
    <w:rsid w:val="00DB4A87"/>
    <w:rsid w:val="00DB4E07"/>
    <w:rsid w:val="00DB52A8"/>
    <w:rsid w:val="00DB5465"/>
    <w:rsid w:val="00DB575C"/>
    <w:rsid w:val="00DB5E26"/>
    <w:rsid w:val="00DB5E30"/>
    <w:rsid w:val="00DB6565"/>
    <w:rsid w:val="00DB6812"/>
    <w:rsid w:val="00DB6D79"/>
    <w:rsid w:val="00DB7615"/>
    <w:rsid w:val="00DB7660"/>
    <w:rsid w:val="00DB7703"/>
    <w:rsid w:val="00DB7A5A"/>
    <w:rsid w:val="00DB7CBA"/>
    <w:rsid w:val="00DC0652"/>
    <w:rsid w:val="00DC10F6"/>
    <w:rsid w:val="00DC115D"/>
    <w:rsid w:val="00DC1163"/>
    <w:rsid w:val="00DC1530"/>
    <w:rsid w:val="00DC1592"/>
    <w:rsid w:val="00DC1CE1"/>
    <w:rsid w:val="00DC2672"/>
    <w:rsid w:val="00DC322C"/>
    <w:rsid w:val="00DC34A5"/>
    <w:rsid w:val="00DC376D"/>
    <w:rsid w:val="00DC4076"/>
    <w:rsid w:val="00DC45EC"/>
    <w:rsid w:val="00DC48BB"/>
    <w:rsid w:val="00DC4A35"/>
    <w:rsid w:val="00DC4BA2"/>
    <w:rsid w:val="00DC4F18"/>
    <w:rsid w:val="00DC5506"/>
    <w:rsid w:val="00DC5C98"/>
    <w:rsid w:val="00DC5CC2"/>
    <w:rsid w:val="00DC5CCD"/>
    <w:rsid w:val="00DC661E"/>
    <w:rsid w:val="00DC69F6"/>
    <w:rsid w:val="00DC6EBB"/>
    <w:rsid w:val="00DC7029"/>
    <w:rsid w:val="00DC73FF"/>
    <w:rsid w:val="00DC7839"/>
    <w:rsid w:val="00DC7B63"/>
    <w:rsid w:val="00DC7DAE"/>
    <w:rsid w:val="00DD0149"/>
    <w:rsid w:val="00DD10EF"/>
    <w:rsid w:val="00DD1307"/>
    <w:rsid w:val="00DD17FA"/>
    <w:rsid w:val="00DD18FF"/>
    <w:rsid w:val="00DD1AC4"/>
    <w:rsid w:val="00DD1D7E"/>
    <w:rsid w:val="00DD1EB7"/>
    <w:rsid w:val="00DD1EF7"/>
    <w:rsid w:val="00DD2522"/>
    <w:rsid w:val="00DD2B28"/>
    <w:rsid w:val="00DD2ED3"/>
    <w:rsid w:val="00DD3244"/>
    <w:rsid w:val="00DD3848"/>
    <w:rsid w:val="00DD3C5E"/>
    <w:rsid w:val="00DD3DD6"/>
    <w:rsid w:val="00DD3E00"/>
    <w:rsid w:val="00DD4296"/>
    <w:rsid w:val="00DD462B"/>
    <w:rsid w:val="00DD490C"/>
    <w:rsid w:val="00DD4C19"/>
    <w:rsid w:val="00DD4F81"/>
    <w:rsid w:val="00DD5342"/>
    <w:rsid w:val="00DD54C2"/>
    <w:rsid w:val="00DD5544"/>
    <w:rsid w:val="00DD56EF"/>
    <w:rsid w:val="00DD5A8F"/>
    <w:rsid w:val="00DD64F9"/>
    <w:rsid w:val="00DD7305"/>
    <w:rsid w:val="00DD79DF"/>
    <w:rsid w:val="00DD7DBB"/>
    <w:rsid w:val="00DD7E70"/>
    <w:rsid w:val="00DE0067"/>
    <w:rsid w:val="00DE08E5"/>
    <w:rsid w:val="00DE091D"/>
    <w:rsid w:val="00DE0C4E"/>
    <w:rsid w:val="00DE10FF"/>
    <w:rsid w:val="00DE15F2"/>
    <w:rsid w:val="00DE1DEA"/>
    <w:rsid w:val="00DE20DB"/>
    <w:rsid w:val="00DE27B5"/>
    <w:rsid w:val="00DE2FBD"/>
    <w:rsid w:val="00DE2FD8"/>
    <w:rsid w:val="00DE3DBC"/>
    <w:rsid w:val="00DE3E73"/>
    <w:rsid w:val="00DE4813"/>
    <w:rsid w:val="00DE580A"/>
    <w:rsid w:val="00DE6331"/>
    <w:rsid w:val="00DE6665"/>
    <w:rsid w:val="00DE6B57"/>
    <w:rsid w:val="00DE6BD9"/>
    <w:rsid w:val="00DE6E46"/>
    <w:rsid w:val="00DE7F76"/>
    <w:rsid w:val="00DE7FC2"/>
    <w:rsid w:val="00DF03A1"/>
    <w:rsid w:val="00DF1301"/>
    <w:rsid w:val="00DF1668"/>
    <w:rsid w:val="00DF1B6E"/>
    <w:rsid w:val="00DF2542"/>
    <w:rsid w:val="00DF3640"/>
    <w:rsid w:val="00DF3AAC"/>
    <w:rsid w:val="00DF4427"/>
    <w:rsid w:val="00DF4594"/>
    <w:rsid w:val="00DF482C"/>
    <w:rsid w:val="00DF4A61"/>
    <w:rsid w:val="00DF59B2"/>
    <w:rsid w:val="00DF5A1C"/>
    <w:rsid w:val="00DF5E50"/>
    <w:rsid w:val="00DF6E47"/>
    <w:rsid w:val="00DF778F"/>
    <w:rsid w:val="00DF7EF3"/>
    <w:rsid w:val="00E00033"/>
    <w:rsid w:val="00E00160"/>
    <w:rsid w:val="00E00597"/>
    <w:rsid w:val="00E006BF"/>
    <w:rsid w:val="00E00AF2"/>
    <w:rsid w:val="00E020DC"/>
    <w:rsid w:val="00E02138"/>
    <w:rsid w:val="00E02433"/>
    <w:rsid w:val="00E02AE9"/>
    <w:rsid w:val="00E02B68"/>
    <w:rsid w:val="00E02DF8"/>
    <w:rsid w:val="00E02FC0"/>
    <w:rsid w:val="00E0328F"/>
    <w:rsid w:val="00E0335E"/>
    <w:rsid w:val="00E042C4"/>
    <w:rsid w:val="00E04339"/>
    <w:rsid w:val="00E04354"/>
    <w:rsid w:val="00E0458F"/>
    <w:rsid w:val="00E04C2D"/>
    <w:rsid w:val="00E05108"/>
    <w:rsid w:val="00E055EC"/>
    <w:rsid w:val="00E059F6"/>
    <w:rsid w:val="00E064A4"/>
    <w:rsid w:val="00E06AE7"/>
    <w:rsid w:val="00E06D37"/>
    <w:rsid w:val="00E06E21"/>
    <w:rsid w:val="00E072B1"/>
    <w:rsid w:val="00E07C74"/>
    <w:rsid w:val="00E07DC4"/>
    <w:rsid w:val="00E10234"/>
    <w:rsid w:val="00E105BE"/>
    <w:rsid w:val="00E1099A"/>
    <w:rsid w:val="00E10A92"/>
    <w:rsid w:val="00E110A4"/>
    <w:rsid w:val="00E11C5E"/>
    <w:rsid w:val="00E11C83"/>
    <w:rsid w:val="00E12373"/>
    <w:rsid w:val="00E127F6"/>
    <w:rsid w:val="00E12A97"/>
    <w:rsid w:val="00E12C62"/>
    <w:rsid w:val="00E134A0"/>
    <w:rsid w:val="00E13597"/>
    <w:rsid w:val="00E13EDF"/>
    <w:rsid w:val="00E14112"/>
    <w:rsid w:val="00E14258"/>
    <w:rsid w:val="00E14ABA"/>
    <w:rsid w:val="00E14C4F"/>
    <w:rsid w:val="00E1541A"/>
    <w:rsid w:val="00E15444"/>
    <w:rsid w:val="00E15569"/>
    <w:rsid w:val="00E16560"/>
    <w:rsid w:val="00E16603"/>
    <w:rsid w:val="00E16754"/>
    <w:rsid w:val="00E16758"/>
    <w:rsid w:val="00E16C6F"/>
    <w:rsid w:val="00E17155"/>
    <w:rsid w:val="00E1785E"/>
    <w:rsid w:val="00E208FB"/>
    <w:rsid w:val="00E20F87"/>
    <w:rsid w:val="00E20FAE"/>
    <w:rsid w:val="00E212FF"/>
    <w:rsid w:val="00E2177E"/>
    <w:rsid w:val="00E229F6"/>
    <w:rsid w:val="00E22BDE"/>
    <w:rsid w:val="00E23095"/>
    <w:rsid w:val="00E23122"/>
    <w:rsid w:val="00E2377D"/>
    <w:rsid w:val="00E24307"/>
    <w:rsid w:val="00E25154"/>
    <w:rsid w:val="00E25A37"/>
    <w:rsid w:val="00E25A8A"/>
    <w:rsid w:val="00E25BE0"/>
    <w:rsid w:val="00E25D4B"/>
    <w:rsid w:val="00E261BA"/>
    <w:rsid w:val="00E26336"/>
    <w:rsid w:val="00E266B5"/>
    <w:rsid w:val="00E26982"/>
    <w:rsid w:val="00E27245"/>
    <w:rsid w:val="00E303DA"/>
    <w:rsid w:val="00E310A1"/>
    <w:rsid w:val="00E3144E"/>
    <w:rsid w:val="00E3160D"/>
    <w:rsid w:val="00E31687"/>
    <w:rsid w:val="00E31CBF"/>
    <w:rsid w:val="00E31E6C"/>
    <w:rsid w:val="00E3211F"/>
    <w:rsid w:val="00E32574"/>
    <w:rsid w:val="00E3266E"/>
    <w:rsid w:val="00E331A6"/>
    <w:rsid w:val="00E332D2"/>
    <w:rsid w:val="00E33396"/>
    <w:rsid w:val="00E3383C"/>
    <w:rsid w:val="00E33984"/>
    <w:rsid w:val="00E34568"/>
    <w:rsid w:val="00E34652"/>
    <w:rsid w:val="00E3653A"/>
    <w:rsid w:val="00E36CEE"/>
    <w:rsid w:val="00E36DFA"/>
    <w:rsid w:val="00E36F12"/>
    <w:rsid w:val="00E36FD5"/>
    <w:rsid w:val="00E370D6"/>
    <w:rsid w:val="00E37422"/>
    <w:rsid w:val="00E37528"/>
    <w:rsid w:val="00E37B0C"/>
    <w:rsid w:val="00E37B25"/>
    <w:rsid w:val="00E407A3"/>
    <w:rsid w:val="00E417A3"/>
    <w:rsid w:val="00E41CA1"/>
    <w:rsid w:val="00E41F0A"/>
    <w:rsid w:val="00E420D8"/>
    <w:rsid w:val="00E42610"/>
    <w:rsid w:val="00E428D6"/>
    <w:rsid w:val="00E42DB9"/>
    <w:rsid w:val="00E42E5C"/>
    <w:rsid w:val="00E43124"/>
    <w:rsid w:val="00E436FB"/>
    <w:rsid w:val="00E43C12"/>
    <w:rsid w:val="00E43D13"/>
    <w:rsid w:val="00E43D56"/>
    <w:rsid w:val="00E43F83"/>
    <w:rsid w:val="00E442FA"/>
    <w:rsid w:val="00E456CE"/>
    <w:rsid w:val="00E45853"/>
    <w:rsid w:val="00E45867"/>
    <w:rsid w:val="00E45F2B"/>
    <w:rsid w:val="00E46453"/>
    <w:rsid w:val="00E46635"/>
    <w:rsid w:val="00E46B2A"/>
    <w:rsid w:val="00E47D43"/>
    <w:rsid w:val="00E501E0"/>
    <w:rsid w:val="00E50261"/>
    <w:rsid w:val="00E503EC"/>
    <w:rsid w:val="00E5064F"/>
    <w:rsid w:val="00E5066C"/>
    <w:rsid w:val="00E50D9F"/>
    <w:rsid w:val="00E51012"/>
    <w:rsid w:val="00E5139A"/>
    <w:rsid w:val="00E514AC"/>
    <w:rsid w:val="00E51A14"/>
    <w:rsid w:val="00E51A6B"/>
    <w:rsid w:val="00E52057"/>
    <w:rsid w:val="00E52292"/>
    <w:rsid w:val="00E52324"/>
    <w:rsid w:val="00E52788"/>
    <w:rsid w:val="00E52A51"/>
    <w:rsid w:val="00E5331D"/>
    <w:rsid w:val="00E53347"/>
    <w:rsid w:val="00E536F3"/>
    <w:rsid w:val="00E5398F"/>
    <w:rsid w:val="00E53B34"/>
    <w:rsid w:val="00E54115"/>
    <w:rsid w:val="00E54422"/>
    <w:rsid w:val="00E54B2D"/>
    <w:rsid w:val="00E54BC5"/>
    <w:rsid w:val="00E54FAD"/>
    <w:rsid w:val="00E5522E"/>
    <w:rsid w:val="00E554A7"/>
    <w:rsid w:val="00E555F3"/>
    <w:rsid w:val="00E55DC9"/>
    <w:rsid w:val="00E56A20"/>
    <w:rsid w:val="00E56BF4"/>
    <w:rsid w:val="00E56E2C"/>
    <w:rsid w:val="00E57504"/>
    <w:rsid w:val="00E5767F"/>
    <w:rsid w:val="00E57A74"/>
    <w:rsid w:val="00E57D84"/>
    <w:rsid w:val="00E60399"/>
    <w:rsid w:val="00E605A1"/>
    <w:rsid w:val="00E60BD0"/>
    <w:rsid w:val="00E60D95"/>
    <w:rsid w:val="00E6111F"/>
    <w:rsid w:val="00E61575"/>
    <w:rsid w:val="00E61825"/>
    <w:rsid w:val="00E61AA8"/>
    <w:rsid w:val="00E62199"/>
    <w:rsid w:val="00E62647"/>
    <w:rsid w:val="00E6325A"/>
    <w:rsid w:val="00E63853"/>
    <w:rsid w:val="00E63F0B"/>
    <w:rsid w:val="00E642DF"/>
    <w:rsid w:val="00E64520"/>
    <w:rsid w:val="00E64CCA"/>
    <w:rsid w:val="00E6579A"/>
    <w:rsid w:val="00E65A55"/>
    <w:rsid w:val="00E66D2F"/>
    <w:rsid w:val="00E66EFC"/>
    <w:rsid w:val="00E67055"/>
    <w:rsid w:val="00E6723F"/>
    <w:rsid w:val="00E679AB"/>
    <w:rsid w:val="00E67ED5"/>
    <w:rsid w:val="00E7063B"/>
    <w:rsid w:val="00E70826"/>
    <w:rsid w:val="00E70A3E"/>
    <w:rsid w:val="00E70D8F"/>
    <w:rsid w:val="00E70EFB"/>
    <w:rsid w:val="00E71186"/>
    <w:rsid w:val="00E71193"/>
    <w:rsid w:val="00E71697"/>
    <w:rsid w:val="00E71B56"/>
    <w:rsid w:val="00E71F09"/>
    <w:rsid w:val="00E71F95"/>
    <w:rsid w:val="00E72411"/>
    <w:rsid w:val="00E729DF"/>
    <w:rsid w:val="00E72C5A"/>
    <w:rsid w:val="00E72D51"/>
    <w:rsid w:val="00E72F72"/>
    <w:rsid w:val="00E73914"/>
    <w:rsid w:val="00E73D50"/>
    <w:rsid w:val="00E745E6"/>
    <w:rsid w:val="00E74833"/>
    <w:rsid w:val="00E7487C"/>
    <w:rsid w:val="00E7535B"/>
    <w:rsid w:val="00E75368"/>
    <w:rsid w:val="00E756FA"/>
    <w:rsid w:val="00E7596F"/>
    <w:rsid w:val="00E76A09"/>
    <w:rsid w:val="00E770CB"/>
    <w:rsid w:val="00E77685"/>
    <w:rsid w:val="00E803CC"/>
    <w:rsid w:val="00E806C7"/>
    <w:rsid w:val="00E80802"/>
    <w:rsid w:val="00E8097B"/>
    <w:rsid w:val="00E80A92"/>
    <w:rsid w:val="00E81111"/>
    <w:rsid w:val="00E8122C"/>
    <w:rsid w:val="00E81309"/>
    <w:rsid w:val="00E81C49"/>
    <w:rsid w:val="00E81E5F"/>
    <w:rsid w:val="00E82495"/>
    <w:rsid w:val="00E826BB"/>
    <w:rsid w:val="00E826D6"/>
    <w:rsid w:val="00E82AB6"/>
    <w:rsid w:val="00E82FE1"/>
    <w:rsid w:val="00E83222"/>
    <w:rsid w:val="00E83ACB"/>
    <w:rsid w:val="00E83EED"/>
    <w:rsid w:val="00E840C6"/>
    <w:rsid w:val="00E84C7C"/>
    <w:rsid w:val="00E85052"/>
    <w:rsid w:val="00E85370"/>
    <w:rsid w:val="00E85651"/>
    <w:rsid w:val="00E8594E"/>
    <w:rsid w:val="00E85F4B"/>
    <w:rsid w:val="00E86237"/>
    <w:rsid w:val="00E866BD"/>
    <w:rsid w:val="00E86936"/>
    <w:rsid w:val="00E86D59"/>
    <w:rsid w:val="00E872FB"/>
    <w:rsid w:val="00E87A17"/>
    <w:rsid w:val="00E90454"/>
    <w:rsid w:val="00E905EF"/>
    <w:rsid w:val="00E90A70"/>
    <w:rsid w:val="00E90E59"/>
    <w:rsid w:val="00E9120C"/>
    <w:rsid w:val="00E91305"/>
    <w:rsid w:val="00E914D7"/>
    <w:rsid w:val="00E916A6"/>
    <w:rsid w:val="00E918C3"/>
    <w:rsid w:val="00E91BFA"/>
    <w:rsid w:val="00E91C5C"/>
    <w:rsid w:val="00E91C6B"/>
    <w:rsid w:val="00E92021"/>
    <w:rsid w:val="00E92BEF"/>
    <w:rsid w:val="00E92D95"/>
    <w:rsid w:val="00E9414A"/>
    <w:rsid w:val="00E9441E"/>
    <w:rsid w:val="00E94719"/>
    <w:rsid w:val="00E9488F"/>
    <w:rsid w:val="00E94BA6"/>
    <w:rsid w:val="00E95614"/>
    <w:rsid w:val="00E9568E"/>
    <w:rsid w:val="00E957E2"/>
    <w:rsid w:val="00E95C23"/>
    <w:rsid w:val="00E96120"/>
    <w:rsid w:val="00E96290"/>
    <w:rsid w:val="00E966DC"/>
    <w:rsid w:val="00E97D7F"/>
    <w:rsid w:val="00E97F7C"/>
    <w:rsid w:val="00E97FF4"/>
    <w:rsid w:val="00EA0146"/>
    <w:rsid w:val="00EA02FF"/>
    <w:rsid w:val="00EA0874"/>
    <w:rsid w:val="00EA0C82"/>
    <w:rsid w:val="00EA0CD8"/>
    <w:rsid w:val="00EA1123"/>
    <w:rsid w:val="00EA11C4"/>
    <w:rsid w:val="00EA122B"/>
    <w:rsid w:val="00EA1A8F"/>
    <w:rsid w:val="00EA1C35"/>
    <w:rsid w:val="00EA2A42"/>
    <w:rsid w:val="00EA2B58"/>
    <w:rsid w:val="00EA2DC1"/>
    <w:rsid w:val="00EA2EB1"/>
    <w:rsid w:val="00EA321D"/>
    <w:rsid w:val="00EA41AD"/>
    <w:rsid w:val="00EA43F3"/>
    <w:rsid w:val="00EA4464"/>
    <w:rsid w:val="00EA4586"/>
    <w:rsid w:val="00EA4BA4"/>
    <w:rsid w:val="00EA4BF1"/>
    <w:rsid w:val="00EA5072"/>
    <w:rsid w:val="00EA5098"/>
    <w:rsid w:val="00EA5277"/>
    <w:rsid w:val="00EA6029"/>
    <w:rsid w:val="00EA6501"/>
    <w:rsid w:val="00EA69BD"/>
    <w:rsid w:val="00EA7A08"/>
    <w:rsid w:val="00EA7E4E"/>
    <w:rsid w:val="00EA7F4B"/>
    <w:rsid w:val="00EB07B4"/>
    <w:rsid w:val="00EB0FB1"/>
    <w:rsid w:val="00EB102D"/>
    <w:rsid w:val="00EB12CA"/>
    <w:rsid w:val="00EB177E"/>
    <w:rsid w:val="00EB1896"/>
    <w:rsid w:val="00EB1CAA"/>
    <w:rsid w:val="00EB1FE3"/>
    <w:rsid w:val="00EB21CA"/>
    <w:rsid w:val="00EB2329"/>
    <w:rsid w:val="00EB236A"/>
    <w:rsid w:val="00EB2D12"/>
    <w:rsid w:val="00EB34C0"/>
    <w:rsid w:val="00EB3B25"/>
    <w:rsid w:val="00EB4358"/>
    <w:rsid w:val="00EB441C"/>
    <w:rsid w:val="00EB45FE"/>
    <w:rsid w:val="00EB4A2A"/>
    <w:rsid w:val="00EB4B98"/>
    <w:rsid w:val="00EB570D"/>
    <w:rsid w:val="00EB627C"/>
    <w:rsid w:val="00EB651C"/>
    <w:rsid w:val="00EB796D"/>
    <w:rsid w:val="00EB7A31"/>
    <w:rsid w:val="00EB7A8C"/>
    <w:rsid w:val="00EB7C8E"/>
    <w:rsid w:val="00EB7CFE"/>
    <w:rsid w:val="00EC10B4"/>
    <w:rsid w:val="00EC14A1"/>
    <w:rsid w:val="00EC1964"/>
    <w:rsid w:val="00EC1B01"/>
    <w:rsid w:val="00EC1CC8"/>
    <w:rsid w:val="00EC2AFB"/>
    <w:rsid w:val="00EC33C9"/>
    <w:rsid w:val="00EC39E1"/>
    <w:rsid w:val="00EC3A8D"/>
    <w:rsid w:val="00EC3B01"/>
    <w:rsid w:val="00EC3B99"/>
    <w:rsid w:val="00EC40E5"/>
    <w:rsid w:val="00EC410A"/>
    <w:rsid w:val="00EC449D"/>
    <w:rsid w:val="00EC452F"/>
    <w:rsid w:val="00EC45DB"/>
    <w:rsid w:val="00EC4983"/>
    <w:rsid w:val="00EC54D4"/>
    <w:rsid w:val="00EC5AAB"/>
    <w:rsid w:val="00EC5D54"/>
    <w:rsid w:val="00EC5EFD"/>
    <w:rsid w:val="00EC6269"/>
    <w:rsid w:val="00EC6698"/>
    <w:rsid w:val="00EC68C2"/>
    <w:rsid w:val="00EC69B4"/>
    <w:rsid w:val="00EC6A88"/>
    <w:rsid w:val="00EC6B58"/>
    <w:rsid w:val="00EC6D59"/>
    <w:rsid w:val="00EC72D1"/>
    <w:rsid w:val="00EC7445"/>
    <w:rsid w:val="00EC7494"/>
    <w:rsid w:val="00EC75D6"/>
    <w:rsid w:val="00ED027B"/>
    <w:rsid w:val="00ED0B2C"/>
    <w:rsid w:val="00ED11AE"/>
    <w:rsid w:val="00ED12B7"/>
    <w:rsid w:val="00ED13EA"/>
    <w:rsid w:val="00ED1441"/>
    <w:rsid w:val="00ED185C"/>
    <w:rsid w:val="00ED2114"/>
    <w:rsid w:val="00ED213C"/>
    <w:rsid w:val="00ED2163"/>
    <w:rsid w:val="00ED2B6C"/>
    <w:rsid w:val="00ED2C8B"/>
    <w:rsid w:val="00ED31E1"/>
    <w:rsid w:val="00ED3200"/>
    <w:rsid w:val="00ED3655"/>
    <w:rsid w:val="00ED3F67"/>
    <w:rsid w:val="00ED402C"/>
    <w:rsid w:val="00ED4AD5"/>
    <w:rsid w:val="00ED4BC3"/>
    <w:rsid w:val="00ED4CAC"/>
    <w:rsid w:val="00ED5C64"/>
    <w:rsid w:val="00ED6125"/>
    <w:rsid w:val="00ED61FE"/>
    <w:rsid w:val="00ED63A7"/>
    <w:rsid w:val="00ED6BDE"/>
    <w:rsid w:val="00ED733A"/>
    <w:rsid w:val="00ED75FD"/>
    <w:rsid w:val="00ED7790"/>
    <w:rsid w:val="00ED7891"/>
    <w:rsid w:val="00ED7CB3"/>
    <w:rsid w:val="00EE0C42"/>
    <w:rsid w:val="00EE0CF0"/>
    <w:rsid w:val="00EE1148"/>
    <w:rsid w:val="00EE11C7"/>
    <w:rsid w:val="00EE125B"/>
    <w:rsid w:val="00EE1412"/>
    <w:rsid w:val="00EE1628"/>
    <w:rsid w:val="00EE18A8"/>
    <w:rsid w:val="00EE2508"/>
    <w:rsid w:val="00EE2ADE"/>
    <w:rsid w:val="00EE2B66"/>
    <w:rsid w:val="00EE2CE2"/>
    <w:rsid w:val="00EE2D43"/>
    <w:rsid w:val="00EE319B"/>
    <w:rsid w:val="00EE3649"/>
    <w:rsid w:val="00EE3783"/>
    <w:rsid w:val="00EE3A7C"/>
    <w:rsid w:val="00EE42AA"/>
    <w:rsid w:val="00EE4731"/>
    <w:rsid w:val="00EE56B6"/>
    <w:rsid w:val="00EE6839"/>
    <w:rsid w:val="00EE7D6B"/>
    <w:rsid w:val="00EF0438"/>
    <w:rsid w:val="00EF093D"/>
    <w:rsid w:val="00EF1202"/>
    <w:rsid w:val="00EF1374"/>
    <w:rsid w:val="00EF1670"/>
    <w:rsid w:val="00EF181E"/>
    <w:rsid w:val="00EF1873"/>
    <w:rsid w:val="00EF1940"/>
    <w:rsid w:val="00EF1A82"/>
    <w:rsid w:val="00EF1CA5"/>
    <w:rsid w:val="00EF1E2D"/>
    <w:rsid w:val="00EF2383"/>
    <w:rsid w:val="00EF2AB7"/>
    <w:rsid w:val="00EF34E2"/>
    <w:rsid w:val="00EF3706"/>
    <w:rsid w:val="00EF37CF"/>
    <w:rsid w:val="00EF3813"/>
    <w:rsid w:val="00EF3A0D"/>
    <w:rsid w:val="00EF3EE5"/>
    <w:rsid w:val="00EF3F86"/>
    <w:rsid w:val="00EF4260"/>
    <w:rsid w:val="00EF473B"/>
    <w:rsid w:val="00EF5143"/>
    <w:rsid w:val="00EF5305"/>
    <w:rsid w:val="00EF585C"/>
    <w:rsid w:val="00EF5C42"/>
    <w:rsid w:val="00EF5D1F"/>
    <w:rsid w:val="00EF5D56"/>
    <w:rsid w:val="00EF5DED"/>
    <w:rsid w:val="00EF5E33"/>
    <w:rsid w:val="00EF6106"/>
    <w:rsid w:val="00EF623B"/>
    <w:rsid w:val="00EF6D61"/>
    <w:rsid w:val="00EF6D81"/>
    <w:rsid w:val="00EF6ECD"/>
    <w:rsid w:val="00EF7037"/>
    <w:rsid w:val="00F002EC"/>
    <w:rsid w:val="00F005CC"/>
    <w:rsid w:val="00F007D7"/>
    <w:rsid w:val="00F009A8"/>
    <w:rsid w:val="00F01A54"/>
    <w:rsid w:val="00F021AD"/>
    <w:rsid w:val="00F024A2"/>
    <w:rsid w:val="00F02A6D"/>
    <w:rsid w:val="00F02C04"/>
    <w:rsid w:val="00F02C57"/>
    <w:rsid w:val="00F0343B"/>
    <w:rsid w:val="00F03AB2"/>
    <w:rsid w:val="00F03FF2"/>
    <w:rsid w:val="00F04211"/>
    <w:rsid w:val="00F04285"/>
    <w:rsid w:val="00F04296"/>
    <w:rsid w:val="00F04695"/>
    <w:rsid w:val="00F04AAF"/>
    <w:rsid w:val="00F04C37"/>
    <w:rsid w:val="00F05667"/>
    <w:rsid w:val="00F05677"/>
    <w:rsid w:val="00F0582B"/>
    <w:rsid w:val="00F05CCF"/>
    <w:rsid w:val="00F0637D"/>
    <w:rsid w:val="00F065FA"/>
    <w:rsid w:val="00F06A33"/>
    <w:rsid w:val="00F06B02"/>
    <w:rsid w:val="00F07006"/>
    <w:rsid w:val="00F07A03"/>
    <w:rsid w:val="00F07AC5"/>
    <w:rsid w:val="00F07E64"/>
    <w:rsid w:val="00F101EC"/>
    <w:rsid w:val="00F103FE"/>
    <w:rsid w:val="00F1044D"/>
    <w:rsid w:val="00F1053F"/>
    <w:rsid w:val="00F105B5"/>
    <w:rsid w:val="00F10751"/>
    <w:rsid w:val="00F10772"/>
    <w:rsid w:val="00F10B98"/>
    <w:rsid w:val="00F1124B"/>
    <w:rsid w:val="00F11835"/>
    <w:rsid w:val="00F11B2D"/>
    <w:rsid w:val="00F11E32"/>
    <w:rsid w:val="00F11EFD"/>
    <w:rsid w:val="00F122AD"/>
    <w:rsid w:val="00F12D04"/>
    <w:rsid w:val="00F13FE6"/>
    <w:rsid w:val="00F140E9"/>
    <w:rsid w:val="00F1421E"/>
    <w:rsid w:val="00F14623"/>
    <w:rsid w:val="00F146F6"/>
    <w:rsid w:val="00F14874"/>
    <w:rsid w:val="00F152BE"/>
    <w:rsid w:val="00F154AC"/>
    <w:rsid w:val="00F164BA"/>
    <w:rsid w:val="00F16BE0"/>
    <w:rsid w:val="00F16EE8"/>
    <w:rsid w:val="00F16F33"/>
    <w:rsid w:val="00F1768E"/>
    <w:rsid w:val="00F208E3"/>
    <w:rsid w:val="00F20B7C"/>
    <w:rsid w:val="00F20C5B"/>
    <w:rsid w:val="00F20DC0"/>
    <w:rsid w:val="00F20E96"/>
    <w:rsid w:val="00F20EAA"/>
    <w:rsid w:val="00F20ED3"/>
    <w:rsid w:val="00F21645"/>
    <w:rsid w:val="00F2167E"/>
    <w:rsid w:val="00F21873"/>
    <w:rsid w:val="00F21C3B"/>
    <w:rsid w:val="00F22252"/>
    <w:rsid w:val="00F22778"/>
    <w:rsid w:val="00F22979"/>
    <w:rsid w:val="00F22A03"/>
    <w:rsid w:val="00F234EF"/>
    <w:rsid w:val="00F2389D"/>
    <w:rsid w:val="00F239D7"/>
    <w:rsid w:val="00F242AC"/>
    <w:rsid w:val="00F242B3"/>
    <w:rsid w:val="00F2442A"/>
    <w:rsid w:val="00F246DD"/>
    <w:rsid w:val="00F253FA"/>
    <w:rsid w:val="00F2542B"/>
    <w:rsid w:val="00F254F3"/>
    <w:rsid w:val="00F2596E"/>
    <w:rsid w:val="00F25C79"/>
    <w:rsid w:val="00F25D46"/>
    <w:rsid w:val="00F262A9"/>
    <w:rsid w:val="00F2726B"/>
    <w:rsid w:val="00F27BCC"/>
    <w:rsid w:val="00F27CF1"/>
    <w:rsid w:val="00F27EAE"/>
    <w:rsid w:val="00F304F9"/>
    <w:rsid w:val="00F305FC"/>
    <w:rsid w:val="00F3061B"/>
    <w:rsid w:val="00F30720"/>
    <w:rsid w:val="00F3121C"/>
    <w:rsid w:val="00F312A3"/>
    <w:rsid w:val="00F31D46"/>
    <w:rsid w:val="00F31E84"/>
    <w:rsid w:val="00F31FEC"/>
    <w:rsid w:val="00F32258"/>
    <w:rsid w:val="00F32340"/>
    <w:rsid w:val="00F32BB9"/>
    <w:rsid w:val="00F32D28"/>
    <w:rsid w:val="00F33B16"/>
    <w:rsid w:val="00F33CD9"/>
    <w:rsid w:val="00F340AF"/>
    <w:rsid w:val="00F341E0"/>
    <w:rsid w:val="00F34282"/>
    <w:rsid w:val="00F343B0"/>
    <w:rsid w:val="00F3468E"/>
    <w:rsid w:val="00F34E6D"/>
    <w:rsid w:val="00F34E70"/>
    <w:rsid w:val="00F35C54"/>
    <w:rsid w:val="00F35DB2"/>
    <w:rsid w:val="00F36396"/>
    <w:rsid w:val="00F364E5"/>
    <w:rsid w:val="00F36952"/>
    <w:rsid w:val="00F36F66"/>
    <w:rsid w:val="00F36FA4"/>
    <w:rsid w:val="00F3750A"/>
    <w:rsid w:val="00F375C5"/>
    <w:rsid w:val="00F37649"/>
    <w:rsid w:val="00F37709"/>
    <w:rsid w:val="00F37860"/>
    <w:rsid w:val="00F37A25"/>
    <w:rsid w:val="00F404C6"/>
    <w:rsid w:val="00F405DB"/>
    <w:rsid w:val="00F412CA"/>
    <w:rsid w:val="00F42F6E"/>
    <w:rsid w:val="00F43148"/>
    <w:rsid w:val="00F43997"/>
    <w:rsid w:val="00F43EA8"/>
    <w:rsid w:val="00F4448A"/>
    <w:rsid w:val="00F44AA7"/>
    <w:rsid w:val="00F44E50"/>
    <w:rsid w:val="00F45C94"/>
    <w:rsid w:val="00F460B7"/>
    <w:rsid w:val="00F462B9"/>
    <w:rsid w:val="00F466F4"/>
    <w:rsid w:val="00F469FB"/>
    <w:rsid w:val="00F46B36"/>
    <w:rsid w:val="00F46F95"/>
    <w:rsid w:val="00F47550"/>
    <w:rsid w:val="00F47660"/>
    <w:rsid w:val="00F47B30"/>
    <w:rsid w:val="00F47E6A"/>
    <w:rsid w:val="00F50063"/>
    <w:rsid w:val="00F5017B"/>
    <w:rsid w:val="00F506C7"/>
    <w:rsid w:val="00F50993"/>
    <w:rsid w:val="00F513A4"/>
    <w:rsid w:val="00F51B9F"/>
    <w:rsid w:val="00F521E9"/>
    <w:rsid w:val="00F5220D"/>
    <w:rsid w:val="00F525E8"/>
    <w:rsid w:val="00F528D1"/>
    <w:rsid w:val="00F5306B"/>
    <w:rsid w:val="00F5313C"/>
    <w:rsid w:val="00F538C2"/>
    <w:rsid w:val="00F54ED2"/>
    <w:rsid w:val="00F54EFF"/>
    <w:rsid w:val="00F550E6"/>
    <w:rsid w:val="00F555B3"/>
    <w:rsid w:val="00F55973"/>
    <w:rsid w:val="00F5597D"/>
    <w:rsid w:val="00F55AC1"/>
    <w:rsid w:val="00F55AD6"/>
    <w:rsid w:val="00F55B3F"/>
    <w:rsid w:val="00F5612E"/>
    <w:rsid w:val="00F56188"/>
    <w:rsid w:val="00F561FB"/>
    <w:rsid w:val="00F56245"/>
    <w:rsid w:val="00F57CE5"/>
    <w:rsid w:val="00F57E82"/>
    <w:rsid w:val="00F57ED3"/>
    <w:rsid w:val="00F57F13"/>
    <w:rsid w:val="00F57F82"/>
    <w:rsid w:val="00F60407"/>
    <w:rsid w:val="00F60432"/>
    <w:rsid w:val="00F60BB9"/>
    <w:rsid w:val="00F60C89"/>
    <w:rsid w:val="00F610FC"/>
    <w:rsid w:val="00F6132B"/>
    <w:rsid w:val="00F61602"/>
    <w:rsid w:val="00F623AA"/>
    <w:rsid w:val="00F62699"/>
    <w:rsid w:val="00F6284A"/>
    <w:rsid w:val="00F62A2F"/>
    <w:rsid w:val="00F62EC2"/>
    <w:rsid w:val="00F62EF8"/>
    <w:rsid w:val="00F634D7"/>
    <w:rsid w:val="00F63590"/>
    <w:rsid w:val="00F636AF"/>
    <w:rsid w:val="00F63AF1"/>
    <w:rsid w:val="00F63EF3"/>
    <w:rsid w:val="00F642BD"/>
    <w:rsid w:val="00F6439C"/>
    <w:rsid w:val="00F6459B"/>
    <w:rsid w:val="00F651F8"/>
    <w:rsid w:val="00F6548F"/>
    <w:rsid w:val="00F6570C"/>
    <w:rsid w:val="00F65724"/>
    <w:rsid w:val="00F66AFA"/>
    <w:rsid w:val="00F66CB5"/>
    <w:rsid w:val="00F6788C"/>
    <w:rsid w:val="00F67A8A"/>
    <w:rsid w:val="00F67C67"/>
    <w:rsid w:val="00F710C8"/>
    <w:rsid w:val="00F713B2"/>
    <w:rsid w:val="00F71CAA"/>
    <w:rsid w:val="00F72252"/>
    <w:rsid w:val="00F72274"/>
    <w:rsid w:val="00F7232A"/>
    <w:rsid w:val="00F723D7"/>
    <w:rsid w:val="00F728EF"/>
    <w:rsid w:val="00F72D61"/>
    <w:rsid w:val="00F72D8F"/>
    <w:rsid w:val="00F72FBF"/>
    <w:rsid w:val="00F730A1"/>
    <w:rsid w:val="00F73572"/>
    <w:rsid w:val="00F7379E"/>
    <w:rsid w:val="00F73D45"/>
    <w:rsid w:val="00F745FF"/>
    <w:rsid w:val="00F74694"/>
    <w:rsid w:val="00F74C75"/>
    <w:rsid w:val="00F75A9C"/>
    <w:rsid w:val="00F76018"/>
    <w:rsid w:val="00F767F4"/>
    <w:rsid w:val="00F76D0D"/>
    <w:rsid w:val="00F770A8"/>
    <w:rsid w:val="00F80A3D"/>
    <w:rsid w:val="00F81275"/>
    <w:rsid w:val="00F82085"/>
    <w:rsid w:val="00F834F6"/>
    <w:rsid w:val="00F83676"/>
    <w:rsid w:val="00F838DF"/>
    <w:rsid w:val="00F848A5"/>
    <w:rsid w:val="00F848FB"/>
    <w:rsid w:val="00F84E07"/>
    <w:rsid w:val="00F85E36"/>
    <w:rsid w:val="00F85F1C"/>
    <w:rsid w:val="00F8603C"/>
    <w:rsid w:val="00F86571"/>
    <w:rsid w:val="00F871F6"/>
    <w:rsid w:val="00F873E1"/>
    <w:rsid w:val="00F873EC"/>
    <w:rsid w:val="00F8788E"/>
    <w:rsid w:val="00F87AF1"/>
    <w:rsid w:val="00F87DEF"/>
    <w:rsid w:val="00F87FA2"/>
    <w:rsid w:val="00F906BF"/>
    <w:rsid w:val="00F90945"/>
    <w:rsid w:val="00F90B0A"/>
    <w:rsid w:val="00F90BF6"/>
    <w:rsid w:val="00F91049"/>
    <w:rsid w:val="00F91516"/>
    <w:rsid w:val="00F91BBD"/>
    <w:rsid w:val="00F9202F"/>
    <w:rsid w:val="00F925FA"/>
    <w:rsid w:val="00F92C63"/>
    <w:rsid w:val="00F92F51"/>
    <w:rsid w:val="00F93056"/>
    <w:rsid w:val="00F9317A"/>
    <w:rsid w:val="00F931BF"/>
    <w:rsid w:val="00F93425"/>
    <w:rsid w:val="00F938F0"/>
    <w:rsid w:val="00F93B0C"/>
    <w:rsid w:val="00F93E51"/>
    <w:rsid w:val="00F93F1C"/>
    <w:rsid w:val="00F9413B"/>
    <w:rsid w:val="00F9434C"/>
    <w:rsid w:val="00F94D47"/>
    <w:rsid w:val="00F94ED6"/>
    <w:rsid w:val="00F94F51"/>
    <w:rsid w:val="00F9593C"/>
    <w:rsid w:val="00F96131"/>
    <w:rsid w:val="00F9742C"/>
    <w:rsid w:val="00F977E1"/>
    <w:rsid w:val="00F97AB6"/>
    <w:rsid w:val="00F97DF4"/>
    <w:rsid w:val="00FA02EC"/>
    <w:rsid w:val="00FA047C"/>
    <w:rsid w:val="00FA062F"/>
    <w:rsid w:val="00FA1547"/>
    <w:rsid w:val="00FA195E"/>
    <w:rsid w:val="00FA21C7"/>
    <w:rsid w:val="00FA2535"/>
    <w:rsid w:val="00FA2613"/>
    <w:rsid w:val="00FA287C"/>
    <w:rsid w:val="00FA28F8"/>
    <w:rsid w:val="00FA2A10"/>
    <w:rsid w:val="00FA2CA0"/>
    <w:rsid w:val="00FA32DA"/>
    <w:rsid w:val="00FA3476"/>
    <w:rsid w:val="00FA3FDC"/>
    <w:rsid w:val="00FA4057"/>
    <w:rsid w:val="00FA4C02"/>
    <w:rsid w:val="00FA4DCC"/>
    <w:rsid w:val="00FA504B"/>
    <w:rsid w:val="00FA5BF4"/>
    <w:rsid w:val="00FA5EE6"/>
    <w:rsid w:val="00FA6201"/>
    <w:rsid w:val="00FA733F"/>
    <w:rsid w:val="00FA76FB"/>
    <w:rsid w:val="00FA7C3B"/>
    <w:rsid w:val="00FA7F76"/>
    <w:rsid w:val="00FB12D5"/>
    <w:rsid w:val="00FB14A1"/>
    <w:rsid w:val="00FB15B4"/>
    <w:rsid w:val="00FB1905"/>
    <w:rsid w:val="00FB1CD0"/>
    <w:rsid w:val="00FB1D21"/>
    <w:rsid w:val="00FB1F37"/>
    <w:rsid w:val="00FB254C"/>
    <w:rsid w:val="00FB2E37"/>
    <w:rsid w:val="00FB2E53"/>
    <w:rsid w:val="00FB2EFF"/>
    <w:rsid w:val="00FB32FA"/>
    <w:rsid w:val="00FB349D"/>
    <w:rsid w:val="00FB3AB5"/>
    <w:rsid w:val="00FB4975"/>
    <w:rsid w:val="00FB4B6E"/>
    <w:rsid w:val="00FB4E12"/>
    <w:rsid w:val="00FB4E16"/>
    <w:rsid w:val="00FB4FEC"/>
    <w:rsid w:val="00FB5221"/>
    <w:rsid w:val="00FB596D"/>
    <w:rsid w:val="00FB5C34"/>
    <w:rsid w:val="00FB5C5E"/>
    <w:rsid w:val="00FB5F46"/>
    <w:rsid w:val="00FB5FE8"/>
    <w:rsid w:val="00FB6357"/>
    <w:rsid w:val="00FB64AC"/>
    <w:rsid w:val="00FB68F7"/>
    <w:rsid w:val="00FB6AF3"/>
    <w:rsid w:val="00FB7000"/>
    <w:rsid w:val="00FB76AE"/>
    <w:rsid w:val="00FB79B3"/>
    <w:rsid w:val="00FB7B65"/>
    <w:rsid w:val="00FB7BAB"/>
    <w:rsid w:val="00FB7C53"/>
    <w:rsid w:val="00FC00A9"/>
    <w:rsid w:val="00FC03DB"/>
    <w:rsid w:val="00FC03F0"/>
    <w:rsid w:val="00FC1011"/>
    <w:rsid w:val="00FC1AAE"/>
    <w:rsid w:val="00FC1F22"/>
    <w:rsid w:val="00FC1F44"/>
    <w:rsid w:val="00FC2861"/>
    <w:rsid w:val="00FC2BAE"/>
    <w:rsid w:val="00FC32D1"/>
    <w:rsid w:val="00FC33F5"/>
    <w:rsid w:val="00FC33F7"/>
    <w:rsid w:val="00FC34AF"/>
    <w:rsid w:val="00FC3E21"/>
    <w:rsid w:val="00FC3E35"/>
    <w:rsid w:val="00FC471F"/>
    <w:rsid w:val="00FC4749"/>
    <w:rsid w:val="00FC4B7B"/>
    <w:rsid w:val="00FC4EDF"/>
    <w:rsid w:val="00FC5906"/>
    <w:rsid w:val="00FC5C21"/>
    <w:rsid w:val="00FC5F06"/>
    <w:rsid w:val="00FC5F09"/>
    <w:rsid w:val="00FC6198"/>
    <w:rsid w:val="00FC6840"/>
    <w:rsid w:val="00FC6AD1"/>
    <w:rsid w:val="00FC6C58"/>
    <w:rsid w:val="00FC7055"/>
    <w:rsid w:val="00FC72D6"/>
    <w:rsid w:val="00FC7A73"/>
    <w:rsid w:val="00FD03BF"/>
    <w:rsid w:val="00FD04FF"/>
    <w:rsid w:val="00FD0F2B"/>
    <w:rsid w:val="00FD10AB"/>
    <w:rsid w:val="00FD1595"/>
    <w:rsid w:val="00FD1719"/>
    <w:rsid w:val="00FD17D3"/>
    <w:rsid w:val="00FD261D"/>
    <w:rsid w:val="00FD2D8B"/>
    <w:rsid w:val="00FD321E"/>
    <w:rsid w:val="00FD3302"/>
    <w:rsid w:val="00FD368A"/>
    <w:rsid w:val="00FD3A24"/>
    <w:rsid w:val="00FD3B71"/>
    <w:rsid w:val="00FD3D2F"/>
    <w:rsid w:val="00FD4981"/>
    <w:rsid w:val="00FD4EBD"/>
    <w:rsid w:val="00FD5D1D"/>
    <w:rsid w:val="00FD63AC"/>
    <w:rsid w:val="00FD6B59"/>
    <w:rsid w:val="00FD6DA5"/>
    <w:rsid w:val="00FD6F93"/>
    <w:rsid w:val="00FD71BC"/>
    <w:rsid w:val="00FD7CD8"/>
    <w:rsid w:val="00FE0148"/>
    <w:rsid w:val="00FE0654"/>
    <w:rsid w:val="00FE07AF"/>
    <w:rsid w:val="00FE0E6A"/>
    <w:rsid w:val="00FE1417"/>
    <w:rsid w:val="00FE1873"/>
    <w:rsid w:val="00FE1B09"/>
    <w:rsid w:val="00FE24D2"/>
    <w:rsid w:val="00FE2896"/>
    <w:rsid w:val="00FE2B12"/>
    <w:rsid w:val="00FE2F5E"/>
    <w:rsid w:val="00FE43E1"/>
    <w:rsid w:val="00FE472E"/>
    <w:rsid w:val="00FE51B5"/>
    <w:rsid w:val="00FE5387"/>
    <w:rsid w:val="00FE53D5"/>
    <w:rsid w:val="00FE5919"/>
    <w:rsid w:val="00FE602D"/>
    <w:rsid w:val="00FE6309"/>
    <w:rsid w:val="00FE6470"/>
    <w:rsid w:val="00FE647A"/>
    <w:rsid w:val="00FE67C9"/>
    <w:rsid w:val="00FE6B84"/>
    <w:rsid w:val="00FE6BA6"/>
    <w:rsid w:val="00FE757C"/>
    <w:rsid w:val="00FE7802"/>
    <w:rsid w:val="00FE7AC0"/>
    <w:rsid w:val="00FE7B20"/>
    <w:rsid w:val="00FE7F21"/>
    <w:rsid w:val="00FF00EA"/>
    <w:rsid w:val="00FF0319"/>
    <w:rsid w:val="00FF0715"/>
    <w:rsid w:val="00FF0BCD"/>
    <w:rsid w:val="00FF0D9B"/>
    <w:rsid w:val="00FF0E4B"/>
    <w:rsid w:val="00FF1439"/>
    <w:rsid w:val="00FF1783"/>
    <w:rsid w:val="00FF1A6E"/>
    <w:rsid w:val="00FF28BD"/>
    <w:rsid w:val="00FF302A"/>
    <w:rsid w:val="00FF372C"/>
    <w:rsid w:val="00FF39E5"/>
    <w:rsid w:val="00FF4279"/>
    <w:rsid w:val="00FF4835"/>
    <w:rsid w:val="00FF48A6"/>
    <w:rsid w:val="00FF54BA"/>
    <w:rsid w:val="00FF56AB"/>
    <w:rsid w:val="00FF6143"/>
    <w:rsid w:val="00FF64A6"/>
    <w:rsid w:val="00FF6CD9"/>
    <w:rsid w:val="00FF7839"/>
    <w:rsid w:val="00FF7B3D"/>
    <w:rsid w:val="00FF7D14"/>
    <w:rsid w:val="00FF7D57"/>
    <w:rsid w:val="01046517"/>
    <w:rsid w:val="01136086"/>
    <w:rsid w:val="01154E42"/>
    <w:rsid w:val="01171993"/>
    <w:rsid w:val="01195642"/>
    <w:rsid w:val="01237415"/>
    <w:rsid w:val="013278C9"/>
    <w:rsid w:val="014844F8"/>
    <w:rsid w:val="01545ABB"/>
    <w:rsid w:val="015C48BA"/>
    <w:rsid w:val="015E31D8"/>
    <w:rsid w:val="01635C49"/>
    <w:rsid w:val="017936BE"/>
    <w:rsid w:val="018C1643"/>
    <w:rsid w:val="019422A6"/>
    <w:rsid w:val="01A87AFF"/>
    <w:rsid w:val="01B01A3A"/>
    <w:rsid w:val="01E730A7"/>
    <w:rsid w:val="02186A33"/>
    <w:rsid w:val="022606B7"/>
    <w:rsid w:val="023E31ED"/>
    <w:rsid w:val="024B38CF"/>
    <w:rsid w:val="02693733"/>
    <w:rsid w:val="02AB0FEA"/>
    <w:rsid w:val="02CC4533"/>
    <w:rsid w:val="02D30B76"/>
    <w:rsid w:val="02D54656"/>
    <w:rsid w:val="02D67A8F"/>
    <w:rsid w:val="02D97939"/>
    <w:rsid w:val="02E53EEE"/>
    <w:rsid w:val="02EB3F13"/>
    <w:rsid w:val="02FF127B"/>
    <w:rsid w:val="0310723B"/>
    <w:rsid w:val="031B61FB"/>
    <w:rsid w:val="031F2043"/>
    <w:rsid w:val="03807728"/>
    <w:rsid w:val="038F71C9"/>
    <w:rsid w:val="03922815"/>
    <w:rsid w:val="03B86D96"/>
    <w:rsid w:val="03BE4A34"/>
    <w:rsid w:val="03D8291E"/>
    <w:rsid w:val="03F94DCA"/>
    <w:rsid w:val="040E1B49"/>
    <w:rsid w:val="0433224A"/>
    <w:rsid w:val="043F668F"/>
    <w:rsid w:val="04583A5F"/>
    <w:rsid w:val="045F303F"/>
    <w:rsid w:val="047A39D5"/>
    <w:rsid w:val="047C774D"/>
    <w:rsid w:val="04893C18"/>
    <w:rsid w:val="049802FF"/>
    <w:rsid w:val="04C609C8"/>
    <w:rsid w:val="04CD61FB"/>
    <w:rsid w:val="04E14264"/>
    <w:rsid w:val="04EB042F"/>
    <w:rsid w:val="04F04046"/>
    <w:rsid w:val="05080FE1"/>
    <w:rsid w:val="05244088"/>
    <w:rsid w:val="052B23E6"/>
    <w:rsid w:val="053749FD"/>
    <w:rsid w:val="053D2E76"/>
    <w:rsid w:val="055127BC"/>
    <w:rsid w:val="055C30DB"/>
    <w:rsid w:val="05686E93"/>
    <w:rsid w:val="057166D8"/>
    <w:rsid w:val="057C377D"/>
    <w:rsid w:val="0599432F"/>
    <w:rsid w:val="059C4879"/>
    <w:rsid w:val="059E63C0"/>
    <w:rsid w:val="05AD1B88"/>
    <w:rsid w:val="05BB42A5"/>
    <w:rsid w:val="05C92AA2"/>
    <w:rsid w:val="05CB200E"/>
    <w:rsid w:val="05CD5D86"/>
    <w:rsid w:val="05CF5FCA"/>
    <w:rsid w:val="06005E52"/>
    <w:rsid w:val="06046A86"/>
    <w:rsid w:val="060672A3"/>
    <w:rsid w:val="062F388E"/>
    <w:rsid w:val="06314567"/>
    <w:rsid w:val="063522A9"/>
    <w:rsid w:val="063A4562"/>
    <w:rsid w:val="063E2D45"/>
    <w:rsid w:val="06452248"/>
    <w:rsid w:val="0662377D"/>
    <w:rsid w:val="068D3DA4"/>
    <w:rsid w:val="068E3B76"/>
    <w:rsid w:val="06A662A2"/>
    <w:rsid w:val="06B55198"/>
    <w:rsid w:val="06B86BED"/>
    <w:rsid w:val="06C55666"/>
    <w:rsid w:val="06D3237A"/>
    <w:rsid w:val="071719AF"/>
    <w:rsid w:val="0734564E"/>
    <w:rsid w:val="075E172A"/>
    <w:rsid w:val="076E3848"/>
    <w:rsid w:val="07996868"/>
    <w:rsid w:val="079A7464"/>
    <w:rsid w:val="07AF5D46"/>
    <w:rsid w:val="07BC60B3"/>
    <w:rsid w:val="07CD1902"/>
    <w:rsid w:val="07CD4764"/>
    <w:rsid w:val="07E43B00"/>
    <w:rsid w:val="07E467AA"/>
    <w:rsid w:val="07EA7E50"/>
    <w:rsid w:val="0840530A"/>
    <w:rsid w:val="087957BE"/>
    <w:rsid w:val="087A4174"/>
    <w:rsid w:val="087C27A3"/>
    <w:rsid w:val="088D572D"/>
    <w:rsid w:val="089B488E"/>
    <w:rsid w:val="08B46807"/>
    <w:rsid w:val="08C01BD2"/>
    <w:rsid w:val="08C472C7"/>
    <w:rsid w:val="08C47661"/>
    <w:rsid w:val="08D200D0"/>
    <w:rsid w:val="08D53C7E"/>
    <w:rsid w:val="08DD4532"/>
    <w:rsid w:val="090A663B"/>
    <w:rsid w:val="09187C60"/>
    <w:rsid w:val="0933687D"/>
    <w:rsid w:val="09465B2D"/>
    <w:rsid w:val="094942C7"/>
    <w:rsid w:val="094F1943"/>
    <w:rsid w:val="098B21E0"/>
    <w:rsid w:val="099B68A4"/>
    <w:rsid w:val="09E761E6"/>
    <w:rsid w:val="09F77028"/>
    <w:rsid w:val="0A1633AC"/>
    <w:rsid w:val="0A2B2319"/>
    <w:rsid w:val="0A2F5E95"/>
    <w:rsid w:val="0A304E0D"/>
    <w:rsid w:val="0A670E3D"/>
    <w:rsid w:val="0A94063B"/>
    <w:rsid w:val="0AA3501D"/>
    <w:rsid w:val="0AE47725"/>
    <w:rsid w:val="0AE80F92"/>
    <w:rsid w:val="0AEA2F37"/>
    <w:rsid w:val="0AF549A0"/>
    <w:rsid w:val="0B0C7351"/>
    <w:rsid w:val="0B0E149A"/>
    <w:rsid w:val="0B307520"/>
    <w:rsid w:val="0B354103"/>
    <w:rsid w:val="0B5A4D41"/>
    <w:rsid w:val="0B5C78FF"/>
    <w:rsid w:val="0B6759FE"/>
    <w:rsid w:val="0B684B83"/>
    <w:rsid w:val="0B6F3488"/>
    <w:rsid w:val="0B7373D0"/>
    <w:rsid w:val="0B757ADC"/>
    <w:rsid w:val="0B7D50C5"/>
    <w:rsid w:val="0B806C0A"/>
    <w:rsid w:val="0B9120D5"/>
    <w:rsid w:val="0BA13D85"/>
    <w:rsid w:val="0BA13F3D"/>
    <w:rsid w:val="0BA46863"/>
    <w:rsid w:val="0BAA09FA"/>
    <w:rsid w:val="0BAC3814"/>
    <w:rsid w:val="0BB26530"/>
    <w:rsid w:val="0BC62F1E"/>
    <w:rsid w:val="0BCD6AE0"/>
    <w:rsid w:val="0BE502CE"/>
    <w:rsid w:val="0BF422BF"/>
    <w:rsid w:val="0C074C6B"/>
    <w:rsid w:val="0C083FBC"/>
    <w:rsid w:val="0C0C64FE"/>
    <w:rsid w:val="0C234671"/>
    <w:rsid w:val="0C4B5C57"/>
    <w:rsid w:val="0CB32330"/>
    <w:rsid w:val="0CC31676"/>
    <w:rsid w:val="0CEB19B6"/>
    <w:rsid w:val="0CF021E0"/>
    <w:rsid w:val="0D004786"/>
    <w:rsid w:val="0D013D87"/>
    <w:rsid w:val="0D046532"/>
    <w:rsid w:val="0D2766C4"/>
    <w:rsid w:val="0D302737"/>
    <w:rsid w:val="0D39108B"/>
    <w:rsid w:val="0D4A5D4B"/>
    <w:rsid w:val="0D7511DD"/>
    <w:rsid w:val="0D752F6A"/>
    <w:rsid w:val="0D79292B"/>
    <w:rsid w:val="0D827973"/>
    <w:rsid w:val="0D884351"/>
    <w:rsid w:val="0D986152"/>
    <w:rsid w:val="0DB02C93"/>
    <w:rsid w:val="0DD31359"/>
    <w:rsid w:val="0DF77858"/>
    <w:rsid w:val="0DFA2CC1"/>
    <w:rsid w:val="0E252C04"/>
    <w:rsid w:val="0E7476E7"/>
    <w:rsid w:val="0E76345F"/>
    <w:rsid w:val="0EB2020F"/>
    <w:rsid w:val="0ECB7096"/>
    <w:rsid w:val="0ECE5049"/>
    <w:rsid w:val="0ECE6F6D"/>
    <w:rsid w:val="0ED57998"/>
    <w:rsid w:val="0ED91C40"/>
    <w:rsid w:val="0EEC6284"/>
    <w:rsid w:val="0EEF7C6C"/>
    <w:rsid w:val="0F0435EF"/>
    <w:rsid w:val="0F0664FE"/>
    <w:rsid w:val="0F16079E"/>
    <w:rsid w:val="0F324B04"/>
    <w:rsid w:val="0F3E6E89"/>
    <w:rsid w:val="0F533665"/>
    <w:rsid w:val="0F604D8D"/>
    <w:rsid w:val="0F657030"/>
    <w:rsid w:val="0F6F7B44"/>
    <w:rsid w:val="0F7C616D"/>
    <w:rsid w:val="0FA41206"/>
    <w:rsid w:val="0FB80B46"/>
    <w:rsid w:val="0FB85020"/>
    <w:rsid w:val="0FD541B5"/>
    <w:rsid w:val="0FD75D31"/>
    <w:rsid w:val="0FEA0D6C"/>
    <w:rsid w:val="0FF33377"/>
    <w:rsid w:val="0FF81A23"/>
    <w:rsid w:val="0FFA1E6E"/>
    <w:rsid w:val="100D48FD"/>
    <w:rsid w:val="100E3E2A"/>
    <w:rsid w:val="101515F8"/>
    <w:rsid w:val="10257014"/>
    <w:rsid w:val="1029430C"/>
    <w:rsid w:val="104430E9"/>
    <w:rsid w:val="107C2C96"/>
    <w:rsid w:val="10816515"/>
    <w:rsid w:val="10882705"/>
    <w:rsid w:val="108D454D"/>
    <w:rsid w:val="10A47BF9"/>
    <w:rsid w:val="10B5776F"/>
    <w:rsid w:val="10C058B6"/>
    <w:rsid w:val="10D57442"/>
    <w:rsid w:val="10DA1411"/>
    <w:rsid w:val="10E30B54"/>
    <w:rsid w:val="10E725BE"/>
    <w:rsid w:val="11004E72"/>
    <w:rsid w:val="110D797F"/>
    <w:rsid w:val="111B203B"/>
    <w:rsid w:val="11387906"/>
    <w:rsid w:val="115B06EA"/>
    <w:rsid w:val="115D4462"/>
    <w:rsid w:val="11600112"/>
    <w:rsid w:val="116B2757"/>
    <w:rsid w:val="116C0B49"/>
    <w:rsid w:val="118F1B42"/>
    <w:rsid w:val="11927D7E"/>
    <w:rsid w:val="11966A2D"/>
    <w:rsid w:val="11AC7FD4"/>
    <w:rsid w:val="11C761B5"/>
    <w:rsid w:val="11DB27C0"/>
    <w:rsid w:val="11ED6413"/>
    <w:rsid w:val="12131ED0"/>
    <w:rsid w:val="12260F49"/>
    <w:rsid w:val="123258EF"/>
    <w:rsid w:val="123E1747"/>
    <w:rsid w:val="12482A5E"/>
    <w:rsid w:val="12751FBA"/>
    <w:rsid w:val="12843C71"/>
    <w:rsid w:val="128840D0"/>
    <w:rsid w:val="129640D0"/>
    <w:rsid w:val="12B74046"/>
    <w:rsid w:val="12C34799"/>
    <w:rsid w:val="12CC5D44"/>
    <w:rsid w:val="12D9499C"/>
    <w:rsid w:val="12DB16E8"/>
    <w:rsid w:val="12E75462"/>
    <w:rsid w:val="12EF4DFF"/>
    <w:rsid w:val="12EF554D"/>
    <w:rsid w:val="12FD60C7"/>
    <w:rsid w:val="13064DC7"/>
    <w:rsid w:val="131516FA"/>
    <w:rsid w:val="131C3D18"/>
    <w:rsid w:val="133D454B"/>
    <w:rsid w:val="135E668E"/>
    <w:rsid w:val="1375628C"/>
    <w:rsid w:val="13BA2040"/>
    <w:rsid w:val="13E001A9"/>
    <w:rsid w:val="140574FA"/>
    <w:rsid w:val="14AA5A9E"/>
    <w:rsid w:val="14D1382E"/>
    <w:rsid w:val="14D27DA7"/>
    <w:rsid w:val="14DC1B42"/>
    <w:rsid w:val="150825B8"/>
    <w:rsid w:val="151B54D7"/>
    <w:rsid w:val="15383070"/>
    <w:rsid w:val="153C2B00"/>
    <w:rsid w:val="158D1A3D"/>
    <w:rsid w:val="159D4284"/>
    <w:rsid w:val="15AA134D"/>
    <w:rsid w:val="15B13EC8"/>
    <w:rsid w:val="15C26F8A"/>
    <w:rsid w:val="15C939CD"/>
    <w:rsid w:val="15D55E23"/>
    <w:rsid w:val="15E159C9"/>
    <w:rsid w:val="15EF3AF7"/>
    <w:rsid w:val="15F40C6B"/>
    <w:rsid w:val="16005D69"/>
    <w:rsid w:val="16077093"/>
    <w:rsid w:val="16131C07"/>
    <w:rsid w:val="16165F18"/>
    <w:rsid w:val="16262EB9"/>
    <w:rsid w:val="162A1067"/>
    <w:rsid w:val="16344CAB"/>
    <w:rsid w:val="163648BC"/>
    <w:rsid w:val="164368A2"/>
    <w:rsid w:val="1650528E"/>
    <w:rsid w:val="16573B76"/>
    <w:rsid w:val="16581CEF"/>
    <w:rsid w:val="166C5148"/>
    <w:rsid w:val="167113CA"/>
    <w:rsid w:val="167A1613"/>
    <w:rsid w:val="16827797"/>
    <w:rsid w:val="169839BA"/>
    <w:rsid w:val="16A91EF8"/>
    <w:rsid w:val="16B26FFE"/>
    <w:rsid w:val="16B56AEF"/>
    <w:rsid w:val="16DF3B6C"/>
    <w:rsid w:val="170B22E0"/>
    <w:rsid w:val="171E3B77"/>
    <w:rsid w:val="1752258F"/>
    <w:rsid w:val="175A5E0F"/>
    <w:rsid w:val="178D76D5"/>
    <w:rsid w:val="179C6391"/>
    <w:rsid w:val="17B56D94"/>
    <w:rsid w:val="17C46416"/>
    <w:rsid w:val="17C50FB3"/>
    <w:rsid w:val="17C52D61"/>
    <w:rsid w:val="17D023BA"/>
    <w:rsid w:val="17D50542"/>
    <w:rsid w:val="17D86F39"/>
    <w:rsid w:val="17F81CE5"/>
    <w:rsid w:val="180F1EDF"/>
    <w:rsid w:val="18466B2E"/>
    <w:rsid w:val="185141E0"/>
    <w:rsid w:val="18551E09"/>
    <w:rsid w:val="186148A3"/>
    <w:rsid w:val="18626802"/>
    <w:rsid w:val="188350F6"/>
    <w:rsid w:val="18AF4788"/>
    <w:rsid w:val="18B71157"/>
    <w:rsid w:val="18BF4AC2"/>
    <w:rsid w:val="18DF68EF"/>
    <w:rsid w:val="18E24D1B"/>
    <w:rsid w:val="18E95164"/>
    <w:rsid w:val="18F87006"/>
    <w:rsid w:val="19006747"/>
    <w:rsid w:val="19516332"/>
    <w:rsid w:val="195C3F80"/>
    <w:rsid w:val="19626CBB"/>
    <w:rsid w:val="197B082F"/>
    <w:rsid w:val="197F4EE4"/>
    <w:rsid w:val="19800B96"/>
    <w:rsid w:val="198A4999"/>
    <w:rsid w:val="198C0AC2"/>
    <w:rsid w:val="19911600"/>
    <w:rsid w:val="19A61955"/>
    <w:rsid w:val="19B316C7"/>
    <w:rsid w:val="19BF7977"/>
    <w:rsid w:val="19EB6681"/>
    <w:rsid w:val="19FE07AD"/>
    <w:rsid w:val="1A154345"/>
    <w:rsid w:val="1A1A3838"/>
    <w:rsid w:val="1A200723"/>
    <w:rsid w:val="1A21737F"/>
    <w:rsid w:val="1A293A7B"/>
    <w:rsid w:val="1A315228"/>
    <w:rsid w:val="1A4C0767"/>
    <w:rsid w:val="1A69302C"/>
    <w:rsid w:val="1A704A61"/>
    <w:rsid w:val="1A7068E3"/>
    <w:rsid w:val="1A8567D8"/>
    <w:rsid w:val="1AA90545"/>
    <w:rsid w:val="1AAC50EB"/>
    <w:rsid w:val="1ACF2CBD"/>
    <w:rsid w:val="1AE70ACE"/>
    <w:rsid w:val="1B04660F"/>
    <w:rsid w:val="1B132036"/>
    <w:rsid w:val="1B1D686F"/>
    <w:rsid w:val="1B2041A1"/>
    <w:rsid w:val="1B2B19DA"/>
    <w:rsid w:val="1B304996"/>
    <w:rsid w:val="1B3C3A65"/>
    <w:rsid w:val="1B410951"/>
    <w:rsid w:val="1B445E2C"/>
    <w:rsid w:val="1B46065D"/>
    <w:rsid w:val="1B4D5D8D"/>
    <w:rsid w:val="1B5F527B"/>
    <w:rsid w:val="1B7C5E2D"/>
    <w:rsid w:val="1B9649BB"/>
    <w:rsid w:val="1B982FF3"/>
    <w:rsid w:val="1B996EFD"/>
    <w:rsid w:val="1BA22798"/>
    <w:rsid w:val="1BB67591"/>
    <w:rsid w:val="1BC06930"/>
    <w:rsid w:val="1C0D7862"/>
    <w:rsid w:val="1C131753"/>
    <w:rsid w:val="1C166281"/>
    <w:rsid w:val="1C1D316C"/>
    <w:rsid w:val="1C1D6ECC"/>
    <w:rsid w:val="1C1E6EE4"/>
    <w:rsid w:val="1C2E0CFE"/>
    <w:rsid w:val="1C3C3E2B"/>
    <w:rsid w:val="1C537C53"/>
    <w:rsid w:val="1C744D1F"/>
    <w:rsid w:val="1C744D56"/>
    <w:rsid w:val="1C931680"/>
    <w:rsid w:val="1C9F7EEB"/>
    <w:rsid w:val="1CA41763"/>
    <w:rsid w:val="1CB955EE"/>
    <w:rsid w:val="1CBB61F5"/>
    <w:rsid w:val="1CBD5A6C"/>
    <w:rsid w:val="1CC6154F"/>
    <w:rsid w:val="1CCE4466"/>
    <w:rsid w:val="1CE27F12"/>
    <w:rsid w:val="1CE46133"/>
    <w:rsid w:val="1D085BCA"/>
    <w:rsid w:val="1D0C4ADF"/>
    <w:rsid w:val="1D103CDD"/>
    <w:rsid w:val="1D1117FE"/>
    <w:rsid w:val="1D196228"/>
    <w:rsid w:val="1D3F35B6"/>
    <w:rsid w:val="1D4D403C"/>
    <w:rsid w:val="1D6B43AB"/>
    <w:rsid w:val="1D774AFE"/>
    <w:rsid w:val="1D8F2FF8"/>
    <w:rsid w:val="1DA72E39"/>
    <w:rsid w:val="1DA85358"/>
    <w:rsid w:val="1DBA0374"/>
    <w:rsid w:val="1DC87107"/>
    <w:rsid w:val="1DCF000C"/>
    <w:rsid w:val="1DCF5B0F"/>
    <w:rsid w:val="1DF94B71"/>
    <w:rsid w:val="1E1A2D5D"/>
    <w:rsid w:val="1E242829"/>
    <w:rsid w:val="1E326C77"/>
    <w:rsid w:val="1E5F6B4D"/>
    <w:rsid w:val="1E771885"/>
    <w:rsid w:val="1EA71413"/>
    <w:rsid w:val="1EBD7842"/>
    <w:rsid w:val="1EEE18B6"/>
    <w:rsid w:val="1F010FA2"/>
    <w:rsid w:val="1F2E46F3"/>
    <w:rsid w:val="1F30519D"/>
    <w:rsid w:val="1F585875"/>
    <w:rsid w:val="1FAC1F5F"/>
    <w:rsid w:val="1FDD5B8E"/>
    <w:rsid w:val="1FF86844"/>
    <w:rsid w:val="201978DA"/>
    <w:rsid w:val="20376C32"/>
    <w:rsid w:val="20384A18"/>
    <w:rsid w:val="203D453F"/>
    <w:rsid w:val="204748C7"/>
    <w:rsid w:val="2052300F"/>
    <w:rsid w:val="206F5E2F"/>
    <w:rsid w:val="207D13AB"/>
    <w:rsid w:val="20910513"/>
    <w:rsid w:val="209C08B1"/>
    <w:rsid w:val="20E71F9A"/>
    <w:rsid w:val="20E96B05"/>
    <w:rsid w:val="20EC1E85"/>
    <w:rsid w:val="2100305C"/>
    <w:rsid w:val="21095DEA"/>
    <w:rsid w:val="212D601E"/>
    <w:rsid w:val="21341CA3"/>
    <w:rsid w:val="21350F58"/>
    <w:rsid w:val="217205CA"/>
    <w:rsid w:val="217C2AA2"/>
    <w:rsid w:val="21920158"/>
    <w:rsid w:val="21A83EA8"/>
    <w:rsid w:val="21AF0DFB"/>
    <w:rsid w:val="21F0761D"/>
    <w:rsid w:val="220903DF"/>
    <w:rsid w:val="221F6BE6"/>
    <w:rsid w:val="2227559F"/>
    <w:rsid w:val="222A47FF"/>
    <w:rsid w:val="22491909"/>
    <w:rsid w:val="224C6559"/>
    <w:rsid w:val="22510FE7"/>
    <w:rsid w:val="2255033F"/>
    <w:rsid w:val="22784192"/>
    <w:rsid w:val="228F57D7"/>
    <w:rsid w:val="229121BE"/>
    <w:rsid w:val="229A7E8D"/>
    <w:rsid w:val="229B0F0C"/>
    <w:rsid w:val="22A72A75"/>
    <w:rsid w:val="23202F72"/>
    <w:rsid w:val="232C12A4"/>
    <w:rsid w:val="232C56A2"/>
    <w:rsid w:val="233A157D"/>
    <w:rsid w:val="23521E0B"/>
    <w:rsid w:val="23783F63"/>
    <w:rsid w:val="23930865"/>
    <w:rsid w:val="23C83794"/>
    <w:rsid w:val="23E0449C"/>
    <w:rsid w:val="23E12CD1"/>
    <w:rsid w:val="23E52441"/>
    <w:rsid w:val="23E602D5"/>
    <w:rsid w:val="23ED130C"/>
    <w:rsid w:val="23EE53EE"/>
    <w:rsid w:val="24057C45"/>
    <w:rsid w:val="240D1777"/>
    <w:rsid w:val="242F7843"/>
    <w:rsid w:val="244260D7"/>
    <w:rsid w:val="2451679D"/>
    <w:rsid w:val="24596D0B"/>
    <w:rsid w:val="245F0F7A"/>
    <w:rsid w:val="24765B0F"/>
    <w:rsid w:val="24855046"/>
    <w:rsid w:val="248B0E8F"/>
    <w:rsid w:val="24935E01"/>
    <w:rsid w:val="249C3270"/>
    <w:rsid w:val="249D7540"/>
    <w:rsid w:val="24B06DCE"/>
    <w:rsid w:val="24CB5B8E"/>
    <w:rsid w:val="25037266"/>
    <w:rsid w:val="250C6B6A"/>
    <w:rsid w:val="250E0B24"/>
    <w:rsid w:val="250E5D48"/>
    <w:rsid w:val="251A293E"/>
    <w:rsid w:val="251C3507"/>
    <w:rsid w:val="252516DA"/>
    <w:rsid w:val="255611A5"/>
    <w:rsid w:val="25583467"/>
    <w:rsid w:val="25586F3A"/>
    <w:rsid w:val="2559363F"/>
    <w:rsid w:val="257C182D"/>
    <w:rsid w:val="257D3492"/>
    <w:rsid w:val="258129BE"/>
    <w:rsid w:val="25AB3597"/>
    <w:rsid w:val="25C14096"/>
    <w:rsid w:val="25C30157"/>
    <w:rsid w:val="25D616BE"/>
    <w:rsid w:val="25D7082F"/>
    <w:rsid w:val="25F969F8"/>
    <w:rsid w:val="260929B3"/>
    <w:rsid w:val="261F0523"/>
    <w:rsid w:val="26347F43"/>
    <w:rsid w:val="26361E29"/>
    <w:rsid w:val="2640694C"/>
    <w:rsid w:val="26434D60"/>
    <w:rsid w:val="2650413E"/>
    <w:rsid w:val="269A1847"/>
    <w:rsid w:val="26BE19EF"/>
    <w:rsid w:val="26E96A93"/>
    <w:rsid w:val="26EB5E52"/>
    <w:rsid w:val="26FB67A0"/>
    <w:rsid w:val="270D2BDA"/>
    <w:rsid w:val="271821DD"/>
    <w:rsid w:val="272342D5"/>
    <w:rsid w:val="272835E1"/>
    <w:rsid w:val="274046C7"/>
    <w:rsid w:val="27473793"/>
    <w:rsid w:val="27533A41"/>
    <w:rsid w:val="27637EA1"/>
    <w:rsid w:val="27CD79B1"/>
    <w:rsid w:val="27D019DA"/>
    <w:rsid w:val="27D35027"/>
    <w:rsid w:val="27DF5779"/>
    <w:rsid w:val="27E2526A"/>
    <w:rsid w:val="27F12EFE"/>
    <w:rsid w:val="27F97290"/>
    <w:rsid w:val="27FD380E"/>
    <w:rsid w:val="28126A09"/>
    <w:rsid w:val="281A2C55"/>
    <w:rsid w:val="282D2989"/>
    <w:rsid w:val="286F2416"/>
    <w:rsid w:val="28725D4D"/>
    <w:rsid w:val="28B144E1"/>
    <w:rsid w:val="28BC6586"/>
    <w:rsid w:val="28ED2118"/>
    <w:rsid w:val="28F1671F"/>
    <w:rsid w:val="290D2324"/>
    <w:rsid w:val="291E1B72"/>
    <w:rsid w:val="29281765"/>
    <w:rsid w:val="29361D11"/>
    <w:rsid w:val="293E2D64"/>
    <w:rsid w:val="29420E67"/>
    <w:rsid w:val="2944750D"/>
    <w:rsid w:val="294753D1"/>
    <w:rsid w:val="294C4924"/>
    <w:rsid w:val="29562E7C"/>
    <w:rsid w:val="29637E3B"/>
    <w:rsid w:val="297F2F5E"/>
    <w:rsid w:val="298C2F76"/>
    <w:rsid w:val="29913E0E"/>
    <w:rsid w:val="29CF6DF2"/>
    <w:rsid w:val="29D4139A"/>
    <w:rsid w:val="29EB2AFB"/>
    <w:rsid w:val="29F43DE7"/>
    <w:rsid w:val="29F9170A"/>
    <w:rsid w:val="2A3829B1"/>
    <w:rsid w:val="2A5558C2"/>
    <w:rsid w:val="2A680919"/>
    <w:rsid w:val="2A8558A5"/>
    <w:rsid w:val="2A9C5BBA"/>
    <w:rsid w:val="2AA35A66"/>
    <w:rsid w:val="2AAB620D"/>
    <w:rsid w:val="2AAC702D"/>
    <w:rsid w:val="2ABC7FF4"/>
    <w:rsid w:val="2AE94929"/>
    <w:rsid w:val="2AF717E1"/>
    <w:rsid w:val="2AF846FF"/>
    <w:rsid w:val="2AFC606F"/>
    <w:rsid w:val="2B077F68"/>
    <w:rsid w:val="2B0B4AD7"/>
    <w:rsid w:val="2B2B7321"/>
    <w:rsid w:val="2B304CE0"/>
    <w:rsid w:val="2B451BC7"/>
    <w:rsid w:val="2B4C404B"/>
    <w:rsid w:val="2B5446D0"/>
    <w:rsid w:val="2B710DDE"/>
    <w:rsid w:val="2B822DC9"/>
    <w:rsid w:val="2B9F159F"/>
    <w:rsid w:val="2BA271EA"/>
    <w:rsid w:val="2BB15692"/>
    <w:rsid w:val="2BB46983"/>
    <w:rsid w:val="2BBF1754"/>
    <w:rsid w:val="2BDA4BD6"/>
    <w:rsid w:val="2BDF5274"/>
    <w:rsid w:val="2BE47802"/>
    <w:rsid w:val="2C0A2906"/>
    <w:rsid w:val="2C2F10AC"/>
    <w:rsid w:val="2C4E7372"/>
    <w:rsid w:val="2C6E17C2"/>
    <w:rsid w:val="2C740A70"/>
    <w:rsid w:val="2C760570"/>
    <w:rsid w:val="2C892158"/>
    <w:rsid w:val="2C9103AC"/>
    <w:rsid w:val="2CAD22EA"/>
    <w:rsid w:val="2CB2444D"/>
    <w:rsid w:val="2CB34C35"/>
    <w:rsid w:val="2CD930DF"/>
    <w:rsid w:val="2CE05106"/>
    <w:rsid w:val="2CE65953"/>
    <w:rsid w:val="2CEE72D0"/>
    <w:rsid w:val="2D0517A1"/>
    <w:rsid w:val="2D211502"/>
    <w:rsid w:val="2D367E75"/>
    <w:rsid w:val="2D3E73E6"/>
    <w:rsid w:val="2D484E90"/>
    <w:rsid w:val="2D630AB3"/>
    <w:rsid w:val="2D6B70A4"/>
    <w:rsid w:val="2D731350"/>
    <w:rsid w:val="2D7A02D2"/>
    <w:rsid w:val="2D8B7096"/>
    <w:rsid w:val="2DB15E0A"/>
    <w:rsid w:val="2DC56D41"/>
    <w:rsid w:val="2DE95D75"/>
    <w:rsid w:val="2DFE54A0"/>
    <w:rsid w:val="2E00644A"/>
    <w:rsid w:val="2E4427DA"/>
    <w:rsid w:val="2E692241"/>
    <w:rsid w:val="2E6F76A1"/>
    <w:rsid w:val="2E772BB0"/>
    <w:rsid w:val="2E816C8A"/>
    <w:rsid w:val="2E8A1747"/>
    <w:rsid w:val="2EC3723F"/>
    <w:rsid w:val="2EFE59AA"/>
    <w:rsid w:val="2F023A5C"/>
    <w:rsid w:val="2F3276C7"/>
    <w:rsid w:val="2F3B683F"/>
    <w:rsid w:val="2F3E191F"/>
    <w:rsid w:val="2F522D60"/>
    <w:rsid w:val="2F5C3B54"/>
    <w:rsid w:val="2F831FE3"/>
    <w:rsid w:val="2F9257C7"/>
    <w:rsid w:val="2F9620B4"/>
    <w:rsid w:val="2FA1537E"/>
    <w:rsid w:val="2FB3107F"/>
    <w:rsid w:val="2FB64124"/>
    <w:rsid w:val="2FCC6F2B"/>
    <w:rsid w:val="2FE222AB"/>
    <w:rsid w:val="2FF416DB"/>
    <w:rsid w:val="30110DE2"/>
    <w:rsid w:val="301A7874"/>
    <w:rsid w:val="301F6434"/>
    <w:rsid w:val="304459A7"/>
    <w:rsid w:val="305D4027"/>
    <w:rsid w:val="306F163B"/>
    <w:rsid w:val="30855EF9"/>
    <w:rsid w:val="309317F7"/>
    <w:rsid w:val="309761B9"/>
    <w:rsid w:val="309D2676"/>
    <w:rsid w:val="30A14A0C"/>
    <w:rsid w:val="30A734F4"/>
    <w:rsid w:val="30AE6631"/>
    <w:rsid w:val="30C80551"/>
    <w:rsid w:val="30FA096F"/>
    <w:rsid w:val="31070819"/>
    <w:rsid w:val="312608BD"/>
    <w:rsid w:val="3126169A"/>
    <w:rsid w:val="312D1C19"/>
    <w:rsid w:val="31413001"/>
    <w:rsid w:val="316610D2"/>
    <w:rsid w:val="316B19E4"/>
    <w:rsid w:val="31753ACF"/>
    <w:rsid w:val="31A842CD"/>
    <w:rsid w:val="31C12204"/>
    <w:rsid w:val="31FB3A80"/>
    <w:rsid w:val="32004842"/>
    <w:rsid w:val="32004C6A"/>
    <w:rsid w:val="32025CA4"/>
    <w:rsid w:val="32117F60"/>
    <w:rsid w:val="32226D9D"/>
    <w:rsid w:val="323808A8"/>
    <w:rsid w:val="323B3EF4"/>
    <w:rsid w:val="323D7C6C"/>
    <w:rsid w:val="32456B21"/>
    <w:rsid w:val="3250694A"/>
    <w:rsid w:val="32523D98"/>
    <w:rsid w:val="32592E75"/>
    <w:rsid w:val="32627BB4"/>
    <w:rsid w:val="327F4BDA"/>
    <w:rsid w:val="32AA198B"/>
    <w:rsid w:val="32C959A4"/>
    <w:rsid w:val="32CB5D6A"/>
    <w:rsid w:val="33087E30"/>
    <w:rsid w:val="33095DA0"/>
    <w:rsid w:val="330A4F4E"/>
    <w:rsid w:val="3317670F"/>
    <w:rsid w:val="331E2986"/>
    <w:rsid w:val="332206BD"/>
    <w:rsid w:val="33304AF3"/>
    <w:rsid w:val="333C6176"/>
    <w:rsid w:val="33415B8B"/>
    <w:rsid w:val="3342191F"/>
    <w:rsid w:val="335F00B6"/>
    <w:rsid w:val="33715846"/>
    <w:rsid w:val="3387200A"/>
    <w:rsid w:val="33955886"/>
    <w:rsid w:val="33955C3D"/>
    <w:rsid w:val="33AE03F9"/>
    <w:rsid w:val="33B77515"/>
    <w:rsid w:val="33C3145E"/>
    <w:rsid w:val="33CA69FE"/>
    <w:rsid w:val="33CF2B46"/>
    <w:rsid w:val="33D46DD0"/>
    <w:rsid w:val="33FE7B4A"/>
    <w:rsid w:val="340053F5"/>
    <w:rsid w:val="34056568"/>
    <w:rsid w:val="342C4F38"/>
    <w:rsid w:val="342F21E1"/>
    <w:rsid w:val="343C52E1"/>
    <w:rsid w:val="34421B18"/>
    <w:rsid w:val="346048C1"/>
    <w:rsid w:val="34717995"/>
    <w:rsid w:val="34853B4C"/>
    <w:rsid w:val="3491097A"/>
    <w:rsid w:val="349549A5"/>
    <w:rsid w:val="3498562E"/>
    <w:rsid w:val="349F69BC"/>
    <w:rsid w:val="34BA546B"/>
    <w:rsid w:val="34BD7469"/>
    <w:rsid w:val="34C74E9F"/>
    <w:rsid w:val="34CA155F"/>
    <w:rsid w:val="34CE6B06"/>
    <w:rsid w:val="34CE7401"/>
    <w:rsid w:val="34D61D56"/>
    <w:rsid w:val="34D97964"/>
    <w:rsid w:val="34E6283D"/>
    <w:rsid w:val="350E58F0"/>
    <w:rsid w:val="350E769E"/>
    <w:rsid w:val="35184A32"/>
    <w:rsid w:val="353D5303"/>
    <w:rsid w:val="354C30B8"/>
    <w:rsid w:val="35545BA5"/>
    <w:rsid w:val="35753294"/>
    <w:rsid w:val="357A2F85"/>
    <w:rsid w:val="358D4A67"/>
    <w:rsid w:val="35A25069"/>
    <w:rsid w:val="35C93430"/>
    <w:rsid w:val="35D84785"/>
    <w:rsid w:val="35DE4BD9"/>
    <w:rsid w:val="35DF717A"/>
    <w:rsid w:val="35F34AF6"/>
    <w:rsid w:val="35F87DF8"/>
    <w:rsid w:val="35FD3DBA"/>
    <w:rsid w:val="360D3DFA"/>
    <w:rsid w:val="36100CA6"/>
    <w:rsid w:val="361231BE"/>
    <w:rsid w:val="361B0B2A"/>
    <w:rsid w:val="3628342D"/>
    <w:rsid w:val="363700FE"/>
    <w:rsid w:val="36465DF2"/>
    <w:rsid w:val="364A2958"/>
    <w:rsid w:val="364D41F6"/>
    <w:rsid w:val="365E6692"/>
    <w:rsid w:val="36626BDF"/>
    <w:rsid w:val="366A42B0"/>
    <w:rsid w:val="368F63C9"/>
    <w:rsid w:val="36947DF4"/>
    <w:rsid w:val="36A8068F"/>
    <w:rsid w:val="36B401D9"/>
    <w:rsid w:val="36B66A9A"/>
    <w:rsid w:val="36C85AB1"/>
    <w:rsid w:val="37482586"/>
    <w:rsid w:val="3770061D"/>
    <w:rsid w:val="377358D6"/>
    <w:rsid w:val="37794322"/>
    <w:rsid w:val="378123A9"/>
    <w:rsid w:val="378C796A"/>
    <w:rsid w:val="3795650F"/>
    <w:rsid w:val="379B7932"/>
    <w:rsid w:val="379E4D12"/>
    <w:rsid w:val="37A306A2"/>
    <w:rsid w:val="37A83DDA"/>
    <w:rsid w:val="37AA6DA1"/>
    <w:rsid w:val="37AD018D"/>
    <w:rsid w:val="37C116E8"/>
    <w:rsid w:val="37CD68B0"/>
    <w:rsid w:val="37D657B7"/>
    <w:rsid w:val="37E33064"/>
    <w:rsid w:val="37F0287C"/>
    <w:rsid w:val="37F039D3"/>
    <w:rsid w:val="38004319"/>
    <w:rsid w:val="38162B73"/>
    <w:rsid w:val="3820263F"/>
    <w:rsid w:val="38286CC9"/>
    <w:rsid w:val="384479EF"/>
    <w:rsid w:val="38521F98"/>
    <w:rsid w:val="386A72E1"/>
    <w:rsid w:val="387146B5"/>
    <w:rsid w:val="388867A3"/>
    <w:rsid w:val="389773CF"/>
    <w:rsid w:val="389B56ED"/>
    <w:rsid w:val="38A039C8"/>
    <w:rsid w:val="38A30A45"/>
    <w:rsid w:val="38D267FA"/>
    <w:rsid w:val="38E90A93"/>
    <w:rsid w:val="38EF29AF"/>
    <w:rsid w:val="391E4A2F"/>
    <w:rsid w:val="39337AC9"/>
    <w:rsid w:val="39370E37"/>
    <w:rsid w:val="394D2856"/>
    <w:rsid w:val="394E6A33"/>
    <w:rsid w:val="395F4828"/>
    <w:rsid w:val="3962620A"/>
    <w:rsid w:val="39795448"/>
    <w:rsid w:val="397E5CA9"/>
    <w:rsid w:val="39820C37"/>
    <w:rsid w:val="39833B96"/>
    <w:rsid w:val="398B1733"/>
    <w:rsid w:val="39972358"/>
    <w:rsid w:val="399D7B54"/>
    <w:rsid w:val="39A71E6F"/>
    <w:rsid w:val="39B10794"/>
    <w:rsid w:val="39BF7311"/>
    <w:rsid w:val="39CC6865"/>
    <w:rsid w:val="39D233C3"/>
    <w:rsid w:val="39DC6FEC"/>
    <w:rsid w:val="39E075FE"/>
    <w:rsid w:val="39FC5BE0"/>
    <w:rsid w:val="3A0B3F07"/>
    <w:rsid w:val="3A0C45E9"/>
    <w:rsid w:val="3A396123"/>
    <w:rsid w:val="3A437DEA"/>
    <w:rsid w:val="3A4839BF"/>
    <w:rsid w:val="3A563E91"/>
    <w:rsid w:val="3A5A7661"/>
    <w:rsid w:val="3A5F4CE6"/>
    <w:rsid w:val="3A7A745C"/>
    <w:rsid w:val="3AA70621"/>
    <w:rsid w:val="3AC10958"/>
    <w:rsid w:val="3AD82C28"/>
    <w:rsid w:val="3B001ACF"/>
    <w:rsid w:val="3B1726FC"/>
    <w:rsid w:val="3B282B54"/>
    <w:rsid w:val="3B2B7975"/>
    <w:rsid w:val="3B447989"/>
    <w:rsid w:val="3B697C1B"/>
    <w:rsid w:val="3B8373F1"/>
    <w:rsid w:val="3B901ACE"/>
    <w:rsid w:val="3B9D28F5"/>
    <w:rsid w:val="3BF32267"/>
    <w:rsid w:val="3BF84C04"/>
    <w:rsid w:val="3C1001A0"/>
    <w:rsid w:val="3C16395B"/>
    <w:rsid w:val="3C31470F"/>
    <w:rsid w:val="3C4268CA"/>
    <w:rsid w:val="3C4E2A76"/>
    <w:rsid w:val="3C565501"/>
    <w:rsid w:val="3C5E715D"/>
    <w:rsid w:val="3C7C23DD"/>
    <w:rsid w:val="3C7C3A87"/>
    <w:rsid w:val="3C820395"/>
    <w:rsid w:val="3C8C5771"/>
    <w:rsid w:val="3C946280"/>
    <w:rsid w:val="3CA63EE8"/>
    <w:rsid w:val="3CA769CF"/>
    <w:rsid w:val="3CBA7966"/>
    <w:rsid w:val="3CE05DC4"/>
    <w:rsid w:val="3CEA411E"/>
    <w:rsid w:val="3CEE676B"/>
    <w:rsid w:val="3CF1793A"/>
    <w:rsid w:val="3CF25AF7"/>
    <w:rsid w:val="3D0E622F"/>
    <w:rsid w:val="3D0F228F"/>
    <w:rsid w:val="3D1B6DFC"/>
    <w:rsid w:val="3D7242CB"/>
    <w:rsid w:val="3D7473D9"/>
    <w:rsid w:val="3D870A85"/>
    <w:rsid w:val="3D8A6DE7"/>
    <w:rsid w:val="3D9221F2"/>
    <w:rsid w:val="3D9B618F"/>
    <w:rsid w:val="3DD516A1"/>
    <w:rsid w:val="3E09759C"/>
    <w:rsid w:val="3E1D5002"/>
    <w:rsid w:val="3E29379B"/>
    <w:rsid w:val="3E2F46B1"/>
    <w:rsid w:val="3E330175"/>
    <w:rsid w:val="3E353EED"/>
    <w:rsid w:val="3E506BC2"/>
    <w:rsid w:val="3E524A9F"/>
    <w:rsid w:val="3E657F77"/>
    <w:rsid w:val="3E7412CE"/>
    <w:rsid w:val="3E8D1F7B"/>
    <w:rsid w:val="3E993BCD"/>
    <w:rsid w:val="3EA0270D"/>
    <w:rsid w:val="3EA3354D"/>
    <w:rsid w:val="3EA80B63"/>
    <w:rsid w:val="3EB2553E"/>
    <w:rsid w:val="3EC95A24"/>
    <w:rsid w:val="3EDB2CE7"/>
    <w:rsid w:val="3F0B58E4"/>
    <w:rsid w:val="3F0C2647"/>
    <w:rsid w:val="3F1B4469"/>
    <w:rsid w:val="3F404600"/>
    <w:rsid w:val="3F4B70E6"/>
    <w:rsid w:val="3F534076"/>
    <w:rsid w:val="3F545EDD"/>
    <w:rsid w:val="3F5465F5"/>
    <w:rsid w:val="3F641B5F"/>
    <w:rsid w:val="3F76656C"/>
    <w:rsid w:val="3F7D4C72"/>
    <w:rsid w:val="3F8C3FE1"/>
    <w:rsid w:val="3F935E11"/>
    <w:rsid w:val="3F966C0E"/>
    <w:rsid w:val="3FA93274"/>
    <w:rsid w:val="3FAE3F57"/>
    <w:rsid w:val="3FC072F1"/>
    <w:rsid w:val="3FCC6AD3"/>
    <w:rsid w:val="3FF55720"/>
    <w:rsid w:val="3FFD0A3B"/>
    <w:rsid w:val="40003751"/>
    <w:rsid w:val="40104674"/>
    <w:rsid w:val="40195A39"/>
    <w:rsid w:val="40247611"/>
    <w:rsid w:val="402C1B8A"/>
    <w:rsid w:val="402C267A"/>
    <w:rsid w:val="40517A4D"/>
    <w:rsid w:val="407E4DAB"/>
    <w:rsid w:val="409F0B9B"/>
    <w:rsid w:val="40A07DEE"/>
    <w:rsid w:val="40AD2461"/>
    <w:rsid w:val="40AD2AE4"/>
    <w:rsid w:val="40FC3965"/>
    <w:rsid w:val="412169AB"/>
    <w:rsid w:val="412C782A"/>
    <w:rsid w:val="41390199"/>
    <w:rsid w:val="418A53BB"/>
    <w:rsid w:val="41913B31"/>
    <w:rsid w:val="419500F5"/>
    <w:rsid w:val="419A4A0D"/>
    <w:rsid w:val="419B050B"/>
    <w:rsid w:val="41A3330C"/>
    <w:rsid w:val="41A41AB6"/>
    <w:rsid w:val="41C63D05"/>
    <w:rsid w:val="41CC454D"/>
    <w:rsid w:val="41CC7DDB"/>
    <w:rsid w:val="41CF6407"/>
    <w:rsid w:val="41D904E8"/>
    <w:rsid w:val="41DA1CA2"/>
    <w:rsid w:val="41E677EB"/>
    <w:rsid w:val="41EC26CC"/>
    <w:rsid w:val="41F1637D"/>
    <w:rsid w:val="4206731F"/>
    <w:rsid w:val="42295B17"/>
    <w:rsid w:val="422F3CD1"/>
    <w:rsid w:val="42332E3A"/>
    <w:rsid w:val="4283791D"/>
    <w:rsid w:val="42927A88"/>
    <w:rsid w:val="42A02A96"/>
    <w:rsid w:val="42CE0D1F"/>
    <w:rsid w:val="42E3216A"/>
    <w:rsid w:val="42EA641C"/>
    <w:rsid w:val="42F2147A"/>
    <w:rsid w:val="42FE0D52"/>
    <w:rsid w:val="430100F2"/>
    <w:rsid w:val="43056584"/>
    <w:rsid w:val="432E304D"/>
    <w:rsid w:val="433B01F8"/>
    <w:rsid w:val="433D1552"/>
    <w:rsid w:val="43411D65"/>
    <w:rsid w:val="434B6EF0"/>
    <w:rsid w:val="4391606A"/>
    <w:rsid w:val="43BB6745"/>
    <w:rsid w:val="43CB69DE"/>
    <w:rsid w:val="43FC1AE8"/>
    <w:rsid w:val="44114AB5"/>
    <w:rsid w:val="441935D3"/>
    <w:rsid w:val="442329A2"/>
    <w:rsid w:val="443F248E"/>
    <w:rsid w:val="4452363C"/>
    <w:rsid w:val="44564BBE"/>
    <w:rsid w:val="44684B53"/>
    <w:rsid w:val="44836680"/>
    <w:rsid w:val="44870630"/>
    <w:rsid w:val="44872FC9"/>
    <w:rsid w:val="44A24006"/>
    <w:rsid w:val="44AE49FA"/>
    <w:rsid w:val="44BA46A0"/>
    <w:rsid w:val="44C152BA"/>
    <w:rsid w:val="44D83825"/>
    <w:rsid w:val="44F81395"/>
    <w:rsid w:val="44FC2674"/>
    <w:rsid w:val="45020649"/>
    <w:rsid w:val="450F5A37"/>
    <w:rsid w:val="4517434D"/>
    <w:rsid w:val="45252A98"/>
    <w:rsid w:val="454669E0"/>
    <w:rsid w:val="454C63A9"/>
    <w:rsid w:val="45557B85"/>
    <w:rsid w:val="455E01CE"/>
    <w:rsid w:val="457F4BC7"/>
    <w:rsid w:val="45876384"/>
    <w:rsid w:val="4588524B"/>
    <w:rsid w:val="459004B9"/>
    <w:rsid w:val="45927FCA"/>
    <w:rsid w:val="45961716"/>
    <w:rsid w:val="459C176E"/>
    <w:rsid w:val="45B925DE"/>
    <w:rsid w:val="45C91D4E"/>
    <w:rsid w:val="45CE34A7"/>
    <w:rsid w:val="45D25D77"/>
    <w:rsid w:val="45DC06D2"/>
    <w:rsid w:val="45F823D0"/>
    <w:rsid w:val="460C0A80"/>
    <w:rsid w:val="462C2D9B"/>
    <w:rsid w:val="46357180"/>
    <w:rsid w:val="46431B9F"/>
    <w:rsid w:val="464A0752"/>
    <w:rsid w:val="464F5D68"/>
    <w:rsid w:val="465515D1"/>
    <w:rsid w:val="4668385B"/>
    <w:rsid w:val="466B48D8"/>
    <w:rsid w:val="46796E3D"/>
    <w:rsid w:val="468D2248"/>
    <w:rsid w:val="46AD63DA"/>
    <w:rsid w:val="46B2771C"/>
    <w:rsid w:val="46BD7176"/>
    <w:rsid w:val="46DB3845"/>
    <w:rsid w:val="46E60BF0"/>
    <w:rsid w:val="46EF27FA"/>
    <w:rsid w:val="4700603D"/>
    <w:rsid w:val="470973D8"/>
    <w:rsid w:val="471C7F42"/>
    <w:rsid w:val="473C009B"/>
    <w:rsid w:val="47443250"/>
    <w:rsid w:val="475F3D89"/>
    <w:rsid w:val="477C0DDF"/>
    <w:rsid w:val="478758D4"/>
    <w:rsid w:val="478C5122"/>
    <w:rsid w:val="47B24801"/>
    <w:rsid w:val="48072B8A"/>
    <w:rsid w:val="481F6949"/>
    <w:rsid w:val="48432E2C"/>
    <w:rsid w:val="484713ED"/>
    <w:rsid w:val="484C168D"/>
    <w:rsid w:val="485257D5"/>
    <w:rsid w:val="485E45BD"/>
    <w:rsid w:val="486D2AC6"/>
    <w:rsid w:val="48864FF0"/>
    <w:rsid w:val="48934632"/>
    <w:rsid w:val="48952BB8"/>
    <w:rsid w:val="48A96722"/>
    <w:rsid w:val="48AD5029"/>
    <w:rsid w:val="48B972B1"/>
    <w:rsid w:val="48CB3DCC"/>
    <w:rsid w:val="491B7420"/>
    <w:rsid w:val="49281D75"/>
    <w:rsid w:val="493A685C"/>
    <w:rsid w:val="49461447"/>
    <w:rsid w:val="494D658F"/>
    <w:rsid w:val="496C3162"/>
    <w:rsid w:val="497C44AF"/>
    <w:rsid w:val="49817E5F"/>
    <w:rsid w:val="498B7EF7"/>
    <w:rsid w:val="499773D9"/>
    <w:rsid w:val="49A42A49"/>
    <w:rsid w:val="49BE61CB"/>
    <w:rsid w:val="49C048EA"/>
    <w:rsid w:val="49DF0EB3"/>
    <w:rsid w:val="4A0550BC"/>
    <w:rsid w:val="4A056E6A"/>
    <w:rsid w:val="4A3C39CC"/>
    <w:rsid w:val="4A420516"/>
    <w:rsid w:val="4A4E637B"/>
    <w:rsid w:val="4A5B218A"/>
    <w:rsid w:val="4A7C77FD"/>
    <w:rsid w:val="4A8C758B"/>
    <w:rsid w:val="4A8F323E"/>
    <w:rsid w:val="4A9621B8"/>
    <w:rsid w:val="4A9B77CE"/>
    <w:rsid w:val="4AA85856"/>
    <w:rsid w:val="4AB32321"/>
    <w:rsid w:val="4AC027F7"/>
    <w:rsid w:val="4AEA6060"/>
    <w:rsid w:val="4AEF36A6"/>
    <w:rsid w:val="4B0C247A"/>
    <w:rsid w:val="4B20020C"/>
    <w:rsid w:val="4B2428FA"/>
    <w:rsid w:val="4B3D0885"/>
    <w:rsid w:val="4B41632B"/>
    <w:rsid w:val="4B4324FB"/>
    <w:rsid w:val="4B4D6D1A"/>
    <w:rsid w:val="4B50680B"/>
    <w:rsid w:val="4B5F07FC"/>
    <w:rsid w:val="4B6132ED"/>
    <w:rsid w:val="4B6422B6"/>
    <w:rsid w:val="4B883504"/>
    <w:rsid w:val="4B931BD9"/>
    <w:rsid w:val="4BB35500"/>
    <w:rsid w:val="4BBA3C84"/>
    <w:rsid w:val="4BD823C4"/>
    <w:rsid w:val="4BE17463"/>
    <w:rsid w:val="4BEA7E5D"/>
    <w:rsid w:val="4BEB5322"/>
    <w:rsid w:val="4BF16C54"/>
    <w:rsid w:val="4BF4559F"/>
    <w:rsid w:val="4C101AF6"/>
    <w:rsid w:val="4C281CBB"/>
    <w:rsid w:val="4C324162"/>
    <w:rsid w:val="4C37643B"/>
    <w:rsid w:val="4C465518"/>
    <w:rsid w:val="4C5A5D78"/>
    <w:rsid w:val="4C617FAB"/>
    <w:rsid w:val="4C720CFA"/>
    <w:rsid w:val="4C934C01"/>
    <w:rsid w:val="4CA5381B"/>
    <w:rsid w:val="4CAD3122"/>
    <w:rsid w:val="4CBB4158"/>
    <w:rsid w:val="4CC873F3"/>
    <w:rsid w:val="4CCA1D0A"/>
    <w:rsid w:val="4CDB65A8"/>
    <w:rsid w:val="4CDE00FC"/>
    <w:rsid w:val="4CEA5CFA"/>
    <w:rsid w:val="4CF65041"/>
    <w:rsid w:val="4D021D86"/>
    <w:rsid w:val="4D023B34"/>
    <w:rsid w:val="4D05280E"/>
    <w:rsid w:val="4D1345F8"/>
    <w:rsid w:val="4D546EAE"/>
    <w:rsid w:val="4D66481E"/>
    <w:rsid w:val="4D814A59"/>
    <w:rsid w:val="4D987FF5"/>
    <w:rsid w:val="4D9C5438"/>
    <w:rsid w:val="4DA70238"/>
    <w:rsid w:val="4DBD02EB"/>
    <w:rsid w:val="4DD91FB4"/>
    <w:rsid w:val="4DE578EF"/>
    <w:rsid w:val="4DEA730B"/>
    <w:rsid w:val="4DFA0CB0"/>
    <w:rsid w:val="4DFC67D6"/>
    <w:rsid w:val="4DFE0334"/>
    <w:rsid w:val="4DFF03C3"/>
    <w:rsid w:val="4E190AC4"/>
    <w:rsid w:val="4E1E674C"/>
    <w:rsid w:val="4E1F1EA4"/>
    <w:rsid w:val="4E216B73"/>
    <w:rsid w:val="4E4168DE"/>
    <w:rsid w:val="4E504A41"/>
    <w:rsid w:val="4E5D3833"/>
    <w:rsid w:val="4E8F26E6"/>
    <w:rsid w:val="4EA30289"/>
    <w:rsid w:val="4EA83CBF"/>
    <w:rsid w:val="4EBD19B8"/>
    <w:rsid w:val="4EE52BB7"/>
    <w:rsid w:val="4EF82658"/>
    <w:rsid w:val="4F06263B"/>
    <w:rsid w:val="4F1B57FE"/>
    <w:rsid w:val="4F224D39"/>
    <w:rsid w:val="4F24139C"/>
    <w:rsid w:val="4F275AD4"/>
    <w:rsid w:val="4F4031C1"/>
    <w:rsid w:val="4F506DD9"/>
    <w:rsid w:val="4F517F20"/>
    <w:rsid w:val="4F5301FA"/>
    <w:rsid w:val="4F5A1A06"/>
    <w:rsid w:val="4F932120"/>
    <w:rsid w:val="4F950C90"/>
    <w:rsid w:val="4F9A0054"/>
    <w:rsid w:val="4FAE3583"/>
    <w:rsid w:val="4FBD6D79"/>
    <w:rsid w:val="4FDC29FE"/>
    <w:rsid w:val="4FEC2CAC"/>
    <w:rsid w:val="50041972"/>
    <w:rsid w:val="50050302"/>
    <w:rsid w:val="50106BDD"/>
    <w:rsid w:val="501A0C3E"/>
    <w:rsid w:val="50397091"/>
    <w:rsid w:val="505207D1"/>
    <w:rsid w:val="50521F46"/>
    <w:rsid w:val="50685BFB"/>
    <w:rsid w:val="506A3ECB"/>
    <w:rsid w:val="506D40C0"/>
    <w:rsid w:val="507F5620"/>
    <w:rsid w:val="5082250C"/>
    <w:rsid w:val="508C4A35"/>
    <w:rsid w:val="50937803"/>
    <w:rsid w:val="50960D84"/>
    <w:rsid w:val="50980941"/>
    <w:rsid w:val="509A5B6D"/>
    <w:rsid w:val="50C01D3C"/>
    <w:rsid w:val="50D2381E"/>
    <w:rsid w:val="51330760"/>
    <w:rsid w:val="514B3CFC"/>
    <w:rsid w:val="51A25E91"/>
    <w:rsid w:val="51B6678D"/>
    <w:rsid w:val="51B66C9C"/>
    <w:rsid w:val="51B807F7"/>
    <w:rsid w:val="51DE4E1F"/>
    <w:rsid w:val="51E63A25"/>
    <w:rsid w:val="52041D74"/>
    <w:rsid w:val="522C217E"/>
    <w:rsid w:val="523A167B"/>
    <w:rsid w:val="524C7814"/>
    <w:rsid w:val="525317C6"/>
    <w:rsid w:val="526B4A52"/>
    <w:rsid w:val="526C6AFA"/>
    <w:rsid w:val="527E0E1B"/>
    <w:rsid w:val="52A14B6E"/>
    <w:rsid w:val="52A5743C"/>
    <w:rsid w:val="52AD009F"/>
    <w:rsid w:val="52D56360"/>
    <w:rsid w:val="52F201A7"/>
    <w:rsid w:val="530E3233"/>
    <w:rsid w:val="5311062D"/>
    <w:rsid w:val="53125E09"/>
    <w:rsid w:val="532A5BC1"/>
    <w:rsid w:val="532E5683"/>
    <w:rsid w:val="533618D5"/>
    <w:rsid w:val="53650979"/>
    <w:rsid w:val="536B1B8A"/>
    <w:rsid w:val="53777F05"/>
    <w:rsid w:val="538043DA"/>
    <w:rsid w:val="53AB6CD4"/>
    <w:rsid w:val="53B01CF2"/>
    <w:rsid w:val="53B33FCE"/>
    <w:rsid w:val="53C90F08"/>
    <w:rsid w:val="53E910C5"/>
    <w:rsid w:val="54085ED4"/>
    <w:rsid w:val="540B32CF"/>
    <w:rsid w:val="540C7047"/>
    <w:rsid w:val="542362A5"/>
    <w:rsid w:val="544113E6"/>
    <w:rsid w:val="544B5DC1"/>
    <w:rsid w:val="54532EC8"/>
    <w:rsid w:val="5456674E"/>
    <w:rsid w:val="54667995"/>
    <w:rsid w:val="54754BEC"/>
    <w:rsid w:val="5478113B"/>
    <w:rsid w:val="547F3CBD"/>
    <w:rsid w:val="5492400C"/>
    <w:rsid w:val="549F2625"/>
    <w:rsid w:val="54C37E15"/>
    <w:rsid w:val="54CA6363"/>
    <w:rsid w:val="54CB7B9C"/>
    <w:rsid w:val="54F77DBF"/>
    <w:rsid w:val="55085A29"/>
    <w:rsid w:val="550A0FB6"/>
    <w:rsid w:val="551769E2"/>
    <w:rsid w:val="55246F38"/>
    <w:rsid w:val="55297ABA"/>
    <w:rsid w:val="555C40FF"/>
    <w:rsid w:val="55657FDB"/>
    <w:rsid w:val="55676C2B"/>
    <w:rsid w:val="55713605"/>
    <w:rsid w:val="55727F8E"/>
    <w:rsid w:val="557E424F"/>
    <w:rsid w:val="55873E1E"/>
    <w:rsid w:val="558B32B7"/>
    <w:rsid w:val="559F2864"/>
    <w:rsid w:val="55A439DB"/>
    <w:rsid w:val="55BE462A"/>
    <w:rsid w:val="55C66014"/>
    <w:rsid w:val="55D65B5E"/>
    <w:rsid w:val="55DD0C9B"/>
    <w:rsid w:val="55E552A9"/>
    <w:rsid w:val="55EB785C"/>
    <w:rsid w:val="55F14A51"/>
    <w:rsid w:val="55F847C8"/>
    <w:rsid w:val="56244B1C"/>
    <w:rsid w:val="563D1763"/>
    <w:rsid w:val="5645574B"/>
    <w:rsid w:val="56544067"/>
    <w:rsid w:val="5661367A"/>
    <w:rsid w:val="568B727B"/>
    <w:rsid w:val="56AD68BF"/>
    <w:rsid w:val="56B7773E"/>
    <w:rsid w:val="56BC6D1C"/>
    <w:rsid w:val="56CF3D11"/>
    <w:rsid w:val="56DE1BBF"/>
    <w:rsid w:val="56ED13B1"/>
    <w:rsid w:val="56F24C1A"/>
    <w:rsid w:val="570861EB"/>
    <w:rsid w:val="570E14DB"/>
    <w:rsid w:val="57111206"/>
    <w:rsid w:val="571B5F1F"/>
    <w:rsid w:val="571E65D2"/>
    <w:rsid w:val="572D4B57"/>
    <w:rsid w:val="57352627"/>
    <w:rsid w:val="575D6837"/>
    <w:rsid w:val="577675F9"/>
    <w:rsid w:val="577C0690"/>
    <w:rsid w:val="578364FC"/>
    <w:rsid w:val="578A6928"/>
    <w:rsid w:val="578D5C0A"/>
    <w:rsid w:val="578E4942"/>
    <w:rsid w:val="57AD7989"/>
    <w:rsid w:val="57B55E5D"/>
    <w:rsid w:val="57BC3637"/>
    <w:rsid w:val="57C57C38"/>
    <w:rsid w:val="57C80253"/>
    <w:rsid w:val="57CB5299"/>
    <w:rsid w:val="57E526BC"/>
    <w:rsid w:val="57E83927"/>
    <w:rsid w:val="580E3BD0"/>
    <w:rsid w:val="581A4428"/>
    <w:rsid w:val="58353010"/>
    <w:rsid w:val="58452017"/>
    <w:rsid w:val="584C587A"/>
    <w:rsid w:val="585041B1"/>
    <w:rsid w:val="585D2567"/>
    <w:rsid w:val="58670CF0"/>
    <w:rsid w:val="58705DF6"/>
    <w:rsid w:val="58826BCD"/>
    <w:rsid w:val="58877908"/>
    <w:rsid w:val="589C0EF2"/>
    <w:rsid w:val="58A55249"/>
    <w:rsid w:val="58B9221A"/>
    <w:rsid w:val="58BF0FAF"/>
    <w:rsid w:val="58C83454"/>
    <w:rsid w:val="58ED5699"/>
    <w:rsid w:val="58ED7CE1"/>
    <w:rsid w:val="58F34251"/>
    <w:rsid w:val="58F62B30"/>
    <w:rsid w:val="590F4C2D"/>
    <w:rsid w:val="591057BA"/>
    <w:rsid w:val="591B474E"/>
    <w:rsid w:val="591D7606"/>
    <w:rsid w:val="5931535B"/>
    <w:rsid w:val="593908DE"/>
    <w:rsid w:val="597F48AD"/>
    <w:rsid w:val="59910850"/>
    <w:rsid w:val="599F3298"/>
    <w:rsid w:val="59A05382"/>
    <w:rsid w:val="59A70AE4"/>
    <w:rsid w:val="59AD2EBB"/>
    <w:rsid w:val="59D80A28"/>
    <w:rsid w:val="59DA7BF6"/>
    <w:rsid w:val="59E44E97"/>
    <w:rsid w:val="59EA05BA"/>
    <w:rsid w:val="59F05397"/>
    <w:rsid w:val="59F42A57"/>
    <w:rsid w:val="5A1540BD"/>
    <w:rsid w:val="5A19111B"/>
    <w:rsid w:val="5A2C091C"/>
    <w:rsid w:val="5A3D43FE"/>
    <w:rsid w:val="5A4532B2"/>
    <w:rsid w:val="5A463F61"/>
    <w:rsid w:val="5A556F7F"/>
    <w:rsid w:val="5A5D626B"/>
    <w:rsid w:val="5A86180B"/>
    <w:rsid w:val="5A963B0E"/>
    <w:rsid w:val="5A9C38F0"/>
    <w:rsid w:val="5A9D2FEC"/>
    <w:rsid w:val="5AB468FC"/>
    <w:rsid w:val="5ABF4E13"/>
    <w:rsid w:val="5AC20D33"/>
    <w:rsid w:val="5ACA5F90"/>
    <w:rsid w:val="5ACE27F5"/>
    <w:rsid w:val="5AEC4DDF"/>
    <w:rsid w:val="5AF76E13"/>
    <w:rsid w:val="5B0171D9"/>
    <w:rsid w:val="5B41531D"/>
    <w:rsid w:val="5B455A3E"/>
    <w:rsid w:val="5B4D67C7"/>
    <w:rsid w:val="5B61290C"/>
    <w:rsid w:val="5B7603C6"/>
    <w:rsid w:val="5B8B60A5"/>
    <w:rsid w:val="5B9F1014"/>
    <w:rsid w:val="5BB95C62"/>
    <w:rsid w:val="5BC621D1"/>
    <w:rsid w:val="5BC7564C"/>
    <w:rsid w:val="5BCD6714"/>
    <w:rsid w:val="5BE02CA0"/>
    <w:rsid w:val="5BE04B70"/>
    <w:rsid w:val="5BE22CA5"/>
    <w:rsid w:val="5BED57E2"/>
    <w:rsid w:val="5BED679A"/>
    <w:rsid w:val="5BF038B2"/>
    <w:rsid w:val="5C0A5C62"/>
    <w:rsid w:val="5C351F6F"/>
    <w:rsid w:val="5C401F83"/>
    <w:rsid w:val="5C4A5F64"/>
    <w:rsid w:val="5C6739B4"/>
    <w:rsid w:val="5C6C104D"/>
    <w:rsid w:val="5C9F5C6D"/>
    <w:rsid w:val="5CBE327B"/>
    <w:rsid w:val="5CC20BEA"/>
    <w:rsid w:val="5CDA4BB0"/>
    <w:rsid w:val="5D323FC2"/>
    <w:rsid w:val="5D3838F8"/>
    <w:rsid w:val="5D3F223B"/>
    <w:rsid w:val="5D443BB8"/>
    <w:rsid w:val="5D4B76F9"/>
    <w:rsid w:val="5D704AEA"/>
    <w:rsid w:val="5DA76C34"/>
    <w:rsid w:val="5DAD4CDB"/>
    <w:rsid w:val="5DBB3FB7"/>
    <w:rsid w:val="5DC21078"/>
    <w:rsid w:val="5DCE3D00"/>
    <w:rsid w:val="5DD25AD6"/>
    <w:rsid w:val="5DD4375F"/>
    <w:rsid w:val="5DE4418B"/>
    <w:rsid w:val="5DEB5F1F"/>
    <w:rsid w:val="5DF63241"/>
    <w:rsid w:val="5E27164D"/>
    <w:rsid w:val="5E385396"/>
    <w:rsid w:val="5E423B66"/>
    <w:rsid w:val="5E437B09"/>
    <w:rsid w:val="5E4C350A"/>
    <w:rsid w:val="5E8459F2"/>
    <w:rsid w:val="5E981411"/>
    <w:rsid w:val="5E9D2047"/>
    <w:rsid w:val="5EA22243"/>
    <w:rsid w:val="5EA467FA"/>
    <w:rsid w:val="5EA92062"/>
    <w:rsid w:val="5EBA33BA"/>
    <w:rsid w:val="5EE14E01"/>
    <w:rsid w:val="5EF66843"/>
    <w:rsid w:val="5F055641"/>
    <w:rsid w:val="5F300977"/>
    <w:rsid w:val="5F495478"/>
    <w:rsid w:val="5F4E49B7"/>
    <w:rsid w:val="5F623836"/>
    <w:rsid w:val="5F7323C4"/>
    <w:rsid w:val="5F800205"/>
    <w:rsid w:val="5F8418C4"/>
    <w:rsid w:val="5F9955F1"/>
    <w:rsid w:val="5F9A2C5B"/>
    <w:rsid w:val="5F9C5723"/>
    <w:rsid w:val="5F9E035D"/>
    <w:rsid w:val="5F9F02C8"/>
    <w:rsid w:val="5F9F79E6"/>
    <w:rsid w:val="5FA67B30"/>
    <w:rsid w:val="5FB20EEE"/>
    <w:rsid w:val="5FB9657C"/>
    <w:rsid w:val="5FC1162D"/>
    <w:rsid w:val="5FCB425A"/>
    <w:rsid w:val="5FCE29A9"/>
    <w:rsid w:val="5FD45972"/>
    <w:rsid w:val="5FD4607A"/>
    <w:rsid w:val="5FEA2932"/>
    <w:rsid w:val="5FF44273"/>
    <w:rsid w:val="600339F4"/>
    <w:rsid w:val="60224550"/>
    <w:rsid w:val="60275934"/>
    <w:rsid w:val="603652FB"/>
    <w:rsid w:val="603F7851"/>
    <w:rsid w:val="604272DE"/>
    <w:rsid w:val="60436F72"/>
    <w:rsid w:val="604A33D1"/>
    <w:rsid w:val="60502BD3"/>
    <w:rsid w:val="60711750"/>
    <w:rsid w:val="60836580"/>
    <w:rsid w:val="60A43ECD"/>
    <w:rsid w:val="60AE1BB1"/>
    <w:rsid w:val="60B2782D"/>
    <w:rsid w:val="60D96503"/>
    <w:rsid w:val="60E74A11"/>
    <w:rsid w:val="611759A9"/>
    <w:rsid w:val="611A2DA3"/>
    <w:rsid w:val="611A41FB"/>
    <w:rsid w:val="61347CD3"/>
    <w:rsid w:val="613C489A"/>
    <w:rsid w:val="61452A15"/>
    <w:rsid w:val="61750921"/>
    <w:rsid w:val="6178019B"/>
    <w:rsid w:val="618F2215"/>
    <w:rsid w:val="61A44D62"/>
    <w:rsid w:val="61F25ACE"/>
    <w:rsid w:val="61F316F6"/>
    <w:rsid w:val="61FE02CD"/>
    <w:rsid w:val="620079D8"/>
    <w:rsid w:val="62055148"/>
    <w:rsid w:val="62134FFA"/>
    <w:rsid w:val="621B339B"/>
    <w:rsid w:val="62210161"/>
    <w:rsid w:val="62361E5F"/>
    <w:rsid w:val="62397BA1"/>
    <w:rsid w:val="62685C67"/>
    <w:rsid w:val="626D33A6"/>
    <w:rsid w:val="626F1110"/>
    <w:rsid w:val="62842FC0"/>
    <w:rsid w:val="62BB2364"/>
    <w:rsid w:val="62DD052C"/>
    <w:rsid w:val="62DE494F"/>
    <w:rsid w:val="62FB1466"/>
    <w:rsid w:val="63023781"/>
    <w:rsid w:val="63116428"/>
    <w:rsid w:val="632C5010"/>
    <w:rsid w:val="6343147E"/>
    <w:rsid w:val="63620A31"/>
    <w:rsid w:val="63626C83"/>
    <w:rsid w:val="636624C2"/>
    <w:rsid w:val="63685BA5"/>
    <w:rsid w:val="636A4517"/>
    <w:rsid w:val="63712D78"/>
    <w:rsid w:val="637A64E4"/>
    <w:rsid w:val="638E2526"/>
    <w:rsid w:val="63A30E77"/>
    <w:rsid w:val="63AB062A"/>
    <w:rsid w:val="63BA10B0"/>
    <w:rsid w:val="63BF40D6"/>
    <w:rsid w:val="63BF7C32"/>
    <w:rsid w:val="63CC51B9"/>
    <w:rsid w:val="63DE25DA"/>
    <w:rsid w:val="63E75EB5"/>
    <w:rsid w:val="63EA24F1"/>
    <w:rsid w:val="63F41FD1"/>
    <w:rsid w:val="64090E67"/>
    <w:rsid w:val="6432620C"/>
    <w:rsid w:val="643669E6"/>
    <w:rsid w:val="643A5ABF"/>
    <w:rsid w:val="64531539"/>
    <w:rsid w:val="645978F4"/>
    <w:rsid w:val="646714F8"/>
    <w:rsid w:val="646F1E2D"/>
    <w:rsid w:val="64752117"/>
    <w:rsid w:val="6476301B"/>
    <w:rsid w:val="647A0DC4"/>
    <w:rsid w:val="647B56A8"/>
    <w:rsid w:val="647D3BAE"/>
    <w:rsid w:val="64875CE1"/>
    <w:rsid w:val="649F4B50"/>
    <w:rsid w:val="64A0081C"/>
    <w:rsid w:val="64AD18F6"/>
    <w:rsid w:val="64BE42AB"/>
    <w:rsid w:val="64C55C4F"/>
    <w:rsid w:val="64C82C4F"/>
    <w:rsid w:val="64CA1E20"/>
    <w:rsid w:val="64CC0858"/>
    <w:rsid w:val="64E83DE8"/>
    <w:rsid w:val="64EC53B2"/>
    <w:rsid w:val="64F93617"/>
    <w:rsid w:val="65006AFE"/>
    <w:rsid w:val="65321AC3"/>
    <w:rsid w:val="65362380"/>
    <w:rsid w:val="65527A91"/>
    <w:rsid w:val="65581F37"/>
    <w:rsid w:val="656C5B97"/>
    <w:rsid w:val="65AD1D3C"/>
    <w:rsid w:val="65B43CE6"/>
    <w:rsid w:val="65C37EAD"/>
    <w:rsid w:val="65CA232C"/>
    <w:rsid w:val="65CE0600"/>
    <w:rsid w:val="65D11E9E"/>
    <w:rsid w:val="66044022"/>
    <w:rsid w:val="660B3602"/>
    <w:rsid w:val="66106E6A"/>
    <w:rsid w:val="663C37BC"/>
    <w:rsid w:val="66470382"/>
    <w:rsid w:val="666C3B6D"/>
    <w:rsid w:val="66701BB9"/>
    <w:rsid w:val="667C0DBA"/>
    <w:rsid w:val="66807BF1"/>
    <w:rsid w:val="669722AC"/>
    <w:rsid w:val="66D44E70"/>
    <w:rsid w:val="66F64DF0"/>
    <w:rsid w:val="67016DEB"/>
    <w:rsid w:val="670229B1"/>
    <w:rsid w:val="670D5C87"/>
    <w:rsid w:val="672E276A"/>
    <w:rsid w:val="674C78E8"/>
    <w:rsid w:val="676D715E"/>
    <w:rsid w:val="67747DCC"/>
    <w:rsid w:val="6778597D"/>
    <w:rsid w:val="678007B6"/>
    <w:rsid w:val="67871C9F"/>
    <w:rsid w:val="679E1078"/>
    <w:rsid w:val="67F739B4"/>
    <w:rsid w:val="681E586F"/>
    <w:rsid w:val="6836079E"/>
    <w:rsid w:val="68663078"/>
    <w:rsid w:val="688651C2"/>
    <w:rsid w:val="68982432"/>
    <w:rsid w:val="68B07047"/>
    <w:rsid w:val="68B166E3"/>
    <w:rsid w:val="68B97345"/>
    <w:rsid w:val="68C44151"/>
    <w:rsid w:val="68EE7F52"/>
    <w:rsid w:val="68F95994"/>
    <w:rsid w:val="690A7BA1"/>
    <w:rsid w:val="691A6802"/>
    <w:rsid w:val="691E2683"/>
    <w:rsid w:val="6932374B"/>
    <w:rsid w:val="69476A1E"/>
    <w:rsid w:val="694D7E21"/>
    <w:rsid w:val="695015F2"/>
    <w:rsid w:val="69570204"/>
    <w:rsid w:val="69581096"/>
    <w:rsid w:val="695E4D4C"/>
    <w:rsid w:val="69763488"/>
    <w:rsid w:val="69776492"/>
    <w:rsid w:val="698711F2"/>
    <w:rsid w:val="698F23BD"/>
    <w:rsid w:val="6999130E"/>
    <w:rsid w:val="69A476D9"/>
    <w:rsid w:val="69B77EEE"/>
    <w:rsid w:val="69E50D30"/>
    <w:rsid w:val="69E6661F"/>
    <w:rsid w:val="69E76134"/>
    <w:rsid w:val="69FF5A73"/>
    <w:rsid w:val="6A034B76"/>
    <w:rsid w:val="6A491627"/>
    <w:rsid w:val="6A5419B1"/>
    <w:rsid w:val="6A5B41EB"/>
    <w:rsid w:val="6A652063"/>
    <w:rsid w:val="6A8917D0"/>
    <w:rsid w:val="6A8F62F7"/>
    <w:rsid w:val="6A976990"/>
    <w:rsid w:val="6AA8002E"/>
    <w:rsid w:val="6AB55B20"/>
    <w:rsid w:val="6ABD5EF6"/>
    <w:rsid w:val="6AC767FE"/>
    <w:rsid w:val="6AEC1C54"/>
    <w:rsid w:val="6AF14B93"/>
    <w:rsid w:val="6AF6502A"/>
    <w:rsid w:val="6B0C00BF"/>
    <w:rsid w:val="6B115039"/>
    <w:rsid w:val="6B2A7B30"/>
    <w:rsid w:val="6B2C4459"/>
    <w:rsid w:val="6B3C1E74"/>
    <w:rsid w:val="6B433DC4"/>
    <w:rsid w:val="6B5477F9"/>
    <w:rsid w:val="6B5F6F8D"/>
    <w:rsid w:val="6B7B1264"/>
    <w:rsid w:val="6B95409A"/>
    <w:rsid w:val="6B965F3B"/>
    <w:rsid w:val="6BB107A8"/>
    <w:rsid w:val="6BE1621C"/>
    <w:rsid w:val="6C090568"/>
    <w:rsid w:val="6C0E769F"/>
    <w:rsid w:val="6C276CBC"/>
    <w:rsid w:val="6C331652"/>
    <w:rsid w:val="6C353680"/>
    <w:rsid w:val="6C513046"/>
    <w:rsid w:val="6C762A1B"/>
    <w:rsid w:val="6CA410BF"/>
    <w:rsid w:val="6CC16737"/>
    <w:rsid w:val="6CC60283"/>
    <w:rsid w:val="6CC80551"/>
    <w:rsid w:val="6CD06CF5"/>
    <w:rsid w:val="6CD93B8F"/>
    <w:rsid w:val="6CD94E77"/>
    <w:rsid w:val="6CEB38CB"/>
    <w:rsid w:val="6CFE5C6F"/>
    <w:rsid w:val="6D0F4491"/>
    <w:rsid w:val="6D2D6B9A"/>
    <w:rsid w:val="6D406DDC"/>
    <w:rsid w:val="6D4E1A12"/>
    <w:rsid w:val="6D553A47"/>
    <w:rsid w:val="6D711757"/>
    <w:rsid w:val="6D863F4D"/>
    <w:rsid w:val="6DCE21C6"/>
    <w:rsid w:val="6DD644F6"/>
    <w:rsid w:val="6DE14677"/>
    <w:rsid w:val="6DEE5CE3"/>
    <w:rsid w:val="6DF62984"/>
    <w:rsid w:val="6E247393"/>
    <w:rsid w:val="6E3D7316"/>
    <w:rsid w:val="6E4044A3"/>
    <w:rsid w:val="6E92214A"/>
    <w:rsid w:val="6E9543B1"/>
    <w:rsid w:val="6EBA17B6"/>
    <w:rsid w:val="6ECD2434"/>
    <w:rsid w:val="6EDA2411"/>
    <w:rsid w:val="6EE449F0"/>
    <w:rsid w:val="6F2474E3"/>
    <w:rsid w:val="6F285719"/>
    <w:rsid w:val="6F433ACB"/>
    <w:rsid w:val="6F460775"/>
    <w:rsid w:val="6F490CF7"/>
    <w:rsid w:val="6F5E6C1A"/>
    <w:rsid w:val="6F6B7A8B"/>
    <w:rsid w:val="6F771D08"/>
    <w:rsid w:val="6F806E0F"/>
    <w:rsid w:val="6F8107C5"/>
    <w:rsid w:val="6F8D5088"/>
    <w:rsid w:val="6F912DCA"/>
    <w:rsid w:val="6FBD57C0"/>
    <w:rsid w:val="6FC94F1D"/>
    <w:rsid w:val="6FDD5985"/>
    <w:rsid w:val="6FF330B2"/>
    <w:rsid w:val="700C06A3"/>
    <w:rsid w:val="701243A7"/>
    <w:rsid w:val="70266210"/>
    <w:rsid w:val="70297222"/>
    <w:rsid w:val="70374495"/>
    <w:rsid w:val="703E777B"/>
    <w:rsid w:val="70514A97"/>
    <w:rsid w:val="70574259"/>
    <w:rsid w:val="706038BC"/>
    <w:rsid w:val="706C1141"/>
    <w:rsid w:val="708334FC"/>
    <w:rsid w:val="708C3591"/>
    <w:rsid w:val="70AE3508"/>
    <w:rsid w:val="70BC1748"/>
    <w:rsid w:val="70C40F7D"/>
    <w:rsid w:val="70C9254F"/>
    <w:rsid w:val="70D80585"/>
    <w:rsid w:val="70E00ABA"/>
    <w:rsid w:val="70E05B9C"/>
    <w:rsid w:val="70E616D1"/>
    <w:rsid w:val="70F30FF4"/>
    <w:rsid w:val="710F6798"/>
    <w:rsid w:val="711710AD"/>
    <w:rsid w:val="711C00E8"/>
    <w:rsid w:val="71240154"/>
    <w:rsid w:val="7148551C"/>
    <w:rsid w:val="71506626"/>
    <w:rsid w:val="717074F2"/>
    <w:rsid w:val="71714A08"/>
    <w:rsid w:val="717402AD"/>
    <w:rsid w:val="71961A8C"/>
    <w:rsid w:val="71C34D91"/>
    <w:rsid w:val="71CA4371"/>
    <w:rsid w:val="71D77EB2"/>
    <w:rsid w:val="71DD71DE"/>
    <w:rsid w:val="71E67BAB"/>
    <w:rsid w:val="71F11F26"/>
    <w:rsid w:val="721612A6"/>
    <w:rsid w:val="72232FCF"/>
    <w:rsid w:val="722717C4"/>
    <w:rsid w:val="7234691D"/>
    <w:rsid w:val="723632A5"/>
    <w:rsid w:val="7238752D"/>
    <w:rsid w:val="72415497"/>
    <w:rsid w:val="72423746"/>
    <w:rsid w:val="72451C4A"/>
    <w:rsid w:val="72596982"/>
    <w:rsid w:val="726063F0"/>
    <w:rsid w:val="72671BC0"/>
    <w:rsid w:val="72721576"/>
    <w:rsid w:val="72760A2F"/>
    <w:rsid w:val="7280736A"/>
    <w:rsid w:val="72833A8E"/>
    <w:rsid w:val="729E7174"/>
    <w:rsid w:val="72A17051"/>
    <w:rsid w:val="72BC0C11"/>
    <w:rsid w:val="72D336FA"/>
    <w:rsid w:val="72F555C4"/>
    <w:rsid w:val="72FB711B"/>
    <w:rsid w:val="73237371"/>
    <w:rsid w:val="733B20A7"/>
    <w:rsid w:val="734D486C"/>
    <w:rsid w:val="737A3B75"/>
    <w:rsid w:val="73A67D1F"/>
    <w:rsid w:val="73AE7BFB"/>
    <w:rsid w:val="73AF1A71"/>
    <w:rsid w:val="73B63F42"/>
    <w:rsid w:val="73B70925"/>
    <w:rsid w:val="73B9797B"/>
    <w:rsid w:val="73BB6668"/>
    <w:rsid w:val="73CD0149"/>
    <w:rsid w:val="73E57E18"/>
    <w:rsid w:val="7400051E"/>
    <w:rsid w:val="741006BB"/>
    <w:rsid w:val="74121311"/>
    <w:rsid w:val="741C5A66"/>
    <w:rsid w:val="742A10F7"/>
    <w:rsid w:val="74335F8F"/>
    <w:rsid w:val="74372E8E"/>
    <w:rsid w:val="74770B02"/>
    <w:rsid w:val="74831CF5"/>
    <w:rsid w:val="748739E7"/>
    <w:rsid w:val="7487654A"/>
    <w:rsid w:val="74983300"/>
    <w:rsid w:val="74AB2C68"/>
    <w:rsid w:val="74AE7F7A"/>
    <w:rsid w:val="74B60001"/>
    <w:rsid w:val="74C24EF2"/>
    <w:rsid w:val="74CF39E7"/>
    <w:rsid w:val="7505018D"/>
    <w:rsid w:val="750523CD"/>
    <w:rsid w:val="75097E5E"/>
    <w:rsid w:val="751B43A3"/>
    <w:rsid w:val="752446FF"/>
    <w:rsid w:val="75686FA4"/>
    <w:rsid w:val="75735A9C"/>
    <w:rsid w:val="75874327"/>
    <w:rsid w:val="759C1DC1"/>
    <w:rsid w:val="75BA4810"/>
    <w:rsid w:val="75CA2B92"/>
    <w:rsid w:val="76065B94"/>
    <w:rsid w:val="761935DF"/>
    <w:rsid w:val="762075D5"/>
    <w:rsid w:val="76225F59"/>
    <w:rsid w:val="76517241"/>
    <w:rsid w:val="766B7435"/>
    <w:rsid w:val="768B0737"/>
    <w:rsid w:val="76910CDB"/>
    <w:rsid w:val="7697080C"/>
    <w:rsid w:val="76A27911"/>
    <w:rsid w:val="76A67CD9"/>
    <w:rsid w:val="76BC0FA7"/>
    <w:rsid w:val="76C577FD"/>
    <w:rsid w:val="76DA5057"/>
    <w:rsid w:val="76E15FC4"/>
    <w:rsid w:val="76E97048"/>
    <w:rsid w:val="76F8598E"/>
    <w:rsid w:val="77154C42"/>
    <w:rsid w:val="7715698E"/>
    <w:rsid w:val="77366005"/>
    <w:rsid w:val="773C1FA3"/>
    <w:rsid w:val="775E78FF"/>
    <w:rsid w:val="77784870"/>
    <w:rsid w:val="77866F8C"/>
    <w:rsid w:val="77934417"/>
    <w:rsid w:val="77A101F9"/>
    <w:rsid w:val="77B04009"/>
    <w:rsid w:val="77CB2BF1"/>
    <w:rsid w:val="77D53A70"/>
    <w:rsid w:val="77DC095A"/>
    <w:rsid w:val="77E51F05"/>
    <w:rsid w:val="77E65C7D"/>
    <w:rsid w:val="77ED29CE"/>
    <w:rsid w:val="77EF4B32"/>
    <w:rsid w:val="780441C0"/>
    <w:rsid w:val="782D565A"/>
    <w:rsid w:val="784120E7"/>
    <w:rsid w:val="78676109"/>
    <w:rsid w:val="787E2BE1"/>
    <w:rsid w:val="78901845"/>
    <w:rsid w:val="78BF11AA"/>
    <w:rsid w:val="78CA0E75"/>
    <w:rsid w:val="78CB121D"/>
    <w:rsid w:val="78D12921"/>
    <w:rsid w:val="78FB2975"/>
    <w:rsid w:val="79012B92"/>
    <w:rsid w:val="794B66EC"/>
    <w:rsid w:val="795D3D1D"/>
    <w:rsid w:val="797036C3"/>
    <w:rsid w:val="797B5D21"/>
    <w:rsid w:val="797D43BF"/>
    <w:rsid w:val="79815C5D"/>
    <w:rsid w:val="79907C4E"/>
    <w:rsid w:val="799F22D1"/>
    <w:rsid w:val="79A951B4"/>
    <w:rsid w:val="79AF25C9"/>
    <w:rsid w:val="79C671E6"/>
    <w:rsid w:val="79E15B86"/>
    <w:rsid w:val="79E67CE6"/>
    <w:rsid w:val="79F71A7C"/>
    <w:rsid w:val="79F74687"/>
    <w:rsid w:val="79FC1788"/>
    <w:rsid w:val="7A0B19CB"/>
    <w:rsid w:val="7A1A43F9"/>
    <w:rsid w:val="7A293BFF"/>
    <w:rsid w:val="7A38698C"/>
    <w:rsid w:val="7A54030D"/>
    <w:rsid w:val="7A6A3821"/>
    <w:rsid w:val="7A6E4846"/>
    <w:rsid w:val="7A9159B6"/>
    <w:rsid w:val="7AD14365"/>
    <w:rsid w:val="7AE2097E"/>
    <w:rsid w:val="7AED4D37"/>
    <w:rsid w:val="7AF805DA"/>
    <w:rsid w:val="7B0D52CF"/>
    <w:rsid w:val="7B1A15A8"/>
    <w:rsid w:val="7B2301D1"/>
    <w:rsid w:val="7B276391"/>
    <w:rsid w:val="7B32701B"/>
    <w:rsid w:val="7B431A7C"/>
    <w:rsid w:val="7B486E2C"/>
    <w:rsid w:val="7B8513BE"/>
    <w:rsid w:val="7BBB4D2B"/>
    <w:rsid w:val="7BC2255D"/>
    <w:rsid w:val="7BF428EE"/>
    <w:rsid w:val="7C08714A"/>
    <w:rsid w:val="7C09018C"/>
    <w:rsid w:val="7C156CD4"/>
    <w:rsid w:val="7C156D89"/>
    <w:rsid w:val="7C183F2B"/>
    <w:rsid w:val="7C22387A"/>
    <w:rsid w:val="7C233491"/>
    <w:rsid w:val="7C324FED"/>
    <w:rsid w:val="7C352D2F"/>
    <w:rsid w:val="7C531582"/>
    <w:rsid w:val="7C716B68"/>
    <w:rsid w:val="7C7542F8"/>
    <w:rsid w:val="7C7750F6"/>
    <w:rsid w:val="7C9932BE"/>
    <w:rsid w:val="7CA859EA"/>
    <w:rsid w:val="7CAD0B17"/>
    <w:rsid w:val="7CAD4FBB"/>
    <w:rsid w:val="7CC73F9C"/>
    <w:rsid w:val="7CD345A5"/>
    <w:rsid w:val="7CD51E1C"/>
    <w:rsid w:val="7CD771B4"/>
    <w:rsid w:val="7CDA010F"/>
    <w:rsid w:val="7D00008C"/>
    <w:rsid w:val="7D496A92"/>
    <w:rsid w:val="7D511DEB"/>
    <w:rsid w:val="7D6F401F"/>
    <w:rsid w:val="7DBF6D54"/>
    <w:rsid w:val="7DD441E3"/>
    <w:rsid w:val="7DDA320F"/>
    <w:rsid w:val="7DDB0DAD"/>
    <w:rsid w:val="7DF64016"/>
    <w:rsid w:val="7DFA7AE0"/>
    <w:rsid w:val="7DFB731E"/>
    <w:rsid w:val="7E1F2F63"/>
    <w:rsid w:val="7E234E28"/>
    <w:rsid w:val="7E3C65F7"/>
    <w:rsid w:val="7E4309FA"/>
    <w:rsid w:val="7E551467"/>
    <w:rsid w:val="7E6E740A"/>
    <w:rsid w:val="7E7F20B5"/>
    <w:rsid w:val="7E81728C"/>
    <w:rsid w:val="7E88416C"/>
    <w:rsid w:val="7E8F646B"/>
    <w:rsid w:val="7E9006F1"/>
    <w:rsid w:val="7EA14610"/>
    <w:rsid w:val="7EB30AC7"/>
    <w:rsid w:val="7EC11FCF"/>
    <w:rsid w:val="7EEF59ED"/>
    <w:rsid w:val="7EFA7E5B"/>
    <w:rsid w:val="7EFE5F86"/>
    <w:rsid w:val="7F123AB1"/>
    <w:rsid w:val="7F124C8D"/>
    <w:rsid w:val="7F280B46"/>
    <w:rsid w:val="7F8644D9"/>
    <w:rsid w:val="7F877044"/>
    <w:rsid w:val="7F8F2756"/>
    <w:rsid w:val="7F9D30C5"/>
    <w:rsid w:val="7FB421BD"/>
    <w:rsid w:val="7FC66CD0"/>
    <w:rsid w:val="7FEE7E86"/>
    <w:rsid w:val="7FF10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iPriority="99"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65"/>
    <w:qFormat/>
    <w:uiPriority w:val="0"/>
    <w:pPr>
      <w:keepNext/>
      <w:tabs>
        <w:tab w:val="left" w:pos="432"/>
      </w:tabs>
      <w:ind w:left="432" w:hanging="432"/>
      <w:jc w:val="center"/>
      <w:outlineLvl w:val="0"/>
    </w:pPr>
    <w:rPr>
      <w:rFonts w:ascii="黑体" w:eastAsia="黑体"/>
      <w:sz w:val="52"/>
    </w:rPr>
  </w:style>
  <w:style w:type="paragraph" w:styleId="3">
    <w:name w:val="heading 2"/>
    <w:basedOn w:val="1"/>
    <w:next w:val="1"/>
    <w:link w:val="6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5"/>
    <w:link w:val="67"/>
    <w:qFormat/>
    <w:uiPriority w:val="0"/>
    <w:pPr>
      <w:keepNext/>
      <w:keepLines/>
      <w:numPr>
        <w:ilvl w:val="2"/>
        <w:numId w:val="1"/>
      </w:numPr>
      <w:tabs>
        <w:tab w:val="left" w:pos="5394"/>
      </w:tabs>
      <w:spacing w:before="120" w:after="120" w:line="360" w:lineRule="auto"/>
      <w:jc w:val="center"/>
      <w:outlineLvl w:val="2"/>
    </w:pPr>
    <w:rPr>
      <w:b/>
      <w:sz w:val="32"/>
    </w:rPr>
  </w:style>
  <w:style w:type="paragraph" w:styleId="6">
    <w:name w:val="heading 4"/>
    <w:basedOn w:val="1"/>
    <w:next w:val="1"/>
    <w:link w:val="69"/>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link w:val="70"/>
    <w:qFormat/>
    <w:uiPriority w:val="0"/>
    <w:pPr>
      <w:keepNext/>
      <w:keepLines/>
      <w:spacing w:before="280" w:after="290" w:line="372" w:lineRule="auto"/>
      <w:outlineLvl w:val="4"/>
    </w:pPr>
    <w:rPr>
      <w:b/>
      <w:sz w:val="28"/>
    </w:rPr>
  </w:style>
  <w:style w:type="paragraph" w:styleId="8">
    <w:name w:val="heading 6"/>
    <w:basedOn w:val="1"/>
    <w:next w:val="1"/>
    <w:link w:val="71"/>
    <w:qFormat/>
    <w:uiPriority w:val="0"/>
    <w:pPr>
      <w:keepNext/>
      <w:keepLines/>
      <w:tabs>
        <w:tab w:val="left" w:pos="1440"/>
      </w:tabs>
      <w:spacing w:before="240" w:after="64" w:line="317" w:lineRule="auto"/>
      <w:ind w:left="1152" w:hanging="1152"/>
      <w:outlineLvl w:val="5"/>
    </w:pPr>
    <w:rPr>
      <w:rFonts w:ascii="Arial" w:hAnsi="Arial" w:eastAsia="黑体"/>
      <w:b/>
      <w:sz w:val="24"/>
    </w:rPr>
  </w:style>
  <w:style w:type="paragraph" w:styleId="9">
    <w:name w:val="heading 7"/>
    <w:basedOn w:val="1"/>
    <w:next w:val="1"/>
    <w:link w:val="72"/>
    <w:qFormat/>
    <w:uiPriority w:val="0"/>
    <w:pPr>
      <w:keepNext/>
      <w:keepLines/>
      <w:tabs>
        <w:tab w:val="left" w:pos="2520"/>
      </w:tabs>
      <w:spacing w:before="240" w:after="64" w:line="317" w:lineRule="auto"/>
      <w:ind w:left="1296" w:hanging="1296"/>
      <w:outlineLvl w:val="6"/>
    </w:pPr>
    <w:rPr>
      <w:b/>
      <w:sz w:val="24"/>
    </w:rPr>
  </w:style>
  <w:style w:type="paragraph" w:styleId="10">
    <w:name w:val="heading 8"/>
    <w:basedOn w:val="1"/>
    <w:next w:val="1"/>
    <w:link w:val="73"/>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1">
    <w:name w:val="heading 9"/>
    <w:basedOn w:val="1"/>
    <w:next w:val="1"/>
    <w:link w:val="74"/>
    <w:qFormat/>
    <w:uiPriority w:val="0"/>
    <w:pPr>
      <w:keepNext/>
      <w:keepLines/>
      <w:tabs>
        <w:tab w:val="left" w:pos="1584"/>
      </w:tabs>
      <w:spacing w:before="240" w:after="64" w:line="317" w:lineRule="auto"/>
      <w:ind w:left="1584" w:hanging="1584"/>
      <w:outlineLvl w:val="8"/>
    </w:pPr>
    <w:rPr>
      <w:rFonts w:ascii="Arial" w:hAnsi="Arial" w:eastAsia="黑体"/>
      <w:sz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8"/>
    <w:qFormat/>
    <w:uiPriority w:val="0"/>
    <w:pPr>
      <w:ind w:firstLine="420"/>
    </w:pPr>
  </w:style>
  <w:style w:type="paragraph" w:styleId="12">
    <w:name w:val="toc 7"/>
    <w:basedOn w:val="1"/>
    <w:next w:val="1"/>
    <w:qFormat/>
    <w:uiPriority w:val="39"/>
    <w:pPr>
      <w:widowControl w:val="0"/>
      <w:ind w:left="2520" w:leftChars="1200"/>
      <w:jc w:val="both"/>
    </w:pPr>
    <w:rPr>
      <w:rFonts w:ascii="Calibri" w:hAnsi="Calibri"/>
      <w:kern w:val="2"/>
      <w:sz w:val="21"/>
      <w:szCs w:val="22"/>
    </w:rPr>
  </w:style>
  <w:style w:type="paragraph" w:styleId="13">
    <w:name w:val="table of authorities"/>
    <w:basedOn w:val="1"/>
    <w:next w:val="1"/>
    <w:qFormat/>
    <w:uiPriority w:val="0"/>
    <w:pPr>
      <w:widowControl w:val="0"/>
      <w:ind w:left="420" w:leftChars="200"/>
      <w:jc w:val="both"/>
    </w:pPr>
    <w:rPr>
      <w:kern w:val="2"/>
      <w:sz w:val="21"/>
      <w:szCs w:val="21"/>
    </w:rPr>
  </w:style>
  <w:style w:type="paragraph" w:styleId="14">
    <w:name w:val="caption"/>
    <w:basedOn w:val="1"/>
    <w:next w:val="1"/>
    <w:qFormat/>
    <w:uiPriority w:val="0"/>
    <w:pPr>
      <w:widowControl w:val="0"/>
      <w:jc w:val="both"/>
    </w:pPr>
    <w:rPr>
      <w:rFonts w:ascii="Cambria" w:hAnsi="Cambria" w:eastAsia="黑体"/>
      <w:kern w:val="2"/>
    </w:rPr>
  </w:style>
  <w:style w:type="paragraph" w:styleId="15">
    <w:name w:val="List Bullet"/>
    <w:basedOn w:val="1"/>
    <w:qFormat/>
    <w:uiPriority w:val="0"/>
    <w:pPr>
      <w:widowControl w:val="0"/>
      <w:tabs>
        <w:tab w:val="left" w:pos="360"/>
      </w:tabs>
      <w:ind w:left="360" w:hanging="360"/>
      <w:jc w:val="both"/>
    </w:pPr>
    <w:rPr>
      <w:kern w:val="2"/>
      <w:sz w:val="21"/>
    </w:rPr>
  </w:style>
  <w:style w:type="paragraph" w:styleId="16">
    <w:name w:val="Document Map"/>
    <w:basedOn w:val="1"/>
    <w:link w:val="75"/>
    <w:qFormat/>
    <w:uiPriority w:val="99"/>
    <w:pPr>
      <w:shd w:val="clear" w:color="auto" w:fill="000080"/>
    </w:pPr>
  </w:style>
  <w:style w:type="paragraph" w:styleId="17">
    <w:name w:val="toa heading"/>
    <w:basedOn w:val="1"/>
    <w:next w:val="1"/>
    <w:qFormat/>
    <w:uiPriority w:val="0"/>
    <w:pPr>
      <w:widowControl w:val="0"/>
      <w:spacing w:before="120"/>
      <w:jc w:val="both"/>
    </w:pPr>
    <w:rPr>
      <w:rFonts w:ascii="Arial" w:hAnsi="Arial" w:cs="Arial"/>
      <w:kern w:val="2"/>
      <w:sz w:val="24"/>
      <w:szCs w:val="24"/>
    </w:rPr>
  </w:style>
  <w:style w:type="paragraph" w:styleId="18">
    <w:name w:val="annotation text"/>
    <w:basedOn w:val="1"/>
    <w:link w:val="76"/>
    <w:qFormat/>
    <w:uiPriority w:val="0"/>
    <w:pPr>
      <w:widowControl w:val="0"/>
      <w:adjustRightInd w:val="0"/>
      <w:spacing w:line="360" w:lineRule="atLeast"/>
      <w:textAlignment w:val="baseline"/>
    </w:pPr>
    <w:rPr>
      <w:sz w:val="24"/>
    </w:rPr>
  </w:style>
  <w:style w:type="paragraph" w:styleId="19">
    <w:name w:val="Salutation"/>
    <w:basedOn w:val="1"/>
    <w:next w:val="1"/>
    <w:link w:val="77"/>
    <w:unhideWhenUsed/>
    <w:qFormat/>
    <w:uiPriority w:val="99"/>
    <w:rPr>
      <w:sz w:val="28"/>
    </w:rPr>
  </w:style>
  <w:style w:type="paragraph" w:styleId="20">
    <w:name w:val="Body Text 3"/>
    <w:basedOn w:val="1"/>
    <w:link w:val="197"/>
    <w:unhideWhenUsed/>
    <w:qFormat/>
    <w:uiPriority w:val="99"/>
    <w:rPr>
      <w:rFonts w:ascii="宋体"/>
      <w:sz w:val="24"/>
      <w:szCs w:val="24"/>
    </w:rPr>
  </w:style>
  <w:style w:type="paragraph" w:styleId="21">
    <w:name w:val="Body Text"/>
    <w:basedOn w:val="1"/>
    <w:next w:val="1"/>
    <w:link w:val="78"/>
    <w:qFormat/>
    <w:uiPriority w:val="0"/>
    <w:pPr>
      <w:spacing w:after="120"/>
    </w:pPr>
  </w:style>
  <w:style w:type="paragraph" w:styleId="22">
    <w:name w:val="Body Text Indent"/>
    <w:basedOn w:val="1"/>
    <w:link w:val="79"/>
    <w:qFormat/>
    <w:uiPriority w:val="0"/>
    <w:pPr>
      <w:spacing w:after="120"/>
      <w:ind w:left="420"/>
    </w:pPr>
  </w:style>
  <w:style w:type="paragraph" w:styleId="23">
    <w:name w:val="Block Text"/>
    <w:basedOn w:val="1"/>
    <w:qFormat/>
    <w:uiPriority w:val="0"/>
    <w:pPr>
      <w:spacing w:after="120"/>
      <w:ind w:left="1440" w:right="1440"/>
    </w:pPr>
  </w:style>
  <w:style w:type="paragraph" w:styleId="24">
    <w:name w:val="index 4"/>
    <w:basedOn w:val="1"/>
    <w:next w:val="1"/>
    <w:qFormat/>
    <w:uiPriority w:val="0"/>
    <w:pPr>
      <w:widowControl w:val="0"/>
      <w:ind w:left="600" w:leftChars="600"/>
      <w:jc w:val="both"/>
    </w:pPr>
    <w:rPr>
      <w:kern w:val="2"/>
      <w:sz w:val="21"/>
      <w:szCs w:val="24"/>
    </w:rPr>
  </w:style>
  <w:style w:type="paragraph" w:styleId="25">
    <w:name w:val="toc 5"/>
    <w:basedOn w:val="1"/>
    <w:next w:val="1"/>
    <w:qFormat/>
    <w:uiPriority w:val="39"/>
    <w:pPr>
      <w:widowControl w:val="0"/>
      <w:tabs>
        <w:tab w:val="right" w:leader="dot" w:pos="8296"/>
      </w:tabs>
      <w:ind w:left="1050" w:leftChars="500"/>
      <w:jc w:val="both"/>
    </w:pPr>
    <w:rPr>
      <w:rFonts w:ascii="Calibri" w:hAnsi="Calibri"/>
      <w:kern w:val="2"/>
      <w:sz w:val="21"/>
      <w:szCs w:val="22"/>
    </w:rPr>
  </w:style>
  <w:style w:type="paragraph" w:styleId="26">
    <w:name w:val="toc 3"/>
    <w:basedOn w:val="1"/>
    <w:next w:val="1"/>
    <w:qFormat/>
    <w:uiPriority w:val="39"/>
    <w:pPr>
      <w:ind w:left="840"/>
    </w:pPr>
    <w:rPr>
      <w:sz w:val="21"/>
    </w:rPr>
  </w:style>
  <w:style w:type="paragraph" w:styleId="27">
    <w:name w:val="Plain Text"/>
    <w:basedOn w:val="1"/>
    <w:link w:val="80"/>
    <w:qFormat/>
    <w:uiPriority w:val="0"/>
    <w:pPr>
      <w:widowControl w:val="0"/>
      <w:jc w:val="both"/>
    </w:pPr>
    <w:rPr>
      <w:rFonts w:ascii="宋体" w:hAnsi="Courier New"/>
      <w:kern w:val="2"/>
      <w:sz w:val="21"/>
      <w:szCs w:val="21"/>
    </w:rPr>
  </w:style>
  <w:style w:type="paragraph" w:styleId="28">
    <w:name w:val="toc 8"/>
    <w:basedOn w:val="1"/>
    <w:next w:val="1"/>
    <w:qFormat/>
    <w:uiPriority w:val="39"/>
    <w:pPr>
      <w:widowControl w:val="0"/>
      <w:ind w:left="2940" w:leftChars="1400"/>
      <w:jc w:val="both"/>
    </w:pPr>
    <w:rPr>
      <w:rFonts w:ascii="Calibri" w:hAnsi="Calibri"/>
      <w:kern w:val="2"/>
      <w:sz w:val="21"/>
      <w:szCs w:val="22"/>
    </w:rPr>
  </w:style>
  <w:style w:type="paragraph" w:styleId="29">
    <w:name w:val="Date"/>
    <w:basedOn w:val="1"/>
    <w:next w:val="1"/>
    <w:link w:val="81"/>
    <w:qFormat/>
    <w:uiPriority w:val="99"/>
    <w:pPr>
      <w:widowControl w:val="0"/>
      <w:jc w:val="both"/>
    </w:pPr>
    <w:rPr>
      <w:kern w:val="2"/>
      <w:sz w:val="24"/>
    </w:rPr>
  </w:style>
  <w:style w:type="paragraph" w:styleId="30">
    <w:name w:val="Body Text Indent 2"/>
    <w:basedOn w:val="1"/>
    <w:link w:val="82"/>
    <w:qFormat/>
    <w:uiPriority w:val="0"/>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31">
    <w:name w:val="Balloon Text"/>
    <w:basedOn w:val="1"/>
    <w:link w:val="83"/>
    <w:qFormat/>
    <w:uiPriority w:val="99"/>
    <w:rPr>
      <w:sz w:val="18"/>
    </w:rPr>
  </w:style>
  <w:style w:type="paragraph" w:styleId="32">
    <w:name w:val="footer"/>
    <w:basedOn w:val="1"/>
    <w:link w:val="84"/>
    <w:qFormat/>
    <w:uiPriority w:val="99"/>
    <w:pPr>
      <w:tabs>
        <w:tab w:val="center" w:pos="4153"/>
        <w:tab w:val="right" w:pos="8306"/>
      </w:tabs>
      <w:snapToGrid w:val="0"/>
    </w:pPr>
    <w:rPr>
      <w:sz w:val="18"/>
    </w:rPr>
  </w:style>
  <w:style w:type="paragraph" w:styleId="33">
    <w:name w:val="header"/>
    <w:basedOn w:val="1"/>
    <w:link w:val="85"/>
    <w:qFormat/>
    <w:uiPriority w:val="0"/>
    <w:pPr>
      <w:pBdr>
        <w:bottom w:val="single" w:color="auto" w:sz="6" w:space="1"/>
      </w:pBdr>
      <w:tabs>
        <w:tab w:val="center" w:pos="4153"/>
        <w:tab w:val="right" w:pos="8306"/>
      </w:tabs>
      <w:snapToGrid w:val="0"/>
      <w:jc w:val="center"/>
    </w:pPr>
    <w:rPr>
      <w:sz w:val="18"/>
    </w:rPr>
  </w:style>
  <w:style w:type="paragraph" w:styleId="34">
    <w:name w:val="toc 1"/>
    <w:basedOn w:val="1"/>
    <w:next w:val="1"/>
    <w:qFormat/>
    <w:uiPriority w:val="39"/>
    <w:rPr>
      <w:b/>
      <w:sz w:val="28"/>
    </w:rPr>
  </w:style>
  <w:style w:type="paragraph" w:styleId="35">
    <w:name w:val="toc 4"/>
    <w:basedOn w:val="1"/>
    <w:next w:val="1"/>
    <w:qFormat/>
    <w:uiPriority w:val="39"/>
    <w:pPr>
      <w:ind w:left="600"/>
    </w:pPr>
  </w:style>
  <w:style w:type="paragraph" w:styleId="36">
    <w:name w:val="Subtitle"/>
    <w:basedOn w:val="1"/>
    <w:next w:val="1"/>
    <w:link w:val="86"/>
    <w:qFormat/>
    <w:uiPriority w:val="11"/>
    <w:pPr>
      <w:widowControl w:val="0"/>
      <w:spacing w:before="240" w:after="60" w:line="312" w:lineRule="auto"/>
      <w:jc w:val="center"/>
      <w:outlineLvl w:val="1"/>
    </w:pPr>
    <w:rPr>
      <w:rFonts w:ascii="Cambria" w:hAnsi="Cambria"/>
      <w:b/>
      <w:bCs/>
      <w:kern w:val="28"/>
      <w:sz w:val="32"/>
      <w:szCs w:val="32"/>
    </w:rPr>
  </w:style>
  <w:style w:type="paragraph" w:styleId="37">
    <w:name w:val="List"/>
    <w:basedOn w:val="1"/>
    <w:qFormat/>
    <w:uiPriority w:val="0"/>
    <w:pPr>
      <w:widowControl w:val="0"/>
      <w:tabs>
        <w:tab w:val="left" w:pos="425"/>
      </w:tabs>
      <w:autoSpaceDE w:val="0"/>
      <w:autoSpaceDN w:val="0"/>
      <w:adjustRightInd w:val="0"/>
      <w:spacing w:line="360" w:lineRule="auto"/>
      <w:ind w:left="425" w:hanging="425"/>
      <w:jc w:val="both"/>
      <w:textAlignment w:val="baseline"/>
    </w:pPr>
    <w:rPr>
      <w:color w:val="000000"/>
      <w:kern w:val="44"/>
      <w:sz w:val="28"/>
    </w:rPr>
  </w:style>
  <w:style w:type="paragraph" w:styleId="38">
    <w:name w:val="footnote text"/>
    <w:basedOn w:val="1"/>
    <w:link w:val="198"/>
    <w:qFormat/>
    <w:uiPriority w:val="0"/>
    <w:pPr>
      <w:adjustRightInd w:val="0"/>
      <w:spacing w:line="312" w:lineRule="atLeast"/>
      <w:textAlignment w:val="baseline"/>
    </w:pPr>
    <w:rPr>
      <w:sz w:val="18"/>
    </w:rPr>
  </w:style>
  <w:style w:type="paragraph" w:styleId="39">
    <w:name w:val="toc 6"/>
    <w:basedOn w:val="1"/>
    <w:next w:val="1"/>
    <w:qFormat/>
    <w:uiPriority w:val="39"/>
    <w:pPr>
      <w:widowControl w:val="0"/>
      <w:ind w:left="2100" w:leftChars="1000"/>
      <w:jc w:val="both"/>
    </w:pPr>
    <w:rPr>
      <w:rFonts w:ascii="Calibri" w:hAnsi="Calibri"/>
      <w:kern w:val="2"/>
      <w:sz w:val="21"/>
      <w:szCs w:val="22"/>
    </w:rPr>
  </w:style>
  <w:style w:type="paragraph" w:styleId="40">
    <w:name w:val="Body Text Indent 3"/>
    <w:basedOn w:val="1"/>
    <w:link w:val="87"/>
    <w:qFormat/>
    <w:uiPriority w:val="0"/>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41">
    <w:name w:val="toc 2"/>
    <w:basedOn w:val="1"/>
    <w:next w:val="1"/>
    <w:qFormat/>
    <w:uiPriority w:val="39"/>
    <w:pPr>
      <w:ind w:left="420"/>
    </w:pPr>
    <w:rPr>
      <w:sz w:val="24"/>
    </w:rPr>
  </w:style>
  <w:style w:type="paragraph" w:styleId="42">
    <w:name w:val="toc 9"/>
    <w:basedOn w:val="1"/>
    <w:next w:val="1"/>
    <w:qFormat/>
    <w:uiPriority w:val="39"/>
    <w:pPr>
      <w:widowControl w:val="0"/>
      <w:ind w:left="3360" w:leftChars="1600"/>
      <w:jc w:val="both"/>
    </w:pPr>
    <w:rPr>
      <w:rFonts w:ascii="Calibri" w:hAnsi="Calibri"/>
      <w:kern w:val="2"/>
      <w:sz w:val="21"/>
      <w:szCs w:val="22"/>
    </w:rPr>
  </w:style>
  <w:style w:type="paragraph" w:styleId="43">
    <w:name w:val="Body Text 2"/>
    <w:basedOn w:val="1"/>
    <w:link w:val="88"/>
    <w:qFormat/>
    <w:uiPriority w:val="0"/>
    <w:pPr>
      <w:spacing w:after="120" w:line="480" w:lineRule="auto"/>
    </w:pPr>
  </w:style>
  <w:style w:type="paragraph" w:styleId="44">
    <w:name w:val="HTML Preformatted"/>
    <w:basedOn w:val="1"/>
    <w:link w:val="19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szCs w:val="24"/>
    </w:rPr>
  </w:style>
  <w:style w:type="paragraph" w:styleId="45">
    <w:name w:val="Normal (Web)"/>
    <w:basedOn w:val="1"/>
    <w:unhideWhenUsed/>
    <w:qFormat/>
    <w:uiPriority w:val="99"/>
    <w:pPr>
      <w:spacing w:before="100" w:beforeAutospacing="1" w:after="100" w:afterAutospacing="1"/>
    </w:pPr>
    <w:rPr>
      <w:rFonts w:ascii="宋体" w:hAnsi="宋体" w:cs="宋体"/>
      <w:sz w:val="24"/>
      <w:szCs w:val="24"/>
    </w:rPr>
  </w:style>
  <w:style w:type="paragraph" w:styleId="46">
    <w:name w:val="Title"/>
    <w:basedOn w:val="1"/>
    <w:next w:val="1"/>
    <w:link w:val="89"/>
    <w:qFormat/>
    <w:uiPriority w:val="10"/>
    <w:pPr>
      <w:spacing w:before="240" w:after="60"/>
      <w:jc w:val="center"/>
      <w:outlineLvl w:val="0"/>
    </w:pPr>
    <w:rPr>
      <w:rFonts w:ascii="Cambria" w:hAnsi="Cambria"/>
      <w:b/>
      <w:bCs/>
      <w:sz w:val="32"/>
      <w:szCs w:val="32"/>
    </w:rPr>
  </w:style>
  <w:style w:type="paragraph" w:styleId="47">
    <w:name w:val="annotation subject"/>
    <w:basedOn w:val="18"/>
    <w:next w:val="18"/>
    <w:link w:val="90"/>
    <w:qFormat/>
    <w:uiPriority w:val="99"/>
    <w:pPr>
      <w:widowControl/>
      <w:adjustRightInd/>
      <w:spacing w:line="240" w:lineRule="auto"/>
      <w:textAlignment w:val="auto"/>
    </w:pPr>
    <w:rPr>
      <w:b/>
      <w:bCs/>
      <w:sz w:val="20"/>
    </w:rPr>
  </w:style>
  <w:style w:type="paragraph" w:styleId="48">
    <w:name w:val="Body Text First Indent"/>
    <w:basedOn w:val="21"/>
    <w:link w:val="200"/>
    <w:qFormat/>
    <w:uiPriority w:val="0"/>
    <w:pPr>
      <w:spacing w:after="0" w:line="312" w:lineRule="auto"/>
      <w:ind w:firstLine="420"/>
    </w:pPr>
    <w:rPr>
      <w:rFonts w:ascii="Calibri" w:hAnsi="Calibri"/>
      <w:kern w:val="2"/>
      <w:sz w:val="21"/>
      <w:szCs w:val="24"/>
    </w:rPr>
  </w:style>
  <w:style w:type="paragraph" w:styleId="49">
    <w:name w:val="Body Text First Indent 2"/>
    <w:basedOn w:val="22"/>
    <w:next w:val="1"/>
    <w:link w:val="208"/>
    <w:qFormat/>
    <w:uiPriority w:val="0"/>
    <w:pPr>
      <w:ind w:firstLine="420" w:firstLineChars="200"/>
    </w:p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basedOn w:val="52"/>
    <w:qFormat/>
    <w:uiPriority w:val="0"/>
  </w:style>
  <w:style w:type="character" w:styleId="55">
    <w:name w:val="FollowedHyperlink"/>
    <w:qFormat/>
    <w:uiPriority w:val="0"/>
    <w:rPr>
      <w:color w:val="337AB7"/>
      <w:u w:val="single"/>
    </w:rPr>
  </w:style>
  <w:style w:type="character" w:styleId="56">
    <w:name w:val="Emphasis"/>
    <w:qFormat/>
    <w:uiPriority w:val="0"/>
    <w:rPr>
      <w:i/>
      <w:iCs/>
    </w:rPr>
  </w:style>
  <w:style w:type="character" w:styleId="57">
    <w:name w:val="HTML Definition"/>
    <w:qFormat/>
    <w:uiPriority w:val="0"/>
    <w:rPr>
      <w:i/>
    </w:rPr>
  </w:style>
  <w:style w:type="character" w:styleId="58">
    <w:name w:val="Hyperlink"/>
    <w:qFormat/>
    <w:uiPriority w:val="99"/>
    <w:rPr>
      <w:color w:val="337AB7"/>
      <w:u w:val="single"/>
    </w:rPr>
  </w:style>
  <w:style w:type="character" w:styleId="59">
    <w:name w:val="HTML Code"/>
    <w:qFormat/>
    <w:uiPriority w:val="0"/>
    <w:rPr>
      <w:rFonts w:hint="default" w:ascii="Consolas" w:hAnsi="Consolas" w:eastAsia="Consolas" w:cs="Consolas"/>
      <w:color w:val="C7254E"/>
      <w:sz w:val="21"/>
      <w:szCs w:val="21"/>
      <w:shd w:val="clear" w:color="auto" w:fill="F9F2F4"/>
    </w:rPr>
  </w:style>
  <w:style w:type="character" w:styleId="60">
    <w:name w:val="annotation reference"/>
    <w:qFormat/>
    <w:uiPriority w:val="0"/>
    <w:rPr>
      <w:sz w:val="21"/>
      <w:szCs w:val="21"/>
    </w:rPr>
  </w:style>
  <w:style w:type="character" w:styleId="61">
    <w:name w:val="HTML Cite"/>
    <w:qFormat/>
    <w:uiPriority w:val="0"/>
  </w:style>
  <w:style w:type="character" w:styleId="62">
    <w:name w:val="HTML Keyboard"/>
    <w:qFormat/>
    <w:uiPriority w:val="0"/>
    <w:rPr>
      <w:rFonts w:ascii="Consolas" w:hAnsi="Consolas" w:eastAsia="Consolas" w:cs="Consolas"/>
      <w:color w:val="FFFFFF"/>
      <w:sz w:val="21"/>
      <w:szCs w:val="21"/>
      <w:shd w:val="clear" w:color="auto" w:fill="333333"/>
    </w:rPr>
  </w:style>
  <w:style w:type="character" w:styleId="63">
    <w:name w:val="HTML Sample"/>
    <w:qFormat/>
    <w:uiPriority w:val="0"/>
    <w:rPr>
      <w:rFonts w:hint="default" w:ascii="Consolas" w:hAnsi="Consolas" w:eastAsia="Consolas" w:cs="Consolas"/>
      <w:sz w:val="21"/>
      <w:szCs w:val="21"/>
    </w:rPr>
  </w:style>
  <w:style w:type="paragraph" w:customStyle="1" w:styleId="64">
    <w:name w:val="Default"/>
    <w:link w:val="333"/>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5">
    <w:name w:val="标题 1 字符"/>
    <w:link w:val="2"/>
    <w:qFormat/>
    <w:uiPriority w:val="0"/>
    <w:rPr>
      <w:rFonts w:ascii="黑体" w:eastAsia="黑体"/>
      <w:sz w:val="52"/>
    </w:rPr>
  </w:style>
  <w:style w:type="character" w:customStyle="1" w:styleId="66">
    <w:name w:val="标题 2 字符1"/>
    <w:link w:val="3"/>
    <w:qFormat/>
    <w:uiPriority w:val="99"/>
    <w:rPr>
      <w:rFonts w:ascii="Arial" w:hAnsi="Arial" w:eastAsia="黑体"/>
      <w:b/>
      <w:sz w:val="32"/>
      <w:lang w:val="en-US" w:eastAsia="zh-CN" w:bidi="ar-SA"/>
    </w:rPr>
  </w:style>
  <w:style w:type="character" w:customStyle="1" w:styleId="67">
    <w:name w:val="标题 3 字符1"/>
    <w:link w:val="4"/>
    <w:qFormat/>
    <w:uiPriority w:val="0"/>
    <w:rPr>
      <w:b/>
      <w:sz w:val="32"/>
    </w:rPr>
  </w:style>
  <w:style w:type="character" w:customStyle="1" w:styleId="68">
    <w:name w:val="正文缩进 字符2"/>
    <w:link w:val="5"/>
    <w:qFormat/>
    <w:uiPriority w:val="0"/>
    <w:rPr>
      <w:rFonts w:eastAsia="宋体"/>
      <w:lang w:val="en-US" w:eastAsia="zh-CN" w:bidi="ar-SA"/>
    </w:rPr>
  </w:style>
  <w:style w:type="character" w:customStyle="1" w:styleId="69">
    <w:name w:val="标题 4 字符1"/>
    <w:link w:val="6"/>
    <w:qFormat/>
    <w:uiPriority w:val="0"/>
    <w:rPr>
      <w:rFonts w:ascii="Arial" w:hAnsi="Arial" w:eastAsia="黑体"/>
      <w:b/>
      <w:sz w:val="28"/>
      <w:lang w:val="en-US" w:eastAsia="zh-CN" w:bidi="ar-SA"/>
    </w:rPr>
  </w:style>
  <w:style w:type="character" w:customStyle="1" w:styleId="70">
    <w:name w:val="标题 5 字符"/>
    <w:link w:val="7"/>
    <w:qFormat/>
    <w:uiPriority w:val="0"/>
    <w:rPr>
      <w:b/>
      <w:sz w:val="28"/>
    </w:rPr>
  </w:style>
  <w:style w:type="character" w:customStyle="1" w:styleId="71">
    <w:name w:val="标题 6 字符"/>
    <w:link w:val="8"/>
    <w:qFormat/>
    <w:uiPriority w:val="0"/>
    <w:rPr>
      <w:rFonts w:ascii="Arial" w:hAnsi="Arial" w:eastAsia="黑体"/>
      <w:b/>
      <w:sz w:val="24"/>
    </w:rPr>
  </w:style>
  <w:style w:type="character" w:customStyle="1" w:styleId="72">
    <w:name w:val="标题 7 字符"/>
    <w:link w:val="9"/>
    <w:qFormat/>
    <w:uiPriority w:val="0"/>
    <w:rPr>
      <w:b/>
      <w:sz w:val="24"/>
    </w:rPr>
  </w:style>
  <w:style w:type="character" w:customStyle="1" w:styleId="73">
    <w:name w:val="标题 8 字符"/>
    <w:link w:val="10"/>
    <w:qFormat/>
    <w:uiPriority w:val="0"/>
    <w:rPr>
      <w:rFonts w:ascii="Arial" w:hAnsi="Arial" w:eastAsia="黑体"/>
      <w:sz w:val="24"/>
    </w:rPr>
  </w:style>
  <w:style w:type="character" w:customStyle="1" w:styleId="74">
    <w:name w:val="标题 9 字符"/>
    <w:link w:val="11"/>
    <w:qFormat/>
    <w:uiPriority w:val="0"/>
    <w:rPr>
      <w:rFonts w:ascii="Arial" w:hAnsi="Arial" w:eastAsia="黑体"/>
      <w:sz w:val="21"/>
    </w:rPr>
  </w:style>
  <w:style w:type="character" w:customStyle="1" w:styleId="75">
    <w:name w:val="文档结构图 字符"/>
    <w:link w:val="16"/>
    <w:qFormat/>
    <w:uiPriority w:val="99"/>
    <w:rPr>
      <w:shd w:val="clear" w:color="auto" w:fill="000080"/>
    </w:rPr>
  </w:style>
  <w:style w:type="character" w:customStyle="1" w:styleId="76">
    <w:name w:val="批注文字 字符1"/>
    <w:link w:val="18"/>
    <w:qFormat/>
    <w:uiPriority w:val="99"/>
    <w:rPr>
      <w:sz w:val="24"/>
    </w:rPr>
  </w:style>
  <w:style w:type="character" w:customStyle="1" w:styleId="77">
    <w:name w:val="称呼 字符"/>
    <w:link w:val="19"/>
    <w:qFormat/>
    <w:uiPriority w:val="99"/>
    <w:rPr>
      <w:sz w:val="28"/>
    </w:rPr>
  </w:style>
  <w:style w:type="character" w:customStyle="1" w:styleId="78">
    <w:name w:val="正文文本 字符"/>
    <w:link w:val="21"/>
    <w:qFormat/>
    <w:uiPriority w:val="0"/>
  </w:style>
  <w:style w:type="character" w:customStyle="1" w:styleId="79">
    <w:name w:val="正文文本缩进 字符1"/>
    <w:link w:val="22"/>
    <w:qFormat/>
    <w:uiPriority w:val="99"/>
  </w:style>
  <w:style w:type="character" w:customStyle="1" w:styleId="80">
    <w:name w:val="纯文本 字符2"/>
    <w:link w:val="27"/>
    <w:qFormat/>
    <w:uiPriority w:val="0"/>
    <w:rPr>
      <w:rFonts w:ascii="宋体" w:hAnsi="Courier New" w:cs="Courier New"/>
      <w:kern w:val="2"/>
      <w:sz w:val="21"/>
      <w:szCs w:val="21"/>
    </w:rPr>
  </w:style>
  <w:style w:type="character" w:customStyle="1" w:styleId="81">
    <w:name w:val="日期 字符"/>
    <w:link w:val="29"/>
    <w:qFormat/>
    <w:uiPriority w:val="99"/>
    <w:rPr>
      <w:kern w:val="2"/>
      <w:sz w:val="24"/>
    </w:rPr>
  </w:style>
  <w:style w:type="character" w:customStyle="1" w:styleId="82">
    <w:name w:val="正文文本缩进 2 字符"/>
    <w:link w:val="30"/>
    <w:qFormat/>
    <w:uiPriority w:val="0"/>
    <w:rPr>
      <w:rFonts w:ascii="宋体" w:hAnsi="MS Sans Serif"/>
      <w:spacing w:val="12"/>
      <w:sz w:val="24"/>
    </w:rPr>
  </w:style>
  <w:style w:type="character" w:customStyle="1" w:styleId="83">
    <w:name w:val="批注框文本 字符"/>
    <w:link w:val="31"/>
    <w:qFormat/>
    <w:uiPriority w:val="99"/>
    <w:rPr>
      <w:sz w:val="18"/>
    </w:rPr>
  </w:style>
  <w:style w:type="character" w:customStyle="1" w:styleId="84">
    <w:name w:val="页脚 字符1"/>
    <w:link w:val="32"/>
    <w:qFormat/>
    <w:uiPriority w:val="99"/>
    <w:rPr>
      <w:sz w:val="18"/>
    </w:rPr>
  </w:style>
  <w:style w:type="character" w:customStyle="1" w:styleId="85">
    <w:name w:val="页眉 字符1"/>
    <w:link w:val="33"/>
    <w:qFormat/>
    <w:uiPriority w:val="0"/>
    <w:rPr>
      <w:sz w:val="18"/>
    </w:rPr>
  </w:style>
  <w:style w:type="character" w:customStyle="1" w:styleId="86">
    <w:name w:val="副标题 字符"/>
    <w:link w:val="36"/>
    <w:qFormat/>
    <w:uiPriority w:val="11"/>
    <w:rPr>
      <w:rFonts w:ascii="Cambria" w:hAnsi="Cambria"/>
      <w:b/>
      <w:bCs/>
      <w:kern w:val="28"/>
      <w:sz w:val="32"/>
      <w:szCs w:val="32"/>
    </w:rPr>
  </w:style>
  <w:style w:type="character" w:customStyle="1" w:styleId="87">
    <w:name w:val="正文文本缩进 3 字符"/>
    <w:link w:val="40"/>
    <w:qFormat/>
    <w:uiPriority w:val="0"/>
    <w:rPr>
      <w:rFonts w:ascii="宋体" w:hAnsi="MS Sans Serif"/>
      <w:color w:val="000000"/>
      <w:sz w:val="24"/>
    </w:rPr>
  </w:style>
  <w:style w:type="character" w:customStyle="1" w:styleId="88">
    <w:name w:val="正文文本 2 字符"/>
    <w:link w:val="43"/>
    <w:qFormat/>
    <w:uiPriority w:val="0"/>
  </w:style>
  <w:style w:type="character" w:customStyle="1" w:styleId="89">
    <w:name w:val="标题 字符2"/>
    <w:link w:val="46"/>
    <w:qFormat/>
    <w:uiPriority w:val="0"/>
    <w:rPr>
      <w:rFonts w:ascii="Cambria" w:hAnsi="Cambria" w:cs="Times New Roman"/>
      <w:b/>
      <w:bCs/>
      <w:sz w:val="32"/>
      <w:szCs w:val="32"/>
    </w:rPr>
  </w:style>
  <w:style w:type="character" w:customStyle="1" w:styleId="90">
    <w:name w:val="批注主题 字符"/>
    <w:link w:val="47"/>
    <w:qFormat/>
    <w:uiPriority w:val="99"/>
    <w:rPr>
      <w:b/>
      <w:bCs/>
    </w:rPr>
  </w:style>
  <w:style w:type="character" w:customStyle="1" w:styleId="91">
    <w:name w:val="glyphicon6"/>
    <w:qFormat/>
    <w:uiPriority w:val="0"/>
  </w:style>
  <w:style w:type="character" w:customStyle="1" w:styleId="92">
    <w:name w:val="p0 Char"/>
    <w:link w:val="93"/>
    <w:qFormat/>
    <w:uiPriority w:val="0"/>
    <w:rPr>
      <w:sz w:val="21"/>
      <w:szCs w:val="21"/>
    </w:rPr>
  </w:style>
  <w:style w:type="paragraph" w:customStyle="1" w:styleId="93">
    <w:name w:val="p0"/>
    <w:basedOn w:val="1"/>
    <w:link w:val="92"/>
    <w:qFormat/>
    <w:uiPriority w:val="0"/>
    <w:pPr>
      <w:jc w:val="both"/>
    </w:pPr>
    <w:rPr>
      <w:sz w:val="21"/>
      <w:szCs w:val="21"/>
    </w:rPr>
  </w:style>
  <w:style w:type="character" w:customStyle="1" w:styleId="94">
    <w:name w:val="副标题 Char1"/>
    <w:qFormat/>
    <w:uiPriority w:val="11"/>
    <w:rPr>
      <w:rFonts w:ascii="Cambria" w:hAnsi="Cambria" w:cs="Times New Roman"/>
      <w:b/>
      <w:bCs/>
      <w:kern w:val="28"/>
      <w:sz w:val="32"/>
      <w:szCs w:val="32"/>
    </w:rPr>
  </w:style>
  <w:style w:type="character" w:customStyle="1" w:styleId="95">
    <w:name w:val="indent"/>
    <w:qFormat/>
    <w:uiPriority w:val="0"/>
  </w:style>
  <w:style w:type="character" w:customStyle="1" w:styleId="96">
    <w:name w:val="明显引用 字符"/>
    <w:link w:val="97"/>
    <w:qFormat/>
    <w:uiPriority w:val="0"/>
    <w:rPr>
      <w:b/>
      <w:bCs/>
      <w:i/>
      <w:iCs/>
      <w:color w:val="4F81BD"/>
      <w:kern w:val="2"/>
      <w:sz w:val="21"/>
      <w:szCs w:val="22"/>
    </w:rPr>
  </w:style>
  <w:style w:type="paragraph" w:styleId="97">
    <w:name w:val="Intense Quote"/>
    <w:basedOn w:val="1"/>
    <w:next w:val="1"/>
    <w:link w:val="96"/>
    <w:qFormat/>
    <w:uiPriority w:val="0"/>
    <w:pPr>
      <w:widowControl w:val="0"/>
      <w:pBdr>
        <w:bottom w:val="single" w:color="4F81BD" w:sz="4" w:space="4"/>
      </w:pBdr>
      <w:spacing w:before="200" w:after="280"/>
      <w:ind w:left="936" w:right="936"/>
      <w:jc w:val="both"/>
    </w:pPr>
    <w:rPr>
      <w:b/>
      <w:bCs/>
      <w:i/>
      <w:iCs/>
      <w:color w:val="4F81BD"/>
      <w:kern w:val="2"/>
      <w:sz w:val="21"/>
      <w:szCs w:val="22"/>
    </w:rPr>
  </w:style>
  <w:style w:type="character" w:customStyle="1" w:styleId="98">
    <w:name w:val="批注框文本 Char1"/>
    <w:qFormat/>
    <w:uiPriority w:val="99"/>
    <w:rPr>
      <w:kern w:val="2"/>
      <w:sz w:val="18"/>
      <w:szCs w:val="18"/>
    </w:rPr>
  </w:style>
  <w:style w:type="character" w:customStyle="1" w:styleId="99">
    <w:name w:val="hour_am"/>
    <w:qFormat/>
    <w:uiPriority w:val="99"/>
  </w:style>
  <w:style w:type="character" w:customStyle="1" w:styleId="100">
    <w:name w:val="批注文字 Char Char"/>
    <w:qFormat/>
    <w:uiPriority w:val="0"/>
    <w:rPr>
      <w:rFonts w:ascii="宋体" w:hAnsi="Times New Roman" w:eastAsia="宋体" w:cs="Times New Roman"/>
      <w:sz w:val="28"/>
      <w:szCs w:val="20"/>
    </w:rPr>
  </w:style>
  <w:style w:type="character" w:customStyle="1" w:styleId="101">
    <w:name w:val="页眉 字符"/>
    <w:qFormat/>
    <w:uiPriority w:val="0"/>
    <w:rPr>
      <w:rFonts w:ascii="Times New Roman" w:hAnsi="Times New Roman" w:eastAsia="宋体" w:cs="Times New Roman"/>
      <w:kern w:val="0"/>
      <w:sz w:val="18"/>
      <w:szCs w:val="18"/>
    </w:rPr>
  </w:style>
  <w:style w:type="character" w:customStyle="1" w:styleId="102">
    <w:name w:val="icon"/>
    <w:qFormat/>
    <w:uiPriority w:val="0"/>
  </w:style>
  <w:style w:type="character" w:customStyle="1" w:styleId="103">
    <w:name w:val="textcontents"/>
    <w:qFormat/>
    <w:uiPriority w:val="0"/>
    <w:rPr>
      <w:rFonts w:cs="Times New Roman"/>
    </w:rPr>
  </w:style>
  <w:style w:type="character" w:customStyle="1" w:styleId="104">
    <w:name w:val="ca-0"/>
    <w:qFormat/>
    <w:uiPriority w:val="0"/>
  </w:style>
  <w:style w:type="character" w:customStyle="1" w:styleId="105">
    <w:name w:val="标题 字符"/>
    <w:qFormat/>
    <w:uiPriority w:val="10"/>
    <w:rPr>
      <w:rFonts w:ascii="Cambria" w:hAnsi="Cambria"/>
      <w:b/>
      <w:bCs/>
      <w:kern w:val="2"/>
      <w:sz w:val="32"/>
      <w:szCs w:val="32"/>
    </w:rPr>
  </w:style>
  <w:style w:type="character" w:customStyle="1" w:styleId="106">
    <w:name w:val="文档结构图 Char1"/>
    <w:qFormat/>
    <w:uiPriority w:val="0"/>
    <w:rPr>
      <w:rFonts w:ascii="宋体"/>
      <w:kern w:val="2"/>
      <w:sz w:val="18"/>
      <w:szCs w:val="18"/>
    </w:rPr>
  </w:style>
  <w:style w:type="character" w:customStyle="1" w:styleId="107">
    <w:name w:val="_Style 98"/>
    <w:qFormat/>
    <w:uiPriority w:val="0"/>
    <w:rPr>
      <w:b/>
      <w:bCs/>
      <w:smallCaps/>
      <w:spacing w:val="5"/>
    </w:rPr>
  </w:style>
  <w:style w:type="character" w:customStyle="1" w:styleId="108">
    <w:name w:val="明显引用 字符1"/>
    <w:qFormat/>
    <w:uiPriority w:val="99"/>
    <w:rPr>
      <w:i/>
      <w:iCs/>
      <w:color w:val="5B9BD5"/>
    </w:rPr>
  </w:style>
  <w:style w:type="character" w:customStyle="1" w:styleId="109">
    <w:name w:val="_Style 100"/>
    <w:qFormat/>
    <w:uiPriority w:val="0"/>
    <w:rPr>
      <w:smallCaps/>
      <w:color w:val="C0504D"/>
      <w:u w:val="single"/>
    </w:rPr>
  </w:style>
  <w:style w:type="character" w:customStyle="1" w:styleId="110">
    <w:name w:val="正文缩进 字符1"/>
    <w:qFormat/>
    <w:uiPriority w:val="0"/>
  </w:style>
  <w:style w:type="character" w:customStyle="1" w:styleId="111">
    <w:name w:val="HTML Markup"/>
    <w:qFormat/>
    <w:uiPriority w:val="0"/>
    <w:rPr>
      <w:vanish/>
      <w:color w:val="FF0000"/>
    </w:rPr>
  </w:style>
  <w:style w:type="character" w:customStyle="1" w:styleId="112">
    <w:name w:val="_Style 103"/>
    <w:qFormat/>
    <w:uiPriority w:val="0"/>
    <w:rPr>
      <w:b/>
      <w:bCs/>
      <w:i/>
      <w:iCs/>
      <w:color w:val="4F81BD"/>
    </w:rPr>
  </w:style>
  <w:style w:type="character" w:customStyle="1" w:styleId="113">
    <w:name w:val="纯文本 字符1"/>
    <w:qFormat/>
    <w:uiPriority w:val="0"/>
    <w:rPr>
      <w:rFonts w:ascii="宋体" w:hAnsi="Courier New" w:eastAsia="宋体" w:cs="Courier New"/>
      <w:szCs w:val="21"/>
    </w:rPr>
  </w:style>
  <w:style w:type="character" w:customStyle="1" w:styleId="114">
    <w:name w:val="批注文字 字符"/>
    <w:qFormat/>
    <w:uiPriority w:val="0"/>
    <w:rPr>
      <w:rFonts w:ascii="Times New Roman" w:hAnsi="Times New Roman" w:eastAsia="宋体" w:cs="Times New Roman"/>
      <w:kern w:val="0"/>
      <w:sz w:val="24"/>
      <w:szCs w:val="20"/>
    </w:rPr>
  </w:style>
  <w:style w:type="character" w:customStyle="1" w:styleId="115">
    <w:name w:val="标题 字符1"/>
    <w:qFormat/>
    <w:uiPriority w:val="10"/>
    <w:rPr>
      <w:rFonts w:ascii="等线 Light" w:hAnsi="等线 Light" w:cs="Times New Roman"/>
      <w:b/>
      <w:bCs/>
      <w:sz w:val="32"/>
      <w:szCs w:val="32"/>
    </w:rPr>
  </w:style>
  <w:style w:type="character" w:customStyle="1" w:styleId="116">
    <w:name w:val="cke_colorbox"/>
    <w:qFormat/>
    <w:uiPriority w:val="0"/>
    <w:rPr>
      <w:bdr w:val="single" w:color="AAAAAA" w:sz="6" w:space="0"/>
    </w:rPr>
  </w:style>
  <w:style w:type="character" w:customStyle="1" w:styleId="117">
    <w:name w:val="标题5 Char Char"/>
    <w:link w:val="118"/>
    <w:qFormat/>
    <w:uiPriority w:val="0"/>
    <w:rPr>
      <w:rFonts w:ascii="Arial" w:hAnsi="Arial"/>
      <w:b/>
      <w:bCs/>
      <w:sz w:val="24"/>
      <w:szCs w:val="32"/>
    </w:rPr>
  </w:style>
  <w:style w:type="paragraph" w:customStyle="1" w:styleId="118">
    <w:name w:val="标题5"/>
    <w:basedOn w:val="4"/>
    <w:link w:val="117"/>
    <w:qFormat/>
    <w:uiPriority w:val="0"/>
    <w:pPr>
      <w:widowControl w:val="0"/>
      <w:numPr>
        <w:ilvl w:val="0"/>
        <w:numId w:val="0"/>
      </w:numPr>
      <w:spacing w:before="260" w:after="260" w:line="413" w:lineRule="auto"/>
      <w:jc w:val="both"/>
    </w:pPr>
    <w:rPr>
      <w:rFonts w:ascii="Arial" w:hAnsi="Arial"/>
      <w:bCs/>
      <w:sz w:val="24"/>
      <w:szCs w:val="32"/>
    </w:rPr>
  </w:style>
  <w:style w:type="character" w:customStyle="1" w:styleId="119">
    <w:name w:val="apple-converted-space"/>
    <w:qFormat/>
    <w:uiPriority w:val="0"/>
  </w:style>
  <w:style w:type="character" w:customStyle="1" w:styleId="120">
    <w:name w:val="cke_colorbox1"/>
    <w:qFormat/>
    <w:uiPriority w:val="0"/>
  </w:style>
  <w:style w:type="character" w:customStyle="1" w:styleId="121">
    <w:name w:val="正文文本 Char1"/>
    <w:qFormat/>
    <w:uiPriority w:val="0"/>
    <w:rPr>
      <w:kern w:val="2"/>
      <w:sz w:val="21"/>
      <w:szCs w:val="22"/>
    </w:rPr>
  </w:style>
  <w:style w:type="character" w:customStyle="1" w:styleId="122">
    <w:name w:val="wg正文 仿宋_GB2312 四号"/>
    <w:qFormat/>
    <w:uiPriority w:val="0"/>
    <w:rPr>
      <w:rFonts w:hint="eastAsia" w:ascii="仿宋_GB2312" w:hAnsi="仿宋_GB2312" w:eastAsia="仿宋_GB2312"/>
      <w:sz w:val="28"/>
    </w:rPr>
  </w:style>
  <w:style w:type="character" w:customStyle="1" w:styleId="123">
    <w:name w:val="批注主题 Char1"/>
    <w:qFormat/>
    <w:uiPriority w:val="99"/>
    <w:rPr>
      <w:b/>
      <w:bCs/>
      <w:kern w:val="2"/>
      <w:sz w:val="21"/>
      <w:szCs w:val="22"/>
    </w:rPr>
  </w:style>
  <w:style w:type="character" w:customStyle="1" w:styleId="124">
    <w:name w:val="副标题 字符1"/>
    <w:qFormat/>
    <w:uiPriority w:val="11"/>
    <w:rPr>
      <w:rFonts w:ascii="等线 Light" w:hAnsi="等线 Light" w:cs="Times New Roman"/>
      <w:b/>
      <w:bCs/>
      <w:kern w:val="28"/>
      <w:sz w:val="32"/>
      <w:szCs w:val="32"/>
    </w:rPr>
  </w:style>
  <w:style w:type="character" w:customStyle="1" w:styleId="125">
    <w:name w:val="正文文本缩进 字符"/>
    <w:qFormat/>
    <w:uiPriority w:val="0"/>
    <w:rPr>
      <w:rFonts w:ascii="Times New Roman" w:hAnsi="Times New Roman" w:eastAsia="宋体" w:cs="Times New Roman"/>
      <w:kern w:val="0"/>
      <w:sz w:val="20"/>
      <w:szCs w:val="20"/>
    </w:rPr>
  </w:style>
  <w:style w:type="character" w:customStyle="1" w:styleId="126">
    <w:name w:val="页脚 字符"/>
    <w:qFormat/>
    <w:uiPriority w:val="99"/>
    <w:rPr>
      <w:rFonts w:ascii="Times New Roman" w:hAnsi="Times New Roman" w:eastAsia="宋体" w:cs="Times New Roman"/>
      <w:kern w:val="0"/>
      <w:sz w:val="18"/>
      <w:szCs w:val="18"/>
    </w:rPr>
  </w:style>
  <w:style w:type="character" w:customStyle="1" w:styleId="127">
    <w:name w:val="标题 Char1"/>
    <w:qFormat/>
    <w:uiPriority w:val="10"/>
    <w:rPr>
      <w:rFonts w:ascii="Cambria" w:hAnsi="Cambria" w:cs="Times New Roman"/>
      <w:b/>
      <w:bCs/>
      <w:sz w:val="32"/>
      <w:szCs w:val="32"/>
    </w:rPr>
  </w:style>
  <w:style w:type="character" w:customStyle="1" w:styleId="128">
    <w:name w:val="正文缩进 字符"/>
    <w:qFormat/>
    <w:uiPriority w:val="0"/>
  </w:style>
  <w:style w:type="character" w:customStyle="1" w:styleId="129">
    <w:name w:val="hover3"/>
    <w:qFormat/>
    <w:uiPriority w:val="0"/>
    <w:rPr>
      <w:shd w:val="clear" w:color="auto" w:fill="EEEEEE"/>
    </w:rPr>
  </w:style>
  <w:style w:type="character" w:customStyle="1" w:styleId="130">
    <w:name w:val="明显引用 Char1"/>
    <w:qFormat/>
    <w:uiPriority w:val="30"/>
    <w:rPr>
      <w:rFonts w:ascii="Times New Roman" w:hAnsi="Times New Roman"/>
      <w:b/>
      <w:bCs/>
      <w:i/>
      <w:iCs/>
      <w:color w:val="4F81BD"/>
    </w:rPr>
  </w:style>
  <w:style w:type="character" w:customStyle="1" w:styleId="131">
    <w:name w:val="old"/>
    <w:qFormat/>
    <w:uiPriority w:val="0"/>
    <w:rPr>
      <w:color w:val="999999"/>
    </w:rPr>
  </w:style>
  <w:style w:type="character" w:customStyle="1" w:styleId="132">
    <w:name w:val="pp-headline-item pp-headline-address"/>
    <w:qFormat/>
    <w:uiPriority w:val="0"/>
  </w:style>
  <w:style w:type="character" w:customStyle="1" w:styleId="133">
    <w:name w:val="标题 5 Char1"/>
    <w:qFormat/>
    <w:uiPriority w:val="0"/>
    <w:rPr>
      <w:rFonts w:ascii="Times New Roman" w:hAnsi="Times New Roman"/>
      <w:b/>
      <w:bCs/>
      <w:sz w:val="28"/>
      <w:szCs w:val="28"/>
    </w:rPr>
  </w:style>
  <w:style w:type="character" w:customStyle="1" w:styleId="134">
    <w:name w:val="_Style 125"/>
    <w:qFormat/>
    <w:uiPriority w:val="0"/>
    <w:rPr>
      <w:i/>
      <w:iCs/>
      <w:color w:val="808080"/>
    </w:rPr>
  </w:style>
  <w:style w:type="character" w:customStyle="1" w:styleId="135">
    <w:name w:val="zbggmain style9"/>
    <w:qFormat/>
    <w:uiPriority w:val="0"/>
    <w:rPr>
      <w:rFonts w:ascii="Tahoma" w:hAnsi="Tahoma"/>
      <w:sz w:val="24"/>
      <w:szCs w:val="20"/>
    </w:rPr>
  </w:style>
  <w:style w:type="character" w:customStyle="1" w:styleId="136">
    <w:name w:val="_Style 127"/>
    <w:qFormat/>
    <w:uiPriority w:val="0"/>
    <w:rPr>
      <w:b/>
      <w:bCs/>
      <w:smallCaps/>
      <w:color w:val="C0504D"/>
      <w:spacing w:val="5"/>
      <w:u w:val="single"/>
    </w:rPr>
  </w:style>
  <w:style w:type="character" w:customStyle="1" w:styleId="137">
    <w:name w:val="hour_pm"/>
    <w:qFormat/>
    <w:uiPriority w:val="0"/>
  </w:style>
  <w:style w:type="character" w:customStyle="1" w:styleId="138">
    <w:name w:val="日期 Char1"/>
    <w:qFormat/>
    <w:uiPriority w:val="0"/>
    <w:rPr>
      <w:kern w:val="2"/>
      <w:sz w:val="21"/>
      <w:szCs w:val="22"/>
    </w:rPr>
  </w:style>
  <w:style w:type="character" w:customStyle="1" w:styleId="139">
    <w:name w:val="标题 4 字符"/>
    <w:link w:val="140"/>
    <w:qFormat/>
    <w:uiPriority w:val="0"/>
    <w:rPr>
      <w:rFonts w:ascii="Arial" w:hAnsi="Arial" w:eastAsia="黑体" w:cs="Times New Roman"/>
      <w:b/>
      <w:bCs/>
      <w:kern w:val="0"/>
      <w:sz w:val="28"/>
      <w:szCs w:val="28"/>
    </w:rPr>
  </w:style>
  <w:style w:type="paragraph" w:customStyle="1" w:styleId="140">
    <w:name w:val="Heading 4_0"/>
    <w:basedOn w:val="141"/>
    <w:next w:val="141"/>
    <w:link w:val="139"/>
    <w:qFormat/>
    <w:uiPriority w:val="0"/>
    <w:pPr>
      <w:keepNext/>
      <w:keepLines/>
      <w:spacing w:before="280" w:after="290" w:line="376" w:lineRule="auto"/>
      <w:outlineLvl w:val="3"/>
    </w:pPr>
    <w:rPr>
      <w:rFonts w:ascii="Arial" w:hAnsi="Arial" w:eastAsia="黑体"/>
      <w:b/>
      <w:bCs/>
      <w:sz w:val="28"/>
      <w:szCs w:val="28"/>
    </w:rPr>
  </w:style>
  <w:style w:type="paragraph" w:customStyle="1" w:styleId="141">
    <w:name w:val="Normal_0"/>
    <w:qFormat/>
    <w:uiPriority w:val="0"/>
    <w:rPr>
      <w:rFonts w:ascii="Calibri" w:hAnsi="Calibri" w:eastAsia="宋体" w:cs="Times New Roman"/>
      <w:lang w:val="en-US" w:eastAsia="zh-CN" w:bidi="ar-SA"/>
    </w:rPr>
  </w:style>
  <w:style w:type="character" w:customStyle="1" w:styleId="142">
    <w:name w:val="引用 字符"/>
    <w:link w:val="143"/>
    <w:qFormat/>
    <w:uiPriority w:val="0"/>
    <w:rPr>
      <w:i/>
      <w:iCs/>
      <w:color w:val="000000"/>
      <w:kern w:val="2"/>
      <w:sz w:val="21"/>
      <w:szCs w:val="22"/>
    </w:rPr>
  </w:style>
  <w:style w:type="paragraph" w:styleId="143">
    <w:name w:val="Quote"/>
    <w:basedOn w:val="1"/>
    <w:next w:val="1"/>
    <w:link w:val="142"/>
    <w:qFormat/>
    <w:uiPriority w:val="0"/>
    <w:pPr>
      <w:widowControl w:val="0"/>
      <w:jc w:val="both"/>
    </w:pPr>
    <w:rPr>
      <w:i/>
      <w:iCs/>
      <w:color w:val="000000"/>
      <w:kern w:val="2"/>
      <w:sz w:val="21"/>
      <w:szCs w:val="22"/>
    </w:rPr>
  </w:style>
  <w:style w:type="character" w:customStyle="1" w:styleId="144">
    <w:name w:val="批注文字 Char1"/>
    <w:semiHidden/>
    <w:qFormat/>
    <w:uiPriority w:val="99"/>
    <w:rPr>
      <w:rFonts w:ascii="Times New Roman" w:hAnsi="Times New Roman" w:eastAsia="宋体" w:cs="Times New Roman"/>
      <w:szCs w:val="24"/>
    </w:rPr>
  </w:style>
  <w:style w:type="character" w:customStyle="1" w:styleId="145">
    <w:name w:val="标题 3 字符"/>
    <w:qFormat/>
    <w:uiPriority w:val="0"/>
    <w:rPr>
      <w:rFonts w:ascii="Times New Roman" w:hAnsi="Times New Roman" w:eastAsia="宋体" w:cs="Times New Roman"/>
      <w:b/>
      <w:bCs/>
      <w:kern w:val="0"/>
      <w:sz w:val="32"/>
      <w:szCs w:val="32"/>
    </w:rPr>
  </w:style>
  <w:style w:type="character" w:customStyle="1" w:styleId="146">
    <w:name w:val="标题 2 字符"/>
    <w:qFormat/>
    <w:uiPriority w:val="0"/>
    <w:rPr>
      <w:rFonts w:ascii="Arial" w:hAnsi="Arial" w:eastAsia="黑体" w:cs="Times New Roman"/>
      <w:b/>
      <w:bCs/>
      <w:kern w:val="0"/>
      <w:sz w:val="32"/>
      <w:szCs w:val="32"/>
    </w:rPr>
  </w:style>
  <w:style w:type="character" w:customStyle="1" w:styleId="147">
    <w:name w:val="样式1 Char Char"/>
    <w:qFormat/>
    <w:uiPriority w:val="0"/>
    <w:rPr>
      <w:rFonts w:ascii="华文仿宋" w:hAnsi="华文仿宋" w:eastAsia="华文仿宋"/>
      <w:b/>
      <w:color w:val="000000"/>
      <w:kern w:val="2"/>
      <w:sz w:val="30"/>
      <w:szCs w:val="30"/>
      <w:u w:val="single"/>
    </w:rPr>
  </w:style>
  <w:style w:type="character" w:customStyle="1" w:styleId="148">
    <w:name w:val="纯文本 字符"/>
    <w:qFormat/>
    <w:uiPriority w:val="0"/>
    <w:rPr>
      <w:rFonts w:ascii="宋体" w:hAnsi="Courier New" w:eastAsia="宋体" w:cs="Courier New"/>
      <w:szCs w:val="21"/>
    </w:rPr>
  </w:style>
  <w:style w:type="character" w:customStyle="1" w:styleId="149">
    <w:name w:val="引用 字符1"/>
    <w:qFormat/>
    <w:uiPriority w:val="99"/>
    <w:rPr>
      <w:i/>
      <w:iCs/>
      <w:color w:val="404040"/>
    </w:rPr>
  </w:style>
  <w:style w:type="character" w:customStyle="1" w:styleId="150">
    <w:name w:val="无间隔 字符"/>
    <w:link w:val="151"/>
    <w:qFormat/>
    <w:uiPriority w:val="1"/>
    <w:rPr>
      <w:rFonts w:ascii="Calibri" w:hAnsi="Calibri"/>
      <w:sz w:val="22"/>
      <w:szCs w:val="22"/>
      <w:lang w:val="en-US" w:eastAsia="zh-CN" w:bidi="ar-SA"/>
    </w:rPr>
  </w:style>
  <w:style w:type="paragraph" w:styleId="151">
    <w:name w:val="No Spacing"/>
    <w:link w:val="150"/>
    <w:qFormat/>
    <w:uiPriority w:val="1"/>
    <w:rPr>
      <w:rFonts w:ascii="Calibri" w:hAnsi="Calibri" w:eastAsia="宋体" w:cs="Times New Roman"/>
      <w:sz w:val="22"/>
      <w:szCs w:val="22"/>
      <w:lang w:val="en-US" w:eastAsia="zh-CN" w:bidi="ar-SA"/>
    </w:rPr>
  </w:style>
  <w:style w:type="character" w:customStyle="1" w:styleId="152">
    <w:name w:val="引用 Char1"/>
    <w:qFormat/>
    <w:uiPriority w:val="29"/>
    <w:rPr>
      <w:rFonts w:ascii="Times New Roman" w:hAnsi="Times New Roman"/>
      <w:i/>
      <w:iCs/>
      <w:color w:val="000000"/>
    </w:rPr>
  </w:style>
  <w:style w:type="paragraph" w:customStyle="1" w:styleId="153">
    <w:name w:val="SM正文"/>
    <w:basedOn w:val="1"/>
    <w:qFormat/>
    <w:uiPriority w:val="0"/>
    <w:pPr>
      <w:widowControl w:val="0"/>
      <w:spacing w:line="360" w:lineRule="auto"/>
      <w:ind w:firstLine="225" w:firstLineChars="225"/>
      <w:jc w:val="both"/>
    </w:pPr>
    <w:rPr>
      <w:kern w:val="2"/>
      <w:sz w:val="24"/>
      <w:szCs w:val="24"/>
    </w:rPr>
  </w:style>
  <w:style w:type="paragraph" w:customStyle="1" w:styleId="154">
    <w:name w:val="空半行"/>
    <w:basedOn w:val="1"/>
    <w:qFormat/>
    <w:uiPriority w:val="0"/>
    <w:pPr>
      <w:widowControl w:val="0"/>
      <w:adjustRightInd w:val="0"/>
      <w:spacing w:line="120" w:lineRule="exact"/>
      <w:jc w:val="both"/>
      <w:textAlignment w:val="baseline"/>
    </w:pPr>
    <w:rPr>
      <w:rFonts w:eastAsia="仿宋_GB2312"/>
      <w:color w:val="FFFFFF"/>
      <w:sz w:val="30"/>
    </w:rPr>
  </w:style>
  <w:style w:type="paragraph" w:customStyle="1" w:styleId="155">
    <w:name w:val="_Style 27"/>
    <w:basedOn w:val="1"/>
    <w:next w:val="23"/>
    <w:qFormat/>
    <w:uiPriority w:val="0"/>
    <w:pPr>
      <w:widowControl w:val="0"/>
      <w:adjustRightInd w:val="0"/>
      <w:ind w:left="420" w:right="33"/>
      <w:textAlignment w:val="baseline"/>
    </w:pPr>
    <w:rPr>
      <w:sz w:val="24"/>
    </w:rPr>
  </w:style>
  <w:style w:type="paragraph" w:customStyle="1" w:styleId="156">
    <w:name w:val="样式 标题 3 + (中文) 黑体 小四 非加粗 段前: 7.8 磅 段后: 0 磅 行距: 固定值 20 磅"/>
    <w:basedOn w:val="4"/>
    <w:qFormat/>
    <w:uiPriority w:val="99"/>
    <w:pPr>
      <w:widowControl w:val="0"/>
      <w:numPr>
        <w:ilvl w:val="0"/>
        <w:numId w:val="0"/>
      </w:numPr>
      <w:spacing w:before="0" w:after="0" w:line="400" w:lineRule="exact"/>
      <w:jc w:val="both"/>
    </w:pPr>
    <w:rPr>
      <w:rFonts w:eastAsia="黑体" w:cs="宋体"/>
      <w:b w:val="0"/>
      <w:kern w:val="2"/>
      <w:sz w:val="24"/>
    </w:rPr>
  </w:style>
  <w:style w:type="paragraph" w:customStyle="1" w:styleId="157">
    <w:name w:val="Char Char Char Char1 Char Char Char Char Char1 Char"/>
    <w:basedOn w:val="1"/>
    <w:qFormat/>
    <w:uiPriority w:val="0"/>
    <w:pPr>
      <w:widowControl w:val="0"/>
      <w:spacing w:line="240" w:lineRule="atLeast"/>
      <w:ind w:left="420" w:firstLine="420"/>
      <w:jc w:val="both"/>
    </w:pPr>
    <w:rPr>
      <w:sz w:val="21"/>
      <w:szCs w:val="21"/>
    </w:rPr>
  </w:style>
  <w:style w:type="paragraph" w:customStyle="1" w:styleId="158">
    <w:name w:val="目录文字"/>
    <w:basedOn w:val="1"/>
    <w:qFormat/>
    <w:uiPriority w:val="0"/>
    <w:pPr>
      <w:spacing w:line="480" w:lineRule="auto"/>
    </w:pPr>
    <w:rPr>
      <w:rFonts w:ascii="宋体" w:hAnsi="宋体"/>
      <w:sz w:val="24"/>
    </w:rPr>
  </w:style>
  <w:style w:type="paragraph" w:customStyle="1" w:styleId="159">
    <w:name w:val="pa-15"/>
    <w:basedOn w:val="1"/>
    <w:qFormat/>
    <w:uiPriority w:val="0"/>
    <w:pPr>
      <w:spacing w:line="320" w:lineRule="atLeast"/>
      <w:jc w:val="both"/>
    </w:pPr>
    <w:rPr>
      <w:rFonts w:ascii="宋体" w:hAnsi="宋体" w:cs="宋体"/>
      <w:sz w:val="24"/>
      <w:szCs w:val="24"/>
    </w:rPr>
  </w:style>
  <w:style w:type="paragraph" w:customStyle="1" w:styleId="160">
    <w:name w:val="Char Char Char Char Char Char Char Char Char Char Char Char"/>
    <w:basedOn w:val="1"/>
    <w:qFormat/>
    <w:uiPriority w:val="0"/>
    <w:pPr>
      <w:widowControl w:val="0"/>
      <w:spacing w:line="240" w:lineRule="atLeast"/>
      <w:ind w:left="420" w:firstLine="420"/>
      <w:jc w:val="both"/>
    </w:pPr>
    <w:rPr>
      <w:sz w:val="21"/>
      <w:szCs w:val="21"/>
    </w:rPr>
  </w:style>
  <w:style w:type="paragraph" w:customStyle="1" w:styleId="161">
    <w:name w:val="xxtitle"/>
    <w:basedOn w:val="1"/>
    <w:qFormat/>
    <w:uiPriority w:val="0"/>
    <w:pPr>
      <w:jc w:val="center"/>
    </w:pPr>
    <w:rPr>
      <w:rFonts w:ascii="宋体" w:hAnsi="宋体" w:cs="宋体"/>
      <w:b/>
      <w:bCs/>
      <w:sz w:val="28"/>
      <w:szCs w:val="28"/>
    </w:rPr>
  </w:style>
  <w:style w:type="paragraph" w:customStyle="1" w:styleId="162">
    <w:name w:val="Char Char Char Char Char Char Char Char Char1 Char"/>
    <w:basedOn w:val="1"/>
    <w:qFormat/>
    <w:uiPriority w:val="0"/>
    <w:pPr>
      <w:widowControl w:val="0"/>
      <w:jc w:val="both"/>
    </w:pPr>
    <w:rPr>
      <w:rFonts w:ascii="Tahoma" w:hAnsi="Tahoma"/>
      <w:kern w:val="2"/>
      <w:sz w:val="24"/>
    </w:rPr>
  </w:style>
  <w:style w:type="paragraph" w:customStyle="1" w:styleId="163">
    <w:name w:val="Blockquote"/>
    <w:basedOn w:val="1"/>
    <w:qFormat/>
    <w:uiPriority w:val="0"/>
    <w:pPr>
      <w:autoSpaceDE w:val="0"/>
      <w:autoSpaceDN w:val="0"/>
      <w:adjustRightInd w:val="0"/>
      <w:spacing w:before="100" w:after="100"/>
      <w:ind w:left="360" w:right="360"/>
    </w:pPr>
    <w:rPr>
      <w:sz w:val="24"/>
    </w:rPr>
  </w:style>
  <w:style w:type="paragraph" w:customStyle="1" w:styleId="164">
    <w:name w:val="Char"/>
    <w:basedOn w:val="1"/>
    <w:qFormat/>
    <w:uiPriority w:val="0"/>
    <w:pPr>
      <w:widowControl w:val="0"/>
      <w:jc w:val="both"/>
    </w:pPr>
    <w:rPr>
      <w:kern w:val="2"/>
      <w:sz w:val="21"/>
      <w:szCs w:val="24"/>
    </w:rPr>
  </w:style>
  <w:style w:type="paragraph" w:customStyle="1" w:styleId="16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6">
    <w:name w:val="Char Char Char Char"/>
    <w:basedOn w:val="1"/>
    <w:qFormat/>
    <w:uiPriority w:val="0"/>
    <w:pPr>
      <w:widowControl w:val="0"/>
      <w:spacing w:line="240" w:lineRule="atLeast"/>
      <w:ind w:left="420" w:firstLine="420"/>
      <w:jc w:val="both"/>
    </w:pPr>
    <w:rPr>
      <w:sz w:val="21"/>
      <w:szCs w:val="21"/>
    </w:rPr>
  </w:style>
  <w:style w:type="paragraph" w:customStyle="1" w:styleId="167">
    <w:name w:val="Char Char Char Char1"/>
    <w:basedOn w:val="1"/>
    <w:qFormat/>
    <w:uiPriority w:val="0"/>
    <w:pPr>
      <w:widowControl w:val="0"/>
      <w:jc w:val="both"/>
    </w:pPr>
    <w:rPr>
      <w:kern w:val="2"/>
      <w:sz w:val="21"/>
      <w:szCs w:val="24"/>
    </w:rPr>
  </w:style>
  <w:style w:type="paragraph" w:customStyle="1" w:styleId="168">
    <w:name w:val="样式 标题 2 + Times New Roman 四号 非加粗 段前: 5 磅 段后: 0 磅 行距: 固定值 20..."/>
    <w:basedOn w:val="3"/>
    <w:qFormat/>
    <w:uiPriority w:val="0"/>
    <w:pPr>
      <w:widowControl w:val="0"/>
      <w:spacing w:before="100" w:after="0" w:line="400" w:lineRule="exact"/>
      <w:jc w:val="both"/>
    </w:pPr>
    <w:rPr>
      <w:rFonts w:ascii="Times New Roman" w:hAnsi="Times New Roman" w:cs="宋体"/>
      <w:b w:val="0"/>
      <w:sz w:val="28"/>
    </w:rPr>
  </w:style>
  <w:style w:type="paragraph" w:customStyle="1" w:styleId="169">
    <w:name w:val="Char Char Char Char Char Char Char Char Char Char Char Char Char Char Char Char Char Char Char Char Char Char Char Char Char Char Char Char Char Char Char Char Char"/>
    <w:basedOn w:val="1"/>
    <w:qFormat/>
    <w:uiPriority w:val="0"/>
    <w:pPr>
      <w:spacing w:after="160" w:line="240" w:lineRule="exact"/>
    </w:pPr>
    <w:rPr>
      <w:rFonts w:ascii="Verdana" w:hAnsi="Verdana" w:eastAsia="仿宋_GB2312" w:cs="Verdana"/>
      <w:sz w:val="24"/>
      <w:szCs w:val="24"/>
      <w:lang w:eastAsia="en-US"/>
    </w:rPr>
  </w:style>
  <w:style w:type="paragraph" w:customStyle="1" w:styleId="170">
    <w:name w:val="reader-word-layer"/>
    <w:basedOn w:val="1"/>
    <w:qFormat/>
    <w:uiPriority w:val="0"/>
    <w:pPr>
      <w:spacing w:before="100" w:beforeAutospacing="1" w:after="100" w:afterAutospacing="1"/>
    </w:pPr>
    <w:rPr>
      <w:rFonts w:ascii="宋体" w:hAnsi="宋体" w:cs="宋体"/>
      <w:sz w:val="24"/>
      <w:szCs w:val="24"/>
    </w:rPr>
  </w:style>
  <w:style w:type="paragraph" w:customStyle="1" w:styleId="171">
    <w:name w:val="Char3"/>
    <w:basedOn w:val="16"/>
    <w:qFormat/>
    <w:uiPriority w:val="0"/>
    <w:pPr>
      <w:widowControl w:val="0"/>
      <w:jc w:val="both"/>
    </w:pPr>
    <w:rPr>
      <w:rFonts w:ascii="Tahoma" w:hAnsi="Tahoma"/>
      <w:kern w:val="2"/>
      <w:sz w:val="24"/>
      <w:szCs w:val="24"/>
    </w:rPr>
  </w:style>
  <w:style w:type="paragraph" w:customStyle="1" w:styleId="17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173">
    <w:name w:val="Char Char10 Char Char"/>
    <w:basedOn w:val="1"/>
    <w:next w:val="21"/>
    <w:qFormat/>
    <w:uiPriority w:val="0"/>
    <w:pPr>
      <w:widowControl w:val="0"/>
      <w:jc w:val="both"/>
    </w:pPr>
    <w:rPr>
      <w:rFonts w:eastAsia="Times New Roman"/>
      <w:sz w:val="24"/>
    </w:rPr>
  </w:style>
  <w:style w:type="paragraph" w:customStyle="1" w:styleId="174">
    <w:name w:val="_Style 166"/>
    <w:basedOn w:val="2"/>
    <w:next w:val="1"/>
    <w:qFormat/>
    <w:uiPriority w:val="0"/>
    <w:pPr>
      <w:keepLines/>
      <w:widowControl w:val="0"/>
      <w:tabs>
        <w:tab w:val="clear" w:pos="432"/>
      </w:tabs>
      <w:spacing w:before="340" w:after="330" w:line="576" w:lineRule="auto"/>
      <w:ind w:left="0" w:firstLine="0"/>
      <w:jc w:val="both"/>
      <w:outlineLvl w:val="9"/>
    </w:pPr>
    <w:rPr>
      <w:rFonts w:ascii="Calibri" w:hAnsi="Calibri" w:eastAsia="宋体"/>
      <w:b/>
      <w:bCs/>
      <w:kern w:val="44"/>
      <w:sz w:val="44"/>
      <w:szCs w:val="44"/>
    </w:rPr>
  </w:style>
  <w:style w:type="paragraph" w:customStyle="1" w:styleId="175">
    <w:name w:val="列出段落1"/>
    <w:basedOn w:val="1"/>
    <w:qFormat/>
    <w:uiPriority w:val="34"/>
    <w:pPr>
      <w:widowControl w:val="0"/>
      <w:ind w:firstLine="420" w:firstLineChars="200"/>
      <w:jc w:val="both"/>
    </w:pPr>
    <w:rPr>
      <w:kern w:val="2"/>
      <w:sz w:val="21"/>
      <w:szCs w:val="24"/>
    </w:rPr>
  </w:style>
  <w:style w:type="paragraph" w:customStyle="1" w:styleId="176">
    <w:name w:val="09正文_wh"/>
    <w:qFormat/>
    <w:uiPriority w:val="0"/>
    <w:pPr>
      <w:spacing w:line="300" w:lineRule="auto"/>
      <w:ind w:firstLine="200" w:firstLineChars="200"/>
      <w:jc w:val="both"/>
    </w:pPr>
    <w:rPr>
      <w:rFonts w:ascii="Times New Roman" w:hAnsi="Times New Roman" w:eastAsia="宋体" w:cs="Times New Roman"/>
      <w:sz w:val="28"/>
      <w:szCs w:val="28"/>
      <w:lang w:val="en-US" w:eastAsia="zh-CN" w:bidi="ar-SA"/>
    </w:rPr>
  </w:style>
  <w:style w:type="paragraph" w:styleId="177">
    <w:name w:val="List Paragraph"/>
    <w:basedOn w:val="1"/>
    <w:qFormat/>
    <w:uiPriority w:val="99"/>
    <w:pPr>
      <w:widowControl w:val="0"/>
      <w:ind w:firstLine="420" w:firstLineChars="200"/>
      <w:jc w:val="both"/>
    </w:pPr>
    <w:rPr>
      <w:rFonts w:ascii="Calibri" w:hAnsi="Calibri"/>
      <w:kern w:val="2"/>
      <w:sz w:val="21"/>
      <w:szCs w:val="22"/>
    </w:rPr>
  </w:style>
  <w:style w:type="paragraph" w:customStyle="1" w:styleId="178">
    <w:name w:val="样式1"/>
    <w:basedOn w:val="1"/>
    <w:qFormat/>
    <w:uiPriority w:val="0"/>
    <w:pPr>
      <w:widowControl w:val="0"/>
      <w:spacing w:before="120" w:after="120" w:line="300" w:lineRule="auto"/>
      <w:jc w:val="both"/>
    </w:pPr>
    <w:rPr>
      <w:rFonts w:ascii="宋体" w:hAnsi="宋体"/>
      <w:b/>
      <w:kern w:val="2"/>
      <w:sz w:val="24"/>
    </w:rPr>
  </w:style>
  <w:style w:type="paragraph" w:customStyle="1" w:styleId="179">
    <w:name w:val="flNote"/>
    <w:basedOn w:val="1"/>
    <w:qFormat/>
    <w:uiPriority w:val="0"/>
    <w:pPr>
      <w:widowControl w:val="0"/>
      <w:adjustRightInd w:val="0"/>
      <w:spacing w:before="320" w:after="160" w:line="360" w:lineRule="atLeast"/>
      <w:jc w:val="center"/>
      <w:textAlignment w:val="baseline"/>
    </w:pPr>
    <w:rPr>
      <w:rFonts w:ascii="Arial" w:eastAsia="黑体"/>
      <w:sz w:val="30"/>
    </w:rPr>
  </w:style>
  <w:style w:type="paragraph" w:customStyle="1" w:styleId="180">
    <w:name w:val="_Style 172"/>
    <w:qFormat/>
    <w:uiPriority w:val="0"/>
    <w:rPr>
      <w:rFonts w:ascii="Times New Roman" w:hAnsi="Times New Roman" w:eastAsia="宋体" w:cs="Times New Roman"/>
      <w:lang w:val="en-US" w:eastAsia="zh-CN" w:bidi="ar-SA"/>
    </w:rPr>
  </w:style>
  <w:style w:type="paragraph" w:customStyle="1" w:styleId="181">
    <w:name w:val="表格文字"/>
    <w:basedOn w:val="1"/>
    <w:qFormat/>
    <w:uiPriority w:val="0"/>
    <w:pPr>
      <w:widowControl w:val="0"/>
      <w:spacing w:before="25" w:after="25"/>
    </w:pPr>
    <w:rPr>
      <w:bCs/>
      <w:spacing w:val="10"/>
      <w:sz w:val="24"/>
    </w:rPr>
  </w:style>
  <w:style w:type="character" w:customStyle="1" w:styleId="182">
    <w:name w:val="green"/>
    <w:qFormat/>
    <w:uiPriority w:val="0"/>
    <w:rPr>
      <w:shd w:val="clear" w:color="auto" w:fill="71C033"/>
    </w:rPr>
  </w:style>
  <w:style w:type="character" w:customStyle="1" w:styleId="183">
    <w:name w:val="disabled"/>
    <w:qFormat/>
    <w:uiPriority w:val="0"/>
    <w:rPr>
      <w:color w:val="DDDDDD"/>
      <w:bdr w:val="single" w:color="EEEEEE" w:sz="4" w:space="0"/>
    </w:rPr>
  </w:style>
  <w:style w:type="character" w:customStyle="1" w:styleId="184">
    <w:name w:val="blue2"/>
    <w:qFormat/>
    <w:uiPriority w:val="0"/>
    <w:rPr>
      <w:shd w:val="clear" w:color="auto" w:fill="53A7FF"/>
    </w:rPr>
  </w:style>
  <w:style w:type="character" w:customStyle="1" w:styleId="185">
    <w:name w:val="yellow"/>
    <w:qFormat/>
    <w:uiPriority w:val="0"/>
    <w:rPr>
      <w:shd w:val="clear" w:color="auto" w:fill="F58F00"/>
    </w:rPr>
  </w:style>
  <w:style w:type="character" w:customStyle="1" w:styleId="186">
    <w:name w:val="red"/>
    <w:qFormat/>
    <w:uiPriority w:val="0"/>
    <w:rPr>
      <w:shd w:val="clear" w:color="auto" w:fill="EA5954"/>
    </w:rPr>
  </w:style>
  <w:style w:type="character" w:customStyle="1" w:styleId="187">
    <w:name w:val="blue"/>
    <w:qFormat/>
    <w:uiPriority w:val="0"/>
    <w:rPr>
      <w:shd w:val="clear" w:color="auto" w:fill="53A7FF"/>
    </w:rPr>
  </w:style>
  <w:style w:type="paragraph" w:customStyle="1" w:styleId="188">
    <w:name w:val="_Style 45"/>
    <w:basedOn w:val="1"/>
    <w:qFormat/>
    <w:uiPriority w:val="0"/>
  </w:style>
  <w:style w:type="paragraph" w:customStyle="1" w:styleId="189">
    <w:name w:val="实施方案正文"/>
    <w:basedOn w:val="1"/>
    <w:qFormat/>
    <w:uiPriority w:val="0"/>
    <w:pPr>
      <w:ind w:firstLine="566" w:firstLineChars="202"/>
    </w:pPr>
  </w:style>
  <w:style w:type="character" w:customStyle="1" w:styleId="190">
    <w:name w:val="disabled2"/>
    <w:qFormat/>
    <w:uiPriority w:val="0"/>
    <w:rPr>
      <w:color w:val="DDDDDD"/>
      <w:bdr w:val="single" w:color="EEEEEE" w:sz="4" w:space="0"/>
    </w:rPr>
  </w:style>
  <w:style w:type="character" w:customStyle="1" w:styleId="191">
    <w:name w:val="font41"/>
    <w:basedOn w:val="52"/>
    <w:qFormat/>
    <w:uiPriority w:val="0"/>
    <w:rPr>
      <w:rFonts w:hint="eastAsia" w:ascii="宋体" w:hAnsi="宋体" w:eastAsia="宋体" w:cs="宋体"/>
      <w:color w:val="000000"/>
      <w:sz w:val="22"/>
      <w:szCs w:val="22"/>
      <w:u w:val="none"/>
    </w:rPr>
  </w:style>
  <w:style w:type="character" w:customStyle="1" w:styleId="192">
    <w:name w:val="red2"/>
    <w:basedOn w:val="52"/>
    <w:qFormat/>
    <w:uiPriority w:val="0"/>
    <w:rPr>
      <w:shd w:val="clear" w:color="auto" w:fill="EA5954"/>
    </w:rPr>
  </w:style>
  <w:style w:type="character" w:customStyle="1" w:styleId="193">
    <w:name w:val="font11"/>
    <w:basedOn w:val="52"/>
    <w:qFormat/>
    <w:uiPriority w:val="0"/>
    <w:rPr>
      <w:rFonts w:hint="default" w:ascii="Calibri" w:hAnsi="Calibri" w:cs="Calibri"/>
      <w:color w:val="000000"/>
      <w:sz w:val="22"/>
      <w:szCs w:val="22"/>
      <w:u w:val="none"/>
    </w:rPr>
  </w:style>
  <w:style w:type="character" w:customStyle="1" w:styleId="194">
    <w:name w:val="font01"/>
    <w:basedOn w:val="52"/>
    <w:qFormat/>
    <w:uiPriority w:val="0"/>
    <w:rPr>
      <w:rFonts w:hint="eastAsia" w:ascii="宋体" w:hAnsi="宋体" w:eastAsia="宋体" w:cs="宋体"/>
      <w:color w:val="000000"/>
      <w:sz w:val="22"/>
      <w:szCs w:val="22"/>
      <w:u w:val="none"/>
    </w:rPr>
  </w:style>
  <w:style w:type="character" w:customStyle="1" w:styleId="195">
    <w:name w:val="font31"/>
    <w:basedOn w:val="52"/>
    <w:qFormat/>
    <w:uiPriority w:val="0"/>
    <w:rPr>
      <w:rFonts w:hint="eastAsia" w:ascii="宋体" w:hAnsi="宋体" w:eastAsia="宋体" w:cs="宋体"/>
      <w:color w:val="000000"/>
      <w:sz w:val="24"/>
      <w:szCs w:val="24"/>
      <w:u w:val="none"/>
    </w:rPr>
  </w:style>
  <w:style w:type="paragraph" w:customStyle="1" w:styleId="196">
    <w:name w:val="NormalIndent"/>
    <w:basedOn w:val="1"/>
    <w:link w:val="269"/>
    <w:qFormat/>
    <w:uiPriority w:val="0"/>
    <w:pPr>
      <w:ind w:firstLine="420"/>
    </w:pPr>
    <w:rPr>
      <w:rFonts w:ascii="Calibri" w:hAnsi="Calibri"/>
    </w:rPr>
  </w:style>
  <w:style w:type="character" w:customStyle="1" w:styleId="197">
    <w:name w:val="正文文本 3 字符"/>
    <w:basedOn w:val="52"/>
    <w:link w:val="20"/>
    <w:qFormat/>
    <w:uiPriority w:val="99"/>
    <w:rPr>
      <w:rFonts w:ascii="宋体"/>
      <w:sz w:val="24"/>
      <w:szCs w:val="24"/>
    </w:rPr>
  </w:style>
  <w:style w:type="character" w:customStyle="1" w:styleId="198">
    <w:name w:val="脚注文本 字符"/>
    <w:basedOn w:val="52"/>
    <w:link w:val="38"/>
    <w:qFormat/>
    <w:uiPriority w:val="0"/>
    <w:rPr>
      <w:sz w:val="18"/>
    </w:rPr>
  </w:style>
  <w:style w:type="character" w:customStyle="1" w:styleId="199">
    <w:name w:val="HTML 预设格式 字符"/>
    <w:basedOn w:val="52"/>
    <w:link w:val="44"/>
    <w:qFormat/>
    <w:uiPriority w:val="99"/>
    <w:rPr>
      <w:rFonts w:ascii="宋体" w:hAnsi="宋体"/>
      <w:sz w:val="24"/>
      <w:szCs w:val="24"/>
    </w:rPr>
  </w:style>
  <w:style w:type="character" w:customStyle="1" w:styleId="200">
    <w:name w:val="正文文本首行缩进 字符"/>
    <w:basedOn w:val="78"/>
    <w:link w:val="48"/>
    <w:qFormat/>
    <w:uiPriority w:val="0"/>
    <w:rPr>
      <w:rFonts w:ascii="Calibri" w:hAnsi="Calibri"/>
      <w:kern w:val="2"/>
      <w:sz w:val="21"/>
      <w:szCs w:val="24"/>
    </w:rPr>
  </w:style>
  <w:style w:type="character" w:customStyle="1" w:styleId="201">
    <w:name w:val="NormalCharacter"/>
    <w:unhideWhenUsed/>
    <w:qFormat/>
    <w:uiPriority w:val="0"/>
    <w:rPr>
      <w:rFonts w:ascii="Times New Roman" w:hAnsi="Times New Roman" w:eastAsia="宋体" w:cs="Times New Roman"/>
      <w:kern w:val="2"/>
      <w:sz w:val="21"/>
      <w:lang w:val="en-US" w:eastAsia="zh-CN" w:bidi="ar-SA"/>
    </w:rPr>
  </w:style>
  <w:style w:type="character" w:customStyle="1" w:styleId="202">
    <w:name w:val="文档结构图 字符1"/>
    <w:semiHidden/>
    <w:qFormat/>
    <w:uiPriority w:val="99"/>
    <w:rPr>
      <w:rFonts w:ascii="宋体"/>
      <w:sz w:val="18"/>
      <w:szCs w:val="18"/>
    </w:rPr>
  </w:style>
  <w:style w:type="paragraph" w:customStyle="1" w:styleId="203">
    <w:name w:val="UserStyle_45"/>
    <w:basedOn w:val="1"/>
    <w:next w:val="1"/>
    <w:qFormat/>
    <w:uiPriority w:val="0"/>
    <w:pPr>
      <w:jc w:val="both"/>
      <w:textAlignment w:val="baseline"/>
    </w:pPr>
    <w:rPr>
      <w:rFonts w:eastAsia="楷体_GB2312"/>
      <w:color w:val="000000"/>
      <w:sz w:val="24"/>
      <w:lang w:val="de-DE"/>
    </w:rPr>
  </w:style>
  <w:style w:type="character" w:customStyle="1" w:styleId="204">
    <w:name w:val="正文文本 字符1"/>
    <w:qFormat/>
    <w:uiPriority w:val="99"/>
    <w:rPr>
      <w:kern w:val="2"/>
      <w:sz w:val="21"/>
      <w:szCs w:val="24"/>
    </w:rPr>
  </w:style>
  <w:style w:type="character" w:customStyle="1" w:styleId="205">
    <w:name w:val="标题 1 字符1"/>
    <w:qFormat/>
    <w:uiPriority w:val="99"/>
    <w:rPr>
      <w:rFonts w:ascii="Calibri" w:hAnsi="Calibri" w:eastAsia="宋体" w:cs="Times New Roman"/>
      <w:b/>
      <w:bCs/>
      <w:kern w:val="44"/>
      <w:sz w:val="44"/>
      <w:szCs w:val="44"/>
    </w:rPr>
  </w:style>
  <w:style w:type="character" w:customStyle="1" w:styleId="206">
    <w:name w:val="批注框文本 字符1"/>
    <w:semiHidden/>
    <w:qFormat/>
    <w:uiPriority w:val="99"/>
    <w:rPr>
      <w:sz w:val="18"/>
      <w:szCs w:val="18"/>
    </w:rPr>
  </w:style>
  <w:style w:type="character" w:customStyle="1" w:styleId="207">
    <w:name w:val="批注主题 字符1"/>
    <w:qFormat/>
    <w:uiPriority w:val="0"/>
  </w:style>
  <w:style w:type="character" w:customStyle="1" w:styleId="208">
    <w:name w:val="正文文本首行缩进 2 字符"/>
    <w:link w:val="49"/>
    <w:qFormat/>
    <w:uiPriority w:val="0"/>
  </w:style>
  <w:style w:type="paragraph" w:customStyle="1" w:styleId="209">
    <w:name w:val="Table Paragraph"/>
    <w:qFormat/>
    <w:uiPriority w:val="0"/>
    <w:pPr>
      <w:widowControl w:val="0"/>
      <w:spacing w:line="360" w:lineRule="auto"/>
      <w:ind w:firstLine="200" w:firstLineChars="200"/>
      <w:jc w:val="both"/>
    </w:pPr>
    <w:rPr>
      <w:rFonts w:ascii="仿宋_GB2312" w:hAnsi="仿宋_GB2312" w:eastAsia="仿宋_GB2312" w:cs="Times New Roman"/>
      <w:color w:val="000000"/>
      <w:kern w:val="2"/>
      <w:sz w:val="24"/>
      <w:szCs w:val="22"/>
      <w:lang w:val="en-US" w:eastAsia="zh-CN" w:bidi="ar-SA"/>
    </w:rPr>
  </w:style>
  <w:style w:type="paragraph" w:customStyle="1" w:styleId="210">
    <w:name w:val="无间隔1"/>
    <w:qFormat/>
    <w:uiPriority w:val="0"/>
    <w:pPr>
      <w:widowControl w:val="0"/>
      <w:spacing w:after="200" w:line="276" w:lineRule="auto"/>
      <w:jc w:val="both"/>
    </w:pPr>
    <w:rPr>
      <w:rFonts w:ascii="Cambria" w:hAnsi="Cambria" w:eastAsia="华文楷体" w:cs="Times New Roman"/>
      <w:kern w:val="2"/>
      <w:sz w:val="21"/>
      <w:szCs w:val="22"/>
      <w:lang w:val="en-US" w:eastAsia="zh-CN" w:bidi="ar-SA"/>
    </w:rPr>
  </w:style>
  <w:style w:type="paragraph" w:customStyle="1" w:styleId="211">
    <w:name w:val="标题 5（有编号）（绿盟科技）"/>
    <w:basedOn w:val="1"/>
    <w:next w:val="212"/>
    <w:qFormat/>
    <w:uiPriority w:val="0"/>
    <w:pPr>
      <w:keepNext/>
      <w:keepLines/>
      <w:widowControl w:val="0"/>
      <w:tabs>
        <w:tab w:val="left" w:pos="0"/>
        <w:tab w:val="left" w:pos="312"/>
        <w:tab w:val="left" w:pos="5970"/>
      </w:tabs>
      <w:spacing w:before="280" w:after="156" w:line="377" w:lineRule="auto"/>
      <w:ind w:left="5970" w:firstLine="200" w:firstLineChars="200"/>
      <w:jc w:val="both"/>
      <w:outlineLvl w:val="4"/>
    </w:pPr>
    <w:rPr>
      <w:rFonts w:ascii="Arial" w:hAnsi="Arial" w:eastAsia="黑体"/>
      <w:b/>
      <w:sz w:val="28"/>
      <w:szCs w:val="28"/>
    </w:rPr>
  </w:style>
  <w:style w:type="paragraph" w:customStyle="1" w:styleId="21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13">
    <w:name w:val="15"/>
    <w:qFormat/>
    <w:uiPriority w:val="0"/>
    <w:rPr>
      <w:rFonts w:hint="default" w:ascii="Times New Roman" w:hAnsi="Times New Roman" w:cs="Times New Roman"/>
      <w:b/>
      <w:bCs/>
      <w:kern w:val="44"/>
      <w:sz w:val="44"/>
      <w:szCs w:val="44"/>
    </w:rPr>
  </w:style>
  <w:style w:type="character" w:customStyle="1" w:styleId="214">
    <w:name w:val="16"/>
    <w:qFormat/>
    <w:uiPriority w:val="0"/>
    <w:rPr>
      <w:rFonts w:hint="default" w:ascii="Times New Roman" w:hAnsi="Times New Roman" w:cs="Times New Roman"/>
      <w:b/>
      <w:bCs/>
      <w:sz w:val="32"/>
      <w:szCs w:val="32"/>
    </w:rPr>
  </w:style>
  <w:style w:type="paragraph" w:customStyle="1" w:styleId="215">
    <w:name w:val="纯文本1"/>
    <w:basedOn w:val="1"/>
    <w:qFormat/>
    <w:uiPriority w:val="0"/>
    <w:rPr>
      <w:rFonts w:ascii="宋体" w:hAnsi="Courier New"/>
      <w:sz w:val="21"/>
      <w:szCs w:val="22"/>
    </w:rPr>
  </w:style>
  <w:style w:type="paragraph" w:customStyle="1" w:styleId="216">
    <w:name w:val="_Style 2"/>
    <w:basedOn w:val="1"/>
    <w:qFormat/>
    <w:uiPriority w:val="0"/>
    <w:rPr>
      <w:sz w:val="21"/>
      <w:szCs w:val="21"/>
    </w:rPr>
  </w:style>
  <w:style w:type="paragraph" w:customStyle="1" w:styleId="217">
    <w:name w:val="索引 11"/>
    <w:basedOn w:val="1"/>
    <w:next w:val="1"/>
    <w:qFormat/>
    <w:uiPriority w:val="0"/>
    <w:pPr>
      <w:spacing w:line="360" w:lineRule="auto"/>
    </w:pPr>
    <w:rPr>
      <w:rFonts w:ascii="仿宋_GB2312" w:eastAsia="仿宋_GB2312"/>
      <w:sz w:val="24"/>
    </w:rPr>
  </w:style>
  <w:style w:type="paragraph" w:customStyle="1" w:styleId="218">
    <w:name w:val="正文缩进1"/>
    <w:basedOn w:val="1"/>
    <w:qFormat/>
    <w:uiPriority w:val="0"/>
    <w:pPr>
      <w:autoSpaceDE w:val="0"/>
      <w:autoSpaceDN w:val="0"/>
      <w:adjustRightInd w:val="0"/>
      <w:ind w:firstLine="420"/>
    </w:pPr>
    <w:rPr>
      <w:rFonts w:ascii="宋体" w:hAnsi="Calibri"/>
      <w:sz w:val="24"/>
      <w:szCs w:val="22"/>
    </w:rPr>
  </w:style>
  <w:style w:type="paragraph" w:customStyle="1" w:styleId="219">
    <w:name w:val="样式 样式 首行缩进:  2.57 字符 + 首行缩进:  2.57 字符"/>
    <w:basedOn w:val="1"/>
    <w:qFormat/>
    <w:uiPriority w:val="0"/>
    <w:pPr>
      <w:spacing w:line="360" w:lineRule="auto"/>
      <w:ind w:firstLine="771" w:firstLineChars="257"/>
    </w:pPr>
    <w:rPr>
      <w:rFonts w:eastAsia="仿宋" w:cs="宋体"/>
      <w:sz w:val="30"/>
      <w:szCs w:val="30"/>
    </w:rPr>
  </w:style>
  <w:style w:type="paragraph" w:customStyle="1" w:styleId="220">
    <w:name w:val="p2"/>
    <w:basedOn w:val="1"/>
    <w:qFormat/>
    <w:uiPriority w:val="0"/>
    <w:pPr>
      <w:spacing w:line="480" w:lineRule="auto"/>
      <w:ind w:firstLine="420"/>
    </w:pPr>
    <w:rPr>
      <w:rFonts w:ascii="宋体" w:hAnsi="宋体" w:cs="宋体"/>
      <w:sz w:val="21"/>
      <w:szCs w:val="21"/>
    </w:rPr>
  </w:style>
  <w:style w:type="character" w:customStyle="1" w:styleId="221">
    <w:name w:val="不明显强调1"/>
    <w:qFormat/>
    <w:uiPriority w:val="0"/>
    <w:rPr>
      <w:i/>
      <w:iCs/>
      <w:color w:val="808080"/>
    </w:rPr>
  </w:style>
  <w:style w:type="character" w:customStyle="1" w:styleId="222">
    <w:name w:val="标题4 Char Char"/>
    <w:link w:val="223"/>
    <w:qFormat/>
    <w:uiPriority w:val="0"/>
    <w:rPr>
      <w:rFonts w:ascii="Arial" w:hAnsi="Arial"/>
      <w:b/>
      <w:bCs/>
      <w:sz w:val="24"/>
      <w:szCs w:val="32"/>
    </w:rPr>
  </w:style>
  <w:style w:type="paragraph" w:customStyle="1" w:styleId="223">
    <w:name w:val="标题4"/>
    <w:basedOn w:val="3"/>
    <w:next w:val="24"/>
    <w:link w:val="222"/>
    <w:qFormat/>
    <w:uiPriority w:val="0"/>
    <w:pPr>
      <w:widowControl w:val="0"/>
      <w:jc w:val="both"/>
    </w:pPr>
    <w:rPr>
      <w:rFonts w:eastAsia="宋体"/>
      <w:bCs/>
      <w:sz w:val="24"/>
      <w:szCs w:val="32"/>
    </w:rPr>
  </w:style>
  <w:style w:type="character" w:customStyle="1" w:styleId="224">
    <w:name w:val="明显参考1"/>
    <w:qFormat/>
    <w:uiPriority w:val="0"/>
    <w:rPr>
      <w:b/>
      <w:bCs/>
      <w:smallCaps/>
      <w:color w:val="C0504D"/>
      <w:spacing w:val="5"/>
      <w:u w:val="single"/>
    </w:rPr>
  </w:style>
  <w:style w:type="character" w:customStyle="1" w:styleId="225">
    <w:name w:val="书籍标题1"/>
    <w:qFormat/>
    <w:uiPriority w:val="0"/>
    <w:rPr>
      <w:b/>
      <w:bCs/>
      <w:smallCaps/>
      <w:spacing w:val="5"/>
    </w:rPr>
  </w:style>
  <w:style w:type="character" w:customStyle="1" w:styleId="226">
    <w:name w:val="明显强调1"/>
    <w:qFormat/>
    <w:uiPriority w:val="21"/>
    <w:rPr>
      <w:b/>
      <w:bCs/>
      <w:i/>
      <w:iCs/>
      <w:color w:val="4F81BD"/>
    </w:rPr>
  </w:style>
  <w:style w:type="character" w:customStyle="1" w:styleId="227">
    <w:name w:val="不明显参考1"/>
    <w:qFormat/>
    <w:uiPriority w:val="0"/>
    <w:rPr>
      <w:smallCaps/>
      <w:color w:val="C0504D"/>
      <w:u w:val="single"/>
    </w:rPr>
  </w:style>
  <w:style w:type="paragraph" w:customStyle="1" w:styleId="228">
    <w:name w:val="修订1"/>
    <w:qFormat/>
    <w:uiPriority w:val="99"/>
    <w:rPr>
      <w:rFonts w:ascii="Times New Roman" w:hAnsi="Times New Roman" w:eastAsia="宋体" w:cs="Times New Roman"/>
      <w:kern w:val="2"/>
      <w:sz w:val="21"/>
      <w:szCs w:val="24"/>
      <w:lang w:val="en-US" w:eastAsia="zh-CN" w:bidi="ar-SA"/>
    </w:rPr>
  </w:style>
  <w:style w:type="character" w:customStyle="1" w:styleId="229">
    <w:name w:val="日期 字符1"/>
    <w:semiHidden/>
    <w:qFormat/>
    <w:uiPriority w:val="99"/>
    <w:rPr>
      <w:sz w:val="21"/>
      <w:szCs w:val="21"/>
    </w:rPr>
  </w:style>
  <w:style w:type="paragraph" w:customStyle="1" w:styleId="230">
    <w:name w:val="TOC 标题1"/>
    <w:basedOn w:val="2"/>
    <w:next w:val="1"/>
    <w:qFormat/>
    <w:uiPriority w:val="39"/>
    <w:pPr>
      <w:keepLines/>
      <w:widowControl w:val="0"/>
      <w:tabs>
        <w:tab w:val="clear" w:pos="432"/>
      </w:tabs>
      <w:spacing w:before="340" w:after="330" w:line="576" w:lineRule="auto"/>
      <w:ind w:left="0" w:firstLine="0"/>
      <w:jc w:val="both"/>
      <w:outlineLvl w:val="9"/>
    </w:pPr>
    <w:rPr>
      <w:rFonts w:ascii="Calibri" w:hAnsi="Calibri" w:eastAsia="宋体"/>
      <w:b/>
      <w:bCs/>
      <w:kern w:val="44"/>
      <w:sz w:val="44"/>
      <w:szCs w:val="44"/>
    </w:rPr>
  </w:style>
  <w:style w:type="paragraph" w:customStyle="1" w:styleId="231">
    <w:name w:val="BodyText"/>
    <w:basedOn w:val="1"/>
    <w:qFormat/>
    <w:uiPriority w:val="0"/>
    <w:pPr>
      <w:widowControl w:val="0"/>
      <w:spacing w:after="120" w:line="440" w:lineRule="exact"/>
      <w:ind w:firstLine="200" w:firstLineChars="200"/>
      <w:jc w:val="both"/>
    </w:pPr>
    <w:rPr>
      <w:rFonts w:ascii="等线" w:hAnsi="等线" w:eastAsia="仿宋_GB2312"/>
      <w:kern w:val="2"/>
      <w:sz w:val="28"/>
      <w:szCs w:val="21"/>
    </w:rPr>
  </w:style>
  <w:style w:type="paragraph" w:customStyle="1" w:styleId="232">
    <w:name w:val="表格一"/>
    <w:basedOn w:val="33"/>
    <w:qFormat/>
    <w:uiPriority w:val="0"/>
    <w:pPr>
      <w:widowControl w:val="0"/>
      <w:pBdr>
        <w:bottom w:val="none" w:color="auto" w:sz="0" w:space="0"/>
      </w:pBdr>
      <w:tabs>
        <w:tab w:val="clear" w:pos="4153"/>
        <w:tab w:val="clear" w:pos="8306"/>
      </w:tabs>
      <w:autoSpaceDE w:val="0"/>
      <w:autoSpaceDN w:val="0"/>
      <w:adjustRightInd w:val="0"/>
      <w:snapToGrid/>
      <w:spacing w:line="440" w:lineRule="exact"/>
      <w:ind w:firstLine="200" w:firstLineChars="200"/>
    </w:pPr>
    <w:rPr>
      <w:rFonts w:ascii="楷体_GB2312" w:hAnsi="华文楷体" w:eastAsia="楷体_GB2312"/>
      <w:b/>
      <w:sz w:val="24"/>
      <w:szCs w:val="24"/>
    </w:rPr>
  </w:style>
  <w:style w:type="paragraph" w:customStyle="1" w:styleId="233">
    <w:name w:val="Normal_1"/>
    <w:qFormat/>
    <w:uiPriority w:val="0"/>
    <w:rPr>
      <w:rFonts w:ascii="Times New Roman" w:hAnsi="Times New Roman" w:eastAsia="Times New Roman" w:cs="Times New Roman"/>
      <w:sz w:val="24"/>
      <w:szCs w:val="24"/>
      <w:lang w:val="en-US" w:eastAsia="zh-CN" w:bidi="ar-SA"/>
    </w:rPr>
  </w:style>
  <w:style w:type="paragraph" w:customStyle="1" w:styleId="234">
    <w:name w:val="tang"/>
    <w:basedOn w:val="1"/>
    <w:qFormat/>
    <w:uiPriority w:val="0"/>
    <w:pPr>
      <w:ind w:firstLine="680"/>
    </w:pPr>
    <w:rPr>
      <w:rFonts w:ascii="宋体"/>
      <w:sz w:val="28"/>
      <w:szCs w:val="21"/>
    </w:rPr>
  </w:style>
  <w:style w:type="character" w:customStyle="1" w:styleId="235">
    <w:name w:val="fontstyle01"/>
    <w:qFormat/>
    <w:uiPriority w:val="0"/>
    <w:rPr>
      <w:rFonts w:hint="eastAsia" w:ascii="宋体" w:hAnsi="宋体" w:eastAsia="宋体" w:cs="宋体"/>
      <w:color w:val="000000"/>
      <w:sz w:val="28"/>
      <w:szCs w:val="28"/>
    </w:rPr>
  </w:style>
  <w:style w:type="paragraph" w:customStyle="1" w:styleId="236">
    <w:name w:val="Table Text"/>
    <w:basedOn w:val="1"/>
    <w:semiHidden/>
    <w:qFormat/>
    <w:uiPriority w:val="0"/>
    <w:rPr>
      <w:rFonts w:ascii="宋体" w:hAnsi="宋体" w:cs="宋体"/>
      <w:sz w:val="24"/>
      <w:szCs w:val="24"/>
      <w:lang w:eastAsia="en-US"/>
    </w:rPr>
  </w:style>
  <w:style w:type="table" w:customStyle="1" w:styleId="237">
    <w:name w:val="Table Normal"/>
    <w:unhideWhenUsed/>
    <w:qFormat/>
    <w:uiPriority w:val="0"/>
    <w:tblPr>
      <w:tblCellMar>
        <w:top w:w="0" w:type="dxa"/>
        <w:left w:w="0" w:type="dxa"/>
        <w:bottom w:w="0" w:type="dxa"/>
        <w:right w:w="0" w:type="dxa"/>
      </w:tblCellMar>
    </w:tblPr>
  </w:style>
  <w:style w:type="character" w:customStyle="1" w:styleId="238">
    <w:name w:val="font51"/>
    <w:qFormat/>
    <w:uiPriority w:val="0"/>
    <w:rPr>
      <w:rFonts w:hint="eastAsia" w:ascii="宋体" w:hAnsi="宋体" w:eastAsia="宋体" w:cs="宋体"/>
      <w:b/>
      <w:bCs/>
      <w:color w:val="000000"/>
      <w:sz w:val="20"/>
      <w:szCs w:val="20"/>
      <w:u w:val="none"/>
    </w:rPr>
  </w:style>
  <w:style w:type="character" w:customStyle="1" w:styleId="239">
    <w:name w:val="font101"/>
    <w:qFormat/>
    <w:uiPriority w:val="0"/>
    <w:rPr>
      <w:rFonts w:hint="default" w:ascii="Times New Roman" w:hAnsi="Times New Roman" w:cs="Times New Roman"/>
      <w:b/>
      <w:bCs/>
      <w:color w:val="000000"/>
      <w:sz w:val="20"/>
      <w:szCs w:val="20"/>
      <w:u w:val="none"/>
    </w:rPr>
  </w:style>
  <w:style w:type="character" w:customStyle="1" w:styleId="240">
    <w:name w:val="font91"/>
    <w:qFormat/>
    <w:uiPriority w:val="0"/>
    <w:rPr>
      <w:rFonts w:hint="eastAsia" w:ascii="宋体" w:hAnsi="宋体" w:eastAsia="宋体" w:cs="宋体"/>
      <w:color w:val="000000"/>
      <w:sz w:val="20"/>
      <w:szCs w:val="20"/>
      <w:u w:val="none"/>
    </w:rPr>
  </w:style>
  <w:style w:type="character" w:customStyle="1" w:styleId="241">
    <w:name w:val="批注文字 Char"/>
    <w:semiHidden/>
    <w:qFormat/>
    <w:uiPriority w:val="99"/>
    <w:rPr>
      <w:rFonts w:ascii="Times New Roman" w:hAnsi="Times New Roman" w:eastAsia="宋体" w:cs="Times New Roman"/>
      <w:kern w:val="2"/>
      <w:sz w:val="21"/>
      <w:szCs w:val="24"/>
    </w:rPr>
  </w:style>
  <w:style w:type="character" w:customStyle="1" w:styleId="242">
    <w:name w:val="正文文本 Char"/>
    <w:semiHidden/>
    <w:qFormat/>
    <w:uiPriority w:val="99"/>
    <w:rPr>
      <w:rFonts w:ascii="Times New Roman" w:hAnsi="Times New Roman" w:eastAsia="宋体" w:cs="Times New Roman"/>
      <w:kern w:val="2"/>
      <w:sz w:val="21"/>
      <w:szCs w:val="24"/>
    </w:rPr>
  </w:style>
  <w:style w:type="paragraph" w:customStyle="1" w:styleId="243">
    <w:name w:val="Heading2"/>
    <w:basedOn w:val="1"/>
    <w:next w:val="1"/>
    <w:link w:val="244"/>
    <w:qFormat/>
    <w:uiPriority w:val="0"/>
    <w:pPr>
      <w:keepNext/>
      <w:keepLines/>
      <w:spacing w:line="400" w:lineRule="exact"/>
      <w:jc w:val="center"/>
      <w:textAlignment w:val="baseline"/>
    </w:pPr>
    <w:rPr>
      <w:rFonts w:ascii="Arial" w:hAnsi="Arial"/>
      <w:b/>
      <w:sz w:val="30"/>
    </w:rPr>
  </w:style>
  <w:style w:type="character" w:customStyle="1" w:styleId="244">
    <w:name w:val="UserStyle_27"/>
    <w:link w:val="243"/>
    <w:qFormat/>
    <w:uiPriority w:val="0"/>
    <w:rPr>
      <w:rFonts w:ascii="Arial" w:hAnsi="Arial"/>
      <w:b/>
      <w:sz w:val="30"/>
    </w:rPr>
  </w:style>
  <w:style w:type="paragraph" w:customStyle="1" w:styleId="24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Heading1"/>
    <w:basedOn w:val="1"/>
    <w:next w:val="1"/>
    <w:qFormat/>
    <w:uiPriority w:val="0"/>
    <w:pPr>
      <w:keepNext/>
      <w:keepLines/>
      <w:spacing w:before="120" w:after="120"/>
      <w:jc w:val="center"/>
      <w:textAlignment w:val="baseline"/>
    </w:pPr>
    <w:rPr>
      <w:b/>
      <w:spacing w:val="20"/>
      <w:kern w:val="44"/>
      <w:sz w:val="32"/>
    </w:rPr>
  </w:style>
  <w:style w:type="paragraph" w:customStyle="1" w:styleId="247">
    <w:name w:val="Heading3"/>
    <w:basedOn w:val="1"/>
    <w:next w:val="196"/>
    <w:qFormat/>
    <w:uiPriority w:val="0"/>
    <w:pPr>
      <w:keepNext/>
      <w:keepLines/>
      <w:spacing w:before="60" w:after="60" w:line="500" w:lineRule="exact"/>
      <w:ind w:firstLine="510"/>
      <w:jc w:val="both"/>
      <w:textAlignment w:val="baseline"/>
    </w:pPr>
    <w:rPr>
      <w:rFonts w:ascii="宋体"/>
      <w:b/>
      <w:kern w:val="2"/>
      <w:sz w:val="24"/>
    </w:rPr>
  </w:style>
  <w:style w:type="paragraph" w:customStyle="1" w:styleId="248">
    <w:name w:val="Heading4"/>
    <w:basedOn w:val="1"/>
    <w:next w:val="1"/>
    <w:qFormat/>
    <w:uiPriority w:val="0"/>
    <w:pPr>
      <w:keepNext/>
      <w:keepLines/>
      <w:spacing w:before="280" w:after="290" w:line="372" w:lineRule="auto"/>
      <w:jc w:val="both"/>
      <w:textAlignment w:val="baseline"/>
    </w:pPr>
    <w:rPr>
      <w:rFonts w:ascii="Arial" w:hAnsi="Arial" w:eastAsia="黑体"/>
      <w:b/>
      <w:bCs/>
      <w:kern w:val="2"/>
      <w:sz w:val="28"/>
      <w:szCs w:val="28"/>
    </w:rPr>
  </w:style>
  <w:style w:type="paragraph" w:customStyle="1" w:styleId="249">
    <w:name w:val="Heading5"/>
    <w:basedOn w:val="1"/>
    <w:next w:val="1"/>
    <w:qFormat/>
    <w:uiPriority w:val="0"/>
    <w:pPr>
      <w:keepNext/>
      <w:jc w:val="center"/>
      <w:textAlignment w:val="baseline"/>
    </w:pPr>
    <w:rPr>
      <w:rFonts w:ascii="仿宋_GB2312" w:eastAsia="仿宋_GB2312"/>
      <w:b/>
      <w:bCs/>
      <w:kern w:val="2"/>
      <w:sz w:val="24"/>
    </w:rPr>
  </w:style>
  <w:style w:type="paragraph" w:customStyle="1" w:styleId="250">
    <w:name w:val="Heading7"/>
    <w:basedOn w:val="1"/>
    <w:next w:val="1"/>
    <w:qFormat/>
    <w:uiPriority w:val="0"/>
    <w:pPr>
      <w:ind w:left="300"/>
      <w:jc w:val="both"/>
      <w:textAlignment w:val="baseline"/>
    </w:pPr>
    <w:rPr>
      <w:b/>
      <w:bCs/>
      <w:kern w:val="2"/>
      <w:sz w:val="24"/>
      <w:szCs w:val="24"/>
    </w:rPr>
  </w:style>
  <w:style w:type="table" w:customStyle="1" w:styleId="251">
    <w:name w:val="TableNormal"/>
    <w:qFormat/>
    <w:uiPriority w:val="0"/>
    <w:tblPr>
      <w:tblCellMar>
        <w:top w:w="0" w:type="dxa"/>
        <w:left w:w="0" w:type="dxa"/>
        <w:bottom w:w="0" w:type="dxa"/>
        <w:right w:w="0" w:type="dxa"/>
      </w:tblCellMar>
    </w:tblPr>
  </w:style>
  <w:style w:type="character" w:customStyle="1" w:styleId="252">
    <w:name w:val="UserStyle_0"/>
    <w:link w:val="253"/>
    <w:qFormat/>
    <w:uiPriority w:val="0"/>
    <w:rPr>
      <w:rFonts w:ascii="宋体"/>
      <w:kern w:val="2"/>
      <w:sz w:val="24"/>
    </w:rPr>
  </w:style>
  <w:style w:type="paragraph" w:customStyle="1" w:styleId="253">
    <w:name w:val="BodyTextIndent2"/>
    <w:basedOn w:val="1"/>
    <w:link w:val="252"/>
    <w:qFormat/>
    <w:uiPriority w:val="0"/>
    <w:pPr>
      <w:spacing w:line="500" w:lineRule="exact"/>
      <w:ind w:firstLine="510"/>
      <w:jc w:val="both"/>
      <w:textAlignment w:val="baseline"/>
    </w:pPr>
    <w:rPr>
      <w:rFonts w:ascii="宋体"/>
      <w:kern w:val="2"/>
      <w:sz w:val="24"/>
    </w:rPr>
  </w:style>
  <w:style w:type="character" w:customStyle="1" w:styleId="254">
    <w:name w:val="UserStyle_1"/>
    <w:link w:val="255"/>
    <w:qFormat/>
    <w:uiPriority w:val="0"/>
    <w:rPr>
      <w:rFonts w:ascii="宋体" w:hAnsi="Courier New"/>
      <w:kern w:val="2"/>
      <w:sz w:val="21"/>
    </w:rPr>
  </w:style>
  <w:style w:type="paragraph" w:customStyle="1" w:styleId="255">
    <w:name w:val="PlainText"/>
    <w:basedOn w:val="1"/>
    <w:next w:val="1"/>
    <w:link w:val="254"/>
    <w:qFormat/>
    <w:uiPriority w:val="0"/>
    <w:pPr>
      <w:jc w:val="both"/>
      <w:textAlignment w:val="baseline"/>
    </w:pPr>
    <w:rPr>
      <w:rFonts w:ascii="宋体" w:hAnsi="Courier New"/>
      <w:kern w:val="2"/>
      <w:sz w:val="21"/>
    </w:rPr>
  </w:style>
  <w:style w:type="character" w:customStyle="1" w:styleId="256">
    <w:name w:val="PageNumber"/>
    <w:basedOn w:val="201"/>
    <w:qFormat/>
    <w:uiPriority w:val="0"/>
    <w:rPr>
      <w:rFonts w:ascii="Times New Roman" w:hAnsi="Times New Roman" w:eastAsia="宋体" w:cs="Times New Roman"/>
      <w:kern w:val="2"/>
      <w:sz w:val="21"/>
      <w:lang w:val="en-US" w:eastAsia="zh-CN" w:bidi="ar-SA"/>
    </w:rPr>
  </w:style>
  <w:style w:type="character" w:customStyle="1" w:styleId="257">
    <w:name w:val="UserStyle_2"/>
    <w:basedOn w:val="201"/>
    <w:qFormat/>
    <w:uiPriority w:val="0"/>
    <w:rPr>
      <w:rFonts w:ascii="Times New Roman" w:hAnsi="Times New Roman" w:eastAsia="宋体" w:cs="Times New Roman"/>
      <w:kern w:val="2"/>
      <w:sz w:val="21"/>
      <w:lang w:val="en-US" w:eastAsia="zh-CN" w:bidi="ar-SA"/>
    </w:rPr>
  </w:style>
  <w:style w:type="character" w:customStyle="1" w:styleId="258">
    <w:name w:val="UserStyle_3"/>
    <w:qFormat/>
    <w:uiPriority w:val="0"/>
    <w:rPr>
      <w:rFonts w:ascii="Arial" w:hAnsi="Arial"/>
      <w:color w:val="000000"/>
      <w:sz w:val="20"/>
      <w:szCs w:val="20"/>
    </w:rPr>
  </w:style>
  <w:style w:type="character" w:customStyle="1" w:styleId="259">
    <w:name w:val="UserStyle_4"/>
    <w:qFormat/>
    <w:uiPriority w:val="0"/>
    <w:rPr>
      <w:rFonts w:eastAsia="宋体" w:cs="Times New Roman"/>
      <w:b/>
      <w:bCs/>
      <w:kern w:val="44"/>
      <w:sz w:val="44"/>
      <w:lang w:val="en-US" w:eastAsia="zh-CN" w:bidi="ar-SA"/>
    </w:rPr>
  </w:style>
  <w:style w:type="character" w:customStyle="1" w:styleId="260">
    <w:name w:val="UserStyle_5"/>
    <w:link w:val="261"/>
    <w:qFormat/>
    <w:uiPriority w:val="0"/>
    <w:rPr>
      <w:kern w:val="2"/>
      <w:sz w:val="21"/>
    </w:rPr>
  </w:style>
  <w:style w:type="paragraph" w:customStyle="1" w:styleId="261">
    <w:name w:val="BodyTextIndent"/>
    <w:basedOn w:val="1"/>
    <w:link w:val="260"/>
    <w:qFormat/>
    <w:uiPriority w:val="0"/>
    <w:pPr>
      <w:spacing w:line="460" w:lineRule="exact"/>
      <w:ind w:firstLine="510"/>
      <w:jc w:val="both"/>
      <w:textAlignment w:val="baseline"/>
    </w:pPr>
    <w:rPr>
      <w:kern w:val="2"/>
      <w:sz w:val="21"/>
    </w:rPr>
  </w:style>
  <w:style w:type="character" w:customStyle="1" w:styleId="262">
    <w:name w:val="UserStyle_6"/>
    <w:qFormat/>
    <w:uiPriority w:val="0"/>
    <w:rPr>
      <w:rFonts w:ascii="Arial" w:hAnsi="Arial"/>
      <w:color w:val="000000"/>
      <w:sz w:val="18"/>
      <w:szCs w:val="18"/>
    </w:rPr>
  </w:style>
  <w:style w:type="character" w:customStyle="1" w:styleId="263">
    <w:name w:val="UserStyle_7"/>
    <w:link w:val="264"/>
    <w:qFormat/>
    <w:uiPriority w:val="0"/>
    <w:rPr>
      <w:rFonts w:ascii="宋体" w:hAnsi="宋体"/>
      <w:kern w:val="2"/>
      <w:sz w:val="28"/>
      <w:szCs w:val="28"/>
    </w:rPr>
  </w:style>
  <w:style w:type="paragraph" w:customStyle="1" w:styleId="264">
    <w:name w:val="UserStyle_8"/>
    <w:basedOn w:val="265"/>
    <w:link w:val="263"/>
    <w:qFormat/>
    <w:uiPriority w:val="0"/>
    <w:rPr>
      <w:rFonts w:ascii="宋体" w:hAnsi="宋体"/>
    </w:rPr>
  </w:style>
  <w:style w:type="paragraph" w:customStyle="1" w:styleId="265">
    <w:name w:val="UserStyle_22"/>
    <w:basedOn w:val="1"/>
    <w:link w:val="277"/>
    <w:qFormat/>
    <w:uiPriority w:val="0"/>
    <w:pPr>
      <w:spacing w:line="360" w:lineRule="auto"/>
      <w:ind w:firstLine="200"/>
      <w:textAlignment w:val="baseline"/>
    </w:pPr>
    <w:rPr>
      <w:kern w:val="2"/>
      <w:sz w:val="28"/>
      <w:szCs w:val="28"/>
    </w:rPr>
  </w:style>
  <w:style w:type="character" w:customStyle="1" w:styleId="266">
    <w:name w:val="UserStyle_9"/>
    <w:qFormat/>
    <w:uiPriority w:val="0"/>
    <w:rPr>
      <w:rFonts w:ascii="宋体" w:hAnsi="Courier New" w:eastAsia="宋体"/>
      <w:kern w:val="2"/>
      <w:sz w:val="21"/>
      <w:lang w:val="en-US" w:eastAsia="zh-CN" w:bidi="ar-SA"/>
    </w:rPr>
  </w:style>
  <w:style w:type="character" w:customStyle="1" w:styleId="267">
    <w:name w:val="UserStyle_10"/>
    <w:link w:val="268"/>
    <w:qFormat/>
    <w:uiPriority w:val="0"/>
    <w:rPr>
      <w:rFonts w:ascii="宋体"/>
      <w:kern w:val="2"/>
      <w:sz w:val="24"/>
    </w:rPr>
  </w:style>
  <w:style w:type="paragraph" w:customStyle="1" w:styleId="268">
    <w:name w:val="UserStyle_11"/>
    <w:basedOn w:val="1"/>
    <w:link w:val="267"/>
    <w:qFormat/>
    <w:uiPriority w:val="0"/>
    <w:pPr>
      <w:snapToGrid w:val="0"/>
      <w:spacing w:after="240" w:line="240" w:lineRule="atLeast"/>
      <w:ind w:firstLine="425"/>
      <w:jc w:val="both"/>
      <w:textAlignment w:val="baseline"/>
    </w:pPr>
    <w:rPr>
      <w:rFonts w:ascii="宋体"/>
      <w:kern w:val="2"/>
      <w:sz w:val="24"/>
    </w:rPr>
  </w:style>
  <w:style w:type="character" w:customStyle="1" w:styleId="269">
    <w:name w:val="UserStyle_12"/>
    <w:link w:val="196"/>
    <w:qFormat/>
    <w:uiPriority w:val="0"/>
    <w:rPr>
      <w:rFonts w:ascii="Calibri" w:hAnsi="Calibri"/>
    </w:rPr>
  </w:style>
  <w:style w:type="character" w:customStyle="1" w:styleId="270">
    <w:name w:val="UserStyle_13"/>
    <w:qFormat/>
    <w:uiPriority w:val="0"/>
    <w:rPr>
      <w:rFonts w:ascii="宋体" w:hAnsi="宋体" w:eastAsia="宋体"/>
      <w:color w:val="FF0000"/>
      <w:sz w:val="20"/>
      <w:szCs w:val="20"/>
    </w:rPr>
  </w:style>
  <w:style w:type="character" w:customStyle="1" w:styleId="271">
    <w:name w:val="UserStyle_14"/>
    <w:qFormat/>
    <w:uiPriority w:val="0"/>
    <w:rPr>
      <w:sz w:val="18"/>
      <w:szCs w:val="18"/>
    </w:rPr>
  </w:style>
  <w:style w:type="character" w:customStyle="1" w:styleId="272">
    <w:name w:val="UserStyle_15"/>
    <w:basedOn w:val="201"/>
    <w:qFormat/>
    <w:uiPriority w:val="0"/>
    <w:rPr>
      <w:rFonts w:ascii="Times New Roman" w:hAnsi="Times New Roman" w:eastAsia="宋体" w:cs="Times New Roman"/>
      <w:kern w:val="2"/>
      <w:sz w:val="21"/>
      <w:lang w:val="en-US" w:eastAsia="zh-CN" w:bidi="ar-SA"/>
    </w:rPr>
  </w:style>
  <w:style w:type="character" w:customStyle="1" w:styleId="273">
    <w:name w:val="UserStyle_16"/>
    <w:basedOn w:val="201"/>
    <w:qFormat/>
    <w:uiPriority w:val="0"/>
    <w:rPr>
      <w:rFonts w:ascii="Times New Roman" w:hAnsi="Times New Roman" w:eastAsia="宋体" w:cs="Times New Roman"/>
      <w:kern w:val="2"/>
      <w:sz w:val="21"/>
      <w:lang w:val="en-US" w:eastAsia="zh-CN" w:bidi="ar-SA"/>
    </w:rPr>
  </w:style>
  <w:style w:type="character" w:customStyle="1" w:styleId="274">
    <w:name w:val="UserStyle_17"/>
    <w:qFormat/>
    <w:uiPriority w:val="0"/>
    <w:rPr>
      <w:rFonts w:eastAsia="宋体"/>
      <w:kern w:val="2"/>
      <w:sz w:val="21"/>
      <w:lang w:val="en-US" w:eastAsia="zh-CN" w:bidi="ar-SA"/>
    </w:rPr>
  </w:style>
  <w:style w:type="character" w:customStyle="1" w:styleId="275">
    <w:name w:val="UserStyle_19"/>
    <w:qFormat/>
    <w:uiPriority w:val="0"/>
    <w:rPr>
      <w:rFonts w:ascii="Arial" w:hAnsi="Arial"/>
      <w:color w:val="000000"/>
      <w:sz w:val="20"/>
      <w:szCs w:val="20"/>
    </w:rPr>
  </w:style>
  <w:style w:type="character" w:customStyle="1" w:styleId="276">
    <w:name w:val="UserStyle_20"/>
    <w:qFormat/>
    <w:uiPriority w:val="0"/>
    <w:rPr>
      <w:rFonts w:ascii="Verdana" w:hAnsi="Verdana"/>
      <w:sz w:val="17"/>
      <w:szCs w:val="17"/>
    </w:rPr>
  </w:style>
  <w:style w:type="character" w:customStyle="1" w:styleId="277">
    <w:name w:val="UserStyle_21"/>
    <w:link w:val="265"/>
    <w:qFormat/>
    <w:uiPriority w:val="0"/>
    <w:rPr>
      <w:kern w:val="2"/>
      <w:sz w:val="28"/>
      <w:szCs w:val="28"/>
    </w:rPr>
  </w:style>
  <w:style w:type="character" w:customStyle="1" w:styleId="278">
    <w:name w:val="UserStyle_23"/>
    <w:qFormat/>
    <w:uiPriority w:val="0"/>
    <w:rPr>
      <w:rFonts w:ascii="宋体" w:eastAsia="宋体"/>
      <w:kern w:val="2"/>
      <w:sz w:val="21"/>
      <w:lang w:val="en-US" w:eastAsia="zh-CN" w:bidi="ar-SA"/>
    </w:rPr>
  </w:style>
  <w:style w:type="character" w:customStyle="1" w:styleId="279">
    <w:name w:val="UserStyle_24"/>
    <w:basedOn w:val="201"/>
    <w:qFormat/>
    <w:uiPriority w:val="0"/>
    <w:rPr>
      <w:rFonts w:ascii="Times New Roman" w:hAnsi="Times New Roman" w:eastAsia="宋体" w:cs="Times New Roman"/>
      <w:kern w:val="2"/>
      <w:sz w:val="21"/>
      <w:lang w:val="en-US" w:eastAsia="zh-CN" w:bidi="ar-SA"/>
    </w:rPr>
  </w:style>
  <w:style w:type="character" w:customStyle="1" w:styleId="280">
    <w:name w:val="UserStyle_25"/>
    <w:qFormat/>
    <w:uiPriority w:val="0"/>
    <w:rPr>
      <w:rFonts w:ascii="宋体" w:hAnsi="宋体" w:eastAsia="宋体"/>
      <w:color w:val="000000"/>
      <w:sz w:val="20"/>
      <w:szCs w:val="20"/>
    </w:rPr>
  </w:style>
  <w:style w:type="character" w:customStyle="1" w:styleId="281">
    <w:name w:val="UserStyle_26"/>
    <w:qFormat/>
    <w:uiPriority w:val="0"/>
    <w:rPr>
      <w:rFonts w:ascii="宋体" w:hAnsi="宋体" w:eastAsia="宋体"/>
      <w:sz w:val="22"/>
      <w:szCs w:val="22"/>
    </w:rPr>
  </w:style>
  <w:style w:type="paragraph" w:customStyle="1" w:styleId="282">
    <w:name w:val="UserStyle_28"/>
    <w:basedOn w:val="1"/>
    <w:next w:val="14"/>
    <w:qFormat/>
    <w:uiPriority w:val="0"/>
    <w:pPr>
      <w:keepNext/>
      <w:textAlignment w:val="baseline"/>
    </w:pPr>
    <w:rPr>
      <w:rFonts w:ascii="Garamond" w:hAnsi="Garamond"/>
      <w:sz w:val="21"/>
    </w:rPr>
  </w:style>
  <w:style w:type="paragraph" w:customStyle="1" w:styleId="283">
    <w:name w:val="TOC2"/>
    <w:basedOn w:val="1"/>
    <w:next w:val="1"/>
    <w:qFormat/>
    <w:uiPriority w:val="0"/>
    <w:pPr>
      <w:tabs>
        <w:tab w:val="right" w:leader="dot" w:pos="8640"/>
      </w:tabs>
      <w:snapToGrid w:val="0"/>
      <w:spacing w:line="360" w:lineRule="auto"/>
      <w:ind w:left="-1" w:right="250"/>
      <w:jc w:val="distribute"/>
      <w:textAlignment w:val="baseline"/>
    </w:pPr>
    <w:rPr>
      <w:rFonts w:ascii="宋体" w:hAnsi="宋体"/>
      <w:smallCaps/>
      <w:color w:val="000000"/>
      <w:kern w:val="2"/>
      <w:sz w:val="24"/>
      <w:szCs w:val="24"/>
    </w:rPr>
  </w:style>
  <w:style w:type="paragraph" w:customStyle="1" w:styleId="284">
    <w:name w:val="UserStyle_29"/>
    <w:basedOn w:val="1"/>
    <w:qFormat/>
    <w:uiPriority w:val="0"/>
    <w:pPr>
      <w:spacing w:line="360" w:lineRule="auto"/>
      <w:ind w:firstLine="200"/>
      <w:textAlignment w:val="baseline"/>
    </w:pPr>
    <w:rPr>
      <w:sz w:val="28"/>
      <w:szCs w:val="28"/>
    </w:rPr>
  </w:style>
  <w:style w:type="paragraph" w:customStyle="1" w:styleId="285">
    <w:name w:val="UserStyle_30"/>
    <w:basedOn w:val="1"/>
    <w:qFormat/>
    <w:uiPriority w:val="0"/>
    <w:pPr>
      <w:jc w:val="both"/>
      <w:textAlignment w:val="baseline"/>
    </w:pPr>
    <w:rPr>
      <w:kern w:val="2"/>
      <w:sz w:val="21"/>
    </w:rPr>
  </w:style>
  <w:style w:type="paragraph" w:customStyle="1" w:styleId="286">
    <w:name w:val="BodyText1I2"/>
    <w:basedOn w:val="261"/>
    <w:qFormat/>
    <w:uiPriority w:val="0"/>
    <w:pPr>
      <w:ind w:left="420" w:leftChars="200" w:firstLine="420"/>
    </w:pPr>
    <w:rPr>
      <w:rFonts w:ascii="Arial" w:hAnsi="Arial"/>
      <w:szCs w:val="21"/>
    </w:rPr>
  </w:style>
  <w:style w:type="paragraph" w:customStyle="1" w:styleId="287">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宋体" w:hAnsi="宋体"/>
      <w:sz w:val="24"/>
      <w:szCs w:val="24"/>
    </w:rPr>
  </w:style>
  <w:style w:type="paragraph" w:customStyle="1" w:styleId="288">
    <w:name w:val="UserStyle_31"/>
    <w:basedOn w:val="196"/>
    <w:qFormat/>
    <w:uiPriority w:val="0"/>
    <w:pPr>
      <w:tabs>
        <w:tab w:val="left" w:pos="960"/>
      </w:tabs>
      <w:spacing w:line="520" w:lineRule="exact"/>
      <w:ind w:firstLine="200"/>
      <w:jc w:val="both"/>
      <w:textAlignment w:val="baseline"/>
    </w:pPr>
    <w:rPr>
      <w:rFonts w:ascii="宋体" w:hAnsi="宋体"/>
      <w:kern w:val="2"/>
      <w:sz w:val="28"/>
      <w:szCs w:val="28"/>
    </w:rPr>
  </w:style>
  <w:style w:type="paragraph" w:customStyle="1" w:styleId="289">
    <w:name w:val="UserStyle_32"/>
    <w:basedOn w:val="1"/>
    <w:qFormat/>
    <w:uiPriority w:val="0"/>
    <w:pPr>
      <w:spacing w:line="360" w:lineRule="auto"/>
      <w:jc w:val="both"/>
      <w:textAlignment w:val="baseline"/>
    </w:pPr>
    <w:rPr>
      <w:sz w:val="24"/>
    </w:rPr>
  </w:style>
  <w:style w:type="paragraph" w:customStyle="1" w:styleId="290">
    <w:name w:val="UserStyle_33"/>
    <w:basedOn w:val="1"/>
    <w:qFormat/>
    <w:uiPriority w:val="0"/>
    <w:pPr>
      <w:tabs>
        <w:tab w:val="left" w:pos="840"/>
      </w:tabs>
      <w:snapToGrid w:val="0"/>
      <w:spacing w:after="120" w:line="360" w:lineRule="exact"/>
      <w:ind w:left="840" w:hanging="480"/>
      <w:jc w:val="both"/>
      <w:textAlignment w:val="baseline"/>
    </w:pPr>
    <w:rPr>
      <w:rFonts w:eastAsia="仿宋_GB2312"/>
      <w:kern w:val="2"/>
      <w:sz w:val="32"/>
    </w:rPr>
  </w:style>
  <w:style w:type="paragraph" w:customStyle="1" w:styleId="291">
    <w:name w:val="UserStyle_34"/>
    <w:basedOn w:val="265"/>
    <w:qFormat/>
    <w:uiPriority w:val="0"/>
    <w:pPr>
      <w:tabs>
        <w:tab w:val="left" w:pos="360"/>
      </w:tabs>
      <w:spacing w:line="520" w:lineRule="exact"/>
      <w:jc w:val="both"/>
    </w:pPr>
    <w:rPr>
      <w:rFonts w:ascii="宋体" w:hAnsi="宋体"/>
      <w:szCs w:val="20"/>
    </w:rPr>
  </w:style>
  <w:style w:type="paragraph" w:customStyle="1" w:styleId="292">
    <w:name w:val="UserStyle_35"/>
    <w:basedOn w:val="1"/>
    <w:qFormat/>
    <w:uiPriority w:val="0"/>
    <w:pPr>
      <w:spacing w:after="160" w:line="240" w:lineRule="exact"/>
      <w:textAlignment w:val="baseline"/>
    </w:pPr>
    <w:rPr>
      <w:rFonts w:ascii="Verdana" w:hAnsi="Verdana" w:eastAsia="仿宋_GB2312"/>
      <w:sz w:val="24"/>
      <w:lang w:eastAsia="en-US"/>
    </w:rPr>
  </w:style>
  <w:style w:type="paragraph" w:customStyle="1" w:styleId="293">
    <w:name w:val="Acetate"/>
    <w:basedOn w:val="1"/>
    <w:qFormat/>
    <w:uiPriority w:val="0"/>
    <w:pPr>
      <w:jc w:val="both"/>
      <w:textAlignment w:val="baseline"/>
    </w:pPr>
    <w:rPr>
      <w:kern w:val="2"/>
      <w:sz w:val="18"/>
      <w:szCs w:val="18"/>
    </w:rPr>
  </w:style>
  <w:style w:type="paragraph" w:customStyle="1" w:styleId="294">
    <w:name w:val="UserStyle_36"/>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295">
    <w:name w:val="UserStyle_37"/>
    <w:basedOn w:val="1"/>
    <w:qFormat/>
    <w:uiPriority w:val="0"/>
    <w:pPr>
      <w:ind w:firstLine="420" w:firstLineChars="200"/>
      <w:jc w:val="both"/>
      <w:textAlignment w:val="baseline"/>
    </w:pPr>
    <w:rPr>
      <w:kern w:val="2"/>
      <w:sz w:val="21"/>
    </w:rPr>
  </w:style>
  <w:style w:type="paragraph" w:customStyle="1" w:styleId="296">
    <w:name w:val="BodyTextIndent3"/>
    <w:basedOn w:val="1"/>
    <w:qFormat/>
    <w:uiPriority w:val="0"/>
    <w:pPr>
      <w:spacing w:line="360" w:lineRule="auto"/>
      <w:ind w:firstLine="480"/>
      <w:jc w:val="both"/>
      <w:textAlignment w:val="baseline"/>
    </w:pPr>
    <w:rPr>
      <w:kern w:val="2"/>
      <w:sz w:val="24"/>
      <w:szCs w:val="24"/>
    </w:rPr>
  </w:style>
  <w:style w:type="paragraph" w:customStyle="1" w:styleId="297">
    <w:name w:val="TOC7"/>
    <w:basedOn w:val="1"/>
    <w:next w:val="1"/>
    <w:qFormat/>
    <w:uiPriority w:val="0"/>
    <w:pPr>
      <w:ind w:left="2520"/>
      <w:jc w:val="both"/>
      <w:textAlignment w:val="baseline"/>
    </w:pPr>
    <w:rPr>
      <w:kern w:val="2"/>
      <w:sz w:val="21"/>
    </w:rPr>
  </w:style>
  <w:style w:type="paragraph" w:customStyle="1" w:styleId="298">
    <w:name w:val="UserStyle_38"/>
    <w:basedOn w:val="1"/>
    <w:qFormat/>
    <w:uiPriority w:val="0"/>
    <w:pPr>
      <w:spacing w:before="360" w:line="360" w:lineRule="auto"/>
      <w:jc w:val="center"/>
      <w:textAlignment w:val="baseline"/>
    </w:pPr>
    <w:rPr>
      <w:rFonts w:ascii="宋体" w:eastAsia="仿宋_GB2312"/>
      <w:kern w:val="2"/>
      <w:sz w:val="21"/>
    </w:rPr>
  </w:style>
  <w:style w:type="paragraph" w:customStyle="1" w:styleId="299">
    <w:name w:val="UserStyle_39"/>
    <w:basedOn w:val="1"/>
    <w:qFormat/>
    <w:uiPriority w:val="0"/>
    <w:pPr>
      <w:spacing w:before="100" w:after="100"/>
      <w:textAlignment w:val="baseline"/>
    </w:pPr>
    <w:rPr>
      <w:rFonts w:ascii="宋体" w:hAnsi="宋体"/>
      <w:sz w:val="24"/>
      <w:szCs w:val="24"/>
    </w:rPr>
  </w:style>
  <w:style w:type="paragraph" w:customStyle="1" w:styleId="300">
    <w:name w:val="UserStyle_40"/>
    <w:basedOn w:val="1"/>
    <w:qFormat/>
    <w:uiPriority w:val="0"/>
    <w:pPr>
      <w:spacing w:line="240" w:lineRule="atLeast"/>
      <w:ind w:left="420" w:firstLine="420"/>
      <w:jc w:val="both"/>
      <w:textAlignment w:val="baseline"/>
    </w:pPr>
    <w:rPr>
      <w:sz w:val="21"/>
      <w:szCs w:val="21"/>
    </w:rPr>
  </w:style>
  <w:style w:type="paragraph" w:customStyle="1" w:styleId="301">
    <w:name w:val="TOC3"/>
    <w:basedOn w:val="1"/>
    <w:next w:val="1"/>
    <w:qFormat/>
    <w:uiPriority w:val="0"/>
    <w:pPr>
      <w:ind w:left="420"/>
      <w:textAlignment w:val="baseline"/>
    </w:pPr>
    <w:rPr>
      <w:i/>
      <w:kern w:val="2"/>
    </w:rPr>
  </w:style>
  <w:style w:type="paragraph" w:customStyle="1" w:styleId="302">
    <w:name w:val="266"/>
    <w:basedOn w:val="246"/>
    <w:next w:val="1"/>
    <w:qFormat/>
    <w:uiPriority w:val="0"/>
    <w:pPr>
      <w:spacing w:before="480" w:after="0" w:line="276" w:lineRule="auto"/>
      <w:jc w:val="left"/>
    </w:pPr>
    <w:rPr>
      <w:rFonts w:ascii="Cambria" w:hAnsi="Cambria"/>
      <w:bCs/>
      <w:color w:val="365F91"/>
      <w:kern w:val="0"/>
      <w:sz w:val="28"/>
      <w:szCs w:val="28"/>
    </w:rPr>
  </w:style>
  <w:style w:type="paragraph" w:customStyle="1" w:styleId="303">
    <w:name w:val="UserStyle_41"/>
    <w:basedOn w:val="291"/>
    <w:qFormat/>
    <w:uiPriority w:val="0"/>
    <w:pPr>
      <w:tabs>
        <w:tab w:val="left" w:pos="0"/>
      </w:tabs>
      <w:ind w:firstLine="400"/>
    </w:pPr>
    <w:rPr>
      <w:kern w:val="0"/>
    </w:rPr>
  </w:style>
  <w:style w:type="paragraph" w:customStyle="1" w:styleId="304">
    <w:name w:val="BodyText2"/>
    <w:basedOn w:val="1"/>
    <w:qFormat/>
    <w:uiPriority w:val="0"/>
    <w:pPr>
      <w:spacing w:before="360"/>
      <w:jc w:val="both"/>
      <w:textAlignment w:val="baseline"/>
    </w:pPr>
    <w:rPr>
      <w:rFonts w:ascii="仿宋_GB2312" w:eastAsia="仿宋_GB2312"/>
      <w:b/>
      <w:color w:val="000000"/>
      <w:sz w:val="44"/>
    </w:rPr>
  </w:style>
  <w:style w:type="paragraph" w:customStyle="1" w:styleId="305">
    <w:name w:val="UserStyle_42"/>
    <w:qFormat/>
    <w:uiPriority w:val="0"/>
    <w:pPr>
      <w:spacing w:line="300" w:lineRule="auto"/>
      <w:ind w:firstLine="200"/>
      <w:jc w:val="both"/>
      <w:textAlignment w:val="baseline"/>
    </w:pPr>
    <w:rPr>
      <w:rFonts w:ascii="Times New Roman" w:hAnsi="Times New Roman" w:eastAsia="宋体" w:cs="Times New Roman"/>
      <w:sz w:val="28"/>
      <w:lang w:val="en-US" w:eastAsia="zh-CN" w:bidi="ar-SA"/>
    </w:rPr>
  </w:style>
  <w:style w:type="paragraph" w:customStyle="1" w:styleId="306">
    <w:name w:val="179"/>
    <w:basedOn w:val="1"/>
    <w:qFormat/>
    <w:uiPriority w:val="0"/>
    <w:pPr>
      <w:ind w:left="720"/>
      <w:jc w:val="both"/>
      <w:textAlignment w:val="baseline"/>
    </w:pPr>
    <w:rPr>
      <w:kern w:val="2"/>
      <w:sz w:val="28"/>
    </w:rPr>
  </w:style>
  <w:style w:type="paragraph" w:customStyle="1" w:styleId="307">
    <w:name w:val="TOC1"/>
    <w:basedOn w:val="1"/>
    <w:next w:val="1"/>
    <w:qFormat/>
    <w:uiPriority w:val="0"/>
    <w:pPr>
      <w:tabs>
        <w:tab w:val="right" w:leader="dot" w:pos="9344"/>
      </w:tabs>
      <w:spacing w:line="500" w:lineRule="exact"/>
      <w:textAlignment w:val="baseline"/>
    </w:pPr>
    <w:rPr>
      <w:rFonts w:ascii="宋体" w:hAnsi="宋体"/>
      <w:b/>
      <w:caps/>
      <w:kern w:val="2"/>
      <w:sz w:val="24"/>
    </w:rPr>
  </w:style>
  <w:style w:type="paragraph" w:customStyle="1" w:styleId="308">
    <w:name w:val="TOAHeading"/>
    <w:basedOn w:val="1"/>
    <w:next w:val="1"/>
    <w:qFormat/>
    <w:uiPriority w:val="0"/>
    <w:pPr>
      <w:spacing w:before="120"/>
      <w:jc w:val="both"/>
      <w:textAlignment w:val="baseline"/>
    </w:pPr>
    <w:rPr>
      <w:rFonts w:ascii="Arial" w:hAnsi="Arial"/>
      <w:kern w:val="2"/>
      <w:sz w:val="24"/>
      <w:szCs w:val="24"/>
    </w:rPr>
  </w:style>
  <w:style w:type="paragraph" w:customStyle="1" w:styleId="309">
    <w:name w:val="UserStyle_43"/>
    <w:basedOn w:val="1"/>
    <w:qFormat/>
    <w:uiPriority w:val="0"/>
    <w:pPr>
      <w:tabs>
        <w:tab w:val="left" w:pos="425"/>
      </w:tabs>
      <w:ind w:left="425" w:hanging="425"/>
      <w:jc w:val="both"/>
      <w:textAlignment w:val="baseline"/>
    </w:pPr>
    <w:rPr>
      <w:kern w:val="2"/>
      <w:sz w:val="21"/>
    </w:rPr>
  </w:style>
  <w:style w:type="paragraph" w:customStyle="1" w:styleId="310">
    <w:name w:val="UserStyle_44"/>
    <w:basedOn w:val="1"/>
    <w:qFormat/>
    <w:uiPriority w:val="0"/>
    <w:pPr>
      <w:spacing w:after="160" w:line="240" w:lineRule="exact"/>
      <w:textAlignment w:val="baseline"/>
    </w:pPr>
    <w:rPr>
      <w:rFonts w:ascii="Verdana" w:hAnsi="Verdana" w:eastAsia="仿宋_GB2312"/>
      <w:sz w:val="24"/>
      <w:lang w:eastAsia="en-US"/>
    </w:rPr>
  </w:style>
  <w:style w:type="paragraph" w:customStyle="1" w:styleId="311">
    <w:name w:val="NavPane"/>
    <w:basedOn w:val="1"/>
    <w:qFormat/>
    <w:uiPriority w:val="0"/>
    <w:pPr>
      <w:shd w:val="clear" w:color="auto" w:fill="000080"/>
      <w:jc w:val="both"/>
      <w:textAlignment w:val="baseline"/>
    </w:pPr>
    <w:rPr>
      <w:kern w:val="2"/>
      <w:sz w:val="21"/>
    </w:rPr>
  </w:style>
  <w:style w:type="paragraph" w:customStyle="1" w:styleId="312">
    <w:name w:val="Index1"/>
    <w:basedOn w:val="1"/>
    <w:next w:val="1"/>
    <w:qFormat/>
    <w:uiPriority w:val="0"/>
    <w:pPr>
      <w:jc w:val="both"/>
      <w:textAlignment w:val="baseline"/>
    </w:pPr>
    <w:rPr>
      <w:rFonts w:ascii="宋体" w:hAnsi="宋体"/>
      <w:kern w:val="2"/>
      <w:sz w:val="24"/>
      <w:szCs w:val="24"/>
    </w:rPr>
  </w:style>
  <w:style w:type="paragraph" w:customStyle="1" w:styleId="313">
    <w:name w:val="UserStyle_46"/>
    <w:basedOn w:val="1"/>
    <w:qFormat/>
    <w:uiPriority w:val="0"/>
    <w:pPr>
      <w:jc w:val="both"/>
      <w:textAlignment w:val="baseline"/>
    </w:pPr>
    <w:rPr>
      <w:kern w:val="2"/>
      <w:sz w:val="21"/>
    </w:rPr>
  </w:style>
  <w:style w:type="paragraph" w:customStyle="1" w:styleId="314">
    <w:name w:val="UserStyle_47"/>
    <w:basedOn w:val="1"/>
    <w:qFormat/>
    <w:uiPriority w:val="0"/>
    <w:pPr>
      <w:spacing w:line="360" w:lineRule="auto"/>
      <w:ind w:firstLine="771" w:firstLineChars="257"/>
      <w:jc w:val="both"/>
      <w:textAlignment w:val="baseline"/>
    </w:pPr>
    <w:rPr>
      <w:rFonts w:eastAsia="仿宋"/>
      <w:kern w:val="2"/>
      <w:sz w:val="30"/>
    </w:rPr>
  </w:style>
  <w:style w:type="paragraph" w:customStyle="1" w:styleId="315">
    <w:name w:val="UserStyle_48"/>
    <w:basedOn w:val="291"/>
    <w:qFormat/>
    <w:uiPriority w:val="0"/>
    <w:pPr>
      <w:tabs>
        <w:tab w:val="left" w:pos="814"/>
      </w:tabs>
      <w:ind w:left="737" w:hanging="283"/>
    </w:pPr>
  </w:style>
  <w:style w:type="paragraph" w:customStyle="1" w:styleId="316">
    <w:name w:val="UserStyle_49"/>
    <w:basedOn w:val="1"/>
    <w:qFormat/>
    <w:uiPriority w:val="0"/>
    <w:pPr>
      <w:jc w:val="both"/>
      <w:textAlignment w:val="baseline"/>
    </w:pPr>
    <w:rPr>
      <w:rFonts w:ascii="仿宋_GB2312" w:eastAsia="仿宋_GB2312"/>
      <w:b/>
      <w:kern w:val="2"/>
      <w:sz w:val="32"/>
      <w:szCs w:val="32"/>
    </w:rPr>
  </w:style>
  <w:style w:type="paragraph" w:customStyle="1" w:styleId="317">
    <w:name w:val="UserStyle_50"/>
    <w:basedOn w:val="1"/>
    <w:qFormat/>
    <w:uiPriority w:val="0"/>
    <w:pPr>
      <w:jc w:val="both"/>
      <w:textAlignment w:val="baseline"/>
    </w:pPr>
    <w:rPr>
      <w:sz w:val="21"/>
      <w:szCs w:val="21"/>
    </w:rPr>
  </w:style>
  <w:style w:type="paragraph" w:customStyle="1" w:styleId="318">
    <w:name w:val="UserStyle_51"/>
    <w:basedOn w:val="1"/>
    <w:qFormat/>
    <w:uiPriority w:val="0"/>
    <w:pPr>
      <w:jc w:val="both"/>
      <w:textAlignment w:val="baseline"/>
    </w:pPr>
    <w:rPr>
      <w:kern w:val="2"/>
      <w:sz w:val="21"/>
    </w:rPr>
  </w:style>
  <w:style w:type="paragraph" w:customStyle="1" w:styleId="319">
    <w:name w:val="UserStyle_52"/>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textAlignment w:val="baseline"/>
    </w:pPr>
    <w:rPr>
      <w:rFonts w:ascii="Courier New" w:hAnsi="Courier New"/>
    </w:rPr>
  </w:style>
  <w:style w:type="paragraph" w:customStyle="1" w:styleId="320">
    <w:name w:val="HtmlNormal"/>
    <w:basedOn w:val="1"/>
    <w:qFormat/>
    <w:uiPriority w:val="0"/>
    <w:pPr>
      <w:spacing w:before="100" w:beforeAutospacing="1" w:after="100" w:afterAutospacing="1" w:line="330" w:lineRule="atLeast"/>
      <w:textAlignment w:val="baseline"/>
    </w:pPr>
    <w:rPr>
      <w:rFonts w:ascii="宋体" w:hAnsi="宋体"/>
      <w:sz w:val="18"/>
      <w:szCs w:val="18"/>
    </w:rPr>
  </w:style>
  <w:style w:type="table" w:customStyle="1" w:styleId="321">
    <w:name w:val="TableGrid"/>
    <w:basedOn w:val="251"/>
    <w:qFormat/>
    <w:uiPriority w:val="0"/>
  </w:style>
  <w:style w:type="paragraph" w:customStyle="1" w:styleId="322">
    <w:name w:val="正文（缩进）"/>
    <w:basedOn w:val="1"/>
    <w:qFormat/>
    <w:uiPriority w:val="0"/>
    <w:pPr>
      <w:widowControl w:val="0"/>
      <w:spacing w:before="156" w:after="156"/>
      <w:ind w:firstLine="480"/>
      <w:jc w:val="both"/>
    </w:pPr>
    <w:rPr>
      <w:rFonts w:ascii="Calibri" w:hAnsi="Calibri"/>
      <w:kern w:val="2"/>
      <w:sz w:val="21"/>
    </w:rPr>
  </w:style>
  <w:style w:type="paragraph" w:customStyle="1" w:styleId="323">
    <w:name w:val="首行缩进"/>
    <w:basedOn w:val="1"/>
    <w:qFormat/>
    <w:uiPriority w:val="0"/>
    <w:pPr>
      <w:widowControl w:val="0"/>
      <w:ind w:firstLine="480" w:firstLineChars="200"/>
      <w:jc w:val="both"/>
    </w:pPr>
    <w:rPr>
      <w:kern w:val="2"/>
      <w:sz w:val="21"/>
      <w:lang w:val="zh-CN"/>
    </w:rPr>
  </w:style>
  <w:style w:type="character" w:customStyle="1" w:styleId="324">
    <w:name w:val="表格 Char"/>
    <w:link w:val="325"/>
    <w:qFormat/>
    <w:uiPriority w:val="0"/>
    <w:rPr>
      <w:rFonts w:ascii="宋体"/>
      <w:kern w:val="2"/>
      <w:sz w:val="24"/>
      <w:szCs w:val="18"/>
    </w:rPr>
  </w:style>
  <w:style w:type="paragraph" w:customStyle="1" w:styleId="325">
    <w:name w:val="表格"/>
    <w:basedOn w:val="1"/>
    <w:link w:val="324"/>
    <w:qFormat/>
    <w:uiPriority w:val="0"/>
    <w:pPr>
      <w:widowControl w:val="0"/>
      <w:tabs>
        <w:tab w:val="left" w:pos="1200"/>
      </w:tabs>
      <w:spacing w:line="500" w:lineRule="exact"/>
      <w:jc w:val="center"/>
    </w:pPr>
    <w:rPr>
      <w:rFonts w:ascii="宋体"/>
      <w:kern w:val="2"/>
      <w:sz w:val="24"/>
      <w:szCs w:val="18"/>
    </w:rPr>
  </w:style>
  <w:style w:type="character" w:customStyle="1" w:styleId="326">
    <w:name w:val="*正文 Char"/>
    <w:link w:val="327"/>
    <w:qFormat/>
    <w:uiPriority w:val="0"/>
    <w:rPr>
      <w:rFonts w:ascii="time" w:hAnsi="time"/>
      <w:sz w:val="24"/>
      <w:szCs w:val="24"/>
      <w:lang w:bidi="en-US"/>
    </w:rPr>
  </w:style>
  <w:style w:type="paragraph" w:customStyle="1" w:styleId="327">
    <w:name w:val="*正文"/>
    <w:basedOn w:val="1"/>
    <w:link w:val="326"/>
    <w:qFormat/>
    <w:uiPriority w:val="0"/>
    <w:pPr>
      <w:spacing w:line="360" w:lineRule="auto"/>
      <w:ind w:firstLine="200" w:firstLineChars="200"/>
      <w:contextualSpacing/>
      <w:jc w:val="both"/>
    </w:pPr>
    <w:rPr>
      <w:rFonts w:ascii="time" w:hAnsi="time"/>
      <w:sz w:val="24"/>
      <w:szCs w:val="24"/>
      <w:lang w:bidi="en-US"/>
    </w:rPr>
  </w:style>
  <w:style w:type="paragraph" w:customStyle="1" w:styleId="328">
    <w:name w:val="一级条标题"/>
    <w:basedOn w:val="329"/>
    <w:next w:val="330"/>
    <w:qFormat/>
    <w:uiPriority w:val="99"/>
    <w:pPr>
      <w:spacing w:line="240" w:lineRule="auto"/>
      <w:ind w:left="420"/>
      <w:outlineLvl w:val="2"/>
    </w:pPr>
  </w:style>
  <w:style w:type="paragraph" w:customStyle="1" w:styleId="329">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330">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31">
    <w:name w:val="GEDI一级项目编号"/>
    <w:basedOn w:val="1"/>
    <w:qFormat/>
    <w:uiPriority w:val="0"/>
    <w:pPr>
      <w:widowControl w:val="0"/>
      <w:overflowPunct w:val="0"/>
      <w:autoSpaceDE w:val="0"/>
      <w:autoSpaceDN w:val="0"/>
      <w:adjustRightInd w:val="0"/>
      <w:snapToGrid w:val="0"/>
      <w:spacing w:line="480" w:lineRule="atLeast"/>
      <w:jc w:val="both"/>
    </w:pPr>
    <w:rPr>
      <w:rFonts w:eastAsia="Batang"/>
      <w:kern w:val="2"/>
      <w:sz w:val="24"/>
      <w:szCs w:val="24"/>
    </w:rPr>
  </w:style>
  <w:style w:type="paragraph" w:customStyle="1" w:styleId="332">
    <w:name w:val="表格样式2"/>
    <w:basedOn w:val="1"/>
    <w:qFormat/>
    <w:uiPriority w:val="99"/>
    <w:pPr>
      <w:spacing w:after="200" w:line="276" w:lineRule="auto"/>
    </w:pPr>
    <w:rPr>
      <w:rFonts w:ascii="仿宋_GB2312" w:hAnsi="宋体" w:eastAsia="仿宋_GB2312" w:cs="仿宋_GB2312"/>
      <w:sz w:val="18"/>
      <w:szCs w:val="18"/>
    </w:rPr>
  </w:style>
  <w:style w:type="character" w:customStyle="1" w:styleId="333">
    <w:name w:val="Default Char"/>
    <w:link w:val="64"/>
    <w:qFormat/>
    <w:uiPriority w:val="0"/>
    <w:rPr>
      <w:rFonts w:ascii="宋体"/>
      <w:color w:val="000000"/>
      <w:sz w:val="24"/>
    </w:rPr>
  </w:style>
  <w:style w:type="character" w:customStyle="1" w:styleId="334">
    <w:name w:val="未处理的提及1"/>
    <w:semiHidden/>
    <w:unhideWhenUsed/>
    <w:qFormat/>
    <w:uiPriority w:val="99"/>
    <w:rPr>
      <w:color w:val="605E5C"/>
      <w:shd w:val="clear" w:color="auto" w:fill="E1DFDD"/>
    </w:rPr>
  </w:style>
  <w:style w:type="character" w:customStyle="1" w:styleId="335">
    <w:name w:val="正文首行缩进 2 Char1"/>
    <w:qFormat/>
    <w:uiPriority w:val="0"/>
    <w:rPr>
      <w:kern w:val="2"/>
      <w:sz w:val="21"/>
      <w:szCs w:val="24"/>
    </w:rPr>
  </w:style>
  <w:style w:type="paragraph" w:customStyle="1" w:styleId="336">
    <w:name w:val="TOC 标题2"/>
    <w:basedOn w:val="2"/>
    <w:next w:val="1"/>
    <w:unhideWhenUsed/>
    <w:qFormat/>
    <w:uiPriority w:val="39"/>
    <w:pPr>
      <w:keepLines/>
      <w:tabs>
        <w:tab w:val="clear" w:pos="432"/>
      </w:tabs>
      <w:spacing w:before="240" w:line="259" w:lineRule="auto"/>
      <w:ind w:left="0" w:firstLine="0"/>
      <w:jc w:val="left"/>
      <w:outlineLvl w:val="9"/>
    </w:pPr>
    <w:rPr>
      <w:rFonts w:asciiTheme="majorHAnsi" w:hAnsiTheme="majorHAnsi" w:eastAsiaTheme="majorEastAsia" w:cstheme="majorBidi"/>
      <w:color w:val="376092" w:themeColor="accent1" w:themeShade="BF"/>
      <w:sz w:val="32"/>
      <w:szCs w:val="32"/>
    </w:rPr>
  </w:style>
  <w:style w:type="character" w:customStyle="1" w:styleId="337">
    <w:name w:val="未处理的提及2"/>
    <w:basedOn w:val="52"/>
    <w:semiHidden/>
    <w:unhideWhenUsed/>
    <w:qFormat/>
    <w:uiPriority w:val="99"/>
    <w:rPr>
      <w:color w:val="605E5C"/>
      <w:shd w:val="clear" w:color="auto" w:fill="E1DFDD"/>
    </w:rPr>
  </w:style>
  <w:style w:type="character" w:customStyle="1" w:styleId="338">
    <w:name w:val="未处理的提及3"/>
    <w:basedOn w:val="52"/>
    <w:semiHidden/>
    <w:unhideWhenUsed/>
    <w:qFormat/>
    <w:uiPriority w:val="99"/>
    <w:rPr>
      <w:color w:val="605E5C"/>
      <w:shd w:val="clear" w:color="auto" w:fill="E1DFDD"/>
    </w:rPr>
  </w:style>
  <w:style w:type="paragraph" w:customStyle="1" w:styleId="339">
    <w:name w:val="TOC 标题3"/>
    <w:basedOn w:val="2"/>
    <w:next w:val="1"/>
    <w:unhideWhenUsed/>
    <w:qFormat/>
    <w:uiPriority w:val="39"/>
    <w:pPr>
      <w:keepLines/>
      <w:tabs>
        <w:tab w:val="clear" w:pos="432"/>
      </w:tabs>
      <w:spacing w:before="240" w:line="259" w:lineRule="auto"/>
      <w:ind w:left="0" w:firstLine="0"/>
      <w:jc w:val="left"/>
      <w:outlineLvl w:val="9"/>
    </w:pPr>
    <w:rPr>
      <w:rFonts w:asciiTheme="majorHAnsi" w:hAnsiTheme="majorHAnsi" w:eastAsiaTheme="majorEastAsia" w:cstheme="majorBidi"/>
      <w:color w:val="376092" w:themeColor="accent1" w:themeShade="BF"/>
      <w:sz w:val="32"/>
      <w:szCs w:val="32"/>
    </w:rPr>
  </w:style>
  <w:style w:type="paragraph" w:customStyle="1" w:styleId="340">
    <w:name w:val="XW正文"/>
    <w:basedOn w:val="22"/>
    <w:qFormat/>
    <w:uiPriority w:val="0"/>
    <w:pPr>
      <w:adjustRightInd w:val="0"/>
      <w:snapToGrid w:val="0"/>
      <w:spacing w:after="0" w:line="300" w:lineRule="auto"/>
      <w:ind w:left="0" w:firstLine="5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4&#27491;&#22312;&#36827;&#34892;&#39033;&#30446;\&#21491;&#25152;&#30333;&#26063;&#25991;&#21270;&#20844;&#22253;\&#21442;&#32771;&#36164;&#26009;\&#25307;&#26631;&#25991;&#20214;&#31354;&#30333;&#25991;&#2672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ba9e5eba-8237-4266-82bb-fba724d3fdc0</errorID>
      <errorWord>(</errorWord>
      <group>L1_Format</group>
      <groupName>格式问题</groupName>
      <ability>L2_HalfPunc</ability>
      <abilityName>全半角检查</abilityName>
      <candidateList>
        <item>（</item>
      </candidateList>
      <explain>文本全半角错误。</explain>
      <paraID>359A6584</paraID>
      <start>10</start>
      <end>11</end>
      <status>ignored</status>
      <modifiedWord/>
      <trackRevisions>false</trackRevisions>
    </reviewItem>
    <reviewItem>
      <errorID>fa94516b-6ced-40a8-8107-6aca4224cff3</errorID>
      <errorWord>2026年05月</errorWord>
      <group>L1_Knowledge</group>
      <groupName>知识性问题</groupName>
      <ability>L2_Time</ability>
      <abilityName>日期时间</abilityName>
      <candidateList>
        <item>2026年5月</item>
      </candidateList>
      <explain>根据日常书写习惯，月份一般会省略前导零。</explain>
      <paraID>576017A4</paraID>
      <start>76</start>
      <end>83</end>
      <status>modified</status>
      <modifiedWord>2026年5月</modifiedWord>
      <trackRevisions>false</trackRevisions>
    </reviewItem>
    <reviewItem>
      <errorID>35aba3db-dc6c-47d6-907c-761a84e4de1e</errorID>
      <errorWord>2025年01月</errorWord>
      <group>L1_Knowledge</group>
      <groupName>知识性问题</groupName>
      <ability>L2_Time</ability>
      <abilityName>日期时间</abilityName>
      <candidateList>
        <item>2025年1月</item>
      </candidateList>
      <explain>根据日常书写习惯，月份一般会省略前导零。</explain>
      <paraID>397F63FB</paraID>
      <start>36</start>
      <end>43</end>
      <status>modified</status>
      <modifiedWord>2025年1月</modifiedWord>
      <trackRevisions>false</trackRevisions>
    </reviewItem>
    <reviewItem>
      <errorID>743fd0d4-0b9d-4384-8d5f-9493e6f4d9b5</errorID>
      <errorWord>2025年01月</errorWord>
      <group>L1_Knowledge</group>
      <groupName>知识性问题</groupName>
      <ability>L2_Time</ability>
      <abilityName>日期时间</abilityName>
      <candidateList>
        <item>2025年1月</item>
      </candidateList>
      <explain>根据日常书写习惯，月份一般会省略前导零。</explain>
      <paraID>397F63FB</paraID>
      <start>151</start>
      <end>158</end>
      <status>modified</status>
      <modifiedWord>2025年1月</modifiedWord>
      <trackRevisions>false</trackRevisions>
    </reviewItem>
    <reviewItem>
      <errorID>4192800f-80c8-4fb5-9a0c-0df2a6cf72cb</errorID>
      <errorWord>（</errorWord>
      <group>L1_Punc</group>
      <groupName>标点问题</groupName>
      <ability>L2_Punc</ability>
      <abilityName>标点符号检查</abilityName>
      <candidateList/>
      <explain>同一形式括号套用。</explain>
      <paraID>1326F864</paraID>
      <start>170</start>
      <end>171</end>
      <status>ignored</status>
      <modifiedWord/>
      <trackRevisions>false</trackRevisions>
    </reviewItem>
    <reviewItem>
      <errorID>d617d58f-c1ba-47d3-a7d3-4ec1a3e6fe67</errorID>
      <errorWord>）</errorWord>
      <group>L1_Punc</group>
      <groupName>标点问题</groupName>
      <ability>L2_Punc</ability>
      <abilityName>标点符号检查</abilityName>
      <candidateList/>
      <explain>同一形式括号套用。</explain>
      <paraID>1326F864</paraID>
      <start>173</start>
      <end>174</end>
      <status>ignored</status>
      <modifiedWord/>
      <trackRevisions>false</trackRevisions>
    </reviewItem>
    <reviewItem>
      <errorID>4465ea41-a687-47d2-a58c-16b4fd73a476</errorID>
      <errorWord>2026年05月</errorWord>
      <group>L1_Knowledge</group>
      <groupName>知识性问题</groupName>
      <ability>L2_Time</ability>
      <abilityName>日期时间</abilityName>
      <candidateList>
        <item>2026年5月</item>
      </candidateList>
      <explain>根据日常书写习惯，月份一般会省略前导零。</explain>
      <paraID>66E21BA3</paraID>
      <start>5</start>
      <end>12</end>
      <status>modified</status>
      <modifiedWord>2026年5月</modifiedWord>
      <trackRevisions>false</trackRevisions>
    </reviewItem>
    <reviewItem>
      <errorID>4c56881b-96b9-40b0-a4ba-9c0619ab8b8c</errorID>
      <errorWord>2026年05月</errorWord>
      <group>L1_Knowledge</group>
      <groupName>知识性问题</groupName>
      <ability>L2_Time</ability>
      <abilityName>日期时间</abilityName>
      <candidateList>
        <item>2026年5月</item>
      </candidateList>
      <explain>根据日常书写习惯，月份一般会省略前导零。</explain>
      <paraID>66E21BA3</paraID>
      <start>16</start>
      <end>23</end>
      <status>modified</status>
      <modifiedWord>2026年5月</modifiedWord>
      <trackRevisions>false</trackRevisions>
    </reviewItem>
    <reviewItem>
      <errorID>f77e3024-0351-47bd-b176-344eb5fc1ba8</errorID>
      <errorWord>-</errorWord>
      <group>L1_Format</group>
      <groupName>格式问题</groupName>
      <ability>L2_HalfPunc</ability>
      <abilityName>全半角检查</abilityName>
      <candidateList>
        <item>－</item>
      </candidateList>
      <explain>文本全半角错误。</explain>
      <paraID> B4B19BB</paraID>
      <start>65</start>
      <end>66</end>
      <status>ignored</status>
      <modifiedWord/>
      <trackRevisions>false</trackRevisions>
    </reviewItem>
    <reviewItem>
      <errorID>40600b8b-9171-4ca5-9078-31e4cf419c56</errorID>
      <errorWord>-</errorWord>
      <group>L1_Format</group>
      <groupName>格式问题</groupName>
      <ability>L2_HalfPunc</ability>
      <abilityName>全半角检查</abilityName>
      <candidateList>
        <item>－</item>
      </candidateList>
      <explain>文本全半角错误。</explain>
      <paraID> B4B19BB</paraID>
      <start>70</start>
      <end>71</end>
      <status>ignored</status>
      <modifiedWord/>
      <trackRevisions>false</trackRevisions>
    </reviewItem>
    <reviewItem>
      <errorID>386e0952-a909-42cf-9c74-49f37d41ec06</errorID>
      <errorWord>-</errorWord>
      <group>L1_Format</group>
      <groupName>格式问题</groupName>
      <ability>L2_HalfPunc</ability>
      <abilityName>全半角检查</abilityName>
      <candidateList>
        <item>－</item>
      </candidateList>
      <explain>文本全半角错误。</explain>
      <paraID> B4B19BB</paraID>
      <start>80</start>
      <end>81</end>
      <status>ignored</status>
      <modifiedWord/>
      <trackRevisions>false</trackRevisions>
    </reviewItem>
    <reviewItem>
      <errorID>20ce00cb-519c-41fc-a223-3cb79f134b0c</errorID>
      <errorWord>-</errorWord>
      <group>L1_Format</group>
      <groupName>格式问题</groupName>
      <ability>L2_HalfPunc</ability>
      <abilityName>全半角检查</abilityName>
      <candidateList>
        <item>－</item>
      </candidateList>
      <explain>文本全半角错误。</explain>
      <paraID> B4B19BB</paraID>
      <start>86</start>
      <end>87</end>
      <status>ignored</status>
      <modifiedWord/>
      <trackRevisions>false</trackRevisions>
    </reviewItem>
    <reviewItem>
      <errorID>57a17602-0ee3-49dc-8425-c18b9e2034e3</errorID>
      <errorWord>(</errorWord>
      <group>L1_Format</group>
      <groupName>格式问题</groupName>
      <ability>L2_HalfPunc</ability>
      <abilityName>全半角检查</abilityName>
      <candidateList>
        <item>（</item>
      </candidateList>
      <explain>文本全半角错误。</explain>
      <paraID>3E15B3C3</paraID>
      <start>6</start>
      <end>7</end>
      <status>ignored</status>
      <modifiedWord/>
      <trackRevisions>false</trackRevisions>
    </reviewItem>
    <reviewItem>
      <errorID>baad0e07-5287-41b0-832b-2978e4d90471</errorID>
      <errorWord>(</errorWord>
      <group>L1_Format</group>
      <groupName>格式问题</groupName>
      <ability>L2_HalfPunc</ability>
      <abilityName>全半角检查</abilityName>
      <candidateList>
        <item>（</item>
      </candidateList>
      <explain>文本全半角错误。</explain>
      <paraID>14F60DC5</paraID>
      <start>6</start>
      <end>7</end>
      <status>ignored</status>
      <modifiedWord/>
      <trackRevisions>false</trackRevisions>
    </reviewItem>
    <reviewItem>
      <errorID>f1be051e-858f-46e9-8fcd-f875c52663d2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26BC27C7</paraID>
      <start>1</start>
      <end>3</end>
      <status>ignored</status>
      <modifiedWord/>
      <trackRevisions>false</trackRevisions>
    </reviewItem>
    <reviewItem>
      <errorID>1fd938df-6b6e-4cff-b73f-521038e8c467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35AC5E0F</paraID>
      <start>20</start>
      <end>23</end>
      <status>ignored</status>
      <modifiedWord/>
      <trackRevisions>false</trackRevisions>
    </reviewItem>
    <reviewItem>
      <errorID>f9b5407a-9331-4612-9361-30c9c4e88892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6DDA8F23</paraID>
      <start>0</start>
      <end>2</end>
      <status>ignored</status>
      <modifiedWord/>
      <trackRevisions>false</trackRevisions>
    </reviewItem>
    <reviewItem>
      <errorID>a9a73b90-9b4a-4ae9-87f0-e666da7426c0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4201ED01</paraID>
      <start>0</start>
      <end>2</end>
      <status>ignored</status>
      <modifiedWord/>
      <trackRevisions>false</trackRevisions>
    </reviewItem>
    <reviewItem>
      <errorID>14fb8faa-7e98-42c5-88aa-a5ce29443c26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687D992E</paraID>
      <start>0</start>
      <end>2</end>
      <status>ignored</status>
      <modifiedWord/>
      <trackRevisions>false</trackRevisions>
    </reviewItem>
    <reviewItem>
      <errorID>a4f190df-7771-4251-9a16-db68b05390fe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79838C5E</paraID>
      <start>0</start>
      <end>2</end>
      <status>ignored</status>
      <modifiedWord/>
      <trackRevisions>false</trackRevisions>
    </reviewItem>
    <reviewItem>
      <errorID>78ed2561-2984-41c4-9b9f-660792517e5d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E88CD4F</paraID>
      <start>0</start>
      <end>2</end>
      <status>ignored</status>
      <modifiedWord/>
      <trackRevisions>false</trackRevisions>
    </reviewItem>
    <reviewItem>
      <errorID>43e1a428-d17d-477b-9fd7-bd81471afb70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175A5783</paraID>
      <start>0</start>
      <end>2</end>
      <status>ignored</status>
      <modifiedWord/>
      <trackRevisions>false</trackRevisions>
    </reviewItem>
    <reviewItem>
      <errorID>a24017d2-aa0d-4c5e-9831-95d5428b5394</errorID>
      <errorWord>及</errorWord>
      <group>L1_Word</group>
      <groupName>字词问题</groupName>
      <ability>L2_Typo</ability>
      <abilityName>字词错误</abilityName>
      <candidateList>
        <item>及与</item>
      </candidateList>
      <explain/>
      <paraID>410D3403</paraID>
      <start>56</start>
      <end>58</end>
      <status>modified</status>
      <modifiedWord>及与</modifiedWord>
      <trackRevisions>false</trackRevisions>
    </reviewItem>
    <reviewItem>
      <errorID>941ec6ed-649e-41e2-a2f5-53dcf8bd9bfe</errorID>
      <errorWord>(</errorWord>
      <group>L1_Format</group>
      <groupName>格式问题</groupName>
      <ability>L2_HalfPunc</ability>
      <abilityName>全半角检查</abilityName>
      <candidateList>
        <item>（</item>
      </candidateList>
      <explain>文本全半角错误。</explain>
      <paraID>6E825A61</paraID>
      <start>8</start>
      <end>9</end>
      <status>ignored</status>
      <modifiedWord/>
      <trackRevisions>false</trackRevisions>
    </reviewItem>
    <reviewItem>
      <errorID>487b1d16-902d-4778-af49-57155f849274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3D87588C</paraID>
      <start>0</start>
      <end>2</end>
      <status>ignored</status>
      <modifiedWord/>
      <trackRevisions>false</trackRevisions>
    </reviewItem>
    <reviewItem>
      <errorID>d981859c-f66d-4473-819f-98844853f0cb</errorID>
      <errorWord>（</errorWord>
      <group>L1_Punc</group>
      <groupName>标点问题</groupName>
      <ability>L2_Punc</ability>
      <abilityName>标点符号检查</abilityName>
      <candidateList/>
      <explain>同一形式括号套用。</explain>
      <paraID>3E72F85F</paraID>
      <start>167</start>
      <end>168</end>
      <status>ignored</status>
      <modifiedWord/>
      <trackRevisions>false</trackRevisions>
    </reviewItem>
    <reviewItem>
      <errorID>c29b15b2-58b1-4924-bf13-f02ea8a9c8ca</errorID>
      <errorWord>）</errorWord>
      <group>L1_Punc</group>
      <groupName>标点问题</groupName>
      <ability>L2_Punc</ability>
      <abilityName>标点符号检查</abilityName>
      <candidateList/>
      <explain>同一形式括号套用。</explain>
      <paraID>3E72F85F</paraID>
      <start>170</start>
      <end>171</end>
      <status>ignored</status>
      <modifiedWord/>
      <trackRevisions>false</trackRevisions>
    </reviewItem>
    <reviewItem>
      <errorID>eaed1412-a098-472a-9e18-bdb82518a3ff</errorID>
      <errorWord>位</errorWord>
      <group>L1_Word</group>
      <groupName>字词问题</groupName>
      <ability>L2_Typo</ability>
      <abilityName>字词错误</abilityName>
      <candidateList>
        <item>位公</item>
      </candidateList>
      <explain/>
      <paraID> FBCBFCA</paraID>
      <start>110</start>
      <end>112</end>
      <status>modified</status>
      <modifiedWord>位公</modifiedWord>
      <trackRevisions>false</trackRevisions>
    </reviewItem>
    <reviewItem>
      <errorID>74b4aa51-a8ec-4d33-8201-e35f980ae607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582392BE</paraID>
      <start>0</start>
      <end>2</end>
      <status>ignored</status>
      <modifiedWord/>
      <trackRevisions>false</trackRevisions>
    </reviewItem>
    <reviewItem>
      <errorID>fb627a3a-b5c5-4d55-8f58-2b8e1176a18c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606C1F28</paraID>
      <start>0</start>
      <end>2</end>
      <status>ignored</status>
      <modifiedWord/>
      <trackRevisions>false</trackRevisions>
    </reviewItem>
    <reviewItem>
      <errorID>1785903c-caf4-4bf3-9e07-60ba9f735e8c</errorID>
      <errorWord>作</errorWord>
      <group>L1_Word</group>
      <groupName>字词问题</groupName>
      <ability>L2_Typo</ability>
      <abilityName>字词错误</abilityName>
      <candidateList>
        <item>做</item>
      </candidateList>
      <explain>存在发音相同字词的误用。</explain>
      <paraID>65D1FE61</paraID>
      <start>56</start>
      <end>57</end>
      <status>modified</status>
      <modifiedWord>做</modifiedWord>
      <trackRevisions>false</trackRevisions>
    </reviewItem>
    <reviewItem>
      <errorID>4d045264-4061-4479-b151-fedad7175c50</errorID>
      <errorWord>位</errorWord>
      <group>L1_Word</group>
      <groupName>字词问题</groupName>
      <ability>L2_Typo</ability>
      <abilityName>字词错误</abilityName>
      <candidateList>
        <item>位公</item>
      </candidateList>
      <explain/>
      <paraID>7D290845</paraID>
      <start>75</start>
      <end>77</end>
      <status>modified</status>
      <modifiedWord>位公</modifiedWord>
      <trackRevisions>false</trackRevisions>
    </reviewItem>
    <reviewItem>
      <errorID>998fda5c-817d-44f8-a873-de66280ac0f9</errorID>
      <errorWord>运入</errorWord>
      <group>L1_Word</group>
      <groupName>字词问题</groupName>
      <ability>L2_Typo</ability>
      <abilityName>字词错误</abilityName>
      <candidateList>
        <item>进入</item>
      </candidateList>
      <explain>〈动〉支进到某个范围或某个时期里：～学校｜～新阶段◇～角色。</explain>
      <paraID> 1951F0E</paraID>
      <start>5</start>
      <end>7</end>
      <status>ignored</status>
      <modifiedWord/>
      <trackRevisions>false</trackRevisions>
    </reviewItem>
    <reviewItem>
      <errorID>7bfdd35c-1cfa-4810-a38c-c83b551e897c</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27E0684D</paraID>
      <start>30</start>
      <end>32</end>
      <status>modified</status>
      <modifiedWord>及时</modifiedWord>
      <trackRevisions>false</trackRevisions>
    </reviewItem>
    <reviewItem>
      <errorID>3a8ed508-ddeb-4d89-9f6b-02d7334dd3d1</errorID>
      <errorWord>运入</errorWord>
      <group>L1_Word</group>
      <groupName>字词问题</groupName>
      <ability>L2_Typo</ability>
      <abilityName>字词错误</abilityName>
      <candidateList>
        <item>进入</item>
      </candidateList>
      <explain>〈动〉支进到某个范围或某个时期里：～学校｜～新阶段◇～角色。</explain>
      <paraID>5D96F47B</paraID>
      <start>14</start>
      <end>16</end>
      <status>ignored</status>
      <modifiedWord/>
      <trackRevisions>false</trackRevisions>
    </reviewItem>
    <reviewItem>
      <errorID>8ea31c91-c654-463b-bd7f-ea43fb6e183a</errorID>
      <errorWord>,</errorWord>
      <group>L1_Format</group>
      <groupName>格式问题</groupName>
      <ability>L2_HalfPunc</ability>
      <abilityName>全半角检查</abilityName>
      <candidateList>
        <item>，</item>
      </candidateList>
      <explain>文本全半角错误。</explain>
      <paraID>4F18E200</paraID>
      <start>97</start>
      <end>98</end>
      <status>ignored</status>
      <modifiedWord/>
      <trackRevisions>false</trackRevisions>
    </reviewItem>
    <reviewItem>
      <errorID>32f455ac-6702-4cfc-bb9d-c3e8773467eb</errorID>
      <errorWord>,</errorWord>
      <group>L1_Format</group>
      <groupName>格式问题</groupName>
      <ability>L2_HalfPunc</ability>
      <abilityName>全半角检查</abilityName>
      <candidateList>
        <item>，</item>
      </candidateList>
      <explain>文本全半角错误。</explain>
      <paraID> 8A2E6E1</paraID>
      <start>22</start>
      <end>23</end>
      <status>ignored</status>
      <modifiedWord/>
      <trackRevisions>false</trackRevisions>
    </reviewItem>
    <reviewItem>
      <errorID>d7f278c7-382c-444a-8dac-01fcc465f75d</errorID>
      <errorWord>,</errorWord>
      <group>L1_Format</group>
      <groupName>格式问题</groupName>
      <ability>L2_HalfPunc</ability>
      <abilityName>全半角检查</abilityName>
      <candidateList>
        <item>，</item>
      </candidateList>
      <explain>文本全半角错误。</explain>
      <paraID>6D4DEC5D</paraID>
      <start>21</start>
      <end>22</end>
      <status>ignored</status>
      <modifiedWord/>
      <trackRevisions>false</trackRevisions>
    </reviewItem>
    <reviewItem>
      <errorID>77ffd45b-4f1f-47df-be43-43bb346acfa1</errorID>
      <errorWord>原由</errorWord>
      <group>L1_Word</group>
      <groupName>字词问题</groupName>
      <ability>L2_Variant</ability>
      <abilityName>异形词</abilityName>
      <candidateList>
        <item>缘由</item>
      </candidateList>
      <explain>词汇[原由]的规范词形写作[缘由]。</explain>
      <paraID>26A18148</paraID>
      <start>21</start>
      <end>23</end>
      <status>ignored</status>
      <modifiedWord/>
      <trackRevisions>false</trackRevisions>
    </reviewItem>
    <reviewItem>
      <errorID>d50a2a1a-140a-4653-9d44-850ea6a6fa49</errorID>
      <errorWord>上签字并盖单位</errorWord>
      <group>L1_Word</group>
      <groupName>字词问题</groupName>
      <ability>L2_Typo</ability>
      <abilityName>字词错误</abilityName>
      <candidateList>
        <item>上签字并加盖单位</item>
      </candidateList>
      <explain/>
      <paraID>77606070</paraID>
      <start>68</start>
      <end>76</end>
      <status>modified</status>
      <modifiedWord>上签字并加盖单位</modifiedWord>
      <trackRevisions>false</trackRevisions>
    </reviewItem>
    <reviewItem>
      <errorID>d4558108-ce59-4763-ba9c-0042d1d7a51c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505821CB</paraID>
      <start>0</start>
      <end>2</end>
      <status>ignored</status>
      <modifiedWord/>
      <trackRevisions>false</trackRevisions>
    </reviewItem>
    <reviewItem>
      <errorID>3d2ac999-e3e6-4c41-b8ba-bf2811a44452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3FA74F1F</paraID>
      <start>0</start>
      <end>2</end>
      <status>ignored</status>
      <modifiedWord/>
      <trackRevisions>false</trackRevisions>
    </reviewItem>
    <reviewItem>
      <errorID>33afd8f8-a7a3-4dc7-8f65-e8d9f55858b3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10933553</paraID>
      <start>0</start>
      <end>2</end>
      <status>ignored</status>
      <modifiedWord/>
      <trackRevisions>false</trackRevisions>
    </reviewItem>
    <reviewItem>
      <errorID>7b94c497-ecda-4dc7-aaf7-5dc695767753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7A717B8E</paraID>
      <start>0</start>
      <end>2</end>
      <status>ignored</status>
      <modifiedWord/>
      <trackRevisions>false</trackRevisions>
    </reviewItem>
    <reviewItem>
      <errorID>1613fd58-42ff-4cf4-8d75-3be0bd3b606f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7EACD6CB</paraID>
      <start>0</start>
      <end>2</end>
      <status>ignored</status>
      <modifiedWord/>
      <trackRevisions>false</trackRevisions>
    </reviewItem>
    <reviewItem>
      <errorID>e156425e-822d-4f60-9f07-279ee55d9c0a</errorID>
      <errorWord>,</errorWord>
      <group>L1_Format</group>
      <groupName>格式问题</groupName>
      <ability>L2_HalfPunc</ability>
      <abilityName>全半角检查</abilityName>
      <candidateList>
        <item>，</item>
      </candidateList>
      <explain>文本全半角错误。</explain>
      <paraID>4622FAB2</paraID>
      <start>59</start>
      <end>60</end>
      <status>ignored</status>
      <modifiedWord/>
      <trackRevisions>false</trackRevisions>
    </reviewItem>
    <reviewItem>
      <errorID>883244f2-a34f-4e42-983c-5f906cec43c2</errorID>
      <errorWord>-</errorWord>
      <group>L1_Format</group>
      <groupName>格式问题</groupName>
      <ability>L2_HalfPunc</ability>
      <abilityName>全半角检查</abilityName>
      <candidateList>
        <item>－</item>
      </candidateList>
      <explain>文本全半角错误。</explain>
      <paraID>2ADFC87F</paraID>
      <start>2</start>
      <end>3</end>
      <status>ignored</status>
      <modifiedWord/>
      <trackRevisions>false</trackRevisions>
    </reviewItem>
    <reviewItem>
      <errorID>16aeae67-5653-4608-a2ae-b61b3666dafd</errorID>
      <errorWord>"</errorWord>
      <group>L1_Format</group>
      <groupName>格式问题</groupName>
      <ability>L2_HalfPunc</ability>
      <abilityName>全半角检查</abilityName>
      <candidateList>
        <item>“</item>
      </candidateList>
      <explain>文本全半角错误。</explain>
      <paraID>4658B238</paraID>
      <start>19</start>
      <end>20</end>
      <status>ignored</status>
      <modifiedWord/>
      <trackRevisions>false</trackRevisions>
    </reviewItem>
    <reviewItem>
      <errorID>0e18b37b-8931-4650-9abc-c21cc2a78a4b</errorID>
      <errorWord>"</errorWord>
      <group>L1_Format</group>
      <groupName>格式问题</groupName>
      <ability>L2_HalfPunc</ability>
      <abilityName>全半角检查</abilityName>
      <candidateList>
        <item>”</item>
      </candidateList>
      <explain>文本全半角错误。</explain>
      <paraID>4658B238</paraID>
      <start>23</start>
      <end>24</end>
      <status>ignored</status>
      <modifiedWord/>
      <trackRevisions>false</trackRevisions>
    </reviewItem>
    <reviewItem>
      <errorID>ad6a5d71-0b6a-4fbe-8aa9-fd9064ccce3c</errorID>
      <errorWord>"</errorWord>
      <group>L1_Format</group>
      <groupName>格式问题</groupName>
      <ability>L2_HalfPunc</ability>
      <abilityName>全半角检查</abilityName>
      <candidateList>
        <item>“</item>
      </candidateList>
      <explain>文本全半角错误。</explain>
      <paraID>4658B238</paraID>
      <start>88</start>
      <end>89</end>
      <status>ignored</status>
      <modifiedWord/>
      <trackRevisions>false</trackRevisions>
    </reviewItem>
    <reviewItem>
      <errorID>23694aa0-796e-4727-9d20-178ac5112724</errorID>
      <errorWord>"</errorWord>
      <group>L1_Format</group>
      <groupName>格式问题</groupName>
      <ability>L2_HalfPunc</ability>
      <abilityName>全半角检查</abilityName>
      <candidateList>
        <item>”</item>
      </candidateList>
      <explain>文本全半角错误。</explain>
      <paraID>4658B238</paraID>
      <start>92</start>
      <end>93</end>
      <status>ignored</status>
      <modifiedWord/>
      <trackRevisions>false</trackRevisions>
    </reviewItem>
    <reviewItem>
      <errorID>6f10f963-c505-496c-b872-2f21c0d7e4c8</errorID>
      <errorWord>:</errorWord>
      <group>L1_Format</group>
      <groupName>格式问题</groupName>
      <ability>L2_HalfPunc</ability>
      <abilityName>全半角检查</abilityName>
      <candidateList>
        <item>：</item>
      </candidateList>
      <explain>文本全半角错误。</explain>
      <paraID>33C88C34</paraID>
      <start>26</start>
      <end>27</end>
      <status>ignored</status>
      <modifiedWord/>
      <trackRevisions>false</trackRevisions>
    </reviewItem>
    <reviewItem>
      <errorID>03afdad0-dbfb-47b3-98fa-29798a6fb6ed</errorID>
      <errorWord>"</errorWord>
      <group>L1_Format</group>
      <groupName>格式问题</groupName>
      <ability>L2_HalfPunc</ability>
      <abilityName>全半角检查</abilityName>
      <candidateList>
        <item>“</item>
      </candidateList>
      <explain>文本全半角错误。</explain>
      <paraID>2B73D2E5</paraID>
      <start>27</start>
      <end>28</end>
      <status>ignored</status>
      <modifiedWord/>
      <trackRevisions>false</trackRevisions>
    </reviewItem>
    <reviewItem>
      <errorID>dafab3be-00da-4b3a-a757-db0a730fd8bf</errorID>
      <errorWord>"</errorWord>
      <group>L1_Format</group>
      <groupName>格式问题</groupName>
      <ability>L2_HalfPunc</ability>
      <abilityName>全半角检查</abilityName>
      <candidateList>
        <item>”</item>
      </candidateList>
      <explain>文本全半角错误。</explain>
      <paraID>2B73D2E5</paraID>
      <start>31</start>
      <end>32</end>
      <status>ignored</status>
      <modifiedWord/>
      <trackRevisions>false</trackRevisions>
    </reviewItem>
    <reviewItem>
      <errorID>580e02c5-a0b7-4a7c-9142-bfb9cb3deefe</errorID>
      <errorWord>"</errorWord>
      <group>L1_Format</group>
      <groupName>格式问题</groupName>
      <ability>L2_HalfPunc</ability>
      <abilityName>全半角检查</abilityName>
      <candidateList>
        <item>“</item>
      </candidateList>
      <explain>文本全半角错误。</explain>
      <paraID>2B73D2E5</paraID>
      <start>59</start>
      <end>60</end>
      <status>ignored</status>
      <modifiedWord/>
      <trackRevisions>false</trackRevisions>
    </reviewItem>
    <reviewItem>
      <errorID>31b2235a-992b-40c6-8a8c-c9269fe6796a</errorID>
      <errorWord>"</errorWord>
      <group>L1_Format</group>
      <groupName>格式问题</groupName>
      <ability>L2_HalfPunc</ability>
      <abilityName>全半角检查</abilityName>
      <candidateList>
        <item>”</item>
      </candidateList>
      <explain>文本全半角错误。</explain>
      <paraID>2B73D2E5</paraID>
      <start>63</start>
      <end>64</end>
      <status>ignored</status>
      <modifiedWord/>
      <trackRevisions>false</trackRevisions>
    </reviewItem>
    <reviewItem>
      <errorID>34131876-4aa4-403e-a36f-dddf504c1350</errorID>
      <errorWord>:</errorWord>
      <group>L1_Format</group>
      <groupName>格式问题</groupName>
      <ability>L2_HalfPunc</ability>
      <abilityName>全半角检查</abilityName>
      <candidateList>
        <item>：</item>
      </candidateList>
      <explain>文本全半角错误。</explain>
      <paraID> 4004905</paraID>
      <start>21</start>
      <end>22</end>
      <status>ignored</status>
      <modifiedWord/>
      <trackRevisions>false</trackRevisions>
    </reviewItem>
    <reviewItem>
      <errorID>08c7d5e6-01b4-46c8-9d43-5c2bcc41a88d</errorID>
      <errorWord>（</errorWord>
      <group>L1_Punc</group>
      <groupName>标点问题</groupName>
      <ability>L2_Punc</ability>
      <abilityName>标点符号检查</abilityName>
      <candidateList>
        <item/>
      </candidateList>
      <explain>同一形式括号套用。</explain>
      <paraID> 6E1DE81</paraID>
      <start>28</start>
      <end>29</end>
      <status>ignored</status>
      <modifiedWord/>
      <trackRevisions>false</trackRevisions>
    </reviewItem>
    <reviewItem>
      <errorID>55b1064e-d254-4e37-9f50-018e91907d19</errorID>
      <errorWord>(</errorWord>
      <group>L1_Punc</group>
      <groupName>标点问题</groupName>
      <ability>L2_Punc</ability>
      <abilityName>标点符号检查</abilityName>
      <candidateList/>
      <explain>同一形式括号套用。</explain>
      <paraID> 6E1DE81</paraID>
      <start>31</start>
      <end>32</end>
      <status>ignored</status>
      <modifiedWord/>
      <trackRevisions>false</trackRevisions>
    </reviewItem>
    <reviewItem>
      <errorID>73c8c6e2-d78b-4099-9051-9715cb022347</errorID>
      <errorWord>）</errorWord>
      <group>L1_Punc</group>
      <groupName>标点问题</groupName>
      <ability>L2_Punc</ability>
      <abilityName>标点符号检查</abilityName>
      <candidateList/>
      <explain>同一形式括号套用。</explain>
      <paraID> 6E1DE81</paraID>
      <start>42</start>
      <end>43</end>
      <status>ignored</status>
      <modifiedWord/>
      <trackRevisions>false</trackRevisions>
    </reviewItem>
    <reviewItem>
      <errorID>944cb2c3-2dce-4811-b8b3-3730efc92120</errorID>
      <errorWord>......</errorWord>
      <group>L1_Punc</group>
      <groupName>标点问题</groupName>
      <ability>L2_Punc</ability>
      <abilityName>标点符号检查</abilityName>
      <candidateList>
        <item>……</item>
      </candidateList>
      <explain/>
      <paraID>2E584AC7</paraID>
      <start>0</start>
      <end>6</end>
      <status>ignored</status>
      <modifiedWord/>
      <trackRevisions>false</trackRevisions>
    </reviewItem>
    <reviewItem>
      <errorID>f3bf7d70-cce5-4e99-a7ba-abbbaa42d590</errorID>
      <errorWord>:</errorWord>
      <group>L1_Format</group>
      <groupName>格式问题</groupName>
      <ability>L2_HalfPunc</ability>
      <abilityName>全半角检查</abilityName>
      <candidateList>
        <item>：</item>
      </candidateList>
      <explain>文本全半角错误。</explain>
      <paraID>33C7B679</paraID>
      <start>11</start>
      <end>12</end>
      <status>ignored</status>
      <modifiedWord/>
      <trackRevisions>false</trackRevisions>
    </reviewItem>
    <reviewItem>
      <errorID>4814bde8-638e-4feb-a64c-9815cd703a63</errorID>
      <errorWord>:</errorWord>
      <group>L1_Format</group>
      <groupName>格式问题</groupName>
      <ability>L2_HalfPunc</ability>
      <abilityName>全半角检查</abilityName>
      <candidateList>
        <item>：</item>
      </candidateList>
      <explain>文本全半角错误。</explain>
      <paraID>1AD9076C</paraID>
      <start>11</start>
      <end>12</end>
      <status>ignored</status>
      <modifiedWord/>
      <trackRevisions>false</trackRevisions>
    </reviewItem>
    <reviewItem>
      <errorID>edf9eb7c-8619-4b87-a4f2-d82c36d733d3</errorID>
      <errorWord>（</errorWord>
      <group>L1_Punc</group>
      <groupName>标点问题</groupName>
      <ability>L2_Punc</ability>
      <abilityName>标点符号检查</abilityName>
      <candidateList/>
      <explain>同一形式括号套用。</explain>
      <paraID>6C150A44</paraID>
      <start>170</start>
      <end>171</end>
      <status>ignored</status>
      <modifiedWord/>
      <trackRevisions>false</trackRevisions>
    </reviewItem>
    <reviewItem>
      <errorID>5b798390-3a5a-40ea-b858-8bdfef4b08be</errorID>
      <errorWord>）</errorWord>
      <group>L1_Punc</group>
      <groupName>标点问题</groupName>
      <ability>L2_Punc</ability>
      <abilityName>标点符号检查</abilityName>
      <candidateList/>
      <explain>同一形式括号套用。</explain>
      <paraID>6C150A44</paraID>
      <start>173</start>
      <end>174</end>
      <status>ignored</status>
      <modifiedWord/>
      <trackRevisions>false</trackRevisions>
    </reviewItem>
    <reviewItem>
      <errorID>fc950b3b-7077-461e-816c-bced430177af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47BE288A</paraID>
      <start>0</start>
      <end>2</end>
      <status>ignored</status>
      <modifiedWord/>
      <trackRevisions>false</trackRevisions>
    </reviewItem>
    <reviewItem>
      <errorID>36634a86-fe4a-4f21-90aa-599b9537ec79</errorID>
      <errorWord>（</errorWord>
      <group>L1_Punc</group>
      <groupName>标点问题</groupName>
      <ability>L2_Punc</ability>
      <abilityName>标点符号检查</abilityName>
      <candidateList/>
      <explain>同一形式括号套用。</explain>
      <paraID>47BE288A</paraID>
      <start>18</start>
      <end>19</end>
      <status>ignored</status>
      <modifiedWord/>
      <trackRevisions>false</trackRevisions>
    </reviewItem>
    <reviewItem>
      <errorID>bd7f3a35-c1c9-4e86-b610-738789ab6943</errorID>
      <errorWord>）</errorWord>
      <group>L1_Punc</group>
      <groupName>标点问题</groupName>
      <ability>L2_Punc</ability>
      <abilityName>标点符号检查</abilityName>
      <candidateList/>
      <explain>同一形式括号套用。</explain>
      <paraID>47BE288A</paraID>
      <start>21</start>
      <end>22</end>
      <status>ignored</status>
      <modifiedWord/>
      <trackRevisions>false</trackRevisions>
    </reviewItem>
    <reviewItem>
      <errorID>a03f1c08-d8e3-4353-a9ab-612164419b30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3BF20732</paraID>
      <start>0</start>
      <end>2</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c24b3-79cb-4699-bdac-bb969e5177de}">
  <ds:schemaRefs/>
</ds:datastoreItem>
</file>

<file path=customXml/itemProps2.xml><?xml version="1.0" encoding="utf-8"?>
<ds:datastoreItem xmlns:ds="http://schemas.openxmlformats.org/officeDocument/2006/customXml" ds:itemID="{CBBB3888-3FF1-4E5E-997D-84CB0E518226}">
  <ds:schemaRefs/>
</ds:datastoreItem>
</file>

<file path=docProps/app.xml><?xml version="1.0" encoding="utf-8"?>
<Properties xmlns="http://schemas.openxmlformats.org/officeDocument/2006/extended-properties" xmlns:vt="http://schemas.openxmlformats.org/officeDocument/2006/docPropsVTypes">
  <Template>招标文件空白文档</Template>
  <Pages>117</Pages>
  <Words>15031</Words>
  <Characters>16697</Characters>
  <Lines>553</Lines>
  <Paragraphs>155</Paragraphs>
  <TotalTime>74</TotalTime>
  <ScaleCrop>false</ScaleCrop>
  <LinksUpToDate>false</LinksUpToDate>
  <CharactersWithSpaces>16950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2024-10-15T01:14:00Z</dcterms:created>
  <dc:creator>90712</dc:creator>
  <cp:lastModifiedBy>仙仙</cp:lastModifiedBy>
  <cp:lastPrinted>2026-05-07T04:14:00Z</cp:lastPrinted>
  <dcterms:modified xsi:type="dcterms:W3CDTF">2026-05-07T09:48:28Z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E9A29535BBC04232B012861E4939748B_13</vt:lpwstr>
  </property>
  <property fmtid="{D5CDD505-2E9C-101B-9397-08002B2CF9AE}" pid="4" name="commondata">
    <vt:lpwstr>eyJoZGlkIjoiYTc2ZGZiNzZiNDVlOGViOWVmM2JhOTY0NGJkNjUyYzgifQ==</vt:lpwstr>
  </property>
  <property fmtid="{D5CDD505-2E9C-101B-9397-08002B2CF9AE}" pid="5" name="KSOTemplateDocerSaveRecord">
    <vt:lpwstr>eyJoZGlkIjoiODkzYTJkNzJlOWJjYmI3MTMwYTI0YjllN2IxZWMxN2IiLCJ1c2VySWQiOiIzMTExMjgwNTQifQ==</vt:lpwstr>
  </property>
</Properties>
</file>