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7B4F4">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5C590F00">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4B2153E1">
      <w:pPr>
        <w:keepNext w:val="0"/>
        <w:keepLines w:val="0"/>
        <w:widowControl/>
        <w:suppressLineNumbers w:val="0"/>
        <w:spacing w:line="288" w:lineRule="auto"/>
        <w:jc w:val="center"/>
        <w:rPr>
          <w:rFonts w:hint="eastAsia" w:ascii="宋体" w:hAnsi="宋体" w:eastAsia="宋体" w:cs="宋体"/>
          <w:color w:val="auto"/>
          <w:sz w:val="36"/>
          <w:szCs w:val="36"/>
          <w:highlight w:val="none"/>
        </w:rPr>
      </w:pPr>
      <w:r>
        <w:rPr>
          <w:rFonts w:hint="eastAsia" w:ascii="宋体" w:hAnsi="宋体" w:eastAsia="宋体" w:cs="宋体"/>
          <w:b/>
          <w:bCs/>
          <w:i w:val="0"/>
          <w:iCs w:val="0"/>
          <w:color w:val="auto"/>
          <w:spacing w:val="0"/>
          <w:kern w:val="0"/>
          <w:sz w:val="36"/>
          <w:szCs w:val="36"/>
          <w:highlight w:val="none"/>
          <w:lang w:val="en-US" w:eastAsia="zh-CN"/>
        </w:rPr>
        <w:t>浙江交通职业技术学院</w:t>
      </w:r>
    </w:p>
    <w:p w14:paraId="72DCA3FD">
      <w:pPr>
        <w:keepNext w:val="0"/>
        <w:keepLines w:val="0"/>
        <w:widowControl/>
        <w:suppressLineNumbers w:val="0"/>
        <w:spacing w:line="288" w:lineRule="auto"/>
        <w:jc w:val="center"/>
        <w:rPr>
          <w:rFonts w:hint="eastAsia" w:ascii="宋体" w:hAnsi="宋体" w:eastAsia="宋体" w:cs="宋体"/>
          <w:color w:val="auto"/>
          <w:sz w:val="36"/>
          <w:szCs w:val="36"/>
          <w:highlight w:val="none"/>
        </w:rPr>
      </w:pPr>
      <w:r>
        <w:rPr>
          <w:rFonts w:hint="eastAsia" w:ascii="宋体" w:hAnsi="宋体" w:eastAsia="宋体" w:cs="宋体"/>
          <w:b/>
          <w:bCs/>
          <w:i w:val="0"/>
          <w:iCs w:val="0"/>
          <w:color w:val="auto"/>
          <w:spacing w:val="0"/>
          <w:kern w:val="0"/>
          <w:sz w:val="36"/>
          <w:szCs w:val="36"/>
          <w:highlight w:val="none"/>
          <w:lang w:val="en-US" w:eastAsia="zh-CN"/>
        </w:rPr>
        <w:t>廉政风险防控管理系统项目（二期）</w:t>
      </w:r>
    </w:p>
    <w:p w14:paraId="0EE259EA">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1639E77A">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51747DDE">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36"/>
          <w:szCs w:val="36"/>
          <w:highlight w:val="none"/>
          <w:lang w:val="en-US" w:eastAsia="zh-CN"/>
        </w:rPr>
        <w:t>磋商文件</w:t>
      </w:r>
    </w:p>
    <w:p w14:paraId="5F2EE25B">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36"/>
          <w:szCs w:val="36"/>
          <w:highlight w:val="none"/>
          <w:lang w:val="en-US" w:eastAsia="zh-CN"/>
        </w:rPr>
        <w:t>（线上电子交易）</w:t>
      </w:r>
    </w:p>
    <w:p w14:paraId="0088BAD7">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5F3B2AE8">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30071C3C">
      <w:pPr>
        <w:keepNext w:val="0"/>
        <w:keepLines w:val="0"/>
        <w:widowControl/>
        <w:suppressLineNumbers w:val="0"/>
        <w:spacing w:after="210" w:afterAutospacing="0" w:line="288" w:lineRule="auto"/>
        <w:jc w:val="left"/>
        <w:rPr>
          <w:rFonts w:hint="eastAsia" w:ascii="宋体" w:hAnsi="宋体" w:eastAsia="宋体" w:cs="宋体"/>
          <w:color w:val="auto"/>
          <w:sz w:val="21"/>
          <w:szCs w:val="21"/>
          <w:highlight w:val="none"/>
        </w:rPr>
      </w:pP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00"/>
        <w:gridCol w:w="7410"/>
      </w:tblGrid>
      <w:tr w14:paraId="0998AF1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567" w:hRule="atLeast"/>
        </w:trPr>
        <w:tc>
          <w:tcPr>
            <w:tcW w:w="150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0A74D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采购方式</w:t>
            </w:r>
          </w:p>
        </w:tc>
        <w:tc>
          <w:tcPr>
            <w:tcW w:w="530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99E94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竞争性磋商</w:t>
            </w:r>
          </w:p>
        </w:tc>
      </w:tr>
      <w:tr w14:paraId="46C9526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B5EF7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交易方式</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12E1E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r>
              <w:rPr>
                <w:rFonts w:hint="eastAsia" w:ascii="宋体" w:hAnsi="宋体" w:eastAsia="宋体" w:cs="宋体"/>
                <w:color w:val="auto"/>
                <w:spacing w:val="0"/>
                <w:kern w:val="0"/>
                <w:sz w:val="21"/>
                <w:szCs w:val="21"/>
                <w:highlight w:val="none"/>
                <w:lang w:val="en-US" w:eastAsia="zh-CN"/>
              </w:rPr>
              <w:t>电子交易</w:t>
            </w:r>
          </w:p>
        </w:tc>
      </w:tr>
      <w:tr w14:paraId="0E31122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72D73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交易平台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5BBE8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r>
              <w:rPr>
                <w:rFonts w:hint="eastAsia" w:ascii="宋体" w:hAnsi="宋体" w:eastAsia="宋体" w:cs="宋体"/>
                <w:color w:val="auto"/>
                <w:spacing w:val="0"/>
                <w:kern w:val="0"/>
                <w:sz w:val="21"/>
                <w:szCs w:val="21"/>
                <w:highlight w:val="none"/>
                <w:lang w:val="en-US" w:eastAsia="zh-CN"/>
              </w:rPr>
              <w:t>政府采购云平台（www.zcygov.cn）</w:t>
            </w:r>
          </w:p>
        </w:tc>
      </w:tr>
      <w:tr w14:paraId="286DE58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011CA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项目名称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91572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r>
              <w:rPr>
                <w:rFonts w:hint="eastAsia" w:ascii="宋体" w:hAnsi="宋体" w:eastAsia="宋体" w:cs="宋体"/>
                <w:i w:val="0"/>
                <w:iCs w:val="0"/>
                <w:color w:val="auto"/>
                <w:kern w:val="0"/>
                <w:sz w:val="21"/>
                <w:szCs w:val="21"/>
                <w:highlight w:val="none"/>
                <w:lang w:val="en-US" w:eastAsia="zh-CN"/>
              </w:rPr>
              <w:t>廉政风险防控管理系统项目（二期）</w:t>
            </w:r>
          </w:p>
        </w:tc>
      </w:tr>
      <w:tr w14:paraId="3A1B216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A730E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项目编号</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F421F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r>
              <w:rPr>
                <w:rFonts w:hint="eastAsia" w:ascii="宋体" w:hAnsi="宋体" w:eastAsia="宋体" w:cs="宋体"/>
                <w:i w:val="0"/>
                <w:iCs w:val="0"/>
                <w:color w:val="auto"/>
                <w:kern w:val="0"/>
                <w:sz w:val="21"/>
                <w:szCs w:val="21"/>
                <w:highlight w:val="none"/>
                <w:lang w:val="en-US" w:eastAsia="zh-CN"/>
              </w:rPr>
              <w:t>330000263030390000079-QSZBC260131ZFCS</w:t>
            </w:r>
          </w:p>
        </w:tc>
      </w:tr>
      <w:tr w14:paraId="5308769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AFCDD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采 购 人</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D10A7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 </w:t>
            </w:r>
            <w:r>
              <w:rPr>
                <w:rFonts w:hint="eastAsia" w:ascii="宋体" w:hAnsi="宋体" w:eastAsia="宋体" w:cs="宋体"/>
                <w:i w:val="0"/>
                <w:iCs w:val="0"/>
                <w:color w:val="auto"/>
                <w:spacing w:val="0"/>
                <w:kern w:val="0"/>
                <w:sz w:val="21"/>
                <w:szCs w:val="21"/>
                <w:highlight w:val="none"/>
                <w:lang w:val="en-US" w:eastAsia="zh-CN"/>
              </w:rPr>
              <w:t>浙江交通职业技术学院</w:t>
            </w:r>
          </w:p>
        </w:tc>
      </w:tr>
      <w:tr w14:paraId="69D45C3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82928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代理机构</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0041B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 </w:t>
            </w:r>
            <w:r>
              <w:rPr>
                <w:rFonts w:hint="eastAsia" w:ascii="宋体" w:hAnsi="宋体" w:eastAsia="宋体" w:cs="宋体"/>
                <w:i w:val="0"/>
                <w:iCs w:val="0"/>
                <w:color w:val="auto"/>
                <w:spacing w:val="0"/>
                <w:kern w:val="0"/>
                <w:sz w:val="21"/>
                <w:szCs w:val="21"/>
                <w:highlight w:val="none"/>
                <w:lang w:val="en-US" w:eastAsia="zh-CN"/>
              </w:rPr>
              <w:t>浙江求是招标代理有限公司</w:t>
            </w:r>
          </w:p>
        </w:tc>
      </w:tr>
      <w:tr w14:paraId="0286506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3E64D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采购计划书</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DED27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r>
              <w:rPr>
                <w:rFonts w:hint="eastAsia" w:ascii="宋体" w:hAnsi="宋体" w:eastAsia="宋体" w:cs="宋体"/>
                <w:i w:val="0"/>
                <w:iCs w:val="0"/>
                <w:color w:val="auto"/>
                <w:spacing w:val="0"/>
                <w:kern w:val="0"/>
                <w:sz w:val="21"/>
                <w:szCs w:val="21"/>
                <w:highlight w:val="none"/>
                <w:lang w:val="en-US" w:eastAsia="zh-CN"/>
              </w:rPr>
              <w:t>[2026]24070号</w:t>
            </w:r>
          </w:p>
        </w:tc>
      </w:tr>
    </w:tbl>
    <w:p w14:paraId="3E2A1ECD">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p w14:paraId="6A68609A">
      <w:pPr>
        <w:pStyle w:val="4"/>
        <w:keepNext w:val="0"/>
        <w:keepLines w:val="0"/>
        <w:widowControl/>
        <w:suppressLineNumbers w:val="0"/>
        <w:spacing w:line="288" w:lineRule="auto"/>
        <w:jc w:val="center"/>
        <w:rPr>
          <w:rFonts w:hint="eastAsia" w:ascii="宋体" w:hAnsi="宋体" w:eastAsia="宋体" w:cs="宋体"/>
          <w:b/>
          <w:bCs/>
          <w:color w:val="auto"/>
          <w:sz w:val="28"/>
          <w:szCs w:val="28"/>
          <w:highlight w:val="none"/>
        </w:rPr>
        <w:sectPr>
          <w:pgSz w:w="12240" w:h="15840"/>
          <w:pgMar w:top="1440" w:right="1440" w:bottom="1440" w:left="1440" w:header="720" w:footer="720" w:gutter="0"/>
          <w:pgBorders>
            <w:top w:val="none" w:sz="0" w:space="0"/>
            <w:left w:val="none" w:sz="0" w:space="0"/>
            <w:bottom w:val="none" w:sz="0" w:space="0"/>
            <w:right w:val="none" w:sz="0" w:space="0"/>
          </w:pgBorders>
          <w:cols w:space="720" w:num="1"/>
        </w:sectPr>
      </w:pPr>
    </w:p>
    <w:p w14:paraId="50063E78">
      <w:pPr>
        <w:pStyle w:val="4"/>
        <w:keepNext w:val="0"/>
        <w:keepLines w:val="0"/>
        <w:widowControl/>
        <w:suppressLineNumbers w:val="0"/>
        <w:spacing w:line="288"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1C0AC0D9">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p>
    <w:p w14:paraId="1A1A13FF">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第一章  采购邀请</w:t>
      </w:r>
    </w:p>
    <w:p w14:paraId="354D826E">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第二章  采购需求</w:t>
      </w:r>
    </w:p>
    <w:p w14:paraId="1B08BF54">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第三章  供应商须知</w:t>
      </w:r>
    </w:p>
    <w:p w14:paraId="7F8C2CEB">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第四章  评审方法和评审标准</w:t>
      </w:r>
    </w:p>
    <w:p w14:paraId="279586DE">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第五章  拟签订的合同文本</w:t>
      </w:r>
    </w:p>
    <w:p w14:paraId="176BDC26">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第六章  响应文件格式</w:t>
      </w:r>
    </w:p>
    <w:p w14:paraId="61394D5F">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p>
    <w:p w14:paraId="41D2C8E9">
      <w:pPr>
        <w:pStyle w:val="4"/>
        <w:keepNext w:val="0"/>
        <w:keepLines w:val="0"/>
        <w:widowControl/>
        <w:suppressLineNumbers w:val="0"/>
        <w:spacing w:line="288" w:lineRule="auto"/>
        <w:jc w:val="center"/>
        <w:rPr>
          <w:rFonts w:hint="eastAsia" w:ascii="宋体" w:hAnsi="宋体" w:eastAsia="宋体" w:cs="宋体"/>
          <w:b/>
          <w:bCs/>
          <w:color w:val="auto"/>
          <w:sz w:val="28"/>
          <w:szCs w:val="28"/>
          <w:highlight w:val="none"/>
        </w:rPr>
        <w:sectPr>
          <w:footerReference r:id="rId3" w:type="default"/>
          <w:pgSz w:w="12240" w:h="15840"/>
          <w:pgMar w:top="1440" w:right="1440" w:bottom="1440" w:left="1440" w:header="720" w:footer="720" w:gutter="0"/>
          <w:pgBorders>
            <w:top w:val="none" w:sz="0" w:space="0"/>
            <w:left w:val="none" w:sz="0" w:space="0"/>
            <w:bottom w:val="none" w:sz="0" w:space="0"/>
            <w:right w:val="none" w:sz="0" w:space="0"/>
          </w:pgBorders>
          <w:pgNumType w:start="1"/>
          <w:cols w:space="720" w:num="1"/>
        </w:sectPr>
      </w:pPr>
    </w:p>
    <w:p w14:paraId="4F6B5881">
      <w:pPr>
        <w:pStyle w:val="4"/>
        <w:keepNext w:val="0"/>
        <w:keepLines w:val="0"/>
        <w:widowControl/>
        <w:suppressLineNumbers w:val="0"/>
        <w:spacing w:line="288"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第一章 采购邀请</w:t>
      </w:r>
    </w:p>
    <w:p w14:paraId="0E4A8777">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项目概况</w:t>
      </w:r>
    </w:p>
    <w:p w14:paraId="701A200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廉政风险防控管理系统项目（二期）</w:t>
      </w:r>
      <w:r>
        <w:rPr>
          <w:rFonts w:hint="eastAsia" w:ascii="宋体" w:hAnsi="宋体" w:eastAsia="宋体" w:cs="宋体"/>
          <w:color w:val="auto"/>
          <w:kern w:val="0"/>
          <w:sz w:val="21"/>
          <w:szCs w:val="21"/>
          <w:highlight w:val="none"/>
          <w:lang w:val="en-US" w:eastAsia="zh-CN"/>
        </w:rPr>
        <w:t>采购项目的潜在供应商应在政采云平台线上获取（下载）采购文件，并于</w:t>
      </w:r>
      <w:r>
        <w:rPr>
          <w:rFonts w:hint="eastAsia" w:ascii="宋体" w:hAnsi="宋体" w:cs="宋体"/>
          <w:i w:val="0"/>
          <w:iCs w:val="0"/>
          <w:color w:val="auto"/>
          <w:kern w:val="0"/>
          <w:sz w:val="21"/>
          <w:szCs w:val="21"/>
          <w:highlight w:val="none"/>
          <w:lang w:val="en-US" w:eastAsia="zh-CN"/>
        </w:rPr>
        <w:t>2026-5-28 09:30:00</w:t>
      </w:r>
      <w:r>
        <w:rPr>
          <w:rFonts w:hint="eastAsia" w:ascii="宋体" w:hAnsi="宋体" w:eastAsia="宋体" w:cs="宋体"/>
          <w:color w:val="auto"/>
          <w:kern w:val="0"/>
          <w:sz w:val="21"/>
          <w:szCs w:val="21"/>
          <w:highlight w:val="none"/>
          <w:lang w:val="en-US" w:eastAsia="zh-CN"/>
        </w:rPr>
        <w:t>（北京时间）前提交（上传）响应文件。</w:t>
      </w:r>
    </w:p>
    <w:p w14:paraId="48DEC87C">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一、项目基本情况</w:t>
      </w:r>
    </w:p>
    <w:p w14:paraId="3D23607E">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1.项目编号：</w:t>
      </w:r>
      <w:r>
        <w:rPr>
          <w:rFonts w:hint="eastAsia" w:ascii="宋体" w:hAnsi="宋体" w:eastAsia="宋体" w:cs="宋体"/>
          <w:i w:val="0"/>
          <w:iCs w:val="0"/>
          <w:color w:val="auto"/>
          <w:kern w:val="0"/>
          <w:sz w:val="21"/>
          <w:szCs w:val="21"/>
          <w:highlight w:val="none"/>
          <w:lang w:val="en-US" w:eastAsia="zh-CN"/>
        </w:rPr>
        <w:t>330000263030390000079-QSZBC260131ZFCS</w:t>
      </w:r>
    </w:p>
    <w:p w14:paraId="5F74E136">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2.项目名称：</w:t>
      </w:r>
      <w:r>
        <w:rPr>
          <w:rFonts w:hint="eastAsia" w:ascii="宋体" w:hAnsi="宋体" w:eastAsia="宋体" w:cs="宋体"/>
          <w:i w:val="0"/>
          <w:iCs w:val="0"/>
          <w:color w:val="auto"/>
          <w:kern w:val="0"/>
          <w:sz w:val="21"/>
          <w:szCs w:val="21"/>
          <w:highlight w:val="none"/>
          <w:lang w:val="en-US" w:eastAsia="zh-CN"/>
        </w:rPr>
        <w:t>廉政风险防控管理系统项目（二期）</w:t>
      </w:r>
    </w:p>
    <w:p w14:paraId="012B87E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3.采购方式：</w:t>
      </w:r>
      <w:r>
        <w:rPr>
          <w:rFonts w:hint="eastAsia" w:ascii="宋体" w:hAnsi="宋体" w:eastAsia="宋体" w:cs="宋体"/>
          <w:i w:val="0"/>
          <w:iCs w:val="0"/>
          <w:color w:val="auto"/>
          <w:kern w:val="0"/>
          <w:sz w:val="21"/>
          <w:szCs w:val="21"/>
          <w:highlight w:val="none"/>
          <w:lang w:val="en-US" w:eastAsia="zh-CN"/>
        </w:rPr>
        <w:t>竞争性磋商</w:t>
      </w:r>
    </w:p>
    <w:p w14:paraId="586D2672">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4.预算金额（元）：</w:t>
      </w:r>
      <w:r>
        <w:rPr>
          <w:rFonts w:hint="eastAsia" w:ascii="宋体" w:hAnsi="宋体" w:eastAsia="宋体" w:cs="宋体"/>
          <w:i w:val="0"/>
          <w:iCs w:val="0"/>
          <w:color w:val="auto"/>
          <w:kern w:val="0"/>
          <w:sz w:val="21"/>
          <w:szCs w:val="21"/>
          <w:highlight w:val="none"/>
          <w:lang w:val="en-US" w:eastAsia="zh-CN"/>
        </w:rPr>
        <w:t>350000</w:t>
      </w:r>
    </w:p>
    <w:p w14:paraId="6C5CE741">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5.最高限价（元）：</w:t>
      </w:r>
      <w:r>
        <w:rPr>
          <w:rFonts w:hint="eastAsia" w:ascii="宋体" w:hAnsi="宋体" w:eastAsia="宋体" w:cs="宋体"/>
          <w:i w:val="0"/>
          <w:iCs w:val="0"/>
          <w:color w:val="auto"/>
          <w:kern w:val="0"/>
          <w:sz w:val="21"/>
          <w:szCs w:val="21"/>
          <w:highlight w:val="none"/>
          <w:lang w:val="en-US" w:eastAsia="zh-CN"/>
        </w:rPr>
        <w:t>350000</w:t>
      </w:r>
    </w:p>
    <w:p w14:paraId="5E161BAD">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6.采购需求：</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84"/>
        <w:gridCol w:w="3114"/>
        <w:gridCol w:w="1303"/>
        <w:gridCol w:w="1296"/>
        <w:gridCol w:w="2262"/>
        <w:gridCol w:w="951"/>
      </w:tblGrid>
      <w:tr w14:paraId="4A20EA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307"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7FF286">
            <w:pPr>
              <w:keepNext w:val="0"/>
              <w:keepLines w:val="0"/>
              <w:widowControl/>
              <w:suppressLineNumbers w:val="0"/>
              <w:autoSpaceDE w:val="0"/>
              <w:autoSpaceDN/>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标项号</w:t>
            </w:r>
          </w:p>
        </w:tc>
        <w:tc>
          <w:tcPr>
            <w:tcW w:w="1637"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785014">
            <w:pPr>
              <w:keepNext w:val="0"/>
              <w:keepLines w:val="0"/>
              <w:widowControl/>
              <w:suppressLineNumbers w:val="0"/>
              <w:autoSpaceDE w:val="0"/>
              <w:autoSpaceDN/>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标项名称</w:t>
            </w:r>
          </w:p>
        </w:tc>
        <w:tc>
          <w:tcPr>
            <w:tcW w:w="685"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DAF9D4">
            <w:pPr>
              <w:keepNext w:val="0"/>
              <w:keepLines w:val="0"/>
              <w:widowControl/>
              <w:suppressLineNumbers w:val="0"/>
              <w:autoSpaceDE w:val="0"/>
              <w:autoSpaceDN/>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标项预算(元)</w:t>
            </w:r>
          </w:p>
        </w:tc>
        <w:tc>
          <w:tcPr>
            <w:tcW w:w="681"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AD61F2">
            <w:pPr>
              <w:keepNext w:val="0"/>
              <w:keepLines w:val="0"/>
              <w:widowControl/>
              <w:suppressLineNumbers w:val="0"/>
              <w:autoSpaceDE w:val="0"/>
              <w:autoSpaceDN/>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标项限价(元)</w:t>
            </w:r>
          </w:p>
        </w:tc>
        <w:tc>
          <w:tcPr>
            <w:tcW w:w="1189"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8872F8">
            <w:pPr>
              <w:keepNext w:val="0"/>
              <w:keepLines w:val="0"/>
              <w:widowControl/>
              <w:suppressLineNumbers w:val="0"/>
              <w:autoSpaceDE w:val="0"/>
              <w:autoSpaceDN/>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简要技术需求或服务要求</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08FF20">
            <w:pPr>
              <w:keepNext w:val="0"/>
              <w:keepLines w:val="0"/>
              <w:widowControl/>
              <w:suppressLineNumbers w:val="0"/>
              <w:autoSpaceDE w:val="0"/>
              <w:autoSpaceDN/>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备注</w:t>
            </w:r>
          </w:p>
        </w:tc>
      </w:tr>
      <w:tr w14:paraId="4EAD407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307"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4B1DBF">
            <w:pPr>
              <w:keepNext w:val="0"/>
              <w:keepLines w:val="0"/>
              <w:widowControl/>
              <w:suppressLineNumbers w:val="0"/>
              <w:autoSpaceDE w:val="0"/>
              <w:autoSpaceDN/>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一</w:t>
            </w:r>
          </w:p>
        </w:tc>
        <w:tc>
          <w:tcPr>
            <w:tcW w:w="1637"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99B846">
            <w:pPr>
              <w:keepNext w:val="0"/>
              <w:keepLines w:val="0"/>
              <w:widowControl/>
              <w:suppressLineNumbers w:val="0"/>
              <w:autoSpaceDE w:val="0"/>
              <w:autoSpaceDN/>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廉政风险防控管理系统项目（二期）</w:t>
            </w:r>
          </w:p>
        </w:tc>
        <w:tc>
          <w:tcPr>
            <w:tcW w:w="685"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D7601F">
            <w:pPr>
              <w:keepNext w:val="0"/>
              <w:keepLines w:val="0"/>
              <w:widowControl/>
              <w:suppressLineNumbers w:val="0"/>
              <w:autoSpaceDE w:val="0"/>
              <w:autoSpaceDN/>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350000</w:t>
            </w:r>
          </w:p>
        </w:tc>
        <w:tc>
          <w:tcPr>
            <w:tcW w:w="681"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0C0F63">
            <w:pPr>
              <w:keepNext w:val="0"/>
              <w:keepLines w:val="0"/>
              <w:widowControl/>
              <w:suppressLineNumbers w:val="0"/>
              <w:autoSpaceDE w:val="0"/>
              <w:autoSpaceDN/>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350000</w:t>
            </w:r>
          </w:p>
        </w:tc>
        <w:tc>
          <w:tcPr>
            <w:tcW w:w="1189"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A01B22">
            <w:pPr>
              <w:keepNext w:val="0"/>
              <w:keepLines w:val="0"/>
              <w:pageBreakBefore w:val="0"/>
              <w:widowControl/>
              <w:suppressLineNumbers w:val="0"/>
              <w:kinsoku/>
              <w:wordWrap/>
              <w:overflowPunct/>
              <w:topLinePunct w:val="0"/>
              <w:autoSpaceDE w:val="0"/>
              <w:autoSpaceDN/>
              <w:bidi w:val="0"/>
              <w:adjustRightInd/>
              <w:snapToGrid/>
              <w:spacing w:beforeAutospacing="0" w:afterAutospacing="0"/>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具体详见采购需求。</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EDDDCB">
            <w:pPr>
              <w:jc w:val="center"/>
              <w:rPr>
                <w:rFonts w:hint="eastAsia" w:ascii="宋体" w:hAnsi="宋体" w:eastAsia="宋体" w:cs="宋体"/>
                <w:color w:val="auto"/>
                <w:sz w:val="21"/>
                <w:szCs w:val="21"/>
                <w:highlight w:val="none"/>
              </w:rPr>
            </w:pPr>
          </w:p>
        </w:tc>
      </w:tr>
    </w:tbl>
    <w:p w14:paraId="65D0FCCF">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7.合同履行期限：</w:t>
      </w:r>
      <w:r>
        <w:rPr>
          <w:rFonts w:hint="eastAsia" w:ascii="宋体" w:hAnsi="宋体" w:eastAsia="宋体" w:cs="宋体"/>
          <w:i w:val="0"/>
          <w:iCs w:val="0"/>
          <w:color w:val="auto"/>
          <w:kern w:val="0"/>
          <w:sz w:val="21"/>
          <w:szCs w:val="21"/>
          <w:highlight w:val="none"/>
          <w:lang w:val="en-US" w:eastAsia="zh-CN"/>
        </w:rPr>
        <w:t>详见采购需求</w:t>
      </w:r>
    </w:p>
    <w:p w14:paraId="257C6292">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8.本项目是否接受联合体投标：</w:t>
      </w:r>
      <w:r>
        <w:rPr>
          <w:rFonts w:hint="eastAsia" w:ascii="宋体" w:hAnsi="宋体" w:eastAsia="宋体" w:cs="宋体"/>
          <w:i w:val="0"/>
          <w:iCs w:val="0"/>
          <w:color w:val="auto"/>
          <w:kern w:val="0"/>
          <w:sz w:val="21"/>
          <w:szCs w:val="21"/>
          <w:highlight w:val="none"/>
          <w:lang w:val="en-US" w:eastAsia="zh-CN"/>
        </w:rPr>
        <w:t>是</w:t>
      </w:r>
    </w:p>
    <w:p w14:paraId="6E78408D">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二、申请人的资格要求：</w:t>
      </w:r>
    </w:p>
    <w:p w14:paraId="12BEF811">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满足《中华人民共和国政府采购法》第二十二条规定；未被“信用中国”（www.creditchina.gov.cn)、中国政府采购网（www.ccgp.gov.cn）列入失信被执行人、重大税收违法案件当事人名单（重大税收违法失信主体名单）、政府采购严重违法失信行为记录名单。</w:t>
      </w:r>
    </w:p>
    <w:p w14:paraId="129C7F8E">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2.落实政府采购政策需满足的资格要求：</w:t>
      </w:r>
      <w:r>
        <w:rPr>
          <w:rFonts w:hint="eastAsia" w:ascii="宋体" w:hAnsi="宋体" w:eastAsia="宋体" w:cs="宋体"/>
          <w:i w:val="0"/>
          <w:iCs w:val="0"/>
          <w:color w:val="auto"/>
          <w:kern w:val="0"/>
          <w:sz w:val="21"/>
          <w:szCs w:val="21"/>
          <w:highlight w:val="none"/>
          <w:lang w:val="en-US" w:eastAsia="zh-CN"/>
        </w:rPr>
        <w:t>本项目整体专门面向【中小】企业采购，提供符合要求的《中小企业声明函》。监狱企业、残疾人福利性单位视同小微企业。</w:t>
      </w:r>
    </w:p>
    <w:p w14:paraId="3B79453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3.本项目的特定资格要求：无</w:t>
      </w:r>
    </w:p>
    <w:p w14:paraId="49C676DB">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4.其他：</w:t>
      </w:r>
    </w:p>
    <w:p w14:paraId="44E1CCDE">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（1）单位负责人为同一人或者存在直接控股、管理关系的不同供应商，不得参加同一合同项下的政府采购活动。</w:t>
      </w:r>
    </w:p>
    <w:p w14:paraId="497A3C24">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（2）为本项目提供整体设计、规范编制或者项目管理、监理、检测等服务的供应商，不得再参加本项目的其他采购活动。</w:t>
      </w:r>
    </w:p>
    <w:p w14:paraId="2F3DE8DF">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（3）政府购买服务的项目，公益一类事业单位、使用事业编制且由财政拨款保障的群团组织不得作为承接主体。</w:t>
      </w:r>
    </w:p>
    <w:p w14:paraId="592FA76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（4）以联合体形式响应的，响应文件中提供《联合协议》，按照联合协议承担特定工作的供应商具有相应资质。</w:t>
      </w:r>
    </w:p>
    <w:p w14:paraId="3F080C71">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三、获取（下载）采购文件</w:t>
      </w:r>
    </w:p>
    <w:p w14:paraId="748C6B11">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时间：</w:t>
      </w:r>
      <w:r>
        <w:rPr>
          <w:rFonts w:hint="eastAsia" w:ascii="宋体" w:hAnsi="宋体" w:eastAsia="宋体" w:cs="宋体"/>
          <w:i w:val="0"/>
          <w:iCs w:val="0"/>
          <w:color w:val="auto"/>
          <w:kern w:val="0"/>
          <w:sz w:val="21"/>
          <w:szCs w:val="21"/>
          <w:highlight w:val="none"/>
          <w:lang w:val="en-US" w:eastAsia="zh-CN"/>
        </w:rPr>
        <w:t>2026-</w:t>
      </w:r>
      <w:r>
        <w:rPr>
          <w:rFonts w:hint="eastAsia" w:ascii="宋体" w:hAnsi="宋体" w:cs="宋体"/>
          <w:i w:val="0"/>
          <w:iCs w:val="0"/>
          <w:color w:val="auto"/>
          <w:kern w:val="0"/>
          <w:sz w:val="21"/>
          <w:szCs w:val="21"/>
          <w:highlight w:val="none"/>
          <w:lang w:val="en-US" w:eastAsia="zh-CN"/>
        </w:rPr>
        <w:t>5</w:t>
      </w:r>
      <w:r>
        <w:rPr>
          <w:rFonts w:hint="eastAsia" w:ascii="宋体" w:hAnsi="宋体" w:eastAsia="宋体" w:cs="宋体"/>
          <w:i w:val="0"/>
          <w:iCs w:val="0"/>
          <w:color w:val="auto"/>
          <w:kern w:val="0"/>
          <w:sz w:val="21"/>
          <w:szCs w:val="21"/>
          <w:highlight w:val="none"/>
          <w:lang w:val="en-US" w:eastAsia="zh-CN"/>
        </w:rPr>
        <w:t>-</w:t>
      </w:r>
      <w:r>
        <w:rPr>
          <w:rFonts w:hint="eastAsia" w:ascii="宋体" w:hAnsi="宋体" w:cs="宋体"/>
          <w:i w:val="0"/>
          <w:iCs w:val="0"/>
          <w:color w:val="auto"/>
          <w:kern w:val="0"/>
          <w:sz w:val="21"/>
          <w:szCs w:val="21"/>
          <w:highlight w:val="none"/>
          <w:lang w:val="en-US" w:eastAsia="zh-CN"/>
        </w:rPr>
        <w:t>15</w:t>
      </w:r>
      <w:r>
        <w:rPr>
          <w:rFonts w:hint="eastAsia" w:ascii="宋体" w:hAnsi="宋体" w:eastAsia="宋体" w:cs="宋体"/>
          <w:i w:val="0"/>
          <w:iCs w:val="0"/>
          <w:color w:val="auto"/>
          <w:kern w:val="0"/>
          <w:sz w:val="21"/>
          <w:szCs w:val="21"/>
          <w:highlight w:val="none"/>
          <w:lang w:val="en-US" w:eastAsia="zh-CN"/>
        </w:rPr>
        <w:t>至2026-</w:t>
      </w:r>
      <w:r>
        <w:rPr>
          <w:rFonts w:hint="eastAsia" w:ascii="宋体" w:hAnsi="宋体" w:cs="宋体"/>
          <w:i w:val="0"/>
          <w:iCs w:val="0"/>
          <w:color w:val="auto"/>
          <w:kern w:val="0"/>
          <w:sz w:val="21"/>
          <w:szCs w:val="21"/>
          <w:highlight w:val="none"/>
          <w:lang w:val="en-US" w:eastAsia="zh-CN"/>
        </w:rPr>
        <w:t>5</w:t>
      </w:r>
      <w:r>
        <w:rPr>
          <w:rFonts w:hint="eastAsia" w:ascii="宋体" w:hAnsi="宋体" w:eastAsia="宋体" w:cs="宋体"/>
          <w:i w:val="0"/>
          <w:iCs w:val="0"/>
          <w:color w:val="auto"/>
          <w:kern w:val="0"/>
          <w:sz w:val="21"/>
          <w:szCs w:val="21"/>
          <w:highlight w:val="none"/>
          <w:lang w:val="en-US" w:eastAsia="zh-CN"/>
        </w:rPr>
        <w:t>-</w:t>
      </w:r>
      <w:r>
        <w:rPr>
          <w:rFonts w:hint="eastAsia" w:ascii="宋体" w:hAnsi="宋体" w:cs="宋体"/>
          <w:i w:val="0"/>
          <w:iCs w:val="0"/>
          <w:color w:val="auto"/>
          <w:kern w:val="0"/>
          <w:sz w:val="21"/>
          <w:szCs w:val="21"/>
          <w:highlight w:val="none"/>
          <w:lang w:val="en-US" w:eastAsia="zh-CN"/>
        </w:rPr>
        <w:t>28</w:t>
      </w:r>
      <w:r>
        <w:rPr>
          <w:rFonts w:hint="eastAsia" w:ascii="宋体" w:hAnsi="宋体" w:eastAsia="宋体" w:cs="宋体"/>
          <w:color w:val="auto"/>
          <w:kern w:val="0"/>
          <w:sz w:val="21"/>
          <w:szCs w:val="21"/>
          <w:highlight w:val="none"/>
          <w:lang w:val="en-US" w:eastAsia="zh-CN"/>
        </w:rPr>
        <w:t>，每天上午00:00至12:00，下午12:00至23:59（北京时间，线上获取法定节假日均可，线下获取文件法定节假日除外）</w:t>
      </w:r>
    </w:p>
    <w:p w14:paraId="396AFC3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地点（网址）：政采云平台线上获取</w:t>
      </w:r>
    </w:p>
    <w:p w14:paraId="5B1C55C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方式：供应商登录政府采购云平台（https://www.zcygov.cn）在线申请获取采购文件（进入“项目采购”应用，在获取采购文件菜单中选择项目，申请获取采购文件）</w:t>
      </w:r>
    </w:p>
    <w:p w14:paraId="44F162A4">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售价（元）：</w:t>
      </w:r>
      <w:r>
        <w:rPr>
          <w:rFonts w:hint="eastAsia" w:ascii="宋体" w:hAnsi="宋体" w:eastAsia="宋体" w:cs="宋体"/>
          <w:i w:val="0"/>
          <w:iCs w:val="0"/>
          <w:color w:val="auto"/>
          <w:kern w:val="0"/>
          <w:sz w:val="21"/>
          <w:szCs w:val="21"/>
          <w:highlight w:val="none"/>
          <w:lang w:val="en-US" w:eastAsia="zh-CN"/>
        </w:rPr>
        <w:t>0</w:t>
      </w:r>
    </w:p>
    <w:p w14:paraId="796FC631">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四、响应文件提交（上传）</w:t>
      </w:r>
    </w:p>
    <w:p w14:paraId="4C4992A6">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截止时间：</w:t>
      </w:r>
      <w:r>
        <w:rPr>
          <w:rFonts w:hint="eastAsia" w:ascii="宋体" w:hAnsi="宋体" w:cs="宋体"/>
          <w:i w:val="0"/>
          <w:iCs w:val="0"/>
          <w:color w:val="auto"/>
          <w:kern w:val="0"/>
          <w:sz w:val="21"/>
          <w:szCs w:val="21"/>
          <w:highlight w:val="none"/>
          <w:lang w:val="en-US" w:eastAsia="zh-CN"/>
        </w:rPr>
        <w:t>2026-5-28 09:30:00</w:t>
      </w:r>
      <w:r>
        <w:rPr>
          <w:rFonts w:hint="eastAsia" w:ascii="宋体" w:hAnsi="宋体" w:eastAsia="宋体" w:cs="宋体"/>
          <w:color w:val="auto"/>
          <w:kern w:val="0"/>
          <w:sz w:val="21"/>
          <w:szCs w:val="21"/>
          <w:highlight w:val="none"/>
          <w:lang w:val="en-US" w:eastAsia="zh-CN"/>
        </w:rPr>
        <w:t>（北京时间）</w:t>
      </w:r>
    </w:p>
    <w:p w14:paraId="0B47A23F">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地点（网址）：请登录政采云投标客户端投标</w:t>
      </w:r>
    </w:p>
    <w:p w14:paraId="6E067162">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五、响应文件开启</w:t>
      </w:r>
    </w:p>
    <w:p w14:paraId="0C8426A0">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开启时间：</w:t>
      </w:r>
      <w:r>
        <w:rPr>
          <w:rFonts w:hint="eastAsia" w:ascii="宋体" w:hAnsi="宋体" w:cs="宋体"/>
          <w:i w:val="0"/>
          <w:iCs w:val="0"/>
          <w:color w:val="auto"/>
          <w:kern w:val="0"/>
          <w:sz w:val="21"/>
          <w:szCs w:val="21"/>
          <w:highlight w:val="none"/>
          <w:lang w:val="en-US" w:eastAsia="zh-CN"/>
        </w:rPr>
        <w:t>2026-5-28 09:30:00</w:t>
      </w:r>
      <w:r>
        <w:rPr>
          <w:rFonts w:hint="eastAsia" w:ascii="宋体" w:hAnsi="宋体" w:eastAsia="宋体" w:cs="宋体"/>
          <w:color w:val="auto"/>
          <w:kern w:val="0"/>
          <w:sz w:val="21"/>
          <w:szCs w:val="21"/>
          <w:highlight w:val="none"/>
          <w:lang w:val="en-US" w:eastAsia="zh-CN"/>
        </w:rPr>
        <w:t>（北京时间）</w:t>
      </w:r>
    </w:p>
    <w:p w14:paraId="6CA7CDB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地点（网址）：政府采购云平台（www.zcygov.cn）/</w:t>
      </w:r>
      <w:r>
        <w:rPr>
          <w:rFonts w:hint="eastAsia" w:ascii="宋体" w:hAnsi="宋体" w:cs="宋体"/>
          <w:color w:val="auto"/>
          <w:kern w:val="0"/>
          <w:sz w:val="21"/>
          <w:szCs w:val="21"/>
          <w:highlight w:val="none"/>
          <w:lang w:val="en-US" w:eastAsia="zh-CN"/>
        </w:rPr>
        <w:t>杭州市西湖区玉古路173号中田大厦16楼（求是会议室8）</w:t>
      </w:r>
    </w:p>
    <w:p w14:paraId="5918076D">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六、公告期限：</w:t>
      </w:r>
      <w:r>
        <w:rPr>
          <w:rFonts w:hint="eastAsia" w:ascii="宋体" w:hAnsi="宋体" w:eastAsia="宋体" w:cs="宋体"/>
          <w:i w:val="0"/>
          <w:iCs w:val="0"/>
          <w:color w:val="auto"/>
          <w:kern w:val="0"/>
          <w:sz w:val="21"/>
          <w:szCs w:val="21"/>
          <w:highlight w:val="none"/>
          <w:lang w:val="en-US" w:eastAsia="zh-CN"/>
        </w:rPr>
        <w:t>自本公告发布之日起3个工作日。</w:t>
      </w:r>
    </w:p>
    <w:p w14:paraId="6418D976">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七、其他补充事宜</w:t>
      </w:r>
    </w:p>
    <w:p w14:paraId="11EA962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1E076D51">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36C4B6C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3973D01">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4.其他事项：需要落实的政府采购政策：包括节约资源、保护环境、支持科技创新、促进中小企业发展等。详见采购文件“第三章 供应商须知”。</w:t>
      </w:r>
    </w:p>
    <w:p w14:paraId="37EBB36A">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八、凡对本次采购提出询问、质疑、投诉，请按以下方式联系</w:t>
      </w:r>
    </w:p>
    <w:p w14:paraId="20BF94B1">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1.采购人信息</w:t>
      </w:r>
    </w:p>
    <w:p w14:paraId="60EA809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名称：</w:t>
      </w:r>
      <w:r>
        <w:rPr>
          <w:rFonts w:hint="eastAsia" w:ascii="宋体" w:hAnsi="宋体" w:eastAsia="宋体" w:cs="宋体"/>
          <w:i w:val="0"/>
          <w:iCs w:val="0"/>
          <w:color w:val="auto"/>
          <w:kern w:val="0"/>
          <w:sz w:val="21"/>
          <w:szCs w:val="21"/>
          <w:highlight w:val="none"/>
          <w:lang w:val="en-US" w:eastAsia="zh-CN"/>
        </w:rPr>
        <w:t>浙江交通职业技术学院</w:t>
      </w:r>
    </w:p>
    <w:p w14:paraId="57AA5DD3">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地址：杭州市余杭区古墩路1516号</w:t>
      </w:r>
    </w:p>
    <w:p w14:paraId="4A3BF7BD">
      <w:pPr>
        <w:keepNext w:val="0"/>
        <w:keepLines w:val="0"/>
        <w:widowControl/>
        <w:suppressLineNumbers w:val="0"/>
        <w:autoSpaceDE w:val="0"/>
        <w:autoSpaceDN/>
        <w:spacing w:line="288" w:lineRule="auto"/>
        <w:ind w:left="0" w:firstLine="420"/>
        <w:jc w:val="left"/>
        <w:rPr>
          <w:rFonts w:hint="default"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rPr>
        <w:t>项目联系人（询问）：</w:t>
      </w:r>
      <w:r>
        <w:rPr>
          <w:rFonts w:hint="eastAsia" w:ascii="宋体" w:hAnsi="宋体" w:cs="宋体"/>
          <w:color w:val="auto"/>
          <w:kern w:val="0"/>
          <w:sz w:val="21"/>
          <w:szCs w:val="21"/>
          <w:highlight w:val="none"/>
          <w:lang w:val="en-US" w:eastAsia="zh-CN"/>
        </w:rPr>
        <w:t>丁老师</w:t>
      </w:r>
    </w:p>
    <w:p w14:paraId="33865B3B">
      <w:pPr>
        <w:keepNext w:val="0"/>
        <w:keepLines w:val="0"/>
        <w:widowControl/>
        <w:suppressLineNumbers w:val="0"/>
        <w:autoSpaceDE w:val="0"/>
        <w:autoSpaceDN/>
        <w:spacing w:line="288" w:lineRule="auto"/>
        <w:ind w:left="0" w:firstLine="42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项目联系方式（询问）：</w:t>
      </w:r>
      <w:r>
        <w:rPr>
          <w:rFonts w:hint="eastAsia" w:ascii="宋体" w:hAnsi="宋体" w:eastAsia="宋体" w:cs="宋体"/>
          <w:i w:val="0"/>
          <w:iCs w:val="0"/>
          <w:color w:val="auto"/>
          <w:kern w:val="0"/>
          <w:sz w:val="21"/>
          <w:szCs w:val="21"/>
          <w:highlight w:val="none"/>
          <w:lang w:val="en-US" w:eastAsia="zh-CN"/>
        </w:rPr>
        <w:t>0571-</w:t>
      </w:r>
      <w:r>
        <w:rPr>
          <w:rFonts w:hint="eastAsia"/>
          <w:color w:val="auto"/>
          <w:highlight w:val="none"/>
          <w:lang w:val="en-US" w:eastAsia="zh-CN"/>
        </w:rPr>
        <w:t>88481769</w:t>
      </w:r>
    </w:p>
    <w:p w14:paraId="50610DC7">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质疑联系人：李老师</w:t>
      </w:r>
    </w:p>
    <w:p w14:paraId="182289EA">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质疑联系方式：0571-88484981</w:t>
      </w:r>
    </w:p>
    <w:p w14:paraId="68C4FE84">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053E419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2.采购代理机构信息</w:t>
      </w:r>
    </w:p>
    <w:p w14:paraId="37A7629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名称：</w:t>
      </w:r>
      <w:r>
        <w:rPr>
          <w:rFonts w:hint="eastAsia" w:ascii="宋体" w:hAnsi="宋体" w:eastAsia="宋体" w:cs="宋体"/>
          <w:i w:val="0"/>
          <w:iCs w:val="0"/>
          <w:color w:val="auto"/>
          <w:kern w:val="0"/>
          <w:sz w:val="21"/>
          <w:szCs w:val="21"/>
          <w:highlight w:val="none"/>
          <w:lang w:val="en-US" w:eastAsia="zh-CN"/>
        </w:rPr>
        <w:t>浙江求是招标代理有限公司</w:t>
      </w:r>
    </w:p>
    <w:p w14:paraId="0E148787">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地址：</w:t>
      </w:r>
      <w:r>
        <w:rPr>
          <w:rFonts w:hint="eastAsia" w:ascii="宋体" w:hAnsi="宋体" w:eastAsia="宋体" w:cs="宋体"/>
          <w:i w:val="0"/>
          <w:iCs w:val="0"/>
          <w:color w:val="auto"/>
          <w:kern w:val="0"/>
          <w:sz w:val="21"/>
          <w:szCs w:val="21"/>
          <w:highlight w:val="none"/>
          <w:lang w:val="en-US" w:eastAsia="zh-CN"/>
        </w:rPr>
        <w:t>杭州市西湖区玉古路173号中田大厦21楼</w:t>
      </w:r>
    </w:p>
    <w:p w14:paraId="4FD04B5D">
      <w:pPr>
        <w:keepNext w:val="0"/>
        <w:keepLines w:val="0"/>
        <w:widowControl/>
        <w:suppressLineNumbers w:val="0"/>
        <w:autoSpaceDE w:val="0"/>
        <w:autoSpaceDN/>
        <w:spacing w:line="288" w:lineRule="auto"/>
        <w:ind w:left="0" w:firstLine="420"/>
        <w:jc w:val="left"/>
        <w:rPr>
          <w:rFonts w:hint="default"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rPr>
        <w:t>项目联系人（询问）：</w:t>
      </w:r>
      <w:r>
        <w:rPr>
          <w:rFonts w:hint="eastAsia" w:ascii="宋体" w:hAnsi="宋体" w:eastAsia="宋体" w:cs="宋体"/>
          <w:i w:val="0"/>
          <w:iCs w:val="0"/>
          <w:color w:val="auto"/>
          <w:kern w:val="0"/>
          <w:sz w:val="21"/>
          <w:szCs w:val="21"/>
          <w:highlight w:val="none"/>
          <w:lang w:val="en-US" w:eastAsia="zh-CN"/>
        </w:rPr>
        <w:t>温瑶、李聪、陈培特、杨秀书、姜海军</w:t>
      </w:r>
    </w:p>
    <w:p w14:paraId="6F6C022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项目联系方式（询问）：</w:t>
      </w:r>
      <w:r>
        <w:rPr>
          <w:rFonts w:hint="eastAsia" w:ascii="宋体" w:hAnsi="宋体" w:eastAsia="宋体" w:cs="宋体"/>
          <w:i w:val="0"/>
          <w:iCs w:val="0"/>
          <w:color w:val="auto"/>
          <w:kern w:val="0"/>
          <w:sz w:val="21"/>
          <w:szCs w:val="21"/>
          <w:highlight w:val="none"/>
          <w:lang w:val="en-US" w:eastAsia="zh-CN"/>
        </w:rPr>
        <w:t>0571-87666115</w:t>
      </w:r>
    </w:p>
    <w:p w14:paraId="6137DBE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质疑联系人：</w:t>
      </w:r>
      <w:r>
        <w:rPr>
          <w:rFonts w:hint="eastAsia" w:ascii="宋体" w:hAnsi="宋体" w:eastAsia="宋体" w:cs="宋体"/>
          <w:i w:val="0"/>
          <w:iCs w:val="0"/>
          <w:color w:val="auto"/>
          <w:kern w:val="0"/>
          <w:sz w:val="21"/>
          <w:szCs w:val="21"/>
          <w:highlight w:val="none"/>
          <w:lang w:val="en-US" w:eastAsia="zh-CN"/>
        </w:rPr>
        <w:t>周安琪</w:t>
      </w:r>
    </w:p>
    <w:p w14:paraId="1A73C531">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质疑联系方式：</w:t>
      </w:r>
      <w:r>
        <w:rPr>
          <w:rFonts w:hint="eastAsia" w:ascii="宋体" w:hAnsi="宋体" w:eastAsia="宋体" w:cs="宋体"/>
          <w:i w:val="0"/>
          <w:iCs w:val="0"/>
          <w:color w:val="auto"/>
          <w:kern w:val="0"/>
          <w:sz w:val="21"/>
          <w:szCs w:val="21"/>
          <w:highlight w:val="none"/>
          <w:lang w:val="en-US" w:eastAsia="zh-CN"/>
        </w:rPr>
        <w:t>0571-81110356</w:t>
      </w:r>
    </w:p>
    <w:p w14:paraId="291A1328">
      <w:pPr>
        <w:keepNext w:val="0"/>
        <w:keepLines w:val="0"/>
        <w:widowControl/>
        <w:suppressLineNumbers w:val="0"/>
        <w:autoSpaceDE w:val="0"/>
        <w:autoSpaceDN/>
        <w:spacing w:line="288" w:lineRule="auto"/>
        <w:ind w:left="0" w:firstLine="42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质疑邮箱：</w:t>
      </w:r>
      <w:r>
        <w:rPr>
          <w:rFonts w:hint="eastAsia" w:ascii="宋体" w:hAnsi="宋体" w:eastAsia="宋体" w:cs="宋体"/>
          <w:i w:val="0"/>
          <w:iCs w:val="0"/>
          <w:color w:val="auto"/>
          <w:kern w:val="0"/>
          <w:sz w:val="21"/>
          <w:szCs w:val="21"/>
          <w:highlight w:val="none"/>
          <w:lang w:val="en-US" w:eastAsia="zh-CN"/>
        </w:rPr>
        <w:t>jdkh@qszb.net</w:t>
      </w:r>
    </w:p>
    <w:p w14:paraId="1773E12F">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39504AC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3.同级政府采购监督管理部门</w:t>
      </w:r>
    </w:p>
    <w:p w14:paraId="3EF29491">
      <w:pPr>
        <w:keepNext w:val="0"/>
        <w:keepLines w:val="0"/>
        <w:widowControl/>
        <w:suppressLineNumbers w:val="0"/>
        <w:autoSpaceDE w:val="0"/>
        <w:autoSpaceDN/>
        <w:spacing w:before="0" w:beforeAutospacing="0" w:after="0" w:afterAutospacing="0" w:line="288" w:lineRule="auto"/>
        <w:ind w:left="0" w:right="0" w:firstLine="42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rPr>
        <w:t>名称：浙江省政府采购行政裁决服务中心</w:t>
      </w:r>
    </w:p>
    <w:p w14:paraId="3D0BA514">
      <w:pPr>
        <w:keepNext w:val="0"/>
        <w:keepLines w:val="0"/>
        <w:widowControl/>
        <w:suppressLineNumbers w:val="0"/>
        <w:autoSpaceDE w:val="0"/>
        <w:autoSpaceDN/>
        <w:spacing w:before="0" w:beforeAutospacing="0" w:after="0" w:afterAutospacing="0" w:line="288" w:lineRule="auto"/>
        <w:ind w:left="0" w:right="0" w:firstLine="42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rPr>
        <w:t>地址：杭州市上城区清泰街549号城建综合大楼11楼</w:t>
      </w:r>
    </w:p>
    <w:p w14:paraId="3F56490D">
      <w:pPr>
        <w:keepNext w:val="0"/>
        <w:keepLines w:val="0"/>
        <w:widowControl/>
        <w:suppressLineNumbers w:val="0"/>
        <w:autoSpaceDE w:val="0"/>
        <w:autoSpaceDN/>
        <w:spacing w:before="0" w:beforeAutospacing="0" w:after="0" w:afterAutospacing="0" w:line="288" w:lineRule="auto"/>
        <w:ind w:left="0" w:right="0" w:firstLine="42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rPr>
        <w:t>传真：/</w:t>
      </w:r>
    </w:p>
    <w:p w14:paraId="4BEF12FE">
      <w:pPr>
        <w:keepNext w:val="0"/>
        <w:keepLines w:val="0"/>
        <w:widowControl/>
        <w:suppressLineNumbers w:val="0"/>
        <w:autoSpaceDE w:val="0"/>
        <w:autoSpaceDN/>
        <w:spacing w:before="0" w:beforeAutospacing="0" w:after="0" w:afterAutospacing="0" w:line="288" w:lineRule="auto"/>
        <w:ind w:left="0" w:right="0" w:firstLine="42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rPr>
        <w:t>联系人：匡老师</w:t>
      </w:r>
    </w:p>
    <w:p w14:paraId="0D0242D1">
      <w:pPr>
        <w:keepNext w:val="0"/>
        <w:keepLines w:val="0"/>
        <w:widowControl/>
        <w:suppressLineNumbers w:val="0"/>
        <w:autoSpaceDE w:val="0"/>
        <w:autoSpaceDN/>
        <w:spacing w:before="0" w:beforeAutospacing="0" w:after="0" w:afterAutospacing="0" w:line="288" w:lineRule="auto"/>
        <w:ind w:left="0" w:right="0" w:firstLine="42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rPr>
        <w:t>监督投诉电话：0571-87807798</w:t>
      </w:r>
    </w:p>
    <w:p w14:paraId="16D7BBEB">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45D5A9D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政策咨询：何一平、冯华，0571-87058424、87055741</w:t>
      </w:r>
    </w:p>
    <w:p w14:paraId="2F69B31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预算金额未达100万元的采购项目，由采购人处理采购争议。</w:t>
      </w:r>
    </w:p>
    <w:p w14:paraId="7271EA1B">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70EBB9C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若对项目采购电子交易系统操作有疑问，可登录政采云（https://www.zcygov.cn/），点击右侧咨询小采，获取采小蜜智能服务管家帮助，或拨打政采云服务热线95763获取热线服务帮助。</w:t>
      </w:r>
    </w:p>
    <w:p w14:paraId="737D3D17">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CA问题联系电话（人工）：汇信CA400-888-4636；天谷CA400-087-8198。</w:t>
      </w:r>
    </w:p>
    <w:p w14:paraId="3498AC9D">
      <w:pPr>
        <w:pStyle w:val="4"/>
        <w:keepNext w:val="0"/>
        <w:keepLines w:val="0"/>
        <w:widowControl/>
        <w:suppressLineNumbers w:val="0"/>
        <w:spacing w:line="288"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第二章 采购需求</w:t>
      </w:r>
    </w:p>
    <w:p w14:paraId="32031AFF">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一、采购需求概况</w:t>
      </w:r>
    </w:p>
    <w:p w14:paraId="4F65F0AE">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1.本项目属性为</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iCs w:val="0"/>
          <w:color w:val="auto"/>
          <w:kern w:val="0"/>
          <w:sz w:val="21"/>
          <w:szCs w:val="21"/>
          <w:highlight w:val="none"/>
          <w:lang w:val="en-US" w:eastAsia="zh-CN"/>
        </w:rPr>
        <w:t>服务，是否政府购买服务：否</w:t>
      </w:r>
    </w:p>
    <w:p w14:paraId="34ADC368">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6519940C">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2.采购标的：</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5"/>
        <w:gridCol w:w="2377"/>
        <w:gridCol w:w="951"/>
        <w:gridCol w:w="951"/>
        <w:gridCol w:w="951"/>
        <w:gridCol w:w="951"/>
        <w:gridCol w:w="1427"/>
        <w:gridCol w:w="1427"/>
      </w:tblGrid>
      <w:tr w14:paraId="4DDD907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2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A460CC">
            <w:pPr>
              <w:keepNext w:val="0"/>
              <w:keepLines w:val="0"/>
              <w:widowControl/>
              <w:suppressLineNumbers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序号</w:t>
            </w:r>
          </w:p>
        </w:tc>
        <w:tc>
          <w:tcPr>
            <w:tcW w:w="12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253B7A">
            <w:pPr>
              <w:keepNext w:val="0"/>
              <w:keepLines w:val="0"/>
              <w:widowControl/>
              <w:suppressLineNumbers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标的名称</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BFD5D3">
            <w:pPr>
              <w:keepNext w:val="0"/>
              <w:keepLines w:val="0"/>
              <w:widowControl/>
              <w:suppressLineNumbers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允许进口</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E1564D">
            <w:pPr>
              <w:keepNext w:val="0"/>
              <w:keepLines w:val="0"/>
              <w:widowControl/>
              <w:suppressLineNumbers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强制节能</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4CFFD1">
            <w:pPr>
              <w:keepNext w:val="0"/>
              <w:keepLines w:val="0"/>
              <w:widowControl/>
              <w:suppressLineNumbers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优先节能</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44FF6C">
            <w:pPr>
              <w:keepNext w:val="0"/>
              <w:keepLines w:val="0"/>
              <w:widowControl/>
              <w:suppressLineNumbers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优先环保</w:t>
            </w:r>
          </w:p>
        </w:tc>
        <w:tc>
          <w:tcPr>
            <w:tcW w:w="7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743EED">
            <w:pPr>
              <w:keepNext w:val="0"/>
              <w:keepLines w:val="0"/>
              <w:widowControl/>
              <w:suppressLineNumbers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标的限价(元)</w:t>
            </w:r>
          </w:p>
        </w:tc>
        <w:tc>
          <w:tcPr>
            <w:tcW w:w="7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27AA76">
            <w:pPr>
              <w:keepNext w:val="0"/>
              <w:keepLines w:val="0"/>
              <w:widowControl/>
              <w:suppressLineNumbers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所属行业</w:t>
            </w:r>
          </w:p>
        </w:tc>
      </w:tr>
      <w:tr w14:paraId="1400D40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F94EA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w:t>
            </w:r>
          </w:p>
        </w:tc>
        <w:tc>
          <w:tcPr>
            <w:tcW w:w="12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B0E8D3">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廉政风险防控管理系统项目（二期）</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37FFB7">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FE9483">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9DBB51">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50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3D61AD">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否</w:t>
            </w:r>
          </w:p>
        </w:tc>
        <w:tc>
          <w:tcPr>
            <w:tcW w:w="7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E3676B">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350000</w:t>
            </w:r>
          </w:p>
        </w:tc>
        <w:tc>
          <w:tcPr>
            <w:tcW w:w="75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13AB3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r>
    </w:tbl>
    <w:p w14:paraId="6A53D9B1">
      <w:pPr>
        <w:keepNext w:val="0"/>
        <w:keepLines w:val="0"/>
        <w:widowControl/>
        <w:suppressLineNumbers w:val="0"/>
        <w:spacing w:line="288"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color="auto" w:fill="FFFFFF"/>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i w:val="0"/>
          <w:iCs w:val="0"/>
          <w:caps w:val="0"/>
          <w:color w:val="auto"/>
          <w:spacing w:val="0"/>
          <w:sz w:val="21"/>
          <w:szCs w:val="21"/>
          <w:highlight w:val="none"/>
          <w:shd w:val="clear" w:color="auto" w:fill="FFFFFF"/>
          <w:lang w:eastAsia="zh-CN"/>
        </w:rPr>
        <w:t>。</w:t>
      </w:r>
    </w:p>
    <w:p w14:paraId="2F745E4F">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473B0E35">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outlineLvl w:val="2"/>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二、为落实政府采购政策需满足的要求</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6"/>
        <w:gridCol w:w="2352"/>
        <w:gridCol w:w="6442"/>
      </w:tblGrid>
      <w:tr w14:paraId="1D7546B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C4709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序号</w:t>
            </w:r>
          </w:p>
        </w:tc>
        <w:tc>
          <w:tcPr>
            <w:tcW w:w="232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C4754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政策名称</w:t>
            </w:r>
          </w:p>
        </w:tc>
        <w:tc>
          <w:tcPr>
            <w:tcW w:w="63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9F5CBF">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本项目约定及享受政策需提供的材料</w:t>
            </w:r>
          </w:p>
        </w:tc>
      </w:tr>
      <w:tr w14:paraId="5C5BAC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51D01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1</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BBA3A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支持本国产品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6D8B2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本项目优先支持本国产品，</w:t>
            </w:r>
            <w:r>
              <w:rPr>
                <w:rFonts w:hint="eastAsia" w:ascii="宋体" w:hAnsi="宋体" w:eastAsia="宋体" w:cs="宋体"/>
                <w:color w:val="auto"/>
                <w:kern w:val="0"/>
                <w:sz w:val="21"/>
                <w:szCs w:val="21"/>
                <w:highlight w:val="none"/>
                <w:lang w:val="en-US" w:eastAsia="zh-CN"/>
              </w:rPr>
              <w:t>经财政部门批准允许采购进口的产品，详见【一、采购需求概况】。</w:t>
            </w:r>
          </w:p>
          <w:p w14:paraId="5D6F1FE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42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rPr>
              <w:t>供应商提供符合本国产品标准的产品，应出具《关于符合本国产品标准的声明函》；</w:t>
            </w:r>
            <w:r>
              <w:rPr>
                <w:rFonts w:hint="eastAsia" w:ascii="宋体" w:hAnsi="宋体" w:eastAsia="宋体" w:cs="宋体"/>
                <w:color w:val="auto"/>
                <w:spacing w:val="0"/>
                <w:kern w:val="0"/>
                <w:sz w:val="21"/>
                <w:szCs w:val="21"/>
                <w:highlight w:val="none"/>
                <w:lang w:val="en-US" w:eastAsia="zh-CN"/>
              </w:rPr>
              <w:t>当采购项目或者采购包中含有多种产品的，供应商还应当提供《关于本国产品成本比例的声明函》。</w:t>
            </w:r>
          </w:p>
          <w:p w14:paraId="662FFEA8">
            <w:pPr>
              <w:keepNext w:val="0"/>
              <w:keepLines w:val="0"/>
              <w:widowControl/>
              <w:suppressLineNumbers w:val="0"/>
              <w:pBdr>
                <w:top w:val="none" w:color="auto" w:sz="0" w:space="0"/>
                <w:bottom w:val="none" w:color="auto" w:sz="0" w:space="0"/>
              </w:pBdr>
              <w:autoSpaceDE w:val="0"/>
              <w:autoSpaceDN/>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24E3B0F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3A3E0F">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2</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854F7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支持绿色发展</w:t>
            </w:r>
          </w:p>
          <w:p w14:paraId="6CB20DBE">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（强制采购节能产品）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64A5D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不适用</w:t>
            </w:r>
          </w:p>
        </w:tc>
      </w:tr>
      <w:tr w14:paraId="08E130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70EF97">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3</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481531">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支持绿色发展</w:t>
            </w:r>
          </w:p>
          <w:p w14:paraId="4F2A9C1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（优先采购节能）</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EFC5A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不适用</w:t>
            </w:r>
          </w:p>
        </w:tc>
      </w:tr>
      <w:tr w14:paraId="1C9AC8E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8F0862">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4</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ECFC5D">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支持绿色发展</w:t>
            </w:r>
          </w:p>
          <w:p w14:paraId="500F66DF">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（优先采购环保产品）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C85D9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不适用</w:t>
            </w:r>
          </w:p>
        </w:tc>
      </w:tr>
      <w:tr w14:paraId="719331F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900405">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5</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BD3009">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支持创新</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36500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不适用</w:t>
            </w:r>
          </w:p>
        </w:tc>
      </w:tr>
      <w:tr w14:paraId="644D3D2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32A3E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6</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1AA5B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促进中小企业发展</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630A8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1.本项目整体专门面向【中小】企业采购，▲提供符合要求的《中小企业声明函》。</w:t>
            </w:r>
          </w:p>
          <w:p w14:paraId="5998607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2.说明：在服务采购项目中，服务由【中小】企业承接，即提供服务的人员为【中小】企业依照《中华人民共和国劳动合同法》订立劳动合同的从业人员。</w:t>
            </w:r>
          </w:p>
          <w:p w14:paraId="6B59AFDF">
            <w:pPr>
              <w:keepNext w:val="0"/>
              <w:keepLines w:val="0"/>
              <w:widowControl/>
              <w:suppressLineNumbers w:val="0"/>
              <w:pBdr>
                <w:top w:val="none" w:color="auto" w:sz="0" w:space="0"/>
                <w:left w:val="none" w:color="auto" w:sz="0" w:space="0"/>
                <w:bottom w:val="none" w:color="auto" w:sz="0" w:space="0"/>
                <w:right w:val="none" w:color="auto" w:sz="0" w:space="0"/>
              </w:pBdr>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与大企业的负责人为同一人，或者与大企业存在直接控股、管理关系的中小企业不得享受中小企业扶持政策。</w:t>
            </w:r>
          </w:p>
          <w:p w14:paraId="719D5DD7">
            <w:pPr>
              <w:keepNext w:val="0"/>
              <w:keepLines w:val="0"/>
              <w:widowControl/>
              <w:suppressLineNumbers w:val="0"/>
              <w:pBdr>
                <w:top w:val="none" w:color="auto" w:sz="0" w:space="0"/>
                <w:left w:val="none" w:color="auto" w:sz="0" w:space="0"/>
                <w:bottom w:val="none" w:color="auto" w:sz="0" w:space="0"/>
                <w:right w:val="none" w:color="auto" w:sz="0" w:space="0"/>
              </w:pBdr>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▲可以享受中小企业扶持政策的供应商应按照采购文件格式要求提供《中小企业声明函》。《中小企业声明函》填写企业类型错误，以致该供应商享受本不能享受的中小企业扶持政策的，</w:t>
            </w:r>
            <w:r>
              <w:rPr>
                <w:rFonts w:hint="eastAsia" w:ascii="宋体" w:hAnsi="宋体" w:eastAsia="宋体" w:cs="宋体"/>
                <w:i w:val="0"/>
                <w:iCs w:val="0"/>
                <w:color w:val="auto"/>
                <w:kern w:val="0"/>
                <w:sz w:val="21"/>
                <w:szCs w:val="21"/>
                <w:highlight w:val="none"/>
                <w:lang w:val="en-US" w:eastAsia="zh-CN"/>
              </w:rPr>
              <w:t>响应</w:t>
            </w:r>
            <w:r>
              <w:rPr>
                <w:rFonts w:hint="eastAsia" w:ascii="宋体" w:hAnsi="宋体" w:eastAsia="宋体" w:cs="宋体"/>
                <w:color w:val="auto"/>
                <w:kern w:val="0"/>
                <w:sz w:val="21"/>
                <w:szCs w:val="21"/>
                <w:highlight w:val="none"/>
                <w:lang w:val="en-US" w:eastAsia="zh-CN"/>
              </w:rPr>
              <w:t>无效并依法承担法律责任。</w:t>
            </w:r>
          </w:p>
          <w:p w14:paraId="29A4877C">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（工业和信息化部中小企业局）中小企业规模类型自测小程序：http://baosong.miit.gov.cn/ScaleTest。</w:t>
            </w:r>
          </w:p>
        </w:tc>
      </w:tr>
      <w:tr w14:paraId="39ABE06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D56FD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7</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48E06E">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支持监狱企业发展</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764B7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监狱企业视同小型、微型企业。符合条件的供应商提供：属于监狱企业的证明文件。</w:t>
            </w:r>
          </w:p>
        </w:tc>
      </w:tr>
      <w:tr w14:paraId="1B4EDCB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A1270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8</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6659C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促进残疾人就业</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72618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残疾人福利性单位视同小型、微型企业。符合条件的供应商提供：《残疾人福利性单位声明函》。</w:t>
            </w:r>
          </w:p>
        </w:tc>
      </w:tr>
      <w:tr w14:paraId="0529DC2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51169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9</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DE252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其他说明</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5E265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相关政策详见【第三章  供应商须知】。</w:t>
            </w:r>
          </w:p>
        </w:tc>
      </w:tr>
    </w:tbl>
    <w:p w14:paraId="404055F9">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1A5F3A13">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outlineLvl w:val="2"/>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三、商务要求</w:t>
      </w:r>
    </w:p>
    <w:tbl>
      <w:tblPr>
        <w:tblStyle w:val="14"/>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15" w:type="dxa"/>
          <w:left w:w="15" w:type="dxa"/>
          <w:bottom w:w="15" w:type="dxa"/>
          <w:right w:w="15" w:type="dxa"/>
        </w:tblCellMar>
      </w:tblPr>
      <w:tblGrid>
        <w:gridCol w:w="2421"/>
        <w:gridCol w:w="7089"/>
      </w:tblGrid>
      <w:tr w14:paraId="6AFD1B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67" w:hRule="atLeast"/>
        </w:trPr>
        <w:tc>
          <w:tcPr>
            <w:tcW w:w="2421" w:type="dxa"/>
            <w:tcBorders>
              <w:tl2br w:val="nil"/>
              <w:tr2bl w:val="nil"/>
            </w:tcBorders>
            <w:shd w:val="clear" w:color="auto" w:fill="auto"/>
            <w:tcMar>
              <w:top w:w="0" w:type="dxa"/>
              <w:left w:w="75" w:type="dxa"/>
              <w:bottom w:w="0" w:type="dxa"/>
              <w:right w:w="75" w:type="dxa"/>
            </w:tcMar>
            <w:vAlign w:val="center"/>
          </w:tcPr>
          <w:p w14:paraId="1EEF74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交付时间</w:t>
            </w:r>
          </w:p>
        </w:tc>
        <w:tc>
          <w:tcPr>
            <w:tcW w:w="7089" w:type="dxa"/>
            <w:tcBorders>
              <w:tl2br w:val="nil"/>
              <w:tr2bl w:val="nil"/>
            </w:tcBorders>
            <w:shd w:val="clear" w:color="auto" w:fill="auto"/>
            <w:tcMar>
              <w:top w:w="0" w:type="dxa"/>
              <w:left w:w="75" w:type="dxa"/>
              <w:bottom w:w="0" w:type="dxa"/>
              <w:right w:w="75" w:type="dxa"/>
            </w:tcMar>
            <w:vAlign w:val="center"/>
          </w:tcPr>
          <w:p w14:paraId="35CB25F7">
            <w:pPr>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2026年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底</w:t>
            </w:r>
            <w:r>
              <w:rPr>
                <w:rFonts w:hint="eastAsia" w:ascii="宋体" w:hAnsi="宋体" w:eastAsia="宋体" w:cs="宋体"/>
                <w:color w:val="auto"/>
                <w:sz w:val="21"/>
                <w:szCs w:val="21"/>
                <w:highlight w:val="none"/>
                <w:lang w:val="en-US" w:eastAsia="zh-CN"/>
              </w:rPr>
              <w:t>前</w:t>
            </w:r>
            <w:r>
              <w:rPr>
                <w:rFonts w:hint="eastAsia" w:ascii="宋体" w:hAnsi="宋体" w:eastAsia="宋体" w:cs="宋体"/>
                <w:color w:val="auto"/>
                <w:sz w:val="21"/>
                <w:szCs w:val="21"/>
                <w:highlight w:val="none"/>
              </w:rPr>
              <w:t>完成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包含试运行、项目验收</w:t>
            </w:r>
            <w:r>
              <w:rPr>
                <w:rFonts w:hint="eastAsia" w:ascii="宋体" w:hAnsi="宋体" w:eastAsia="宋体" w:cs="宋体"/>
                <w:color w:val="auto"/>
                <w:sz w:val="21"/>
                <w:szCs w:val="21"/>
                <w:highlight w:val="none"/>
                <w:lang w:eastAsia="zh-CN"/>
              </w:rPr>
              <w:t>。</w:t>
            </w:r>
          </w:p>
        </w:tc>
      </w:tr>
      <w:tr w14:paraId="09701E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67" w:hRule="atLeast"/>
        </w:trPr>
        <w:tc>
          <w:tcPr>
            <w:tcW w:w="2421" w:type="dxa"/>
            <w:tcBorders>
              <w:tl2br w:val="nil"/>
              <w:tr2bl w:val="nil"/>
            </w:tcBorders>
            <w:shd w:val="clear" w:color="auto" w:fill="auto"/>
            <w:tcMar>
              <w:top w:w="0" w:type="dxa"/>
              <w:left w:w="75" w:type="dxa"/>
              <w:bottom w:w="0" w:type="dxa"/>
              <w:right w:w="75" w:type="dxa"/>
            </w:tcMar>
            <w:vAlign w:val="center"/>
          </w:tcPr>
          <w:p w14:paraId="63D2E5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交付地点</w:t>
            </w:r>
          </w:p>
        </w:tc>
        <w:tc>
          <w:tcPr>
            <w:tcW w:w="7089" w:type="dxa"/>
            <w:tcBorders>
              <w:tl2br w:val="nil"/>
              <w:tr2bl w:val="nil"/>
            </w:tcBorders>
            <w:shd w:val="clear" w:color="auto" w:fill="auto"/>
            <w:tcMar>
              <w:top w:w="0" w:type="dxa"/>
              <w:left w:w="75" w:type="dxa"/>
              <w:bottom w:w="0" w:type="dxa"/>
              <w:right w:w="75" w:type="dxa"/>
            </w:tcMar>
            <w:vAlign w:val="center"/>
          </w:tcPr>
          <w:p w14:paraId="5FD0B637">
            <w:pPr>
              <w:keepNext w:val="0"/>
              <w:keepLines w:val="0"/>
              <w:pageBreakBefore w:val="0"/>
              <w:kinsoku/>
              <w:wordWrap/>
              <w:overflowPunct/>
              <w:topLinePunct w:val="0"/>
              <w:autoSpaceDE/>
              <w:autoSpaceDN/>
              <w:bidi w:val="0"/>
              <w:adjustRightInd/>
              <w:snapToGrid/>
              <w:spacing w:line="288" w:lineRule="auto"/>
              <w:ind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浙江交通职业技术学院</w:t>
            </w:r>
            <w:r>
              <w:rPr>
                <w:rFonts w:hint="eastAsia" w:ascii="宋体" w:hAnsi="宋体" w:eastAsia="宋体" w:cs="宋体"/>
                <w:color w:val="auto"/>
                <w:sz w:val="21"/>
                <w:szCs w:val="21"/>
                <w:highlight w:val="none"/>
                <w:lang w:val="en-US" w:eastAsia="zh-CN"/>
              </w:rPr>
              <w:t>采购人指定地点</w:t>
            </w:r>
            <w:r>
              <w:rPr>
                <w:rFonts w:hint="eastAsia" w:ascii="宋体" w:hAnsi="宋体" w:cs="宋体"/>
                <w:color w:val="auto"/>
                <w:sz w:val="21"/>
                <w:szCs w:val="21"/>
                <w:highlight w:val="none"/>
                <w:lang w:val="en-US" w:eastAsia="zh-CN"/>
              </w:rPr>
              <w:t>。</w:t>
            </w:r>
          </w:p>
        </w:tc>
      </w:tr>
      <w:tr w14:paraId="110566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67" w:hRule="atLeast"/>
        </w:trPr>
        <w:tc>
          <w:tcPr>
            <w:tcW w:w="2421" w:type="dxa"/>
            <w:tcBorders>
              <w:tl2br w:val="nil"/>
              <w:tr2bl w:val="nil"/>
            </w:tcBorders>
            <w:shd w:val="clear" w:color="auto" w:fill="auto"/>
            <w:tcMar>
              <w:top w:w="0" w:type="dxa"/>
              <w:left w:w="75" w:type="dxa"/>
              <w:bottom w:w="0" w:type="dxa"/>
              <w:right w:w="75" w:type="dxa"/>
            </w:tcMar>
            <w:vAlign w:val="center"/>
          </w:tcPr>
          <w:p w14:paraId="2EFF8A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6"/>
                <w:kern w:val="0"/>
                <w:sz w:val="21"/>
                <w:szCs w:val="21"/>
                <w:highlight w:val="none"/>
                <w:lang w:val="en-US" w:eastAsia="zh-CN"/>
              </w:rPr>
              <w:t>履约保证金</w:t>
            </w:r>
          </w:p>
        </w:tc>
        <w:tc>
          <w:tcPr>
            <w:tcW w:w="7089" w:type="dxa"/>
            <w:tcBorders>
              <w:tl2br w:val="nil"/>
              <w:tr2bl w:val="nil"/>
            </w:tcBorders>
            <w:shd w:val="clear" w:color="auto" w:fill="auto"/>
            <w:tcMar>
              <w:top w:w="0" w:type="dxa"/>
              <w:left w:w="75" w:type="dxa"/>
              <w:bottom w:w="0" w:type="dxa"/>
              <w:right w:w="75" w:type="dxa"/>
            </w:tcMar>
            <w:vAlign w:val="center"/>
          </w:tcPr>
          <w:p w14:paraId="114CDE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left="0" w:firstLine="0" w:firstLineChars="0"/>
              <w:jc w:val="left"/>
              <w:textAlignment w:val="auto"/>
              <w:rPr>
                <w:rFonts w:hint="default" w:ascii="宋体" w:hAnsi="宋体" w:eastAsia="宋体" w:cs="宋体"/>
                <w:color w:val="auto"/>
                <w:sz w:val="21"/>
                <w:szCs w:val="21"/>
                <w:highlight w:val="none"/>
                <w:lang w:val="en-US"/>
              </w:rPr>
            </w:pPr>
            <w:r>
              <w:rPr>
                <w:rFonts w:hint="eastAsia" w:ascii="宋体" w:hAnsi="宋体" w:cs="宋体"/>
                <w:color w:val="auto"/>
                <w:spacing w:val="-6"/>
                <w:kern w:val="0"/>
                <w:sz w:val="21"/>
                <w:szCs w:val="21"/>
                <w:highlight w:val="none"/>
                <w:lang w:val="en-US" w:eastAsia="zh-CN"/>
              </w:rPr>
              <w:t>本项目不收取履约保证金。</w:t>
            </w:r>
          </w:p>
        </w:tc>
      </w:tr>
      <w:tr w14:paraId="09C35B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67" w:hRule="atLeast"/>
        </w:trPr>
        <w:tc>
          <w:tcPr>
            <w:tcW w:w="2421" w:type="dxa"/>
            <w:tcBorders>
              <w:tl2br w:val="nil"/>
              <w:tr2bl w:val="nil"/>
            </w:tcBorders>
            <w:shd w:val="clear" w:color="auto" w:fill="auto"/>
            <w:tcMar>
              <w:top w:w="0" w:type="dxa"/>
              <w:left w:w="75" w:type="dxa"/>
              <w:bottom w:w="0" w:type="dxa"/>
              <w:right w:w="75" w:type="dxa"/>
            </w:tcMar>
            <w:vAlign w:val="center"/>
          </w:tcPr>
          <w:p w14:paraId="6A76DD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6"/>
                <w:kern w:val="0"/>
                <w:sz w:val="21"/>
                <w:szCs w:val="21"/>
                <w:highlight w:val="none"/>
                <w:lang w:val="en-US" w:eastAsia="zh-CN"/>
              </w:rPr>
              <w:t>付款方式</w:t>
            </w:r>
          </w:p>
        </w:tc>
        <w:tc>
          <w:tcPr>
            <w:tcW w:w="7089" w:type="dxa"/>
            <w:tcBorders>
              <w:tl2br w:val="nil"/>
              <w:tr2bl w:val="nil"/>
            </w:tcBorders>
            <w:shd w:val="clear" w:color="auto" w:fill="auto"/>
            <w:tcMar>
              <w:top w:w="0" w:type="dxa"/>
              <w:left w:w="75" w:type="dxa"/>
              <w:bottom w:w="0" w:type="dxa"/>
              <w:right w:w="75" w:type="dxa"/>
            </w:tcMar>
            <w:vAlign w:val="center"/>
          </w:tcPr>
          <w:p w14:paraId="201C8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6"/>
                <w:kern w:val="0"/>
                <w:sz w:val="21"/>
                <w:szCs w:val="21"/>
                <w:highlight w:val="none"/>
                <w:lang w:val="en-US" w:eastAsia="zh-CN"/>
              </w:rPr>
              <w:t>合同生效以及具备实施条件后7个工作日内，采购人向供应商支付合同总价的</w:t>
            </w:r>
            <w:r>
              <w:rPr>
                <w:rFonts w:hint="eastAsia" w:ascii="宋体" w:hAnsi="宋体" w:cs="宋体"/>
                <w:i w:val="0"/>
                <w:iCs w:val="0"/>
                <w:color w:val="auto"/>
                <w:spacing w:val="-6"/>
                <w:kern w:val="0"/>
                <w:sz w:val="21"/>
                <w:szCs w:val="21"/>
                <w:highlight w:val="none"/>
                <w:lang w:val="en-US" w:eastAsia="zh-CN"/>
              </w:rPr>
              <w:t>40%</w:t>
            </w:r>
            <w:r>
              <w:rPr>
                <w:rFonts w:hint="eastAsia" w:ascii="宋体" w:hAnsi="宋体" w:eastAsia="宋体" w:cs="宋体"/>
                <w:i w:val="0"/>
                <w:iCs w:val="0"/>
                <w:color w:val="auto"/>
                <w:spacing w:val="-6"/>
                <w:kern w:val="0"/>
                <w:sz w:val="21"/>
                <w:szCs w:val="21"/>
                <w:highlight w:val="none"/>
                <w:lang w:val="en-US" w:eastAsia="zh-CN"/>
              </w:rPr>
              <w:t>；项目履约完成，经采购人验收合格后，收到发票后7个工作日内，采购人向供应商支付合同总价的</w:t>
            </w:r>
            <w:r>
              <w:rPr>
                <w:rFonts w:hint="eastAsia" w:ascii="宋体" w:hAnsi="宋体" w:cs="宋体"/>
                <w:i w:val="0"/>
                <w:iCs w:val="0"/>
                <w:color w:val="auto"/>
                <w:spacing w:val="-6"/>
                <w:kern w:val="0"/>
                <w:sz w:val="21"/>
                <w:szCs w:val="21"/>
                <w:highlight w:val="none"/>
                <w:lang w:val="en-US" w:eastAsia="zh-CN"/>
              </w:rPr>
              <w:t>60%</w:t>
            </w:r>
            <w:r>
              <w:rPr>
                <w:rFonts w:hint="eastAsia" w:ascii="宋体" w:hAnsi="宋体" w:eastAsia="宋体" w:cs="宋体"/>
                <w:i w:val="0"/>
                <w:iCs w:val="0"/>
                <w:color w:val="auto"/>
                <w:spacing w:val="-6"/>
                <w:kern w:val="0"/>
                <w:sz w:val="21"/>
                <w:szCs w:val="21"/>
                <w:highlight w:val="none"/>
                <w:lang w:val="en-US" w:eastAsia="zh-CN"/>
              </w:rPr>
              <w:t>。</w:t>
            </w:r>
          </w:p>
          <w:p w14:paraId="0BBA11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6"/>
                <w:kern w:val="0"/>
                <w:sz w:val="21"/>
                <w:szCs w:val="21"/>
                <w:highlight w:val="none"/>
                <w:lang w:val="en-US" w:eastAsia="zh-CN"/>
              </w:rPr>
              <w:t>在签订合同时，供应商明确表示无需预付款或者主动要求降低预付款比例的，可降低预付款比例。</w:t>
            </w:r>
          </w:p>
        </w:tc>
      </w:tr>
      <w:tr w14:paraId="5F9F49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67" w:hRule="atLeast"/>
        </w:trPr>
        <w:tc>
          <w:tcPr>
            <w:tcW w:w="2421" w:type="dxa"/>
            <w:tcBorders>
              <w:tl2br w:val="nil"/>
              <w:tr2bl w:val="nil"/>
            </w:tcBorders>
            <w:shd w:val="clear" w:color="auto" w:fill="auto"/>
            <w:tcMar>
              <w:top w:w="0" w:type="dxa"/>
              <w:left w:w="75" w:type="dxa"/>
              <w:bottom w:w="0" w:type="dxa"/>
              <w:right w:w="75" w:type="dxa"/>
            </w:tcMar>
            <w:vAlign w:val="center"/>
          </w:tcPr>
          <w:p w14:paraId="3387D0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售后服务</w:t>
            </w:r>
          </w:p>
        </w:tc>
        <w:tc>
          <w:tcPr>
            <w:tcW w:w="7089" w:type="dxa"/>
            <w:tcBorders>
              <w:tl2br w:val="nil"/>
              <w:tr2bl w:val="nil"/>
            </w:tcBorders>
            <w:shd w:val="clear" w:color="auto" w:fill="auto"/>
            <w:tcMar>
              <w:top w:w="0" w:type="dxa"/>
              <w:left w:w="75" w:type="dxa"/>
              <w:bottom w:w="0" w:type="dxa"/>
              <w:right w:w="75" w:type="dxa"/>
            </w:tcMar>
            <w:vAlign w:val="center"/>
          </w:tcPr>
          <w:p w14:paraId="70D90274">
            <w:pPr>
              <w:pStyle w:val="10"/>
              <w:keepNext w:val="0"/>
              <w:keepLines w:val="0"/>
              <w:pageBreakBefore w:val="0"/>
              <w:kinsoku/>
              <w:wordWrap/>
              <w:overflowPunct/>
              <w:topLinePunct w:val="0"/>
              <w:autoSpaceDE/>
              <w:autoSpaceDN/>
              <w:bidi w:val="0"/>
              <w:adjustRightInd/>
              <w:snapToGrid/>
              <w:spacing w:after="0" w:line="288" w:lineRule="auto"/>
              <w:ind w:firstLine="0" w:firstLineChars="0"/>
              <w:textAlignment w:val="auto"/>
              <w:rPr>
                <w:rFonts w:hint="eastAsia"/>
                <w:color w:val="auto"/>
                <w:highlight w:val="none"/>
                <w:lang w:val="en-US" w:eastAsia="zh-CN"/>
              </w:rPr>
            </w:pPr>
            <w:r>
              <w:rPr>
                <w:rFonts w:hint="eastAsia"/>
                <w:color w:val="auto"/>
                <w:highlight w:val="none"/>
                <w:lang w:val="en-US" w:eastAsia="zh-CN"/>
              </w:rPr>
              <w:t>服务模式：提供7×24 小时电话、远程、现场三位一体技术支持，全天候响应系统问题。</w:t>
            </w:r>
          </w:p>
          <w:p w14:paraId="4B169369">
            <w:pPr>
              <w:pStyle w:val="10"/>
              <w:keepNext w:val="0"/>
              <w:keepLines w:val="0"/>
              <w:pageBreakBefore w:val="0"/>
              <w:kinsoku/>
              <w:wordWrap/>
              <w:overflowPunct/>
              <w:topLinePunct w:val="0"/>
              <w:autoSpaceDE/>
              <w:autoSpaceDN/>
              <w:bidi w:val="0"/>
              <w:adjustRightInd/>
              <w:snapToGrid/>
              <w:spacing w:after="0" w:line="288" w:lineRule="auto"/>
              <w:ind w:firstLine="0" w:firstLineChars="0"/>
              <w:textAlignment w:val="auto"/>
              <w:rPr>
                <w:rFonts w:hint="eastAsia"/>
                <w:color w:val="auto"/>
                <w:highlight w:val="none"/>
                <w:lang w:val="en-US" w:eastAsia="zh-CN"/>
              </w:rPr>
            </w:pPr>
            <w:r>
              <w:rPr>
                <w:rFonts w:hint="eastAsia"/>
                <w:color w:val="auto"/>
                <w:highlight w:val="none"/>
                <w:lang w:val="en-US" w:eastAsia="zh-CN"/>
              </w:rPr>
              <w:t>响应时效：接到故障申告10 分钟内响应；远程支持30 分钟内未解决故障，立即启动现场应急服务。</w:t>
            </w:r>
          </w:p>
          <w:p w14:paraId="29B71B75">
            <w:pPr>
              <w:pStyle w:val="10"/>
              <w:keepNext w:val="0"/>
              <w:keepLines w:val="0"/>
              <w:pageBreakBefore w:val="0"/>
              <w:kinsoku/>
              <w:wordWrap/>
              <w:overflowPunct/>
              <w:topLinePunct w:val="0"/>
              <w:autoSpaceDE/>
              <w:autoSpaceDN/>
              <w:bidi w:val="0"/>
              <w:adjustRightInd/>
              <w:snapToGrid/>
              <w:spacing w:after="0" w:line="288" w:lineRule="auto"/>
              <w:ind w:firstLine="0" w:firstLineChars="0"/>
              <w:textAlignment w:val="auto"/>
              <w:rPr>
                <w:rFonts w:hint="eastAsia"/>
                <w:color w:val="auto"/>
                <w:highlight w:val="none"/>
                <w:lang w:val="en-US" w:eastAsia="zh-CN"/>
              </w:rPr>
            </w:pPr>
            <w:r>
              <w:rPr>
                <w:rFonts w:hint="eastAsia"/>
                <w:color w:val="auto"/>
                <w:highlight w:val="none"/>
                <w:lang w:val="en-US" w:eastAsia="zh-CN"/>
              </w:rPr>
              <w:t>现场保障：远程无法修复的故障，技术人员2小时内抵达项目现场。</w:t>
            </w:r>
          </w:p>
          <w:p w14:paraId="1B1E1F4E">
            <w:pPr>
              <w:pStyle w:val="10"/>
              <w:keepNext w:val="0"/>
              <w:keepLines w:val="0"/>
              <w:pageBreakBefore w:val="0"/>
              <w:kinsoku/>
              <w:wordWrap/>
              <w:overflowPunct/>
              <w:topLinePunct w:val="0"/>
              <w:autoSpaceDE/>
              <w:autoSpaceDN/>
              <w:bidi w:val="0"/>
              <w:adjustRightInd/>
              <w:snapToGrid/>
              <w:spacing w:after="0" w:line="288" w:lineRule="auto"/>
              <w:ind w:firstLine="0" w:firstLineChars="0"/>
              <w:textAlignment w:val="auto"/>
              <w:rPr>
                <w:rFonts w:hint="eastAsia"/>
                <w:color w:val="auto"/>
                <w:highlight w:val="none"/>
                <w:lang w:val="en-US" w:eastAsia="zh-CN"/>
              </w:rPr>
            </w:pPr>
            <w:r>
              <w:rPr>
                <w:rFonts w:hint="eastAsia"/>
                <w:color w:val="auto"/>
                <w:highlight w:val="none"/>
                <w:lang w:val="en-US" w:eastAsia="zh-CN"/>
              </w:rPr>
              <w:t>故障修复：工程师到场后24 小时内恢复系统运行；特殊复杂故障，5 个工作日内完成修复，期间保障核心业务正常运转。</w:t>
            </w:r>
          </w:p>
          <w:p w14:paraId="038AA3C4">
            <w:pPr>
              <w:pStyle w:val="10"/>
              <w:keepNext w:val="0"/>
              <w:keepLines w:val="0"/>
              <w:pageBreakBefore w:val="0"/>
              <w:kinsoku/>
              <w:wordWrap/>
              <w:overflowPunct/>
              <w:topLinePunct w:val="0"/>
              <w:autoSpaceDE/>
              <w:autoSpaceDN/>
              <w:bidi w:val="0"/>
              <w:adjustRightInd/>
              <w:snapToGrid/>
              <w:spacing w:after="0" w:line="288" w:lineRule="auto"/>
              <w:ind w:firstLine="0" w:firstLineChars="0"/>
              <w:textAlignment w:val="auto"/>
              <w:rPr>
                <w:rFonts w:hint="eastAsia"/>
                <w:color w:val="auto"/>
                <w:highlight w:val="none"/>
                <w:lang w:val="en-US" w:eastAsia="zh-CN"/>
              </w:rPr>
            </w:pPr>
            <w:r>
              <w:rPr>
                <w:rFonts w:hint="eastAsia"/>
                <w:color w:val="auto"/>
                <w:highlight w:val="none"/>
                <w:lang w:val="en-US" w:eastAsia="zh-CN"/>
              </w:rPr>
              <w:t>日常服务：提供日常咨询、问题解答、版本更新、漏洞修复、数据备份指导等常态化服务。</w:t>
            </w:r>
          </w:p>
          <w:p w14:paraId="7C673A1B">
            <w:pPr>
              <w:pStyle w:val="10"/>
              <w:keepNext w:val="0"/>
              <w:keepLines w:val="0"/>
              <w:pageBreakBefore w:val="0"/>
              <w:kinsoku/>
              <w:wordWrap/>
              <w:overflowPunct/>
              <w:topLinePunct w:val="0"/>
              <w:autoSpaceDE/>
              <w:autoSpaceDN/>
              <w:bidi w:val="0"/>
              <w:adjustRightInd/>
              <w:snapToGrid/>
              <w:spacing w:after="0" w:line="288" w:lineRule="auto"/>
              <w:ind w:firstLine="0" w:firstLineChars="0"/>
              <w:textAlignment w:val="auto"/>
              <w:rPr>
                <w:rFonts w:hint="eastAsia"/>
                <w:color w:val="auto"/>
                <w:highlight w:val="none"/>
                <w:lang w:val="en-US" w:eastAsia="zh-CN"/>
              </w:rPr>
            </w:pPr>
            <w:r>
              <w:rPr>
                <w:rFonts w:hint="eastAsia"/>
                <w:color w:val="auto"/>
                <w:highlight w:val="none"/>
                <w:lang w:val="en-US" w:eastAsia="zh-CN"/>
              </w:rPr>
              <w:t>服务记录：建立专属服务档案，全程记录故障处理、服务执行、系统维护全流程，定期向采购人反馈运维报告。</w:t>
            </w:r>
          </w:p>
          <w:p w14:paraId="2B86B4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提供详细的售后服务方案。</w:t>
            </w:r>
          </w:p>
        </w:tc>
      </w:tr>
      <w:tr w14:paraId="0B809D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67" w:hRule="atLeast"/>
        </w:trPr>
        <w:tc>
          <w:tcPr>
            <w:tcW w:w="2421" w:type="dxa"/>
            <w:tcBorders>
              <w:tl2br w:val="nil"/>
              <w:tr2bl w:val="nil"/>
            </w:tcBorders>
            <w:shd w:val="clear" w:color="auto" w:fill="auto"/>
            <w:tcMar>
              <w:top w:w="0" w:type="dxa"/>
              <w:left w:w="75" w:type="dxa"/>
              <w:bottom w:w="0" w:type="dxa"/>
              <w:right w:w="75" w:type="dxa"/>
            </w:tcMar>
            <w:vAlign w:val="center"/>
          </w:tcPr>
          <w:p w14:paraId="5804D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default"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培训</w:t>
            </w:r>
          </w:p>
        </w:tc>
        <w:tc>
          <w:tcPr>
            <w:tcW w:w="7089" w:type="dxa"/>
            <w:tcBorders>
              <w:tl2br w:val="nil"/>
              <w:tr2bl w:val="nil"/>
            </w:tcBorders>
            <w:shd w:val="clear" w:color="auto" w:fill="auto"/>
            <w:tcMar>
              <w:top w:w="0" w:type="dxa"/>
              <w:left w:w="75" w:type="dxa"/>
              <w:bottom w:w="0" w:type="dxa"/>
              <w:right w:w="75" w:type="dxa"/>
            </w:tcMar>
            <w:vAlign w:val="center"/>
          </w:tcPr>
          <w:p w14:paraId="4EEA64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1. 培训目标</w:t>
            </w:r>
          </w:p>
          <w:p w14:paraId="4AF914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让采购人操作、管理、维护人员熟练掌握系统功能、操作流程、日常维护、故障基础排查能力，保障系统独立稳定运行。</w:t>
            </w:r>
          </w:p>
          <w:p w14:paraId="204C1B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default" w:ascii="宋体" w:hAnsi="宋体" w:cs="宋体"/>
                <w:color w:val="auto"/>
                <w:szCs w:val="21"/>
                <w:highlight w:val="none"/>
                <w:lang w:val="en-US" w:eastAsia="zh-CN"/>
              </w:rPr>
              <w:t>培训要求</w:t>
            </w:r>
          </w:p>
          <w:p w14:paraId="5A7072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必须为校方所有角色层级人员提供系统培训,具体培训次数和安排由校方根据需求而定。</w:t>
            </w:r>
          </w:p>
          <w:p w14:paraId="35DEE4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default" w:ascii="宋体" w:hAnsi="宋体" w:cs="宋体"/>
                <w:color w:val="auto"/>
                <w:szCs w:val="21"/>
                <w:highlight w:val="none"/>
                <w:lang w:val="en-US" w:eastAsia="zh-CN"/>
              </w:rPr>
              <w:t>. 培训对象</w:t>
            </w:r>
          </w:p>
          <w:p w14:paraId="07F522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系统管理员、业务操作人员、运维人员。</w:t>
            </w:r>
          </w:p>
          <w:p w14:paraId="2DC5C9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default" w:ascii="宋体" w:hAnsi="宋体" w:cs="宋体"/>
                <w:color w:val="auto"/>
                <w:szCs w:val="21"/>
                <w:highlight w:val="none"/>
                <w:lang w:val="en-US" w:eastAsia="zh-CN"/>
              </w:rPr>
              <w:t>培训内容</w:t>
            </w:r>
          </w:p>
          <w:p w14:paraId="276892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基础操作：系统登录、功能模块使用、业务流程办理、数据查询导出。</w:t>
            </w:r>
          </w:p>
          <w:p w14:paraId="0F2A6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管理配置：用户权限分配、参数设置、数据备份与恢复。</w:t>
            </w:r>
          </w:p>
          <w:p w14:paraId="6BF9E8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运维维护：日常巡检、基础故障排查、日志查看、简单问题处理。</w:t>
            </w:r>
          </w:p>
          <w:p w14:paraId="33F766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安全规范：系统安全操作、数据安全管理、应急处理流程。</w:t>
            </w:r>
          </w:p>
          <w:p w14:paraId="63B7E3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default" w:ascii="宋体" w:hAnsi="宋体" w:cs="宋体"/>
                <w:color w:val="auto"/>
                <w:szCs w:val="21"/>
                <w:highlight w:val="none"/>
                <w:lang w:val="en-US" w:eastAsia="zh-CN"/>
              </w:rPr>
              <w:t>培训方式</w:t>
            </w:r>
          </w:p>
          <w:p w14:paraId="7569AF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集中线下培训：现场授课 + 实操演练，一对一指导。</w:t>
            </w:r>
          </w:p>
          <w:p w14:paraId="5A7F68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现场驻场培训：试运行期间驻场，随问随教、实操带教。</w:t>
            </w:r>
          </w:p>
          <w:p w14:paraId="68BAD5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default" w:ascii="宋体" w:hAnsi="宋体" w:cs="宋体"/>
                <w:color w:val="auto"/>
                <w:szCs w:val="21"/>
                <w:highlight w:val="none"/>
                <w:lang w:val="en-US" w:eastAsia="zh-CN"/>
              </w:rPr>
              <w:t>培训资料</w:t>
            </w:r>
          </w:p>
          <w:p w14:paraId="23D49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default" w:ascii="宋体" w:hAnsi="宋体" w:eastAsia="宋体" w:cs="宋体"/>
                <w:i w:val="0"/>
                <w:iCs w:val="0"/>
                <w:color w:val="auto"/>
                <w:kern w:val="0"/>
                <w:sz w:val="21"/>
                <w:szCs w:val="21"/>
                <w:highlight w:val="none"/>
                <w:lang w:val="en-US" w:eastAsia="zh-CN"/>
              </w:rPr>
            </w:pPr>
            <w:r>
              <w:rPr>
                <w:rFonts w:hint="default" w:ascii="宋体" w:hAnsi="宋体" w:cs="宋体"/>
                <w:color w:val="auto"/>
                <w:szCs w:val="21"/>
                <w:highlight w:val="none"/>
                <w:lang w:val="en-US" w:eastAsia="zh-CN"/>
              </w:rPr>
              <w:t>提供完整操作手册、运维手册、PPT 课件、常见问题 FAQ。</w:t>
            </w:r>
          </w:p>
        </w:tc>
      </w:tr>
      <w:tr w14:paraId="118BA3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67" w:hRule="atLeast"/>
        </w:trPr>
        <w:tc>
          <w:tcPr>
            <w:tcW w:w="2421" w:type="dxa"/>
            <w:tcBorders>
              <w:tl2br w:val="nil"/>
              <w:tr2bl w:val="nil"/>
            </w:tcBorders>
            <w:shd w:val="clear" w:color="auto" w:fill="auto"/>
            <w:tcMar>
              <w:top w:w="0" w:type="dxa"/>
              <w:left w:w="75" w:type="dxa"/>
              <w:bottom w:w="0" w:type="dxa"/>
              <w:right w:w="75" w:type="dxa"/>
            </w:tcMar>
            <w:vAlign w:val="center"/>
          </w:tcPr>
          <w:p w14:paraId="37BCDA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宋体" w:hAnsi="宋体" w:eastAsia="宋体" w:cs="宋体"/>
                <w:i w:val="0"/>
                <w:iCs w:val="0"/>
                <w:color w:val="auto"/>
                <w:kern w:val="0"/>
                <w:sz w:val="21"/>
                <w:szCs w:val="21"/>
                <w:highlight w:val="none"/>
                <w:lang w:val="en-US" w:eastAsia="zh-CN"/>
              </w:rPr>
            </w:pPr>
            <w:r>
              <w:rPr>
                <w:rFonts w:hint="eastAsia"/>
                <w:color w:val="auto"/>
                <w:szCs w:val="21"/>
                <w:highlight w:val="none"/>
              </w:rPr>
              <w:t>试运行、测试</w:t>
            </w:r>
          </w:p>
        </w:tc>
        <w:tc>
          <w:tcPr>
            <w:tcW w:w="7089" w:type="dxa"/>
            <w:tcBorders>
              <w:tl2br w:val="nil"/>
              <w:tr2bl w:val="nil"/>
            </w:tcBorders>
            <w:shd w:val="clear" w:color="auto" w:fill="auto"/>
            <w:tcMar>
              <w:top w:w="0" w:type="dxa"/>
              <w:left w:w="75" w:type="dxa"/>
              <w:bottom w:w="0" w:type="dxa"/>
              <w:right w:w="75" w:type="dxa"/>
            </w:tcMar>
            <w:vAlign w:val="center"/>
          </w:tcPr>
          <w:p w14:paraId="2AFEF6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 试运行阶段</w:t>
            </w:r>
          </w:p>
          <w:p w14:paraId="5B7048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试运行周期：不少于 1 个月，可根据项目需求调整。</w:t>
            </w:r>
          </w:p>
          <w:p w14:paraId="437C88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试运行内容：全功能模块上线运行，真实业务数据录入与处理。</w:t>
            </w:r>
          </w:p>
          <w:p w14:paraId="354B48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问题处理：安排专人驻场支持，实时收集问题、快速修复、优化功能。</w:t>
            </w:r>
          </w:p>
          <w:p w14:paraId="3CF472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试运行验收：出具试运行报告，确认系统满足业务需求，具备正式运行条件。</w:t>
            </w:r>
          </w:p>
          <w:p w14:paraId="4DDE90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 系统测试方案</w:t>
            </w:r>
          </w:p>
          <w:p w14:paraId="28CD4D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测试范围：功能测试、性能测试、安全测试、兼容性测试、数据迁移测试。</w:t>
            </w:r>
          </w:p>
          <w:p w14:paraId="084B7E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测试标准：符合行业规范与项目需求，功能无遗漏、性能达标、安全无漏洞。</w:t>
            </w:r>
          </w:p>
          <w:p w14:paraId="7A9C94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测试流程：制定测试用例→执行测试→记录问题→修复整改→回归测试→出具测试报告。</w:t>
            </w:r>
          </w:p>
          <w:p w14:paraId="3FD100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cs="宋体"/>
                <w:color w:val="auto"/>
                <w:szCs w:val="21"/>
                <w:highlight w:val="none"/>
                <w:lang w:val="en-US" w:eastAsia="zh-CN"/>
              </w:rPr>
              <w:t>测试保障：测试期间保障数据安全、系统稳定，不影响采购人正常业务。</w:t>
            </w:r>
          </w:p>
        </w:tc>
      </w:tr>
      <w:tr w14:paraId="4B0075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67" w:hRule="atLeast"/>
        </w:trPr>
        <w:tc>
          <w:tcPr>
            <w:tcW w:w="2421" w:type="dxa"/>
            <w:tcBorders>
              <w:tl2br w:val="nil"/>
              <w:tr2bl w:val="nil"/>
            </w:tcBorders>
            <w:shd w:val="clear" w:color="auto" w:fill="auto"/>
            <w:tcMar>
              <w:top w:w="0" w:type="dxa"/>
              <w:left w:w="75" w:type="dxa"/>
              <w:bottom w:w="0" w:type="dxa"/>
              <w:right w:w="75" w:type="dxa"/>
            </w:tcMar>
            <w:vAlign w:val="center"/>
          </w:tcPr>
          <w:p w14:paraId="51888F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服务标准、期限、效率</w:t>
            </w:r>
          </w:p>
        </w:tc>
        <w:tc>
          <w:tcPr>
            <w:tcW w:w="7089" w:type="dxa"/>
            <w:tcBorders>
              <w:tl2br w:val="nil"/>
              <w:tr2bl w:val="nil"/>
            </w:tcBorders>
            <w:shd w:val="clear" w:color="auto" w:fill="auto"/>
            <w:tcMar>
              <w:top w:w="0" w:type="dxa"/>
              <w:left w:w="75" w:type="dxa"/>
              <w:bottom w:w="0" w:type="dxa"/>
              <w:right w:w="75" w:type="dxa"/>
            </w:tcMar>
            <w:vAlign w:val="center"/>
          </w:tcPr>
          <w:p w14:paraId="39E356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服务标准</w:t>
            </w:r>
          </w:p>
          <w:p w14:paraId="64E956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遵循国家信息技术服务标准，服务流程规范、响应及时、处理高效。</w:t>
            </w:r>
          </w:p>
          <w:p w14:paraId="455E0B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具备专业技术能力与良好服务态度。</w:t>
            </w:r>
          </w:p>
          <w:p w14:paraId="54C0EC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 服务期限</w:t>
            </w:r>
          </w:p>
          <w:p w14:paraId="114A29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质保期：投标人应确保本项目系统的安全稳定运行，并承诺提供不少于1年的售后服务（包括故障排除、技术咨询、安全升级等）。</w:t>
            </w:r>
          </w:p>
          <w:p w14:paraId="70EC75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 服务效率</w:t>
            </w:r>
          </w:p>
          <w:p w14:paraId="3CCC35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咨询响应：7×24 小时受理，10 分钟内回复。</w:t>
            </w:r>
          </w:p>
          <w:p w14:paraId="076B28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远程处理：简单问题30 分钟内解决。</w:t>
            </w:r>
          </w:p>
          <w:p w14:paraId="0F5DD2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现场服务：2小时内到场，24 小时内修复故障。</w:t>
            </w:r>
          </w:p>
          <w:p w14:paraId="56B974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问题闭环：所有问题全程跟踪，处理完毕后24 小时内回访确认。</w:t>
            </w:r>
          </w:p>
        </w:tc>
      </w:tr>
      <w:tr w14:paraId="359E21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67" w:hRule="atLeast"/>
        </w:trPr>
        <w:tc>
          <w:tcPr>
            <w:tcW w:w="2421" w:type="dxa"/>
            <w:tcBorders>
              <w:tl2br w:val="nil"/>
              <w:tr2bl w:val="nil"/>
            </w:tcBorders>
            <w:shd w:val="clear" w:color="auto" w:fill="auto"/>
            <w:tcMar>
              <w:top w:w="0" w:type="dxa"/>
              <w:left w:w="75" w:type="dxa"/>
              <w:bottom w:w="0" w:type="dxa"/>
              <w:right w:w="75" w:type="dxa"/>
            </w:tcMar>
            <w:vAlign w:val="center"/>
          </w:tcPr>
          <w:p w14:paraId="13BD78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验收标准</w:t>
            </w:r>
          </w:p>
        </w:tc>
        <w:tc>
          <w:tcPr>
            <w:tcW w:w="7089" w:type="dxa"/>
            <w:tcBorders>
              <w:tl2br w:val="nil"/>
              <w:tr2bl w:val="nil"/>
            </w:tcBorders>
            <w:shd w:val="clear" w:color="auto" w:fill="auto"/>
            <w:tcMar>
              <w:top w:w="0" w:type="dxa"/>
              <w:left w:w="75" w:type="dxa"/>
              <w:bottom w:w="0" w:type="dxa"/>
              <w:right w:w="75" w:type="dxa"/>
            </w:tcMar>
            <w:vAlign w:val="center"/>
          </w:tcPr>
          <w:p w14:paraId="3EFE38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1.验收由采购人负责实施；</w:t>
            </w:r>
          </w:p>
          <w:p w14:paraId="59460C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2.验收依据：</w:t>
            </w:r>
          </w:p>
          <w:p w14:paraId="2D913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2.1合同、采购文件、响应文件；</w:t>
            </w:r>
          </w:p>
          <w:p w14:paraId="4F1EFD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3.验收合格的条件：</w:t>
            </w:r>
          </w:p>
          <w:p w14:paraId="7F7BD3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3.1所供服务成果符合合同的要求；</w:t>
            </w:r>
          </w:p>
          <w:p w14:paraId="2DC829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3.2在进行测试和验收过程中发现的问题已被解决并得到采购人的认可；</w:t>
            </w:r>
          </w:p>
          <w:p w14:paraId="7E76BA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3.3合同中规定的所有服务成果和材料均已交付；</w:t>
            </w:r>
          </w:p>
          <w:p w14:paraId="6A3A43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3.4所供服务成果已通过使用单位组织的验收；</w:t>
            </w:r>
          </w:p>
          <w:p w14:paraId="1BFC7F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3.5所有相关的技术文件及资料均已提交并得到接受。</w:t>
            </w:r>
          </w:p>
        </w:tc>
      </w:tr>
      <w:tr w14:paraId="7A16B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67" w:hRule="atLeast"/>
        </w:trPr>
        <w:tc>
          <w:tcPr>
            <w:tcW w:w="2421" w:type="dxa"/>
            <w:tcBorders>
              <w:tl2br w:val="nil"/>
              <w:tr2bl w:val="nil"/>
            </w:tcBorders>
            <w:shd w:val="clear" w:color="auto" w:fill="auto"/>
            <w:tcMar>
              <w:top w:w="0" w:type="dxa"/>
              <w:left w:w="75" w:type="dxa"/>
              <w:bottom w:w="0" w:type="dxa"/>
              <w:right w:w="75" w:type="dxa"/>
            </w:tcMar>
            <w:vAlign w:val="center"/>
          </w:tcPr>
          <w:p w14:paraId="04A6B4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default" w:ascii="宋体" w:hAnsi="宋体" w:eastAsia="宋体" w:cs="宋体"/>
                <w:i w:val="0"/>
                <w:iCs w:val="0"/>
                <w:color w:val="auto"/>
                <w:kern w:val="0"/>
                <w:sz w:val="21"/>
                <w:szCs w:val="21"/>
                <w:highlight w:val="none"/>
                <w:lang w:val="en-US" w:eastAsia="zh-CN"/>
              </w:rPr>
            </w:pPr>
            <w:r>
              <w:rPr>
                <w:rFonts w:hint="eastAsia" w:ascii="宋体" w:hAnsi="宋体" w:cs="宋体"/>
                <w:i w:val="0"/>
                <w:iCs w:val="0"/>
                <w:color w:val="auto"/>
                <w:kern w:val="0"/>
                <w:sz w:val="21"/>
                <w:szCs w:val="21"/>
                <w:highlight w:val="none"/>
                <w:lang w:val="en-US" w:eastAsia="zh-CN"/>
              </w:rPr>
              <w:t>其他要求</w:t>
            </w:r>
          </w:p>
        </w:tc>
        <w:tc>
          <w:tcPr>
            <w:tcW w:w="7089" w:type="dxa"/>
            <w:tcBorders>
              <w:tl2br w:val="nil"/>
              <w:tr2bl w:val="nil"/>
            </w:tcBorders>
            <w:shd w:val="clear" w:color="auto" w:fill="auto"/>
            <w:tcMar>
              <w:top w:w="0" w:type="dxa"/>
              <w:left w:w="75" w:type="dxa"/>
              <w:bottom w:w="0" w:type="dxa"/>
              <w:right w:w="75" w:type="dxa"/>
            </w:tcMar>
            <w:vAlign w:val="center"/>
          </w:tcPr>
          <w:p w14:paraId="53632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（一）项目团队要求：</w:t>
            </w:r>
          </w:p>
          <w:p w14:paraId="416BAB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cs="宋体"/>
                <w:i w:val="0"/>
                <w:iCs w:val="0"/>
                <w:color w:val="auto"/>
                <w:kern w:val="0"/>
                <w:sz w:val="21"/>
                <w:szCs w:val="21"/>
                <w:highlight w:val="none"/>
                <w:lang w:val="en-US" w:eastAsia="zh-CN"/>
              </w:rPr>
              <w:t>1.</w:t>
            </w:r>
            <w:r>
              <w:rPr>
                <w:rFonts w:hint="eastAsia" w:ascii="宋体" w:hAnsi="宋体" w:eastAsia="宋体" w:cs="宋体"/>
                <w:i w:val="0"/>
                <w:iCs w:val="0"/>
                <w:color w:val="auto"/>
                <w:kern w:val="0"/>
                <w:sz w:val="21"/>
                <w:szCs w:val="21"/>
                <w:highlight w:val="none"/>
                <w:lang w:val="en-US" w:eastAsia="zh-CN"/>
              </w:rPr>
              <w:t>由中标人主要负责人与采购人组成项目质量管理组，项目质量管理与质量控制。</w:t>
            </w:r>
          </w:p>
          <w:p w14:paraId="1AB879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cs="宋体"/>
                <w:i w:val="0"/>
                <w:iCs w:val="0"/>
                <w:color w:val="auto"/>
                <w:kern w:val="0"/>
                <w:sz w:val="21"/>
                <w:szCs w:val="21"/>
                <w:highlight w:val="none"/>
                <w:lang w:val="en-US" w:eastAsia="zh-CN"/>
              </w:rPr>
              <w:t>2.</w:t>
            </w:r>
            <w:r>
              <w:rPr>
                <w:rFonts w:hint="eastAsia" w:ascii="宋体" w:hAnsi="宋体" w:eastAsia="宋体" w:cs="宋体"/>
                <w:i w:val="0"/>
                <w:iCs w:val="0"/>
                <w:color w:val="auto"/>
                <w:kern w:val="0"/>
                <w:sz w:val="21"/>
                <w:szCs w:val="21"/>
                <w:highlight w:val="none"/>
                <w:lang w:val="en-US" w:eastAsia="zh-CN"/>
              </w:rPr>
              <w:t>合同签订后，到项目验收完成，提供驻场开发服务。须提供至少2名开发人员，进行现场为期不少于</w:t>
            </w:r>
            <w:r>
              <w:rPr>
                <w:rFonts w:hint="eastAsia" w:ascii="宋体" w:hAnsi="宋体" w:cs="宋体"/>
                <w:i w:val="0"/>
                <w:iCs w:val="0"/>
                <w:color w:val="auto"/>
                <w:kern w:val="0"/>
                <w:sz w:val="21"/>
                <w:szCs w:val="21"/>
                <w:highlight w:val="none"/>
                <w:lang w:val="en-US" w:eastAsia="zh-CN"/>
              </w:rPr>
              <w:t>2</w:t>
            </w:r>
            <w:r>
              <w:rPr>
                <w:rFonts w:hint="eastAsia" w:ascii="宋体" w:hAnsi="宋体" w:eastAsia="宋体" w:cs="宋体"/>
                <w:i w:val="0"/>
                <w:iCs w:val="0"/>
                <w:color w:val="auto"/>
                <w:kern w:val="0"/>
                <w:sz w:val="21"/>
                <w:szCs w:val="21"/>
                <w:highlight w:val="none"/>
                <w:lang w:val="en-US" w:eastAsia="zh-CN"/>
              </w:rPr>
              <w:t>个月驻场开发服务(项目负责人必须为驻场人员之一)。</w:t>
            </w:r>
          </w:p>
          <w:p w14:paraId="635216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color w:val="auto"/>
                <w:highlight w:val="none"/>
                <w:lang w:val="en-US" w:eastAsia="zh-CN"/>
              </w:rPr>
            </w:pPr>
            <w:r>
              <w:rPr>
                <w:rFonts w:hint="eastAsia" w:ascii="宋体" w:hAnsi="宋体" w:cs="宋体"/>
                <w:i w:val="0"/>
                <w:iCs w:val="0"/>
                <w:color w:val="auto"/>
                <w:kern w:val="0"/>
                <w:sz w:val="21"/>
                <w:szCs w:val="21"/>
                <w:highlight w:val="none"/>
                <w:lang w:val="en-US" w:eastAsia="zh-CN"/>
              </w:rPr>
              <w:t>3.</w:t>
            </w:r>
            <w:r>
              <w:rPr>
                <w:rFonts w:hint="eastAsia" w:ascii="宋体" w:hAnsi="宋体" w:eastAsia="宋体" w:cs="宋体"/>
                <w:i w:val="0"/>
                <w:iCs w:val="0"/>
                <w:color w:val="auto"/>
                <w:kern w:val="0"/>
                <w:sz w:val="21"/>
                <w:szCs w:val="21"/>
                <w:highlight w:val="none"/>
                <w:lang w:val="en-US" w:eastAsia="zh-CN"/>
              </w:rPr>
              <w:t>本项目需要具有丰富项目经验与专业能力的项目经理与实施人员提供服务，核心人员</w:t>
            </w:r>
            <w:r>
              <w:rPr>
                <w:rFonts w:hint="eastAsia"/>
                <w:color w:val="auto"/>
                <w:highlight w:val="none"/>
                <w:lang w:eastAsia="zh-CN"/>
              </w:rPr>
              <w:t>（</w:t>
            </w:r>
            <w:r>
              <w:rPr>
                <w:rFonts w:hint="eastAsia"/>
                <w:color w:val="auto"/>
                <w:highlight w:val="none"/>
                <w:lang w:val="en-US" w:eastAsia="zh-CN"/>
              </w:rPr>
              <w:t>项目负责人</w:t>
            </w:r>
            <w:r>
              <w:rPr>
                <w:rFonts w:hint="eastAsia"/>
                <w:color w:val="auto"/>
                <w:highlight w:val="none"/>
                <w:lang w:eastAsia="zh-CN"/>
              </w:rPr>
              <w:t>）</w:t>
            </w:r>
            <w:r>
              <w:rPr>
                <w:rFonts w:hint="eastAsia" w:ascii="宋体" w:hAnsi="宋体" w:eastAsia="宋体" w:cs="宋体"/>
                <w:i w:val="0"/>
                <w:iCs w:val="0"/>
                <w:color w:val="auto"/>
                <w:kern w:val="0"/>
                <w:sz w:val="21"/>
                <w:szCs w:val="21"/>
                <w:highlight w:val="none"/>
                <w:lang w:val="en-US" w:eastAsia="zh-CN"/>
              </w:rPr>
              <w:t>需要具备廉政风险管理系统类似项目实施经验。</w:t>
            </w:r>
          </w:p>
          <w:p w14:paraId="39061D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（二）项目实施要求：</w:t>
            </w:r>
          </w:p>
          <w:p w14:paraId="70CD9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1.中标人除了提供驻场服务之外，同时公司要为驻场人员提供后台技术支持，必要的时候可提供更高级的人员、技术资源支持，以保障驻场人员完成采购人安排的服务工作内容。</w:t>
            </w:r>
          </w:p>
          <w:p w14:paraId="4B4B0B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2.项目实施中必须根据采购人需求进行开发设计、实施，以满足采购人部门间信息共享的需求。</w:t>
            </w:r>
          </w:p>
          <w:p w14:paraId="26ADAA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3.中标人的工作过程须接受采购人的监督和管理。</w:t>
            </w:r>
          </w:p>
          <w:p w14:paraId="27A9A3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4.项目实施过程中，如出现重大问题或重要变更发生时，中标人需在当天内向采购人报告，并提出解决问题的办法。</w:t>
            </w:r>
          </w:p>
          <w:p w14:paraId="55072E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（三）质保期：投标人应确保本项目系统的安全稳定运行，并承诺提供不少于1年的售后服务（包括故障排除、技术咨询、安全升级等）。</w:t>
            </w:r>
          </w:p>
          <w:p w14:paraId="4E8335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w:t>
            </w:r>
            <w:r>
              <w:rPr>
                <w:rFonts w:hint="eastAsia" w:ascii="宋体" w:hAnsi="宋体" w:cs="宋体"/>
                <w:i w:val="0"/>
                <w:iCs w:val="0"/>
                <w:color w:val="auto"/>
                <w:kern w:val="0"/>
                <w:sz w:val="21"/>
                <w:szCs w:val="21"/>
                <w:highlight w:val="none"/>
                <w:lang w:val="en-US" w:eastAsia="zh-CN"/>
              </w:rPr>
              <w:t>四</w:t>
            </w:r>
            <w:r>
              <w:rPr>
                <w:rFonts w:hint="eastAsia" w:ascii="宋体" w:hAnsi="宋体" w:eastAsia="宋体" w:cs="宋体"/>
                <w:i w:val="0"/>
                <w:iCs w:val="0"/>
                <w:color w:val="auto"/>
                <w:kern w:val="0"/>
                <w:sz w:val="21"/>
                <w:szCs w:val="21"/>
                <w:highlight w:val="none"/>
                <w:lang w:val="en-US" w:eastAsia="zh-CN"/>
              </w:rPr>
              <w:t>）保密要求：</w:t>
            </w:r>
          </w:p>
          <w:p w14:paraId="5CCB1F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1.本项目所有文档及本项目所接触的双方资料，未经采购人授权代表书面许可，不得向与项目无关的其他方泄漏任何技术文件或与项目有关的数据，中标人须严守资料中所涉秘密、妥善保管，不得遗失、转借、复印。</w:t>
            </w:r>
          </w:p>
          <w:p w14:paraId="048706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2.任何一方发现另一方的保密事项已经泄露或可能泄露时，应当立即采取补救措施，并及时通知另一方；任何一方造成的泄失密事件，须承担有关法律责任，并赔偿相应经济损失。</w:t>
            </w:r>
          </w:p>
          <w:p w14:paraId="294C6D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3.本项目保密期限为永久。</w:t>
            </w:r>
          </w:p>
          <w:p w14:paraId="77CE6A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4.本项目合同终止或解除后，本项目约定的所有保密条款依然独立有效。</w:t>
            </w:r>
          </w:p>
          <w:p w14:paraId="436009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i w:val="0"/>
                <w:iCs w:val="0"/>
                <w:color w:val="auto"/>
                <w:kern w:val="0"/>
                <w:sz w:val="21"/>
                <w:szCs w:val="21"/>
                <w:highlight w:val="none"/>
                <w:lang w:val="en-US" w:eastAsia="zh-CN"/>
              </w:rPr>
            </w:pPr>
          </w:p>
        </w:tc>
      </w:tr>
    </w:tbl>
    <w:p w14:paraId="374C6AD1">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403D65CB">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outlineLvl w:val="2"/>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四、技术要求</w:t>
      </w:r>
    </w:p>
    <w:p w14:paraId="066AA7F3">
      <w:pPr>
        <w:keepNext w:val="0"/>
        <w:keepLines w:val="0"/>
        <w:widowControl/>
        <w:suppressLineNumbers w:val="0"/>
        <w:spacing w:line="288" w:lineRule="auto"/>
        <w:jc w:val="left"/>
        <w:rPr>
          <w:rFonts w:hint="default" w:ascii="宋体" w:hAnsi="宋体" w:eastAsia="宋体" w:cs="宋体"/>
          <w:color w:val="auto"/>
          <w:sz w:val="21"/>
          <w:szCs w:val="21"/>
          <w:highlight w:val="none"/>
          <w:lang w:val="en-US"/>
        </w:rPr>
      </w:pPr>
      <w:r>
        <w:rPr>
          <w:rFonts w:hint="eastAsia" w:ascii="宋体" w:hAnsi="宋体" w:eastAsia="宋体" w:cs="宋体"/>
          <w:b/>
          <w:bCs/>
          <w:color w:val="auto"/>
          <w:kern w:val="0"/>
          <w:sz w:val="21"/>
          <w:szCs w:val="21"/>
          <w:highlight w:val="none"/>
          <w:lang w:val="en-US" w:eastAsia="zh-CN"/>
        </w:rPr>
        <w:t>（一）采购标的需实现的功能或者目标：</w:t>
      </w:r>
      <w:r>
        <w:rPr>
          <w:rFonts w:hint="eastAsia" w:ascii="宋体" w:hAnsi="宋体" w:eastAsia="宋体" w:cs="宋体"/>
          <w:color w:val="auto"/>
          <w:kern w:val="0"/>
          <w:sz w:val="21"/>
          <w:szCs w:val="21"/>
          <w:highlight w:val="none"/>
          <w:lang w:val="en-US" w:eastAsia="zh-CN"/>
        </w:rPr>
        <w:t>满足浙江交通职业技术学院廉政风险防控管理系统项目（二期）采购需求。</w:t>
      </w:r>
    </w:p>
    <w:p w14:paraId="59B6C995">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w:t>
      </w:r>
      <w:r>
        <w:rPr>
          <w:rFonts w:hint="eastAsia" w:ascii="宋体" w:hAnsi="宋体" w:eastAsia="宋体" w:cs="宋体"/>
          <w:b/>
          <w:bCs/>
          <w:i w:val="0"/>
          <w:iCs w:val="0"/>
          <w:color w:val="auto"/>
          <w:kern w:val="0"/>
          <w:sz w:val="21"/>
          <w:szCs w:val="21"/>
          <w:highlight w:val="none"/>
          <w:lang w:val="en-US" w:eastAsia="zh-CN"/>
        </w:rPr>
        <w:t>二）采购标的需执行的国家相关标准、行业标准、地方标准或者其他标准、规范：</w:t>
      </w:r>
      <w:r>
        <w:rPr>
          <w:rFonts w:hint="eastAsia" w:ascii="宋体" w:hAnsi="宋体" w:eastAsia="宋体" w:cs="宋体"/>
          <w:i w:val="0"/>
          <w:iCs w:val="0"/>
          <w:color w:val="auto"/>
          <w:kern w:val="0"/>
          <w:sz w:val="21"/>
          <w:szCs w:val="21"/>
          <w:highlight w:val="none"/>
          <w:lang w:val="en-US" w:eastAsia="zh-CN"/>
        </w:rPr>
        <w:t>如技术要求中未注明需执行的国家相关标准、行业标准、地方标准或者其他标准、规范的，执行最新标准、规范。</w:t>
      </w:r>
    </w:p>
    <w:p w14:paraId="0795DC5C">
      <w:pPr>
        <w:keepNext w:val="0"/>
        <w:keepLines w:val="0"/>
        <w:widowControl/>
        <w:suppressLineNumbers w:val="0"/>
        <w:spacing w:line="288" w:lineRule="auto"/>
        <w:jc w:val="left"/>
        <w:rPr>
          <w:rFonts w:hint="eastAsia" w:ascii="宋体" w:hAnsi="宋体" w:eastAsia="宋体" w:cs="宋体"/>
          <w:b/>
          <w:bCs/>
          <w:i w:val="0"/>
          <w:iCs w:val="0"/>
          <w:color w:val="auto"/>
          <w:kern w:val="0"/>
          <w:sz w:val="21"/>
          <w:szCs w:val="21"/>
          <w:highlight w:val="none"/>
          <w:lang w:val="en-US" w:eastAsia="zh-CN"/>
        </w:rPr>
      </w:pPr>
      <w:r>
        <w:rPr>
          <w:rFonts w:hint="eastAsia" w:ascii="宋体" w:hAnsi="宋体" w:eastAsia="宋体" w:cs="宋体"/>
          <w:b/>
          <w:bCs/>
          <w:i w:val="0"/>
          <w:iCs w:val="0"/>
          <w:color w:val="auto"/>
          <w:kern w:val="0"/>
          <w:sz w:val="21"/>
          <w:szCs w:val="21"/>
          <w:highlight w:val="none"/>
          <w:lang w:val="en-US" w:eastAsia="zh-CN"/>
        </w:rPr>
        <w:t>（三）采购标的需满足的技术要求（或服务内容及标准等）：</w:t>
      </w:r>
    </w:p>
    <w:p w14:paraId="76E3592D">
      <w:pPr>
        <w:pStyle w:val="5"/>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288" w:lineRule="auto"/>
        <w:ind w:left="425" w:leftChars="0" w:hanging="425" w:firstLineChars="0"/>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项目概述</w:t>
      </w:r>
    </w:p>
    <w:p w14:paraId="7867D6CA">
      <w:pPr>
        <w:pStyle w:val="6"/>
        <w:keepNext w:val="0"/>
        <w:keepLines w:val="0"/>
        <w:pageBreakBefore w:val="0"/>
        <w:widowControl w:val="0"/>
        <w:numPr>
          <w:ilvl w:val="1"/>
          <w:numId w:val="2"/>
        </w:numPr>
        <w:kinsoku/>
        <w:wordWrap/>
        <w:overflowPunct/>
        <w:topLinePunct w:val="0"/>
        <w:autoSpaceDE/>
        <w:autoSpaceDN/>
        <w:bidi w:val="0"/>
        <w:adjustRightInd/>
        <w:snapToGrid/>
        <w:spacing w:before="0" w:beforeAutospacing="0" w:after="0" w:afterAutospacing="0" w:line="288" w:lineRule="auto"/>
        <w:ind w:left="567" w:leftChars="0" w:hanging="567" w:firstLineChars="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建设目标</w:t>
      </w:r>
    </w:p>
    <w:p w14:paraId="03CCA08C">
      <w:pPr>
        <w:pStyle w:val="10"/>
        <w:rPr>
          <w:rFonts w:hint="eastAsia"/>
          <w:color w:val="auto"/>
          <w:highlight w:val="none"/>
        </w:rPr>
      </w:pPr>
      <w:r>
        <w:rPr>
          <w:rFonts w:hint="eastAsia"/>
          <w:color w:val="auto"/>
          <w:highlight w:val="none"/>
        </w:rPr>
        <w:t>通过对廉政风险防控管理系统（一期）建设成果进行升级，综合展示纪委监督工作总体情况，为决策分析提供支撑；实现重大事项报备的管理、监督和抽查等全过程风险跟踪管理；实现手机移动办公，包括风险清单及重大事项手机端审批办公；实现重点人员廉政风险画像。</w:t>
      </w:r>
    </w:p>
    <w:p w14:paraId="4BD9BE99">
      <w:pPr>
        <w:pStyle w:val="6"/>
        <w:keepNext w:val="0"/>
        <w:keepLines w:val="0"/>
        <w:pageBreakBefore w:val="0"/>
        <w:widowControl w:val="0"/>
        <w:numPr>
          <w:ilvl w:val="1"/>
          <w:numId w:val="2"/>
        </w:numPr>
        <w:kinsoku/>
        <w:wordWrap/>
        <w:overflowPunct/>
        <w:topLinePunct w:val="0"/>
        <w:autoSpaceDE/>
        <w:autoSpaceDN/>
        <w:bidi w:val="0"/>
        <w:adjustRightInd/>
        <w:snapToGrid/>
        <w:spacing w:before="0" w:beforeAutospacing="0" w:after="0" w:afterAutospacing="0" w:line="288" w:lineRule="auto"/>
        <w:ind w:left="567" w:leftChars="0" w:hanging="567" w:firstLineChars="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主要建设内容</w:t>
      </w:r>
    </w:p>
    <w:p w14:paraId="4C1F19A9">
      <w:pPr>
        <w:pStyle w:val="6"/>
        <w:keepNext w:val="0"/>
        <w:keepLines w:val="0"/>
        <w:pageBreakBefore w:val="0"/>
        <w:widowControl w:val="0"/>
        <w:numPr>
          <w:ilvl w:val="2"/>
          <w:numId w:val="2"/>
        </w:numPr>
        <w:kinsoku/>
        <w:wordWrap/>
        <w:overflowPunct/>
        <w:topLinePunct w:val="0"/>
        <w:autoSpaceDE/>
        <w:autoSpaceDN/>
        <w:bidi w:val="0"/>
        <w:adjustRightInd/>
        <w:snapToGrid/>
        <w:spacing w:before="0" w:beforeAutospacing="0" w:after="0" w:afterAutospacing="0" w:line="288" w:lineRule="auto"/>
        <w:ind w:left="709" w:leftChars="0" w:hanging="709" w:firstLineChars="0"/>
        <w:textAlignment w:val="auto"/>
        <w:outlineLvl w:val="3"/>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一期已建内容</w:t>
      </w:r>
    </w:p>
    <w:p w14:paraId="0DCA6B18">
      <w:pPr>
        <w:pStyle w:val="10"/>
        <w:rPr>
          <w:rFonts w:hint="eastAsia"/>
          <w:color w:val="auto"/>
          <w:highlight w:val="none"/>
        </w:rPr>
      </w:pPr>
      <w:r>
        <w:rPr>
          <w:rFonts w:hint="eastAsia"/>
          <w:color w:val="auto"/>
          <w:highlight w:val="none"/>
        </w:rPr>
        <w:t>（1）个人基本工作台开发。</w:t>
      </w:r>
    </w:p>
    <w:p w14:paraId="16DADE30">
      <w:pPr>
        <w:pStyle w:val="10"/>
        <w:rPr>
          <w:rFonts w:hint="eastAsia"/>
          <w:color w:val="auto"/>
          <w:highlight w:val="none"/>
        </w:rPr>
      </w:pPr>
      <w:r>
        <w:rPr>
          <w:rFonts w:hint="eastAsia"/>
          <w:color w:val="auto"/>
          <w:highlight w:val="none"/>
        </w:rPr>
        <w:t>（2）廉政风险防控分级管理及风险点全流程审批管理。</w:t>
      </w:r>
    </w:p>
    <w:p w14:paraId="2B2F0066">
      <w:pPr>
        <w:pStyle w:val="10"/>
        <w:rPr>
          <w:rFonts w:hint="eastAsia"/>
          <w:color w:val="auto"/>
          <w:highlight w:val="none"/>
        </w:rPr>
      </w:pPr>
      <w:r>
        <w:rPr>
          <w:rFonts w:hint="eastAsia"/>
          <w:color w:val="auto"/>
          <w:highlight w:val="none"/>
        </w:rPr>
        <w:t>（3）事项监督功能。针对学校钉钉中报备的重大事项对接到纪委系统中，并提供对这些事项关联风险，并添加监督记录功能。</w:t>
      </w:r>
    </w:p>
    <w:p w14:paraId="14543B68">
      <w:pPr>
        <w:pStyle w:val="10"/>
        <w:rPr>
          <w:rFonts w:hint="eastAsia"/>
          <w:color w:val="auto"/>
          <w:highlight w:val="none"/>
        </w:rPr>
      </w:pPr>
      <w:r>
        <w:rPr>
          <w:rFonts w:hint="eastAsia"/>
          <w:color w:val="auto"/>
          <w:highlight w:val="none"/>
        </w:rPr>
        <w:t>（4）风险预警分析。只要围绕风险点展开部门及人员风险点分析。</w:t>
      </w:r>
    </w:p>
    <w:p w14:paraId="4766F36F">
      <w:pPr>
        <w:pStyle w:val="10"/>
        <w:rPr>
          <w:rFonts w:hint="eastAsia"/>
          <w:color w:val="auto"/>
          <w:highlight w:val="none"/>
        </w:rPr>
      </w:pPr>
      <w:r>
        <w:rPr>
          <w:rFonts w:hint="eastAsia"/>
          <w:color w:val="auto"/>
          <w:highlight w:val="none"/>
        </w:rPr>
        <w:t>（5）其他OA对接及消息提醒对接。</w:t>
      </w:r>
    </w:p>
    <w:p w14:paraId="7D0B89F9">
      <w:pPr>
        <w:pStyle w:val="6"/>
        <w:keepNext w:val="0"/>
        <w:keepLines w:val="0"/>
        <w:pageBreakBefore w:val="0"/>
        <w:widowControl w:val="0"/>
        <w:numPr>
          <w:ilvl w:val="2"/>
          <w:numId w:val="2"/>
        </w:numPr>
        <w:kinsoku/>
        <w:wordWrap/>
        <w:overflowPunct/>
        <w:topLinePunct w:val="0"/>
        <w:autoSpaceDE/>
        <w:autoSpaceDN/>
        <w:bidi w:val="0"/>
        <w:adjustRightInd/>
        <w:snapToGrid/>
        <w:spacing w:before="0" w:beforeAutospacing="0" w:after="0" w:afterAutospacing="0" w:line="288" w:lineRule="auto"/>
        <w:ind w:left="709" w:leftChars="0" w:hanging="709" w:firstLineChars="0"/>
        <w:textAlignment w:val="auto"/>
        <w:outlineLvl w:val="3"/>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二期建设内容</w:t>
      </w:r>
    </w:p>
    <w:p w14:paraId="7414398E">
      <w:pPr>
        <w:pStyle w:val="10"/>
        <w:rPr>
          <w:rFonts w:hint="eastAsia"/>
          <w:color w:val="auto"/>
          <w:highlight w:val="none"/>
        </w:rPr>
      </w:pPr>
      <w:r>
        <w:rPr>
          <w:rFonts w:hint="eastAsia"/>
          <w:color w:val="auto"/>
          <w:highlight w:val="none"/>
        </w:rPr>
        <w:t>（1）纪委驾驶舱建设。综合展示纪委日常监督工作情况、廉政风险动态管理、重大事项监督报备、重大事项监督检查等板块内容，清晰展现纪委日常监督检查总体情况。</w:t>
      </w:r>
    </w:p>
    <w:p w14:paraId="65F62DCC">
      <w:pPr>
        <w:pStyle w:val="10"/>
        <w:rPr>
          <w:rFonts w:hint="eastAsia"/>
          <w:color w:val="auto"/>
          <w:highlight w:val="none"/>
        </w:rPr>
      </w:pPr>
      <w:r>
        <w:rPr>
          <w:rFonts w:hint="eastAsia"/>
          <w:color w:val="auto"/>
          <w:highlight w:val="none"/>
        </w:rPr>
        <w:t>（2）重大事项审批子系统建设。主要是实现两大功能。功能一是将现有钉钉中审批报备的事项全部在纪委系统中实现重大事项报备填报、审批等全流程审批管理。功能二是对部分重大项目等采用一件事的方式，实现一件事中各事项环节全过程报备、全过程监督，根据事前、事中、事后的重要时间节点，对每个重大事项进行全过程跟踪监督，实时掌握重大事项进展情况、监督情况、整改落实情况。</w:t>
      </w:r>
    </w:p>
    <w:p w14:paraId="162327DF">
      <w:pPr>
        <w:pStyle w:val="10"/>
        <w:rPr>
          <w:rFonts w:hint="eastAsia"/>
          <w:color w:val="auto"/>
          <w:highlight w:val="none"/>
        </w:rPr>
      </w:pPr>
      <w:r>
        <w:rPr>
          <w:rFonts w:hint="eastAsia"/>
          <w:color w:val="auto"/>
          <w:highlight w:val="none"/>
        </w:rPr>
        <w:t>（3）数据采集和综合分析。实时采集合同、财务报销、出差、公务出行等数据，对数据进行综合分析，并实现重点人员廉政画像。</w:t>
      </w:r>
    </w:p>
    <w:p w14:paraId="4BAEBE2C">
      <w:pPr>
        <w:pStyle w:val="10"/>
        <w:rPr>
          <w:rFonts w:hint="eastAsia"/>
          <w:color w:val="auto"/>
          <w:highlight w:val="none"/>
        </w:rPr>
      </w:pPr>
      <w:r>
        <w:rPr>
          <w:rFonts w:hint="eastAsia"/>
          <w:color w:val="auto"/>
          <w:highlight w:val="none"/>
        </w:rPr>
        <w:t>（4）手机端移动办公。将重大事项报备审批、廉政风险排查审批等实行手机移动办公，提高工作效率。</w:t>
      </w:r>
    </w:p>
    <w:p w14:paraId="36AE7C3B">
      <w:pPr>
        <w:pStyle w:val="10"/>
        <w:rPr>
          <w:rFonts w:hint="eastAsia"/>
          <w:color w:val="auto"/>
          <w:highlight w:val="none"/>
        </w:rPr>
      </w:pPr>
      <w:r>
        <w:rPr>
          <w:rFonts w:hint="eastAsia"/>
          <w:color w:val="auto"/>
          <w:highlight w:val="none"/>
        </w:rPr>
        <w:t>（5）升级一期系统功能。纪检工作简报数据一键生成，对重大事项监督开展、日常廉政谈话、现场监督检查等情况进行汇总。对年度廉政风险排查情况进行图表、数据分析，综合形成廉政风险排查报告数据等。</w:t>
      </w:r>
    </w:p>
    <w:p w14:paraId="3B494E2C">
      <w:pPr>
        <w:pStyle w:val="10"/>
        <w:rPr>
          <w:rFonts w:hint="default"/>
          <w:color w:val="auto"/>
          <w:highlight w:val="none"/>
          <w:lang w:val="en-US" w:eastAsia="zh-CN"/>
        </w:rPr>
      </w:pPr>
      <w:r>
        <w:rPr>
          <w:rFonts w:hint="eastAsia"/>
          <w:color w:val="auto"/>
          <w:highlight w:val="none"/>
        </w:rPr>
        <w:t>（6）其他重大项目数据对接。根据实际情况，对正在建设的实训室项目管理系统、信息化项目管理系统相关数据进行采集，便于后续数据分析。</w:t>
      </w:r>
    </w:p>
    <w:p w14:paraId="6725699E">
      <w:pPr>
        <w:pStyle w:val="5"/>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288" w:lineRule="auto"/>
        <w:ind w:left="425" w:leftChars="0" w:hanging="425" w:firstLineChars="0"/>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技术方案</w:t>
      </w:r>
    </w:p>
    <w:p w14:paraId="29FAACF2">
      <w:pPr>
        <w:pStyle w:val="6"/>
        <w:keepNext w:val="0"/>
        <w:keepLines w:val="0"/>
        <w:pageBreakBefore w:val="0"/>
        <w:widowControl w:val="0"/>
        <w:numPr>
          <w:ilvl w:val="1"/>
          <w:numId w:val="2"/>
        </w:numPr>
        <w:kinsoku/>
        <w:wordWrap/>
        <w:overflowPunct/>
        <w:topLinePunct w:val="0"/>
        <w:autoSpaceDE/>
        <w:autoSpaceDN/>
        <w:bidi w:val="0"/>
        <w:adjustRightInd/>
        <w:snapToGrid/>
        <w:spacing w:before="0" w:beforeAutospacing="0" w:after="0" w:afterAutospacing="0" w:line="288" w:lineRule="auto"/>
        <w:ind w:left="567" w:leftChars="0" w:hanging="567" w:firstLineChars="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总体思路</w:t>
      </w:r>
    </w:p>
    <w:p w14:paraId="06CAD3C4">
      <w:pPr>
        <w:pStyle w:val="7"/>
        <w:keepNext w:val="0"/>
        <w:keepLines w:val="0"/>
        <w:pageBreakBefore w:val="0"/>
        <w:widowControl w:val="0"/>
        <w:numPr>
          <w:ilvl w:val="2"/>
          <w:numId w:val="2"/>
        </w:numPr>
        <w:kinsoku/>
        <w:wordWrap/>
        <w:overflowPunct/>
        <w:topLinePunct w:val="0"/>
        <w:autoSpaceDE/>
        <w:autoSpaceDN/>
        <w:bidi w:val="0"/>
        <w:adjustRightInd/>
        <w:snapToGrid/>
        <w:spacing w:before="0" w:beforeAutospacing="0" w:after="0" w:afterAutospacing="0" w:line="288" w:lineRule="auto"/>
        <w:ind w:left="709" w:leftChars="0" w:hanging="709" w:firstLineChars="0"/>
        <w:textAlignment w:val="auto"/>
        <w:outlineLvl w:val="4"/>
        <w:rPr>
          <w:rFonts w:hint="eastAsia" w:ascii="宋体" w:hAnsi="宋体" w:eastAsia="宋体" w:cs="宋体"/>
          <w:color w:val="auto"/>
          <w:sz w:val="21"/>
          <w:szCs w:val="21"/>
          <w:highlight w:val="none"/>
        </w:rPr>
      </w:pPr>
      <w:bookmarkStart w:id="0" w:name="_Toc31507"/>
      <w:bookmarkStart w:id="1" w:name="_Toc5908"/>
      <w:bookmarkStart w:id="2" w:name="_Toc15520"/>
      <w:bookmarkStart w:id="3" w:name="_Toc17046"/>
      <w:r>
        <w:rPr>
          <w:rFonts w:hint="eastAsia" w:ascii="宋体" w:hAnsi="宋体" w:eastAsia="宋体" w:cs="宋体"/>
          <w:color w:val="auto"/>
          <w:sz w:val="21"/>
          <w:szCs w:val="21"/>
          <w:highlight w:val="none"/>
        </w:rPr>
        <w:t>建设原则</w:t>
      </w:r>
      <w:bookmarkEnd w:id="0"/>
      <w:bookmarkEnd w:id="1"/>
      <w:bookmarkEnd w:id="2"/>
      <w:bookmarkEnd w:id="3"/>
    </w:p>
    <w:p w14:paraId="08A26A5B">
      <w:pPr>
        <w:pStyle w:val="10"/>
        <w:pageBreakBefore w:val="0"/>
        <w:kinsoku/>
        <w:wordWrap/>
        <w:overflowPunct/>
        <w:topLinePunct w:val="0"/>
        <w:autoSpaceDE/>
        <w:autoSpaceDN/>
        <w:bidi w:val="0"/>
        <w:adjustRightInd/>
        <w:snapToGrid/>
        <w:spacing w:beforeAutospacing="0" w:after="0" w:after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系统遵循以下技术方面的原则：</w:t>
      </w:r>
    </w:p>
    <w:p w14:paraId="2B27FD29">
      <w:pPr>
        <w:pStyle w:val="10"/>
        <w:pageBreakBefore w:val="0"/>
        <w:kinsoku/>
        <w:wordWrap/>
        <w:overflowPunct/>
        <w:topLinePunct w:val="0"/>
        <w:autoSpaceDE/>
        <w:autoSpaceDN/>
        <w:bidi w:val="0"/>
        <w:adjustRightInd/>
        <w:snapToGrid/>
        <w:spacing w:beforeAutospacing="0" w:after="0" w:afterAutospacing="0" w:line="288"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（1）安全性。系统须严格、缜密、可靠的安全管理机制。</w:t>
      </w:r>
    </w:p>
    <w:p w14:paraId="4A9A753C">
      <w:pPr>
        <w:pStyle w:val="10"/>
        <w:pageBreakBefore w:val="0"/>
        <w:kinsoku/>
        <w:wordWrap/>
        <w:overflowPunct/>
        <w:topLinePunct w:val="0"/>
        <w:autoSpaceDE/>
        <w:autoSpaceDN/>
        <w:bidi w:val="0"/>
        <w:adjustRightInd/>
        <w:snapToGrid/>
        <w:spacing w:beforeAutospacing="0" w:after="0" w:afterAutospacing="0" w:line="288"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（2）先进性。系统应采用先进、成熟的开发平台，使系统各项功能得到可靠执行。</w:t>
      </w:r>
    </w:p>
    <w:p w14:paraId="0B272ADD">
      <w:pPr>
        <w:pStyle w:val="10"/>
        <w:pageBreakBefore w:val="0"/>
        <w:kinsoku/>
        <w:wordWrap/>
        <w:overflowPunct/>
        <w:topLinePunct w:val="0"/>
        <w:autoSpaceDE/>
        <w:autoSpaceDN/>
        <w:bidi w:val="0"/>
        <w:adjustRightInd/>
        <w:snapToGrid/>
        <w:spacing w:beforeAutospacing="0" w:after="0" w:afterAutospacing="0" w:line="288"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（3）支持定制化。协助梳理业务流程，共创业务场景开发，根据学校现行制度开展定制化开发，并承诺对产品提供持续升级服务。</w:t>
      </w:r>
    </w:p>
    <w:p w14:paraId="34213C7C">
      <w:pPr>
        <w:pStyle w:val="10"/>
        <w:pageBreakBefore w:val="0"/>
        <w:kinsoku/>
        <w:wordWrap/>
        <w:overflowPunct/>
        <w:topLinePunct w:val="0"/>
        <w:autoSpaceDE/>
        <w:autoSpaceDN/>
        <w:bidi w:val="0"/>
        <w:adjustRightInd/>
        <w:snapToGrid/>
        <w:spacing w:beforeAutospacing="0" w:after="0" w:afterAutospacing="0" w:line="288"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（4）易用性。系统应提供友好的用户界面，人性化的设计，简单易用，便于操作。</w:t>
      </w:r>
    </w:p>
    <w:p w14:paraId="12CC50AC">
      <w:pPr>
        <w:pStyle w:val="10"/>
        <w:pageBreakBefore w:val="0"/>
        <w:kinsoku/>
        <w:wordWrap/>
        <w:overflowPunct/>
        <w:topLinePunct w:val="0"/>
        <w:autoSpaceDE/>
        <w:autoSpaceDN/>
        <w:bidi w:val="0"/>
        <w:adjustRightInd/>
        <w:snapToGrid/>
        <w:spacing w:beforeAutospacing="0" w:after="0" w:afterAutospacing="0" w:line="288"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（5）可扩展性及易升级性。为适应应用不断拓展的需要，应用系统的软硬件环境具有良好的平滑可扩充性。支撑新增应用的快速建立。</w:t>
      </w:r>
    </w:p>
    <w:p w14:paraId="5FA84379">
      <w:pPr>
        <w:pStyle w:val="10"/>
        <w:pageBreakBefore w:val="0"/>
        <w:kinsoku/>
        <w:wordWrap/>
        <w:overflowPunct/>
        <w:topLinePunct w:val="0"/>
        <w:autoSpaceDE/>
        <w:autoSpaceDN/>
        <w:bidi w:val="0"/>
        <w:adjustRightInd/>
        <w:snapToGrid/>
        <w:spacing w:beforeAutospacing="0" w:after="0" w:afterAutospacing="0" w:line="288"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可维护性。系统应提供可视化的管理工具，允许通过多种手段，快捷管理、配置系统运行状况，为系统正常运行提供技术保障。</w:t>
      </w:r>
    </w:p>
    <w:p w14:paraId="722C730A">
      <w:pPr>
        <w:pStyle w:val="7"/>
        <w:keepNext w:val="0"/>
        <w:keepLines w:val="0"/>
        <w:pageBreakBefore w:val="0"/>
        <w:widowControl w:val="0"/>
        <w:numPr>
          <w:ilvl w:val="2"/>
          <w:numId w:val="2"/>
        </w:numPr>
        <w:kinsoku/>
        <w:wordWrap/>
        <w:overflowPunct/>
        <w:topLinePunct w:val="0"/>
        <w:autoSpaceDE/>
        <w:autoSpaceDN/>
        <w:bidi w:val="0"/>
        <w:adjustRightInd/>
        <w:snapToGrid/>
        <w:spacing w:before="0" w:beforeAutospacing="0" w:after="0" w:afterAutospacing="0" w:line="288" w:lineRule="auto"/>
        <w:ind w:left="709" w:leftChars="0" w:hanging="709" w:firstLineChars="0"/>
        <w:jc w:val="left"/>
        <w:textAlignment w:val="auto"/>
        <w:outlineLvl w:val="4"/>
        <w:rPr>
          <w:rFonts w:hint="eastAsia" w:ascii="宋体" w:hAnsi="宋体" w:eastAsia="宋体" w:cs="宋体"/>
          <w:color w:val="auto"/>
          <w:sz w:val="21"/>
          <w:szCs w:val="21"/>
          <w:highlight w:val="none"/>
        </w:rPr>
      </w:pPr>
      <w:bookmarkStart w:id="4" w:name="_Toc31920"/>
      <w:bookmarkStart w:id="5" w:name="_Toc28612"/>
      <w:bookmarkStart w:id="6" w:name="_Toc22964"/>
      <w:bookmarkStart w:id="7" w:name="_Toc23835"/>
      <w:r>
        <w:rPr>
          <w:rFonts w:hint="eastAsia" w:ascii="宋体" w:hAnsi="宋体" w:eastAsia="宋体" w:cs="宋体"/>
          <w:color w:val="auto"/>
          <w:sz w:val="21"/>
          <w:szCs w:val="21"/>
          <w:highlight w:val="none"/>
        </w:rPr>
        <w:t>部署方式</w:t>
      </w:r>
      <w:bookmarkEnd w:id="4"/>
      <w:bookmarkEnd w:id="5"/>
      <w:bookmarkEnd w:id="6"/>
      <w:bookmarkEnd w:id="7"/>
    </w:p>
    <w:p w14:paraId="14FBB5C5">
      <w:pPr>
        <w:pageBreakBefore w:val="0"/>
        <w:kinsoku/>
        <w:wordWrap/>
        <w:overflowPunct/>
        <w:topLinePunct w:val="0"/>
        <w:autoSpaceDE/>
        <w:autoSpaceDN/>
        <w:bidi w:val="0"/>
        <w:adjustRightInd/>
        <w:snapToGrid/>
        <w:spacing w:beforeAutospacing="0" w:after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本项目部署在学校内网中。</w:t>
      </w:r>
    </w:p>
    <w:p w14:paraId="31CCD810">
      <w:pPr>
        <w:pStyle w:val="6"/>
        <w:keepNext w:val="0"/>
        <w:keepLines w:val="0"/>
        <w:pageBreakBefore w:val="0"/>
        <w:widowControl w:val="0"/>
        <w:numPr>
          <w:ilvl w:val="1"/>
          <w:numId w:val="2"/>
        </w:numPr>
        <w:kinsoku/>
        <w:wordWrap/>
        <w:overflowPunct/>
        <w:topLinePunct w:val="0"/>
        <w:autoSpaceDE/>
        <w:autoSpaceDN/>
        <w:bidi w:val="0"/>
        <w:adjustRightInd/>
        <w:snapToGrid/>
        <w:spacing w:before="0" w:beforeAutospacing="0" w:after="0" w:afterAutospacing="0" w:line="288" w:lineRule="auto"/>
        <w:ind w:left="567" w:leftChars="0" w:hanging="567" w:firstLineChars="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纪委应用场景</w:t>
      </w:r>
      <w:r>
        <w:rPr>
          <w:rFonts w:hint="eastAsia" w:ascii="宋体" w:hAnsi="宋体" w:eastAsia="宋体" w:cs="宋体"/>
          <w:color w:val="auto"/>
          <w:sz w:val="21"/>
          <w:szCs w:val="21"/>
          <w:highlight w:val="none"/>
        </w:rPr>
        <w:t>系统设计</w:t>
      </w:r>
    </w:p>
    <w:p w14:paraId="3F1155C1">
      <w:pPr>
        <w:pStyle w:val="7"/>
        <w:keepNext w:val="0"/>
        <w:keepLines w:val="0"/>
        <w:pageBreakBefore w:val="0"/>
        <w:widowControl w:val="0"/>
        <w:numPr>
          <w:ilvl w:val="2"/>
          <w:numId w:val="2"/>
        </w:numPr>
        <w:kinsoku/>
        <w:wordWrap/>
        <w:overflowPunct/>
        <w:topLinePunct w:val="0"/>
        <w:autoSpaceDE/>
        <w:autoSpaceDN/>
        <w:bidi w:val="0"/>
        <w:adjustRightInd/>
        <w:snapToGrid/>
        <w:spacing w:before="0" w:beforeAutospacing="0" w:after="0" w:afterAutospacing="0" w:line="288" w:lineRule="auto"/>
        <w:ind w:left="709" w:leftChars="0" w:hanging="709" w:firstLineChars="0"/>
        <w:jc w:val="left"/>
        <w:textAlignment w:val="auto"/>
        <w:outlineLvl w:val="4"/>
        <w:rPr>
          <w:rFonts w:hint="eastAsia" w:ascii="宋体" w:hAnsi="宋体" w:eastAsia="宋体" w:cs="宋体"/>
          <w:color w:val="auto"/>
          <w:sz w:val="21"/>
          <w:szCs w:val="21"/>
          <w:highlight w:val="none"/>
        </w:rPr>
      </w:pPr>
      <w:bookmarkStart w:id="8" w:name="_Toc20058"/>
      <w:bookmarkStart w:id="9" w:name="_Toc26081"/>
      <w:r>
        <w:rPr>
          <w:rFonts w:hint="eastAsia" w:ascii="宋体" w:hAnsi="宋体" w:eastAsia="宋体" w:cs="宋体"/>
          <w:color w:val="auto"/>
          <w:sz w:val="21"/>
          <w:szCs w:val="21"/>
          <w:highlight w:val="none"/>
          <w:lang w:val="en-US" w:eastAsia="zh-CN"/>
        </w:rPr>
        <w:t>纪委</w:t>
      </w:r>
      <w:r>
        <w:rPr>
          <w:rFonts w:hint="eastAsia" w:ascii="宋体" w:hAnsi="宋体" w:eastAsia="宋体" w:cs="宋体"/>
          <w:color w:val="auto"/>
          <w:sz w:val="21"/>
          <w:szCs w:val="21"/>
          <w:highlight w:val="none"/>
        </w:rPr>
        <w:t>驾驶舱</w:t>
      </w:r>
      <w:bookmarkEnd w:id="8"/>
      <w:bookmarkEnd w:id="9"/>
      <w:r>
        <w:rPr>
          <w:rFonts w:hint="eastAsia"/>
          <w:color w:val="auto"/>
          <w:highlight w:val="none"/>
          <w:lang w:val="en-US" w:eastAsia="zh-CN"/>
        </w:rPr>
        <w:t>【演示内容】</w:t>
      </w:r>
    </w:p>
    <w:p w14:paraId="053B141C">
      <w:pPr>
        <w:pageBreakBefore w:val="0"/>
        <w:kinsoku/>
        <w:wordWrap/>
        <w:overflowPunct/>
        <w:topLinePunct w:val="0"/>
        <w:autoSpaceDE/>
        <w:autoSpaceDN/>
        <w:bidi w:val="0"/>
        <w:adjustRightInd/>
        <w:snapToGrid/>
        <w:spacing w:beforeAutospacing="0" w:after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综合展示纪委日常监督工作情况</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廉政风险、重大事项等板块</w:t>
      </w:r>
      <w:r>
        <w:rPr>
          <w:rFonts w:hint="eastAsia" w:ascii="宋体" w:hAnsi="宋体" w:eastAsia="宋体" w:cs="宋体"/>
          <w:color w:val="auto"/>
          <w:sz w:val="21"/>
          <w:szCs w:val="21"/>
          <w:highlight w:val="none"/>
        </w:rPr>
        <w:t>。</w:t>
      </w:r>
    </w:p>
    <w:p w14:paraId="2AFF0687">
      <w:pPr>
        <w:pStyle w:val="10"/>
        <w:pageBreakBefore w:val="0"/>
        <w:numPr>
          <w:ilvl w:val="0"/>
          <w:numId w:val="3"/>
        </w:numPr>
        <w:kinsoku/>
        <w:wordWrap/>
        <w:overflowPunct/>
        <w:topLinePunct w:val="0"/>
        <w:autoSpaceDE/>
        <w:autoSpaceDN/>
        <w:bidi w:val="0"/>
        <w:adjustRightInd/>
        <w:snapToGrid/>
        <w:spacing w:beforeAutospacing="0" w:after="0" w:afterAutospacing="0" w:line="288"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纪委日常监督工作情况</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重点展示日常监督抽查工作统计。</w:t>
      </w:r>
    </w:p>
    <w:p w14:paraId="0C1AD5E2">
      <w:pPr>
        <w:pStyle w:val="10"/>
        <w:pageBreakBefore w:val="0"/>
        <w:numPr>
          <w:ilvl w:val="0"/>
          <w:numId w:val="3"/>
        </w:numPr>
        <w:kinsoku/>
        <w:wordWrap/>
        <w:overflowPunct/>
        <w:topLinePunct w:val="0"/>
        <w:autoSpaceDE/>
        <w:autoSpaceDN/>
        <w:bidi w:val="0"/>
        <w:adjustRightInd/>
        <w:snapToGrid/>
        <w:spacing w:beforeAutospacing="0" w:after="0" w:afterAutospacing="0"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廉政风险。重点展示各类风险点情况。</w:t>
      </w:r>
    </w:p>
    <w:p w14:paraId="7E598657">
      <w:pPr>
        <w:pStyle w:val="10"/>
        <w:pageBreakBefore w:val="0"/>
        <w:numPr>
          <w:ilvl w:val="0"/>
          <w:numId w:val="3"/>
        </w:numPr>
        <w:kinsoku/>
        <w:wordWrap/>
        <w:overflowPunct/>
        <w:topLinePunct w:val="0"/>
        <w:autoSpaceDE/>
        <w:autoSpaceDN/>
        <w:bidi w:val="0"/>
        <w:adjustRightInd/>
        <w:snapToGrid/>
        <w:spacing w:beforeAutospacing="0" w:after="0" w:afterAutospacing="0"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重大事项。重点展示重大事项报备、监督检查等情况。</w:t>
      </w:r>
    </w:p>
    <w:p w14:paraId="47DCC5F1">
      <w:pPr>
        <w:pStyle w:val="7"/>
        <w:keepNext w:val="0"/>
        <w:keepLines w:val="0"/>
        <w:pageBreakBefore w:val="0"/>
        <w:widowControl w:val="0"/>
        <w:numPr>
          <w:ilvl w:val="2"/>
          <w:numId w:val="2"/>
        </w:numPr>
        <w:kinsoku/>
        <w:wordWrap/>
        <w:overflowPunct/>
        <w:topLinePunct w:val="0"/>
        <w:autoSpaceDE/>
        <w:autoSpaceDN/>
        <w:bidi w:val="0"/>
        <w:adjustRightInd/>
        <w:snapToGrid/>
        <w:spacing w:before="0" w:beforeAutospacing="0" w:after="0" w:afterAutospacing="0" w:line="288" w:lineRule="auto"/>
        <w:ind w:left="709" w:leftChars="0" w:hanging="709" w:firstLineChars="0"/>
        <w:jc w:val="left"/>
        <w:textAlignment w:val="auto"/>
        <w:outlineLvl w:val="4"/>
        <w:rPr>
          <w:rFonts w:hint="eastAsia" w:ascii="宋体" w:hAnsi="宋体" w:eastAsia="宋体" w:cs="宋体"/>
          <w:color w:val="auto"/>
          <w:sz w:val="21"/>
          <w:szCs w:val="21"/>
          <w:highlight w:val="none"/>
        </w:rPr>
      </w:pPr>
      <w:bookmarkStart w:id="10" w:name="_Toc23103"/>
      <w:bookmarkStart w:id="11" w:name="_Toc26288"/>
      <w:r>
        <w:rPr>
          <w:rFonts w:hint="eastAsia" w:ascii="宋体" w:hAnsi="宋体" w:eastAsia="宋体" w:cs="宋体"/>
          <w:color w:val="auto"/>
          <w:sz w:val="21"/>
          <w:szCs w:val="21"/>
          <w:highlight w:val="none"/>
          <w:lang w:val="en-US" w:eastAsia="zh-CN"/>
        </w:rPr>
        <w:t>重大事项管理模块</w:t>
      </w:r>
      <w:bookmarkEnd w:id="10"/>
      <w:bookmarkEnd w:id="11"/>
      <w:r>
        <w:rPr>
          <w:rFonts w:hint="eastAsia"/>
          <w:color w:val="auto"/>
          <w:highlight w:val="none"/>
          <w:lang w:val="en-US" w:eastAsia="zh-CN"/>
        </w:rPr>
        <w:t>【演示内容】</w:t>
      </w:r>
    </w:p>
    <w:p w14:paraId="6198CC6D">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（1）重大事项审批子系统（全校）</w:t>
      </w:r>
    </w:p>
    <w:p w14:paraId="03BE8E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①重大事项填报。根据重大事项报备要素和填报要求填写重大事项。</w:t>
      </w:r>
    </w:p>
    <w:p w14:paraId="2254DA8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②重大事项申请。业务部门填报重大事项，并上传附件后提交处室领导、分管领导、纪委部门等审核。申请的时候需要填写项目名称或者从项目库中选择项目。</w:t>
      </w:r>
    </w:p>
    <w:p w14:paraId="1382CA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③重大事项审批。处室领导、分管领导或纪委部门对提交事项进行审批，并反馈审批意见等。</w:t>
      </w:r>
    </w:p>
    <w:p w14:paraId="76D914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④重大事项待办。查看个人待审批的重大事项清单以及当前流转情况等。</w:t>
      </w:r>
    </w:p>
    <w:p w14:paraId="42B29C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⑤重大事项已办。查看个人已办的重大事项清单以及当前流转情况等。</w:t>
      </w:r>
    </w:p>
    <w:p w14:paraId="600D79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⑥我的重大事项。查看个人提交的重大事项。</w:t>
      </w:r>
    </w:p>
    <w:p w14:paraId="5674F54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⑦我的草稿箱。重大事项填报后未提交申请的，可以暂存到草稿箱中，下次可以发起申请。</w:t>
      </w:r>
    </w:p>
    <w:p w14:paraId="336815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⑧重大事项跟踪。实现对所有重大事项流转过程的跟踪查询。</w:t>
      </w:r>
    </w:p>
    <w:p w14:paraId="659396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⑨报备清单管理。对所有报备事项清单进行管理，方便后续报备事项填报和更新，设置报备条件及要求。</w:t>
      </w:r>
    </w:p>
    <w:p w14:paraId="086728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重大项目采用一件事的方式，实现部分重大项目中重要事项环节实现全过程报备、全过程监督。纪委端确定需要全过程跟踪的重大项目及重要报备环节，部门端根据全过程跟踪要求，各重要环节上传关键资料，纪委端实时掌握重大事项进展情况，并发布监督功能(监督功能可以复用一期重大事项监督模块)。</w:t>
      </w:r>
    </w:p>
    <w:p w14:paraId="0F549AAD">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（2）项目库管理</w:t>
      </w:r>
    </w:p>
    <w:p w14:paraId="59490F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①项目分类。根据重大事项报备清单进行项目分类，对项目类重大事项进行分类。</w:t>
      </w:r>
    </w:p>
    <w:p w14:paraId="421107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②项目管理。在重大事项申请的时候填写项目名称，项目名称就自动生成到项目库，后续相同项目重大事项变更或后续事项申请等，都可以选择同一个项目。</w:t>
      </w:r>
    </w:p>
    <w:p w14:paraId="5262FC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③项目统计。从项目维度统计所有项目，并可以通过该项目查看项目关联的所有相关的事项列表。</w:t>
      </w:r>
    </w:p>
    <w:p w14:paraId="7140CD94">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（3）工作流引擎</w:t>
      </w:r>
    </w:p>
    <w:p w14:paraId="443C72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0"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工作流开发。需要引入工作流引擎对各类审批事项进行开发，比如重大事项申报审批等流程支撑。</w:t>
      </w:r>
    </w:p>
    <w:p w14:paraId="27F89423">
      <w:pPr>
        <w:pStyle w:val="7"/>
        <w:keepNext w:val="0"/>
        <w:keepLines w:val="0"/>
        <w:pageBreakBefore w:val="0"/>
        <w:widowControl w:val="0"/>
        <w:numPr>
          <w:ilvl w:val="2"/>
          <w:numId w:val="2"/>
        </w:numPr>
        <w:kinsoku/>
        <w:wordWrap/>
        <w:overflowPunct/>
        <w:topLinePunct w:val="0"/>
        <w:autoSpaceDE/>
        <w:autoSpaceDN/>
        <w:bidi w:val="0"/>
        <w:adjustRightInd/>
        <w:snapToGrid/>
        <w:spacing w:before="0" w:beforeAutospacing="0" w:after="0" w:afterAutospacing="0" w:line="288" w:lineRule="auto"/>
        <w:ind w:left="709" w:leftChars="0" w:hanging="709" w:firstLineChars="0"/>
        <w:jc w:val="left"/>
        <w:textAlignment w:val="auto"/>
        <w:outlineLvl w:val="4"/>
        <w:rPr>
          <w:rFonts w:hint="eastAsia" w:ascii="宋体" w:hAnsi="宋体" w:eastAsia="宋体" w:cs="宋体"/>
          <w:color w:val="auto"/>
          <w:sz w:val="21"/>
          <w:szCs w:val="21"/>
          <w:highlight w:val="none"/>
        </w:rPr>
      </w:pPr>
      <w:bookmarkStart w:id="12" w:name="_Toc13963"/>
      <w:bookmarkStart w:id="13" w:name="_Toc17073"/>
      <w:r>
        <w:rPr>
          <w:rFonts w:hint="eastAsia" w:ascii="宋体" w:hAnsi="宋体" w:eastAsia="宋体" w:cs="宋体"/>
          <w:color w:val="auto"/>
          <w:sz w:val="21"/>
          <w:szCs w:val="21"/>
          <w:highlight w:val="none"/>
          <w:lang w:val="en-US" w:eastAsia="zh-CN"/>
        </w:rPr>
        <w:t>数据采集及风险分析</w:t>
      </w:r>
      <w:bookmarkEnd w:id="12"/>
      <w:bookmarkEnd w:id="13"/>
    </w:p>
    <w:p w14:paraId="583606C4">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（1）合同对接与分析</w:t>
      </w:r>
    </w:p>
    <w:p w14:paraId="609B8C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①合同模块对接。涉及到OA所有经济合同数据进行采集，数据同步到系统中。</w:t>
      </w:r>
    </w:p>
    <w:p w14:paraId="5BEEE5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②合同信息查询。可以查询采集后的合同信息，根据时间、人员、金额等多个维度分析。</w:t>
      </w:r>
    </w:p>
    <w:p w14:paraId="7801A9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③合同关联人员。将合同数据关联到系统高风险人员模块中，可以查看高风险人员合同审批参与情况以及合同数量和金额等。</w:t>
      </w:r>
    </w:p>
    <w:p w14:paraId="3C1A23D0">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（2）出差对接与分析</w:t>
      </w:r>
    </w:p>
    <w:p w14:paraId="1A8A50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①出差模块对接。涉及到OA所有出差数据进行采集，数据同步到系统中。</w:t>
      </w:r>
    </w:p>
    <w:p w14:paraId="110AE3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②出差信息查询。可以查询采集后的出差信息，根据时间、人员等多个维度分析。</w:t>
      </w:r>
    </w:p>
    <w:p w14:paraId="4B9A40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③出差关联人员。将出差数据关联到系统高风险人员模块中，可以查看高风险人员出差情况。</w:t>
      </w:r>
    </w:p>
    <w:p w14:paraId="6C2EB0A5">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（3）公务出行对接与分析</w:t>
      </w:r>
    </w:p>
    <w:p w14:paraId="5C94E1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①公务出行对接。涉及到OA所有公务出行数据进行采集，数据同步到系统中。</w:t>
      </w:r>
    </w:p>
    <w:p w14:paraId="17C5C7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②公务出行查询。可以查询采集后的公务出行，根据时间、人员等多个维度分析。</w:t>
      </w:r>
    </w:p>
    <w:p w14:paraId="319AD3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③公务出行关联人员。将数据关联到系统高风险人员模块中，可以查看高风险人员公务出行情况。</w:t>
      </w:r>
    </w:p>
    <w:p w14:paraId="054548AE">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（4）车辆维修对接与分析</w:t>
      </w:r>
    </w:p>
    <w:p w14:paraId="712856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①车辆维修对接。涉及到OA所有车辆维修数据进行采集，数据同步到系统中。</w:t>
      </w:r>
    </w:p>
    <w:p w14:paraId="776207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②车辆维修查询。可以查询采集后的车辆维修，根据时间、人员等多个维度分析。</w:t>
      </w:r>
    </w:p>
    <w:p w14:paraId="33206B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③车辆维修关联人员。将数据关联到系统高风险人员模块中，可以查看高风险人员车辆维修情况。</w:t>
      </w:r>
    </w:p>
    <w:p w14:paraId="4A021916">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（5）租车申请对接与分析</w:t>
      </w:r>
    </w:p>
    <w:p w14:paraId="03C424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①租车申请对接。涉及到OA所有租车申请数据进行采集，数据同步到系统中。</w:t>
      </w:r>
    </w:p>
    <w:p w14:paraId="128249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②租车申请查询。可以查询采集后的租车申请，根据时间、人员等多个维度分析。</w:t>
      </w:r>
    </w:p>
    <w:p w14:paraId="2CFF24D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③租车申请关联人员。将数据关联到系统高风险人员模块中，可以查看高风险人员租车申请情况。</w:t>
      </w:r>
    </w:p>
    <w:p w14:paraId="743B9D39">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（6）公车使用申请对接与分析</w:t>
      </w:r>
    </w:p>
    <w:p w14:paraId="65FA5B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①公车使用申请对接。涉及到OA所有业务用车申请数据进行采集，数据同步到系统中。</w:t>
      </w:r>
    </w:p>
    <w:p w14:paraId="211837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②公车使用申请查询。可以查询采集后的业务用车申请，根据时间、人员等多个维度分析。</w:t>
      </w:r>
    </w:p>
    <w:p w14:paraId="026409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③公车使用申请关联人员。将数据关联到系统高风险人员模块中，可以查看高风险人员业务用车申请情况。</w:t>
      </w:r>
    </w:p>
    <w:p w14:paraId="75AF417D">
      <w:pPr>
        <w:keepNext w:val="0"/>
        <w:keepLines w:val="0"/>
        <w:pageBreakBefore w:val="0"/>
        <w:widowControl w:val="0"/>
        <w:numPr>
          <w:ilvl w:val="3"/>
          <w:numId w:val="0"/>
        </w:numPr>
        <w:kinsoku/>
        <w:wordWrap/>
        <w:overflowPunct/>
        <w:topLinePunct w:val="0"/>
        <w:autoSpaceDE/>
        <w:autoSpaceDN/>
        <w:bidi w:val="0"/>
        <w:adjustRightInd/>
        <w:snapToGrid/>
        <w:spacing w:beforeAutospacing="0" w:after="0" w:afterAutospacing="0" w:line="288" w:lineRule="auto"/>
        <w:ind w:leftChars="0" w:firstLine="420" w:firstLineChars="20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（7）科研系统数据对接与数据治理</w:t>
      </w:r>
    </w:p>
    <w:p w14:paraId="6AE3EAC4">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①通过ETL或数据推送方式，将科研系统数据库推送到纪委数据库中。</w:t>
      </w:r>
    </w:p>
    <w:p w14:paraId="69359B8F">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②对科研系统数据进行标准化处理。</w:t>
      </w:r>
    </w:p>
    <w:p w14:paraId="1D5DE2D2">
      <w:pPr>
        <w:keepNext w:val="0"/>
        <w:keepLines w:val="0"/>
        <w:pageBreakBefore w:val="0"/>
        <w:widowControl w:val="0"/>
        <w:numPr>
          <w:ilvl w:val="3"/>
          <w:numId w:val="0"/>
        </w:numPr>
        <w:kinsoku/>
        <w:wordWrap/>
        <w:overflowPunct/>
        <w:topLinePunct w:val="0"/>
        <w:autoSpaceDE/>
        <w:autoSpaceDN/>
        <w:bidi w:val="0"/>
        <w:adjustRightInd/>
        <w:snapToGrid/>
        <w:spacing w:beforeAutospacing="0" w:after="0" w:afterAutospacing="0" w:line="288" w:lineRule="auto"/>
        <w:ind w:leftChars="0" w:firstLine="420" w:firstLineChars="200"/>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（8）财务数据数据对接与数据治理</w:t>
      </w:r>
    </w:p>
    <w:p w14:paraId="61153AA3">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①通过ETL或数据推送方式，将财务系统数据库推送到纪委数据库中。</w:t>
      </w:r>
    </w:p>
    <w:p w14:paraId="457EF9CB">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②对财务系统数据进行标准化处理。</w:t>
      </w:r>
    </w:p>
    <w:p w14:paraId="404FACD7">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（9）高风险人员动态廉政画像</w:t>
      </w:r>
    </w:p>
    <w:p w14:paraId="1B9B14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①高风险人员配置。配置高风险人员，用于对高风险人员进行监督。</w:t>
      </w:r>
    </w:p>
    <w:p w14:paraId="574497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②高风险人员统计。涉及到高风险人员重大项目、出差情况、合同参与情况、公务出行、车辆维修、科研及财务等相关信息数据进行汇总统计展示。</w:t>
      </w:r>
    </w:p>
    <w:p w14:paraId="520992F8">
      <w:pPr>
        <w:pStyle w:val="7"/>
        <w:keepNext w:val="0"/>
        <w:keepLines w:val="0"/>
        <w:pageBreakBefore w:val="0"/>
        <w:widowControl w:val="0"/>
        <w:numPr>
          <w:ilvl w:val="2"/>
          <w:numId w:val="2"/>
        </w:numPr>
        <w:kinsoku/>
        <w:wordWrap/>
        <w:overflowPunct/>
        <w:topLinePunct w:val="0"/>
        <w:autoSpaceDE/>
        <w:autoSpaceDN/>
        <w:bidi w:val="0"/>
        <w:adjustRightInd/>
        <w:snapToGrid/>
        <w:spacing w:before="0" w:beforeAutospacing="0" w:after="0" w:afterAutospacing="0" w:line="288" w:lineRule="auto"/>
        <w:ind w:left="709" w:leftChars="0" w:hanging="709" w:firstLineChars="0"/>
        <w:jc w:val="left"/>
        <w:textAlignment w:val="auto"/>
        <w:outlineLvl w:val="4"/>
        <w:rPr>
          <w:rFonts w:hint="eastAsia" w:ascii="宋体" w:hAnsi="宋体" w:eastAsia="宋体" w:cs="宋体"/>
          <w:color w:val="auto"/>
          <w:sz w:val="21"/>
          <w:szCs w:val="21"/>
          <w:highlight w:val="none"/>
        </w:rPr>
      </w:pPr>
      <w:bookmarkStart w:id="14" w:name="_Toc2729"/>
      <w:bookmarkStart w:id="15" w:name="_Toc9045"/>
      <w:r>
        <w:rPr>
          <w:rFonts w:hint="eastAsia" w:ascii="宋体" w:hAnsi="宋体" w:eastAsia="宋体" w:cs="宋体"/>
          <w:color w:val="auto"/>
          <w:sz w:val="21"/>
          <w:szCs w:val="21"/>
          <w:highlight w:val="none"/>
          <w:lang w:val="en-US" w:eastAsia="zh-CN"/>
        </w:rPr>
        <w:t>手机端移动办公</w:t>
      </w:r>
      <w:bookmarkEnd w:id="14"/>
      <w:bookmarkEnd w:id="15"/>
    </w:p>
    <w:p w14:paraId="12FC53D4">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（1）重大事项审批</w:t>
      </w:r>
    </w:p>
    <w:p w14:paraId="7FDEE6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①重大事项待办。展示重大事项待审批事项并进行审批提交下一办理人。</w:t>
      </w:r>
    </w:p>
    <w:p w14:paraId="74FAE1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②重大事项已办。展示重大事项已审批信息。</w:t>
      </w:r>
    </w:p>
    <w:p w14:paraId="0E0F87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钉钉对接到纪委手机端重大事项审批。</w:t>
      </w:r>
    </w:p>
    <w:p w14:paraId="4815C654">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（2）风险清单审批</w:t>
      </w:r>
    </w:p>
    <w:p w14:paraId="358911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①风险清单待办。展示风险清单待审批事项并进行审批提交下一办理人。</w:t>
      </w:r>
    </w:p>
    <w:p w14:paraId="419888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②风险清单已办。展示风险清单已审批信息。</w:t>
      </w:r>
    </w:p>
    <w:p w14:paraId="490B12E9">
      <w:pPr>
        <w:pStyle w:val="7"/>
        <w:keepNext w:val="0"/>
        <w:keepLines w:val="0"/>
        <w:pageBreakBefore w:val="0"/>
        <w:widowControl w:val="0"/>
        <w:numPr>
          <w:ilvl w:val="2"/>
          <w:numId w:val="2"/>
        </w:numPr>
        <w:kinsoku/>
        <w:wordWrap/>
        <w:overflowPunct/>
        <w:topLinePunct w:val="0"/>
        <w:autoSpaceDE/>
        <w:autoSpaceDN/>
        <w:bidi w:val="0"/>
        <w:adjustRightInd/>
        <w:snapToGrid/>
        <w:spacing w:before="0" w:beforeAutospacing="0" w:after="0" w:afterAutospacing="0" w:line="288" w:lineRule="auto"/>
        <w:ind w:left="709" w:leftChars="0" w:hanging="709" w:firstLineChars="0"/>
        <w:jc w:val="left"/>
        <w:textAlignment w:val="auto"/>
        <w:outlineLvl w:val="4"/>
        <w:rPr>
          <w:rFonts w:hint="eastAsia" w:ascii="宋体" w:hAnsi="宋体" w:eastAsia="宋体" w:cs="宋体"/>
          <w:color w:val="auto"/>
          <w:sz w:val="21"/>
          <w:szCs w:val="21"/>
          <w:highlight w:val="none"/>
          <w:lang w:val="en-US" w:eastAsia="zh-CN"/>
        </w:rPr>
      </w:pPr>
      <w:bookmarkStart w:id="16" w:name="_Toc30985"/>
      <w:bookmarkStart w:id="17" w:name="_Toc4891"/>
      <w:r>
        <w:rPr>
          <w:rFonts w:hint="eastAsia" w:ascii="宋体" w:hAnsi="宋体" w:eastAsia="宋体" w:cs="宋体"/>
          <w:color w:val="auto"/>
          <w:sz w:val="21"/>
          <w:szCs w:val="21"/>
          <w:highlight w:val="none"/>
          <w:lang w:val="en-US" w:eastAsia="zh-CN"/>
        </w:rPr>
        <w:t>一期升级功能</w:t>
      </w:r>
      <w:bookmarkEnd w:id="16"/>
      <w:bookmarkEnd w:id="17"/>
      <w:r>
        <w:rPr>
          <w:rFonts w:hint="eastAsia"/>
          <w:color w:val="auto"/>
          <w:highlight w:val="none"/>
          <w:lang w:val="en-US" w:eastAsia="zh-CN"/>
        </w:rPr>
        <w:t>【演示内容】</w:t>
      </w:r>
    </w:p>
    <w:p w14:paraId="0BAABBEF">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（1）工作简报数据管理</w:t>
      </w:r>
    </w:p>
    <w:p w14:paraId="23EC68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①重大项目开展监督统计。按照重大项目开展监督报备情况表模板进行统计，可以按时间查询结果并导出报表。</w:t>
      </w:r>
    </w:p>
    <w:p w14:paraId="7B0935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②廉政谈话日常监督统计。按照谈话记录表模板进行统计，可以按时间查询结果并导出报表。</w:t>
      </w:r>
    </w:p>
    <w:p w14:paraId="64E7FF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③日常监督管理。包括廉政谈话管理、列席会议管理、现场督察管理、明察暗访管理以及其他监督管理等模块。</w:t>
      </w:r>
    </w:p>
    <w:p w14:paraId="206EF43E">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（2）风险排查报告</w:t>
      </w:r>
    </w:p>
    <w:p w14:paraId="4CC02C7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①综合展示部门风险排查。</w:t>
      </w:r>
    </w:p>
    <w:p w14:paraId="505F5D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按照模板进行设计，并完成报表统计并导出。</w:t>
      </w:r>
    </w:p>
    <w:p w14:paraId="6FE1BE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图表分析，展示图表分析。</w:t>
      </w:r>
    </w:p>
    <w:p w14:paraId="44A740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②二级学院排查报表统计</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w:t>
      </w:r>
    </w:p>
    <w:p w14:paraId="5D2DDE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按照模板进行设计，并完成报表统计并导出。</w:t>
      </w:r>
    </w:p>
    <w:p w14:paraId="4E688E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图表分析，展示图表分析。</w:t>
      </w:r>
    </w:p>
    <w:p w14:paraId="10E28405">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（3）自定义消息提醒</w:t>
      </w:r>
    </w:p>
    <w:p w14:paraId="2DF7F03F">
      <w:pPr>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①消息填报。消息填报及选择发送对象。</w:t>
      </w:r>
    </w:p>
    <w:p w14:paraId="63F0AAFC">
      <w:pPr>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②定时功能。消息可以设定提醒时间。</w:t>
      </w:r>
    </w:p>
    <w:p w14:paraId="698FB2AC">
      <w:pPr>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③OA和钉钉提醒。推送到OA消息和钉钉消息。</w:t>
      </w:r>
    </w:p>
    <w:p w14:paraId="61A7964C">
      <w:pPr>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④消息统计。统计自定义消息。</w:t>
      </w:r>
    </w:p>
    <w:p w14:paraId="5EED9F40">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（4）待办审批跳转</w:t>
      </w:r>
    </w:p>
    <w:p w14:paraId="731B93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待办审批跳转。待办消息到OA后，OA中可以弹框展示审批单。</w:t>
      </w:r>
    </w:p>
    <w:p w14:paraId="1029EA15">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（5）风险批量审批</w:t>
      </w:r>
    </w:p>
    <w:p w14:paraId="484369A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风险批量审批。消息通用名字配置管理。</w:t>
      </w:r>
    </w:p>
    <w:p w14:paraId="5678C832">
      <w:pPr>
        <w:pStyle w:val="7"/>
        <w:keepNext w:val="0"/>
        <w:keepLines w:val="0"/>
        <w:pageBreakBefore w:val="0"/>
        <w:widowControl w:val="0"/>
        <w:numPr>
          <w:ilvl w:val="2"/>
          <w:numId w:val="2"/>
        </w:numPr>
        <w:kinsoku/>
        <w:wordWrap/>
        <w:overflowPunct/>
        <w:topLinePunct w:val="0"/>
        <w:autoSpaceDE/>
        <w:autoSpaceDN/>
        <w:bidi w:val="0"/>
        <w:adjustRightInd/>
        <w:snapToGrid/>
        <w:spacing w:before="0" w:beforeAutospacing="0" w:after="0" w:afterAutospacing="0" w:line="288" w:lineRule="auto"/>
        <w:ind w:left="709" w:leftChars="0" w:hanging="709" w:firstLineChars="0"/>
        <w:jc w:val="left"/>
        <w:textAlignment w:val="auto"/>
        <w:outlineLvl w:val="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其他重大项目数据对接</w:t>
      </w:r>
    </w:p>
    <w:p w14:paraId="0E9AD13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其他重大项目数据对接。根据实际情况，对正在建设的实训室项目管理系统、信息化项目管理系统相关数据进行采集，便于后续数据分析。</w:t>
      </w:r>
    </w:p>
    <w:p w14:paraId="32082A2C">
      <w:pPr>
        <w:pStyle w:val="7"/>
        <w:keepNext w:val="0"/>
        <w:keepLines w:val="0"/>
        <w:pageBreakBefore w:val="0"/>
        <w:widowControl w:val="0"/>
        <w:numPr>
          <w:ilvl w:val="2"/>
          <w:numId w:val="2"/>
        </w:numPr>
        <w:kinsoku/>
        <w:wordWrap/>
        <w:overflowPunct/>
        <w:topLinePunct w:val="0"/>
        <w:autoSpaceDE/>
        <w:autoSpaceDN/>
        <w:bidi w:val="0"/>
        <w:adjustRightInd/>
        <w:snapToGrid/>
        <w:spacing w:before="0" w:beforeAutospacing="0" w:after="0" w:afterAutospacing="0" w:line="288" w:lineRule="auto"/>
        <w:ind w:left="709" w:leftChars="0" w:hanging="709" w:firstLineChars="0"/>
        <w:jc w:val="left"/>
        <w:textAlignment w:val="auto"/>
        <w:outlineLvl w:val="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信创改造</w:t>
      </w:r>
    </w:p>
    <w:p w14:paraId="1B50197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一期已完成信创改造，二期需满足学校信创要求，涉及到一期升级部分同样需满足信创要求。</w:t>
      </w:r>
    </w:p>
    <w:p w14:paraId="5B77C27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系统需支持国产操作系统和国产数据库等软硬件部署环境，保留可扩展性，满足国产化适配需要，在需要情况下配合甲方完成国产化适配改造。</w:t>
      </w:r>
    </w:p>
    <w:p w14:paraId="20CD012C">
      <w:pPr>
        <w:pStyle w:val="6"/>
        <w:keepNext w:val="0"/>
        <w:keepLines w:val="0"/>
        <w:pageBreakBefore w:val="0"/>
        <w:widowControl w:val="0"/>
        <w:numPr>
          <w:ilvl w:val="1"/>
          <w:numId w:val="2"/>
        </w:numPr>
        <w:kinsoku/>
        <w:wordWrap/>
        <w:overflowPunct/>
        <w:topLinePunct w:val="0"/>
        <w:autoSpaceDE/>
        <w:autoSpaceDN/>
        <w:bidi w:val="0"/>
        <w:adjustRightInd/>
        <w:snapToGrid/>
        <w:spacing w:before="0" w:beforeAutospacing="0" w:after="0" w:afterAutospacing="0" w:line="288" w:lineRule="auto"/>
        <w:ind w:left="567" w:leftChars="0" w:hanging="567" w:firstLineChars="0"/>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与学校数字化改革总体框架的关系</w:t>
      </w:r>
    </w:p>
    <w:p w14:paraId="1EA4C359">
      <w:pPr>
        <w:pageBreakBefore w:val="0"/>
        <w:kinsoku/>
        <w:wordWrap/>
        <w:overflowPunct/>
        <w:topLinePunct w:val="0"/>
        <w:autoSpaceDE/>
        <w:autoSpaceDN/>
        <w:bidi w:val="0"/>
        <w:adjustRightInd/>
        <w:snapToGrid/>
        <w:spacing w:beforeAutospacing="0" w:afterAutospacing="0" w:line="288"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按照学校数字化改革总体框架开发</w:t>
      </w:r>
      <w:r>
        <w:rPr>
          <w:rFonts w:hint="eastAsia" w:ascii="宋体" w:hAnsi="宋体" w:eastAsia="宋体" w:cs="宋体"/>
          <w:color w:val="auto"/>
          <w:sz w:val="21"/>
          <w:szCs w:val="21"/>
          <w:highlight w:val="none"/>
        </w:rPr>
        <w:t>。</w:t>
      </w:r>
    </w:p>
    <w:p w14:paraId="1E1101D4">
      <w:pPr>
        <w:pStyle w:val="5"/>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auto"/>
        <w:outlineLvl w:val="2"/>
        <w:rPr>
          <w:rFonts w:hint="eastAsia"/>
          <w:color w:val="auto"/>
          <w:sz w:val="21"/>
          <w:szCs w:val="21"/>
          <w:highlight w:val="none"/>
        </w:rPr>
      </w:pPr>
      <w:r>
        <w:rPr>
          <w:rFonts w:hint="eastAsia"/>
          <w:color w:val="auto"/>
          <w:sz w:val="21"/>
          <w:szCs w:val="21"/>
          <w:highlight w:val="none"/>
        </w:rPr>
        <w:t>性能及可靠性要求</w:t>
      </w:r>
    </w:p>
    <w:p w14:paraId="5127C97D">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240" w:lineRule="auto"/>
        <w:ind w:left="0" w:leftChars="0" w:firstLine="422" w:firstLineChars="200"/>
        <w:jc w:val="left"/>
        <w:textAlignment w:val="auto"/>
        <w:outlineLvl w:val="2"/>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适配信创环境，系统部署所需的操作系统、数据库等信创环境按照学校提供环境完成信创适配。</w:t>
      </w:r>
    </w:p>
    <w:p w14:paraId="06288242">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240" w:lineRule="auto"/>
        <w:ind w:left="0" w:leftChars="0" w:firstLine="422" w:firstLineChars="200"/>
        <w:jc w:val="left"/>
        <w:textAlignment w:val="auto"/>
        <w:outlineLvl w:val="2"/>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hint="eastAsia"/>
          <w:color w:val="auto"/>
          <w:sz w:val="21"/>
          <w:szCs w:val="21"/>
          <w:highlight w:val="none"/>
        </w:rPr>
        <w:t>要求具备7×24小时不间断稳定运行能力。</w:t>
      </w:r>
    </w:p>
    <w:p w14:paraId="44BC1E4A">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240" w:lineRule="auto"/>
        <w:ind w:left="0" w:leftChars="0" w:firstLine="422" w:firstLineChars="200"/>
        <w:jc w:val="left"/>
        <w:textAlignment w:val="auto"/>
        <w:outlineLvl w:val="2"/>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rFonts w:hint="eastAsia"/>
          <w:color w:val="auto"/>
          <w:sz w:val="21"/>
          <w:szCs w:val="21"/>
          <w:highlight w:val="none"/>
        </w:rPr>
        <w:t>响应速度≤ 2秒，用户并发数不少于50人，实现一期到二期的过渡平稳，升级后一期原有信创适配功能需要继续保持。</w:t>
      </w:r>
    </w:p>
    <w:p w14:paraId="36F5080C">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240" w:lineRule="auto"/>
        <w:ind w:left="0" w:leftChars="0" w:firstLine="422" w:firstLineChars="200"/>
        <w:jc w:val="left"/>
        <w:textAlignment w:val="auto"/>
        <w:outlineLvl w:val="2"/>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w:t>
      </w:r>
      <w:r>
        <w:rPr>
          <w:rFonts w:hint="eastAsia"/>
          <w:color w:val="auto"/>
          <w:sz w:val="21"/>
          <w:szCs w:val="21"/>
          <w:highlight w:val="none"/>
        </w:rPr>
        <w:t>系统符合等保2.0及以上要求；配合学校系统安全漏扫检测问题整改；配合校方完成等保测评整改等相关工作。</w:t>
      </w:r>
    </w:p>
    <w:p w14:paraId="6F49F154">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240" w:lineRule="auto"/>
        <w:ind w:left="0" w:leftChars="0" w:firstLine="422" w:firstLineChars="200"/>
        <w:jc w:val="left"/>
        <w:textAlignment w:val="auto"/>
        <w:outlineLvl w:val="2"/>
        <w:rPr>
          <w:rFonts w:hint="eastAsia"/>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w:t>
      </w:r>
      <w:r>
        <w:rPr>
          <w:rFonts w:hint="eastAsia"/>
          <w:color w:val="auto"/>
          <w:sz w:val="21"/>
          <w:szCs w:val="21"/>
          <w:highlight w:val="none"/>
          <w:lang w:val="en-US" w:eastAsia="zh-CN"/>
        </w:rPr>
        <w:t>数据对接要求：</w:t>
      </w:r>
    </w:p>
    <w:p w14:paraId="3920358B">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240" w:lineRule="auto"/>
        <w:ind w:left="0" w:leftChars="0" w:firstLine="422" w:firstLineChars="200"/>
        <w:jc w:val="left"/>
        <w:textAlignment w:val="auto"/>
        <w:outlineLvl w:val="2"/>
        <w:rPr>
          <w:rFonts w:hint="eastAsia"/>
          <w:color w:val="auto"/>
          <w:sz w:val="21"/>
          <w:szCs w:val="21"/>
          <w:highlight w:val="none"/>
          <w:lang w:eastAsia="zh-CN"/>
        </w:rPr>
      </w:pPr>
      <w:r>
        <w:rPr>
          <w:rFonts w:hint="eastAsia"/>
          <w:color w:val="auto"/>
          <w:sz w:val="21"/>
          <w:szCs w:val="21"/>
          <w:highlight w:val="none"/>
          <w:lang w:eastAsia="zh-CN"/>
        </w:rPr>
        <w:t>用户认证：实现统一接入学校身份认证体系，打通校园零信任，支持校内校外无差别访问。</w:t>
      </w:r>
    </w:p>
    <w:p w14:paraId="0BCCFB8C">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240" w:lineRule="auto"/>
        <w:ind w:left="0" w:leftChars="0" w:firstLine="422" w:firstLineChars="200"/>
        <w:jc w:val="left"/>
        <w:textAlignment w:val="auto"/>
        <w:outlineLvl w:val="2"/>
        <w:rPr>
          <w:rFonts w:hint="eastAsia"/>
          <w:color w:val="auto"/>
          <w:sz w:val="21"/>
          <w:szCs w:val="21"/>
          <w:highlight w:val="none"/>
          <w:lang w:eastAsia="zh-CN"/>
        </w:rPr>
      </w:pPr>
      <w:r>
        <w:rPr>
          <w:rFonts w:hint="eastAsia"/>
          <w:color w:val="auto"/>
          <w:sz w:val="21"/>
          <w:szCs w:val="21"/>
          <w:highlight w:val="none"/>
          <w:lang w:eastAsia="zh-CN"/>
        </w:rPr>
        <w:t>部门与单位数据：与校园数据中心实现数据联动，实现人事、财务、办公、采购、科研、教学等数据的单向接入。</w:t>
      </w:r>
    </w:p>
    <w:p w14:paraId="11A651E4">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240" w:lineRule="auto"/>
        <w:ind w:left="0" w:leftChars="0" w:firstLine="422" w:firstLineChars="200"/>
        <w:jc w:val="left"/>
        <w:textAlignment w:val="auto"/>
        <w:outlineLvl w:val="2"/>
        <w:rPr>
          <w:rFonts w:hint="eastAsia"/>
          <w:color w:val="auto"/>
          <w:sz w:val="21"/>
          <w:szCs w:val="21"/>
          <w:highlight w:val="none"/>
          <w:lang w:eastAsia="zh-CN"/>
        </w:rPr>
      </w:pPr>
      <w:r>
        <w:rPr>
          <w:rFonts w:hint="eastAsia"/>
          <w:color w:val="auto"/>
          <w:sz w:val="21"/>
          <w:szCs w:val="21"/>
          <w:highlight w:val="none"/>
          <w:lang w:eastAsia="zh-CN"/>
        </w:rPr>
        <w:t>消息任务推送：接入学校统一消息任务引擎，实现钉钉消息、任务在校园组织内进行推送。</w:t>
      </w:r>
    </w:p>
    <w:p w14:paraId="15A080E0">
      <w:pPr>
        <w:pStyle w:val="5"/>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0" w:afterAutospacing="0" w:line="240" w:lineRule="auto"/>
        <w:ind w:left="0" w:leftChars="0" w:firstLine="422" w:firstLineChars="200"/>
        <w:jc w:val="left"/>
        <w:textAlignment w:val="auto"/>
        <w:outlineLvl w:val="2"/>
        <w:rPr>
          <w:rFonts w:hint="eastAsia" w:ascii="宋体" w:hAnsi="宋体" w:eastAsia="宋体" w:cs="宋体"/>
          <w:color w:val="auto"/>
          <w:sz w:val="21"/>
          <w:szCs w:val="21"/>
          <w:highlight w:val="none"/>
          <w:lang w:val="en-US" w:eastAsia="zh-CN"/>
        </w:rPr>
      </w:pPr>
      <w:r>
        <w:rPr>
          <w:rFonts w:hint="eastAsia"/>
          <w:color w:val="auto"/>
          <w:sz w:val="21"/>
          <w:szCs w:val="21"/>
          <w:highlight w:val="none"/>
        </w:rPr>
        <w:t>供应商需在合同签订后需与学校签署数据安全保密协议等。</w:t>
      </w:r>
    </w:p>
    <w:p w14:paraId="796E7990">
      <w:pPr>
        <w:pStyle w:val="5"/>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288" w:lineRule="auto"/>
        <w:ind w:left="425" w:leftChars="0" w:hanging="425" w:firstLineChars="0"/>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组织实施</w:t>
      </w:r>
    </w:p>
    <w:p w14:paraId="1F5EAC5D">
      <w:pPr>
        <w:bidi w:val="0"/>
        <w:rPr>
          <w:rFonts w:hint="eastAsia"/>
          <w:color w:val="auto"/>
          <w:highlight w:val="none"/>
        </w:rPr>
      </w:pPr>
    </w:p>
    <w:p w14:paraId="31C4FE50">
      <w:pPr>
        <w:pageBreakBefore w:val="0"/>
        <w:kinsoku/>
        <w:wordWrap/>
        <w:overflowPunct/>
        <w:topLinePunct w:val="0"/>
        <w:autoSpaceDE/>
        <w:autoSpaceDN/>
        <w:bidi w:val="0"/>
        <w:adjustRightInd/>
        <w:snapToGrid/>
        <w:spacing w:beforeAutospacing="0" w:after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项目总体进度时间：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底前</w:t>
      </w:r>
      <w:r>
        <w:rPr>
          <w:rFonts w:hint="eastAsia" w:ascii="宋体" w:hAnsi="宋体" w:eastAsia="宋体" w:cs="宋体"/>
          <w:color w:val="auto"/>
          <w:sz w:val="21"/>
          <w:szCs w:val="21"/>
          <w:highlight w:val="none"/>
        </w:rPr>
        <w:t>完成。</w:t>
      </w:r>
    </w:p>
    <w:p w14:paraId="7EDBE507">
      <w:pPr>
        <w:pageBreakBefore w:val="0"/>
        <w:kinsoku/>
        <w:wordWrap/>
        <w:overflowPunct/>
        <w:topLinePunct w:val="0"/>
        <w:autoSpaceDE/>
        <w:autoSpaceDN/>
        <w:bidi w:val="0"/>
        <w:adjustRightInd/>
        <w:snapToGrid/>
        <w:spacing w:beforeAutospacing="0" w:afterAutospacing="0" w:line="288"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具体进度安排如下：</w:t>
      </w:r>
    </w:p>
    <w:p w14:paraId="2BFCA155">
      <w:pPr>
        <w:pageBreakBefore w:val="0"/>
        <w:kinsoku/>
        <w:wordWrap/>
        <w:overflowPunct/>
        <w:topLinePunct w:val="0"/>
        <w:autoSpaceDE/>
        <w:autoSpaceDN/>
        <w:bidi w:val="0"/>
        <w:adjustRightInd/>
        <w:snapToGrid/>
        <w:spacing w:beforeAutospacing="0" w:afterAutospacing="0" w:line="288"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底前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进行各系统</w:t>
      </w:r>
      <w:r>
        <w:rPr>
          <w:rFonts w:hint="eastAsia" w:ascii="宋体" w:hAnsi="宋体" w:eastAsia="宋体" w:cs="宋体"/>
          <w:color w:val="auto"/>
          <w:sz w:val="21"/>
          <w:szCs w:val="21"/>
          <w:highlight w:val="none"/>
          <w:lang w:val="en-US" w:eastAsia="zh-CN"/>
        </w:rPr>
        <w:t>开发、</w:t>
      </w:r>
      <w:r>
        <w:rPr>
          <w:rFonts w:hint="eastAsia" w:ascii="宋体" w:hAnsi="宋体" w:eastAsia="宋体" w:cs="宋体"/>
          <w:color w:val="auto"/>
          <w:sz w:val="21"/>
          <w:szCs w:val="21"/>
          <w:highlight w:val="none"/>
        </w:rPr>
        <w:t>安装、调试</w:t>
      </w:r>
      <w:r>
        <w:rPr>
          <w:rFonts w:hint="eastAsia" w:ascii="宋体" w:hAnsi="宋体" w:cs="宋体"/>
          <w:color w:val="auto"/>
          <w:sz w:val="21"/>
          <w:szCs w:val="21"/>
          <w:highlight w:val="none"/>
          <w:lang w:eastAsia="zh-CN"/>
        </w:rPr>
        <w:t>。</w:t>
      </w:r>
    </w:p>
    <w:p w14:paraId="21401207">
      <w:pPr>
        <w:pageBreakBefore w:val="0"/>
        <w:kinsoku/>
        <w:wordWrap/>
        <w:overflowPunct/>
        <w:topLinePunct w:val="0"/>
        <w:autoSpaceDE/>
        <w:autoSpaceDN/>
        <w:bidi w:val="0"/>
        <w:adjustRightInd/>
        <w:snapToGrid/>
        <w:spacing w:beforeAutospacing="0" w:afterAutospacing="0" w:line="288"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底前，</w:t>
      </w:r>
      <w:r>
        <w:rPr>
          <w:rFonts w:hint="eastAsia" w:ascii="宋体" w:hAnsi="宋体" w:eastAsia="宋体" w:cs="宋体"/>
          <w:color w:val="auto"/>
          <w:sz w:val="21"/>
          <w:szCs w:val="21"/>
          <w:highlight w:val="none"/>
          <w:lang w:val="en-US" w:eastAsia="zh-CN"/>
        </w:rPr>
        <w:t>开展</w:t>
      </w:r>
      <w:r>
        <w:rPr>
          <w:rFonts w:hint="eastAsia" w:ascii="宋体" w:hAnsi="宋体" w:cs="宋体"/>
          <w:color w:val="auto"/>
          <w:sz w:val="21"/>
          <w:szCs w:val="21"/>
          <w:highlight w:val="none"/>
          <w:lang w:val="en-US" w:eastAsia="zh-CN"/>
        </w:rPr>
        <w:t>系统试运行、</w:t>
      </w:r>
      <w:r>
        <w:rPr>
          <w:rFonts w:hint="eastAsia" w:ascii="宋体" w:hAnsi="宋体" w:eastAsia="宋体" w:cs="宋体"/>
          <w:color w:val="auto"/>
          <w:sz w:val="21"/>
          <w:szCs w:val="21"/>
          <w:highlight w:val="none"/>
        </w:rPr>
        <w:t>项目验收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完成</w:t>
      </w:r>
      <w:r>
        <w:rPr>
          <w:rFonts w:hint="eastAsia" w:ascii="宋体" w:hAnsi="宋体" w:eastAsia="宋体" w:cs="宋体"/>
          <w:color w:val="auto"/>
          <w:sz w:val="21"/>
          <w:szCs w:val="21"/>
          <w:highlight w:val="none"/>
        </w:rPr>
        <w:t>全部预算执行</w:t>
      </w:r>
      <w:r>
        <w:rPr>
          <w:rFonts w:hint="eastAsia" w:ascii="宋体" w:hAnsi="宋体" w:cs="宋体"/>
          <w:color w:val="auto"/>
          <w:sz w:val="21"/>
          <w:szCs w:val="21"/>
          <w:highlight w:val="none"/>
          <w:lang w:eastAsia="zh-CN"/>
        </w:rPr>
        <w:t>。</w:t>
      </w:r>
    </w:p>
    <w:p w14:paraId="50C99285">
      <w:pPr>
        <w:pStyle w:val="2"/>
        <w:rPr>
          <w:rFonts w:hint="default"/>
          <w:color w:val="auto"/>
          <w:highlight w:val="none"/>
          <w:lang w:val="en-US" w:eastAsia="zh-CN"/>
        </w:rPr>
      </w:pPr>
    </w:p>
    <w:p w14:paraId="2E2AC5AA">
      <w:pPr>
        <w:pStyle w:val="5"/>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288" w:lineRule="auto"/>
        <w:ind w:left="425" w:leftChars="0" w:hanging="425" w:firstLineChars="0"/>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建设清单</w:t>
      </w:r>
    </w:p>
    <w:p w14:paraId="02C49863">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88" w:lineRule="auto"/>
        <w:ind w:leftChars="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总预算为</w:t>
      </w: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万元，</w:t>
      </w:r>
      <w:r>
        <w:rPr>
          <w:rFonts w:hint="eastAsia" w:ascii="宋体" w:hAnsi="宋体" w:eastAsia="宋体" w:cs="宋体"/>
          <w:b/>
          <w:color w:val="auto"/>
          <w:sz w:val="21"/>
          <w:szCs w:val="21"/>
          <w:highlight w:val="none"/>
          <w:lang w:val="en-US" w:eastAsia="zh-CN"/>
        </w:rPr>
        <w:t>建设清单</w:t>
      </w:r>
      <w:r>
        <w:rPr>
          <w:rFonts w:hint="eastAsia" w:ascii="宋体" w:hAnsi="宋体" w:eastAsia="宋体" w:cs="宋体"/>
          <w:b/>
          <w:color w:val="auto"/>
          <w:sz w:val="21"/>
          <w:szCs w:val="21"/>
          <w:highlight w:val="none"/>
        </w:rPr>
        <w:t>如下：</w:t>
      </w:r>
    </w:p>
    <w:tbl>
      <w:tblPr>
        <w:tblStyle w:val="14"/>
        <w:tblW w:w="44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8"/>
        <w:gridCol w:w="3249"/>
      </w:tblGrid>
      <w:tr w14:paraId="76A4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ED3025">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序号</w:t>
            </w:r>
          </w:p>
        </w:tc>
        <w:tc>
          <w:tcPr>
            <w:tcW w:w="32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69805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rPr>
              <w:t>功能模块</w:t>
            </w:r>
          </w:p>
        </w:tc>
      </w:tr>
      <w:tr w14:paraId="28C6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F433F5">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b/>
                <w:bCs/>
                <w:i w:val="0"/>
                <w:iCs w:val="0"/>
                <w:color w:val="auto"/>
                <w:sz w:val="21"/>
                <w:szCs w:val="21"/>
                <w:highlight w:val="none"/>
                <w:u w:val="none"/>
              </w:rPr>
            </w:pPr>
          </w:p>
        </w:tc>
        <w:tc>
          <w:tcPr>
            <w:tcW w:w="32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BDFA3">
            <w:pPr>
              <w:keepNext w:val="0"/>
              <w:keepLines w:val="0"/>
              <w:pageBreakBefore w:val="0"/>
              <w:kinsoku/>
              <w:wordWrap/>
              <w:overflowPunct/>
              <w:topLinePunct w:val="0"/>
              <w:autoSpaceDE/>
              <w:autoSpaceDN/>
              <w:bidi w:val="0"/>
              <w:adjustRightInd/>
              <w:snapToGrid/>
              <w:spacing w:line="288" w:lineRule="auto"/>
              <w:jc w:val="center"/>
              <w:rPr>
                <w:rFonts w:hint="eastAsia" w:ascii="宋体" w:hAnsi="宋体" w:eastAsia="宋体" w:cs="宋体"/>
                <w:b/>
                <w:bCs/>
                <w:i w:val="0"/>
                <w:iCs w:val="0"/>
                <w:color w:val="auto"/>
                <w:sz w:val="21"/>
                <w:szCs w:val="21"/>
                <w:highlight w:val="none"/>
                <w:u w:val="none"/>
              </w:rPr>
            </w:pPr>
          </w:p>
        </w:tc>
      </w:tr>
      <w:tr w14:paraId="7F73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44B0C36C">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3249" w:type="dxa"/>
            <w:tcBorders>
              <w:top w:val="single" w:color="auto" w:sz="4" w:space="0"/>
              <w:left w:val="single" w:color="auto" w:sz="4" w:space="0"/>
              <w:bottom w:val="single" w:color="auto" w:sz="4" w:space="0"/>
              <w:right w:val="single" w:color="auto" w:sz="4" w:space="0"/>
            </w:tcBorders>
            <w:shd w:val="clear" w:color="auto" w:fill="auto"/>
            <w:vAlign w:val="center"/>
          </w:tcPr>
          <w:p w14:paraId="78412A28">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决策驾驶舱</w:t>
            </w:r>
          </w:p>
        </w:tc>
      </w:tr>
      <w:tr w14:paraId="789A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506D0DC7">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3249" w:type="dxa"/>
            <w:tcBorders>
              <w:top w:val="single" w:color="auto" w:sz="4" w:space="0"/>
              <w:left w:val="single" w:color="auto" w:sz="4" w:space="0"/>
              <w:bottom w:val="single" w:color="auto" w:sz="4" w:space="0"/>
              <w:right w:val="single" w:color="auto" w:sz="4" w:space="0"/>
            </w:tcBorders>
            <w:shd w:val="clear" w:color="auto" w:fill="auto"/>
            <w:vAlign w:val="center"/>
          </w:tcPr>
          <w:p w14:paraId="4F2E7005">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重大事项报备管理应用场景</w:t>
            </w:r>
          </w:p>
        </w:tc>
      </w:tr>
      <w:tr w14:paraId="3B5B6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34DE1BE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3249" w:type="dxa"/>
            <w:tcBorders>
              <w:top w:val="single" w:color="auto" w:sz="4" w:space="0"/>
              <w:left w:val="single" w:color="auto" w:sz="4" w:space="0"/>
              <w:bottom w:val="single" w:color="auto" w:sz="4" w:space="0"/>
              <w:right w:val="single" w:color="auto" w:sz="4" w:space="0"/>
            </w:tcBorders>
            <w:shd w:val="clear" w:color="auto" w:fill="auto"/>
            <w:vAlign w:val="center"/>
          </w:tcPr>
          <w:p w14:paraId="016D5431">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数据采集及风险分析</w:t>
            </w:r>
          </w:p>
        </w:tc>
      </w:tr>
      <w:tr w14:paraId="7CD3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2AB38DBD">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3249" w:type="dxa"/>
            <w:tcBorders>
              <w:top w:val="single" w:color="auto" w:sz="4" w:space="0"/>
              <w:left w:val="single" w:color="auto" w:sz="4" w:space="0"/>
              <w:bottom w:val="single" w:color="auto" w:sz="4" w:space="0"/>
              <w:right w:val="single" w:color="auto" w:sz="4" w:space="0"/>
            </w:tcBorders>
            <w:shd w:val="clear" w:color="auto" w:fill="auto"/>
            <w:vAlign w:val="center"/>
          </w:tcPr>
          <w:p w14:paraId="598AA72F">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手机端移动办公</w:t>
            </w:r>
          </w:p>
        </w:tc>
      </w:tr>
      <w:tr w14:paraId="74A8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219F577F">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w:t>
            </w:r>
          </w:p>
        </w:tc>
        <w:tc>
          <w:tcPr>
            <w:tcW w:w="3249" w:type="dxa"/>
            <w:tcBorders>
              <w:top w:val="single" w:color="auto" w:sz="4" w:space="0"/>
              <w:left w:val="single" w:color="auto" w:sz="4" w:space="0"/>
              <w:bottom w:val="single" w:color="auto" w:sz="4" w:space="0"/>
              <w:right w:val="single" w:color="auto" w:sz="4" w:space="0"/>
            </w:tcBorders>
            <w:shd w:val="clear" w:color="auto" w:fill="auto"/>
            <w:vAlign w:val="center"/>
          </w:tcPr>
          <w:p w14:paraId="149BA872">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一期升级功能</w:t>
            </w:r>
          </w:p>
        </w:tc>
      </w:tr>
      <w:tr w14:paraId="4F32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66C44EB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6</w:t>
            </w:r>
          </w:p>
        </w:tc>
        <w:tc>
          <w:tcPr>
            <w:tcW w:w="3249" w:type="dxa"/>
            <w:tcBorders>
              <w:top w:val="single" w:color="auto" w:sz="4" w:space="0"/>
              <w:left w:val="single" w:color="auto" w:sz="4" w:space="0"/>
              <w:bottom w:val="single" w:color="auto" w:sz="4" w:space="0"/>
              <w:right w:val="single" w:color="auto" w:sz="4" w:space="0"/>
            </w:tcBorders>
            <w:shd w:val="clear" w:color="auto" w:fill="auto"/>
            <w:vAlign w:val="center"/>
          </w:tcPr>
          <w:p w14:paraId="25755F80">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其他重大项目数据对接</w:t>
            </w:r>
          </w:p>
        </w:tc>
      </w:tr>
    </w:tbl>
    <w:p w14:paraId="41988ED8">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288" w:lineRule="auto"/>
        <w:jc w:val="center"/>
        <w:textAlignment w:val="auto"/>
        <w:outlineLvl w:val="1"/>
        <w:rPr>
          <w:rFonts w:hint="eastAsia" w:ascii="宋体" w:hAnsi="宋体" w:eastAsia="宋体" w:cs="宋体"/>
          <w:color w:val="auto"/>
          <w:sz w:val="21"/>
          <w:szCs w:val="21"/>
          <w:highlight w:val="none"/>
        </w:rPr>
      </w:pPr>
    </w:p>
    <w:p w14:paraId="511667E9">
      <w:pPr>
        <w:keepNext w:val="0"/>
        <w:keepLines w:val="0"/>
        <w:pageBreakBefore w:val="0"/>
        <w:widowControl/>
        <w:numPr>
          <w:ilvl w:val="0"/>
          <w:numId w:val="4"/>
        </w:numPr>
        <w:suppressLineNumbers w:val="0"/>
        <w:kinsoku/>
        <w:wordWrap/>
        <w:overflowPunct/>
        <w:topLinePunct w:val="0"/>
        <w:autoSpaceDE/>
        <w:autoSpaceDN/>
        <w:bidi w:val="0"/>
        <w:adjustRightInd/>
        <w:snapToGrid/>
        <w:spacing w:line="288" w:lineRule="auto"/>
        <w:jc w:val="left"/>
        <w:textAlignment w:val="auto"/>
        <w:outlineLvl w:val="2"/>
        <w:rPr>
          <w:rFonts w:hint="eastAsia"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演示</w:t>
      </w:r>
    </w:p>
    <w:p w14:paraId="2913033B">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1.投标人应对下述功能点进行演示</w:t>
      </w:r>
      <w:r>
        <w:rPr>
          <w:rFonts w:hint="eastAsia" w:ascii="宋体" w:hAnsi="宋体" w:eastAsia="宋体" w:cs="宋体"/>
          <w:b/>
          <w:bCs/>
          <w:color w:val="auto"/>
          <w:szCs w:val="21"/>
          <w:highlight w:val="none"/>
        </w:rPr>
        <w:t>。</w:t>
      </w:r>
    </w:p>
    <w:p w14:paraId="596FAD5F">
      <w:pPr>
        <w:adjustRightInd w:val="0"/>
        <w:snapToGrid w:val="0"/>
        <w:spacing w:line="288"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▲未提供演示视频的，投标无效。</w:t>
      </w:r>
    </w:p>
    <w:tbl>
      <w:tblPr>
        <w:tblStyle w:val="1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8915"/>
      </w:tblGrid>
      <w:tr w14:paraId="0E5C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2" w:type="pct"/>
            <w:vAlign w:val="center"/>
          </w:tcPr>
          <w:p w14:paraId="3AEFFB16">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4657" w:type="pct"/>
            <w:vAlign w:val="center"/>
          </w:tcPr>
          <w:p w14:paraId="23805C2D">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演示内容</w:t>
            </w:r>
          </w:p>
        </w:tc>
      </w:tr>
      <w:tr w14:paraId="44ED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2" w:type="pct"/>
            <w:vAlign w:val="center"/>
          </w:tcPr>
          <w:p w14:paraId="1F17F266">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4657" w:type="pct"/>
            <w:vAlign w:val="center"/>
          </w:tcPr>
          <w:p w14:paraId="08C38595">
            <w:pPr>
              <w:numPr>
                <w:ilvl w:val="255"/>
                <w:numId w:val="0"/>
              </w:numPr>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纪委驾驶舱</w:t>
            </w:r>
          </w:p>
          <w:p w14:paraId="06B627DB">
            <w:pPr>
              <w:numPr>
                <w:ilvl w:val="255"/>
                <w:numId w:val="0"/>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综合展示纪委日常监督工作情况、廉政风险、重大事项等板块。</w:t>
            </w:r>
          </w:p>
          <w:p w14:paraId="5242B5AE">
            <w:pPr>
              <w:numPr>
                <w:ilvl w:val="255"/>
                <w:numId w:val="0"/>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（1）纪委日常监督工作情况。重点展示日常监督抽查工作统计。</w:t>
            </w:r>
          </w:p>
          <w:p w14:paraId="2E7DC668">
            <w:pPr>
              <w:numPr>
                <w:ilvl w:val="255"/>
                <w:numId w:val="0"/>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（2）廉政风险。重点展示各类风险点情况。</w:t>
            </w:r>
          </w:p>
          <w:p w14:paraId="754F033B">
            <w:pPr>
              <w:numPr>
                <w:ilvl w:val="255"/>
                <w:numId w:val="0"/>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（3）重大事项。重点展示重大事项报备、监督检查等情况。</w:t>
            </w:r>
          </w:p>
        </w:tc>
      </w:tr>
      <w:tr w14:paraId="0F6B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2" w:type="pct"/>
            <w:vAlign w:val="center"/>
          </w:tcPr>
          <w:p w14:paraId="6E62871A">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4657" w:type="pct"/>
            <w:vAlign w:val="center"/>
          </w:tcPr>
          <w:p w14:paraId="41456E08">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left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重大事项管理模块</w:t>
            </w:r>
          </w:p>
          <w:p w14:paraId="30A00D04">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（1）重大事项审批子系统（全校）</w:t>
            </w:r>
          </w:p>
          <w:p w14:paraId="2ECB78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①重大事项填报。根据重大事项报备要素和填报要求填写重大事项。</w:t>
            </w:r>
          </w:p>
          <w:p w14:paraId="6CAFD3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②重大事项申请。业务部门填报重大事项，并上传附件后提交处室领导、分管领导、纪委部门等审核。申请的时候需要填写项目名称或者从项目库中选择项目。</w:t>
            </w:r>
          </w:p>
          <w:p w14:paraId="6E1D29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③重大事项审批。处室领导、分管领导或纪委部门对提交事项进行审批，并反馈审批意见等。</w:t>
            </w:r>
          </w:p>
          <w:p w14:paraId="0D478BD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④重大事项待办。查看个人待审批的重大事项清单以及当前流转情况等。</w:t>
            </w:r>
          </w:p>
          <w:p w14:paraId="5F6FF1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⑤重大事项已办。查看个人已办的重大事项清单以及当前流转情况等。</w:t>
            </w:r>
          </w:p>
          <w:p w14:paraId="2BBA26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⑥我的重大事项。查看个人提交的重大事项。</w:t>
            </w:r>
          </w:p>
          <w:p w14:paraId="2667EB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⑦我的草稿箱。重大事项填报后未提交申请的，可以暂存到草稿箱中，下次可以发起申请。</w:t>
            </w:r>
          </w:p>
          <w:p w14:paraId="63B17B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⑧重大事项跟踪。实现对所有重大事项流转过程的跟踪查询。</w:t>
            </w:r>
          </w:p>
          <w:p w14:paraId="4BA707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⑨报备清单管理。对所有报备事项清单进行管理，方便后续报备事项填报和更新，设置报备条件及要求。</w:t>
            </w:r>
          </w:p>
          <w:p w14:paraId="04A86C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重大项目采用一件事的方式，实现部分重大项目中重要事项环节实现全过程报备、全过程监督。纪委端确定需要全过程跟踪的重大项目及重要报备环节，部门端根据全过程跟踪要求，各重要环节上传关键资料，纪委端实时掌握重大事项进展情况，并发布监督功能(监督功能可以复用一期重大事项监督模块)。</w:t>
            </w:r>
          </w:p>
          <w:p w14:paraId="4C42E71A">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（2）项目库管理</w:t>
            </w:r>
          </w:p>
          <w:p w14:paraId="27E99D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①项目分类。根据重大事项报备清单进行项目分类，对项目类重大事项进行分类。</w:t>
            </w:r>
          </w:p>
          <w:p w14:paraId="26FCEE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②项目管理。在重大事项申请的时候填写项目名称，项目名称就自动生成到项目库，后续相同项目重大事项变更或后续事项申请等，都可以选择同一个项目。</w:t>
            </w:r>
          </w:p>
          <w:p w14:paraId="3582B3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③项目统计。从项目维度统计所有项目，并可以通过该项目查看项目关联的所有相关的事项列表。</w:t>
            </w:r>
          </w:p>
          <w:p w14:paraId="46089151">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（3）工作流引擎</w:t>
            </w:r>
          </w:p>
          <w:p w14:paraId="70F827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工作流开发。需要引入工作流引擎对各类审批事项进行开发，比如重大事项申报审批等流程支撑。</w:t>
            </w:r>
          </w:p>
        </w:tc>
      </w:tr>
      <w:tr w14:paraId="2852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2" w:type="pct"/>
            <w:vAlign w:val="center"/>
          </w:tcPr>
          <w:p w14:paraId="293D1EC6">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4657" w:type="pct"/>
            <w:vAlign w:val="center"/>
          </w:tcPr>
          <w:p w14:paraId="0142DC86">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leftChars="0"/>
              <w:jc w:val="left"/>
              <w:textAlignment w:val="auto"/>
              <w:outlineLvl w:val="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一期升级功能</w:t>
            </w:r>
          </w:p>
          <w:p w14:paraId="3584A986">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（1）工作简报数据管理</w:t>
            </w:r>
          </w:p>
          <w:p w14:paraId="64E310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①重大项目开展监督统计。按照重大项目开展监督报备情况表模板进行统计，可以按时间查询结果并导出报表。</w:t>
            </w:r>
          </w:p>
          <w:p w14:paraId="17390B4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②廉政谈话日常监督统计。按照谈话记录表模板进行统计，可以按时间查询结果并导出报表。</w:t>
            </w:r>
          </w:p>
          <w:p w14:paraId="789A13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③日常监督管理。包括廉政谈话管理、列席会议管理、现场督察管理、明察暗访管理以及其他监督管理等模块。</w:t>
            </w:r>
          </w:p>
          <w:p w14:paraId="2644D78F">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（2）风险排查报告</w:t>
            </w:r>
          </w:p>
          <w:p w14:paraId="0BD13D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①综合展示部门风险排查。</w:t>
            </w:r>
          </w:p>
          <w:p w14:paraId="611AA5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按照模板进行设计，并完成报表统计并导出。</w:t>
            </w:r>
          </w:p>
          <w:p w14:paraId="05B59C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图表分析，展示图表分析。</w:t>
            </w:r>
          </w:p>
          <w:p w14:paraId="5EFE310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②二级学院排查报表统计</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w:t>
            </w:r>
          </w:p>
          <w:p w14:paraId="6D136D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按照模板进行设计，并完成报表统计并导出。</w:t>
            </w:r>
          </w:p>
          <w:p w14:paraId="781DC7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图表分析，展示图表分析。</w:t>
            </w:r>
          </w:p>
          <w:p w14:paraId="2FB1D751">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（3）自定义消息提醒</w:t>
            </w:r>
          </w:p>
          <w:p w14:paraId="5BA87595">
            <w:pPr>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①消息填报。消息填报及选择发送对象。</w:t>
            </w:r>
          </w:p>
          <w:p w14:paraId="2F21B57E">
            <w:pPr>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②定时功能。消息可以设定提醒时间。</w:t>
            </w:r>
          </w:p>
          <w:p w14:paraId="63A86899">
            <w:pPr>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③OA和钉钉提醒。推送到OA消息和钉钉消息。</w:t>
            </w:r>
          </w:p>
          <w:p w14:paraId="381436C0">
            <w:pPr>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④消息统计。统计自定义消息。</w:t>
            </w:r>
          </w:p>
          <w:p w14:paraId="14A332D1">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（4）待办审批跳转</w:t>
            </w:r>
          </w:p>
          <w:p w14:paraId="6939A65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待办审批跳转。待办消息到OA后，OA中可以弹框展示审批单。</w:t>
            </w:r>
          </w:p>
          <w:p w14:paraId="6D65757E">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（5）风险批量审批</w:t>
            </w:r>
          </w:p>
          <w:p w14:paraId="78F10F6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风险批量审批。消息通用名字配置管理。</w:t>
            </w:r>
          </w:p>
        </w:tc>
      </w:tr>
    </w:tbl>
    <w:p w14:paraId="24C2F089">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2.演示时间不超过</w:t>
      </w:r>
      <w:r>
        <w:rPr>
          <w:rFonts w:hint="eastAsia" w:ascii="宋体" w:hAnsi="宋体" w:cs="宋体"/>
          <w:b/>
          <w:bCs/>
          <w:color w:val="auto"/>
          <w:szCs w:val="21"/>
          <w:highlight w:val="none"/>
          <w:lang w:val="en-US" w:eastAsia="zh-CN"/>
        </w:rPr>
        <w:t>8</w:t>
      </w:r>
      <w:r>
        <w:rPr>
          <w:rFonts w:hint="eastAsia" w:ascii="宋体" w:hAnsi="宋体" w:eastAsia="宋体" w:cs="宋体"/>
          <w:color w:val="auto"/>
          <w:szCs w:val="21"/>
          <w:highlight w:val="none"/>
        </w:rPr>
        <w:t>分钟（所有演示总时长），演示过程需要准备的器材、软件、网络等设施由供应商自行准备。</w:t>
      </w:r>
    </w:p>
    <w:p w14:paraId="6592852B">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3.演示U盘：</w:t>
      </w:r>
    </w:p>
    <w:p w14:paraId="410BB4D0">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3.1供应商需将以上演示过程录制视频，以mp4.格式存储于U盘。</w:t>
      </w:r>
    </w:p>
    <w:p w14:paraId="79246281">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演示U盘可以EMS或顺丰邮寄形式在</w:t>
      </w:r>
      <w:r>
        <w:rPr>
          <w:rFonts w:hint="eastAsia" w:ascii="宋体" w:hAnsi="宋体" w:eastAsia="宋体" w:cs="宋体"/>
          <w:b/>
          <w:color w:val="auto"/>
          <w:szCs w:val="21"/>
          <w:highlight w:val="none"/>
        </w:rPr>
        <w:t>提交（上传）投标文件截止时间</w:t>
      </w:r>
      <w:r>
        <w:rPr>
          <w:rFonts w:hint="eastAsia" w:ascii="宋体" w:hAnsi="宋体" w:eastAsia="宋体" w:cs="宋体"/>
          <w:color w:val="auto"/>
          <w:szCs w:val="21"/>
          <w:highlight w:val="none"/>
        </w:rPr>
        <w:t>前递交，演示U盘应当密封包装并在包装上标注演示U盘、项目名称、供应商名称并加盖公章。</w:t>
      </w:r>
    </w:p>
    <w:p w14:paraId="639879D0">
      <w:pPr>
        <w:pStyle w:val="10"/>
        <w:numPr>
          <w:ilvl w:val="-1"/>
          <w:numId w:val="0"/>
        </w:numPr>
        <w:rPr>
          <w:rFonts w:hint="eastAsia"/>
          <w:color w:val="auto"/>
          <w:highlight w:val="none"/>
          <w:lang w:val="en-US" w:eastAsia="zh-CN"/>
        </w:rPr>
      </w:pPr>
      <w:r>
        <w:rPr>
          <w:rFonts w:hint="eastAsia" w:ascii="宋体" w:hAnsi="宋体" w:eastAsia="宋体" w:cs="宋体"/>
          <w:color w:val="auto"/>
          <w:szCs w:val="21"/>
          <w:highlight w:val="none"/>
        </w:rPr>
        <w:t>3.3未按招标文件要求提供演示U盘造成评审专家无法正常评审的风险由供应商自行承担。</w:t>
      </w:r>
    </w:p>
    <w:p w14:paraId="3FEC7BA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288" w:lineRule="auto"/>
        <w:jc w:val="center"/>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第三章 供应商须知</w:t>
      </w:r>
    </w:p>
    <w:p w14:paraId="5810BA67">
      <w:pPr>
        <w:pStyle w:val="5"/>
        <w:keepNext w:val="0"/>
        <w:keepLines w:val="0"/>
        <w:widowControl/>
        <w:suppressLineNumbers w:val="0"/>
        <w:spacing w:line="288" w:lineRule="auto"/>
        <w:ind w:left="0"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 w:val="28"/>
          <w:szCs w:val="28"/>
          <w:highlight w:val="none"/>
        </w:rPr>
        <w:t>前附表</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3"/>
        <w:gridCol w:w="1705"/>
        <w:gridCol w:w="6672"/>
      </w:tblGrid>
      <w:tr w14:paraId="7B511D1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176C8E">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条款号</w:t>
            </w:r>
          </w:p>
        </w:tc>
        <w:tc>
          <w:tcPr>
            <w:tcW w:w="168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C192D2">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内容</w:t>
            </w:r>
          </w:p>
        </w:tc>
        <w:tc>
          <w:tcPr>
            <w:tcW w:w="660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C905F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说明与要求</w:t>
            </w:r>
          </w:p>
        </w:tc>
      </w:tr>
      <w:tr w14:paraId="1E9B43F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95148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（一）</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554DE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采购方式</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049B5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竞争性磋商</w:t>
            </w:r>
            <w:r>
              <w:rPr>
                <w:rFonts w:hint="eastAsia" w:ascii="宋体" w:hAnsi="宋体" w:eastAsia="宋体" w:cs="宋体"/>
                <w:color w:val="auto"/>
                <w:spacing w:val="0"/>
                <w:kern w:val="0"/>
                <w:sz w:val="21"/>
                <w:szCs w:val="21"/>
                <w:highlight w:val="none"/>
                <w:lang w:val="en-US" w:eastAsia="zh-CN"/>
              </w:rPr>
              <w:t>，</w:t>
            </w:r>
            <w:r>
              <w:rPr>
                <w:rFonts w:hint="eastAsia" w:ascii="宋体" w:hAnsi="宋体" w:eastAsia="宋体" w:cs="宋体"/>
                <w:i w:val="0"/>
                <w:iCs w:val="0"/>
                <w:color w:val="auto"/>
                <w:spacing w:val="0"/>
                <w:kern w:val="0"/>
                <w:sz w:val="21"/>
                <w:szCs w:val="21"/>
                <w:highlight w:val="none"/>
                <w:lang w:val="en-US" w:eastAsia="zh-CN"/>
              </w:rPr>
              <w:t>磋商文件</w:t>
            </w:r>
            <w:r>
              <w:rPr>
                <w:rFonts w:hint="eastAsia" w:ascii="宋体" w:hAnsi="宋体" w:eastAsia="宋体" w:cs="宋体"/>
                <w:color w:val="auto"/>
                <w:spacing w:val="0"/>
                <w:kern w:val="0"/>
                <w:sz w:val="21"/>
                <w:szCs w:val="21"/>
                <w:highlight w:val="none"/>
                <w:lang w:val="en-US" w:eastAsia="zh-CN"/>
              </w:rPr>
              <w:t>即采购文件，每个标项为一个采购包。</w:t>
            </w:r>
          </w:p>
        </w:tc>
      </w:tr>
      <w:tr w14:paraId="4B82305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A2CA5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（二）</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991F0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响应保证金</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9FD7D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说明：本项目不收取响应保证金。﻿</w:t>
            </w:r>
          </w:p>
        </w:tc>
      </w:tr>
      <w:tr w14:paraId="0ADBFC6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071B3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（三）</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204DE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代理服务费</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E5A69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1.成交供应商在成交通知书发出之日起七个工作日内，向采购代理机构交纳代理服务费；</w:t>
            </w:r>
          </w:p>
          <w:p w14:paraId="5237E8B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2.成交供应商逾期支付代理服务费，须承担代理服务费每日百分之三的违约金，逾期十日未支付的，采购代理机构有权向杭州仲裁委员会对成交供应商提起仲裁，仲裁费用（包括仲裁受理费、仲裁处理费、律师费、保全保险费、差旅费、文印费等费用）均由成交供应商承担。</w:t>
            </w:r>
          </w:p>
          <w:p w14:paraId="135DB0F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3.代理服务费收费标准（差额累进）：参照发改价格[2011]534号文件规定代理服务收费标准的【</w:t>
            </w:r>
            <w:r>
              <w:rPr>
                <w:rFonts w:hint="eastAsia" w:ascii="宋体" w:hAnsi="宋体" w:eastAsia="宋体" w:cs="宋体"/>
                <w:i w:val="0"/>
                <w:iCs w:val="0"/>
                <w:color w:val="auto"/>
                <w:spacing w:val="0"/>
                <w:kern w:val="0"/>
                <w:sz w:val="21"/>
                <w:szCs w:val="21"/>
                <w:highlight w:val="none"/>
                <w:lang w:val="en-US" w:eastAsia="zh-CN"/>
              </w:rPr>
              <w:t>70</w:t>
            </w:r>
            <w:r>
              <w:rPr>
                <w:rFonts w:hint="eastAsia" w:ascii="宋体" w:hAnsi="宋体" w:eastAsia="宋体" w:cs="宋体"/>
                <w:color w:val="auto"/>
                <w:spacing w:val="0"/>
                <w:kern w:val="0"/>
                <w:sz w:val="21"/>
                <w:szCs w:val="21"/>
                <w:highlight w:val="none"/>
                <w:lang w:val="en-US" w:eastAsia="zh-CN"/>
              </w:rPr>
              <w:t>%】计取。</w:t>
            </w:r>
          </w:p>
        </w:tc>
      </w:tr>
      <w:tr w14:paraId="13D04B3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8C1AD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（四）</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02576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响应委托</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34BAD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▲1.供应商代表是法定代表人（单位负责人、自然人本人）的，须提供本人身份证明。</w:t>
            </w:r>
          </w:p>
          <w:p w14:paraId="330F34A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▲2.供应商代表不是法定代表人（单位负责人、自然人本人）的，须提供授权委托书和授权代表社保缴纳证明（2026年3月（含）以来任意一月）；</w:t>
            </w:r>
          </w:p>
          <w:p w14:paraId="1BDC2B0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▲3.供应商委派不在本单位缴纳社保的人员作为授权代表的，应当在响应文件中，说明具体原因、授权代表缴纳社保的单位，并附列该授权代表缴纳社保清单。</w:t>
            </w:r>
          </w:p>
        </w:tc>
      </w:tr>
      <w:tr w14:paraId="7AFD939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3AD13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（五）</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9DD11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联合体响应</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DEC76B">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本项目是否接受联合体响应：</w:t>
            </w:r>
            <w:r>
              <w:rPr>
                <w:rFonts w:hint="eastAsia" w:ascii="宋体" w:hAnsi="宋体" w:eastAsia="宋体" w:cs="宋体"/>
                <w:i w:val="0"/>
                <w:iCs w:val="0"/>
                <w:color w:val="auto"/>
                <w:spacing w:val="0"/>
                <w:kern w:val="0"/>
                <w:sz w:val="21"/>
                <w:szCs w:val="21"/>
                <w:highlight w:val="none"/>
                <w:lang w:val="en-US" w:eastAsia="zh-CN"/>
              </w:rPr>
              <w:t>是</w:t>
            </w:r>
          </w:p>
          <w:p w14:paraId="1EB3264B">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auto"/>
                <w:spacing w:val="0"/>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rPr>
              <w:t>两个以上的自然人、法人或者其他组织可以组成一个联合体，以一个供应商的身份共同参加采购。（2）以联合体形式进行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3）联合体中有同类资质的供应商按照联合体分工承担相同工作的，应当按照资质等级较低的供应商确定资质等级。（4）以联合体形式参加采购活动的，联合体各方不得再单独参加或者与其他供应商另外组成联合体参加同一合同项下的采购活动。</w:t>
            </w:r>
          </w:p>
          <w:p w14:paraId="3E63BBA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宋体" w:hAnsi="宋体" w:eastAsia="宋体" w:cs="宋体"/>
                <w:i w:val="0"/>
                <w:iCs w:val="0"/>
                <w:caps w:val="0"/>
                <w:color w:val="auto"/>
                <w:spacing w:val="0"/>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rPr>
              <w:t>联合体其他有关说明：</w:t>
            </w:r>
          </w:p>
          <w:p w14:paraId="2D8D88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宋体" w:hAnsi="宋体" w:eastAsia="宋体" w:cs="宋体"/>
                <w:i w:val="0"/>
                <w:iCs w:val="0"/>
                <w:caps w:val="0"/>
                <w:color w:val="auto"/>
                <w:spacing w:val="0"/>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rPr>
              <w:t>1.联合体的特定资格要求：按照联合协议承担特定工作的供应商具有相应资质即为符合要求；</w:t>
            </w:r>
          </w:p>
          <w:p w14:paraId="4CCFDD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宋体" w:hAnsi="宋体" w:eastAsia="宋体" w:cs="宋体"/>
                <w:i w:val="0"/>
                <w:iCs w:val="0"/>
                <w:caps w:val="0"/>
                <w:color w:val="auto"/>
                <w:spacing w:val="0"/>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rPr>
              <w:t>2.联合体的商务技术资料：联合体成员中有一方具备即为符合要求；</w:t>
            </w:r>
          </w:p>
        </w:tc>
      </w:tr>
      <w:tr w14:paraId="435BB93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F9F0F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（六）</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87D70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转包与分包</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3B993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1.本项目不允许转包；</w:t>
            </w:r>
          </w:p>
          <w:p w14:paraId="0825B4D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2.本项目</w:t>
            </w:r>
            <w:r>
              <w:rPr>
                <w:rFonts w:hint="eastAsia" w:ascii="宋体" w:hAnsi="宋体" w:cs="宋体"/>
                <w:i w:val="0"/>
                <w:iCs w:val="0"/>
                <w:color w:val="auto"/>
                <w:spacing w:val="0"/>
                <w:kern w:val="0"/>
                <w:sz w:val="21"/>
                <w:szCs w:val="21"/>
                <w:highlight w:val="none"/>
                <w:lang w:val="en-US" w:eastAsia="zh-CN"/>
              </w:rPr>
              <w:t>不允许分包，</w:t>
            </w:r>
            <w:r>
              <w:rPr>
                <w:rFonts w:hint="eastAsia" w:ascii="宋体" w:hAnsi="宋体" w:cs="宋体"/>
                <w:color w:val="auto"/>
                <w:spacing w:val="0"/>
                <w:kern w:val="0"/>
                <w:sz w:val="21"/>
                <w:szCs w:val="21"/>
                <w:highlight w:val="none"/>
                <w:lang w:val="en-US" w:eastAsia="zh-CN"/>
              </w:rPr>
              <w:t>不适宜分包的理由：</w:t>
            </w:r>
            <w:r>
              <w:rPr>
                <w:rFonts w:hint="eastAsia" w:ascii="宋体" w:hAnsi="宋体" w:cs="宋体"/>
                <w:color w:val="auto"/>
                <w:spacing w:val="0"/>
                <w:kern w:val="0"/>
                <w:sz w:val="21"/>
                <w:szCs w:val="21"/>
                <w:highlight w:val="none"/>
                <w:u w:val="single"/>
                <w:lang w:val="en-US" w:eastAsia="zh-CN"/>
              </w:rPr>
              <w:t>为确保项目实施进度与质量</w:t>
            </w:r>
            <w:r>
              <w:rPr>
                <w:rFonts w:hint="eastAsia" w:ascii="宋体" w:hAnsi="宋体" w:eastAsia="宋体" w:cs="宋体"/>
                <w:color w:val="auto"/>
                <w:spacing w:val="0"/>
                <w:kern w:val="0"/>
                <w:sz w:val="21"/>
                <w:szCs w:val="21"/>
                <w:highlight w:val="none"/>
                <w:lang w:val="en-US" w:eastAsia="zh-CN"/>
              </w:rPr>
              <w:t>。</w:t>
            </w:r>
          </w:p>
        </w:tc>
      </w:tr>
      <w:tr w14:paraId="777F2A9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1FCA5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（七）</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83075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文件资料邮寄信息</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1949D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电子备份响应文件等资料（如有）邮寄信息： </w:t>
            </w:r>
          </w:p>
          <w:p w14:paraId="74E0EEB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i w:val="0"/>
                <w:iCs w:val="0"/>
                <w:caps w:val="0"/>
                <w:color w:val="auto"/>
                <w:spacing w:val="0"/>
                <w:kern w:val="0"/>
                <w:sz w:val="21"/>
                <w:szCs w:val="21"/>
                <w:highlight w:val="none"/>
                <w:lang w:val="en-US" w:eastAsia="zh-CN"/>
              </w:rPr>
              <w:t>  资料外包装或封签应标明：</w:t>
            </w:r>
            <w:r>
              <w:rPr>
                <w:rFonts w:hint="eastAsia" w:ascii="宋体" w:hAnsi="宋体" w:eastAsia="宋体" w:cs="宋体"/>
                <w:b w:val="0"/>
                <w:bCs w:val="0"/>
                <w:i w:val="0"/>
                <w:iCs w:val="0"/>
                <w:caps w:val="0"/>
                <w:color w:val="auto"/>
                <w:spacing w:val="0"/>
                <w:kern w:val="0"/>
                <w:sz w:val="21"/>
                <w:szCs w:val="21"/>
                <w:highlight w:val="none"/>
                <w:u w:val="single"/>
                <w:lang w:val="en-US" w:eastAsia="zh-CN"/>
              </w:rPr>
              <w:t>资料内容、项目名称、项目编号、标项、供应商名称</w:t>
            </w:r>
            <w:r>
              <w:rPr>
                <w:rFonts w:hint="eastAsia" w:ascii="宋体" w:hAnsi="宋体" w:eastAsia="宋体" w:cs="宋体"/>
                <w:i w:val="0"/>
                <w:iCs w:val="0"/>
                <w:caps w:val="0"/>
                <w:color w:val="auto"/>
                <w:spacing w:val="0"/>
                <w:kern w:val="0"/>
                <w:sz w:val="21"/>
                <w:szCs w:val="21"/>
                <w:highlight w:val="none"/>
                <w:u w:val="single"/>
                <w:lang w:val="en-US" w:eastAsia="zh-CN"/>
              </w:rPr>
              <w:t>并加盖公章。</w:t>
            </w:r>
          </w:p>
          <w:p w14:paraId="3E2BBA1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  邮寄地址：</w:t>
            </w:r>
            <w:r>
              <w:rPr>
                <w:rFonts w:hint="eastAsia" w:ascii="宋体" w:hAnsi="宋体" w:eastAsia="宋体" w:cs="宋体"/>
                <w:i w:val="0"/>
                <w:iCs w:val="0"/>
                <w:color w:val="auto"/>
                <w:spacing w:val="0"/>
                <w:kern w:val="0"/>
                <w:sz w:val="21"/>
                <w:szCs w:val="21"/>
                <w:highlight w:val="none"/>
                <w:lang w:val="en-US" w:eastAsia="zh-CN"/>
              </w:rPr>
              <w:t>杭州市西湖区玉古路173号中田大厦21楼</w:t>
            </w:r>
            <w:r>
              <w:rPr>
                <w:rFonts w:hint="eastAsia" w:ascii="宋体" w:hAnsi="宋体" w:eastAsia="宋体" w:cs="宋体"/>
                <w:color w:val="auto"/>
                <w:spacing w:val="0"/>
                <w:kern w:val="0"/>
                <w:sz w:val="21"/>
                <w:szCs w:val="21"/>
                <w:highlight w:val="none"/>
                <w:lang w:val="en-US" w:eastAsia="zh-CN"/>
              </w:rPr>
              <w:t>，</w:t>
            </w:r>
            <w:r>
              <w:rPr>
                <w:rFonts w:hint="eastAsia" w:ascii="宋体" w:hAnsi="宋体" w:eastAsia="宋体" w:cs="宋体"/>
                <w:i w:val="0"/>
                <w:iCs w:val="0"/>
                <w:color w:val="auto"/>
                <w:spacing w:val="0"/>
                <w:kern w:val="0"/>
                <w:sz w:val="21"/>
                <w:szCs w:val="21"/>
                <w:highlight w:val="none"/>
                <w:lang w:val="en-US" w:eastAsia="zh-CN"/>
              </w:rPr>
              <w:t>浙江求是招标代理有限公司</w:t>
            </w:r>
            <w:r>
              <w:rPr>
                <w:rFonts w:hint="eastAsia" w:ascii="宋体" w:hAnsi="宋体" w:eastAsia="宋体" w:cs="宋体"/>
                <w:color w:val="auto"/>
                <w:spacing w:val="0"/>
                <w:kern w:val="0"/>
                <w:sz w:val="21"/>
                <w:szCs w:val="21"/>
                <w:highlight w:val="none"/>
                <w:lang w:val="en-US" w:eastAsia="zh-CN"/>
              </w:rPr>
              <w:t>，收件人：</w:t>
            </w:r>
            <w:r>
              <w:rPr>
                <w:rFonts w:hint="eastAsia" w:ascii="宋体" w:hAnsi="宋体" w:eastAsia="宋体" w:cs="宋体"/>
                <w:i w:val="0"/>
                <w:iCs w:val="0"/>
                <w:color w:val="auto"/>
                <w:spacing w:val="0"/>
                <w:kern w:val="0"/>
                <w:sz w:val="21"/>
                <w:szCs w:val="21"/>
                <w:highlight w:val="none"/>
                <w:lang w:val="en-US" w:eastAsia="zh-CN"/>
              </w:rPr>
              <w:t>温瑶</w:t>
            </w:r>
            <w:r>
              <w:rPr>
                <w:rFonts w:hint="eastAsia" w:ascii="宋体" w:hAnsi="宋体" w:eastAsia="宋体" w:cs="宋体"/>
                <w:color w:val="auto"/>
                <w:spacing w:val="0"/>
                <w:kern w:val="0"/>
                <w:sz w:val="21"/>
                <w:szCs w:val="21"/>
                <w:highlight w:val="none"/>
                <w:lang w:val="en-US" w:eastAsia="zh-CN"/>
              </w:rPr>
              <w:t>，电话：</w:t>
            </w:r>
            <w:r>
              <w:rPr>
                <w:rFonts w:hint="eastAsia" w:ascii="宋体" w:hAnsi="宋体" w:eastAsia="宋体" w:cs="宋体"/>
                <w:i w:val="0"/>
                <w:iCs w:val="0"/>
                <w:color w:val="auto"/>
                <w:spacing w:val="0"/>
                <w:kern w:val="0"/>
                <w:sz w:val="21"/>
                <w:szCs w:val="21"/>
                <w:highlight w:val="none"/>
                <w:lang w:val="en-US" w:eastAsia="zh-CN"/>
              </w:rPr>
              <w:t>0571-87666115</w:t>
            </w:r>
            <w:r>
              <w:rPr>
                <w:rFonts w:hint="eastAsia" w:ascii="宋体" w:hAnsi="宋体" w:eastAsia="宋体" w:cs="宋体"/>
                <w:color w:val="auto"/>
                <w:spacing w:val="0"/>
                <w:kern w:val="0"/>
                <w:sz w:val="21"/>
                <w:szCs w:val="21"/>
                <w:highlight w:val="none"/>
                <w:lang w:val="en-US" w:eastAsia="zh-CN"/>
              </w:rPr>
              <w:t>，电子邮箱：</w:t>
            </w:r>
            <w:r>
              <w:rPr>
                <w:rFonts w:hint="eastAsia" w:ascii="宋体" w:hAnsi="宋体" w:eastAsia="宋体" w:cs="宋体"/>
                <w:i w:val="0"/>
                <w:iCs w:val="0"/>
                <w:color w:val="auto"/>
                <w:spacing w:val="0"/>
                <w:kern w:val="0"/>
                <w:sz w:val="21"/>
                <w:szCs w:val="21"/>
                <w:highlight w:val="none"/>
                <w:lang w:val="en-US" w:eastAsia="zh-CN"/>
              </w:rPr>
              <w:t>zb03@qszb.net</w:t>
            </w:r>
            <w:r>
              <w:rPr>
                <w:rFonts w:hint="eastAsia" w:ascii="宋体" w:hAnsi="宋体" w:eastAsia="宋体" w:cs="宋体"/>
                <w:color w:val="auto"/>
                <w:spacing w:val="0"/>
                <w:kern w:val="0"/>
                <w:sz w:val="21"/>
                <w:szCs w:val="21"/>
                <w:highlight w:val="none"/>
                <w:lang w:val="en-US" w:eastAsia="zh-CN"/>
              </w:rPr>
              <w:t>。</w:t>
            </w:r>
          </w:p>
          <w:p w14:paraId="2EE8310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  特别说明：建议使用EMS或顺丰邮寄。寄出后将：快递单号、项目名称、项目编号、供应商名称、联系方式等相关信息发送至电子邮箱，以便查收。双休日和法定节假日不收件，供应商人自行承担邮寄风险。</w:t>
            </w:r>
          </w:p>
        </w:tc>
      </w:tr>
      <w:tr w14:paraId="07C54EB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FC4D7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（八）</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0E172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报价</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33A0E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1.报价应按采购文件要求的格式编制、填写报价内容（可自行增行），未按采购文件要求编制、填写的响应文件可能被拒绝；</w:t>
            </w:r>
          </w:p>
          <w:p w14:paraId="1387CD2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2.本次采购采用人民币报价；</w:t>
            </w:r>
          </w:p>
          <w:p w14:paraId="6CC4557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3.最后报价是履行合同的最终价格，有关本项目实施所涉及的一切费用均计入报价。总价不为零，分项报价中部分产品、服务单价为零的，视作已包含在总价中。</w:t>
            </w:r>
          </w:p>
          <w:p w14:paraId="13B37B2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▲4.采购人将以合同形式有偿取得货物、工程和服务，不接受供应商给予的赠品、回扣或者与采购无关的其他商品、服务。</w:t>
            </w:r>
          </w:p>
        </w:tc>
      </w:tr>
      <w:tr w14:paraId="669C7AC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0F92A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（九）</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CA1D0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响应有效期</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5939F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▲从提交响应文件的截止之日起90天。在原响应有效期满之前，如果出现特殊情况，采购人或采购代理机构以书面形式通知供应商延长响应有效期。</w:t>
            </w:r>
          </w:p>
        </w:tc>
      </w:tr>
      <w:tr w14:paraId="56EEBB5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0F4D2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（十）</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47348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信用记录</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0610B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  根据财库[2016]125号《关于在政府采购活动中查询及使用信用记录有关问题的通知》要求，采购代理机构会对供应商信用记录进行查询并甄别，信用信息查询的截止时点：响应截止时间。</w:t>
            </w:r>
          </w:p>
          <w:p w14:paraId="35547F3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（1）查询渠道：“信用中国”（www.creditchina.gov.cn）、“中国政府采购网”（www.ccgp.gov.cn）；</w:t>
            </w:r>
          </w:p>
          <w:p w14:paraId="44CF1C0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（2）信用信息查询记录和证据留存具体方式：采购代理机构经办人和监督人员将查询网页打印、签名与其他采购文件一并保存；</w:t>
            </w:r>
          </w:p>
          <w:p w14:paraId="120840B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（3）信用信息的使用规则：供应商被列入失信被执行人、重大税收违法案件当事人名单、政府采购严重违法失信行为记录名单的，拒绝其参与采购活动。</w:t>
            </w:r>
          </w:p>
          <w:p w14:paraId="6304E23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  联合体信用信息查询：两个以上的自然人、法人或者其他组织组成一个联合体，以一个供应商的身份共同参加采购活动的，应当对所有联合体成员进行信用记录查询，联合体成员存在不良信用记录的，视同联合体存在不良信用记录。</w:t>
            </w:r>
          </w:p>
        </w:tc>
      </w:tr>
      <w:tr w14:paraId="1632663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4B81D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（十一）</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2D2BF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磋商</w:t>
            </w:r>
            <w:r>
              <w:rPr>
                <w:rFonts w:hint="eastAsia" w:ascii="宋体" w:hAnsi="宋体" w:eastAsia="宋体" w:cs="宋体"/>
                <w:b w:val="0"/>
                <w:bCs w:val="0"/>
                <w:color w:val="auto"/>
                <w:spacing w:val="0"/>
                <w:kern w:val="0"/>
                <w:sz w:val="21"/>
                <w:szCs w:val="21"/>
                <w:highlight w:val="none"/>
                <w:lang w:val="en-US" w:eastAsia="zh-CN"/>
              </w:rPr>
              <w:t>说明</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9DF98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供应商的磋商内容或最后报价应当在规定时间内（不少于30分钟）通过指定的方式提交。供应商超过规定时间未提交磋商记录或最后报价的，视为退出磋商。</w:t>
            </w:r>
          </w:p>
        </w:tc>
      </w:tr>
      <w:tr w14:paraId="2310F46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D8BC2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（十二）</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93AA0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评审结果公示</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048D2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评审结果公示媒体：</w:t>
            </w:r>
            <w:r>
              <w:rPr>
                <w:rFonts w:hint="eastAsia" w:ascii="宋体" w:hAnsi="宋体" w:eastAsia="宋体" w:cs="宋体"/>
                <w:i w:val="0"/>
                <w:iCs w:val="0"/>
                <w:color w:val="auto"/>
                <w:spacing w:val="0"/>
                <w:kern w:val="0"/>
                <w:sz w:val="21"/>
                <w:szCs w:val="21"/>
                <w:highlight w:val="none"/>
                <w:lang w:val="en-US" w:eastAsia="zh-CN"/>
              </w:rPr>
              <w:t>浙江政府采购网（zfcg.czt.zj.gov.cn）</w:t>
            </w:r>
          </w:p>
        </w:tc>
      </w:tr>
    </w:tbl>
    <w:p w14:paraId="649720AF">
      <w:pPr>
        <w:keepNext w:val="0"/>
        <w:keepLines w:val="0"/>
        <w:widowControl/>
        <w:suppressLineNumbers w:val="0"/>
        <w:jc w:val="left"/>
        <w:rPr>
          <w:color w:val="auto"/>
          <w:highlight w:val="none"/>
        </w:rPr>
      </w:pPr>
    </w:p>
    <w:p w14:paraId="5ED52A43">
      <w:pPr>
        <w:pStyle w:val="5"/>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供应商须知</w:t>
      </w:r>
    </w:p>
    <w:p w14:paraId="03241F59">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一、总则</w:t>
      </w:r>
    </w:p>
    <w:p w14:paraId="545B1CE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3D41F55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供应商应仔细阅读磋商文件的所有内容，按照磋商文件的要求提交响应文件，并对所提供的全部资料的真实性承担法律责任。</w:t>
      </w:r>
    </w:p>
    <w:p w14:paraId="0635C2EC">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（一）适用范围</w:t>
      </w:r>
    </w:p>
    <w:p w14:paraId="539CC31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本磋商文件适用于本项目的磋商、评审、成交、验收、合同履约、付款等（法律、法规另有规定的，从其规定）。</w:t>
      </w:r>
    </w:p>
    <w:p w14:paraId="38A9F8CB">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（二）定义</w:t>
      </w:r>
    </w:p>
    <w:p w14:paraId="29C7892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1.“采购人”系指采购公告中载明的本项目的采购人；</w:t>
      </w:r>
    </w:p>
    <w:p w14:paraId="30F391A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2.“采购代理机构”系指组织本次竞争性磋商的浙江求是招标代理有限公司；</w:t>
      </w:r>
    </w:p>
    <w:p w14:paraId="0BF2AC9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3.“供应商”系指响应磋商、参加竞争的法人、其他组织或者自然人；</w:t>
      </w:r>
    </w:p>
    <w:p w14:paraId="63403E3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4.“书面形式”包括合同书、信件和数据电文(包括电报、电传、传真、电子数据交换和电子邮件)等可以有形地表现所载内容的形式；</w:t>
      </w:r>
    </w:p>
    <w:p w14:paraId="455BB9A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5.“电子加密响应文件”系指通过电子交易客户端（响应客户端）完成响应文件编制后生成并加密的数据电文形式的响应文件；“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p>
    <w:p w14:paraId="3E157D0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磋商文件对响应文件签署、盖章的要求适用于电子签名。</w:t>
      </w:r>
    </w:p>
    <w:p w14:paraId="023D424B">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6.“▲”系指实质性要求条款，供应商应当做出实质性响应。</w:t>
      </w:r>
    </w:p>
    <w:p w14:paraId="2B423967">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（三）采购方式</w:t>
      </w:r>
    </w:p>
    <w:p w14:paraId="42A08CC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采购方式：详见【第三章  供应商须知  前附表】。</w:t>
      </w:r>
    </w:p>
    <w:p w14:paraId="78CBC1D6">
      <w:pPr>
        <w:keepNext w:val="0"/>
        <w:keepLines w:val="0"/>
        <w:widowControl/>
        <w:suppressLineNumbers w:val="0"/>
        <w:spacing w:line="288" w:lineRule="auto"/>
        <w:ind w:left="0" w:firstLine="422"/>
        <w:jc w:val="left"/>
        <w:rPr>
          <w:rFonts w:hint="eastAsia" w:ascii="宋体" w:hAnsi="宋体" w:eastAsia="宋体" w:cs="宋体"/>
          <w:b/>
          <w:bCs/>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（四）磋商费用</w:t>
      </w:r>
    </w:p>
    <w:p w14:paraId="6429704F">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磋商保证金：详见【第三章  供应商须知  前附表】。</w:t>
      </w:r>
    </w:p>
    <w:p w14:paraId="6E8442BB">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代理服务费：详见【第三章  供应商须知  前附表】。</w:t>
      </w:r>
    </w:p>
    <w:p w14:paraId="3E7B0CC3">
      <w:pPr>
        <w:keepNext w:val="0"/>
        <w:keepLines w:val="0"/>
        <w:widowControl/>
        <w:suppressLineNumbers w:val="0"/>
        <w:spacing w:line="288" w:lineRule="auto"/>
        <w:ind w:left="0" w:firstLine="422"/>
        <w:jc w:val="left"/>
        <w:rPr>
          <w:rFonts w:hint="eastAsia" w:ascii="宋体" w:hAnsi="宋体" w:eastAsia="宋体" w:cs="宋体"/>
          <w:b/>
          <w:bCs/>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（五）竞争性磋商委托</w:t>
      </w:r>
    </w:p>
    <w:p w14:paraId="6513FAA1">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详见【第三章  供应商须知  前附表】。</w:t>
      </w:r>
    </w:p>
    <w:p w14:paraId="77B50DC2">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（六）联合体响应</w:t>
      </w:r>
    </w:p>
    <w:p w14:paraId="513BF51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详见【第三章  供应商人须知  前附表】。</w:t>
      </w:r>
    </w:p>
    <w:p w14:paraId="5E4C6772">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（七）转包与分包</w:t>
      </w:r>
    </w:p>
    <w:p w14:paraId="51856CA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详见【第三章  供应商须知  前附表】。</w:t>
      </w:r>
    </w:p>
    <w:p w14:paraId="6923EB62">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（八）质疑和投诉</w:t>
      </w:r>
    </w:p>
    <w:p w14:paraId="76D2002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供应商认为采购文件、采购过程、中标或者成交结果使自己的权益受到损害的，可以在知道或者应知其权益受到损害之日起7个工作日内，以书面形式向采购人、采购代理机构提出质疑。采购人、采购代理机构在收到供应商的书面质疑后七个工作日内作出答复。</w:t>
      </w:r>
    </w:p>
    <w:p w14:paraId="12D88F8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质疑供应商对采购人、采购代理机构的答复不满意，或者采购人、采购代理机构未在规定时间内作出答复的，可以在答复期满后15个工作日内向本级财政部门提起投诉。</w:t>
      </w:r>
    </w:p>
    <w:p w14:paraId="1B1A7766">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2.供应商提出质疑应当提交质疑函和必要的证明材料，质疑函范本、投诉书范本请到浙江政府采购网下载专区下载。质疑函应当包括下列内容：</w:t>
      </w:r>
    </w:p>
    <w:p w14:paraId="5A7DAB8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（1）供应商的姓名或者名称、地址、邮编、联系人及联系电话；</w:t>
      </w:r>
    </w:p>
    <w:p w14:paraId="63664D6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（2）质疑项目的名称、编号；</w:t>
      </w:r>
    </w:p>
    <w:p w14:paraId="04AEE32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（3）具体、明确的质疑事项和与质疑事项相关的请求；</w:t>
      </w:r>
    </w:p>
    <w:p w14:paraId="362F6AF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（4）事实依据；</w:t>
      </w:r>
    </w:p>
    <w:p w14:paraId="3FE909E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（5）必要的法律依据；</w:t>
      </w:r>
    </w:p>
    <w:p w14:paraId="65E5621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（6）提出质疑的日期。</w:t>
      </w:r>
    </w:p>
    <w:p w14:paraId="368DBF2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供应商为自然人的，应当由本人签名；供应商为法人或者其他组织的，应当由法定代表人、主要负责人，或者其授权代表签名或者盖章，并加盖公章。</w:t>
      </w:r>
    </w:p>
    <w:p w14:paraId="3782F09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3.提出质疑的供应商应当是参与本项目磋商响应活动的供应商。</w:t>
      </w:r>
      <w:r>
        <w:rPr>
          <w:rFonts w:hint="eastAsia" w:ascii="宋体" w:hAnsi="宋体" w:eastAsia="宋体" w:cs="宋体"/>
          <w:b/>
          <w:bCs/>
          <w:color w:val="auto"/>
          <w:spacing w:val="0"/>
          <w:kern w:val="0"/>
          <w:sz w:val="21"/>
          <w:szCs w:val="21"/>
          <w:highlight w:val="none"/>
          <w:lang w:val="en-US" w:eastAsia="zh-CN"/>
        </w:rPr>
        <w:t>供应商在法定质疑期内应一次性提出针对同一采购程序环节的质疑。</w:t>
      </w:r>
    </w:p>
    <w:p w14:paraId="47CDD1D2">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4.根据《政府采购质疑和投诉办法》第三十七条的规定，投诉人在全国范围12个月内三次以上投诉查无实据的，由财政部门列入不良行为记录名单。</w:t>
      </w:r>
    </w:p>
    <w:p w14:paraId="00A3324B">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投诉人有下列行为之一的，属于虚假、恶意投诉，由财政部门列入不良行为记录名单，禁止其1至3年内参加政府采购活动：</w:t>
      </w:r>
    </w:p>
    <w:p w14:paraId="1F0BF8F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（1）捏造事实；</w:t>
      </w:r>
    </w:p>
    <w:p w14:paraId="790FF82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（2）提供虚假材料；</w:t>
      </w:r>
    </w:p>
    <w:p w14:paraId="36BEC03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（3）以非法手段取得证明材料。证据来源的合法性存在明显疑问，投诉人无法证明其取得方式合法的，视为以非法手段取得证明材料。</w:t>
      </w:r>
    </w:p>
    <w:p w14:paraId="6BDB57E3">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（九）采购项目需要落实的政府采购政策</w:t>
      </w:r>
    </w:p>
    <w:p w14:paraId="7AA26BA8">
      <w:pPr>
        <w:keepNext w:val="0"/>
        <w:keepLines w:val="0"/>
        <w:widowControl/>
        <w:suppressLineNumbers w:val="0"/>
        <w:autoSpaceDE w:val="0"/>
        <w:autoSpaceDN/>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1.支持本国产品</w:t>
      </w:r>
    </w:p>
    <w:p w14:paraId="0A6329DF">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1.1 本国产品标准（依据《国务院办公厅关于在政府采购中实施本国产品标准及相关政策的通知》国办发〔2025〕34号）</w:t>
      </w:r>
    </w:p>
    <w:p w14:paraId="4C85DD5B">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本国产品应当符合以下条件：</w:t>
      </w:r>
    </w:p>
    <w:p w14:paraId="34F14304">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（一）在中国境内生产</w:t>
      </w:r>
    </w:p>
    <w:p w14:paraId="10CBFD1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47B63AA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1.为确保产品在运输或者储存期间保持某种状态而进行的操作；</w:t>
      </w:r>
    </w:p>
    <w:p w14:paraId="20A917D3">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2.为产品运输或者销售进行的包装或者展示；</w:t>
      </w:r>
    </w:p>
    <w:p w14:paraId="0E78EBD3">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3.在产品或者其包装上粘贴或者印刷品牌、标志、标识以及其他用于区别的标记；</w:t>
      </w:r>
    </w:p>
    <w:p w14:paraId="3E4E58D6">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4.简单的上漆、磨光和分装；</w:t>
      </w:r>
    </w:p>
    <w:p w14:paraId="138E2C2C">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5.其他不属于属性改变的情形。</w:t>
      </w:r>
    </w:p>
    <w:p w14:paraId="37550CD2">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（二）在中国境内生产的组件成本占比达到规定比例</w:t>
      </w:r>
    </w:p>
    <w:p w14:paraId="525E00B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产品在中国境内生产的组件成本占比应当达到规定比例，计算公式为：</w:t>
      </w:r>
    </w:p>
    <w:p w14:paraId="71C190A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（产品在中国境内生产的组件成本 / 产品总成本）≥规定比例。</w:t>
      </w:r>
    </w:p>
    <w:p w14:paraId="49BEC9CF">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5B34D2D">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（三）特定产品的关键组件、关键工序符合相关要求</w:t>
      </w:r>
    </w:p>
    <w:p w14:paraId="5E73193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3F5A4D1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79BF444">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1.2 本国产品标准的适用范围</w:t>
      </w:r>
    </w:p>
    <w:p w14:paraId="5AD856C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C3774B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rPr>
        <w:t>1.3 本项目原则上采购本国生产的货物、服务，不允许采购进口产品。优先采购向我国企业转让技术、与我国企业签订消化吸收再创新方案的供应商的进口产品。</w:t>
      </w:r>
    </w:p>
    <w:p w14:paraId="1CC9C52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105141E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3B34652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rPr>
        <w:t>2.支持绿色发展</w:t>
      </w:r>
    </w:p>
    <w:p w14:paraId="20840DE9">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51CB2843">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采购人拟采购产品属于节能产品政府采购清单规定必须强制采购的，将在磋商文件中明确载明，供应商相应的响应产品须提供国家确定的认证机构出具的、处于有效期之内的节能产品认证证书。</w:t>
      </w:r>
    </w:p>
    <w:p w14:paraId="0F4B60C8">
      <w:pPr>
        <w:keepNext w:val="0"/>
        <w:keepLines w:val="0"/>
        <w:widowControl/>
        <w:suppressLineNumbers w:val="0"/>
        <w:autoSpaceDE/>
        <w:autoSpaceDN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3.支持中小企业发展</w:t>
      </w:r>
    </w:p>
    <w:p w14:paraId="15F036F2">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FF0882D">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3.2 在政府采购活动中，供应商提供的货物或者服务符合下列情形的，享受中小企业扶持政策：</w:t>
      </w:r>
    </w:p>
    <w:p w14:paraId="5ECECB2A">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在货物采购项目中，货物由中小企业制造，即货物由</w:t>
      </w:r>
      <w:r>
        <w:rPr>
          <w:rFonts w:hint="eastAsia" w:ascii="宋体" w:hAnsi="宋体" w:eastAsia="宋体" w:cs="宋体"/>
          <w:color w:val="auto"/>
          <w:spacing w:val="0"/>
          <w:kern w:val="0"/>
          <w:sz w:val="21"/>
          <w:szCs w:val="21"/>
          <w:highlight w:val="none"/>
          <w:u w:val="single"/>
          <w:lang w:val="en-US" w:eastAsia="zh-CN"/>
        </w:rPr>
        <w:t>中小企业生产且使用该中小企业商号或者注册商标</w:t>
      </w:r>
      <w:r>
        <w:rPr>
          <w:rFonts w:hint="eastAsia" w:ascii="宋体" w:hAnsi="宋体" w:eastAsia="宋体" w:cs="宋体"/>
          <w:color w:val="auto"/>
          <w:spacing w:val="0"/>
          <w:kern w:val="0"/>
          <w:sz w:val="21"/>
          <w:szCs w:val="21"/>
          <w:highlight w:val="none"/>
          <w:lang w:val="en-US" w:eastAsia="zh-CN"/>
        </w:rPr>
        <w:t>。如果一个采购项目或采购包含有多个采购标的的，则每个采购标的均应由中小企业制造。在工程采购项目中，工程由中小企业承建，即工程施工单位为中小企业。在服务采购项目中，服务由中小企业承接，即提供服务的人员为中小企业依照《中华人民共和国劳动合同法》订立劳动合同的从业人员。</w:t>
      </w:r>
    </w:p>
    <w:p w14:paraId="3BD92045">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3D1C214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中小企业享受扶持政策获得政府采购合同的，小微企业不得将合同分包给大中型企业，中型企业不得将合同分包给大型企业。</w:t>
      </w:r>
    </w:p>
    <w:p w14:paraId="73EB61C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3.4 以联合体形式参加政府采购活动，联合体各方均为中小企业的，联合体视同中小企业。其中，联合体各方均为小微企业的，联合体视同小微企业。</w:t>
      </w:r>
    </w:p>
    <w:p w14:paraId="6F6A68A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26C6E5DB">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组成联合体或者接受分包合同的中小企业与联合体内其他企业、分包企业之间不得存在直接控股、管理关系。</w:t>
      </w:r>
    </w:p>
    <w:p w14:paraId="6B5A574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专门面向中小企业采购的项目或者采购包，不再执行价格评审优惠的扶持政策。</w:t>
      </w:r>
    </w:p>
    <w:p w14:paraId="5115F51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3.6 未预留份额专门面向中小企业采购的采购项目，以及预留份额项目中的非预留部分采购包，对符合《政府采购促进中小企业发展管理办法》规定的小微企业报价给予10%-20%（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2%）的扣除，用扣除后的价格参加评审。组成联合体或者接受分包的小微企业与联合体内其他企业、分包企业之间存在直接控股、管理关系的，不享受价格扣除优惠政策。</w:t>
      </w:r>
    </w:p>
    <w:p w14:paraId="1B03658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3.7 中小企业参加政府采购活动，应当出具本办法规定的《中小企业声明函》，否则不得享受相关中小企业扶持政策。</w:t>
      </w:r>
    </w:p>
    <w:p w14:paraId="4EFEC55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《中小企业声明函》由参加政府采购活动的供应商出具。以联合体形式参加政府采购活动或者合同分包的，《中小企业声明函》中需填写联合体中的中小企业或签订分包意向协议的中小企业相关信息。</w:t>
      </w:r>
    </w:p>
    <w:p w14:paraId="6E8A9910">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3.8 供应商提供《中小企业声明函》内容不实的，属于提供虚假材料谋取中标、成交，依照《中华人民共和国政府采购法》等国家有关规定追究相应责任。</w:t>
      </w:r>
    </w:p>
    <w:p w14:paraId="7E544FDB">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u w:val="single"/>
          <w:lang w:val="en-US" w:eastAsia="zh-CN"/>
        </w:rPr>
        <w:t>3.9 《中小企业声明函》填写要求与认定标准详见【第二章  采购需求】。</w:t>
      </w:r>
    </w:p>
    <w:p w14:paraId="3552625A">
      <w:pPr>
        <w:keepNext w:val="0"/>
        <w:keepLines w:val="0"/>
        <w:widowControl/>
        <w:suppressLineNumbers w:val="0"/>
        <w:autoSpaceDE/>
        <w:autoSpaceDN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4.支持监狱企业发展</w:t>
      </w:r>
    </w:p>
    <w:p w14:paraId="0F34E1C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7EA493B4">
      <w:pPr>
        <w:keepNext w:val="0"/>
        <w:keepLines w:val="0"/>
        <w:widowControl/>
        <w:suppressLineNumbers w:val="0"/>
        <w:autoSpaceDE/>
        <w:autoSpaceDN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5.促进残疾人就业</w:t>
      </w:r>
    </w:p>
    <w:p w14:paraId="01A9B31B">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符合《关于促进残疾人就业政府采购政策的通知》（财库[2017]141号）规定的条件并提供《残疾人福利性单位声明函》的残疾人福利性单位视同小型、微型企业。</w:t>
      </w:r>
    </w:p>
    <w:p w14:paraId="2C20DA6B">
      <w:pPr>
        <w:keepNext w:val="0"/>
        <w:keepLines w:val="0"/>
        <w:widowControl/>
        <w:suppressLineNumbers w:val="0"/>
        <w:autoSpaceDE/>
        <w:autoSpaceDN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6.支持创新发展</w:t>
      </w:r>
    </w:p>
    <w:p w14:paraId="4BDEE816">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对省级以上主管部门认定的首台套产品，自纳入《省推广应用指导目录》起3年内参加政府采购活动，视同已具备相应销售业绩，业绩分为满分。</w:t>
      </w:r>
    </w:p>
    <w:p w14:paraId="7A7B7D3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产品核心技术高于国内领先水平，并具有明晰自主知识产权的“制造精品”产品，自认定之日起2年内视同已具备相应销售业绩，参加政府采购活动时业绩分值为满分。</w:t>
      </w:r>
    </w:p>
    <w:p w14:paraId="3475A74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7.评审价格同时存在小微企业价格扣除和本国产品价格扣除的，按以下公式计算：评审价格=有效报价×（1-小微企业价格扣除率-本国产品价格扣除率）。</w:t>
      </w:r>
    </w:p>
    <w:p w14:paraId="4D062C7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3BD2D229">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二、电子交易活动</w:t>
      </w:r>
    </w:p>
    <w:p w14:paraId="51EF610A">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spacing w:val="0"/>
          <w:kern w:val="0"/>
          <w:sz w:val="21"/>
          <w:szCs w:val="21"/>
          <w:highlight w:val="none"/>
          <w:lang w:val="en-US" w:eastAsia="zh-CN"/>
        </w:rPr>
        <w:t>1. 采购邀请</w:t>
      </w:r>
    </w:p>
    <w:p w14:paraId="72B3F414">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本项目采用发布公告方式邀请供应商，同时上传磋商文件至电子交易平台，供社会公众查阅和潜在供应商获取。</w:t>
      </w:r>
    </w:p>
    <w:p w14:paraId="5DB4B0D9">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spacing w:val="0"/>
          <w:kern w:val="0"/>
          <w:sz w:val="21"/>
          <w:szCs w:val="21"/>
          <w:highlight w:val="none"/>
          <w:lang w:val="en-US" w:eastAsia="zh-CN"/>
        </w:rPr>
        <w:t>2. 澄清或修改</w:t>
      </w:r>
    </w:p>
    <w:p w14:paraId="74C79CD2">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采购组织机构对磋商文件进行澄清或修改的，以公告形式发布，并通过电子交易平台通知已获取磋商文件的潜在供应商，供应商应及时关注公告信息及电子交易平台发出的通知消息。</w:t>
      </w:r>
    </w:p>
    <w:p w14:paraId="5864BC52">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spacing w:val="0"/>
          <w:kern w:val="0"/>
          <w:sz w:val="21"/>
          <w:szCs w:val="21"/>
          <w:highlight w:val="none"/>
          <w:lang w:val="en-US" w:eastAsia="zh-CN"/>
        </w:rPr>
        <w:t>3. 供应商响应</w:t>
      </w:r>
    </w:p>
    <w:p w14:paraId="3B651FB6">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潜在供应商获取磋商文件前应当在电子交易平台上注册账号并登录。注册及客户端操作详见电子交易平台相关介绍。</w:t>
      </w:r>
    </w:p>
    <w:p w14:paraId="371E2135">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供应商进行电子交易应安装客户端软件，并按照磋商文件和电子交易平台的要求编制并加密响应文件。供应商未按规定加密的响应文件，电子交易平台将拒收并提示。</w:t>
      </w:r>
    </w:p>
    <w:p w14:paraId="14400E7A">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将拒收。</w:t>
      </w:r>
    </w:p>
    <w:p w14:paraId="726AE14B">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电子交易平台收到响应文件，向供应商发出确认回执通知。在响应截止时间前，除供应商补充、修改或者撤回响应文件外，任何单位和个人不得解密或提取响应文件。</w:t>
      </w:r>
    </w:p>
    <w:p w14:paraId="20888A42">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供应商在电子交易平台传输递交响应文件后，还可以在响应截止时间前提交以介质存储的数据电文形式的备份响应文件，采购组织机构不强制要求供应商提交备份响应文件。</w:t>
      </w:r>
    </w:p>
    <w:p w14:paraId="3738D4C5">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提交备份响应文件应按电子交易平台设定制作、下载。</w:t>
      </w:r>
    </w:p>
    <w:p w14:paraId="5D16DFCC">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▲供应商仅提交备份响应文件但未按要求在电子交易平台传输递交响应文件的，响应将被拒绝。</w:t>
      </w:r>
    </w:p>
    <w:p w14:paraId="3B4BF8FE">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spacing w:val="0"/>
          <w:kern w:val="0"/>
          <w:sz w:val="21"/>
          <w:szCs w:val="21"/>
          <w:highlight w:val="none"/>
          <w:lang w:val="en-US" w:eastAsia="zh-CN"/>
        </w:rPr>
        <w:t>4. 线上开标</w:t>
      </w:r>
    </w:p>
    <w:p w14:paraId="3E9D819B">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采购组织机构按照磋商文件规定的时间通过电子交易平台组织开标、开启响应文件，所有供应商均应当准时在线参加。供应商未在线参加开标、开启响应文件的，视同认可开标、开启结果。供应商在评标结束前离线的，存在对评标过程中发出的澄清、说明或者补正未按时回复的风险。</w:t>
      </w:r>
    </w:p>
    <w:p w14:paraId="1E3478C3">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开标、开启响应文件时，电子交易平台自动提取所有响应文件，提示采购组织机构和供应商按磋商文件规定的方式和时间在线解密。给予供应商在线解密的时间由磋商文件规定，但不少于30分钟。</w:t>
      </w:r>
    </w:p>
    <w:p w14:paraId="3BD47433">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特别提示：响应文件未按时解密，供应商提供了备份响应文件的，以备份响应文件作为依据，否则视为响应文件撤回。响应文件已按时解密的，备份响应文件自动失效。</w:t>
      </w:r>
    </w:p>
    <w:p w14:paraId="13136CA1">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采购组织机构对开标、开启响应文件和评审现场进行全程录音录像并存档。</w:t>
      </w:r>
    </w:p>
    <w:p w14:paraId="1A247710">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spacing w:val="0"/>
          <w:kern w:val="0"/>
          <w:sz w:val="21"/>
          <w:szCs w:val="21"/>
          <w:highlight w:val="none"/>
          <w:lang w:val="en-US" w:eastAsia="zh-CN"/>
        </w:rPr>
        <w:t>5. 评审与数据交换</w:t>
      </w:r>
    </w:p>
    <w:p w14:paraId="6EAC0664">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评审中需要供应商对响应文件作出澄清、说明或者补正的，评标委员会和供应商应当通过电子交易平台交换数据电文。给予供应商提交澄清说明或补正的时间不少于30分钟，供应商已经明确表示澄清说明或补正完毕的除外。供应商未按规定时间回复澄清、说明或者补正的，视为拒绝澄清、说明或者补正。</w:t>
      </w:r>
    </w:p>
    <w:p w14:paraId="5B24D52F">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评标委员会完成评审后，通过电子交易平台向采购组织机构提交评标报告。</w:t>
      </w:r>
    </w:p>
    <w:p w14:paraId="06C40CD1">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采购人通过电子交易平台确认成交候选供应商。</w:t>
      </w:r>
    </w:p>
    <w:p w14:paraId="5E8362CA">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spacing w:val="0"/>
          <w:kern w:val="0"/>
          <w:sz w:val="21"/>
          <w:szCs w:val="21"/>
          <w:highlight w:val="none"/>
          <w:lang w:val="en-US" w:eastAsia="zh-CN"/>
        </w:rPr>
        <w:t>6. 交易中止</w:t>
      </w:r>
    </w:p>
    <w:p w14:paraId="337C14F9">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采购过程中出现以下情形，导致电子交易平台无法正常运行，或者无法保证电子交易的公平、公正和安全时，采购组织机构可中止电子交易活动：</w:t>
      </w:r>
    </w:p>
    <w:p w14:paraId="15408910">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（一）电子交易平台发生故障而无法登录访问的；</w:t>
      </w:r>
    </w:p>
    <w:p w14:paraId="7EA80242">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（二）电子交易平台应用或数据库出现错误，不能进行正常操作的；</w:t>
      </w:r>
    </w:p>
    <w:p w14:paraId="64DD7021">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（三）电子交易平台发现严重安全漏洞，有潜在泄密危险的；</w:t>
      </w:r>
    </w:p>
    <w:p w14:paraId="16DCB12E">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（四）病毒发作导致不能进行正常操作的；</w:t>
      </w:r>
    </w:p>
    <w:p w14:paraId="73F464FD">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（五）其他无法保证电子交易的公平、公正和安全的情况。</w:t>
      </w:r>
    </w:p>
    <w:p w14:paraId="1E927E7C">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spacing w:val="0"/>
          <w:kern w:val="0"/>
          <w:sz w:val="21"/>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7F7EF71C">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0D0EECE1">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三、磋商文件</w:t>
      </w:r>
    </w:p>
    <w:p w14:paraId="1B774B65">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（一）磋商文件的构成</w:t>
      </w:r>
    </w:p>
    <w:p w14:paraId="575F378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本磋商文件由以下部分组成：</w:t>
      </w:r>
    </w:p>
    <w:p w14:paraId="3EC913F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1.采购邀请</w:t>
      </w:r>
    </w:p>
    <w:p w14:paraId="773DB08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2.采购需求</w:t>
      </w:r>
    </w:p>
    <w:p w14:paraId="53BFF03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3.供应商须知</w:t>
      </w:r>
    </w:p>
    <w:p w14:paraId="6ACF5B4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4.评审方法和评审标准</w:t>
      </w:r>
    </w:p>
    <w:p w14:paraId="6BBE238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5.拟签订的合同文本</w:t>
      </w:r>
    </w:p>
    <w:p w14:paraId="374B132B">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6.响应文件格式</w:t>
      </w:r>
    </w:p>
    <w:p w14:paraId="3FECA3B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7.本项目磋商文件的澄清、答复、修改、补充的内容</w:t>
      </w:r>
    </w:p>
    <w:p w14:paraId="5775D413">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（二）供应商的风险</w:t>
      </w:r>
    </w:p>
    <w:p w14:paraId="2EFA069B">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供应商没有按照磋商文件要求提供全部资料，或者供应商没有对磋商文件在各方面作出实质性响应是供应商的风险，并可能导致其响应被拒绝。</w:t>
      </w:r>
    </w:p>
    <w:p w14:paraId="0F6ECEFB">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（三）磋商文件的澄清与修改</w:t>
      </w:r>
    </w:p>
    <w:p w14:paraId="2E4B377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1.提交首次响应文件截止之日前，采购人、采购代理机构可以对已发出的磋商文件进行必要的澄清或者修改，澄清或者修改的内容作为磋商文件的组成部分。</w:t>
      </w:r>
    </w:p>
    <w:p w14:paraId="6600B9B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澄清或者修改的内容可能影响响应文件编制的，采购人、采购代理机构会在提交首次响应文件截止时间至少5日前，以书面形式通知所有获取磋商文件的供应商；不足5日的，采购人、采购代理机构会顺延提交首次响应文件截止时间。</w:t>
      </w:r>
    </w:p>
    <w:p w14:paraId="4420761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2.磋商文件的修改将以书面形式通知所有获取磋商文件的供应商，并对其具有约束力。供应商在收到上述通知后，应立即向采购代理机构回函确认。若无书面回函确认，视同供应商已收到磋商文件修改的通知，并受其约束。</w:t>
      </w:r>
    </w:p>
    <w:p w14:paraId="5FA24DD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3.磋商文件澄清、答复、修改、补充的内容为磋商文件的组成部分。当磋商文件与磋商文件的答复、澄清、修改、补充通知就同一内容的表述不一致时，以最后发出的书面形式文件为准。</w:t>
      </w:r>
    </w:p>
    <w:p w14:paraId="064EE8E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4.磋商文件的澄清、答复、修改或补充都应该通过本采购代理机构以法定形式发布，采购人非通过本机构，不得擅自澄清、答复、修改或补充磋商文件。</w:t>
      </w:r>
    </w:p>
    <w:p w14:paraId="753AE8C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73EB14AE">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四、响应文件的编制</w:t>
      </w:r>
    </w:p>
    <w:p w14:paraId="493E4FB6">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（一）响应文件的组成</w:t>
      </w:r>
    </w:p>
    <w:p w14:paraId="3B682616">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rPr>
        <w:t>响应文件组成：详见【第六章  响应文件格式】。</w:t>
      </w:r>
    </w:p>
    <w:p w14:paraId="123689BF">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kern w:val="0"/>
          <w:sz w:val="21"/>
          <w:szCs w:val="21"/>
          <w:highlight w:val="none"/>
          <w:lang w:val="en-US" w:eastAsia="zh-CN"/>
        </w:rPr>
        <w:t>（二）响应文件的编制</w:t>
      </w:r>
    </w:p>
    <w:p w14:paraId="2F1FFB2D">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rPr>
        <w:t>1.供应商应按照磋商文件和电子交易平台的要求，根据响应文件的组成规定的内容及顺序通过电子交易客户端（响应客户端）编制加密响应文件，响应文件内容不完整、编排混乱导致响应文件被误读、漏读或者查找不到相关内容的，是供应商的责任。</w:t>
      </w:r>
    </w:p>
    <w:p w14:paraId="3ABB43AD">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rPr>
        <w:t>2.响应文件须由供应商在规定位置加盖公章，供应商应写全称。</w:t>
      </w:r>
    </w:p>
    <w:p w14:paraId="598ECD34">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rPr>
        <w:t>3.响应文件不得涂改，若有修改错漏处，须由供应商加盖公章，或者由供应商代表签名。响应文件因字迹潦草或表达不清所引起的后果由供应商承担。</w:t>
      </w:r>
    </w:p>
    <w:p w14:paraId="4EF1491F">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kern w:val="0"/>
          <w:sz w:val="21"/>
          <w:szCs w:val="21"/>
          <w:highlight w:val="none"/>
          <w:lang w:val="en-US" w:eastAsia="zh-CN"/>
        </w:rPr>
        <w:t>（三）响应文件提交</w:t>
      </w:r>
    </w:p>
    <w:p w14:paraId="69F817EC">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rPr>
        <w:t>1.供应商应当在磋商文件要求在响应文件提交截止时间前，将“电子加密响应文件”各部分</w:t>
      </w:r>
      <w:r>
        <w:rPr>
          <w:rFonts w:hint="eastAsia" w:ascii="宋体" w:hAnsi="宋体" w:eastAsia="宋体" w:cs="宋体"/>
          <w:b/>
          <w:bCs/>
          <w:color w:val="auto"/>
          <w:spacing w:val="0"/>
          <w:kern w:val="0"/>
          <w:sz w:val="21"/>
          <w:szCs w:val="21"/>
          <w:highlight w:val="none"/>
          <w:lang w:val="en-US" w:eastAsia="zh-CN"/>
        </w:rPr>
        <w:t>分别上传</w:t>
      </w:r>
      <w:r>
        <w:rPr>
          <w:rFonts w:hint="eastAsia" w:ascii="宋体" w:hAnsi="宋体" w:eastAsia="宋体" w:cs="宋体"/>
          <w:color w:val="auto"/>
          <w:spacing w:val="0"/>
          <w:kern w:val="0"/>
          <w:sz w:val="21"/>
          <w:szCs w:val="21"/>
          <w:highlight w:val="none"/>
          <w:lang w:val="en-US" w:eastAsia="zh-CN"/>
        </w:rPr>
        <w:t>至电子交易平台指定位置。</w:t>
      </w:r>
    </w:p>
    <w:p w14:paraId="6C2D9330">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rPr>
        <w:t>备份响应文件：</w:t>
      </w:r>
      <w:r>
        <w:rPr>
          <w:rFonts w:hint="eastAsia" w:ascii="宋体" w:hAnsi="宋体" w:eastAsia="宋体" w:cs="宋体"/>
          <w:i w:val="0"/>
          <w:iCs w:val="0"/>
          <w:caps w:val="0"/>
          <w:color w:val="auto"/>
          <w:spacing w:val="0"/>
          <w:kern w:val="0"/>
          <w:sz w:val="21"/>
          <w:szCs w:val="21"/>
          <w:highlight w:val="none"/>
          <w:lang w:val="en-US" w:eastAsia="zh-CN"/>
        </w:rPr>
        <w:t>供应商可自行决定是否提交备份响应文件。提交备份响应文件的，应在响应文件提交截止时间前，密封提交给本项目采购组织机构。存储方式：移动存储介质（如：U盘等）。密封包装应标明：</w:t>
      </w:r>
      <w:r>
        <w:rPr>
          <w:rFonts w:hint="eastAsia" w:ascii="宋体" w:hAnsi="宋体" w:eastAsia="宋体" w:cs="宋体"/>
          <w:b w:val="0"/>
          <w:bCs w:val="0"/>
          <w:i w:val="0"/>
          <w:iCs w:val="0"/>
          <w:caps w:val="0"/>
          <w:color w:val="auto"/>
          <w:spacing w:val="0"/>
          <w:kern w:val="0"/>
          <w:sz w:val="21"/>
          <w:szCs w:val="21"/>
          <w:highlight w:val="none"/>
          <w:lang w:val="en-US" w:eastAsia="zh-CN"/>
        </w:rPr>
        <w:t>项目名称、项目编号、标项、供应商名称</w:t>
      </w:r>
      <w:r>
        <w:rPr>
          <w:rFonts w:hint="eastAsia" w:ascii="宋体" w:hAnsi="宋体" w:eastAsia="宋体" w:cs="宋体"/>
          <w:color w:val="auto"/>
          <w:spacing w:val="0"/>
          <w:kern w:val="0"/>
          <w:sz w:val="21"/>
          <w:szCs w:val="21"/>
          <w:highlight w:val="none"/>
          <w:lang w:val="en-US" w:eastAsia="zh-CN"/>
        </w:rPr>
        <w:t>并加盖公章。</w:t>
      </w:r>
    </w:p>
    <w:p w14:paraId="264B4223">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rPr>
        <w:t>2.</w:t>
      </w:r>
      <w:r>
        <w:rPr>
          <w:rFonts w:hint="eastAsia" w:ascii="宋体" w:hAnsi="宋体" w:eastAsia="宋体" w:cs="宋体"/>
          <w:color w:val="auto"/>
          <w:spacing w:val="0"/>
          <w:kern w:val="0"/>
          <w:sz w:val="21"/>
          <w:szCs w:val="21"/>
          <w:highlight w:val="none"/>
          <w:u w:val="single"/>
          <w:lang w:val="en-US" w:eastAsia="zh-CN"/>
        </w:rPr>
        <w:t>供应商</w:t>
      </w:r>
      <w:r>
        <w:rPr>
          <w:rFonts w:hint="eastAsia" w:ascii="宋体" w:hAnsi="宋体" w:eastAsia="宋体" w:cs="宋体"/>
          <w:b/>
          <w:bCs/>
          <w:color w:val="auto"/>
          <w:spacing w:val="0"/>
          <w:kern w:val="0"/>
          <w:sz w:val="21"/>
          <w:szCs w:val="21"/>
          <w:highlight w:val="none"/>
          <w:u w:val="single"/>
          <w:lang w:val="en-US" w:eastAsia="zh-CN"/>
        </w:rPr>
        <w:t>可以</w:t>
      </w:r>
      <w:r>
        <w:rPr>
          <w:rFonts w:hint="eastAsia" w:ascii="宋体" w:hAnsi="宋体" w:eastAsia="宋体" w:cs="宋体"/>
          <w:color w:val="auto"/>
          <w:spacing w:val="0"/>
          <w:kern w:val="0"/>
          <w:sz w:val="21"/>
          <w:szCs w:val="21"/>
          <w:highlight w:val="none"/>
          <w:u w:val="single"/>
          <w:lang w:val="en-US" w:eastAsia="zh-CN"/>
        </w:rPr>
        <w:t>通过邮寄的方式提交备份响应文件</w:t>
      </w:r>
      <w:r>
        <w:rPr>
          <w:rFonts w:hint="eastAsia" w:ascii="宋体" w:hAnsi="宋体" w:eastAsia="宋体" w:cs="宋体"/>
          <w:color w:val="auto"/>
          <w:spacing w:val="0"/>
          <w:kern w:val="0"/>
          <w:sz w:val="21"/>
          <w:szCs w:val="21"/>
          <w:highlight w:val="none"/>
          <w:lang w:val="en-US" w:eastAsia="zh-CN"/>
        </w:rPr>
        <w:t>。供应商应考虑物流等相关因素，合理计划邮寄时间，尽量在开标截止时间前一个工作日前送到指定地点。在响应文件提交截止时间后送达的，将被视为“逾期送达”，采购组织机构将予以拒收。</w:t>
      </w:r>
    </w:p>
    <w:p w14:paraId="6611E03C">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rPr>
        <w:t>3.备份响应文件邮寄信息：详见【第三章  供应商须知  前附表】。</w:t>
      </w:r>
    </w:p>
    <w:p w14:paraId="201F01B7">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rPr>
        <w:t>4.备份响应文件未按要求密封或标记导致被误投或提前泄露，</w:t>
      </w:r>
      <w:r>
        <w:rPr>
          <w:rFonts w:hint="eastAsia" w:ascii="宋体" w:hAnsi="宋体" w:eastAsia="宋体" w:cs="宋体"/>
          <w:b w:val="0"/>
          <w:bCs w:val="0"/>
          <w:color w:val="auto"/>
          <w:spacing w:val="0"/>
          <w:kern w:val="0"/>
          <w:sz w:val="21"/>
          <w:szCs w:val="21"/>
          <w:highlight w:val="none"/>
          <w:lang w:val="en-US" w:eastAsia="zh-CN"/>
        </w:rPr>
        <w:t>供应商自行承担相关责任。</w:t>
      </w:r>
    </w:p>
    <w:p w14:paraId="065B959C">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kern w:val="0"/>
          <w:sz w:val="21"/>
          <w:szCs w:val="21"/>
          <w:highlight w:val="none"/>
          <w:lang w:val="en-US" w:eastAsia="zh-CN"/>
        </w:rPr>
        <w:t>（四）响应文件的修改和撤回</w:t>
      </w:r>
    </w:p>
    <w:p w14:paraId="2BA11EB2">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b w:val="0"/>
          <w:bCs w:val="0"/>
          <w:color w:val="auto"/>
          <w:spacing w:val="0"/>
          <w:kern w:val="0"/>
          <w:sz w:val="21"/>
          <w:szCs w:val="21"/>
          <w:highlight w:val="none"/>
          <w:lang w:val="en-US" w:eastAsia="zh-CN"/>
        </w:rPr>
        <w:t>响应文件的修改和撤回详见</w:t>
      </w:r>
      <w:r>
        <w:rPr>
          <w:rFonts w:hint="eastAsia" w:ascii="宋体" w:hAnsi="宋体" w:eastAsia="宋体" w:cs="宋体"/>
          <w:color w:val="auto"/>
          <w:spacing w:val="0"/>
          <w:kern w:val="0"/>
          <w:sz w:val="21"/>
          <w:szCs w:val="21"/>
          <w:highlight w:val="none"/>
          <w:lang w:val="en-US" w:eastAsia="zh-CN"/>
        </w:rPr>
        <w:t>【第三章  供应商须知  </w:t>
      </w:r>
      <w:r>
        <w:rPr>
          <w:rFonts w:hint="eastAsia" w:ascii="宋体" w:hAnsi="宋体" w:eastAsia="宋体" w:cs="宋体"/>
          <w:b w:val="0"/>
          <w:bCs w:val="0"/>
          <w:color w:val="auto"/>
          <w:spacing w:val="0"/>
          <w:kern w:val="0"/>
          <w:sz w:val="21"/>
          <w:szCs w:val="21"/>
          <w:highlight w:val="none"/>
          <w:lang w:val="en-US" w:eastAsia="zh-CN"/>
        </w:rPr>
        <w:t>二、电子交易活动</w:t>
      </w:r>
      <w:r>
        <w:rPr>
          <w:rFonts w:hint="eastAsia" w:ascii="宋体" w:hAnsi="宋体" w:eastAsia="宋体" w:cs="宋体"/>
          <w:color w:val="auto"/>
          <w:spacing w:val="0"/>
          <w:kern w:val="0"/>
          <w:sz w:val="21"/>
          <w:szCs w:val="21"/>
          <w:highlight w:val="none"/>
          <w:lang w:val="en-US" w:eastAsia="zh-CN"/>
        </w:rPr>
        <w:t>】。</w:t>
      </w:r>
    </w:p>
    <w:p w14:paraId="3E2486FD">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kern w:val="0"/>
          <w:sz w:val="21"/>
          <w:szCs w:val="21"/>
          <w:highlight w:val="none"/>
          <w:lang w:val="en-US" w:eastAsia="zh-CN"/>
        </w:rPr>
        <w:t>（五）响应文件的语言及计量</w:t>
      </w:r>
    </w:p>
    <w:p w14:paraId="2AD00F4C">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rPr>
        <w:t>响应文件以及供应商与采购人或采购代理机构就有关磋商事宜的所有来往函电，均应以中文汉语书写。除签名、盖章、专用名称等特殊情形外，以中文汉语以外的文字表述的响应文件视同未提供（有中文汉语说明的除外）。</w:t>
      </w:r>
    </w:p>
    <w:p w14:paraId="64701FCA">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kern w:val="0"/>
          <w:sz w:val="21"/>
          <w:szCs w:val="21"/>
          <w:highlight w:val="none"/>
          <w:lang w:val="en-US" w:eastAsia="zh-CN"/>
        </w:rPr>
        <w:t>（六）响应报价</w:t>
      </w:r>
    </w:p>
    <w:p w14:paraId="3D36E7CD">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rPr>
        <w:t>详见【第三章  供应商须知  前附表】。</w:t>
      </w:r>
    </w:p>
    <w:p w14:paraId="0D50D32D">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kern w:val="0"/>
          <w:sz w:val="21"/>
          <w:szCs w:val="21"/>
          <w:highlight w:val="none"/>
          <w:lang w:val="en-US" w:eastAsia="zh-CN"/>
        </w:rPr>
        <w:t>（七）响应有效期</w:t>
      </w:r>
    </w:p>
    <w:p w14:paraId="4EC7B2BD">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rPr>
        <w:t>详见【第三章  供应商须知  前附表】。</w:t>
      </w:r>
    </w:p>
    <w:p w14:paraId="43BD5852">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0E0ACE11">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五、响应无效的情形</w:t>
      </w:r>
    </w:p>
    <w:p w14:paraId="28E3267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u w:val="single"/>
          <w:lang w:val="en-US" w:eastAsia="zh-CN"/>
        </w:rPr>
        <w:t>详见【第四章  评审方法和评审标准】。</w:t>
      </w:r>
    </w:p>
    <w:p w14:paraId="7D9912A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574A2812">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六、响应文件开启</w:t>
      </w:r>
    </w:p>
    <w:p w14:paraId="3CB844F5">
      <w:pPr>
        <w:keepNext w:val="0"/>
        <w:keepLines w:val="0"/>
        <w:widowControl/>
        <w:suppressLineNumbers w:val="0"/>
        <w:autoSpaceDE w:val="0"/>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采购代理机构按照磋商文件规定的时间通过电子交易平台组织开启，所有供应商均应当准时在线参加。供应商不足3家的，不得开启。</w:t>
      </w:r>
    </w:p>
    <w:p w14:paraId="318FE7B7">
      <w:pPr>
        <w:keepNext w:val="0"/>
        <w:keepLines w:val="0"/>
        <w:widowControl/>
        <w:suppressLineNumbers w:val="0"/>
        <w:autoSpaceDE w:val="0"/>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开启时，电子交易平台按开启时间自动提取所有响应文件。采购人或代理机构依托电子交易平台发起开始解密指令，供应商按照平台提示和磋商文件的规定在半小时内完成在线解密。</w:t>
      </w:r>
    </w:p>
    <w:p w14:paraId="5AAF3DCA">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响应文件未按时解密，供应商提供了备份响应文件的，以备份响应文件作为依据，否则视为响应文件撤回。响应文件已按时解密的，备份响应文件自动失效。</w:t>
      </w:r>
    </w:p>
    <w:p w14:paraId="0F4D12E3">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3F28E577">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特别说明：如遇电子交易平台电子化开启或评审程序调整的，按调整后程序执行。</w:t>
      </w:r>
    </w:p>
    <w:p w14:paraId="3AA2BF6B">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470AED90">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七、评审程序</w:t>
      </w:r>
    </w:p>
    <w:p w14:paraId="6265871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DCEADB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磋商文件内容违反国家有关强制性规定的，磋商小组应当停止评审并向采购人或者采购代理机构说明情况。</w:t>
      </w:r>
    </w:p>
    <w:p w14:paraId="220E16AE">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（一）资格审查</w:t>
      </w:r>
    </w:p>
    <w:p w14:paraId="0358CB7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开启后，磋商小组依据法律法规和磋商文件的规定，对供应商的资格条件进行审查。</w:t>
      </w:r>
    </w:p>
    <w:p w14:paraId="3DF2AA1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对未通过资格审查的供应商，磋商小组告知其未通过的原因。</w:t>
      </w:r>
    </w:p>
    <w:p w14:paraId="7C92F17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通过资格审查的供应商不足3家的，不再评审。</w:t>
      </w:r>
    </w:p>
    <w:p w14:paraId="7F2193A6">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（二）信用信息查询</w:t>
      </w:r>
    </w:p>
    <w:p w14:paraId="483E800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详见【第三章  供应商须知  前附表】。</w:t>
      </w:r>
    </w:p>
    <w:p w14:paraId="1B2525C8">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（三）符合性审查</w:t>
      </w:r>
    </w:p>
    <w:p w14:paraId="0CDACFE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磋商小组对符合资格的供应商的响应文件进行符合性审查，以确定其是否满足磋商文件的实质性要求。</w:t>
      </w:r>
    </w:p>
    <w:p w14:paraId="7C7983DA">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（四）磋商</w:t>
      </w:r>
    </w:p>
    <w:p w14:paraId="5EADEAD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磋商小组所有成员应当集中与单一供应商分别进行磋商，并给予所有参加磋商的供应商平等的磋商机会。</w:t>
      </w:r>
    </w:p>
    <w:p w14:paraId="10ABBBF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0975602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对磋商文件作出的实质性变动是磋商文件的有效组成部分，磋商小组通过电子交易平台以书面形式同时通知所有参加磋商的供应商。</w:t>
      </w:r>
    </w:p>
    <w:p w14:paraId="11AF40E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供应商应当按照磋商文件的变动情况和磋商小组的要求通过电子交易平台提交磋商记录，并由供应商代表签名或者加盖公章。</w:t>
      </w:r>
    </w:p>
    <w:p w14:paraId="33045C6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磋商说明：详见【第三章  供应商须知  前附表】。</w:t>
      </w:r>
    </w:p>
    <w:p w14:paraId="01DE1A3B">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（五）最后报价</w:t>
      </w:r>
    </w:p>
    <w:p w14:paraId="4C5984A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磋商文件能够详细列明采购标的的技术、服务要求的，磋商结束后，磋商小组应当要求所有实质性响应的供应商在规定时间内提交最后报价，提交最后报价的供应商不得少于3家。</w:t>
      </w:r>
    </w:p>
    <w:p w14:paraId="6A4EA66B">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427D81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最后报价是供应商响应文件的有效组成部分。符合《政府采购竞争性磋商采购方式管理暂行办法》（财库〔2014〕214号）第三条第四项情形的，提交最后报价的供应商可以为2家。</w:t>
      </w:r>
    </w:p>
    <w:p w14:paraId="3862968D">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最后报价出现前后不一致的，按照下列规定修正：</w:t>
      </w:r>
    </w:p>
    <w:p w14:paraId="158BD8F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（1）最后报价内容与响应文件中相应内容不一致的，以最后报价为准；</w:t>
      </w:r>
    </w:p>
    <w:p w14:paraId="3D94D10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（2）大写金额和小写金额不一致的，以大写金额为准；</w:t>
      </w:r>
    </w:p>
    <w:p w14:paraId="45227DD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（3）单价金额小数点或者百分比有明显错位的，以最后报价的总价为准，并修改单价；</w:t>
      </w:r>
    </w:p>
    <w:p w14:paraId="5EDA0A2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（4）总价金额与按单价汇总金额不一致的，以单价金额计算结果为准。</w:t>
      </w:r>
    </w:p>
    <w:p w14:paraId="116DAFC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同时出现两种以上不一致的，按照前款规定的顺序修正。修正后的报价经供应商电子签名（加盖公章）、法定代表人或授权代表签字确认后产生约束力，供应商不确认的，其响应无效。</w:t>
      </w:r>
    </w:p>
    <w:p w14:paraId="2351356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2"/>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评审中出现下列情形之一的，磋商应当启动异常低价响应审查程序：</w:t>
      </w:r>
    </w:p>
    <w:p w14:paraId="4E77A3E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（1）最后报价低于全部通过符合性审查供应商最后报价平均值50%的，即最后报价&lt;全部通过符合性审查供应商最后报价平均值×50%；</w:t>
      </w:r>
    </w:p>
    <w:p w14:paraId="7641184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（2）最后报价低于通过符合性审查的次低报价供应商最后报价50%的，即最后报价&lt;通过符合性审查的次低报价供应商最后报价×50%；</w:t>
      </w:r>
    </w:p>
    <w:p w14:paraId="3B95BF1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（3）最后报价低于采购项目最高限价45%的，即最后报价&lt;采购项目最高限价×45%；</w:t>
      </w:r>
    </w:p>
    <w:p w14:paraId="0027588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（4）磋商小组基于专业判断，认为供应商报价过低，有可能影响产品质量或者不能诚信履约的其他情形。</w:t>
      </w:r>
    </w:p>
    <w:p w14:paraId="0BA9B83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3CEFB9B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6EAC075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19DB4C6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异常低价响应审查的启动原因、审查意见和审查结果应当在评审报告中记录，并随供应商提供的相关书面说明及证明材料，以及磋商小组有关互联网浏览、查询历史一并归档。</w:t>
      </w:r>
    </w:p>
    <w:p w14:paraId="3CAD76A8">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（六）综合评分</w:t>
      </w:r>
    </w:p>
    <w:p w14:paraId="548D79D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经磋商确定最终采购需求和提交最后报价的供应商后，由磋商小组采用</w:t>
      </w:r>
      <w:r>
        <w:rPr>
          <w:rFonts w:hint="eastAsia" w:ascii="宋体" w:hAnsi="宋体" w:eastAsia="宋体" w:cs="宋体"/>
          <w:b/>
          <w:bCs/>
          <w:color w:val="auto"/>
          <w:spacing w:val="0"/>
          <w:kern w:val="0"/>
          <w:sz w:val="21"/>
          <w:szCs w:val="21"/>
          <w:highlight w:val="none"/>
          <w:lang w:val="en-US" w:eastAsia="zh-CN"/>
        </w:rPr>
        <w:t>综合评分法</w:t>
      </w:r>
      <w:r>
        <w:rPr>
          <w:rFonts w:hint="eastAsia" w:ascii="宋体" w:hAnsi="宋体" w:eastAsia="宋体" w:cs="宋体"/>
          <w:color w:val="auto"/>
          <w:spacing w:val="0"/>
          <w:kern w:val="0"/>
          <w:sz w:val="21"/>
          <w:szCs w:val="21"/>
          <w:highlight w:val="none"/>
          <w:lang w:val="en-US" w:eastAsia="zh-CN"/>
        </w:rPr>
        <w:t>对提交最后报价的供应商的响应文件和最后报价进行综合评分。</w:t>
      </w:r>
    </w:p>
    <w:p w14:paraId="12764D6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综合评分法，是指响应文件满足磋商文件全部实质性要求且按评审因素的量化指标评审得分最高的供应商为成交候选供应商的评审方法。</w:t>
      </w:r>
    </w:p>
    <w:p w14:paraId="54FAEF0B">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（七）汇总商务技术得分</w:t>
      </w:r>
    </w:p>
    <w:p w14:paraId="1AE97FA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磋商小组各成员独立对进入最后报价的供应商的商务和技术文件进行评价，并汇总商务技术得分情况。</w:t>
      </w:r>
    </w:p>
    <w:p w14:paraId="0A0BDFF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219EF0EE">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（八）排序与推荐</w:t>
      </w:r>
    </w:p>
    <w:p w14:paraId="332972A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14:paraId="1F78835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提供相同品牌产品且通过资格审查、符合性审查的不同供应商参加同一合同项下磋商的，按一家供应商计算，评审后得分最高的同品牌供应商获得成交供应商推荐资格；评审得分相同的，按照最后报价由低到高的顺序推荐。评审得分且最后报价相同的，按照技术指标优劣顺序推荐，其他同品牌供应商不作为成交候选人。</w:t>
      </w:r>
    </w:p>
    <w:p w14:paraId="0B90853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非单一产品采购项目，采购人应当根据采购项目技术构成、产品价格比重等合理确定核心产品，并在磋商文件中载明。多家供应商提供的核心产品品牌相同的，按前款规定处理。</w:t>
      </w:r>
    </w:p>
    <w:p w14:paraId="31E94208">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（九）编写评审报告</w:t>
      </w:r>
    </w:p>
    <w:p w14:paraId="3829CD5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14:paraId="6F140509">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（十）补充说明</w:t>
      </w:r>
    </w:p>
    <w:p w14:paraId="6D2CDBA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采用竞争性磋商采购方式采购的政府购买服务项目（含政府和社会资本合作项目），在采购过程中符合要求的供应商（社会资本）只有2家的，竞争性磋商采购活动可以继续进行。</w:t>
      </w:r>
    </w:p>
    <w:p w14:paraId="3C724EB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2A8BE736">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八、成交与合同</w:t>
      </w:r>
    </w:p>
    <w:p w14:paraId="185CA29A">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（一）成交</w:t>
      </w:r>
    </w:p>
    <w:p w14:paraId="442DDB0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F86753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2.采购代理机构在成交供应商确定后2个工作日内公告成交结果，同时向成交供应商发出成交通知书，并将磋商文件随成交结果同时公告。</w:t>
      </w:r>
    </w:p>
    <w:p w14:paraId="604D9A8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3.评审结果公示媒体：详见【第三章  供应商须知  前附表】。</w:t>
      </w:r>
    </w:p>
    <w:p w14:paraId="708828E6">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（二）合同授予</w:t>
      </w:r>
    </w:p>
    <w:p w14:paraId="7946B9F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6A06311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2.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54ADFA9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400C089C">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九、验  收</w:t>
      </w:r>
    </w:p>
    <w:p w14:paraId="407C2FFA">
      <w:pPr>
        <w:keepNext w:val="0"/>
        <w:keepLines w:val="0"/>
        <w:widowControl/>
        <w:suppressLineNumbers w:val="0"/>
        <w:tabs>
          <w:tab w:val="left" w:pos="0"/>
        </w:tabs>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76EAC634">
      <w:pPr>
        <w:keepNext w:val="0"/>
        <w:keepLines w:val="0"/>
        <w:widowControl/>
        <w:suppressLineNumbers w:val="0"/>
        <w:tabs>
          <w:tab w:val="left" w:pos="0"/>
        </w:tabs>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采购人可以邀请参加本项目的其他供应商或者第三方机构参与验收。参与验收的供应商或者第三方机构的意见作为验收书的参考资料一并存档。</w:t>
      </w:r>
    </w:p>
    <w:p w14:paraId="24CD434E">
      <w:pPr>
        <w:keepNext w:val="0"/>
        <w:keepLines w:val="0"/>
        <w:widowControl/>
        <w:suppressLineNumbers w:val="0"/>
        <w:tabs>
          <w:tab w:val="left" w:pos="0"/>
        </w:tabs>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EF55449">
      <w:pPr>
        <w:keepNext w:val="0"/>
        <w:keepLines w:val="0"/>
        <w:widowControl/>
        <w:suppressLineNumbers w:val="0"/>
        <w:tabs>
          <w:tab w:val="left" w:pos="0"/>
        </w:tabs>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E9753A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7BFE18BA">
      <w:pPr>
        <w:pStyle w:val="4"/>
        <w:keepNext w:val="0"/>
        <w:keepLines w:val="0"/>
        <w:widowControl/>
        <w:suppressLineNumbers w:val="0"/>
        <w:spacing w:line="288"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第四章 评审方法和评审标准</w:t>
      </w:r>
    </w:p>
    <w:p w14:paraId="03112066">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一、评审方法</w:t>
      </w:r>
    </w:p>
    <w:p w14:paraId="6CDAF42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本次评审采用综合评分法，总分为100分。评分过程中采用四舍五入法，并保留小数2位。</w:t>
      </w:r>
    </w:p>
    <w:p w14:paraId="493D6CE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供应商评审综合得分=商务分+技术分+价格分</w:t>
      </w:r>
    </w:p>
    <w:p w14:paraId="60CDE6E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商务分、技术分按照磋商小组成员的独立评分结果的算术平均分计算，计算公式为：商务分、技术分=（磋商小组所有成员评分合计数）/（磋商小组组成人员数）。项目评审过程中，不得去掉最后报价中的最高报价和最低报价。</w:t>
      </w:r>
    </w:p>
    <w:p w14:paraId="0662287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小微企业价格扣除优惠：</w:t>
      </w:r>
      <w:r>
        <w:rPr>
          <w:rFonts w:hint="eastAsia" w:ascii="宋体" w:hAnsi="宋体" w:eastAsia="宋体" w:cs="宋体"/>
          <w:i w:val="0"/>
          <w:iCs w:val="0"/>
          <w:color w:val="auto"/>
          <w:spacing w:val="0"/>
          <w:kern w:val="0"/>
          <w:sz w:val="21"/>
          <w:szCs w:val="21"/>
          <w:highlight w:val="none"/>
          <w:lang w:val="en-US" w:eastAsia="zh-CN"/>
        </w:rPr>
        <w:t>本项目整体预留份额专门面向【中小】企业采购，不再执行价格评审优惠的扶持政策。</w:t>
      </w:r>
    </w:p>
    <w:p w14:paraId="3D5A174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对本国产品的支持政策：</w:t>
      </w:r>
      <w:r>
        <w:rPr>
          <w:rFonts w:hint="eastAsia" w:ascii="宋体" w:hAnsi="宋体" w:eastAsia="宋体" w:cs="宋体"/>
          <w:i w:val="0"/>
          <w:iCs w:val="0"/>
          <w:color w:val="auto"/>
          <w:kern w:val="0"/>
          <w:sz w:val="21"/>
          <w:szCs w:val="21"/>
          <w:highlight w:val="none"/>
          <w:lang w:val="en-US" w:eastAsia="zh-CN"/>
        </w:rPr>
        <w:t>（1）政府采购活动中既有本国产品又有非本国产品参与竞争的，依法对本国产品给予价格评审优惠，对本国产品的报价给予【20】%的价格扣除，用扣除后的价格参与评审。（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DD7596">
      <w:pPr>
        <w:adjustRightInd w:val="0"/>
        <w:snapToGrid w:val="0"/>
        <w:spacing w:line="288"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在评审结束后、确认采购结果前，将通过网站查询、原件核对等方式对第一</w:t>
      </w:r>
      <w:r>
        <w:rPr>
          <w:rFonts w:hint="eastAsia" w:cs="宋体"/>
          <w:b/>
          <w:bCs/>
          <w:color w:val="auto"/>
          <w:szCs w:val="21"/>
          <w:highlight w:val="none"/>
        </w:rPr>
        <w:t>成交</w:t>
      </w:r>
      <w:r>
        <w:rPr>
          <w:rFonts w:hint="eastAsia" w:ascii="宋体" w:hAnsi="宋体" w:cs="宋体"/>
          <w:b/>
          <w:bCs/>
          <w:color w:val="auto"/>
          <w:szCs w:val="21"/>
          <w:highlight w:val="none"/>
        </w:rPr>
        <w:t>候选人在投标(响应)文件中涉及客观分评审内容的检测报告、认证证书等资料的真实性进行复核，复核情况详细记录，并纳入采购档案。发现供应商提供虚假材料的，应及时书面报告同级财政部门。</w:t>
      </w:r>
    </w:p>
    <w:p w14:paraId="3D7729F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07A0C1A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二、评审标准</w:t>
      </w:r>
    </w:p>
    <w:tbl>
      <w:tblPr>
        <w:tblStyle w:val="15"/>
        <w:tblW w:w="96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670"/>
        <w:gridCol w:w="6450"/>
        <w:gridCol w:w="1327"/>
      </w:tblGrid>
      <w:tr w14:paraId="32A3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Align w:val="center"/>
          </w:tcPr>
          <w:p w14:paraId="31A04DAE">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670" w:type="dxa"/>
            <w:vAlign w:val="center"/>
          </w:tcPr>
          <w:p w14:paraId="3ABC4653">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分值</w:t>
            </w:r>
          </w:p>
        </w:tc>
        <w:tc>
          <w:tcPr>
            <w:tcW w:w="6450" w:type="dxa"/>
            <w:vAlign w:val="center"/>
          </w:tcPr>
          <w:p w14:paraId="359215D7">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评分标准</w:t>
            </w:r>
          </w:p>
        </w:tc>
        <w:tc>
          <w:tcPr>
            <w:tcW w:w="1327" w:type="dxa"/>
            <w:vAlign w:val="center"/>
          </w:tcPr>
          <w:p w14:paraId="0C588F5A">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备注</w:t>
            </w:r>
          </w:p>
        </w:tc>
      </w:tr>
      <w:tr w14:paraId="64BB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303" w:type="dxa"/>
            <w:gridSpan w:val="3"/>
            <w:vAlign w:val="center"/>
          </w:tcPr>
          <w:p w14:paraId="4AFA6B17">
            <w:pPr>
              <w:adjustRightInd w:val="0"/>
              <w:snapToGrid w:val="0"/>
              <w:spacing w:line="288" w:lineRule="auto"/>
              <w:rPr>
                <w:rFonts w:hint="eastAsia" w:ascii="宋体" w:hAnsi="宋体" w:cs="宋体"/>
                <w:color w:val="auto"/>
                <w:szCs w:val="21"/>
                <w:highlight w:val="none"/>
              </w:rPr>
            </w:pPr>
            <w:r>
              <w:rPr>
                <w:rFonts w:hint="eastAsia" w:ascii="宋体" w:hAnsi="宋体" w:cs="宋体"/>
                <w:b/>
                <w:bCs/>
                <w:color w:val="auto"/>
                <w:szCs w:val="21"/>
                <w:highlight w:val="none"/>
              </w:rPr>
              <w:t>价格分</w:t>
            </w:r>
          </w:p>
        </w:tc>
        <w:tc>
          <w:tcPr>
            <w:tcW w:w="1327" w:type="dxa"/>
            <w:vAlign w:val="center"/>
          </w:tcPr>
          <w:p w14:paraId="6AE033DD">
            <w:pPr>
              <w:adjustRightInd w:val="0"/>
              <w:snapToGrid w:val="0"/>
              <w:spacing w:line="288" w:lineRule="auto"/>
              <w:jc w:val="center"/>
              <w:rPr>
                <w:rFonts w:hint="eastAsia" w:ascii="宋体" w:hAnsi="宋体" w:cs="宋体"/>
                <w:b/>
                <w:bCs/>
                <w:color w:val="auto"/>
                <w:szCs w:val="21"/>
                <w:highlight w:val="none"/>
              </w:rPr>
            </w:pPr>
          </w:p>
        </w:tc>
      </w:tr>
      <w:tr w14:paraId="3A5A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Align w:val="center"/>
          </w:tcPr>
          <w:p w14:paraId="320E0A15">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最后磋商报价</w:t>
            </w:r>
          </w:p>
        </w:tc>
        <w:tc>
          <w:tcPr>
            <w:tcW w:w="670" w:type="dxa"/>
            <w:vAlign w:val="center"/>
          </w:tcPr>
          <w:p w14:paraId="453841EE">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10</w:t>
            </w:r>
          </w:p>
        </w:tc>
        <w:tc>
          <w:tcPr>
            <w:tcW w:w="6450" w:type="dxa"/>
            <w:vAlign w:val="center"/>
          </w:tcPr>
          <w:p w14:paraId="259B99D3">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价格分统一采用低价优先法计算，即满足磋商文件要求且最后报价最低的供应商的价格为磋商基准价，其价格分为满分。其他供应商的价格分统一按照下列公式计算：</w:t>
            </w:r>
          </w:p>
          <w:p w14:paraId="536C5FA8">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磋商报价得分=（磋商基准价/最后磋商报价）×10%×100</w:t>
            </w:r>
          </w:p>
        </w:tc>
        <w:tc>
          <w:tcPr>
            <w:tcW w:w="1327" w:type="dxa"/>
            <w:vAlign w:val="center"/>
          </w:tcPr>
          <w:p w14:paraId="2B7F2810">
            <w:pPr>
              <w:adjustRightInd w:val="0"/>
              <w:snapToGrid w:val="0"/>
              <w:spacing w:line="288" w:lineRule="auto"/>
              <w:jc w:val="center"/>
              <w:rPr>
                <w:rFonts w:hint="eastAsia" w:ascii="宋体" w:hAnsi="宋体" w:cs="宋体"/>
                <w:color w:val="auto"/>
                <w:szCs w:val="21"/>
                <w:highlight w:val="none"/>
              </w:rPr>
            </w:pPr>
          </w:p>
        </w:tc>
      </w:tr>
      <w:tr w14:paraId="53CF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303" w:type="dxa"/>
            <w:gridSpan w:val="3"/>
            <w:vAlign w:val="center"/>
          </w:tcPr>
          <w:p w14:paraId="18D39425">
            <w:pPr>
              <w:adjustRightInd w:val="0"/>
              <w:snapToGrid w:val="0"/>
              <w:spacing w:line="288" w:lineRule="auto"/>
              <w:rPr>
                <w:rFonts w:hint="eastAsia" w:ascii="宋体" w:hAnsi="宋体" w:cs="宋体"/>
                <w:color w:val="auto"/>
                <w:szCs w:val="21"/>
                <w:highlight w:val="none"/>
              </w:rPr>
            </w:pPr>
            <w:r>
              <w:rPr>
                <w:rFonts w:hint="eastAsia" w:ascii="宋体" w:hAnsi="宋体" w:cs="宋体"/>
                <w:b/>
                <w:bCs/>
                <w:color w:val="auto"/>
                <w:szCs w:val="21"/>
                <w:highlight w:val="none"/>
              </w:rPr>
              <w:t>商务分</w:t>
            </w:r>
          </w:p>
        </w:tc>
        <w:tc>
          <w:tcPr>
            <w:tcW w:w="1327" w:type="dxa"/>
            <w:vAlign w:val="center"/>
          </w:tcPr>
          <w:p w14:paraId="4A31DFF4">
            <w:pPr>
              <w:adjustRightInd w:val="0"/>
              <w:snapToGrid w:val="0"/>
              <w:spacing w:line="288" w:lineRule="auto"/>
              <w:jc w:val="center"/>
              <w:rPr>
                <w:rFonts w:hint="eastAsia" w:ascii="宋体" w:hAnsi="宋体" w:cs="宋体"/>
                <w:b/>
                <w:bCs/>
                <w:color w:val="auto"/>
                <w:szCs w:val="21"/>
                <w:highlight w:val="none"/>
              </w:rPr>
            </w:pPr>
          </w:p>
        </w:tc>
      </w:tr>
      <w:tr w14:paraId="4924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Align w:val="center"/>
          </w:tcPr>
          <w:p w14:paraId="3CCED98A">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业绩</w:t>
            </w:r>
          </w:p>
        </w:tc>
        <w:tc>
          <w:tcPr>
            <w:tcW w:w="670" w:type="dxa"/>
            <w:vAlign w:val="center"/>
          </w:tcPr>
          <w:p w14:paraId="3E1534FF">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6450" w:type="dxa"/>
            <w:vAlign w:val="center"/>
          </w:tcPr>
          <w:p w14:paraId="4598ABF8">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【客观分】</w:t>
            </w:r>
          </w:p>
          <w:p w14:paraId="71AEEECC">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供应商自2023年1月1日以来（以合同签订时间为准）同类合同业绩（以提供的合同扫描件为准）：每提供1份合同业绩得1分，最高得1分。</w:t>
            </w:r>
          </w:p>
        </w:tc>
        <w:tc>
          <w:tcPr>
            <w:tcW w:w="1327" w:type="dxa"/>
            <w:vAlign w:val="center"/>
          </w:tcPr>
          <w:p w14:paraId="4431F50E">
            <w:pPr>
              <w:adjustRightInd w:val="0"/>
              <w:snapToGrid w:val="0"/>
              <w:spacing w:line="288"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网站查询、原件核对项</w:t>
            </w:r>
          </w:p>
        </w:tc>
      </w:tr>
      <w:tr w14:paraId="1EEF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Align w:val="center"/>
          </w:tcPr>
          <w:p w14:paraId="5F455067">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软件著作权</w:t>
            </w:r>
          </w:p>
        </w:tc>
        <w:tc>
          <w:tcPr>
            <w:tcW w:w="670" w:type="dxa"/>
            <w:vAlign w:val="center"/>
          </w:tcPr>
          <w:p w14:paraId="7A0A7A24">
            <w:pPr>
              <w:adjustRightInd w:val="0"/>
              <w:snapToGrid w:val="0"/>
              <w:spacing w:line="288" w:lineRule="auto"/>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5</w:t>
            </w:r>
          </w:p>
        </w:tc>
        <w:tc>
          <w:tcPr>
            <w:tcW w:w="6450" w:type="dxa"/>
            <w:vAlign w:val="center"/>
          </w:tcPr>
          <w:p w14:paraId="1F839757">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【客观分】</w:t>
            </w:r>
          </w:p>
          <w:p w14:paraId="232134F3">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投标人在提供技术服务过程中拟使用的工具或软件的软件著作权情况：适用于风险防控</w:t>
            </w:r>
            <w:r>
              <w:rPr>
                <w:rFonts w:hint="eastAsia" w:ascii="宋体" w:hAnsi="宋体" w:cs="宋体"/>
                <w:color w:val="auto"/>
                <w:kern w:val="2"/>
                <w:szCs w:val="21"/>
                <w:highlight w:val="none"/>
                <w:lang w:val="en-US" w:eastAsia="zh-CN"/>
              </w:rPr>
              <w:t>或</w:t>
            </w:r>
            <w:r>
              <w:rPr>
                <w:rFonts w:hint="eastAsia" w:ascii="宋体" w:hAnsi="宋体" w:cs="宋体"/>
                <w:color w:val="auto"/>
                <w:kern w:val="2"/>
                <w:szCs w:val="21"/>
                <w:highlight w:val="none"/>
              </w:rPr>
              <w:t>清廉建设</w:t>
            </w:r>
            <w:r>
              <w:rPr>
                <w:rFonts w:hint="eastAsia" w:ascii="宋体" w:hAnsi="宋体" w:cs="宋体"/>
                <w:color w:val="auto"/>
                <w:kern w:val="2"/>
                <w:szCs w:val="21"/>
                <w:highlight w:val="none"/>
                <w:lang w:val="en-US" w:eastAsia="zh-CN"/>
              </w:rPr>
              <w:t>或</w:t>
            </w:r>
            <w:r>
              <w:rPr>
                <w:rFonts w:hint="eastAsia" w:ascii="宋体" w:hAnsi="宋体" w:cs="宋体"/>
                <w:color w:val="auto"/>
                <w:kern w:val="2"/>
                <w:szCs w:val="21"/>
                <w:highlight w:val="none"/>
              </w:rPr>
              <w:t>数智廉政</w:t>
            </w:r>
            <w:r>
              <w:rPr>
                <w:rFonts w:hint="eastAsia" w:ascii="宋体" w:hAnsi="宋体" w:cs="宋体"/>
                <w:color w:val="auto"/>
                <w:kern w:val="2"/>
                <w:szCs w:val="21"/>
                <w:highlight w:val="none"/>
                <w:lang w:val="en-US" w:eastAsia="zh-CN"/>
              </w:rPr>
              <w:t>或</w:t>
            </w:r>
            <w:r>
              <w:rPr>
                <w:rFonts w:hint="eastAsia" w:ascii="宋体" w:hAnsi="宋体" w:cs="宋体"/>
                <w:color w:val="auto"/>
                <w:kern w:val="2"/>
                <w:szCs w:val="21"/>
                <w:highlight w:val="none"/>
              </w:rPr>
              <w:t>模型分析</w:t>
            </w:r>
            <w:r>
              <w:rPr>
                <w:rFonts w:hint="eastAsia" w:ascii="宋体" w:hAnsi="宋体" w:cs="宋体"/>
                <w:color w:val="auto"/>
                <w:kern w:val="2"/>
                <w:szCs w:val="21"/>
                <w:highlight w:val="none"/>
                <w:lang w:val="en-US" w:eastAsia="zh-CN"/>
              </w:rPr>
              <w:t>或</w:t>
            </w:r>
            <w:r>
              <w:rPr>
                <w:rFonts w:hint="eastAsia" w:ascii="宋体" w:hAnsi="宋体" w:cs="宋体"/>
                <w:color w:val="auto"/>
                <w:kern w:val="2"/>
                <w:szCs w:val="21"/>
                <w:highlight w:val="none"/>
              </w:rPr>
              <w:t>重大事项报备</w:t>
            </w:r>
            <w:r>
              <w:rPr>
                <w:rFonts w:hint="eastAsia" w:ascii="宋体" w:hAnsi="宋体" w:cs="宋体"/>
                <w:color w:val="auto"/>
                <w:kern w:val="2"/>
                <w:szCs w:val="21"/>
                <w:highlight w:val="none"/>
                <w:lang w:val="en-US" w:eastAsia="zh-CN"/>
              </w:rPr>
              <w:t>或</w:t>
            </w:r>
            <w:r>
              <w:rPr>
                <w:rFonts w:hint="eastAsia" w:ascii="宋体" w:hAnsi="宋体" w:cs="宋体"/>
                <w:color w:val="auto"/>
                <w:kern w:val="2"/>
                <w:szCs w:val="21"/>
                <w:highlight w:val="none"/>
              </w:rPr>
              <w:t>数据采集</w:t>
            </w:r>
            <w:r>
              <w:rPr>
                <w:rFonts w:hint="eastAsia" w:ascii="宋体" w:hAnsi="宋体" w:cs="宋体"/>
                <w:color w:val="auto"/>
                <w:kern w:val="2"/>
                <w:szCs w:val="21"/>
                <w:highlight w:val="none"/>
                <w:lang w:val="en-US" w:eastAsia="zh-CN"/>
              </w:rPr>
              <w:t>或</w:t>
            </w:r>
            <w:r>
              <w:rPr>
                <w:rFonts w:hint="eastAsia" w:ascii="宋体" w:hAnsi="宋体" w:cs="宋体"/>
                <w:color w:val="auto"/>
                <w:kern w:val="2"/>
                <w:szCs w:val="21"/>
                <w:highlight w:val="none"/>
              </w:rPr>
              <w:t>数据管理等相关的软件著作权，每提供1个计算机软件著作权登记证书得5分，最高5分。</w:t>
            </w:r>
          </w:p>
          <w:p w14:paraId="4333D5B9">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kern w:val="2"/>
                <w:szCs w:val="21"/>
                <w:highlight w:val="none"/>
              </w:rPr>
              <w:t>【投标人需提供由中华人民共和国国家版权局颁发的</w:t>
            </w:r>
            <w:r>
              <w:rPr>
                <w:rFonts w:hint="eastAsia" w:ascii="宋体" w:hAnsi="宋体" w:cs="宋体"/>
                <w:color w:val="auto"/>
                <w:kern w:val="2"/>
                <w:szCs w:val="21"/>
                <w:highlight w:val="none"/>
                <w:lang w:val="en-US" w:eastAsia="zh-CN"/>
              </w:rPr>
              <w:t>投标人所有的</w:t>
            </w:r>
            <w:r>
              <w:rPr>
                <w:rFonts w:hint="eastAsia" w:ascii="宋体" w:hAnsi="宋体" w:cs="宋体"/>
                <w:color w:val="auto"/>
                <w:kern w:val="2"/>
                <w:szCs w:val="21"/>
                <w:highlight w:val="none"/>
              </w:rPr>
              <w:t>计算机软著权登记证书复印件，软著名称需包含上述关键字，扫描件加盖公章，未提供不得分】。</w:t>
            </w:r>
          </w:p>
        </w:tc>
        <w:tc>
          <w:tcPr>
            <w:tcW w:w="1327" w:type="dxa"/>
            <w:vAlign w:val="center"/>
          </w:tcPr>
          <w:p w14:paraId="54AC3BF2">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网站查询、原件核对项</w:t>
            </w:r>
          </w:p>
        </w:tc>
      </w:tr>
      <w:tr w14:paraId="2ECF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303" w:type="dxa"/>
            <w:gridSpan w:val="3"/>
            <w:vAlign w:val="center"/>
          </w:tcPr>
          <w:p w14:paraId="6DE791D7">
            <w:pPr>
              <w:adjustRightInd w:val="0"/>
              <w:snapToGrid w:val="0"/>
              <w:spacing w:line="288" w:lineRule="auto"/>
              <w:rPr>
                <w:rFonts w:hint="eastAsia" w:ascii="宋体" w:hAnsi="宋体" w:cs="宋体"/>
                <w:color w:val="auto"/>
                <w:szCs w:val="21"/>
                <w:highlight w:val="none"/>
              </w:rPr>
            </w:pPr>
            <w:r>
              <w:rPr>
                <w:rFonts w:hint="eastAsia" w:ascii="宋体" w:hAnsi="宋体" w:cs="宋体"/>
                <w:b/>
                <w:bCs/>
                <w:color w:val="auto"/>
                <w:szCs w:val="21"/>
                <w:highlight w:val="none"/>
              </w:rPr>
              <w:t>技术分</w:t>
            </w:r>
          </w:p>
        </w:tc>
        <w:tc>
          <w:tcPr>
            <w:tcW w:w="1327" w:type="dxa"/>
            <w:vAlign w:val="center"/>
          </w:tcPr>
          <w:p w14:paraId="2E50B343">
            <w:pPr>
              <w:adjustRightInd w:val="0"/>
              <w:snapToGrid w:val="0"/>
              <w:spacing w:line="288" w:lineRule="auto"/>
              <w:jc w:val="center"/>
              <w:rPr>
                <w:rFonts w:hint="eastAsia" w:ascii="宋体" w:hAnsi="宋体" w:cs="宋体"/>
                <w:b/>
                <w:bCs/>
                <w:color w:val="auto"/>
                <w:szCs w:val="21"/>
                <w:highlight w:val="none"/>
              </w:rPr>
            </w:pPr>
          </w:p>
        </w:tc>
      </w:tr>
      <w:tr w14:paraId="09F1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Align w:val="center"/>
          </w:tcPr>
          <w:p w14:paraId="615012DC">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kern w:val="2"/>
                <w:szCs w:val="21"/>
                <w:highlight w:val="none"/>
              </w:rPr>
              <w:t>技术响应程度</w:t>
            </w:r>
          </w:p>
        </w:tc>
        <w:tc>
          <w:tcPr>
            <w:tcW w:w="670" w:type="dxa"/>
            <w:vAlign w:val="center"/>
          </w:tcPr>
          <w:p w14:paraId="592439F5">
            <w:pPr>
              <w:adjustRightInd w:val="0"/>
              <w:snapToGrid w:val="0"/>
              <w:spacing w:line="288" w:lineRule="auto"/>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10</w:t>
            </w:r>
          </w:p>
        </w:tc>
        <w:tc>
          <w:tcPr>
            <w:tcW w:w="6450" w:type="dxa"/>
            <w:vAlign w:val="center"/>
          </w:tcPr>
          <w:p w14:paraId="02C9382B">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【客观分】</w:t>
            </w:r>
          </w:p>
          <w:p w14:paraId="2ADFE31D">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满足</w:t>
            </w:r>
            <w:r>
              <w:rPr>
                <w:rFonts w:hint="eastAsia" w:ascii="宋体" w:hAnsi="宋体" w:cs="宋体"/>
                <w:color w:val="auto"/>
                <w:kern w:val="2"/>
                <w:szCs w:val="21"/>
                <w:highlight w:val="none"/>
                <w:lang w:val="en-US" w:eastAsia="zh-CN"/>
              </w:rPr>
              <w:t>磋商</w:t>
            </w:r>
            <w:r>
              <w:rPr>
                <w:rFonts w:hint="eastAsia" w:ascii="宋体" w:hAnsi="宋体" w:cs="宋体"/>
                <w:color w:val="auto"/>
                <w:kern w:val="2"/>
                <w:szCs w:val="21"/>
                <w:highlight w:val="none"/>
              </w:rPr>
              <w:t>文件明确的</w:t>
            </w:r>
            <w:r>
              <w:rPr>
                <w:rFonts w:hint="eastAsia" w:ascii="宋体" w:hAnsi="宋体" w:cs="宋体"/>
                <w:color w:val="auto"/>
                <w:kern w:val="2"/>
                <w:szCs w:val="21"/>
                <w:highlight w:val="none"/>
                <w:lang w:eastAsia="zh-CN"/>
              </w:rPr>
              <w:t>“1.技术方案”</w:t>
            </w:r>
            <w:r>
              <w:rPr>
                <w:rFonts w:hint="eastAsia" w:ascii="宋体" w:hAnsi="宋体" w:cs="宋体"/>
                <w:color w:val="auto"/>
                <w:kern w:val="2"/>
                <w:szCs w:val="21"/>
                <w:highlight w:val="none"/>
              </w:rPr>
              <w:t>全部技术条款要求的该项得满分；</w:t>
            </w:r>
          </w:p>
          <w:p w14:paraId="5B6FE7F6">
            <w:pPr>
              <w:adjustRightInd w:val="0"/>
              <w:snapToGrid w:val="0"/>
              <w:spacing w:line="288" w:lineRule="auto"/>
              <w:rPr>
                <w:rFonts w:hint="eastAsia" w:ascii="宋体" w:hAnsi="宋体" w:eastAsia="宋体" w:cs="宋体"/>
                <w:color w:val="auto"/>
                <w:kern w:val="2"/>
                <w:szCs w:val="21"/>
                <w:highlight w:val="none"/>
                <w:lang w:eastAsia="zh-CN"/>
              </w:rPr>
            </w:pPr>
            <w:r>
              <w:rPr>
                <w:rFonts w:hint="eastAsia" w:ascii="宋体" w:hAnsi="宋体" w:cs="宋体"/>
                <w:color w:val="auto"/>
                <w:kern w:val="2"/>
                <w:szCs w:val="21"/>
                <w:highlight w:val="none"/>
              </w:rPr>
              <w:t>技术条款低于技术要求（负偏离）的每项扣</w:t>
            </w:r>
            <w:r>
              <w:rPr>
                <w:rFonts w:hint="eastAsia" w:ascii="宋体" w:hAnsi="宋体" w:cs="宋体"/>
                <w:color w:val="auto"/>
                <w:kern w:val="2"/>
                <w:szCs w:val="21"/>
                <w:highlight w:val="none"/>
                <w:lang w:val="en-US" w:eastAsia="zh-CN"/>
              </w:rPr>
              <w:t>1</w:t>
            </w:r>
            <w:r>
              <w:rPr>
                <w:rFonts w:hint="eastAsia" w:ascii="宋体" w:hAnsi="宋体" w:cs="宋体"/>
                <w:color w:val="auto"/>
                <w:kern w:val="2"/>
                <w:szCs w:val="21"/>
                <w:highlight w:val="none"/>
              </w:rPr>
              <w:t>分</w:t>
            </w:r>
            <w:r>
              <w:rPr>
                <w:rFonts w:hint="eastAsia" w:ascii="宋体" w:hAnsi="宋体" w:cs="宋体"/>
                <w:color w:val="auto"/>
                <w:kern w:val="2"/>
                <w:szCs w:val="21"/>
                <w:highlight w:val="none"/>
                <w:lang w:eastAsia="zh-CN"/>
              </w:rPr>
              <w:t>；（</w:t>
            </w:r>
            <w:r>
              <w:rPr>
                <w:rFonts w:hint="eastAsia" w:ascii="宋体" w:hAnsi="宋体" w:cs="宋体"/>
                <w:color w:val="auto"/>
                <w:kern w:val="2"/>
                <w:szCs w:val="21"/>
                <w:highlight w:val="none"/>
                <w:lang w:val="en-US" w:eastAsia="zh-CN"/>
              </w:rPr>
              <w:t>最小级序号为1项</w:t>
            </w:r>
            <w:r>
              <w:rPr>
                <w:rFonts w:hint="eastAsia" w:ascii="宋体" w:hAnsi="宋体" w:cs="宋体"/>
                <w:color w:val="auto"/>
                <w:kern w:val="2"/>
                <w:szCs w:val="21"/>
                <w:highlight w:val="none"/>
                <w:lang w:eastAsia="zh-CN"/>
              </w:rPr>
              <w:t>）</w:t>
            </w:r>
          </w:p>
          <w:p w14:paraId="3A084BB3">
            <w:pPr>
              <w:adjustRightInd w:val="0"/>
              <w:snapToGrid w:val="0"/>
              <w:spacing w:line="288" w:lineRule="auto"/>
              <w:rPr>
                <w:rFonts w:hint="eastAsia" w:ascii="宋体" w:hAnsi="宋体" w:cs="宋体"/>
                <w:b/>
                <w:bCs/>
                <w:color w:val="auto"/>
                <w:szCs w:val="21"/>
                <w:highlight w:val="none"/>
              </w:rPr>
            </w:pPr>
            <w:r>
              <w:rPr>
                <w:rFonts w:hint="eastAsia" w:ascii="宋体" w:hAnsi="宋体" w:cs="宋体"/>
                <w:color w:val="auto"/>
                <w:kern w:val="2"/>
                <w:szCs w:val="21"/>
                <w:highlight w:val="none"/>
              </w:rPr>
              <w:t>负偏离</w:t>
            </w:r>
            <w:r>
              <w:rPr>
                <w:rFonts w:hint="eastAsia" w:ascii="宋体" w:hAnsi="宋体" w:cs="宋体"/>
                <w:color w:val="auto"/>
                <w:kern w:val="2"/>
                <w:szCs w:val="21"/>
                <w:highlight w:val="none"/>
                <w:lang w:val="en-US" w:eastAsia="zh-CN"/>
              </w:rPr>
              <w:t>10</w:t>
            </w:r>
            <w:r>
              <w:rPr>
                <w:rFonts w:hint="eastAsia" w:ascii="宋体" w:hAnsi="宋体" w:cs="宋体"/>
                <w:color w:val="auto"/>
                <w:kern w:val="2"/>
                <w:szCs w:val="21"/>
                <w:highlight w:val="none"/>
              </w:rPr>
              <w:t>项及以上的，视为采购人不能接受的附加条件，</w:t>
            </w:r>
            <w:r>
              <w:rPr>
                <w:rFonts w:hint="eastAsia" w:ascii="宋体" w:hAnsi="宋体" w:cs="宋体"/>
                <w:color w:val="auto"/>
                <w:kern w:val="2"/>
                <w:szCs w:val="21"/>
                <w:highlight w:val="none"/>
                <w:lang w:val="en-US" w:eastAsia="zh-CN"/>
              </w:rPr>
              <w:t>响应</w:t>
            </w:r>
            <w:r>
              <w:rPr>
                <w:rFonts w:hint="eastAsia" w:ascii="宋体" w:hAnsi="宋体" w:cs="宋体"/>
                <w:color w:val="auto"/>
                <w:kern w:val="2"/>
                <w:szCs w:val="21"/>
                <w:highlight w:val="none"/>
              </w:rPr>
              <w:t>无效。</w:t>
            </w:r>
          </w:p>
        </w:tc>
        <w:tc>
          <w:tcPr>
            <w:tcW w:w="1327" w:type="dxa"/>
            <w:vAlign w:val="center"/>
          </w:tcPr>
          <w:p w14:paraId="79F11CD1">
            <w:pPr>
              <w:adjustRightInd w:val="0"/>
              <w:snapToGrid w:val="0"/>
              <w:spacing w:line="288" w:lineRule="auto"/>
              <w:jc w:val="center"/>
              <w:rPr>
                <w:rFonts w:hint="eastAsia" w:ascii="宋体" w:hAnsi="宋体" w:cs="宋体"/>
                <w:color w:val="auto"/>
                <w:szCs w:val="21"/>
                <w:highlight w:val="none"/>
              </w:rPr>
            </w:pPr>
          </w:p>
        </w:tc>
      </w:tr>
      <w:tr w14:paraId="685D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Merge w:val="restart"/>
            <w:vAlign w:val="center"/>
          </w:tcPr>
          <w:p w14:paraId="28E7A12D">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技术服务方案</w:t>
            </w:r>
          </w:p>
        </w:tc>
        <w:tc>
          <w:tcPr>
            <w:tcW w:w="670" w:type="dxa"/>
            <w:vAlign w:val="center"/>
          </w:tcPr>
          <w:p w14:paraId="7872F64C">
            <w:pPr>
              <w:adjustRightInd w:val="0"/>
              <w:snapToGrid w:val="0"/>
              <w:spacing w:line="288" w:lineRule="auto"/>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5</w:t>
            </w:r>
          </w:p>
        </w:tc>
        <w:tc>
          <w:tcPr>
            <w:tcW w:w="6450" w:type="dxa"/>
            <w:vAlign w:val="center"/>
          </w:tcPr>
          <w:p w14:paraId="5C91255D">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【主观分】</w:t>
            </w:r>
          </w:p>
          <w:p w14:paraId="519A7DC0">
            <w:pPr>
              <w:adjustRightInd w:val="0"/>
              <w:snapToGrid w:val="0"/>
              <w:spacing w:line="288" w:lineRule="auto"/>
              <w:rPr>
                <w:rFonts w:hint="eastAsia" w:ascii="宋体" w:hAnsi="宋体" w:cs="宋体"/>
                <w:color w:val="auto"/>
                <w:szCs w:val="21"/>
                <w:highlight w:val="none"/>
              </w:rPr>
            </w:pPr>
            <w:r>
              <w:rPr>
                <w:rFonts w:hint="eastAsia" w:ascii="宋体" w:hAnsi="宋体" w:cs="宋体"/>
                <w:b/>
                <w:bCs/>
                <w:color w:val="auto"/>
                <w:szCs w:val="21"/>
                <w:highlight w:val="none"/>
              </w:rPr>
              <w:t>服务重难点分析：</w:t>
            </w:r>
            <w:r>
              <w:rPr>
                <w:rFonts w:hint="eastAsia" w:ascii="宋体" w:hAnsi="宋体" w:cs="宋体"/>
                <w:color w:val="auto"/>
                <w:szCs w:val="21"/>
                <w:highlight w:val="none"/>
              </w:rPr>
              <w:t>供应商对实施过程可能存在的重难点进行分析，分析到位，应对措施合理可行。</w:t>
            </w:r>
            <w:r>
              <w:rPr>
                <w:rFonts w:hint="eastAsia" w:ascii="宋体" w:hAnsi="宋体" w:cs="宋体"/>
                <w:color w:val="auto"/>
                <w:szCs w:val="21"/>
                <w:highlight w:val="none"/>
                <w:lang w:val="en-US" w:eastAsia="zh-CN"/>
              </w:rPr>
              <w:t>包括但不限于一期和二期差异、功能升级、手机端对接、二期数据采集对接等重点难点内容。</w:t>
            </w:r>
            <w:r>
              <w:rPr>
                <w:rFonts w:hint="eastAsia" w:ascii="宋体" w:hAnsi="宋体" w:cs="宋体"/>
                <w:b/>
                <w:bCs/>
                <w:color w:val="auto"/>
                <w:szCs w:val="21"/>
                <w:highlight w:val="none"/>
              </w:rPr>
              <w:t>（评分范围：</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4,3,2,1,0）</w:t>
            </w:r>
          </w:p>
        </w:tc>
        <w:tc>
          <w:tcPr>
            <w:tcW w:w="1327" w:type="dxa"/>
            <w:vAlign w:val="center"/>
          </w:tcPr>
          <w:p w14:paraId="447F73D8">
            <w:pPr>
              <w:adjustRightInd w:val="0"/>
              <w:snapToGrid w:val="0"/>
              <w:spacing w:line="288" w:lineRule="auto"/>
              <w:jc w:val="center"/>
              <w:rPr>
                <w:rFonts w:hint="eastAsia" w:ascii="宋体" w:hAnsi="宋体" w:cs="宋体"/>
                <w:color w:val="auto"/>
                <w:szCs w:val="21"/>
                <w:highlight w:val="none"/>
              </w:rPr>
            </w:pPr>
          </w:p>
        </w:tc>
      </w:tr>
      <w:tr w14:paraId="74E5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Merge w:val="continue"/>
            <w:vAlign w:val="center"/>
          </w:tcPr>
          <w:p w14:paraId="4F19667C">
            <w:pPr>
              <w:adjustRightInd w:val="0"/>
              <w:snapToGrid w:val="0"/>
              <w:spacing w:line="288" w:lineRule="auto"/>
              <w:jc w:val="center"/>
              <w:rPr>
                <w:rFonts w:hint="eastAsia" w:ascii="宋体" w:hAnsi="宋体" w:cs="宋体"/>
                <w:b/>
                <w:bCs/>
                <w:color w:val="auto"/>
                <w:szCs w:val="21"/>
                <w:highlight w:val="none"/>
              </w:rPr>
            </w:pPr>
          </w:p>
        </w:tc>
        <w:tc>
          <w:tcPr>
            <w:tcW w:w="670" w:type="dxa"/>
            <w:vAlign w:val="center"/>
          </w:tcPr>
          <w:p w14:paraId="25D52B15">
            <w:pPr>
              <w:adjustRightInd w:val="0"/>
              <w:snapToGrid w:val="0"/>
              <w:spacing w:line="288" w:lineRule="auto"/>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24</w:t>
            </w:r>
          </w:p>
        </w:tc>
        <w:tc>
          <w:tcPr>
            <w:tcW w:w="6450" w:type="dxa"/>
            <w:vAlign w:val="center"/>
          </w:tcPr>
          <w:p w14:paraId="101DF669">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【主观分】</w:t>
            </w:r>
          </w:p>
          <w:p w14:paraId="6EBFD1D4">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供应商根据采购需求及项目特点，提供</w:t>
            </w:r>
            <w:r>
              <w:rPr>
                <w:rFonts w:hint="eastAsia" w:ascii="宋体" w:hAnsi="宋体" w:cs="宋体"/>
                <w:b/>
                <w:bCs/>
                <w:color w:val="auto"/>
                <w:szCs w:val="21"/>
                <w:highlight w:val="none"/>
              </w:rPr>
              <w:t>纪委应用场景系统设计技术解决方案</w:t>
            </w:r>
            <w:r>
              <w:rPr>
                <w:rFonts w:hint="eastAsia" w:ascii="宋体" w:hAnsi="宋体" w:cs="宋体"/>
                <w:color w:val="auto"/>
                <w:szCs w:val="21"/>
                <w:highlight w:val="none"/>
              </w:rPr>
              <w:t>：专业、成熟、针对采购需求及实际特点、有利于采购标的的实现。包含但不限于一二期功能如何顺利平移、二期如何结合一期顺利上线运行、一期原有功能数据对接如何复用和保障以及一期重大事项监督与二期事项报备和重大项目模块如何衔接等解决方案。</w:t>
            </w:r>
          </w:p>
          <w:p w14:paraId="03E41ED3">
            <w:pPr>
              <w:pStyle w:val="11"/>
              <w:numPr>
                <w:ilvl w:val="0"/>
                <w:numId w:val="6"/>
              </w:numPr>
              <w:spacing w:before="0" w:line="288" w:lineRule="auto"/>
              <w:ind w:left="425" w:leftChars="0" w:hanging="425" w:firstLineChars="0"/>
              <w:textAlignment w:val="auto"/>
              <w:rPr>
                <w:rFonts w:hint="eastAsia" w:hAnsi="宋体" w:cs="宋体"/>
                <w:color w:val="auto"/>
                <w:sz w:val="21"/>
                <w:szCs w:val="21"/>
                <w:highlight w:val="none"/>
              </w:rPr>
            </w:pPr>
            <w:r>
              <w:rPr>
                <w:rFonts w:hint="eastAsia" w:hAnsi="宋体" w:cs="宋体"/>
                <w:color w:val="auto"/>
                <w:sz w:val="21"/>
                <w:szCs w:val="21"/>
                <w:highlight w:val="none"/>
              </w:rPr>
              <w:t>纪委驾驶舱</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评分范围：4,3,2,1,0</w:t>
            </w:r>
            <w:r>
              <w:rPr>
                <w:rFonts w:hint="eastAsia" w:hAnsi="宋体" w:cs="宋体"/>
                <w:b/>
                <w:bCs/>
                <w:color w:val="auto"/>
                <w:sz w:val="21"/>
                <w:szCs w:val="21"/>
                <w:highlight w:val="none"/>
                <w:lang w:eastAsia="zh-CN"/>
              </w:rPr>
              <w:t>）</w:t>
            </w:r>
          </w:p>
          <w:p w14:paraId="4118DEEE">
            <w:pPr>
              <w:pStyle w:val="11"/>
              <w:numPr>
                <w:ilvl w:val="0"/>
                <w:numId w:val="6"/>
              </w:numPr>
              <w:spacing w:before="0" w:line="288" w:lineRule="auto"/>
              <w:ind w:left="425" w:leftChars="0" w:hanging="425" w:firstLineChars="0"/>
              <w:textAlignment w:val="auto"/>
              <w:rPr>
                <w:rFonts w:hint="eastAsia" w:hAnsi="宋体" w:cs="宋体"/>
                <w:color w:val="auto"/>
                <w:sz w:val="21"/>
                <w:szCs w:val="21"/>
                <w:highlight w:val="none"/>
              </w:rPr>
            </w:pPr>
            <w:r>
              <w:rPr>
                <w:rFonts w:hint="eastAsia" w:hAnsi="宋体" w:cs="宋体"/>
                <w:color w:val="auto"/>
                <w:sz w:val="21"/>
                <w:szCs w:val="21"/>
                <w:highlight w:val="none"/>
              </w:rPr>
              <w:t>重大事项管理模块【重大事项审批子系统（全校）、项目库管理、工作流引擎】</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评分范围：4,3,2,1,0</w:t>
            </w:r>
            <w:r>
              <w:rPr>
                <w:rFonts w:hint="eastAsia" w:hAnsi="宋体" w:cs="宋体"/>
                <w:b/>
                <w:bCs/>
                <w:color w:val="auto"/>
                <w:sz w:val="21"/>
                <w:szCs w:val="21"/>
                <w:highlight w:val="none"/>
                <w:lang w:eastAsia="zh-CN"/>
              </w:rPr>
              <w:t>）</w:t>
            </w:r>
          </w:p>
          <w:p w14:paraId="417FBC7F">
            <w:pPr>
              <w:pStyle w:val="11"/>
              <w:numPr>
                <w:ilvl w:val="0"/>
                <w:numId w:val="6"/>
              </w:numPr>
              <w:spacing w:before="0" w:line="288" w:lineRule="auto"/>
              <w:ind w:left="425" w:leftChars="0" w:hanging="425" w:firstLineChars="0"/>
              <w:textAlignment w:val="auto"/>
              <w:rPr>
                <w:rFonts w:hint="eastAsia" w:hAnsi="宋体" w:cs="宋体"/>
                <w:color w:val="auto"/>
                <w:sz w:val="21"/>
                <w:szCs w:val="21"/>
                <w:highlight w:val="none"/>
              </w:rPr>
            </w:pPr>
            <w:r>
              <w:rPr>
                <w:rFonts w:hint="eastAsia" w:hAnsi="宋体" w:cs="宋体"/>
                <w:color w:val="auto"/>
                <w:sz w:val="21"/>
                <w:szCs w:val="21"/>
                <w:highlight w:val="none"/>
              </w:rPr>
              <w:t>数据采集及分析【合同对接与分析、出差对接与分析、公务出行对接与分析、车辆维修对接与分析、租车申请对接与分析、公车使用申请对接与分析、科研系统数据对接与数据治理、财务数据数据对接与数据治理、高风险人员动态廉政画像】</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评分范围：4,3,2,1,0</w:t>
            </w:r>
            <w:r>
              <w:rPr>
                <w:rFonts w:hint="eastAsia" w:hAnsi="宋体" w:cs="宋体"/>
                <w:b/>
                <w:bCs/>
                <w:color w:val="auto"/>
                <w:sz w:val="21"/>
                <w:szCs w:val="21"/>
                <w:highlight w:val="none"/>
                <w:lang w:eastAsia="zh-CN"/>
              </w:rPr>
              <w:t>）</w:t>
            </w:r>
          </w:p>
          <w:p w14:paraId="4847531A">
            <w:pPr>
              <w:pStyle w:val="11"/>
              <w:numPr>
                <w:ilvl w:val="0"/>
                <w:numId w:val="6"/>
              </w:numPr>
              <w:spacing w:before="0" w:line="288" w:lineRule="auto"/>
              <w:ind w:left="425" w:leftChars="0" w:hanging="425" w:firstLineChars="0"/>
              <w:textAlignment w:val="auto"/>
              <w:rPr>
                <w:rFonts w:hint="eastAsia" w:hAnsi="宋体" w:cs="宋体"/>
                <w:color w:val="auto"/>
                <w:sz w:val="21"/>
                <w:szCs w:val="21"/>
                <w:highlight w:val="none"/>
              </w:rPr>
            </w:pPr>
            <w:r>
              <w:rPr>
                <w:rFonts w:hint="eastAsia" w:hAnsi="宋体" w:cs="宋体"/>
                <w:color w:val="auto"/>
                <w:sz w:val="21"/>
                <w:szCs w:val="21"/>
                <w:highlight w:val="none"/>
              </w:rPr>
              <w:t>手机端移动办公【重大事项审批、风险清单审批】</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评分范围：4,3,2,1,0</w:t>
            </w:r>
            <w:r>
              <w:rPr>
                <w:rFonts w:hint="eastAsia" w:hAnsi="宋体" w:cs="宋体"/>
                <w:b/>
                <w:bCs/>
                <w:color w:val="auto"/>
                <w:sz w:val="21"/>
                <w:szCs w:val="21"/>
                <w:highlight w:val="none"/>
                <w:lang w:eastAsia="zh-CN"/>
              </w:rPr>
              <w:t>）</w:t>
            </w:r>
          </w:p>
          <w:p w14:paraId="6EBAE964">
            <w:pPr>
              <w:pStyle w:val="11"/>
              <w:numPr>
                <w:ilvl w:val="0"/>
                <w:numId w:val="6"/>
              </w:numPr>
              <w:spacing w:before="0" w:line="288" w:lineRule="auto"/>
              <w:ind w:left="425" w:leftChars="0" w:hanging="425" w:firstLineChars="0"/>
              <w:textAlignment w:val="auto"/>
              <w:rPr>
                <w:rFonts w:hint="eastAsia" w:hAnsi="宋体" w:cs="宋体"/>
                <w:color w:val="auto"/>
                <w:sz w:val="21"/>
                <w:szCs w:val="21"/>
                <w:highlight w:val="none"/>
              </w:rPr>
            </w:pPr>
            <w:r>
              <w:rPr>
                <w:rFonts w:hint="eastAsia" w:hAnsi="宋体" w:cs="宋体"/>
                <w:color w:val="auto"/>
                <w:sz w:val="21"/>
                <w:szCs w:val="21"/>
                <w:highlight w:val="none"/>
              </w:rPr>
              <w:t>工作简报数据管理、风险排查报告、自定义消息提醒、待办审批跳转、风险批量审批</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评分范围：4,3,2,1,0</w:t>
            </w:r>
            <w:r>
              <w:rPr>
                <w:rFonts w:hint="eastAsia" w:hAnsi="宋体" w:cs="宋体"/>
                <w:b/>
                <w:bCs/>
                <w:color w:val="auto"/>
                <w:sz w:val="21"/>
                <w:szCs w:val="21"/>
                <w:highlight w:val="none"/>
                <w:lang w:eastAsia="zh-CN"/>
              </w:rPr>
              <w:t>）</w:t>
            </w:r>
          </w:p>
          <w:p w14:paraId="62FEE0FA">
            <w:pPr>
              <w:pStyle w:val="11"/>
              <w:numPr>
                <w:ilvl w:val="0"/>
                <w:numId w:val="6"/>
              </w:numPr>
              <w:spacing w:before="0" w:line="288" w:lineRule="auto"/>
              <w:ind w:left="425" w:leftChars="0" w:hanging="425" w:firstLineChars="0"/>
              <w:textAlignment w:val="auto"/>
              <w:rPr>
                <w:rFonts w:hint="eastAsia" w:hAnsi="宋体" w:cs="宋体"/>
                <w:color w:val="auto"/>
                <w:sz w:val="21"/>
                <w:szCs w:val="21"/>
                <w:highlight w:val="none"/>
              </w:rPr>
            </w:pPr>
            <w:r>
              <w:rPr>
                <w:rFonts w:hint="eastAsia" w:hAnsi="宋体" w:cs="宋体"/>
                <w:color w:val="auto"/>
                <w:sz w:val="21"/>
                <w:szCs w:val="21"/>
                <w:highlight w:val="none"/>
              </w:rPr>
              <w:t>其他重大项目数据对接。根据实际情况，对正在建设的实训室项目管理系统、信息化项目管理系统相关数据进行采集，便于后续数据分析。</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评分范围：4,3,2,1,0</w:t>
            </w:r>
            <w:r>
              <w:rPr>
                <w:rFonts w:hint="eastAsia" w:hAnsi="宋体" w:cs="宋体"/>
                <w:b/>
                <w:bCs/>
                <w:color w:val="auto"/>
                <w:sz w:val="21"/>
                <w:szCs w:val="21"/>
                <w:highlight w:val="none"/>
                <w:lang w:eastAsia="zh-CN"/>
              </w:rPr>
              <w:t>）</w:t>
            </w:r>
          </w:p>
        </w:tc>
        <w:tc>
          <w:tcPr>
            <w:tcW w:w="1327" w:type="dxa"/>
            <w:vAlign w:val="center"/>
          </w:tcPr>
          <w:p w14:paraId="558519BC">
            <w:pPr>
              <w:adjustRightInd w:val="0"/>
              <w:snapToGrid w:val="0"/>
              <w:spacing w:line="288" w:lineRule="auto"/>
              <w:jc w:val="center"/>
              <w:rPr>
                <w:rFonts w:hint="eastAsia" w:ascii="宋体" w:hAnsi="宋体" w:cs="宋体"/>
                <w:color w:val="auto"/>
                <w:szCs w:val="21"/>
                <w:highlight w:val="none"/>
              </w:rPr>
            </w:pPr>
          </w:p>
        </w:tc>
      </w:tr>
      <w:tr w14:paraId="7E20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Merge w:val="continue"/>
            <w:vAlign w:val="center"/>
          </w:tcPr>
          <w:p w14:paraId="7D9373D1">
            <w:pPr>
              <w:adjustRightInd w:val="0"/>
              <w:snapToGrid w:val="0"/>
              <w:spacing w:line="288" w:lineRule="auto"/>
              <w:jc w:val="center"/>
              <w:rPr>
                <w:rFonts w:hint="eastAsia" w:ascii="宋体" w:hAnsi="宋体" w:cs="宋体"/>
                <w:b/>
                <w:bCs/>
                <w:color w:val="auto"/>
                <w:szCs w:val="21"/>
                <w:highlight w:val="none"/>
              </w:rPr>
            </w:pPr>
          </w:p>
        </w:tc>
        <w:tc>
          <w:tcPr>
            <w:tcW w:w="670" w:type="dxa"/>
            <w:vAlign w:val="center"/>
          </w:tcPr>
          <w:p w14:paraId="3BAF3F86">
            <w:pPr>
              <w:adjustRightInd w:val="0"/>
              <w:snapToGrid w:val="0"/>
              <w:spacing w:line="288" w:lineRule="auto"/>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4</w:t>
            </w:r>
          </w:p>
        </w:tc>
        <w:tc>
          <w:tcPr>
            <w:tcW w:w="6450" w:type="dxa"/>
            <w:vAlign w:val="center"/>
          </w:tcPr>
          <w:p w14:paraId="425FB708">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【主观分】</w:t>
            </w:r>
          </w:p>
          <w:p w14:paraId="54ABD9A9">
            <w:pPr>
              <w:pStyle w:val="11"/>
              <w:numPr>
                <w:ilvl w:val="0"/>
                <w:numId w:val="0"/>
              </w:numPr>
              <w:spacing w:before="0" w:line="288" w:lineRule="auto"/>
              <w:ind w:leftChars="0"/>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供应商根据采购需求及项目特点，提供国产化适配、系统安全及系统对接的技术解决方案：专业、成熟、针对采购需求及实际特点、有利于采购标的的实现。</w:t>
            </w:r>
          </w:p>
          <w:p w14:paraId="5CB676B2">
            <w:pPr>
              <w:pStyle w:val="11"/>
              <w:numPr>
                <w:ilvl w:val="0"/>
                <w:numId w:val="0"/>
              </w:numPr>
              <w:spacing w:before="0" w:line="288" w:lineRule="auto"/>
              <w:ind w:leftChars="0"/>
              <w:textAlignment w:val="auto"/>
              <w:rPr>
                <w:rFonts w:hint="default" w:hAnsi="宋体" w:cs="宋体"/>
                <w:color w:val="auto"/>
                <w:sz w:val="21"/>
                <w:szCs w:val="21"/>
                <w:highlight w:val="none"/>
                <w:lang w:val="en-US" w:eastAsia="zh-CN"/>
              </w:rPr>
            </w:pP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评分范围：4,3,2,1,0</w:t>
            </w:r>
            <w:r>
              <w:rPr>
                <w:rFonts w:hint="eastAsia" w:hAnsi="宋体" w:cs="宋体"/>
                <w:b/>
                <w:bCs/>
                <w:color w:val="auto"/>
                <w:sz w:val="21"/>
                <w:szCs w:val="21"/>
                <w:highlight w:val="none"/>
                <w:lang w:eastAsia="zh-CN"/>
              </w:rPr>
              <w:t>）</w:t>
            </w:r>
          </w:p>
        </w:tc>
        <w:tc>
          <w:tcPr>
            <w:tcW w:w="1327" w:type="dxa"/>
            <w:vAlign w:val="center"/>
          </w:tcPr>
          <w:p w14:paraId="4156067F">
            <w:pPr>
              <w:adjustRightInd w:val="0"/>
              <w:snapToGrid w:val="0"/>
              <w:spacing w:line="288" w:lineRule="auto"/>
              <w:jc w:val="center"/>
              <w:rPr>
                <w:rFonts w:hint="eastAsia" w:ascii="宋体" w:hAnsi="宋体" w:cs="宋体"/>
                <w:color w:val="auto"/>
                <w:szCs w:val="21"/>
                <w:highlight w:val="none"/>
              </w:rPr>
            </w:pPr>
          </w:p>
        </w:tc>
      </w:tr>
      <w:tr w14:paraId="4C4A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Merge w:val="continue"/>
            <w:vAlign w:val="center"/>
          </w:tcPr>
          <w:p w14:paraId="13D07973">
            <w:pPr>
              <w:adjustRightInd w:val="0"/>
              <w:snapToGrid w:val="0"/>
              <w:spacing w:line="288" w:lineRule="auto"/>
              <w:jc w:val="center"/>
              <w:rPr>
                <w:rFonts w:hint="eastAsia" w:ascii="宋体" w:hAnsi="宋体" w:cs="宋体"/>
                <w:b/>
                <w:bCs/>
                <w:color w:val="auto"/>
                <w:szCs w:val="21"/>
                <w:highlight w:val="none"/>
              </w:rPr>
            </w:pPr>
          </w:p>
        </w:tc>
        <w:tc>
          <w:tcPr>
            <w:tcW w:w="670" w:type="dxa"/>
            <w:vAlign w:val="center"/>
          </w:tcPr>
          <w:p w14:paraId="43A447D2">
            <w:pPr>
              <w:adjustRightInd w:val="0"/>
              <w:snapToGrid w:val="0"/>
              <w:spacing w:line="288" w:lineRule="auto"/>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4</w:t>
            </w:r>
          </w:p>
        </w:tc>
        <w:tc>
          <w:tcPr>
            <w:tcW w:w="6450" w:type="dxa"/>
            <w:vAlign w:val="center"/>
          </w:tcPr>
          <w:p w14:paraId="2E456446">
            <w:pPr>
              <w:pStyle w:val="11"/>
              <w:numPr>
                <w:ilvl w:val="0"/>
                <w:numId w:val="0"/>
              </w:numPr>
              <w:spacing w:before="0" w:line="288" w:lineRule="auto"/>
              <w:ind w:leftChars="0"/>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【主观分】</w:t>
            </w:r>
          </w:p>
          <w:p w14:paraId="27230B90">
            <w:pPr>
              <w:pStyle w:val="11"/>
              <w:numPr>
                <w:ilvl w:val="0"/>
                <w:numId w:val="0"/>
              </w:numPr>
              <w:spacing w:before="0" w:line="288" w:lineRule="auto"/>
              <w:ind w:leftChars="0"/>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供应商提供项目需求中功能模块的页面设计方案。主要包括纪委驾驶舱、重大事项管理模块、手机移动办公以及一期升级功能中工作简报数据管理、风险排查报告等功能页面设计。页面设计专业，布局结构合理，主次内容分明，风格统一；配色、字体等搭配美观和谐。</w:t>
            </w:r>
          </w:p>
          <w:p w14:paraId="23D39B3C">
            <w:pPr>
              <w:pStyle w:val="11"/>
              <w:numPr>
                <w:ilvl w:val="0"/>
                <w:numId w:val="0"/>
              </w:numPr>
              <w:spacing w:before="0" w:line="288" w:lineRule="auto"/>
              <w:ind w:leftChars="0"/>
              <w:textAlignment w:val="auto"/>
              <w:rPr>
                <w:rFonts w:hint="eastAsia" w:hAnsi="宋体" w:cs="宋体"/>
                <w:color w:val="auto"/>
                <w:sz w:val="21"/>
                <w:szCs w:val="21"/>
                <w:highlight w:val="none"/>
                <w:lang w:val="en-US" w:eastAsia="zh-CN"/>
              </w:rPr>
            </w:pP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评分范围：4,3,2,1,0</w:t>
            </w:r>
            <w:r>
              <w:rPr>
                <w:rFonts w:hint="eastAsia" w:hAnsi="宋体" w:cs="宋体"/>
                <w:b/>
                <w:bCs/>
                <w:color w:val="auto"/>
                <w:sz w:val="21"/>
                <w:szCs w:val="21"/>
                <w:highlight w:val="none"/>
                <w:lang w:eastAsia="zh-CN"/>
              </w:rPr>
              <w:t>）</w:t>
            </w:r>
          </w:p>
        </w:tc>
        <w:tc>
          <w:tcPr>
            <w:tcW w:w="1327" w:type="dxa"/>
            <w:vAlign w:val="center"/>
          </w:tcPr>
          <w:p w14:paraId="7B9B74B4">
            <w:pPr>
              <w:adjustRightInd w:val="0"/>
              <w:snapToGrid w:val="0"/>
              <w:spacing w:line="288" w:lineRule="auto"/>
              <w:jc w:val="center"/>
              <w:rPr>
                <w:rFonts w:hint="eastAsia" w:ascii="宋体" w:hAnsi="宋体" w:cs="宋体"/>
                <w:color w:val="auto"/>
                <w:szCs w:val="21"/>
                <w:highlight w:val="none"/>
              </w:rPr>
            </w:pPr>
          </w:p>
        </w:tc>
      </w:tr>
      <w:tr w14:paraId="1DC5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Merge w:val="restart"/>
            <w:vAlign w:val="center"/>
          </w:tcPr>
          <w:p w14:paraId="1DFB0814">
            <w:pPr>
              <w:adjustRightInd w:val="0"/>
              <w:snapToGrid w:val="0"/>
              <w:spacing w:line="288" w:lineRule="auto"/>
              <w:jc w:val="center"/>
              <w:rPr>
                <w:rFonts w:hint="eastAsia" w:ascii="宋体" w:hAnsi="宋体" w:cs="宋体"/>
                <w:b/>
                <w:bCs/>
                <w:color w:val="auto"/>
                <w:kern w:val="2"/>
                <w:szCs w:val="21"/>
                <w:highlight w:val="none"/>
              </w:rPr>
            </w:pPr>
            <w:r>
              <w:rPr>
                <w:rFonts w:hint="eastAsia" w:ascii="宋体" w:hAnsi="宋体" w:cs="宋体"/>
                <w:b/>
                <w:bCs/>
                <w:color w:val="auto"/>
                <w:szCs w:val="21"/>
                <w:highlight w:val="none"/>
              </w:rPr>
              <w:t>组织实施方案</w:t>
            </w:r>
          </w:p>
        </w:tc>
        <w:tc>
          <w:tcPr>
            <w:tcW w:w="670" w:type="dxa"/>
            <w:vAlign w:val="center"/>
          </w:tcPr>
          <w:p w14:paraId="643C1950">
            <w:pPr>
              <w:adjustRightInd w:val="0"/>
              <w:snapToGrid w:val="0"/>
              <w:spacing w:line="288" w:lineRule="auto"/>
              <w:jc w:val="center"/>
              <w:rPr>
                <w:rFonts w:hint="eastAsia" w:ascii="宋体" w:hAnsi="宋体" w:eastAsia="宋体" w:cs="宋体"/>
                <w:b/>
                <w:bCs/>
                <w:color w:val="auto"/>
                <w:kern w:val="2"/>
                <w:szCs w:val="21"/>
                <w:highlight w:val="none"/>
                <w:lang w:eastAsia="zh-CN"/>
              </w:rPr>
            </w:pPr>
            <w:r>
              <w:rPr>
                <w:rFonts w:hint="eastAsia" w:ascii="宋体" w:hAnsi="宋体" w:cs="宋体"/>
                <w:b/>
                <w:bCs/>
                <w:color w:val="auto"/>
                <w:szCs w:val="21"/>
                <w:highlight w:val="none"/>
                <w:lang w:val="en-US" w:eastAsia="zh-CN"/>
              </w:rPr>
              <w:t>4</w:t>
            </w:r>
          </w:p>
        </w:tc>
        <w:tc>
          <w:tcPr>
            <w:tcW w:w="6450" w:type="dxa"/>
            <w:vAlign w:val="center"/>
          </w:tcPr>
          <w:p w14:paraId="24399E90">
            <w:pPr>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【主观分】</w:t>
            </w:r>
          </w:p>
          <w:p w14:paraId="5AC06AD0">
            <w:pPr>
              <w:adjustRightInd w:val="0"/>
              <w:snapToGrid w:val="0"/>
              <w:spacing w:line="288" w:lineRule="auto"/>
              <w:rPr>
                <w:rFonts w:hint="eastAsia"/>
                <w:color w:val="auto"/>
                <w:szCs w:val="21"/>
                <w:highlight w:val="none"/>
              </w:rPr>
            </w:pPr>
            <w:r>
              <w:rPr>
                <w:rFonts w:hint="eastAsia"/>
                <w:color w:val="auto"/>
                <w:szCs w:val="21"/>
                <w:highlight w:val="none"/>
              </w:rPr>
              <w:t>供应商提供实施计划、进度控制方案：实施计划科学合理，贴合本次项目需求，明确划分各阶段任务、时间节点、责任人及交付物；进度控制措施完善，有明确的进度预警机制、延误应对方案，可有效保障项目按期完成，无遗漏环节。</w:t>
            </w:r>
          </w:p>
          <w:p w14:paraId="2DF57A1E">
            <w:pPr>
              <w:adjustRightInd w:val="0"/>
              <w:snapToGrid w:val="0"/>
              <w:spacing w:line="288" w:lineRule="auto"/>
              <w:rPr>
                <w:rFonts w:hint="eastAsia" w:ascii="宋体" w:hAnsi="宋体" w:cs="宋体"/>
                <w:b/>
                <w:bCs/>
                <w:color w:val="auto"/>
                <w:kern w:val="2"/>
                <w:szCs w:val="21"/>
                <w:highlight w:val="none"/>
              </w:rPr>
            </w:pPr>
            <w:r>
              <w:rPr>
                <w:rFonts w:hint="eastAsia" w:ascii="宋体" w:hAnsi="宋体" w:cs="宋体"/>
                <w:b/>
                <w:bCs/>
                <w:color w:val="auto"/>
                <w:szCs w:val="21"/>
                <w:highlight w:val="none"/>
              </w:rPr>
              <w:t>（评分范围：4,3,2,1,0）</w:t>
            </w:r>
          </w:p>
        </w:tc>
        <w:tc>
          <w:tcPr>
            <w:tcW w:w="1327" w:type="dxa"/>
            <w:vAlign w:val="center"/>
          </w:tcPr>
          <w:p w14:paraId="1098EBF5">
            <w:pPr>
              <w:adjustRightInd w:val="0"/>
              <w:snapToGrid w:val="0"/>
              <w:spacing w:line="288" w:lineRule="auto"/>
              <w:jc w:val="center"/>
              <w:rPr>
                <w:rFonts w:hint="eastAsia" w:ascii="宋体" w:hAnsi="宋体" w:cs="宋体"/>
                <w:color w:val="auto"/>
                <w:szCs w:val="21"/>
                <w:highlight w:val="none"/>
              </w:rPr>
            </w:pPr>
          </w:p>
        </w:tc>
      </w:tr>
      <w:tr w14:paraId="6169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Merge w:val="continue"/>
            <w:vAlign w:val="center"/>
          </w:tcPr>
          <w:p w14:paraId="70AD0BC8">
            <w:pPr>
              <w:adjustRightInd w:val="0"/>
              <w:snapToGrid w:val="0"/>
              <w:spacing w:line="288" w:lineRule="auto"/>
              <w:jc w:val="center"/>
              <w:rPr>
                <w:rFonts w:hint="eastAsia" w:ascii="宋体" w:hAnsi="宋体" w:cs="宋体"/>
                <w:b/>
                <w:bCs/>
                <w:color w:val="auto"/>
                <w:szCs w:val="21"/>
                <w:highlight w:val="none"/>
              </w:rPr>
            </w:pPr>
          </w:p>
        </w:tc>
        <w:tc>
          <w:tcPr>
            <w:tcW w:w="670" w:type="dxa"/>
            <w:vAlign w:val="center"/>
          </w:tcPr>
          <w:p w14:paraId="6B3E1FFC">
            <w:pPr>
              <w:adjustRightInd w:val="0"/>
              <w:snapToGrid w:val="0"/>
              <w:spacing w:line="288" w:lineRule="auto"/>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4</w:t>
            </w:r>
          </w:p>
        </w:tc>
        <w:tc>
          <w:tcPr>
            <w:tcW w:w="6450" w:type="dxa"/>
            <w:vAlign w:val="center"/>
          </w:tcPr>
          <w:p w14:paraId="1DB92269">
            <w:pPr>
              <w:adjustRightInd w:val="0"/>
              <w:snapToGrid w:val="0"/>
              <w:spacing w:line="288" w:lineRule="auto"/>
              <w:rPr>
                <w:color w:val="auto"/>
                <w:szCs w:val="21"/>
                <w:highlight w:val="none"/>
              </w:rPr>
            </w:pPr>
            <w:r>
              <w:rPr>
                <w:rFonts w:hint="eastAsia"/>
                <w:color w:val="auto"/>
                <w:szCs w:val="21"/>
                <w:highlight w:val="none"/>
              </w:rPr>
              <w:t>【主观分】</w:t>
            </w:r>
          </w:p>
          <w:p w14:paraId="166B51FD">
            <w:pPr>
              <w:adjustRightInd w:val="0"/>
              <w:snapToGrid w:val="0"/>
              <w:spacing w:line="288" w:lineRule="auto"/>
              <w:rPr>
                <w:rFonts w:hint="eastAsia" w:ascii="宋体" w:hAnsi="宋体" w:cs="宋体"/>
                <w:b/>
                <w:bCs/>
                <w:color w:val="auto"/>
                <w:szCs w:val="21"/>
                <w:highlight w:val="none"/>
              </w:rPr>
            </w:pPr>
            <w:r>
              <w:rPr>
                <w:rFonts w:hint="eastAsia"/>
                <w:color w:val="auto"/>
                <w:szCs w:val="21"/>
                <w:highlight w:val="none"/>
              </w:rPr>
              <w:t>供应商提供试运行、测试方案：投标人针对本项目提出的一二期平稳试运行及上线运行方案</w:t>
            </w:r>
            <w:r>
              <w:rPr>
                <w:rFonts w:hint="eastAsia"/>
                <w:color w:val="auto"/>
                <w:szCs w:val="21"/>
                <w:highlight w:val="none"/>
                <w:lang w:eastAsia="zh-CN"/>
              </w:rPr>
              <w:t>，</w:t>
            </w:r>
            <w:r>
              <w:rPr>
                <w:rFonts w:hint="eastAsia"/>
                <w:color w:val="auto"/>
                <w:szCs w:val="21"/>
                <w:highlight w:val="none"/>
              </w:rPr>
              <w:t>工作程序清晰合理、方案专业、落地执行力强，</w:t>
            </w:r>
            <w:r>
              <w:rPr>
                <w:rFonts w:hint="eastAsia" w:ascii="宋体" w:hAnsi="宋体" w:cs="宋体"/>
                <w:color w:val="auto"/>
                <w:szCs w:val="21"/>
                <w:highlight w:val="none"/>
              </w:rPr>
              <w:t>针对采购需求及实际特点、有利于采购标的的实现。</w:t>
            </w:r>
            <w:r>
              <w:rPr>
                <w:rFonts w:hint="eastAsia" w:ascii="宋体" w:hAnsi="宋体" w:cs="宋体"/>
                <w:b/>
                <w:bCs/>
                <w:color w:val="auto"/>
                <w:szCs w:val="21"/>
                <w:highlight w:val="none"/>
              </w:rPr>
              <w:t>（评分范围：4,3,2,1,0）</w:t>
            </w:r>
          </w:p>
        </w:tc>
        <w:tc>
          <w:tcPr>
            <w:tcW w:w="1327" w:type="dxa"/>
            <w:vAlign w:val="center"/>
          </w:tcPr>
          <w:p w14:paraId="5EA0086B">
            <w:pPr>
              <w:adjustRightInd w:val="0"/>
              <w:snapToGrid w:val="0"/>
              <w:spacing w:line="288" w:lineRule="auto"/>
              <w:jc w:val="center"/>
              <w:rPr>
                <w:rFonts w:hint="eastAsia" w:ascii="宋体" w:hAnsi="宋体" w:cs="宋体"/>
                <w:color w:val="auto"/>
                <w:szCs w:val="21"/>
                <w:highlight w:val="none"/>
              </w:rPr>
            </w:pPr>
          </w:p>
        </w:tc>
      </w:tr>
      <w:tr w14:paraId="6BC7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Merge w:val="continue"/>
            <w:vAlign w:val="center"/>
          </w:tcPr>
          <w:p w14:paraId="2620A3B7">
            <w:pPr>
              <w:adjustRightInd w:val="0"/>
              <w:snapToGrid w:val="0"/>
              <w:spacing w:line="288" w:lineRule="auto"/>
              <w:jc w:val="center"/>
              <w:rPr>
                <w:rFonts w:hint="eastAsia" w:ascii="宋体" w:hAnsi="宋体" w:cs="宋体"/>
                <w:b/>
                <w:bCs/>
                <w:color w:val="auto"/>
                <w:szCs w:val="21"/>
                <w:highlight w:val="none"/>
              </w:rPr>
            </w:pPr>
          </w:p>
        </w:tc>
        <w:tc>
          <w:tcPr>
            <w:tcW w:w="670" w:type="dxa"/>
            <w:vAlign w:val="center"/>
          </w:tcPr>
          <w:p w14:paraId="489B8999">
            <w:pPr>
              <w:adjustRightInd w:val="0"/>
              <w:snapToGrid w:val="0"/>
              <w:spacing w:line="288" w:lineRule="auto"/>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4</w:t>
            </w:r>
          </w:p>
        </w:tc>
        <w:tc>
          <w:tcPr>
            <w:tcW w:w="6450" w:type="dxa"/>
            <w:vAlign w:val="center"/>
          </w:tcPr>
          <w:p w14:paraId="702F2B9F">
            <w:pPr>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【主观分】</w:t>
            </w:r>
          </w:p>
          <w:p w14:paraId="668B4248">
            <w:pPr>
              <w:adjustRightInd w:val="0"/>
              <w:snapToGrid w:val="0"/>
              <w:spacing w:line="288" w:lineRule="auto"/>
              <w:rPr>
                <w:rFonts w:hint="eastAsia" w:ascii="宋体" w:hAnsi="宋体" w:cs="宋体"/>
                <w:b/>
                <w:bCs/>
                <w:color w:val="auto"/>
                <w:szCs w:val="21"/>
                <w:highlight w:val="none"/>
              </w:rPr>
            </w:pPr>
            <w:r>
              <w:rPr>
                <w:rFonts w:ascii="宋体" w:hAnsi="宋体" w:cs="宋体"/>
                <w:color w:val="auto"/>
                <w:szCs w:val="21"/>
                <w:highlight w:val="none"/>
              </w:rPr>
              <w:t>售后服务方案</w:t>
            </w:r>
            <w:r>
              <w:rPr>
                <w:rFonts w:hint="eastAsia" w:ascii="宋体" w:hAnsi="宋体" w:cs="宋体"/>
                <w:color w:val="auto"/>
                <w:szCs w:val="21"/>
                <w:highlight w:val="none"/>
              </w:rPr>
              <w:t>，包括但不限于售后</w:t>
            </w:r>
            <w:r>
              <w:rPr>
                <w:rFonts w:ascii="宋体" w:hAnsi="宋体" w:cs="宋体"/>
                <w:color w:val="auto"/>
                <w:szCs w:val="21"/>
                <w:highlight w:val="none"/>
              </w:rPr>
              <w:t>技术支持、售后服务响应时间，出现问题的处理</w:t>
            </w:r>
            <w:r>
              <w:rPr>
                <w:rFonts w:hint="eastAsia" w:ascii="宋体" w:hAnsi="宋体" w:cs="宋体"/>
                <w:color w:val="auto"/>
                <w:szCs w:val="21"/>
                <w:highlight w:val="none"/>
              </w:rPr>
              <w:t>流程</w:t>
            </w:r>
            <w:r>
              <w:rPr>
                <w:rFonts w:ascii="宋体" w:hAnsi="宋体" w:cs="宋体"/>
                <w:color w:val="auto"/>
                <w:szCs w:val="21"/>
                <w:highlight w:val="none"/>
              </w:rPr>
              <w:t>，应急维修承诺等</w:t>
            </w:r>
            <w:r>
              <w:rPr>
                <w:rFonts w:hint="eastAsia" w:ascii="宋体" w:hAnsi="宋体" w:cs="宋体"/>
                <w:color w:val="auto"/>
                <w:szCs w:val="21"/>
                <w:highlight w:val="none"/>
              </w:rPr>
              <w:t>：</w:t>
            </w:r>
            <w:r>
              <w:rPr>
                <w:rFonts w:hint="eastAsia" w:ascii="宋体" w:hAnsi="宋体" w:cs="宋体"/>
                <w:bCs/>
                <w:color w:val="auto"/>
                <w:szCs w:val="21"/>
                <w:highlight w:val="none"/>
              </w:rPr>
              <w:t>方案专业，落地执行力强，有利于采购标的实现及合同履约。</w:t>
            </w:r>
          </w:p>
          <w:p w14:paraId="6CA08EFD">
            <w:pPr>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（评分范围：4,3,2,1,0）</w:t>
            </w:r>
          </w:p>
        </w:tc>
        <w:tc>
          <w:tcPr>
            <w:tcW w:w="1327" w:type="dxa"/>
          </w:tcPr>
          <w:p w14:paraId="77236370">
            <w:pPr>
              <w:adjustRightInd w:val="0"/>
              <w:snapToGrid w:val="0"/>
              <w:spacing w:line="288" w:lineRule="auto"/>
              <w:jc w:val="center"/>
              <w:rPr>
                <w:rFonts w:hint="eastAsia" w:ascii="宋体" w:hAnsi="宋体" w:cs="宋体"/>
                <w:color w:val="auto"/>
                <w:szCs w:val="21"/>
                <w:highlight w:val="none"/>
              </w:rPr>
            </w:pPr>
          </w:p>
        </w:tc>
      </w:tr>
      <w:tr w14:paraId="1C37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Merge w:val="continue"/>
            <w:vAlign w:val="center"/>
          </w:tcPr>
          <w:p w14:paraId="0A1E769C">
            <w:pPr>
              <w:adjustRightInd w:val="0"/>
              <w:snapToGrid w:val="0"/>
              <w:spacing w:line="288" w:lineRule="auto"/>
              <w:jc w:val="center"/>
              <w:rPr>
                <w:rFonts w:hint="eastAsia" w:ascii="宋体" w:hAnsi="宋体" w:cs="宋体"/>
                <w:b/>
                <w:bCs/>
                <w:color w:val="auto"/>
                <w:szCs w:val="21"/>
                <w:highlight w:val="none"/>
              </w:rPr>
            </w:pPr>
          </w:p>
        </w:tc>
        <w:tc>
          <w:tcPr>
            <w:tcW w:w="670" w:type="dxa"/>
            <w:vAlign w:val="center"/>
          </w:tcPr>
          <w:p w14:paraId="5FB42BB1">
            <w:pPr>
              <w:adjustRightInd w:val="0"/>
              <w:snapToGrid w:val="0"/>
              <w:spacing w:line="288" w:lineRule="auto"/>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4</w:t>
            </w:r>
          </w:p>
        </w:tc>
        <w:tc>
          <w:tcPr>
            <w:tcW w:w="6450" w:type="dxa"/>
            <w:vAlign w:val="center"/>
          </w:tcPr>
          <w:p w14:paraId="2D0E07B2">
            <w:pPr>
              <w:adjustRightInd w:val="0"/>
              <w:snapToGrid w:val="0"/>
              <w:spacing w:line="288" w:lineRule="auto"/>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主观分</w:t>
            </w:r>
            <w:r>
              <w:rPr>
                <w:rFonts w:hint="eastAsia" w:ascii="宋体" w:hAnsi="宋体" w:cs="宋体"/>
                <w:b w:val="0"/>
                <w:bCs w:val="0"/>
                <w:color w:val="auto"/>
                <w:szCs w:val="21"/>
                <w:highlight w:val="none"/>
                <w:lang w:eastAsia="zh-CN"/>
              </w:rPr>
              <w:t>】</w:t>
            </w:r>
          </w:p>
          <w:p w14:paraId="46508AF9">
            <w:pPr>
              <w:adjustRightInd w:val="0"/>
              <w:snapToGrid w:val="0"/>
              <w:spacing w:line="288" w:lineRule="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保密制度与措施方案：对本项目针对性强，保密组织架构、人员管理、信息分级、传输存储、监督追责等内容全面完整；保密措施科学合理，满足项目保密要求。</w:t>
            </w:r>
          </w:p>
          <w:p w14:paraId="21F5B19D">
            <w:pPr>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（评分范围：4,3,2,1,0）</w:t>
            </w:r>
          </w:p>
        </w:tc>
        <w:tc>
          <w:tcPr>
            <w:tcW w:w="1327" w:type="dxa"/>
          </w:tcPr>
          <w:p w14:paraId="6B595D3B">
            <w:pPr>
              <w:adjustRightInd w:val="0"/>
              <w:snapToGrid w:val="0"/>
              <w:spacing w:line="288" w:lineRule="auto"/>
              <w:jc w:val="center"/>
              <w:rPr>
                <w:rFonts w:hint="eastAsia" w:ascii="宋体" w:hAnsi="宋体" w:cs="宋体"/>
                <w:color w:val="auto"/>
                <w:szCs w:val="21"/>
                <w:highlight w:val="none"/>
              </w:rPr>
            </w:pPr>
          </w:p>
        </w:tc>
      </w:tr>
      <w:tr w14:paraId="0D69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Merge w:val="continue"/>
            <w:vAlign w:val="center"/>
          </w:tcPr>
          <w:p w14:paraId="49CAC4CB">
            <w:pPr>
              <w:adjustRightInd w:val="0"/>
              <w:snapToGrid w:val="0"/>
              <w:spacing w:line="288" w:lineRule="auto"/>
              <w:jc w:val="center"/>
              <w:rPr>
                <w:rFonts w:hint="eastAsia" w:ascii="宋体" w:hAnsi="宋体" w:cs="宋体"/>
                <w:b/>
                <w:bCs/>
                <w:color w:val="auto"/>
                <w:szCs w:val="21"/>
                <w:highlight w:val="none"/>
              </w:rPr>
            </w:pPr>
          </w:p>
        </w:tc>
        <w:tc>
          <w:tcPr>
            <w:tcW w:w="670" w:type="dxa"/>
            <w:vAlign w:val="center"/>
          </w:tcPr>
          <w:p w14:paraId="033FC19E">
            <w:pPr>
              <w:adjustRightInd w:val="0"/>
              <w:snapToGrid w:val="0"/>
              <w:spacing w:line="288" w:lineRule="auto"/>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4</w:t>
            </w:r>
          </w:p>
        </w:tc>
        <w:tc>
          <w:tcPr>
            <w:tcW w:w="6450" w:type="dxa"/>
            <w:vAlign w:val="center"/>
          </w:tcPr>
          <w:p w14:paraId="17A2228B">
            <w:pPr>
              <w:adjustRightInd w:val="0"/>
              <w:snapToGrid w:val="0"/>
              <w:spacing w:line="288" w:lineRule="auto"/>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主观分</w:t>
            </w:r>
            <w:r>
              <w:rPr>
                <w:rFonts w:hint="eastAsia" w:ascii="宋体" w:hAnsi="宋体" w:cs="宋体"/>
                <w:b w:val="0"/>
                <w:bCs w:val="0"/>
                <w:color w:val="auto"/>
                <w:szCs w:val="21"/>
                <w:highlight w:val="none"/>
                <w:lang w:eastAsia="zh-CN"/>
              </w:rPr>
              <w:t>】</w:t>
            </w:r>
          </w:p>
          <w:p w14:paraId="0664A379">
            <w:pPr>
              <w:adjustRightInd w:val="0"/>
              <w:snapToGrid w:val="0"/>
              <w:spacing w:line="288"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突发事件应急预案（包括</w:t>
            </w:r>
            <w:r>
              <w:rPr>
                <w:rFonts w:hint="eastAsia" w:ascii="宋体" w:hAnsi="宋体" w:cs="宋体"/>
                <w:color w:val="auto"/>
                <w:sz w:val="21"/>
                <w:szCs w:val="21"/>
                <w:highlight w:val="none"/>
                <w:lang w:val="en-US" w:eastAsia="zh-CN"/>
              </w:rPr>
              <w:t>服务过程中可能出现的突发</w:t>
            </w:r>
            <w:r>
              <w:rPr>
                <w:rFonts w:hint="eastAsia" w:ascii="宋体" w:hAnsi="宋体" w:cs="宋体"/>
                <w:color w:val="auto"/>
                <w:sz w:val="21"/>
                <w:szCs w:val="21"/>
                <w:highlight w:val="none"/>
              </w:rPr>
              <w:t>情况及应对措施、不同响应级别人员、时间等）：全面、及时、针对采购需求及实际特点、有利于项目实施。</w:t>
            </w:r>
          </w:p>
          <w:p w14:paraId="3206AA47">
            <w:pPr>
              <w:adjustRightInd w:val="0"/>
              <w:snapToGrid w:val="0"/>
              <w:spacing w:line="288" w:lineRule="auto"/>
              <w:rPr>
                <w:rFonts w:hint="eastAsia" w:ascii="宋体" w:hAnsi="宋体" w:cs="宋体"/>
                <w:b w:val="0"/>
                <w:bCs w:val="0"/>
                <w:color w:val="auto"/>
                <w:szCs w:val="21"/>
                <w:highlight w:val="none"/>
              </w:rPr>
            </w:pPr>
            <w:r>
              <w:rPr>
                <w:rFonts w:hint="eastAsia" w:ascii="宋体" w:hAnsi="宋体" w:cs="宋体"/>
                <w:b/>
                <w:bCs/>
                <w:color w:val="auto"/>
                <w:szCs w:val="21"/>
                <w:highlight w:val="none"/>
                <w:lang w:val="en-US" w:eastAsia="zh-CN"/>
              </w:rPr>
              <w:t>（评分</w:t>
            </w:r>
            <w:r>
              <w:rPr>
                <w:rFonts w:hint="eastAsia" w:ascii="宋体" w:hAnsi="宋体" w:cs="宋体"/>
                <w:b/>
                <w:bCs/>
                <w:color w:val="auto"/>
                <w:szCs w:val="21"/>
                <w:highlight w:val="none"/>
              </w:rPr>
              <w:t>范围：4,3,2,1,0）</w:t>
            </w:r>
          </w:p>
        </w:tc>
        <w:tc>
          <w:tcPr>
            <w:tcW w:w="1327" w:type="dxa"/>
          </w:tcPr>
          <w:p w14:paraId="2BEEC977">
            <w:pPr>
              <w:adjustRightInd w:val="0"/>
              <w:snapToGrid w:val="0"/>
              <w:spacing w:line="288" w:lineRule="auto"/>
              <w:jc w:val="center"/>
              <w:rPr>
                <w:rFonts w:hint="eastAsia" w:ascii="宋体" w:hAnsi="宋体" w:cs="宋体"/>
                <w:color w:val="auto"/>
                <w:szCs w:val="21"/>
                <w:highlight w:val="none"/>
              </w:rPr>
            </w:pPr>
          </w:p>
        </w:tc>
      </w:tr>
      <w:tr w14:paraId="5ECC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Merge w:val="continue"/>
            <w:vAlign w:val="center"/>
          </w:tcPr>
          <w:p w14:paraId="57694D1F">
            <w:pPr>
              <w:adjustRightInd w:val="0"/>
              <w:snapToGrid w:val="0"/>
              <w:spacing w:line="288" w:lineRule="auto"/>
              <w:jc w:val="center"/>
              <w:rPr>
                <w:rFonts w:hint="eastAsia" w:ascii="宋体" w:hAnsi="宋体" w:cs="宋体"/>
                <w:b/>
                <w:bCs/>
                <w:color w:val="auto"/>
                <w:szCs w:val="21"/>
                <w:highlight w:val="none"/>
              </w:rPr>
            </w:pPr>
          </w:p>
        </w:tc>
        <w:tc>
          <w:tcPr>
            <w:tcW w:w="670" w:type="dxa"/>
            <w:vAlign w:val="center"/>
          </w:tcPr>
          <w:p w14:paraId="0F2FFC54">
            <w:pPr>
              <w:adjustRightInd w:val="0"/>
              <w:snapToGrid w:val="0"/>
              <w:spacing w:line="288" w:lineRule="auto"/>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4</w:t>
            </w:r>
          </w:p>
        </w:tc>
        <w:tc>
          <w:tcPr>
            <w:tcW w:w="6450" w:type="dxa"/>
            <w:vAlign w:val="center"/>
          </w:tcPr>
          <w:p w14:paraId="5D3BB559">
            <w:pPr>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【主观分】</w:t>
            </w:r>
          </w:p>
          <w:p w14:paraId="51B94482">
            <w:pPr>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培训方案</w:t>
            </w:r>
            <w:r>
              <w:rPr>
                <w:rFonts w:hint="eastAsia" w:ascii="宋体" w:hAnsi="宋体" w:cs="宋体"/>
                <w:b/>
                <w:bCs/>
                <w:color w:val="auto"/>
                <w:szCs w:val="21"/>
                <w:highlight w:val="none"/>
                <w:lang w:eastAsia="zh-CN"/>
              </w:rPr>
              <w:t>【包括培训目标、培训对象、培训内容（理论知识、实操等）、培训方式、培训师资、培训后跟进（效果跟踪、复训计划、技术支持等）等】</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科学、</w:t>
            </w:r>
            <w:r>
              <w:rPr>
                <w:rFonts w:hint="eastAsia" w:ascii="宋体" w:hAnsi="宋体" w:eastAsia="宋体" w:cs="宋体"/>
                <w:bCs/>
                <w:color w:val="auto"/>
                <w:szCs w:val="21"/>
                <w:highlight w:val="none"/>
                <w:lang w:eastAsia="zh-CN"/>
              </w:rPr>
              <w:t>全面且内容要素齐全</w:t>
            </w:r>
            <w:r>
              <w:rPr>
                <w:rFonts w:hint="eastAsia" w:ascii="宋体" w:hAnsi="宋体" w:eastAsia="宋体" w:cs="宋体"/>
                <w:bCs/>
                <w:color w:val="auto"/>
                <w:szCs w:val="21"/>
                <w:highlight w:val="none"/>
              </w:rPr>
              <w:t>、针对采购标的及实际特点</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有利于产品验收及日常运行</w:t>
            </w:r>
            <w:r>
              <w:rPr>
                <w:rFonts w:hint="eastAsia" w:ascii="宋体" w:hAnsi="宋体" w:eastAsia="宋体" w:cs="宋体"/>
                <w:bCs/>
                <w:color w:val="auto"/>
                <w:szCs w:val="21"/>
                <w:highlight w:val="none"/>
              </w:rPr>
              <w:t>。</w:t>
            </w:r>
          </w:p>
          <w:p w14:paraId="2E65B33C">
            <w:pPr>
              <w:pStyle w:val="8"/>
              <w:ind w:firstLine="0"/>
              <w:rPr>
                <w:color w:val="auto"/>
                <w:highlight w:val="none"/>
              </w:rPr>
            </w:pPr>
            <w:r>
              <w:rPr>
                <w:rFonts w:hint="eastAsia" w:ascii="宋体" w:hAnsi="宋体" w:cs="宋体"/>
                <w:b/>
                <w:bCs/>
                <w:color w:val="auto"/>
                <w:szCs w:val="21"/>
                <w:highlight w:val="none"/>
              </w:rPr>
              <w:t>（评分范围：4,3,2,1,0）</w:t>
            </w:r>
          </w:p>
        </w:tc>
        <w:tc>
          <w:tcPr>
            <w:tcW w:w="1327" w:type="dxa"/>
          </w:tcPr>
          <w:p w14:paraId="48073F7E">
            <w:pPr>
              <w:adjustRightInd w:val="0"/>
              <w:snapToGrid w:val="0"/>
              <w:spacing w:line="288" w:lineRule="auto"/>
              <w:jc w:val="center"/>
              <w:rPr>
                <w:rFonts w:hint="eastAsia" w:ascii="宋体" w:hAnsi="宋体" w:cs="宋体"/>
                <w:color w:val="auto"/>
                <w:szCs w:val="21"/>
                <w:highlight w:val="none"/>
              </w:rPr>
            </w:pPr>
          </w:p>
        </w:tc>
      </w:tr>
      <w:tr w14:paraId="6747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Merge w:val="continue"/>
            <w:vAlign w:val="center"/>
          </w:tcPr>
          <w:p w14:paraId="4ED95B3F">
            <w:pPr>
              <w:adjustRightInd w:val="0"/>
              <w:snapToGrid w:val="0"/>
              <w:spacing w:line="288" w:lineRule="auto"/>
              <w:jc w:val="center"/>
              <w:rPr>
                <w:rFonts w:hint="eastAsia" w:ascii="宋体" w:hAnsi="宋体" w:cs="宋体"/>
                <w:b/>
                <w:bCs/>
                <w:color w:val="auto"/>
                <w:szCs w:val="21"/>
                <w:highlight w:val="none"/>
              </w:rPr>
            </w:pPr>
          </w:p>
        </w:tc>
        <w:tc>
          <w:tcPr>
            <w:tcW w:w="670" w:type="dxa"/>
            <w:vAlign w:val="center"/>
          </w:tcPr>
          <w:p w14:paraId="4EE61830">
            <w:pPr>
              <w:adjustRightInd w:val="0"/>
              <w:snapToGrid w:val="0"/>
              <w:spacing w:line="288" w:lineRule="auto"/>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8</w:t>
            </w:r>
          </w:p>
        </w:tc>
        <w:tc>
          <w:tcPr>
            <w:tcW w:w="6450" w:type="dxa"/>
            <w:vAlign w:val="center"/>
          </w:tcPr>
          <w:p w14:paraId="7092B0CA">
            <w:pPr>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【主观分】</w:t>
            </w:r>
          </w:p>
          <w:p w14:paraId="2C998A3E">
            <w:pPr>
              <w:pStyle w:val="8"/>
              <w:spacing w:line="288" w:lineRule="auto"/>
              <w:ind w:firstLine="0"/>
              <w:rPr>
                <w:rFonts w:hint="eastAsia" w:ascii="宋体" w:hAnsi="宋体" w:cs="宋体"/>
                <w:b/>
                <w:bCs/>
                <w:color w:val="auto"/>
                <w:szCs w:val="21"/>
                <w:highlight w:val="none"/>
              </w:rPr>
            </w:pPr>
            <w:r>
              <w:rPr>
                <w:rFonts w:hint="eastAsia" w:ascii="宋体" w:hAnsi="宋体" w:cs="宋体"/>
                <w:b/>
                <w:bCs/>
                <w:color w:val="auto"/>
                <w:szCs w:val="21"/>
                <w:highlight w:val="none"/>
              </w:rPr>
              <w:t>供应商提供拟投入人员方案</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注：提供团队人员清单、人员履历、人员经验等相关材料</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p>
          <w:p w14:paraId="4EFC560D">
            <w:pPr>
              <w:pStyle w:val="8"/>
              <w:numPr>
                <w:ilvl w:val="0"/>
                <w:numId w:val="7"/>
              </w:numPr>
              <w:spacing w:line="288" w:lineRule="auto"/>
              <w:ind w:firstLine="0"/>
              <w:rPr>
                <w:rFonts w:hint="eastAsia" w:ascii="宋体" w:hAnsi="宋体" w:cs="宋体"/>
                <w:b/>
                <w:bCs/>
                <w:color w:val="auto"/>
                <w:szCs w:val="21"/>
                <w:highlight w:val="none"/>
              </w:rPr>
            </w:pPr>
            <w:r>
              <w:rPr>
                <w:rFonts w:hint="eastAsia" w:ascii="宋体" w:hAnsi="宋体" w:cs="宋体"/>
                <w:color w:val="auto"/>
                <w:szCs w:val="21"/>
                <w:highlight w:val="none"/>
              </w:rPr>
              <w:t>团队人员配置、管理方案：团队组织架构与岗位设置贴合项目全周期实施需求，人员配置与分工明确合理，覆盖全环节，权责清晰。针对采购需求及实际特点、有利于采购标的实现及合同履约</w:t>
            </w:r>
            <w:r>
              <w:rPr>
                <w:rFonts w:hint="eastAsia" w:ascii="宋体" w:hAnsi="宋体" w:cs="宋体"/>
                <w:b/>
                <w:bCs/>
                <w:color w:val="auto"/>
                <w:szCs w:val="21"/>
                <w:highlight w:val="none"/>
              </w:rPr>
              <w:t>（评分范围：3,2,1,0）</w:t>
            </w:r>
          </w:p>
          <w:p w14:paraId="7C772F92">
            <w:pPr>
              <w:pStyle w:val="8"/>
              <w:numPr>
                <w:ilvl w:val="0"/>
                <w:numId w:val="7"/>
              </w:numPr>
              <w:spacing w:line="288" w:lineRule="auto"/>
              <w:ind w:firstLine="0"/>
              <w:rPr>
                <w:rFonts w:hint="eastAsia" w:ascii="宋体" w:hAnsi="宋体" w:cs="宋体"/>
                <w:b/>
                <w:bCs/>
                <w:color w:val="auto"/>
                <w:szCs w:val="21"/>
                <w:highlight w:val="none"/>
              </w:rPr>
            </w:pPr>
            <w:r>
              <w:rPr>
                <w:rFonts w:hint="eastAsia" w:ascii="宋体" w:hAnsi="宋体" w:cs="宋体"/>
                <w:color w:val="auto"/>
                <w:szCs w:val="21"/>
                <w:highlight w:val="none"/>
              </w:rPr>
              <w:t>拟派</w:t>
            </w:r>
            <w:r>
              <w:rPr>
                <w:rFonts w:hint="eastAsia" w:ascii="宋体" w:hAnsi="宋体" w:cs="宋体"/>
                <w:color w:val="auto"/>
                <w:szCs w:val="21"/>
                <w:highlight w:val="none"/>
                <w:lang w:val="en-US" w:eastAsia="zh-CN"/>
              </w:rPr>
              <w:t>项目负责人的专业信息化管理能力、文化水平、经验</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信息化管理能力强，</w:t>
            </w:r>
            <w:r>
              <w:rPr>
                <w:rFonts w:hint="eastAsia" w:ascii="宋体" w:hAnsi="宋体" w:cs="宋体"/>
                <w:color w:val="auto"/>
                <w:szCs w:val="21"/>
                <w:highlight w:val="none"/>
              </w:rPr>
              <w:t>项目负责人</w:t>
            </w:r>
            <w:r>
              <w:rPr>
                <w:rFonts w:hint="eastAsia" w:ascii="宋体" w:hAnsi="宋体" w:eastAsia="宋体" w:cs="宋体"/>
                <w:i w:val="0"/>
                <w:iCs w:val="0"/>
                <w:color w:val="auto"/>
                <w:kern w:val="0"/>
                <w:sz w:val="21"/>
                <w:szCs w:val="21"/>
                <w:highlight w:val="none"/>
                <w:lang w:val="en-US" w:eastAsia="zh-CN"/>
              </w:rPr>
              <w:t>具备廉政风险管理系统类似项目实施经验</w:t>
            </w:r>
            <w:r>
              <w:rPr>
                <w:rFonts w:hint="eastAsia" w:ascii="宋体" w:hAnsi="宋体" w:cs="宋体"/>
                <w:color w:val="auto"/>
                <w:szCs w:val="21"/>
                <w:highlight w:val="none"/>
              </w:rPr>
              <w:t>。</w:t>
            </w:r>
            <w:r>
              <w:rPr>
                <w:rFonts w:hint="eastAsia" w:ascii="宋体" w:hAnsi="宋体" w:cs="宋体"/>
                <w:b/>
                <w:bCs/>
                <w:color w:val="auto"/>
                <w:szCs w:val="21"/>
                <w:highlight w:val="none"/>
              </w:rPr>
              <w:t>（评分范围：5,4,3,2,1,0）</w:t>
            </w:r>
          </w:p>
          <w:p w14:paraId="183E2A13">
            <w:pPr>
              <w:pStyle w:val="8"/>
              <w:numPr>
                <w:ilvl w:val="-1"/>
                <w:numId w:val="0"/>
              </w:numPr>
              <w:spacing w:line="288" w:lineRule="auto"/>
              <w:ind w:firstLine="0"/>
              <w:rPr>
                <w:rFonts w:hint="eastAsia" w:ascii="宋体" w:hAnsi="宋体" w:eastAsia="宋体" w:cs="宋体"/>
                <w:b/>
                <w:bCs/>
                <w:color w:val="auto"/>
                <w:szCs w:val="21"/>
                <w:highlight w:val="none"/>
                <w:lang w:eastAsia="zh-CN"/>
              </w:rPr>
            </w:pPr>
          </w:p>
        </w:tc>
        <w:tc>
          <w:tcPr>
            <w:tcW w:w="1327" w:type="dxa"/>
          </w:tcPr>
          <w:p w14:paraId="554DB375">
            <w:pPr>
              <w:adjustRightInd w:val="0"/>
              <w:snapToGrid w:val="0"/>
              <w:spacing w:line="288" w:lineRule="auto"/>
              <w:jc w:val="center"/>
              <w:rPr>
                <w:rFonts w:hint="eastAsia" w:ascii="宋体" w:hAnsi="宋体" w:cs="宋体"/>
                <w:color w:val="auto"/>
                <w:szCs w:val="21"/>
                <w:highlight w:val="none"/>
              </w:rPr>
            </w:pPr>
          </w:p>
        </w:tc>
      </w:tr>
      <w:tr w14:paraId="1BD3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Merge w:val="restart"/>
            <w:vAlign w:val="center"/>
          </w:tcPr>
          <w:p w14:paraId="7C1882E5">
            <w:pPr>
              <w:adjustRightInd w:val="0"/>
              <w:snapToGrid w:val="0"/>
              <w:spacing w:line="288" w:lineRule="auto"/>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演示</w:t>
            </w:r>
          </w:p>
        </w:tc>
        <w:tc>
          <w:tcPr>
            <w:tcW w:w="670" w:type="dxa"/>
            <w:vAlign w:val="center"/>
          </w:tcPr>
          <w:p w14:paraId="42F1D321">
            <w:pPr>
              <w:adjustRightInd w:val="0"/>
              <w:snapToGrid w:val="0"/>
              <w:spacing w:line="288" w:lineRule="auto"/>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w:t>
            </w:r>
          </w:p>
        </w:tc>
        <w:tc>
          <w:tcPr>
            <w:tcW w:w="6450" w:type="dxa"/>
            <w:shd w:val="clear" w:color="auto" w:fill="auto"/>
            <w:vAlign w:val="center"/>
          </w:tcPr>
          <w:p w14:paraId="42CB3C54">
            <w:pPr>
              <w:pStyle w:val="8"/>
              <w:numPr>
                <w:ilvl w:val="-1"/>
                <w:numId w:val="0"/>
              </w:numPr>
              <w:spacing w:line="288" w:lineRule="auto"/>
              <w:ind w:firstLine="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根据供应商的演示内容进行评分。演示内容完整，针对采购需求。</w:t>
            </w:r>
          </w:p>
          <w:p w14:paraId="06713B88">
            <w:pPr>
              <w:numPr>
                <w:ilvl w:val="255"/>
                <w:numId w:val="0"/>
              </w:numPr>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评分范围：1,0.5,0</w:t>
            </w:r>
            <w:r>
              <w:rPr>
                <w:rFonts w:hint="eastAsia" w:ascii="宋体" w:hAnsi="宋体" w:cs="宋体"/>
                <w:b/>
                <w:bCs/>
                <w:color w:val="auto"/>
                <w:szCs w:val="21"/>
                <w:highlight w:val="none"/>
                <w:lang w:eastAsia="zh-CN"/>
              </w:rPr>
              <w:t>）</w:t>
            </w:r>
          </w:p>
          <w:p w14:paraId="48494510">
            <w:pPr>
              <w:numPr>
                <w:ilvl w:val="255"/>
                <w:numId w:val="0"/>
              </w:numPr>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纪委驾驶舱</w:t>
            </w:r>
          </w:p>
          <w:p w14:paraId="6671E887">
            <w:pPr>
              <w:numPr>
                <w:ilvl w:val="255"/>
                <w:numId w:val="0"/>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综合展示纪委日常监督工作情况、廉政风险、重大事项等板块。</w:t>
            </w:r>
          </w:p>
          <w:p w14:paraId="11923E26">
            <w:pPr>
              <w:numPr>
                <w:ilvl w:val="255"/>
                <w:numId w:val="0"/>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（1）纪委日常监督工作情况。重点展示日常监督抽查工作统计。</w:t>
            </w:r>
          </w:p>
          <w:p w14:paraId="21E16B4F">
            <w:pPr>
              <w:numPr>
                <w:ilvl w:val="255"/>
                <w:numId w:val="0"/>
              </w:num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（2）廉政风险。重点展示各类风险点情况。</w:t>
            </w:r>
          </w:p>
          <w:p w14:paraId="514446AE">
            <w:pPr>
              <w:numPr>
                <w:ilvl w:val="255"/>
                <w:numId w:val="0"/>
              </w:numPr>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（3）重大事项。重点展示重大事项报备、监督检查等情况。</w:t>
            </w:r>
          </w:p>
        </w:tc>
        <w:tc>
          <w:tcPr>
            <w:tcW w:w="1327" w:type="dxa"/>
          </w:tcPr>
          <w:p w14:paraId="0CBEE42C">
            <w:pPr>
              <w:adjustRightInd w:val="0"/>
              <w:snapToGrid w:val="0"/>
              <w:spacing w:line="288" w:lineRule="auto"/>
              <w:jc w:val="center"/>
              <w:rPr>
                <w:rFonts w:hint="eastAsia" w:ascii="宋体" w:hAnsi="宋体" w:cs="宋体"/>
                <w:color w:val="auto"/>
                <w:szCs w:val="21"/>
                <w:highlight w:val="none"/>
              </w:rPr>
            </w:pPr>
          </w:p>
        </w:tc>
      </w:tr>
      <w:tr w14:paraId="2D78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Merge w:val="continue"/>
            <w:vAlign w:val="center"/>
          </w:tcPr>
          <w:p w14:paraId="0F583572">
            <w:pPr>
              <w:adjustRightInd w:val="0"/>
              <w:snapToGrid w:val="0"/>
              <w:spacing w:line="288" w:lineRule="auto"/>
              <w:jc w:val="center"/>
              <w:rPr>
                <w:rFonts w:hint="eastAsia" w:ascii="宋体" w:hAnsi="宋体" w:cs="宋体"/>
                <w:b/>
                <w:bCs/>
                <w:color w:val="auto"/>
                <w:szCs w:val="21"/>
                <w:highlight w:val="none"/>
                <w:lang w:val="en-US" w:eastAsia="zh-CN"/>
              </w:rPr>
            </w:pPr>
          </w:p>
        </w:tc>
        <w:tc>
          <w:tcPr>
            <w:tcW w:w="670" w:type="dxa"/>
            <w:vAlign w:val="center"/>
          </w:tcPr>
          <w:p w14:paraId="1EE164B0">
            <w:pPr>
              <w:adjustRightInd w:val="0"/>
              <w:snapToGrid w:val="0"/>
              <w:spacing w:line="288" w:lineRule="auto"/>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p>
        </w:tc>
        <w:tc>
          <w:tcPr>
            <w:tcW w:w="6450" w:type="dxa"/>
            <w:shd w:val="clear" w:color="auto" w:fill="auto"/>
            <w:vAlign w:val="center"/>
          </w:tcPr>
          <w:p w14:paraId="6108356D">
            <w:pPr>
              <w:pStyle w:val="8"/>
              <w:numPr>
                <w:ilvl w:val="-1"/>
                <w:numId w:val="0"/>
              </w:numPr>
              <w:spacing w:line="288" w:lineRule="auto"/>
              <w:ind w:firstLine="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根据供应商的演示内容进行评分。演示内容完整，针对采购需求。</w:t>
            </w:r>
          </w:p>
          <w:p w14:paraId="6CA5A234">
            <w:pPr>
              <w:numPr>
                <w:ilvl w:val="255"/>
                <w:numId w:val="0"/>
              </w:numPr>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评分范围：2,1,0</w:t>
            </w:r>
            <w:r>
              <w:rPr>
                <w:rFonts w:hint="eastAsia" w:ascii="宋体" w:hAnsi="宋体" w:cs="宋体"/>
                <w:b/>
                <w:bCs/>
                <w:color w:val="auto"/>
                <w:szCs w:val="21"/>
                <w:highlight w:val="none"/>
                <w:lang w:eastAsia="zh-CN"/>
              </w:rPr>
              <w:t>）</w:t>
            </w:r>
          </w:p>
          <w:p w14:paraId="377BA47F">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leftChars="0"/>
              <w:jc w:val="left"/>
              <w:textAlignment w:val="auto"/>
              <w:outlineLvl w:val="4"/>
              <w:rPr>
                <w:rFonts w:hint="eastAsia" w:ascii="宋体" w:hAnsi="宋体" w:eastAsia="宋体" w:cs="宋体"/>
                <w:color w:val="auto"/>
                <w:sz w:val="21"/>
                <w:szCs w:val="21"/>
                <w:highlight w:val="none"/>
                <w:lang w:val="en-US" w:eastAsia="zh-CN"/>
              </w:rPr>
            </w:pPr>
          </w:p>
          <w:p w14:paraId="368D5340">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left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重大事项管理模块</w:t>
            </w:r>
          </w:p>
          <w:p w14:paraId="222EB611">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（1）重大事项审批子系统（全校）</w:t>
            </w:r>
          </w:p>
          <w:p w14:paraId="12C870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①重大事项填报。根据重大事项报备要素和填报要求填写重大事项。</w:t>
            </w:r>
          </w:p>
          <w:p w14:paraId="41E8A1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②重大事项申请。业务部门填报重大事项，并上传附件后提交处室领导、分管领导、纪委部门等审核。申请的时候需要填写项目名称或者从项目库中选择项目。</w:t>
            </w:r>
          </w:p>
          <w:p w14:paraId="1C6B9A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③重大事项审批。处室领导、分管领导或纪委部门对提交事项进行审批，并反馈审批意见等。</w:t>
            </w:r>
          </w:p>
          <w:p w14:paraId="2BC789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④重大事项待办。查看个人待审批的重大事项清单以及当前流转情况等。</w:t>
            </w:r>
          </w:p>
          <w:p w14:paraId="1B309F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⑤重大事项已办。查看个人已办的重大事项清单以及当前流转情况等。</w:t>
            </w:r>
          </w:p>
          <w:p w14:paraId="293B23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⑥我的重大事项。查看个人提交的重大事项。</w:t>
            </w:r>
          </w:p>
          <w:p w14:paraId="6DAABE8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⑦我的草稿箱。重大事项填报后未提交申请的，可以暂存到草稿箱中，下次可以发起申请。</w:t>
            </w:r>
          </w:p>
          <w:p w14:paraId="04450A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⑧重大事项跟踪。实现对所有重大事项流转过程的跟踪查询。</w:t>
            </w:r>
          </w:p>
          <w:p w14:paraId="59A1656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⑨报备清单管理。对所有报备事项清单进行管理，方便后续报备事项填报和更新，设置报备条件及要求。</w:t>
            </w:r>
          </w:p>
          <w:p w14:paraId="36B5B4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重大项目采用一件事的方式，实现部分重大项目中重要事项环节实现全过程报备、全过程监督。纪委端确定需要全过程跟踪的重大项目及重要报备环节，部门端根据全过程跟踪要求，各重要环节上传关键资料，纪委端实时掌握重大事项进展情况，并发布监督功能(监督功能可以复用一期重大事项监督模块)。</w:t>
            </w:r>
          </w:p>
          <w:p w14:paraId="68C408E0">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（2）项目库管理</w:t>
            </w:r>
          </w:p>
          <w:p w14:paraId="644D22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①项目分类。根据重大事项报备清单进行项目分类，对项目类重大事项进行分类。</w:t>
            </w:r>
          </w:p>
          <w:p w14:paraId="7E1536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②项目管理。在重大事项申请的时候填写项目名称，项目名称就自动生成到项目库，后续相同项目重大事项变更或后续事项申请等，都可以选择同一个项目。</w:t>
            </w:r>
          </w:p>
          <w:p w14:paraId="36699A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③项目统计。从项目维度统计所有项目，并可以通过该项目查看项目关联的所有相关的事项列表。</w:t>
            </w:r>
          </w:p>
          <w:p w14:paraId="01AE17C2">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（3）工作流引擎</w:t>
            </w:r>
          </w:p>
          <w:p w14:paraId="43EAAD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0"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工作流开发。需要引入工作流引擎对各类审批事项进行开发，比如重大事项申报审批等流程支撑。</w:t>
            </w:r>
          </w:p>
        </w:tc>
        <w:tc>
          <w:tcPr>
            <w:tcW w:w="1327" w:type="dxa"/>
          </w:tcPr>
          <w:p w14:paraId="7EBFEEDD">
            <w:pPr>
              <w:adjustRightInd w:val="0"/>
              <w:snapToGrid w:val="0"/>
              <w:spacing w:line="288" w:lineRule="auto"/>
              <w:jc w:val="center"/>
              <w:rPr>
                <w:rFonts w:hint="eastAsia" w:ascii="宋体" w:hAnsi="宋体" w:cs="宋体"/>
                <w:color w:val="auto"/>
                <w:szCs w:val="21"/>
                <w:highlight w:val="none"/>
              </w:rPr>
            </w:pPr>
          </w:p>
        </w:tc>
      </w:tr>
      <w:tr w14:paraId="34B4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3" w:type="dxa"/>
            <w:vMerge w:val="continue"/>
            <w:vAlign w:val="center"/>
          </w:tcPr>
          <w:p w14:paraId="169B700B">
            <w:pPr>
              <w:adjustRightInd w:val="0"/>
              <w:snapToGrid w:val="0"/>
              <w:spacing w:line="288" w:lineRule="auto"/>
              <w:jc w:val="center"/>
              <w:rPr>
                <w:rFonts w:hint="eastAsia" w:ascii="宋体" w:hAnsi="宋体" w:cs="宋体"/>
                <w:b/>
                <w:bCs/>
                <w:color w:val="auto"/>
                <w:szCs w:val="21"/>
                <w:highlight w:val="none"/>
                <w:lang w:val="en-US" w:eastAsia="zh-CN"/>
              </w:rPr>
            </w:pPr>
          </w:p>
        </w:tc>
        <w:tc>
          <w:tcPr>
            <w:tcW w:w="670" w:type="dxa"/>
            <w:vAlign w:val="center"/>
          </w:tcPr>
          <w:p w14:paraId="2E03DDF6">
            <w:pPr>
              <w:adjustRightInd w:val="0"/>
              <w:snapToGrid w:val="0"/>
              <w:spacing w:line="288" w:lineRule="auto"/>
              <w:jc w:val="center"/>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p>
        </w:tc>
        <w:tc>
          <w:tcPr>
            <w:tcW w:w="6450" w:type="dxa"/>
            <w:shd w:val="clear" w:color="auto" w:fill="auto"/>
            <w:vAlign w:val="center"/>
          </w:tcPr>
          <w:p w14:paraId="3D4C8B9E">
            <w:pPr>
              <w:pStyle w:val="8"/>
              <w:numPr>
                <w:ilvl w:val="-1"/>
                <w:numId w:val="0"/>
              </w:numPr>
              <w:spacing w:line="288" w:lineRule="auto"/>
              <w:ind w:firstLine="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根据供应商的演示内容进行评分。演示内容完整，针对采购需求。</w:t>
            </w:r>
          </w:p>
          <w:p w14:paraId="52E42A98">
            <w:pPr>
              <w:numPr>
                <w:ilvl w:val="255"/>
                <w:numId w:val="0"/>
              </w:numPr>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评分范围：2,1,0</w:t>
            </w:r>
            <w:r>
              <w:rPr>
                <w:rFonts w:hint="eastAsia" w:ascii="宋体" w:hAnsi="宋体" w:cs="宋体"/>
                <w:b/>
                <w:bCs/>
                <w:color w:val="auto"/>
                <w:szCs w:val="21"/>
                <w:highlight w:val="none"/>
                <w:lang w:eastAsia="zh-CN"/>
              </w:rPr>
              <w:t>）</w:t>
            </w:r>
          </w:p>
          <w:p w14:paraId="1467F0B6">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leftChars="0"/>
              <w:jc w:val="left"/>
              <w:textAlignment w:val="auto"/>
              <w:outlineLvl w:val="4"/>
              <w:rPr>
                <w:rFonts w:hint="eastAsia" w:ascii="宋体" w:hAnsi="宋体" w:eastAsia="宋体" w:cs="宋体"/>
                <w:color w:val="auto"/>
                <w:sz w:val="21"/>
                <w:szCs w:val="21"/>
                <w:highlight w:val="none"/>
                <w:lang w:val="en-US" w:eastAsia="zh-CN"/>
              </w:rPr>
            </w:pPr>
          </w:p>
          <w:p w14:paraId="3D9F3AD6">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88" w:lineRule="auto"/>
              <w:ind w:leftChars="0"/>
              <w:jc w:val="left"/>
              <w:textAlignment w:val="auto"/>
              <w:outlineLvl w:val="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一期升级功能</w:t>
            </w:r>
          </w:p>
          <w:p w14:paraId="2B63DC72">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（1）工作简报数据管理</w:t>
            </w:r>
          </w:p>
          <w:p w14:paraId="50F989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①重大项目开展监督统计。按照重大项目开展监督报备情况表模板进行统计，可以按时间查询结果并导出报表。</w:t>
            </w:r>
          </w:p>
          <w:p w14:paraId="242A96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②廉政谈话日常监督统计。按照谈话记录表模板进行统计，可以按时间查询结果并导出报表。</w:t>
            </w:r>
          </w:p>
          <w:p w14:paraId="469DB0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③日常监督管理。包括廉政谈话管理、列席会议管理、现场督察管理、明察暗访管理以及其他监督管理等模块。</w:t>
            </w:r>
          </w:p>
          <w:p w14:paraId="1938EBEB">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（2）风险排查报告</w:t>
            </w:r>
          </w:p>
          <w:p w14:paraId="1DFABA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①综合展示部门风险排查。</w:t>
            </w:r>
          </w:p>
          <w:p w14:paraId="2811E5A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按照模板进行设计，并完成报表统计并导出。</w:t>
            </w:r>
          </w:p>
          <w:p w14:paraId="0CC065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图表分析，展示图表分析。</w:t>
            </w:r>
          </w:p>
          <w:p w14:paraId="35791E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②二级学院排查报表统计</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w:t>
            </w:r>
          </w:p>
          <w:p w14:paraId="7114D3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按照模板进行设计，并完成报表统计并导出。</w:t>
            </w:r>
          </w:p>
          <w:p w14:paraId="11F433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图表分析，展示图表分析。</w:t>
            </w:r>
          </w:p>
          <w:p w14:paraId="0C5C47CD">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（3）自定义消息提醒</w:t>
            </w:r>
          </w:p>
          <w:p w14:paraId="63F6C4C6">
            <w:pPr>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①消息填报。消息填报及选择发送对象。</w:t>
            </w:r>
          </w:p>
          <w:p w14:paraId="5ED29B1C">
            <w:pPr>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②定时功能。消息可以设定提醒时间。</w:t>
            </w:r>
          </w:p>
          <w:p w14:paraId="38CCE481">
            <w:pPr>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③OA和钉钉提醒。推送到OA消息和钉钉消息。</w:t>
            </w:r>
          </w:p>
          <w:p w14:paraId="4FA0060F">
            <w:pPr>
              <w:pageBreakBefore w:val="0"/>
              <w:widowControl w:val="0"/>
              <w:numPr>
                <w:ilvl w:val="0"/>
                <w:numId w:val="0"/>
              </w:numPr>
              <w:kinsoku/>
              <w:wordWrap/>
              <w:overflowPunct/>
              <w:topLinePunct w:val="0"/>
              <w:autoSpaceDE/>
              <w:autoSpaceDN/>
              <w:bidi w:val="0"/>
              <w:adjustRightInd/>
              <w:snapToGrid/>
              <w:spacing w:beforeAutospacing="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④消息统计。统计自定义消息。</w:t>
            </w:r>
          </w:p>
          <w:p w14:paraId="2B90EE2B">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（4）待办审批跳转</w:t>
            </w:r>
          </w:p>
          <w:p w14:paraId="4D928F5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待办审批跳转。待办消息到OA后，OA中可以弹框展示审批单。</w:t>
            </w:r>
          </w:p>
          <w:p w14:paraId="691D26B0">
            <w:pPr>
              <w:pageBreakBefore w:val="0"/>
              <w:widowControl w:val="0"/>
              <w:numPr>
                <w:ilvl w:val="3"/>
                <w:numId w:val="0"/>
              </w:numPr>
              <w:kinsoku/>
              <w:wordWrap/>
              <w:overflowPunct/>
              <w:topLinePunct w:val="0"/>
              <w:autoSpaceDE/>
              <w:autoSpaceDN/>
              <w:bidi w:val="0"/>
              <w:adjustRightInd/>
              <w:snapToGrid/>
              <w:spacing w:before="0" w:beforeAutospacing="0" w:after="0" w:afterAutospacing="0" w:line="288" w:lineRule="auto"/>
              <w:ind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（5）风险批量审批</w:t>
            </w:r>
          </w:p>
          <w:p w14:paraId="712C373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风险批量审批。消息通用名字配置管理。</w:t>
            </w:r>
          </w:p>
        </w:tc>
        <w:tc>
          <w:tcPr>
            <w:tcW w:w="1327" w:type="dxa"/>
          </w:tcPr>
          <w:p w14:paraId="0801BDC4">
            <w:pPr>
              <w:adjustRightInd w:val="0"/>
              <w:snapToGrid w:val="0"/>
              <w:spacing w:line="288" w:lineRule="auto"/>
              <w:jc w:val="center"/>
              <w:rPr>
                <w:rFonts w:hint="eastAsia" w:ascii="宋体" w:hAnsi="宋体" w:cs="宋体"/>
                <w:color w:val="auto"/>
                <w:szCs w:val="21"/>
                <w:highlight w:val="none"/>
              </w:rPr>
            </w:pPr>
          </w:p>
        </w:tc>
      </w:tr>
    </w:tbl>
    <w:p w14:paraId="648BC50E">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5B51E2DD">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  </w:t>
      </w:r>
    </w:p>
    <w:p w14:paraId="1DBF86D3">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三、响应无效的情形</w:t>
      </w:r>
    </w:p>
    <w:p w14:paraId="2CD1089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未响应磋商文件“▲”标记条款要求的，响应无效。</w:t>
      </w:r>
    </w:p>
    <w:p w14:paraId="2474D2B4">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1.在资格审查时，有下列情形之一的，资格审查不通过，响应无效：</w:t>
      </w:r>
    </w:p>
    <w:p w14:paraId="5475BA7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（1）资格证明材料不全的，或者不符合磋商文件要求；</w:t>
      </w:r>
    </w:p>
    <w:p w14:paraId="023D473B">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（2）供应商不具备磋商文件中规定的资格要求；</w:t>
      </w:r>
    </w:p>
    <w:p w14:paraId="4BA31EF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（3）资格文件未按要求签署、盖章。</w:t>
      </w:r>
    </w:p>
    <w:p w14:paraId="1B32D207">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2.在符合性审查时，有下列情形之一的，响应无效：</w:t>
      </w:r>
    </w:p>
    <w:p w14:paraId="447E632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（1）商务和技术文件未按要求签署、盖章；</w:t>
      </w:r>
    </w:p>
    <w:p w14:paraId="3AFBD73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（2）未提供或未按要求提供响应函、授权委托书；</w:t>
      </w:r>
    </w:p>
    <w:p w14:paraId="1975C0A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（3）委托授权代表参加采购活动但未提供符合要求的授权代表社保缴纳证明；</w:t>
      </w:r>
    </w:p>
    <w:p w14:paraId="13A5544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（4）未提供或未如实提供响应偏离表；</w:t>
      </w:r>
    </w:p>
    <w:p w14:paraId="304FEB9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（5）明显不符合磋商文件要求，或负偏离达到规定数目的，视为采购人不能接受的附加条件；</w:t>
      </w:r>
    </w:p>
    <w:p w14:paraId="3FEA50E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（6）响应技术方案不明确，存在一个或一个以上备选（替代）响应方案</w:t>
      </w:r>
      <w:r>
        <w:rPr>
          <w:rFonts w:hint="eastAsia" w:ascii="宋体" w:hAnsi="宋体" w:eastAsia="宋体" w:cs="宋体"/>
          <w:color w:val="auto"/>
          <w:spacing w:val="-6"/>
          <w:kern w:val="0"/>
          <w:sz w:val="21"/>
          <w:szCs w:val="21"/>
          <w:highlight w:val="none"/>
          <w:lang w:val="en-US" w:eastAsia="zh-CN"/>
        </w:rPr>
        <w:t>，但磋商文件要求提交备选的除外；</w:t>
      </w:r>
    </w:p>
    <w:p w14:paraId="63A5CF0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（7）响应文件含有采购人不能接受的附加条件；</w:t>
      </w:r>
    </w:p>
    <w:p w14:paraId="58DF56F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（8）最后报价超过磋商文件中规定的预算金额或最高限价；</w:t>
      </w:r>
    </w:p>
    <w:p w14:paraId="2D9A0D0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（9）最后报价具有选择性。</w:t>
      </w:r>
    </w:p>
    <w:p w14:paraId="67C99CC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（10）未按规定提交磋商记录或最后报价的，视为退出磋商，响应无效。</w:t>
      </w:r>
    </w:p>
    <w:p w14:paraId="7F28087C">
      <w:pPr>
        <w:keepNext w:val="0"/>
        <w:keepLines w:val="0"/>
        <w:widowControl/>
        <w:suppressLineNumbers w:val="0"/>
        <w:spacing w:line="288" w:lineRule="auto"/>
        <w:ind w:left="0" w:firstLine="42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0"/>
          <w:sz w:val="21"/>
          <w:szCs w:val="21"/>
          <w:highlight w:val="none"/>
          <w:lang w:val="en-US" w:eastAsia="zh-CN"/>
        </w:rPr>
        <w:t>（11）法律、法规和磋商文件规定的其他无效情形。</w:t>
      </w:r>
    </w:p>
    <w:p w14:paraId="6C2E184B">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特别说明：磋商小组认为供应商的最后报价明显低于其他供应商最后报价，有可能影响产品质量或者不能诚信履约的，应当要求其在评审现场合理的时间内提供书面说明，必要时提交相关证明材料；供应商不能证明其最后报价合理性的，磋商小组应当将其作为无效响应处理。</w:t>
      </w:r>
    </w:p>
    <w:p w14:paraId="4EEAA8D4">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3.有下列情形之一的，视为供应商串通，其响应无效：</w:t>
      </w:r>
    </w:p>
    <w:p w14:paraId="3EF5CCE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（1）不同供应商的响应文件由同一单位或者个人编制；</w:t>
      </w:r>
    </w:p>
    <w:p w14:paraId="17CC460B">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（2）不同供应商委托同一单位或者个人办理磋商事宜；</w:t>
      </w:r>
    </w:p>
    <w:p w14:paraId="0B5F4D7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（3）不同供应商的响应文件载明的项目管理成员或者联系人员为同一人；</w:t>
      </w:r>
    </w:p>
    <w:p w14:paraId="0DEACCD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（4）不同供应商的响应文件异常一致或者最后报价呈规律性差异；</w:t>
      </w:r>
    </w:p>
    <w:p w14:paraId="238EE2F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（5）不同供应商的响应文件相互混装。</w:t>
      </w:r>
    </w:p>
    <w:p w14:paraId="2536716A">
      <w:pPr>
        <w:keepNext w:val="0"/>
        <w:keepLines w:val="0"/>
        <w:widowControl/>
        <w:suppressLineNumbers w:val="0"/>
        <w:autoSpaceDE/>
        <w:autoSpaceDN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4.参与同一个采购包（标项）的供应商存在下列情形之一且无法合理解释的，其响应文件无效：</w:t>
      </w:r>
    </w:p>
    <w:p w14:paraId="3AC40F83">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（1）不同供应商的电子响应文件上传计算机的网卡MAC地址或硬盘序列号等硬件信息相同的；</w:t>
      </w:r>
    </w:p>
    <w:p w14:paraId="27A9799E">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（2）上传的电子响应文件若出现使用本项目其他响应供应商的数字证书加密的，或者加盖本项目其他响应供应商的电子印章的；</w:t>
      </w:r>
    </w:p>
    <w:p w14:paraId="5DEB1791">
      <w:pPr>
        <w:keepNext w:val="0"/>
        <w:keepLines w:val="0"/>
        <w:widowControl/>
        <w:suppressLineNumbers w:val="0"/>
        <w:autoSpaceDE/>
        <w:autoSpaceDN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（3）不同供应商的响应文件的内容存在3处（含）以上错误一致的；</w:t>
      </w:r>
    </w:p>
    <w:p w14:paraId="2AEC001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（4）不同供应商联系人为同一人或不同联系人的联系电话一致的。</w:t>
      </w:r>
    </w:p>
    <w:p w14:paraId="76AB120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357B7B6B">
      <w:pPr>
        <w:pStyle w:val="4"/>
        <w:keepNext w:val="0"/>
        <w:keepLines w:val="0"/>
        <w:widowControl/>
        <w:suppressLineNumbers w:val="0"/>
        <w:spacing w:line="288"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pacing w:val="0"/>
          <w:sz w:val="21"/>
          <w:szCs w:val="21"/>
          <w:highlight w:val="none"/>
        </w:rPr>
        <w:br w:type="page"/>
      </w:r>
      <w:r>
        <w:rPr>
          <w:rFonts w:hint="eastAsia" w:ascii="宋体" w:hAnsi="宋体" w:eastAsia="宋体" w:cs="宋体"/>
          <w:b/>
          <w:bCs/>
          <w:color w:val="auto"/>
          <w:sz w:val="28"/>
          <w:szCs w:val="28"/>
          <w:highlight w:val="none"/>
        </w:rPr>
        <w:t>第五章 拟签订的合同文本</w:t>
      </w:r>
    </w:p>
    <w:p w14:paraId="35F8FD8B">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 </w:t>
      </w:r>
    </w:p>
    <w:p w14:paraId="40649E52">
      <w:pPr>
        <w:keepNext w:val="0"/>
        <w:keepLines w:val="0"/>
        <w:widowControl/>
        <w:suppressLineNumbers w:val="0"/>
        <w:autoSpaceDE w:val="0"/>
        <w:autoSpaceDN/>
        <w:spacing w:line="288" w:lineRule="auto"/>
        <w:ind w:left="0" w:firstLine="422"/>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0"/>
          <w:kern w:val="0"/>
          <w:sz w:val="28"/>
          <w:szCs w:val="28"/>
          <w:highlight w:val="none"/>
          <w:lang w:val="en-US" w:eastAsia="zh-CN"/>
        </w:rPr>
        <w:t>浙江交通职业技术学院廉政风险防控管理系统项目（二期）</w:t>
      </w:r>
      <w:r>
        <w:rPr>
          <w:rFonts w:hint="eastAsia" w:ascii="宋体" w:hAnsi="宋体" w:cs="宋体"/>
          <w:b/>
          <w:bCs/>
          <w:color w:val="auto"/>
          <w:spacing w:val="0"/>
          <w:kern w:val="0"/>
          <w:sz w:val="28"/>
          <w:szCs w:val="28"/>
          <w:highlight w:val="none"/>
          <w:lang w:val="en-US" w:eastAsia="zh-CN"/>
        </w:rPr>
        <w:t xml:space="preserve"> </w:t>
      </w:r>
      <w:r>
        <w:rPr>
          <w:rFonts w:hint="eastAsia" w:ascii="宋体" w:hAnsi="宋体" w:eastAsia="宋体" w:cs="宋体"/>
          <w:b/>
          <w:bCs/>
          <w:color w:val="auto"/>
          <w:spacing w:val="0"/>
          <w:kern w:val="0"/>
          <w:sz w:val="28"/>
          <w:szCs w:val="28"/>
          <w:highlight w:val="none"/>
          <w:lang w:val="en-US" w:eastAsia="zh-CN"/>
        </w:rPr>
        <w:t>合同</w:t>
      </w:r>
    </w:p>
    <w:p w14:paraId="021AC28B">
      <w:pPr>
        <w:keepNext w:val="0"/>
        <w:keepLines w:val="0"/>
        <w:widowControl/>
        <w:suppressLineNumbers w:val="0"/>
        <w:autoSpaceDE w:val="0"/>
        <w:autoSpaceDN/>
        <w:spacing w:line="288" w:lineRule="auto"/>
        <w:ind w:left="0" w:firstLine="422"/>
        <w:jc w:val="center"/>
        <w:rPr>
          <w:rFonts w:hint="eastAsia" w:ascii="宋体" w:hAnsi="宋体" w:eastAsia="宋体" w:cs="宋体"/>
          <w:b/>
          <w:bCs/>
          <w:color w:val="auto"/>
          <w:sz w:val="21"/>
          <w:szCs w:val="21"/>
          <w:highlight w:val="none"/>
        </w:rPr>
      </w:pPr>
    </w:p>
    <w:p w14:paraId="44923996">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项目名称：</w:t>
      </w:r>
      <w:r>
        <w:rPr>
          <w:rFonts w:hint="eastAsia" w:ascii="宋体" w:hAnsi="宋体" w:eastAsia="宋体" w:cs="宋体"/>
          <w:i w:val="0"/>
          <w:iCs w:val="0"/>
          <w:color w:val="auto"/>
          <w:spacing w:val="0"/>
          <w:kern w:val="0"/>
          <w:sz w:val="21"/>
          <w:szCs w:val="21"/>
          <w:highlight w:val="none"/>
          <w:lang w:val="en-US" w:eastAsia="zh-CN"/>
        </w:rPr>
        <w:t>廉政风险防控管理系统项目（二期）</w:t>
      </w:r>
    </w:p>
    <w:p w14:paraId="0271F700">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项目编号：</w:t>
      </w:r>
      <w:r>
        <w:rPr>
          <w:rFonts w:hint="eastAsia" w:ascii="宋体" w:hAnsi="宋体" w:eastAsia="宋体" w:cs="宋体"/>
          <w:i w:val="0"/>
          <w:iCs w:val="0"/>
          <w:color w:val="auto"/>
          <w:spacing w:val="0"/>
          <w:kern w:val="0"/>
          <w:sz w:val="21"/>
          <w:szCs w:val="21"/>
          <w:highlight w:val="none"/>
          <w:lang w:val="en-US" w:eastAsia="zh-CN"/>
        </w:rPr>
        <w:t>330000263030390000079-QSZBC260131ZFCS</w:t>
      </w:r>
    </w:p>
    <w:p w14:paraId="30DA678B">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采购计划书：</w:t>
      </w:r>
      <w:r>
        <w:rPr>
          <w:rFonts w:hint="eastAsia" w:ascii="宋体" w:hAnsi="宋体" w:eastAsia="宋体" w:cs="宋体"/>
          <w:i w:val="0"/>
          <w:iCs w:val="0"/>
          <w:color w:val="auto"/>
          <w:spacing w:val="0"/>
          <w:kern w:val="0"/>
          <w:sz w:val="21"/>
          <w:szCs w:val="21"/>
          <w:highlight w:val="none"/>
          <w:lang w:val="en-US" w:eastAsia="zh-CN"/>
        </w:rPr>
        <w:t>[2026]24070号</w:t>
      </w:r>
    </w:p>
    <w:p w14:paraId="29FAC114">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甲方（需方）</w:t>
      </w:r>
      <w:r>
        <w:rPr>
          <w:rFonts w:hint="eastAsia" w:ascii="宋体" w:hAnsi="宋体" w:eastAsia="宋体" w:cs="宋体"/>
          <w:color w:val="auto"/>
          <w:spacing w:val="0"/>
          <w:kern w:val="0"/>
          <w:sz w:val="21"/>
          <w:szCs w:val="21"/>
          <w:highlight w:val="none"/>
          <w:lang w:val="en-US" w:eastAsia="zh-CN"/>
        </w:rPr>
        <w:t>：</w:t>
      </w:r>
      <w:r>
        <w:rPr>
          <w:rFonts w:hint="eastAsia" w:ascii="宋体" w:hAnsi="宋体" w:eastAsia="宋体" w:cs="宋体"/>
          <w:i w:val="0"/>
          <w:iCs w:val="0"/>
          <w:color w:val="auto"/>
          <w:spacing w:val="0"/>
          <w:kern w:val="0"/>
          <w:sz w:val="21"/>
          <w:szCs w:val="21"/>
          <w:highlight w:val="none"/>
          <w:lang w:val="en-US" w:eastAsia="zh-CN"/>
        </w:rPr>
        <w:t>浙江交通职业技术学院</w:t>
      </w:r>
    </w:p>
    <w:p w14:paraId="0636124E">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乙方（供方）</w:t>
      </w:r>
      <w:r>
        <w:rPr>
          <w:rFonts w:hint="eastAsia" w:ascii="宋体" w:hAnsi="宋体" w:eastAsia="宋体" w:cs="宋体"/>
          <w:color w:val="auto"/>
          <w:spacing w:val="0"/>
          <w:kern w:val="0"/>
          <w:sz w:val="21"/>
          <w:szCs w:val="21"/>
          <w:highlight w:val="none"/>
          <w:lang w:val="en-US" w:eastAsia="zh-CN"/>
        </w:rPr>
        <w:t>：</w:t>
      </w:r>
    </w:p>
    <w:p w14:paraId="06758824">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采购代理机构：</w:t>
      </w:r>
      <w:r>
        <w:rPr>
          <w:rFonts w:hint="eastAsia" w:ascii="宋体" w:hAnsi="宋体" w:eastAsia="宋体" w:cs="宋体"/>
          <w:i w:val="0"/>
          <w:iCs w:val="0"/>
          <w:color w:val="auto"/>
          <w:spacing w:val="0"/>
          <w:kern w:val="0"/>
          <w:sz w:val="21"/>
          <w:szCs w:val="21"/>
          <w:highlight w:val="none"/>
          <w:lang w:val="en-US" w:eastAsia="zh-CN"/>
        </w:rPr>
        <w:t>浙江求是招标代理有限公司</w:t>
      </w:r>
    </w:p>
    <w:p w14:paraId="5E85F0E4">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 </w:t>
      </w:r>
    </w:p>
    <w:p w14:paraId="60EA6964">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spacing w:val="0"/>
          <w:kern w:val="0"/>
          <w:sz w:val="21"/>
          <w:szCs w:val="21"/>
          <w:highlight w:val="none"/>
          <w:lang w:val="en-US" w:eastAsia="zh-CN"/>
        </w:rPr>
        <w:t>根据《中华人民共和国政府采购法》等法律法规规定，浙江求是招标代理有限公司</w:t>
      </w:r>
      <w:r>
        <w:rPr>
          <w:rFonts w:hint="eastAsia" w:ascii="宋体" w:hAnsi="宋体" w:eastAsia="宋体" w:cs="宋体"/>
          <w:color w:val="auto"/>
          <w:spacing w:val="0"/>
          <w:kern w:val="0"/>
          <w:sz w:val="21"/>
          <w:szCs w:val="21"/>
          <w:highlight w:val="none"/>
          <w:u w:val="single"/>
          <w:lang w:val="en-US" w:eastAsia="zh-CN"/>
        </w:rPr>
        <w:t xml:space="preserve">受 </w:t>
      </w:r>
      <w:r>
        <w:rPr>
          <w:rFonts w:hint="eastAsia" w:ascii="宋体" w:hAnsi="宋体" w:eastAsia="宋体" w:cs="宋体"/>
          <w:i w:val="0"/>
          <w:iCs w:val="0"/>
          <w:color w:val="auto"/>
          <w:spacing w:val="0"/>
          <w:kern w:val="0"/>
          <w:sz w:val="21"/>
          <w:szCs w:val="21"/>
          <w:highlight w:val="none"/>
          <w:u w:val="single"/>
          <w:lang w:val="en-US" w:eastAsia="zh-CN"/>
        </w:rPr>
        <w:t>浙江交通职业技术学院</w:t>
      </w:r>
      <w:r>
        <w:rPr>
          <w:rFonts w:hint="eastAsia" w:ascii="宋体" w:hAnsi="宋体" w:eastAsia="宋体" w:cs="宋体"/>
          <w:color w:val="auto"/>
          <w:spacing w:val="0"/>
          <w:kern w:val="0"/>
          <w:sz w:val="21"/>
          <w:szCs w:val="21"/>
          <w:highlight w:val="none"/>
          <w:u w:val="single"/>
          <w:lang w:val="en-US" w:eastAsia="zh-CN"/>
        </w:rPr>
        <w:t>委托，经</w:t>
      </w:r>
      <w:r>
        <w:rPr>
          <w:rFonts w:hint="eastAsia" w:ascii="宋体" w:hAnsi="宋体" w:eastAsia="宋体" w:cs="宋体"/>
          <w:i w:val="0"/>
          <w:iCs w:val="0"/>
          <w:color w:val="auto"/>
          <w:spacing w:val="0"/>
          <w:kern w:val="0"/>
          <w:sz w:val="21"/>
          <w:szCs w:val="21"/>
          <w:highlight w:val="none"/>
          <w:u w:val="single"/>
          <w:lang w:val="en-US" w:eastAsia="zh-CN"/>
        </w:rPr>
        <w:t>竞争性磋商</w:t>
      </w:r>
      <w:r>
        <w:rPr>
          <w:rFonts w:hint="eastAsia" w:ascii="宋体" w:hAnsi="宋体" w:eastAsia="宋体" w:cs="宋体"/>
          <w:color w:val="auto"/>
          <w:spacing w:val="0"/>
          <w:kern w:val="0"/>
          <w:sz w:val="21"/>
          <w:szCs w:val="21"/>
          <w:highlight w:val="none"/>
          <w:u w:val="single"/>
          <w:lang w:val="en-US" w:eastAsia="zh-CN"/>
        </w:rPr>
        <w:t>，确定          （</w:t>
      </w:r>
      <w:r>
        <w:rPr>
          <w:rFonts w:hint="eastAsia" w:ascii="宋体" w:hAnsi="宋体" w:eastAsia="宋体" w:cs="宋体"/>
          <w:i/>
          <w:iCs/>
          <w:color w:val="auto"/>
          <w:spacing w:val="0"/>
          <w:kern w:val="0"/>
          <w:sz w:val="21"/>
          <w:szCs w:val="21"/>
          <w:highlight w:val="none"/>
          <w:u w:val="single"/>
          <w:lang w:val="en-US" w:eastAsia="zh-CN"/>
        </w:rPr>
        <w:t>中标供应商</w:t>
      </w:r>
      <w:r>
        <w:rPr>
          <w:rFonts w:hint="eastAsia" w:ascii="宋体" w:hAnsi="宋体" w:eastAsia="宋体" w:cs="宋体"/>
          <w:color w:val="auto"/>
          <w:spacing w:val="0"/>
          <w:kern w:val="0"/>
          <w:sz w:val="21"/>
          <w:szCs w:val="21"/>
          <w:highlight w:val="none"/>
          <w:u w:val="single"/>
          <w:lang w:val="en-US" w:eastAsia="zh-CN"/>
        </w:rPr>
        <w:t>）为</w:t>
      </w:r>
      <w:r>
        <w:rPr>
          <w:rFonts w:hint="eastAsia" w:ascii="宋体" w:hAnsi="宋体" w:eastAsia="宋体" w:cs="宋体"/>
          <w:i w:val="0"/>
          <w:iCs w:val="0"/>
          <w:color w:val="auto"/>
          <w:spacing w:val="0"/>
          <w:kern w:val="0"/>
          <w:sz w:val="21"/>
          <w:szCs w:val="21"/>
          <w:highlight w:val="none"/>
          <w:u w:val="single"/>
          <w:lang w:val="en-US" w:eastAsia="zh-CN"/>
        </w:rPr>
        <w:t>廉政风险防控管理系统项目（二期）</w:t>
      </w:r>
      <w:r>
        <w:rPr>
          <w:rFonts w:hint="eastAsia" w:ascii="宋体" w:hAnsi="宋体" w:eastAsia="宋体" w:cs="宋体"/>
          <w:color w:val="auto"/>
          <w:spacing w:val="0"/>
          <w:kern w:val="0"/>
          <w:sz w:val="21"/>
          <w:szCs w:val="21"/>
          <w:highlight w:val="none"/>
          <w:u w:val="single"/>
          <w:lang w:val="en-US" w:eastAsia="zh-CN"/>
        </w:rPr>
        <w:t>项目（编号：</w:t>
      </w:r>
      <w:r>
        <w:rPr>
          <w:rFonts w:hint="eastAsia" w:ascii="宋体" w:hAnsi="宋体" w:eastAsia="宋体" w:cs="宋体"/>
          <w:i w:val="0"/>
          <w:iCs w:val="0"/>
          <w:color w:val="auto"/>
          <w:spacing w:val="0"/>
          <w:kern w:val="0"/>
          <w:sz w:val="21"/>
          <w:szCs w:val="21"/>
          <w:highlight w:val="none"/>
          <w:u w:val="single"/>
          <w:lang w:val="en-US" w:eastAsia="zh-CN"/>
        </w:rPr>
        <w:t>330000263030390000079-QSZBC260131ZFCS</w:t>
      </w:r>
      <w:r>
        <w:rPr>
          <w:rFonts w:hint="eastAsia" w:ascii="宋体" w:hAnsi="宋体" w:eastAsia="宋体" w:cs="宋体"/>
          <w:color w:val="auto"/>
          <w:spacing w:val="0"/>
          <w:kern w:val="0"/>
          <w:sz w:val="21"/>
          <w:szCs w:val="21"/>
          <w:highlight w:val="none"/>
          <w:u w:val="single"/>
          <w:lang w:val="en-US" w:eastAsia="zh-CN"/>
        </w:rPr>
        <w:t>）的</w:t>
      </w:r>
      <w:r>
        <w:rPr>
          <w:rFonts w:hint="eastAsia" w:ascii="宋体" w:hAnsi="宋体" w:eastAsia="宋体" w:cs="宋体"/>
          <w:i w:val="0"/>
          <w:iCs w:val="0"/>
          <w:color w:val="auto"/>
          <w:spacing w:val="0"/>
          <w:kern w:val="0"/>
          <w:sz w:val="21"/>
          <w:szCs w:val="21"/>
          <w:highlight w:val="none"/>
          <w:lang w:val="en-US" w:eastAsia="zh-CN"/>
        </w:rPr>
        <w:t>成交供应商</w:t>
      </w:r>
      <w:r>
        <w:rPr>
          <w:rFonts w:hint="eastAsia" w:ascii="宋体" w:hAnsi="宋体" w:eastAsia="宋体" w:cs="宋体"/>
          <w:color w:val="auto"/>
          <w:spacing w:val="0"/>
          <w:kern w:val="0"/>
          <w:sz w:val="21"/>
          <w:szCs w:val="21"/>
          <w:highlight w:val="none"/>
          <w:lang w:val="en-US" w:eastAsia="zh-CN"/>
        </w:rPr>
        <w:t>。根据《中华人民共和国民法典》规定，签署本合同。</w:t>
      </w:r>
    </w:p>
    <w:p w14:paraId="62F4331D">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0"/>
          <w:kern w:val="0"/>
          <w:sz w:val="21"/>
          <w:szCs w:val="21"/>
          <w:highlight w:val="none"/>
          <w:lang w:val="en-US" w:eastAsia="zh-CN"/>
        </w:rPr>
        <w:t> </w:t>
      </w:r>
    </w:p>
    <w:p w14:paraId="17440A63">
      <w:pPr>
        <w:spacing w:line="288" w:lineRule="auto"/>
        <w:ind w:firstLine="390" w:firstLineChars="196"/>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第一条：</w:t>
      </w:r>
      <w:r>
        <w:rPr>
          <w:rFonts w:hAnsi="宋体"/>
          <w:b/>
          <w:color w:val="auto"/>
          <w:szCs w:val="21"/>
          <w:highlight w:val="none"/>
        </w:rPr>
        <w:t>服务内容和要求</w:t>
      </w:r>
    </w:p>
    <w:p w14:paraId="284F3CFA">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02E30177">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59BBE003">
      <w:pPr>
        <w:snapToGrid w:val="0"/>
        <w:spacing w:line="288" w:lineRule="auto"/>
        <w:ind w:firstLine="420" w:firstLineChars="200"/>
        <w:rPr>
          <w:rFonts w:hint="eastAsia" w:ascii="宋体" w:hAnsi="宋体" w:cs="宋体"/>
          <w:color w:val="auto"/>
          <w:spacing w:val="-6"/>
          <w:szCs w:val="21"/>
          <w:highlight w:val="none"/>
        </w:rPr>
      </w:pPr>
      <w:r>
        <w:rPr>
          <w:rFonts w:hint="eastAsia" w:ascii="宋体" w:hAnsi="宋体"/>
          <w:color w:val="auto"/>
          <w:szCs w:val="21"/>
          <w:highlight w:val="none"/>
        </w:rPr>
        <w:t>3.</w:t>
      </w:r>
      <w:r>
        <w:rPr>
          <w:rFonts w:ascii="宋体" w:hAnsi="宋体"/>
          <w:color w:val="auto"/>
          <w:szCs w:val="21"/>
          <w:highlight w:val="none"/>
        </w:rPr>
        <w:t>……</w:t>
      </w:r>
    </w:p>
    <w:p w14:paraId="178DAC42">
      <w:pPr>
        <w:spacing w:line="288" w:lineRule="auto"/>
        <w:ind w:firstLine="390" w:firstLineChars="196"/>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第二条：合同履行时间、履行地点和合同金额</w:t>
      </w:r>
    </w:p>
    <w:p w14:paraId="3116304D">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1.履行时间：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B47C906">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2.履行地点：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BF7B6DB">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3.本合同金额为（大写）：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元）人民币。本合同的价款为含税价。</w:t>
      </w:r>
    </w:p>
    <w:p w14:paraId="792EDAED">
      <w:pPr>
        <w:spacing w:line="288" w:lineRule="auto"/>
        <w:ind w:firstLine="398" w:firstLineChars="200"/>
        <w:rPr>
          <w:rFonts w:hint="eastAsia" w:ascii="宋体" w:hAnsi="宋体" w:cs="宋体"/>
          <w:color w:val="auto"/>
          <w:spacing w:val="-6"/>
          <w:szCs w:val="21"/>
          <w:highlight w:val="none"/>
        </w:rPr>
      </w:pPr>
      <w:r>
        <w:rPr>
          <w:rFonts w:hint="eastAsia" w:ascii="宋体" w:hAnsi="宋体" w:cs="宋体"/>
          <w:b/>
          <w:color w:val="auto"/>
          <w:spacing w:val="-6"/>
          <w:szCs w:val="21"/>
          <w:highlight w:val="none"/>
        </w:rPr>
        <w:t>第三条：</w:t>
      </w:r>
      <w:r>
        <w:rPr>
          <w:rFonts w:hAnsi="宋体"/>
          <w:b/>
          <w:color w:val="auto"/>
          <w:szCs w:val="21"/>
          <w:highlight w:val="none"/>
        </w:rPr>
        <w:t>技术资料</w:t>
      </w:r>
      <w:r>
        <w:rPr>
          <w:rFonts w:hint="eastAsia" w:hAnsi="宋体"/>
          <w:b/>
          <w:color w:val="auto"/>
          <w:szCs w:val="21"/>
          <w:highlight w:val="none"/>
        </w:rPr>
        <w:t>、保密和知识产权</w:t>
      </w:r>
    </w:p>
    <w:p w14:paraId="1591C178">
      <w:pPr>
        <w:pStyle w:val="2"/>
        <w:snapToGrid w:val="0"/>
        <w:spacing w:before="0" w:after="0" w:line="288" w:lineRule="auto"/>
        <w:ind w:firstLine="420" w:firstLineChars="200"/>
        <w:rPr>
          <w:rFonts w:hint="eastAsia"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w:t>
      </w:r>
      <w:r>
        <w:rPr>
          <w:rFonts w:hAnsi="宋体"/>
          <w:color w:val="auto"/>
          <w:sz w:val="21"/>
          <w:szCs w:val="21"/>
          <w:highlight w:val="none"/>
        </w:rPr>
        <w:t>乙方应按</w:t>
      </w:r>
      <w:r>
        <w:rPr>
          <w:rFonts w:hint="eastAsia" w:hAnsi="宋体"/>
          <w:color w:val="auto"/>
          <w:sz w:val="21"/>
          <w:szCs w:val="21"/>
          <w:highlight w:val="none"/>
        </w:rPr>
        <w:t>磋商文件</w:t>
      </w:r>
      <w:r>
        <w:rPr>
          <w:rFonts w:hAnsi="宋体"/>
          <w:color w:val="auto"/>
          <w:sz w:val="21"/>
          <w:szCs w:val="21"/>
          <w:highlight w:val="none"/>
        </w:rPr>
        <w:t>规定的时间向甲方提供有关技术资料。</w:t>
      </w:r>
    </w:p>
    <w:p w14:paraId="051432BE">
      <w:pPr>
        <w:pStyle w:val="2"/>
        <w:snapToGrid w:val="0"/>
        <w:spacing w:before="0" w:after="0" w:line="288" w:lineRule="auto"/>
        <w:ind w:firstLine="420" w:firstLineChars="200"/>
        <w:rPr>
          <w:rFonts w:hint="eastAsia"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乙方对在工作过程中接触到的甲方的任何资料、文件、数据(无论是书面的还是电子的)，以及对为甲方服务形成的任何交付物，负有为甲方保密的责任。未经甲方书面同意，乙方不得以任何方式向任何第三方提供或透露。乙方违反保密约定的，应当承担由此对甲方造成损失的违约责任和法律责任，损失无法计算的按照合同总金额20%计算。本保密义务应在本合同期满、解除或终止后仍然有效。</w:t>
      </w:r>
    </w:p>
    <w:p w14:paraId="465B94F7">
      <w:pPr>
        <w:pStyle w:val="2"/>
        <w:snapToGrid w:val="0"/>
        <w:spacing w:before="0" w:after="0" w:line="288" w:lineRule="auto"/>
        <w:ind w:firstLine="420" w:firstLineChars="200"/>
        <w:rPr>
          <w:rFonts w:hint="eastAsia" w:hAnsi="宋体"/>
          <w:bCs/>
          <w:color w:val="auto"/>
          <w:sz w:val="21"/>
          <w:szCs w:val="21"/>
          <w:highlight w:val="none"/>
        </w:rPr>
      </w:pPr>
      <w:r>
        <w:rPr>
          <w:rFonts w:hint="eastAsia" w:hAnsi="宋体"/>
          <w:color w:val="auto"/>
          <w:sz w:val="21"/>
          <w:szCs w:val="21"/>
          <w:highlight w:val="none"/>
        </w:rPr>
        <w:t>3.乙方在本合同项下完成的所有形式的工作成果所有权和知识产权归属于甲方。</w:t>
      </w:r>
      <w:r>
        <w:rPr>
          <w:rFonts w:hAnsi="宋体"/>
          <w:color w:val="auto"/>
          <w:sz w:val="21"/>
          <w:szCs w:val="21"/>
          <w:highlight w:val="none"/>
        </w:rPr>
        <w:t>乙方应保证提供服务过程中不会侵犯任何第三方的知识产权</w:t>
      </w:r>
      <w:r>
        <w:rPr>
          <w:rFonts w:hint="eastAsia" w:hAnsi="宋体"/>
          <w:bCs/>
          <w:color w:val="auto"/>
          <w:sz w:val="21"/>
          <w:szCs w:val="21"/>
          <w:highlight w:val="none"/>
        </w:rPr>
        <w:t>，否则甲方有权解除本合同，拒绝支付合同价款，并要求乙方赔偿所有损失。</w:t>
      </w:r>
    </w:p>
    <w:p w14:paraId="6153A151">
      <w:pPr>
        <w:spacing w:line="288" w:lineRule="auto"/>
        <w:ind w:firstLine="390" w:firstLineChars="196"/>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第四条：</w:t>
      </w:r>
      <w:r>
        <w:rPr>
          <w:rFonts w:hint="eastAsia" w:hAnsi="宋体"/>
          <w:b/>
          <w:color w:val="auto"/>
          <w:szCs w:val="21"/>
          <w:highlight w:val="none"/>
        </w:rPr>
        <w:t>转包或分包</w:t>
      </w:r>
    </w:p>
    <w:p w14:paraId="6060788A">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1.本合同范围的服务，应由</w:t>
      </w:r>
      <w:r>
        <w:rPr>
          <w:rFonts w:ascii="宋体" w:hAnsi="宋体"/>
          <w:color w:val="auto"/>
          <w:szCs w:val="21"/>
          <w:highlight w:val="none"/>
        </w:rPr>
        <w:t>乙</w:t>
      </w:r>
      <w:r>
        <w:rPr>
          <w:rFonts w:hint="eastAsia" w:ascii="宋体" w:hAnsi="宋体"/>
          <w:color w:val="auto"/>
          <w:szCs w:val="21"/>
          <w:highlight w:val="none"/>
        </w:rPr>
        <w:t>方直接完成，不得转让给任何第三方；</w:t>
      </w:r>
    </w:p>
    <w:p w14:paraId="6FFD3759">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2.除非得到甲方的书面同意，</w:t>
      </w:r>
      <w:r>
        <w:rPr>
          <w:rFonts w:ascii="宋体" w:hAnsi="宋体"/>
          <w:color w:val="auto"/>
          <w:szCs w:val="21"/>
          <w:highlight w:val="none"/>
        </w:rPr>
        <w:t>乙</w:t>
      </w:r>
      <w:r>
        <w:rPr>
          <w:rFonts w:hint="eastAsia" w:ascii="宋体" w:hAnsi="宋体"/>
          <w:color w:val="auto"/>
          <w:szCs w:val="21"/>
          <w:highlight w:val="none"/>
        </w:rPr>
        <w:t>方不得将本合同范围的服务全部或部分转包分包给任何第三方完成；</w:t>
      </w:r>
    </w:p>
    <w:p w14:paraId="60413CC7">
      <w:pPr>
        <w:snapToGrid w:val="0"/>
        <w:spacing w:line="288"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3.乙方转让或转包分包的，甲方有权解除合同和拒付（或要求乙方退还）合同价款，并没收履约保证金和追究乙方的违约责任。</w:t>
      </w:r>
    </w:p>
    <w:p w14:paraId="41C58A6A">
      <w:pPr>
        <w:spacing w:line="288" w:lineRule="auto"/>
        <w:ind w:firstLine="398" w:firstLineChars="200"/>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第五条：付款支付及履约保证金</w:t>
      </w:r>
    </w:p>
    <w:p w14:paraId="4E48E15C">
      <w:pPr>
        <w:spacing w:line="288" w:lineRule="auto"/>
        <w:ind w:firstLine="398" w:firstLineChars="200"/>
        <w:rPr>
          <w:rFonts w:hint="eastAsia" w:ascii="宋体" w:hAnsi="宋体" w:cs="宋体"/>
          <w:b/>
          <w:color w:val="auto"/>
          <w:spacing w:val="-6"/>
          <w:szCs w:val="21"/>
          <w:highlight w:val="none"/>
        </w:rPr>
      </w:pPr>
    </w:p>
    <w:p w14:paraId="5854A043">
      <w:pPr>
        <w:spacing w:line="288" w:lineRule="auto"/>
        <w:ind w:firstLine="398" w:firstLineChars="200"/>
        <w:rPr>
          <w:rFonts w:hint="eastAsia" w:ascii="宋体" w:hAnsi="宋体" w:cs="宋体"/>
          <w:b/>
          <w:color w:val="auto"/>
          <w:spacing w:val="-6"/>
          <w:szCs w:val="21"/>
          <w:highlight w:val="none"/>
        </w:rPr>
      </w:pPr>
    </w:p>
    <w:p w14:paraId="29F8A59A">
      <w:pPr>
        <w:spacing w:line="288" w:lineRule="auto"/>
        <w:ind w:firstLine="398" w:firstLineChars="200"/>
        <w:rPr>
          <w:rFonts w:hint="eastAsia" w:ascii="宋体" w:hAnsi="宋体" w:cs="宋体"/>
          <w:b/>
          <w:color w:val="auto"/>
          <w:spacing w:val="-6"/>
          <w:szCs w:val="21"/>
          <w:highlight w:val="none"/>
        </w:rPr>
      </w:pPr>
    </w:p>
    <w:p w14:paraId="577AA291">
      <w:pPr>
        <w:spacing w:line="288" w:lineRule="auto"/>
        <w:ind w:firstLine="398" w:firstLineChars="200"/>
        <w:rPr>
          <w:rFonts w:hint="eastAsia" w:ascii="宋体" w:hAnsi="宋体" w:cs="宋体"/>
          <w:b/>
          <w:color w:val="auto"/>
          <w:spacing w:val="-6"/>
          <w:szCs w:val="21"/>
          <w:highlight w:val="none"/>
        </w:rPr>
      </w:pPr>
    </w:p>
    <w:p w14:paraId="0FF8E9A8">
      <w:pPr>
        <w:spacing w:line="288" w:lineRule="auto"/>
        <w:ind w:firstLine="398" w:firstLineChars="200"/>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第六条：</w:t>
      </w:r>
      <w:r>
        <w:rPr>
          <w:rFonts w:hAnsi="宋体"/>
          <w:b/>
          <w:color w:val="auto"/>
          <w:szCs w:val="21"/>
          <w:highlight w:val="none"/>
        </w:rPr>
        <w:t>质量保证及后续服务</w:t>
      </w:r>
    </w:p>
    <w:p w14:paraId="5B288941">
      <w:pPr>
        <w:pStyle w:val="2"/>
        <w:snapToGrid w:val="0"/>
        <w:spacing w:before="0" w:after="0" w:line="288" w:lineRule="auto"/>
        <w:ind w:firstLine="420" w:firstLineChars="200"/>
        <w:rPr>
          <w:rFonts w:hint="eastAsia" w:hAnsi="宋体"/>
          <w:color w:val="auto"/>
          <w:sz w:val="21"/>
          <w:szCs w:val="21"/>
          <w:highlight w:val="none"/>
        </w:rPr>
      </w:pPr>
      <w:r>
        <w:rPr>
          <w:rFonts w:hint="eastAsia" w:hAnsi="宋体"/>
          <w:color w:val="auto"/>
          <w:sz w:val="21"/>
          <w:szCs w:val="21"/>
          <w:highlight w:val="none"/>
        </w:rPr>
        <w:t>1.</w:t>
      </w:r>
      <w:r>
        <w:rPr>
          <w:rFonts w:hAnsi="宋体"/>
          <w:color w:val="auto"/>
          <w:sz w:val="21"/>
          <w:szCs w:val="21"/>
          <w:highlight w:val="none"/>
        </w:rPr>
        <w:t>乙方应按</w:t>
      </w:r>
      <w:r>
        <w:rPr>
          <w:rFonts w:hint="eastAsia" w:hAnsi="宋体"/>
          <w:color w:val="auto"/>
          <w:sz w:val="21"/>
          <w:szCs w:val="21"/>
          <w:highlight w:val="none"/>
        </w:rPr>
        <w:t>磋商文件</w:t>
      </w:r>
      <w:r>
        <w:rPr>
          <w:rFonts w:hAnsi="宋体"/>
          <w:color w:val="auto"/>
          <w:sz w:val="21"/>
          <w:szCs w:val="21"/>
          <w:highlight w:val="none"/>
        </w:rPr>
        <w:t>规定向甲方提供服务。</w:t>
      </w:r>
    </w:p>
    <w:p w14:paraId="3D26576F">
      <w:pPr>
        <w:pStyle w:val="2"/>
        <w:snapToGrid w:val="0"/>
        <w:spacing w:before="0" w:after="0" w:line="288" w:lineRule="auto"/>
        <w:ind w:firstLine="420" w:firstLineChars="200"/>
        <w:rPr>
          <w:rFonts w:hint="eastAsia"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乙方提供的服务成果</w:t>
      </w:r>
      <w:r>
        <w:rPr>
          <w:rFonts w:hint="eastAsia" w:hAnsi="宋体"/>
          <w:color w:val="auto"/>
          <w:sz w:val="21"/>
          <w:szCs w:val="21"/>
          <w:highlight w:val="none"/>
        </w:rPr>
        <w:t>验收不合格的，或在服务质量保证期内出现问题</w:t>
      </w:r>
      <w:r>
        <w:rPr>
          <w:rFonts w:hAnsi="宋体"/>
          <w:color w:val="auto"/>
          <w:sz w:val="21"/>
          <w:szCs w:val="21"/>
          <w:highlight w:val="none"/>
        </w:rPr>
        <w:t>，乙方应负责免费提供后续服务。</w:t>
      </w:r>
      <w:r>
        <w:rPr>
          <w:rFonts w:hint="eastAsia" w:hAnsi="宋体"/>
          <w:color w:val="auto"/>
          <w:sz w:val="21"/>
          <w:szCs w:val="21"/>
          <w:highlight w:val="none"/>
        </w:rPr>
        <w:t>对达不到服务要求的，根据实际情况，甲方有权自行选择以下办法处理：</w:t>
      </w:r>
    </w:p>
    <w:p w14:paraId="02F5087B">
      <w:pPr>
        <w:pStyle w:val="2"/>
        <w:snapToGrid w:val="0"/>
        <w:spacing w:before="0" w:after="0" w:line="288" w:lineRule="auto"/>
        <w:ind w:firstLine="420" w:firstLineChars="200"/>
        <w:rPr>
          <w:rFonts w:hint="eastAsia" w:hAnsi="宋体"/>
          <w:color w:val="auto"/>
          <w:sz w:val="21"/>
          <w:szCs w:val="21"/>
          <w:highlight w:val="none"/>
        </w:rPr>
      </w:pPr>
      <w:r>
        <w:rPr>
          <w:rFonts w:hint="eastAsia" w:hAnsi="宋体"/>
          <w:color w:val="auto"/>
          <w:sz w:val="21"/>
          <w:szCs w:val="21"/>
          <w:highlight w:val="none"/>
        </w:rPr>
        <w:t>（1）</w:t>
      </w:r>
      <w:r>
        <w:rPr>
          <w:rFonts w:hAnsi="宋体"/>
          <w:color w:val="auto"/>
          <w:sz w:val="21"/>
          <w:szCs w:val="21"/>
          <w:highlight w:val="none"/>
        </w:rPr>
        <w:t>重做：由乙方承担所发生的全部费用</w:t>
      </w:r>
      <w:r>
        <w:rPr>
          <w:rFonts w:hint="eastAsia" w:hAnsi="宋体"/>
          <w:color w:val="auto"/>
          <w:sz w:val="21"/>
          <w:szCs w:val="21"/>
          <w:highlight w:val="none"/>
        </w:rPr>
        <w:t>，并承担所有损失</w:t>
      </w:r>
      <w:r>
        <w:rPr>
          <w:rFonts w:hAnsi="宋体"/>
          <w:color w:val="auto"/>
          <w:sz w:val="21"/>
          <w:szCs w:val="21"/>
          <w:highlight w:val="none"/>
        </w:rPr>
        <w:t>。</w:t>
      </w:r>
    </w:p>
    <w:p w14:paraId="0D531148">
      <w:pPr>
        <w:pStyle w:val="2"/>
        <w:snapToGrid w:val="0"/>
        <w:spacing w:before="0" w:after="0" w:line="288" w:lineRule="auto"/>
        <w:ind w:firstLine="420" w:firstLineChars="200"/>
        <w:rPr>
          <w:rFonts w:hint="eastAsia"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解除合同</w:t>
      </w:r>
      <w:r>
        <w:rPr>
          <w:rFonts w:hint="eastAsia" w:hAnsi="宋体"/>
          <w:color w:val="auto"/>
          <w:sz w:val="21"/>
          <w:szCs w:val="21"/>
          <w:highlight w:val="none"/>
        </w:rPr>
        <w:t>：甲方拒付（或要求乙方退还）合同价款</w:t>
      </w:r>
      <w:r>
        <w:rPr>
          <w:rFonts w:hAnsi="宋体"/>
          <w:color w:val="auto"/>
          <w:sz w:val="21"/>
          <w:szCs w:val="21"/>
          <w:highlight w:val="none"/>
        </w:rPr>
        <w:t>。</w:t>
      </w:r>
    </w:p>
    <w:p w14:paraId="77650F38">
      <w:pPr>
        <w:spacing w:line="288" w:lineRule="auto"/>
        <w:ind w:firstLine="420" w:firstLineChars="200"/>
        <w:rPr>
          <w:rFonts w:hint="eastAsia" w:hAnsi="宋体"/>
          <w:color w:val="auto"/>
          <w:szCs w:val="21"/>
          <w:highlight w:val="none"/>
          <w:u w:val="single"/>
        </w:rPr>
      </w:pPr>
      <w:r>
        <w:rPr>
          <w:rFonts w:hint="eastAsia" w:hAnsi="宋体"/>
          <w:color w:val="auto"/>
          <w:szCs w:val="21"/>
          <w:highlight w:val="none"/>
        </w:rPr>
        <w:t>3.合同履行期限内，服务响应时效承诺：</w:t>
      </w:r>
      <w:r>
        <w:rPr>
          <w:rFonts w:hint="eastAsia" w:hAnsi="宋体"/>
          <w:color w:val="auto"/>
          <w:szCs w:val="21"/>
          <w:highlight w:val="none"/>
          <w:u w:val="single"/>
        </w:rPr>
        <w:t xml:space="preserve">                       。</w:t>
      </w:r>
    </w:p>
    <w:p w14:paraId="68402EAB">
      <w:pPr>
        <w:spacing w:line="288" w:lineRule="auto"/>
        <w:ind w:firstLine="420" w:firstLineChars="200"/>
        <w:rPr>
          <w:rFonts w:hint="eastAsia" w:ascii="宋体" w:hAnsi="宋体" w:cs="宋体"/>
          <w:b/>
          <w:color w:val="auto"/>
          <w:spacing w:val="-6"/>
          <w:szCs w:val="21"/>
          <w:highlight w:val="none"/>
        </w:rPr>
      </w:pPr>
      <w:r>
        <w:rPr>
          <w:rFonts w:hint="eastAsia" w:hAnsi="宋体"/>
          <w:color w:val="auto"/>
          <w:szCs w:val="21"/>
          <w:highlight w:val="none"/>
        </w:rPr>
        <w:t>4.在服务质量保证期内，乙方应对出现的质量及安全问题负责处理解决并承担一切费用。</w:t>
      </w:r>
    </w:p>
    <w:p w14:paraId="014B55F4">
      <w:pPr>
        <w:spacing w:line="288" w:lineRule="auto"/>
        <w:ind w:firstLine="398" w:firstLineChars="200"/>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第七条：违约责任</w:t>
      </w:r>
    </w:p>
    <w:p w14:paraId="657CC962">
      <w:pPr>
        <w:snapToGrid w:val="0"/>
        <w:spacing w:line="288"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1.乙方逾期提供服务或服务成果的，乙方应按逾期天数向甲方支付每日合同金额千分之一违约金。乙方超过约定日期10日不能提供服务或服务成果或存在其他违反合同约定的行为的，甲方有权解除本合同，乙方应退还所收取的全部款项并向甲方支付合同金额百分之五的违约金，如造成甲方损失超过违约金的，超出部分由乙方继续承担赔偿责任。</w:t>
      </w:r>
    </w:p>
    <w:p w14:paraId="509DCFFE">
      <w:pPr>
        <w:snapToGrid w:val="0"/>
        <w:spacing w:line="288"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2.甲方逾期支付合同价款的，应向乙方每日偿付合同总价千分之一的违约金，违约金上限为合同总价的百分之。由于假期等客观原因导致逾期支付合同价款的，双方友好协商解决。</w:t>
      </w:r>
    </w:p>
    <w:p w14:paraId="29B31432">
      <w:pPr>
        <w:snapToGrid w:val="0"/>
        <w:spacing w:line="288"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3.因政策变动或上级部门要求等原因，致使一方不能履行合同，双方互不承担违约责任，但应将情况尽快通知另一方，并应尽量减少由此发生的损失。</w:t>
      </w:r>
    </w:p>
    <w:p w14:paraId="39DBAABF">
      <w:pPr>
        <w:snapToGrid w:val="0"/>
        <w:spacing w:line="288" w:lineRule="auto"/>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4.合同履行期限内，非乙方原因，甲方解除合同的，甲方应视工作完成情况，支付已完成工作量相应费用。因乙方未履行本合同所规定的职责等原因提前解除合同，乙方应全额退还已收取的款项并承担违约责任。</w:t>
      </w:r>
    </w:p>
    <w:p w14:paraId="1FC2A681">
      <w:pPr>
        <w:widowControl/>
        <w:autoSpaceDE w:val="0"/>
        <w:spacing w:line="288" w:lineRule="auto"/>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第八条：不可抗力事件处理</w:t>
      </w:r>
    </w:p>
    <w:p w14:paraId="301FDB7E">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46C8DA83">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57826C9F">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3.不可抗力事件延续120天以上，双方应通过友好协商，确定是否继续履行合同。</w:t>
      </w:r>
    </w:p>
    <w:p w14:paraId="6518E22E">
      <w:pPr>
        <w:widowControl/>
        <w:autoSpaceDE w:val="0"/>
        <w:spacing w:line="288" w:lineRule="auto"/>
        <w:ind w:right="-514"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第九条：争议解决</w:t>
      </w:r>
    </w:p>
    <w:p w14:paraId="18454511">
      <w:pPr>
        <w:widowControl/>
        <w:autoSpaceDE w:val="0"/>
        <w:spacing w:line="288" w:lineRule="auto"/>
        <w:ind w:right="23" w:firstLine="420"/>
        <w:jc w:val="left"/>
        <w:rPr>
          <w:rFonts w:hint="eastAsia" w:ascii="宋体" w:hAnsi="宋体" w:cs="宋体"/>
          <w:color w:val="auto"/>
          <w:szCs w:val="21"/>
          <w:highlight w:val="none"/>
        </w:rPr>
      </w:pPr>
      <w:r>
        <w:rPr>
          <w:rFonts w:hint="eastAsia" w:ascii="宋体" w:hAnsi="宋体" w:cs="宋体"/>
          <w:color w:val="auto"/>
          <w:szCs w:val="21"/>
          <w:highlight w:val="none"/>
        </w:rPr>
        <w:t>因本合同发生纠纷，甲乙双方应当及时协商，协商不成时，任何一方可向甲方所在地人民法院起诉。</w:t>
      </w:r>
    </w:p>
    <w:p w14:paraId="0E70EC96">
      <w:pPr>
        <w:widowControl/>
        <w:autoSpaceDE w:val="0"/>
        <w:spacing w:line="288" w:lineRule="auto"/>
        <w:ind w:right="-514"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第十条：合同生效</w:t>
      </w:r>
    </w:p>
    <w:p w14:paraId="73DCF228">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1.合同经甲、乙双方法定代表人或授权代表签名并加盖单位公章或合同专用章后生效。</w:t>
      </w:r>
    </w:p>
    <w:p w14:paraId="7B1257F2">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2.本合同附件、采购文件、响应文件、澄清、中标成交通知书均为合同的组成部分，与本合同具有同等法律效力。</w:t>
      </w:r>
    </w:p>
    <w:p w14:paraId="0C1EFD0A">
      <w:pPr>
        <w:widowControl/>
        <w:autoSpaceDE w:val="0"/>
        <w:spacing w:line="288" w:lineRule="auto"/>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第十一条：合同份数</w:t>
      </w:r>
    </w:p>
    <w:p w14:paraId="66157BA3">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本合同一式五份，甲方执三份，乙方执一份，采购代理机构执一份。</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4577"/>
        <w:gridCol w:w="4933"/>
      </w:tblGrid>
      <w:tr w14:paraId="42DA8FC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0F0B153">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甲方（需方）：浙江交通职业技术学院</w:t>
            </w:r>
          </w:p>
          <w:p w14:paraId="40942AD9">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（公章/合同专用章）</w:t>
            </w:r>
          </w:p>
        </w:tc>
        <w:tc>
          <w:tcPr>
            <w:tcW w:w="470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AFC2BEC">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乙方（供方）：</w:t>
            </w:r>
          </w:p>
          <w:p w14:paraId="678BB087">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（公章/合同专用章）</w:t>
            </w:r>
          </w:p>
        </w:tc>
      </w:tr>
      <w:tr w14:paraId="1DE6CB8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838654A">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甲方代表：</w:t>
            </w:r>
          </w:p>
          <w:p w14:paraId="5AF64B3C">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（签名）</w:t>
            </w:r>
          </w:p>
        </w:tc>
        <w:tc>
          <w:tcPr>
            <w:tcW w:w="470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951E9B1">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乙方代表：</w:t>
            </w:r>
          </w:p>
          <w:p w14:paraId="7FDAECDE">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（签名）</w:t>
            </w:r>
          </w:p>
        </w:tc>
      </w:tr>
      <w:tr w14:paraId="6F82697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10F2D87">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地址：</w:t>
            </w:r>
          </w:p>
        </w:tc>
        <w:tc>
          <w:tcPr>
            <w:tcW w:w="470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441C961">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地址：</w:t>
            </w:r>
          </w:p>
        </w:tc>
      </w:tr>
      <w:tr w14:paraId="038B507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FACB13F">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70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1E2855D">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5127903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94EB5B9">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70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07E707B">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70D7BF6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F9A761B">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70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F7B7ACD">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6A25DD3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24A240C">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签名日期：      年    月    日</w:t>
            </w:r>
          </w:p>
        </w:tc>
        <w:tc>
          <w:tcPr>
            <w:tcW w:w="470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9F22084">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签名日期：      年    月    日</w:t>
            </w:r>
          </w:p>
        </w:tc>
      </w:tr>
      <w:tr w14:paraId="4954745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2710E24">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合同鉴证方：浙江求是招标代理有限公司</w:t>
            </w:r>
          </w:p>
          <w:p w14:paraId="215A6295">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（公章/合同专用章）</w:t>
            </w:r>
          </w:p>
        </w:tc>
        <w:tc>
          <w:tcPr>
            <w:tcW w:w="5123" w:type="dxa"/>
            <w:tcBorders>
              <w:top w:val="nil"/>
              <w:left w:val="nil"/>
              <w:bottom w:val="nil"/>
              <w:right w:val="nil"/>
            </w:tcBorders>
            <w:tcMar>
              <w:top w:w="0" w:type="dxa"/>
              <w:left w:w="75" w:type="dxa"/>
              <w:bottom w:w="0" w:type="dxa"/>
              <w:right w:w="75" w:type="dxa"/>
            </w:tcMar>
            <w:vAlign w:val="center"/>
          </w:tcPr>
          <w:p w14:paraId="05ABB4BA">
            <w:pPr>
              <w:rPr>
                <w:rFonts w:hint="eastAsia" w:ascii="宋体" w:hAnsi="宋体" w:cs="宋体"/>
                <w:color w:val="auto"/>
                <w:szCs w:val="21"/>
                <w:highlight w:val="none"/>
              </w:rPr>
            </w:pPr>
          </w:p>
        </w:tc>
      </w:tr>
      <w:tr w14:paraId="549E1D8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9ACE344">
            <w:pPr>
              <w:widowControl/>
              <w:tabs>
                <w:tab w:val="left" w:pos="2880"/>
              </w:tabs>
              <w:autoSpaceDE w:val="0"/>
              <w:jc w:val="left"/>
              <w:rPr>
                <w:rFonts w:hint="eastAsia" w:ascii="宋体" w:hAnsi="宋体" w:cs="宋体"/>
                <w:color w:val="auto"/>
                <w:szCs w:val="21"/>
                <w:highlight w:val="none"/>
              </w:rPr>
            </w:pPr>
            <w:r>
              <w:rPr>
                <w:rFonts w:hint="eastAsia" w:ascii="宋体" w:hAnsi="宋体" w:cs="宋体"/>
                <w:color w:val="auto"/>
                <w:szCs w:val="21"/>
                <w:highlight w:val="none"/>
              </w:rPr>
              <w:t>采购代理机构代表：</w:t>
            </w:r>
          </w:p>
          <w:p w14:paraId="04B7F22F">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（签名）</w:t>
            </w:r>
          </w:p>
        </w:tc>
        <w:tc>
          <w:tcPr>
            <w:tcW w:w="5123" w:type="dxa"/>
            <w:tcBorders>
              <w:top w:val="nil"/>
              <w:left w:val="nil"/>
              <w:bottom w:val="nil"/>
              <w:right w:val="nil"/>
            </w:tcBorders>
            <w:tcMar>
              <w:top w:w="0" w:type="dxa"/>
              <w:left w:w="75" w:type="dxa"/>
              <w:bottom w:w="0" w:type="dxa"/>
              <w:right w:w="75" w:type="dxa"/>
            </w:tcMar>
            <w:vAlign w:val="center"/>
          </w:tcPr>
          <w:p w14:paraId="32A31CAE">
            <w:pPr>
              <w:rPr>
                <w:rFonts w:hint="eastAsia" w:ascii="宋体" w:hAnsi="宋体" w:cs="宋体"/>
                <w:color w:val="auto"/>
                <w:szCs w:val="21"/>
                <w:highlight w:val="none"/>
              </w:rPr>
            </w:pPr>
          </w:p>
        </w:tc>
      </w:tr>
      <w:tr w14:paraId="72AA132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2C9120C">
            <w:pPr>
              <w:widowControl/>
              <w:tabs>
                <w:tab w:val="left" w:pos="2880"/>
              </w:tabs>
              <w:autoSpaceDE w:val="0"/>
              <w:jc w:val="left"/>
              <w:rPr>
                <w:rFonts w:hint="eastAsia" w:ascii="宋体" w:hAnsi="宋体" w:cs="宋体"/>
                <w:color w:val="auto"/>
                <w:szCs w:val="21"/>
                <w:highlight w:val="none"/>
              </w:rPr>
            </w:pPr>
            <w:r>
              <w:rPr>
                <w:rFonts w:hint="eastAsia" w:ascii="宋体" w:hAnsi="宋体" w:cs="宋体"/>
                <w:color w:val="auto"/>
                <w:szCs w:val="21"/>
                <w:highlight w:val="none"/>
              </w:rPr>
              <w:t>地址：杭州市西湖区玉古路173号中田大厦21楼</w:t>
            </w:r>
          </w:p>
        </w:tc>
        <w:tc>
          <w:tcPr>
            <w:tcW w:w="5123" w:type="dxa"/>
            <w:tcBorders>
              <w:top w:val="nil"/>
              <w:left w:val="nil"/>
              <w:bottom w:val="nil"/>
              <w:right w:val="nil"/>
            </w:tcBorders>
            <w:tcMar>
              <w:top w:w="0" w:type="dxa"/>
              <w:left w:w="75" w:type="dxa"/>
              <w:bottom w:w="0" w:type="dxa"/>
              <w:right w:w="75" w:type="dxa"/>
            </w:tcMar>
            <w:vAlign w:val="center"/>
          </w:tcPr>
          <w:p w14:paraId="558D85E4">
            <w:pPr>
              <w:rPr>
                <w:rFonts w:hint="eastAsia" w:ascii="宋体" w:hAnsi="宋体" w:cs="宋体"/>
                <w:color w:val="auto"/>
                <w:szCs w:val="21"/>
                <w:highlight w:val="none"/>
              </w:rPr>
            </w:pPr>
          </w:p>
        </w:tc>
      </w:tr>
      <w:tr w14:paraId="31E8354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2550F2A">
            <w:pPr>
              <w:widowControl/>
              <w:tabs>
                <w:tab w:val="left" w:pos="2880"/>
              </w:tabs>
              <w:autoSpaceDE w:val="0"/>
              <w:jc w:val="left"/>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5123" w:type="dxa"/>
            <w:tcBorders>
              <w:top w:val="nil"/>
              <w:left w:val="nil"/>
              <w:bottom w:val="nil"/>
              <w:right w:val="nil"/>
            </w:tcBorders>
            <w:tcMar>
              <w:top w:w="0" w:type="dxa"/>
              <w:left w:w="75" w:type="dxa"/>
              <w:bottom w:w="0" w:type="dxa"/>
              <w:right w:w="75" w:type="dxa"/>
            </w:tcMar>
            <w:vAlign w:val="center"/>
          </w:tcPr>
          <w:p w14:paraId="54FF6127">
            <w:pPr>
              <w:rPr>
                <w:rFonts w:hint="eastAsia" w:ascii="宋体" w:hAnsi="宋体" w:cs="宋体"/>
                <w:color w:val="auto"/>
                <w:szCs w:val="21"/>
                <w:highlight w:val="none"/>
              </w:rPr>
            </w:pPr>
          </w:p>
        </w:tc>
      </w:tr>
      <w:tr w14:paraId="1946990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0FDD86B">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鉴证日期：      年    月    日</w:t>
            </w:r>
          </w:p>
        </w:tc>
        <w:tc>
          <w:tcPr>
            <w:tcW w:w="5123" w:type="dxa"/>
            <w:tcBorders>
              <w:top w:val="nil"/>
              <w:left w:val="nil"/>
              <w:bottom w:val="nil"/>
              <w:right w:val="nil"/>
            </w:tcBorders>
            <w:tcMar>
              <w:top w:w="0" w:type="dxa"/>
              <w:left w:w="75" w:type="dxa"/>
              <w:bottom w:w="0" w:type="dxa"/>
              <w:right w:w="75" w:type="dxa"/>
            </w:tcMar>
            <w:vAlign w:val="center"/>
          </w:tcPr>
          <w:p w14:paraId="1A8810A1">
            <w:pPr>
              <w:rPr>
                <w:rFonts w:hint="eastAsia" w:ascii="宋体" w:hAnsi="宋体" w:cs="宋体"/>
                <w:color w:val="auto"/>
                <w:szCs w:val="21"/>
                <w:highlight w:val="none"/>
              </w:rPr>
            </w:pPr>
          </w:p>
        </w:tc>
      </w:tr>
    </w:tbl>
    <w:p w14:paraId="2106D4F4">
      <w:pPr>
        <w:pStyle w:val="4"/>
        <w:keepNext w:val="0"/>
        <w:keepLines w:val="0"/>
        <w:widowControl/>
        <w:suppressLineNumbers w:val="0"/>
        <w:spacing w:line="288"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8"/>
          <w:szCs w:val="28"/>
          <w:highlight w:val="none"/>
        </w:rPr>
        <w:t>第六章 响应文件格式</w:t>
      </w:r>
    </w:p>
    <w:p w14:paraId="7B894A0B">
      <w:pPr>
        <w:pStyle w:val="5"/>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响应文件组成</w:t>
      </w:r>
    </w:p>
    <w:p w14:paraId="08231BC6">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12E16011">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3D399468">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评分索引表</w:t>
      </w:r>
    </w:p>
    <w:p w14:paraId="3E88CAD6">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p w14:paraId="61B84E55">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一、资格文件</w:t>
      </w:r>
      <w:r>
        <w:rPr>
          <w:rFonts w:hint="eastAsia" w:ascii="宋体" w:hAnsi="宋体" w:eastAsia="宋体" w:cs="宋体"/>
          <w:b/>
          <w:bCs/>
          <w:color w:val="auto"/>
          <w:spacing w:val="0"/>
          <w:kern w:val="0"/>
          <w:sz w:val="21"/>
          <w:szCs w:val="21"/>
          <w:highlight w:val="none"/>
          <w:lang w:val="en-US" w:eastAsia="zh-CN"/>
        </w:rPr>
        <w:t>（单独上传）。资格审查要求的资格证明材料（均需加盖公章）</w:t>
      </w:r>
    </w:p>
    <w:p w14:paraId="0AD5C587">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（一）符合参加政府采购活动应当具备的一般条件的承诺函</w:t>
      </w:r>
    </w:p>
    <w:p w14:paraId="565FB1E6">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（二）有效的法人或者其他组织的营业执照等证明文件，自然人的身份证明（扫描件）</w:t>
      </w:r>
    </w:p>
    <w:p w14:paraId="06F47382">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（三）落实政府采购政策需满足的资格要求：</w:t>
      </w:r>
      <w:r>
        <w:rPr>
          <w:rFonts w:hint="eastAsia" w:ascii="宋体" w:hAnsi="宋体" w:eastAsia="宋体" w:cs="宋体"/>
          <w:i w:val="0"/>
          <w:iCs w:val="0"/>
          <w:color w:val="auto"/>
          <w:kern w:val="0"/>
          <w:sz w:val="21"/>
          <w:szCs w:val="21"/>
          <w:highlight w:val="none"/>
          <w:lang w:val="en-US" w:eastAsia="zh-CN"/>
        </w:rPr>
        <w:t>《中小企业声明函》</w:t>
      </w:r>
      <w:r>
        <w:rPr>
          <w:rFonts w:hint="eastAsia" w:ascii="宋体" w:hAnsi="宋体" w:eastAsia="宋体" w:cs="宋体"/>
          <w:color w:val="auto"/>
          <w:kern w:val="0"/>
          <w:sz w:val="21"/>
          <w:szCs w:val="21"/>
          <w:highlight w:val="none"/>
          <w:lang w:val="en-US" w:eastAsia="zh-CN"/>
        </w:rPr>
        <w:t> </w:t>
      </w:r>
    </w:p>
    <w:p w14:paraId="697BE216">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（四）本项目的特定资格要求</w:t>
      </w:r>
    </w:p>
    <w:p w14:paraId="70261A4C">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（如有）联合协议</w:t>
      </w:r>
    </w:p>
    <w:p w14:paraId="087ABA49">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二、商务和技术文件</w:t>
      </w:r>
      <w:r>
        <w:rPr>
          <w:rFonts w:hint="eastAsia" w:ascii="宋体" w:hAnsi="宋体" w:eastAsia="宋体" w:cs="宋体"/>
          <w:b/>
          <w:bCs/>
          <w:color w:val="auto"/>
          <w:spacing w:val="0"/>
          <w:kern w:val="0"/>
          <w:sz w:val="21"/>
          <w:szCs w:val="21"/>
          <w:highlight w:val="none"/>
          <w:lang w:val="en-US" w:eastAsia="zh-CN"/>
        </w:rPr>
        <w:t>（单独上传）</w:t>
      </w:r>
    </w:p>
    <w:p w14:paraId="5ACB83A5">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（一）响应函</w:t>
      </w:r>
    </w:p>
    <w:p w14:paraId="48C1821A">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（如有）分包意向协议</w:t>
      </w:r>
    </w:p>
    <w:p w14:paraId="5BF058B9">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（二）授权委托书/法定代表人（单位负责人、自然人本人）身份证明</w:t>
      </w:r>
    </w:p>
    <w:p w14:paraId="0734BEA5">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（三）响应标的清单</w:t>
      </w:r>
    </w:p>
    <w:p w14:paraId="7D03F9F7">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（四）响应偏离表</w:t>
      </w:r>
    </w:p>
    <w:p w14:paraId="43D1799E">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（五）评审标准相应的商务和技术资料</w:t>
      </w:r>
    </w:p>
    <w:p w14:paraId="6C34B886">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三、报价文件</w:t>
      </w:r>
      <w:r>
        <w:rPr>
          <w:rFonts w:hint="eastAsia" w:ascii="宋体" w:hAnsi="宋体" w:eastAsia="宋体" w:cs="宋体"/>
          <w:b/>
          <w:bCs/>
          <w:color w:val="auto"/>
          <w:spacing w:val="0"/>
          <w:kern w:val="0"/>
          <w:sz w:val="21"/>
          <w:szCs w:val="21"/>
          <w:highlight w:val="none"/>
          <w:lang w:val="en-US" w:eastAsia="zh-CN"/>
        </w:rPr>
        <w:t>（单独上传）</w:t>
      </w:r>
    </w:p>
    <w:p w14:paraId="48B4E64A">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（一）初次报价一览表</w:t>
      </w:r>
    </w:p>
    <w:p w14:paraId="4C1DFC96">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（如有）报价情况说明</w:t>
      </w:r>
    </w:p>
    <w:p w14:paraId="2EF89E49">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（如有）关于符合本国产品标准的声明函</w:t>
      </w:r>
    </w:p>
    <w:p w14:paraId="1C5B5A2F">
      <w:pPr>
        <w:pStyle w:val="5"/>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响应文件格式</w:t>
      </w:r>
    </w:p>
    <w:p w14:paraId="0DAAC809">
      <w:pPr>
        <w:pStyle w:val="7"/>
        <w:keepNext w:val="0"/>
        <w:keepLines w:val="0"/>
        <w:widowControl/>
        <w:suppressLineNumbers w:val="0"/>
        <w:spacing w:before="0" w:beforeAutospacing="1" w:after="0" w:afterAutospacing="1" w:line="288"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响应文件格式</w:t>
      </w:r>
    </w:p>
    <w:p w14:paraId="0DDB297E">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p>
    <w:p w14:paraId="1FD6B2D1">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编制说明：</w:t>
      </w:r>
    </w:p>
    <w:p w14:paraId="50CC60C4">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1.供应商应按照采购文件规定</w:t>
      </w:r>
      <w:r>
        <w:rPr>
          <w:rFonts w:hint="eastAsia" w:ascii="宋体" w:hAnsi="宋体" w:eastAsia="宋体" w:cs="宋体"/>
          <w:color w:val="auto"/>
          <w:kern w:val="0"/>
          <w:sz w:val="21"/>
          <w:szCs w:val="21"/>
          <w:highlight w:val="none"/>
          <w:lang w:val="en-US" w:eastAsia="zh-CN"/>
        </w:rPr>
        <w:t>的编制要求编制响应文件；</w:t>
      </w:r>
    </w:p>
    <w:p w14:paraId="0228FA85">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2.响应文件编制应与响应情况、评审标准相对应，提供</w:t>
      </w:r>
      <w:r>
        <w:rPr>
          <w:rFonts w:hint="eastAsia" w:ascii="宋体" w:hAnsi="宋体" w:eastAsia="宋体" w:cs="宋体"/>
          <w:b/>
          <w:bCs/>
          <w:color w:val="auto"/>
          <w:spacing w:val="-6"/>
          <w:kern w:val="0"/>
          <w:sz w:val="21"/>
          <w:szCs w:val="21"/>
          <w:highlight w:val="none"/>
          <w:lang w:val="en-US" w:eastAsia="zh-CN"/>
        </w:rPr>
        <w:t>有效资料信息</w:t>
      </w:r>
      <w:r>
        <w:rPr>
          <w:rFonts w:hint="eastAsia" w:ascii="宋体" w:hAnsi="宋体" w:eastAsia="宋体" w:cs="宋体"/>
          <w:color w:val="auto"/>
          <w:spacing w:val="-6"/>
          <w:kern w:val="0"/>
          <w:sz w:val="21"/>
          <w:szCs w:val="21"/>
          <w:highlight w:val="none"/>
          <w:lang w:val="en-US" w:eastAsia="zh-CN"/>
        </w:rPr>
        <w:t>，</w:t>
      </w:r>
      <w:r>
        <w:rPr>
          <w:rFonts w:hint="eastAsia" w:ascii="宋体" w:hAnsi="宋体" w:eastAsia="宋体" w:cs="宋体"/>
          <w:b/>
          <w:bCs/>
          <w:color w:val="auto"/>
          <w:spacing w:val="-6"/>
          <w:kern w:val="0"/>
          <w:sz w:val="21"/>
          <w:szCs w:val="21"/>
          <w:highlight w:val="none"/>
          <w:lang w:val="en-US" w:eastAsia="zh-CN"/>
        </w:rPr>
        <w:t>控制篇幅（页数）</w:t>
      </w:r>
      <w:r>
        <w:rPr>
          <w:rFonts w:hint="eastAsia" w:ascii="宋体" w:hAnsi="宋体" w:eastAsia="宋体" w:cs="宋体"/>
          <w:color w:val="auto"/>
          <w:spacing w:val="-6"/>
          <w:kern w:val="0"/>
          <w:sz w:val="21"/>
          <w:szCs w:val="21"/>
          <w:highlight w:val="none"/>
          <w:lang w:val="en-US" w:eastAsia="zh-CN"/>
        </w:rPr>
        <w:t>；</w:t>
      </w:r>
    </w:p>
    <w:p w14:paraId="5FB32131">
      <w:pPr>
        <w:keepNext w:val="0"/>
        <w:keepLines w:val="0"/>
        <w:widowControl/>
        <w:suppressLineNumbers w:val="0"/>
        <w:autoSpaceDE w:val="0"/>
        <w:autoSpaceDN/>
        <w:spacing w:line="288" w:lineRule="auto"/>
        <w:ind w:left="0" w:firstLine="398"/>
        <w:jc w:val="left"/>
        <w:rPr>
          <w:rFonts w:hint="eastAsia" w:ascii="宋体" w:hAnsi="宋体" w:eastAsia="宋体" w:cs="宋体"/>
          <w:color w:val="auto"/>
          <w:sz w:val="21"/>
          <w:szCs w:val="21"/>
          <w:highlight w:val="none"/>
        </w:rPr>
      </w:pPr>
    </w:p>
    <w:p w14:paraId="7E67D434">
      <w:pPr>
        <w:keepNext w:val="0"/>
        <w:keepLines w:val="0"/>
        <w:widowControl/>
        <w:suppressLineNumbers w:val="0"/>
        <w:tabs>
          <w:tab w:val="center" w:pos="4706"/>
        </w:tabs>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评分索引表（标项：  ）</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9"/>
        <w:gridCol w:w="2116"/>
        <w:gridCol w:w="717"/>
        <w:gridCol w:w="946"/>
        <w:gridCol w:w="3269"/>
        <w:gridCol w:w="880"/>
        <w:gridCol w:w="893"/>
      </w:tblGrid>
      <w:tr w14:paraId="11B4FD4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316D7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序号</w:t>
            </w:r>
          </w:p>
        </w:tc>
        <w:tc>
          <w:tcPr>
            <w:tcW w:w="209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6FAAA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评审因素</w:t>
            </w:r>
          </w:p>
        </w:tc>
        <w:tc>
          <w:tcPr>
            <w:tcW w:w="71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82081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分值</w:t>
            </w:r>
          </w:p>
        </w:tc>
        <w:tc>
          <w:tcPr>
            <w:tcW w:w="93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A31300">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主/客观分属性</w:t>
            </w:r>
          </w:p>
        </w:tc>
        <w:tc>
          <w:tcPr>
            <w:tcW w:w="323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C117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评审标准</w:t>
            </w:r>
          </w:p>
        </w:tc>
        <w:tc>
          <w:tcPr>
            <w:tcW w:w="87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1D47D5">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自评分</w:t>
            </w:r>
          </w:p>
        </w:tc>
        <w:tc>
          <w:tcPr>
            <w:tcW w:w="88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A3AD86">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页码</w:t>
            </w:r>
          </w:p>
        </w:tc>
      </w:tr>
      <w:tr w14:paraId="5AA1209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0DEC4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C7BC5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E9ABA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B83ED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B4E86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5004D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D48DA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r>
      <w:tr w14:paraId="70D324B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5A480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90390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E11D4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6A65D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C6F5C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FFC1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E353F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r>
      <w:tr w14:paraId="7771BAC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8FF1B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52BF8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12C0E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5D46B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C9DD4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EE578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A8EF3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r>
      <w:tr w14:paraId="1EC016E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4767E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CF05B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449D1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43107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6169C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664D4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60F15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r>
      <w:tr w14:paraId="1F550C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6B618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381ED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C7D6B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85A84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D52FF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4102E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DBA35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r>
      <w:tr w14:paraId="30101ED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2FB7B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7CEF3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A87AA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4114C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2A397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D247C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157BB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r>
      <w:tr w14:paraId="24B3C99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23EA3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DCDA0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E2CD1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BBE56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E5C45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30FCE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EBDD8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r>
      <w:tr w14:paraId="7BA29E4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F0B5C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06F41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58AAD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703A0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7A88E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54183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4C149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r>
      <w:tr w14:paraId="165AA81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104E1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CC2CF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B68D5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3B5B3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846AA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78849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7EFDE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r>
      <w:tr w14:paraId="1C64333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8D390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23F74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3EB0B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BC18E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B0CDE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2727F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85F72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r>
      <w:tr w14:paraId="258FB43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2433A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4212A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C1761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9995C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183E1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51BD9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E0086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r>
    </w:tbl>
    <w:p w14:paraId="0860BBF9">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5B4DD683">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备注：本表仅为方便评审使用，不作为判别响应文件是否有效的依据。</w:t>
      </w:r>
    </w:p>
    <w:p w14:paraId="749968DB">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p>
    <w:p w14:paraId="35DFFD81">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br w:type="page"/>
      </w:r>
      <w:r>
        <w:rPr>
          <w:rFonts w:hint="eastAsia" w:ascii="宋体" w:hAnsi="宋体" w:eastAsia="宋体" w:cs="宋体"/>
          <w:b/>
          <w:bCs/>
          <w:color w:val="auto"/>
          <w:spacing w:val="-6"/>
          <w:kern w:val="0"/>
          <w:sz w:val="21"/>
          <w:szCs w:val="21"/>
          <w:highlight w:val="none"/>
          <w:lang w:val="en-US" w:eastAsia="zh-CN"/>
        </w:rPr>
        <w:t>一、资格文件（标项：  ）</w:t>
      </w:r>
    </w:p>
    <w:p w14:paraId="495B672A">
      <w:pPr>
        <w:keepNext w:val="0"/>
        <w:keepLines w:val="0"/>
        <w:widowControl/>
        <w:suppressLineNumbers w:val="0"/>
        <w:autoSpaceDE w:val="0"/>
        <w:autoSpaceDN/>
        <w:spacing w:line="288" w:lineRule="auto"/>
        <w:ind w:left="0" w:firstLine="0"/>
        <w:jc w:val="both"/>
        <w:rPr>
          <w:rFonts w:hint="eastAsia" w:ascii="宋体" w:hAnsi="宋体" w:eastAsia="宋体" w:cs="宋体"/>
          <w:color w:val="auto"/>
          <w:sz w:val="21"/>
          <w:szCs w:val="21"/>
          <w:highlight w:val="none"/>
        </w:rPr>
      </w:pPr>
    </w:p>
    <w:p w14:paraId="6CBD1CB4">
      <w:pPr>
        <w:keepNext w:val="0"/>
        <w:keepLines w:val="0"/>
        <w:widowControl/>
        <w:suppressLineNumbers w:val="0"/>
        <w:autoSpaceDE w:val="0"/>
        <w:autoSpaceDN/>
        <w:spacing w:line="288" w:lineRule="auto"/>
        <w:ind w:left="0" w:firstLine="0"/>
        <w:jc w:val="both"/>
        <w:rPr>
          <w:rFonts w:hint="eastAsia" w:ascii="宋体" w:hAnsi="宋体" w:eastAsia="宋体" w:cs="宋体"/>
          <w:color w:val="auto"/>
          <w:sz w:val="21"/>
          <w:szCs w:val="21"/>
          <w:highlight w:val="none"/>
        </w:rPr>
      </w:pPr>
    </w:p>
    <w:p w14:paraId="582B0114">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（一）符合参加政府采购活动应当具备的一般条件的承诺函</w:t>
      </w:r>
    </w:p>
    <w:p w14:paraId="26288062">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p>
    <w:p w14:paraId="1642F05F">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u w:val="single"/>
          <w:lang w:val="en-US" w:eastAsia="zh-CN"/>
        </w:rPr>
        <w:t>（</w:t>
      </w:r>
      <w:r>
        <w:rPr>
          <w:rFonts w:hint="eastAsia" w:ascii="宋体" w:hAnsi="宋体" w:eastAsia="宋体" w:cs="宋体"/>
          <w:i w:val="0"/>
          <w:iCs w:val="0"/>
          <w:color w:val="auto"/>
          <w:spacing w:val="-6"/>
          <w:kern w:val="0"/>
          <w:sz w:val="21"/>
          <w:szCs w:val="21"/>
          <w:highlight w:val="none"/>
          <w:u w:val="single"/>
          <w:lang w:val="en-US" w:eastAsia="zh-CN"/>
        </w:rPr>
        <w:t>浙江交通职业技术学院</w:t>
      </w:r>
      <w:r>
        <w:rPr>
          <w:rFonts w:hint="eastAsia" w:ascii="宋体" w:hAnsi="宋体" w:eastAsia="宋体" w:cs="宋体"/>
          <w:color w:val="auto"/>
          <w:spacing w:val="-6"/>
          <w:kern w:val="0"/>
          <w:sz w:val="21"/>
          <w:szCs w:val="21"/>
          <w:highlight w:val="none"/>
          <w:u w:val="single"/>
          <w:lang w:val="en-US" w:eastAsia="zh-CN"/>
        </w:rPr>
        <w:t>）、（</w:t>
      </w:r>
      <w:r>
        <w:rPr>
          <w:rFonts w:hint="eastAsia" w:ascii="宋体" w:hAnsi="宋体" w:eastAsia="宋体" w:cs="宋体"/>
          <w:i w:val="0"/>
          <w:iCs w:val="0"/>
          <w:color w:val="auto"/>
          <w:spacing w:val="-6"/>
          <w:kern w:val="0"/>
          <w:sz w:val="21"/>
          <w:szCs w:val="21"/>
          <w:highlight w:val="none"/>
          <w:u w:val="single"/>
          <w:lang w:val="en-US" w:eastAsia="zh-CN"/>
        </w:rPr>
        <w:t>浙江求是招标代理有限公司</w:t>
      </w:r>
      <w:r>
        <w:rPr>
          <w:rFonts w:hint="eastAsia" w:ascii="宋体" w:hAnsi="宋体" w:eastAsia="宋体" w:cs="宋体"/>
          <w:color w:val="auto"/>
          <w:spacing w:val="-6"/>
          <w:kern w:val="0"/>
          <w:sz w:val="21"/>
          <w:szCs w:val="21"/>
          <w:highlight w:val="none"/>
          <w:u w:val="single"/>
          <w:lang w:val="en-US" w:eastAsia="zh-CN"/>
        </w:rPr>
        <w:t>）：</w:t>
      </w:r>
    </w:p>
    <w:p w14:paraId="7F334D5B">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我方参与</w:t>
      </w:r>
      <w:r>
        <w:rPr>
          <w:rFonts w:hint="eastAsia" w:ascii="宋体" w:hAnsi="宋体" w:eastAsia="宋体" w:cs="宋体"/>
          <w:color w:val="auto"/>
          <w:kern w:val="0"/>
          <w:sz w:val="21"/>
          <w:szCs w:val="21"/>
          <w:highlight w:val="none"/>
          <w:u w:val="single"/>
          <w:lang w:val="en-US" w:eastAsia="zh-CN"/>
        </w:rPr>
        <w:t>（项目名称：</w:t>
      </w:r>
      <w:r>
        <w:rPr>
          <w:rFonts w:hint="eastAsia" w:ascii="宋体" w:hAnsi="宋体" w:eastAsia="宋体" w:cs="宋体"/>
          <w:i w:val="0"/>
          <w:iCs w:val="0"/>
          <w:color w:val="auto"/>
          <w:kern w:val="0"/>
          <w:sz w:val="21"/>
          <w:szCs w:val="21"/>
          <w:highlight w:val="none"/>
          <w:u w:val="single"/>
          <w:lang w:val="en-US" w:eastAsia="zh-CN"/>
        </w:rPr>
        <w:t>廉政风险防控管理系统项目（二期）</w:t>
      </w:r>
      <w:r>
        <w:rPr>
          <w:rFonts w:hint="eastAsia" w:ascii="宋体" w:hAnsi="宋体" w:eastAsia="宋体" w:cs="宋体"/>
          <w:color w:val="auto"/>
          <w:kern w:val="0"/>
          <w:sz w:val="21"/>
          <w:szCs w:val="21"/>
          <w:highlight w:val="none"/>
          <w:u w:val="single"/>
          <w:lang w:val="en-US" w:eastAsia="zh-CN"/>
        </w:rPr>
        <w:t>，项目编号：</w:t>
      </w:r>
      <w:r>
        <w:rPr>
          <w:rFonts w:hint="eastAsia" w:ascii="宋体" w:hAnsi="宋体" w:eastAsia="宋体" w:cs="宋体"/>
          <w:i w:val="0"/>
          <w:iCs w:val="0"/>
          <w:color w:val="auto"/>
          <w:kern w:val="0"/>
          <w:sz w:val="21"/>
          <w:szCs w:val="21"/>
          <w:highlight w:val="none"/>
          <w:u w:val="single"/>
          <w:lang w:val="en-US" w:eastAsia="zh-CN"/>
        </w:rPr>
        <w:t>330000263030390000079-QSZBC260131ZFCS</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spacing w:val="-6"/>
          <w:kern w:val="0"/>
          <w:sz w:val="21"/>
          <w:szCs w:val="21"/>
          <w:highlight w:val="none"/>
          <w:lang w:val="en-US" w:eastAsia="zh-CN"/>
        </w:rPr>
        <w:t>政府采购活动，郑重承诺：</w:t>
      </w:r>
    </w:p>
    <w:p w14:paraId="58F083C8">
      <w:pPr>
        <w:keepNext w:val="0"/>
        <w:keepLines w:val="0"/>
        <w:widowControl/>
        <w:suppressLineNumbers w:val="0"/>
        <w:autoSpaceDE w:val="0"/>
        <w:autoSpaceDN/>
        <w:spacing w:line="288" w:lineRule="auto"/>
        <w:ind w:left="0" w:firstLine="398"/>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1.具备《中华人民共和国政府采购法》第二十二条第一款规定的条件：</w:t>
      </w:r>
    </w:p>
    <w:p w14:paraId="503BC3C5">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（1）具有独立承担民事责任的能力；</w:t>
      </w:r>
    </w:p>
    <w:p w14:paraId="5D6C7756">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（2）具有良好的商业信誉和健全的财务会计制度；</w:t>
      </w:r>
    </w:p>
    <w:p w14:paraId="03D9BD14">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（3）具有履行合同所必需的设备和专业技术能力；</w:t>
      </w:r>
    </w:p>
    <w:p w14:paraId="0E9431A2">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（4）有依法缴纳税收和社会保障资金的良好记录；</w:t>
      </w:r>
    </w:p>
    <w:p w14:paraId="2E5FE0A8">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（5）参加政府采购活动前三年内，在经营活动中没有重大违法记录；</w:t>
      </w:r>
    </w:p>
    <w:p w14:paraId="5E96971C">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（6）具有法律、行政法规规定的其他条件。</w:t>
      </w:r>
    </w:p>
    <w:p w14:paraId="2F9DC56A">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2.未被信用中国（www.creditchina.gov.cn)、中国政府采购网（www.ccgp.gov.cn）列入失信被执行人、重大税收违法失信主体名单、政府采购严重违法失信行为记录名单。</w:t>
      </w:r>
    </w:p>
    <w:p w14:paraId="558D6CBC">
      <w:pPr>
        <w:keepNext w:val="0"/>
        <w:keepLines w:val="0"/>
        <w:widowControl/>
        <w:suppressLineNumbers w:val="0"/>
        <w:autoSpaceDE w:val="0"/>
        <w:autoSpaceDN/>
        <w:spacing w:line="288" w:lineRule="auto"/>
        <w:ind w:left="0" w:firstLine="398"/>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3.不存在以下情况：</w:t>
      </w:r>
    </w:p>
    <w:p w14:paraId="372FDB13">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（1）单位负责人为同一人或者存在直接控股、管理关系的不同供应商参加同一合同项下的政府采购活动的；</w:t>
      </w:r>
    </w:p>
    <w:p w14:paraId="7D4806D9">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（2）为采购项目提供整体设计、规范编制或者项目管理、监理、检测等服务后再参加该采购项目的其他采购活动的；</w:t>
      </w:r>
    </w:p>
    <w:p w14:paraId="1EB1C85A">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（3）政府购买服务的项目，公益一类事业单位、使用事业编制且由财政拨款保障的群团组织不得作为承接主体。</w:t>
      </w:r>
    </w:p>
    <w:p w14:paraId="15DEFAE9">
      <w:pPr>
        <w:keepNext w:val="0"/>
        <w:keepLines w:val="0"/>
        <w:widowControl/>
        <w:suppressLineNumbers w:val="0"/>
        <w:autoSpaceDE w:val="0"/>
        <w:autoSpaceDN/>
        <w:spacing w:line="288" w:lineRule="auto"/>
        <w:ind w:left="0" w:firstLine="396"/>
        <w:jc w:val="left"/>
        <w:rPr>
          <w:rFonts w:hint="eastAsia" w:ascii="宋体" w:hAnsi="宋体" w:eastAsia="宋体" w:cs="宋体"/>
          <w:color w:val="auto"/>
          <w:sz w:val="21"/>
          <w:szCs w:val="21"/>
          <w:highlight w:val="none"/>
        </w:rPr>
      </w:pPr>
    </w:p>
    <w:p w14:paraId="14947DEC">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供应商名称（电子签名/公章）：    （▲联合体响应的，为联合体成员各方）</w:t>
      </w:r>
    </w:p>
    <w:p w14:paraId="7B4FC32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3604007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日期：    年  月  日</w:t>
      </w:r>
    </w:p>
    <w:p w14:paraId="1F56AE3F">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45F39CB1">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br w:type="page"/>
      </w:r>
      <w:r>
        <w:rPr>
          <w:rFonts w:hint="eastAsia" w:ascii="宋体" w:hAnsi="宋体" w:eastAsia="宋体" w:cs="宋体"/>
          <w:b/>
          <w:bCs/>
          <w:color w:val="auto"/>
          <w:spacing w:val="-6"/>
          <w:kern w:val="0"/>
          <w:sz w:val="21"/>
          <w:szCs w:val="21"/>
          <w:highlight w:val="none"/>
          <w:lang w:val="en-US" w:eastAsia="zh-CN"/>
        </w:rPr>
        <w:t>（二）有效的法人或者其他组织的营业执照等证明文件，自然人的身份证明（扫描件）</w:t>
      </w:r>
    </w:p>
    <w:p w14:paraId="7F31B1D5">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p>
    <w:p w14:paraId="26E1516E">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（▲联合体响应的，联合体成员各方均需提供）</w:t>
      </w:r>
    </w:p>
    <w:p w14:paraId="0D1E481C">
      <w:pPr>
        <w:keepNext w:val="0"/>
        <w:keepLines w:val="0"/>
        <w:widowControl/>
        <w:suppressLineNumbers w:val="0"/>
        <w:autoSpaceDE w:val="0"/>
        <w:autoSpaceDN/>
        <w:spacing w:line="288" w:lineRule="auto"/>
        <w:ind w:left="0" w:firstLine="396"/>
        <w:jc w:val="both"/>
        <w:rPr>
          <w:rFonts w:hint="eastAsia" w:ascii="宋体" w:hAnsi="宋体" w:eastAsia="宋体" w:cs="宋体"/>
          <w:color w:val="auto"/>
          <w:sz w:val="21"/>
          <w:szCs w:val="21"/>
          <w:highlight w:val="none"/>
        </w:rPr>
      </w:pPr>
    </w:p>
    <w:p w14:paraId="2112BCD4">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说明：</w:t>
      </w:r>
    </w:p>
    <w:p w14:paraId="03CC59D1">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1.如供应商是企业（包括合伙企业），提供在工商部门注册的有效“企业法人营业执照”或“营业执照”；</w:t>
      </w:r>
    </w:p>
    <w:p w14:paraId="335297EF">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2.如供应商是事业单位，提供有效的“事业单位法人证书”；</w:t>
      </w:r>
    </w:p>
    <w:p w14:paraId="277F0D28">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3.如供应商是非企业专业服务机构的，提供执业许可证等证明文件；</w:t>
      </w:r>
    </w:p>
    <w:p w14:paraId="6604A047">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4.如供应商是个体工商户，提供有效的“个体工商户营业执照”；</w:t>
      </w:r>
    </w:p>
    <w:p w14:paraId="449829DE">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5.如供应商是自然人，提供有效的自然人身份证明。</w:t>
      </w:r>
    </w:p>
    <w:p w14:paraId="07F8CDA8">
      <w:pPr>
        <w:keepNext w:val="0"/>
        <w:keepLines w:val="0"/>
        <w:widowControl/>
        <w:suppressLineNumbers w:val="0"/>
        <w:autoSpaceDE w:val="0"/>
        <w:autoSpaceDN/>
        <w:spacing w:line="288" w:lineRule="auto"/>
        <w:ind w:left="0" w:firstLine="0"/>
        <w:jc w:val="left"/>
        <w:rPr>
          <w:rFonts w:hint="eastAsia" w:ascii="宋体" w:hAnsi="宋体" w:eastAsia="宋体" w:cs="宋体"/>
          <w:color w:val="auto"/>
          <w:spacing w:val="0"/>
          <w:sz w:val="21"/>
          <w:szCs w:val="21"/>
          <w:highlight w:val="none"/>
        </w:rPr>
      </w:pPr>
    </w:p>
    <w:p w14:paraId="76872F25">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（三）落实政府采购政策需满足的资格要求：根据响应邀请“申请人的资格要求”提供。如：《中小企业声明函》（附件1）、《联合协议》（附件4）、《分包意向协议》（附件5）等。</w:t>
      </w:r>
    </w:p>
    <w:p w14:paraId="69AA2D78">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51ED7128">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w:t>
      </w:r>
      <w:r>
        <w:rPr>
          <w:rFonts w:hint="eastAsia" w:ascii="宋体" w:hAnsi="宋体" w:eastAsia="宋体" w:cs="宋体"/>
          <w:b/>
          <w:bCs/>
          <w:i w:val="0"/>
          <w:iCs w:val="0"/>
          <w:color w:val="auto"/>
          <w:kern w:val="0"/>
          <w:sz w:val="21"/>
          <w:szCs w:val="21"/>
          <w:highlight w:val="none"/>
          <w:lang w:val="en-US" w:eastAsia="zh-CN"/>
        </w:rPr>
        <w:t>四</w:t>
      </w:r>
      <w:r>
        <w:rPr>
          <w:rFonts w:hint="eastAsia" w:ascii="宋体" w:hAnsi="宋体" w:eastAsia="宋体" w:cs="宋体"/>
          <w:b/>
          <w:bCs/>
          <w:color w:val="auto"/>
          <w:kern w:val="0"/>
          <w:sz w:val="21"/>
          <w:szCs w:val="21"/>
          <w:highlight w:val="none"/>
          <w:lang w:val="en-US" w:eastAsia="zh-CN"/>
        </w:rPr>
        <w:t>）本项目的特定资格要求</w:t>
      </w:r>
    </w:p>
    <w:p w14:paraId="4E3896F8">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根据响应邀请“申请人的资格要求”提供。</w:t>
      </w:r>
    </w:p>
    <w:p w14:paraId="3D869703">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7D083110">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（如有）联合协议。仅适用于：供应商以“联合体”形式响应的情形。《联合协议》（附件4）</w:t>
      </w:r>
    </w:p>
    <w:p w14:paraId="1455F871">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p>
    <w:p w14:paraId="53D7C3E2">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br w:type="page"/>
      </w:r>
      <w:r>
        <w:rPr>
          <w:rFonts w:hint="eastAsia" w:ascii="宋体" w:hAnsi="宋体" w:eastAsia="宋体" w:cs="宋体"/>
          <w:b/>
          <w:bCs/>
          <w:color w:val="auto"/>
          <w:spacing w:val="-6"/>
          <w:kern w:val="0"/>
          <w:sz w:val="21"/>
          <w:szCs w:val="21"/>
          <w:highlight w:val="none"/>
          <w:lang w:val="en-US" w:eastAsia="zh-CN"/>
        </w:rPr>
        <w:t>二、商务和技术文件（标项：  ）</w:t>
      </w:r>
    </w:p>
    <w:p w14:paraId="1B40AD67">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67465462">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（一）响应函</w:t>
      </w:r>
    </w:p>
    <w:p w14:paraId="0463234F">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p>
    <w:p w14:paraId="5E5DA399">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i w:val="0"/>
          <w:iCs w:val="0"/>
          <w:color w:val="auto"/>
          <w:kern w:val="0"/>
          <w:sz w:val="21"/>
          <w:szCs w:val="21"/>
          <w:highlight w:val="none"/>
          <w:u w:val="single"/>
          <w:lang w:val="en-US" w:eastAsia="zh-CN"/>
        </w:rPr>
        <w:t>浙江交通职业技术学院</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i w:val="0"/>
          <w:iCs w:val="0"/>
          <w:color w:val="auto"/>
          <w:kern w:val="0"/>
          <w:sz w:val="21"/>
          <w:szCs w:val="21"/>
          <w:highlight w:val="none"/>
          <w:u w:val="single"/>
          <w:lang w:val="en-US" w:eastAsia="zh-CN"/>
        </w:rPr>
        <w:t>浙江求是招标代理有限公司</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lang w:val="en-US" w:eastAsia="zh-CN"/>
        </w:rPr>
        <w:t>：</w:t>
      </w:r>
    </w:p>
    <w:p w14:paraId="4AEA6F0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我方参加</w:t>
      </w:r>
      <w:r>
        <w:rPr>
          <w:rFonts w:hint="eastAsia" w:ascii="宋体" w:hAnsi="宋体" w:eastAsia="宋体" w:cs="宋体"/>
          <w:color w:val="auto"/>
          <w:kern w:val="0"/>
          <w:sz w:val="21"/>
          <w:szCs w:val="21"/>
          <w:highlight w:val="none"/>
          <w:u w:val="single"/>
          <w:lang w:val="en-US" w:eastAsia="zh-CN"/>
        </w:rPr>
        <w:t>（项目名称：</w:t>
      </w:r>
      <w:r>
        <w:rPr>
          <w:rFonts w:hint="eastAsia" w:ascii="宋体" w:hAnsi="宋体" w:eastAsia="宋体" w:cs="宋体"/>
          <w:i w:val="0"/>
          <w:iCs w:val="0"/>
          <w:color w:val="auto"/>
          <w:kern w:val="0"/>
          <w:sz w:val="21"/>
          <w:szCs w:val="21"/>
          <w:highlight w:val="none"/>
          <w:u w:val="single"/>
          <w:lang w:val="en-US" w:eastAsia="zh-CN"/>
        </w:rPr>
        <w:t>廉政风险防控管理系统项目（二期）</w:t>
      </w:r>
      <w:r>
        <w:rPr>
          <w:rFonts w:hint="eastAsia" w:ascii="宋体" w:hAnsi="宋体" w:eastAsia="宋体" w:cs="宋体"/>
          <w:color w:val="auto"/>
          <w:kern w:val="0"/>
          <w:sz w:val="21"/>
          <w:szCs w:val="21"/>
          <w:highlight w:val="none"/>
          <w:u w:val="single"/>
          <w:lang w:val="en-US" w:eastAsia="zh-CN"/>
        </w:rPr>
        <w:t>，项目编号：</w:t>
      </w:r>
      <w:r>
        <w:rPr>
          <w:rFonts w:hint="eastAsia" w:ascii="宋体" w:hAnsi="宋体" w:eastAsia="宋体" w:cs="宋体"/>
          <w:i w:val="0"/>
          <w:iCs w:val="0"/>
          <w:color w:val="auto"/>
          <w:kern w:val="0"/>
          <w:sz w:val="21"/>
          <w:szCs w:val="21"/>
          <w:highlight w:val="none"/>
          <w:u w:val="single"/>
          <w:lang w:val="en-US" w:eastAsia="zh-CN"/>
        </w:rPr>
        <w:t>330000263030390000079-QSZBC260131ZFCS</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lang w:val="en-US" w:eastAsia="zh-CN"/>
        </w:rPr>
        <w:t>采购的有关活动，并对此项目进行响应。为此：</w:t>
      </w:r>
    </w:p>
    <w:p w14:paraId="16FB29E0">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1.我方的响应文件包括资格文件、商务和技术文件、报价文件。</w:t>
      </w:r>
    </w:p>
    <w:p w14:paraId="22BC1737">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2.我方承诺响应有效期从响应截止日起</w:t>
      </w:r>
      <w:r>
        <w:rPr>
          <w:rFonts w:hint="eastAsia" w:ascii="宋体" w:hAnsi="宋体" w:eastAsia="宋体" w:cs="宋体"/>
          <w:color w:val="auto"/>
          <w:kern w:val="0"/>
          <w:sz w:val="21"/>
          <w:szCs w:val="21"/>
          <w:highlight w:val="none"/>
          <w:u w:val="single"/>
          <w:lang w:val="en-US" w:eastAsia="zh-CN"/>
        </w:rPr>
        <w:t>【 】</w:t>
      </w:r>
      <w:r>
        <w:rPr>
          <w:rFonts w:hint="eastAsia" w:ascii="宋体" w:hAnsi="宋体" w:eastAsia="宋体" w:cs="宋体"/>
          <w:color w:val="auto"/>
          <w:kern w:val="0"/>
          <w:sz w:val="21"/>
          <w:szCs w:val="21"/>
          <w:highlight w:val="none"/>
          <w:lang w:val="en-US" w:eastAsia="zh-CN"/>
        </w:rPr>
        <w:t>天（不少于90天），本响应文件在响应有效期满之前均具有约束力。</w:t>
      </w:r>
    </w:p>
    <w:p w14:paraId="328FF56E">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3.我方承诺除响应偏离表列出的偏离外，我方响应采购文件的全部要求。对响应文件中材料的真实性、合法性负责。</w:t>
      </w:r>
    </w:p>
    <w:p w14:paraId="13C79F7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4.如我方成交，我方承诺：</w:t>
      </w:r>
    </w:p>
    <w:p w14:paraId="26D1411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（1）在收到成交通知书后，在成交通知书规定的期限内与你方签订合同；</w:t>
      </w:r>
    </w:p>
    <w:p w14:paraId="43A22EB5">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（2）在签订合同时不向你方提出附加条件；</w:t>
      </w:r>
    </w:p>
    <w:p w14:paraId="56437F67">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（3）按照采购文件要求交纳采购代理服务费等应付费用；</w:t>
      </w:r>
    </w:p>
    <w:p w14:paraId="18B51E58">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（4）按照采购文件要求提交履约保证金；</w:t>
      </w:r>
    </w:p>
    <w:p w14:paraId="3C894017">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（5）在合同约定的期限内履行合同规定的全部义务。</w:t>
      </w:r>
    </w:p>
    <w:p w14:paraId="0A83D254">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6）对通过电子交易平台进行的质疑、投诉等活动，我方承诺并接受平台以电子送达的方式送达相关文书。我方认可电子送达与邮寄送达具有同等法律效力，以文书到达电子交易平台日期为送达日期，本公司保证电子交易平台账号真实有效。</w:t>
      </w:r>
    </w:p>
    <w:p w14:paraId="4104C6AC">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（7）其他补充说明：</w:t>
      </w:r>
    </w:p>
    <w:p w14:paraId="61AA0480">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（8）联系方式：</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82"/>
        <w:gridCol w:w="7728"/>
      </w:tblGrid>
      <w:tr w14:paraId="14916B7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tcPr>
          <w:p w14:paraId="509A1F8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项目联系人：</w:t>
            </w:r>
          </w:p>
        </w:tc>
        <w:tc>
          <w:tcPr>
            <w:tcW w:w="725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tcPr>
          <w:p w14:paraId="6F47AB3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r>
      <w:tr w14:paraId="6FEB7DC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tcPr>
          <w:p w14:paraId="62E42B4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职务：</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tcPr>
          <w:p w14:paraId="5F5D247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r>
      <w:tr w14:paraId="50E334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tcPr>
          <w:p w14:paraId="2521F78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手机：</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tcPr>
          <w:p w14:paraId="6171B6F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r>
      <w:tr w14:paraId="065FDCD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tcPr>
          <w:p w14:paraId="091CBF8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电子邮箱：</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tcPr>
          <w:p w14:paraId="037F113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r>
      <w:tr w14:paraId="7575BB4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tcPr>
          <w:p w14:paraId="269ECD2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地址：</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tcPr>
          <w:p w14:paraId="5623A68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 </w:t>
            </w:r>
          </w:p>
        </w:tc>
      </w:tr>
    </w:tbl>
    <w:p w14:paraId="626FA5F7">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04F312CC">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供应商名称（电子签名/公章）：</w:t>
      </w:r>
    </w:p>
    <w:p w14:paraId="006AD1AB">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日期：    年  月  日</w:t>
      </w:r>
    </w:p>
    <w:p w14:paraId="1B25766F">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0DBCDD26">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注：按本格式和要求提供。</w:t>
      </w:r>
    </w:p>
    <w:p w14:paraId="22105CFC">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53693E03">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（如有）分包意向协议。注：1.仅适用于：成交后以分包方式履行合同的，提供《分包意向协议》（附件5）；2.分包内容，应在采购文件规定的“允许分包”范围之内；</w:t>
      </w:r>
    </w:p>
    <w:p w14:paraId="369F4A73">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07295D76">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kern w:val="0"/>
          <w:sz w:val="21"/>
          <w:szCs w:val="21"/>
          <w:highlight w:val="none"/>
          <w:lang w:val="en-US" w:eastAsia="zh-CN"/>
        </w:rPr>
        <w:t>（二）授权委托书 / 法定代表人（单位负责人、自然人本人）</w:t>
      </w:r>
      <w:r>
        <w:rPr>
          <w:rFonts w:hint="eastAsia" w:ascii="宋体" w:hAnsi="宋体" w:eastAsia="宋体" w:cs="宋体"/>
          <w:b/>
          <w:bCs/>
          <w:color w:val="auto"/>
          <w:spacing w:val="-6"/>
          <w:kern w:val="0"/>
          <w:sz w:val="21"/>
          <w:szCs w:val="21"/>
          <w:highlight w:val="none"/>
          <w:lang w:val="en-US" w:eastAsia="zh-CN"/>
        </w:rPr>
        <w:t>身份证明</w:t>
      </w:r>
    </w:p>
    <w:p w14:paraId="2811F0E3">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1CFDDF83">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授权委托书</w:t>
      </w:r>
    </w:p>
    <w:p w14:paraId="4756247A">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iCs w:val="0"/>
          <w:color w:val="auto"/>
          <w:kern w:val="0"/>
          <w:sz w:val="21"/>
          <w:szCs w:val="21"/>
          <w:highlight w:val="none"/>
          <w:lang w:val="en-US" w:eastAsia="zh-CN"/>
        </w:rPr>
        <w:t>浙江交通职业技术学院</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i w:val="0"/>
          <w:iCs w:val="0"/>
          <w:color w:val="auto"/>
          <w:kern w:val="0"/>
          <w:sz w:val="21"/>
          <w:szCs w:val="21"/>
          <w:highlight w:val="none"/>
          <w:lang w:val="en-US" w:eastAsia="zh-CN"/>
        </w:rPr>
        <w:t>浙江求是招标代理有限公司</w:t>
      </w:r>
      <w:r>
        <w:rPr>
          <w:rFonts w:hint="eastAsia" w:ascii="宋体" w:hAnsi="宋体" w:eastAsia="宋体" w:cs="宋体"/>
          <w:color w:val="auto"/>
          <w:kern w:val="0"/>
          <w:sz w:val="21"/>
          <w:szCs w:val="21"/>
          <w:highlight w:val="none"/>
          <w:lang w:val="en-US" w:eastAsia="zh-CN"/>
        </w:rPr>
        <w:t>）：</w:t>
      </w:r>
    </w:p>
    <w:p w14:paraId="270C2C63">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现委托</w:t>
      </w:r>
      <w:r>
        <w:rPr>
          <w:rFonts w:hint="eastAsia" w:ascii="宋体" w:hAnsi="宋体" w:eastAsia="宋体" w:cs="宋体"/>
          <w:color w:val="auto"/>
          <w:kern w:val="0"/>
          <w:sz w:val="21"/>
          <w:szCs w:val="21"/>
          <w:highlight w:val="none"/>
          <w:u w:val="single"/>
          <w:lang w:val="en-US" w:eastAsia="zh-CN"/>
        </w:rPr>
        <w:t>（姓名：        ，身份证号码：        ，所在单位：        ，手机：        ）</w:t>
      </w:r>
      <w:r>
        <w:rPr>
          <w:rFonts w:hint="eastAsia" w:ascii="宋体" w:hAnsi="宋体" w:eastAsia="宋体" w:cs="宋体"/>
          <w:color w:val="auto"/>
          <w:kern w:val="0"/>
          <w:sz w:val="21"/>
          <w:szCs w:val="21"/>
          <w:highlight w:val="none"/>
          <w:lang w:val="en-US" w:eastAsia="zh-CN"/>
        </w:rPr>
        <w:t>为我方代理人，以我方名义处理</w:t>
      </w:r>
      <w:r>
        <w:rPr>
          <w:rFonts w:hint="eastAsia" w:ascii="宋体" w:hAnsi="宋体" w:eastAsia="宋体" w:cs="宋体"/>
          <w:color w:val="auto"/>
          <w:kern w:val="0"/>
          <w:sz w:val="21"/>
          <w:szCs w:val="21"/>
          <w:highlight w:val="none"/>
          <w:u w:val="single"/>
          <w:lang w:val="en-US" w:eastAsia="zh-CN"/>
        </w:rPr>
        <w:t>（项目名称：</w:t>
      </w:r>
      <w:r>
        <w:rPr>
          <w:rFonts w:hint="eastAsia" w:ascii="宋体" w:hAnsi="宋体" w:eastAsia="宋体" w:cs="宋体"/>
          <w:i w:val="0"/>
          <w:iCs w:val="0"/>
          <w:color w:val="auto"/>
          <w:kern w:val="0"/>
          <w:sz w:val="21"/>
          <w:szCs w:val="21"/>
          <w:highlight w:val="none"/>
          <w:u w:val="single"/>
          <w:lang w:val="en-US" w:eastAsia="zh-CN"/>
        </w:rPr>
        <w:t>廉政风险防控管理系统项目（二期）</w:t>
      </w:r>
      <w:r>
        <w:rPr>
          <w:rFonts w:hint="eastAsia" w:ascii="宋体" w:hAnsi="宋体" w:eastAsia="宋体" w:cs="宋体"/>
          <w:color w:val="auto"/>
          <w:kern w:val="0"/>
          <w:sz w:val="21"/>
          <w:szCs w:val="21"/>
          <w:highlight w:val="none"/>
          <w:u w:val="single"/>
          <w:lang w:val="en-US" w:eastAsia="zh-CN"/>
        </w:rPr>
        <w:t>，项目编号：</w:t>
      </w:r>
      <w:r>
        <w:rPr>
          <w:rFonts w:hint="eastAsia" w:ascii="宋体" w:hAnsi="宋体" w:eastAsia="宋体" w:cs="宋体"/>
          <w:i w:val="0"/>
          <w:iCs w:val="0"/>
          <w:color w:val="auto"/>
          <w:kern w:val="0"/>
          <w:sz w:val="21"/>
          <w:szCs w:val="21"/>
          <w:highlight w:val="none"/>
          <w:u w:val="single"/>
          <w:lang w:val="en-US" w:eastAsia="zh-CN"/>
        </w:rPr>
        <w:t>330000263030390000079-QSZBC260131ZFCS</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lang w:val="en-US" w:eastAsia="zh-CN"/>
        </w:rPr>
        <w:t>政府采购响应有关的一切事项，其法律后果由我方承担。</w:t>
      </w:r>
    </w:p>
    <w:p w14:paraId="01813A5F">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委托期限：</w:t>
      </w:r>
      <w:r>
        <w:rPr>
          <w:rFonts w:hint="eastAsia" w:ascii="宋体" w:hAnsi="宋体" w:eastAsia="宋体" w:cs="宋体"/>
          <w:color w:val="auto"/>
          <w:kern w:val="0"/>
          <w:sz w:val="21"/>
          <w:szCs w:val="21"/>
          <w:highlight w:val="none"/>
          <w:u w:val="single"/>
          <w:lang w:val="en-US" w:eastAsia="zh-CN"/>
        </w:rPr>
        <w:t>自    年  月  日起至    年  月  日</w:t>
      </w:r>
      <w:r>
        <w:rPr>
          <w:rFonts w:hint="eastAsia" w:ascii="宋体" w:hAnsi="宋体" w:eastAsia="宋体" w:cs="宋体"/>
          <w:color w:val="auto"/>
          <w:kern w:val="0"/>
          <w:sz w:val="21"/>
          <w:szCs w:val="21"/>
          <w:highlight w:val="none"/>
          <w:lang w:val="en-US" w:eastAsia="zh-CN"/>
        </w:rPr>
        <w:t>止。</w:t>
      </w:r>
    </w:p>
    <w:p w14:paraId="4AB61F65">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特此告知。</w:t>
      </w:r>
    </w:p>
    <w:p w14:paraId="3A4EACE3">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10260D0C">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供应商名称（电子签名/公章）：</w:t>
      </w:r>
      <w:r>
        <w:rPr>
          <w:rFonts w:hint="eastAsia" w:ascii="宋体" w:hAnsi="宋体" w:eastAsia="宋体" w:cs="宋体"/>
          <w:color w:val="auto"/>
          <w:kern w:val="0"/>
          <w:sz w:val="21"/>
          <w:szCs w:val="21"/>
          <w:highlight w:val="none"/>
          <w:u w:val="single"/>
          <w:lang w:val="en-US" w:eastAsia="zh-CN"/>
        </w:rPr>
        <w:t>（联合体响应的，为联合体成员各方）</w:t>
      </w:r>
    </w:p>
    <w:p w14:paraId="4364EBB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签发日期：    年  月  日</w:t>
      </w:r>
    </w:p>
    <w:p w14:paraId="53ED8360">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40E30E2D">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注：供应商是联合体的，联合体各成员均应在“授权委托书”上盖章（电子签名/公章）</w:t>
      </w:r>
    </w:p>
    <w:p w14:paraId="6D2EC574">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24A4497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附：</w:t>
      </w:r>
    </w:p>
    <w:p w14:paraId="1BFF8C0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1.按照【第三章  响应人须知】要求提供相关身份证明材料；</w:t>
      </w:r>
    </w:p>
    <w:p w14:paraId="600A066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2.相关说明（如有）。</w:t>
      </w:r>
    </w:p>
    <w:p w14:paraId="263C6A68">
      <w:pPr>
        <w:keepNext w:val="0"/>
        <w:keepLines w:val="0"/>
        <w:widowControl/>
        <w:suppressLineNumbers w:val="0"/>
        <w:autoSpaceDE w:val="0"/>
        <w:autoSpaceDN/>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法定代表人（单位负责人、自然人本人）</w:t>
      </w:r>
      <w:r>
        <w:rPr>
          <w:rFonts w:hint="eastAsia" w:ascii="宋体" w:hAnsi="宋体" w:eastAsia="宋体" w:cs="宋体"/>
          <w:b/>
          <w:bCs/>
          <w:color w:val="auto"/>
          <w:spacing w:val="-6"/>
          <w:kern w:val="0"/>
          <w:sz w:val="21"/>
          <w:szCs w:val="21"/>
          <w:highlight w:val="none"/>
          <w:lang w:val="en-US" w:eastAsia="zh-CN"/>
        </w:rPr>
        <w:t>身份证明</w:t>
      </w:r>
    </w:p>
    <w:p w14:paraId="3B8DFA7D">
      <w:pPr>
        <w:keepNext w:val="0"/>
        <w:keepLines w:val="0"/>
        <w:widowControl/>
        <w:suppressLineNumbers w:val="0"/>
        <w:autoSpaceDE w:val="0"/>
        <w:autoSpaceDN/>
        <w:spacing w:line="288" w:lineRule="auto"/>
        <w:ind w:left="0" w:firstLine="42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rPr>
        <w:t>（适用于：法定代表人（单位负责人、自然人本人）</w:t>
      </w:r>
      <w:r>
        <w:rPr>
          <w:rFonts w:hint="eastAsia" w:ascii="宋体" w:hAnsi="宋体" w:eastAsia="宋体" w:cs="宋体"/>
          <w:color w:val="auto"/>
          <w:spacing w:val="-6"/>
          <w:kern w:val="0"/>
          <w:sz w:val="21"/>
          <w:szCs w:val="21"/>
          <w:highlight w:val="none"/>
          <w:u w:val="single"/>
          <w:lang w:val="en-US" w:eastAsia="zh-CN"/>
        </w:rPr>
        <w:t>本人参加响应</w:t>
      </w:r>
      <w:r>
        <w:rPr>
          <w:rFonts w:hint="eastAsia" w:ascii="宋体" w:hAnsi="宋体" w:eastAsia="宋体" w:cs="宋体"/>
          <w:color w:val="auto"/>
          <w:kern w:val="0"/>
          <w:sz w:val="21"/>
          <w:szCs w:val="21"/>
          <w:highlight w:val="none"/>
          <w:u w:val="single"/>
          <w:lang w:val="en-US" w:eastAsia="zh-CN"/>
        </w:rPr>
        <w:t>）</w:t>
      </w:r>
    </w:p>
    <w:p w14:paraId="1093B76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身份证件复印件</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63"/>
        <w:gridCol w:w="4847"/>
      </w:tblGrid>
      <w:tr w14:paraId="34424E7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039" w:hRule="atLeast"/>
        </w:trPr>
        <w:tc>
          <w:tcPr>
            <w:tcW w:w="476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tcPr>
          <w:p w14:paraId="0FEDA8A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正面：</w:t>
            </w:r>
          </w:p>
        </w:tc>
        <w:tc>
          <w:tcPr>
            <w:tcW w:w="495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tcPr>
          <w:p w14:paraId="18422EA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反面：</w:t>
            </w:r>
          </w:p>
        </w:tc>
      </w:tr>
    </w:tbl>
    <w:p w14:paraId="0574A4CA">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2435A409">
      <w:pPr>
        <w:keepNext w:val="0"/>
        <w:keepLines w:val="0"/>
        <w:widowControl/>
        <w:suppressLineNumbers w:val="0"/>
        <w:autoSpaceDE w:val="0"/>
        <w:autoSpaceDN/>
        <w:spacing w:line="288" w:lineRule="auto"/>
        <w:ind w:left="0" w:firstLine="420"/>
        <w:jc w:val="left"/>
        <w:rPr>
          <w:rFonts w:hint="eastAsia" w:ascii="宋体" w:hAnsi="宋体" w:eastAsia="宋体" w:cs="宋体"/>
          <w:color w:val="auto"/>
          <w:sz w:val="21"/>
          <w:szCs w:val="21"/>
          <w:highlight w:val="none"/>
        </w:rPr>
      </w:pPr>
    </w:p>
    <w:p w14:paraId="2915D03E">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br w:type="page"/>
      </w:r>
      <w:r>
        <w:rPr>
          <w:rFonts w:hint="eastAsia" w:ascii="宋体" w:hAnsi="宋体" w:eastAsia="宋体" w:cs="宋体"/>
          <w:b/>
          <w:bCs/>
          <w:color w:val="auto"/>
          <w:spacing w:val="-6"/>
          <w:kern w:val="0"/>
          <w:sz w:val="21"/>
          <w:szCs w:val="21"/>
          <w:highlight w:val="none"/>
          <w:lang w:val="en-US" w:eastAsia="zh-CN"/>
        </w:rPr>
        <w:t>（三）响应标的清单</w:t>
      </w:r>
    </w:p>
    <w:p w14:paraId="0C99E877">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（不含报价）</w:t>
      </w:r>
    </w:p>
    <w:p w14:paraId="7F95C2C4">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项目名称：</w:t>
      </w:r>
      <w:r>
        <w:rPr>
          <w:rFonts w:hint="eastAsia" w:ascii="宋体" w:hAnsi="宋体" w:eastAsia="宋体" w:cs="宋体"/>
          <w:i w:val="0"/>
          <w:iCs w:val="0"/>
          <w:color w:val="auto"/>
          <w:spacing w:val="-6"/>
          <w:kern w:val="0"/>
          <w:sz w:val="21"/>
          <w:szCs w:val="21"/>
          <w:highlight w:val="none"/>
          <w:lang w:val="en-US" w:eastAsia="zh-CN"/>
        </w:rPr>
        <w:t>廉政风险防控管理系统项目（二期）</w:t>
      </w:r>
    </w:p>
    <w:p w14:paraId="138A6146">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项目编号：</w:t>
      </w:r>
      <w:r>
        <w:rPr>
          <w:rFonts w:hint="eastAsia" w:ascii="宋体" w:hAnsi="宋体" w:eastAsia="宋体" w:cs="宋体"/>
          <w:i w:val="0"/>
          <w:iCs w:val="0"/>
          <w:color w:val="auto"/>
          <w:spacing w:val="-6"/>
          <w:kern w:val="0"/>
          <w:sz w:val="21"/>
          <w:szCs w:val="21"/>
          <w:highlight w:val="none"/>
          <w:lang w:val="en-US" w:eastAsia="zh-CN"/>
        </w:rPr>
        <w:t>330000263030390000079-QSZBC260131ZFCS</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4"/>
        <w:gridCol w:w="1758"/>
        <w:gridCol w:w="1664"/>
        <w:gridCol w:w="762"/>
        <w:gridCol w:w="983"/>
        <w:gridCol w:w="1164"/>
        <w:gridCol w:w="973"/>
        <w:gridCol w:w="1522"/>
      </w:tblGrid>
      <w:tr w14:paraId="721F89D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7B259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序号</w:t>
            </w: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9703A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标的名称</w:t>
            </w: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BB012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规格型号</w:t>
            </w:r>
          </w:p>
          <w:p w14:paraId="659001D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或具体服务</w:t>
            </w: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FCAD3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数量</w:t>
            </w: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44E40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品牌</w:t>
            </w: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7872D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制造商</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6B1F1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产地</w:t>
            </w: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AEC65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备注</w:t>
            </w:r>
          </w:p>
        </w:tc>
      </w:tr>
      <w:tr w14:paraId="6BB4DDD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719D9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0C653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8AA49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DECF8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FBEC3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EFAE6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21135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4429A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r>
      <w:tr w14:paraId="2193EC0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F02BD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1A936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C5867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05B61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AC4D0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BA1C2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1AFB1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BF709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r>
      <w:tr w14:paraId="1266C67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780C0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EA98A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C3FD7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86849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79643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56597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6366A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B2715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r>
      <w:tr w14:paraId="4E166D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EBA31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以下（联合体成员）承担的部分：</w:t>
            </w:r>
          </w:p>
        </w:tc>
      </w:tr>
      <w:tr w14:paraId="6205BBB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B5114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6C194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0242B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0311A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E1D5F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F52A1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8FE00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70A85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r>
      <w:tr w14:paraId="4D8C7EC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1D1D8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以下（分包单位）承担的部分：</w:t>
            </w:r>
          </w:p>
        </w:tc>
      </w:tr>
      <w:tr w14:paraId="3DAAF0D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874EC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5B2E8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0040A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5457A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F6F1B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62B5D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1D3F5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BD410E">
            <w:pPr>
              <w:rPr>
                <w:rFonts w:hint="eastAsia" w:ascii="宋体" w:hAnsi="宋体" w:eastAsia="宋体" w:cs="宋体"/>
                <w:color w:val="auto"/>
                <w:sz w:val="21"/>
                <w:szCs w:val="21"/>
                <w:highlight w:val="none"/>
              </w:rPr>
            </w:pPr>
          </w:p>
        </w:tc>
      </w:tr>
    </w:tbl>
    <w:p w14:paraId="78DD3BEC">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45D9F0B0">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供应商名称（电子签名/公章）：</w:t>
      </w:r>
    </w:p>
    <w:p w14:paraId="0F78CB26">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日期：     年   月   日</w:t>
      </w:r>
    </w:p>
    <w:p w14:paraId="24CDB488">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1924BEA3">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注：</w:t>
      </w:r>
    </w:p>
    <w:p w14:paraId="7984E256">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1.供应商应按照【第二章  采购需求】明确的标的清单填写此表；</w:t>
      </w:r>
    </w:p>
    <w:p w14:paraId="5628C9D6">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2.服务项目不涉及提供货物的，规格型号、品牌、制造商、产地的可不填写；</w:t>
      </w:r>
    </w:p>
    <w:p w14:paraId="08E8F290">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3.联合体其他成员承担的部分、分包单位承担的部分，应在表中列明。</w:t>
      </w:r>
    </w:p>
    <w:p w14:paraId="0B844B74">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4.“制造商”按单个标的整体的生产企业确定，与组成标的部件或材料制造商无关。</w:t>
      </w:r>
    </w:p>
    <w:p w14:paraId="0610A4B1">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1F5407C5">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br w:type="page"/>
      </w:r>
      <w:r>
        <w:rPr>
          <w:rFonts w:hint="eastAsia" w:ascii="宋体" w:hAnsi="宋体" w:eastAsia="宋体" w:cs="宋体"/>
          <w:b/>
          <w:bCs/>
          <w:color w:val="auto"/>
          <w:spacing w:val="-6"/>
          <w:kern w:val="0"/>
          <w:sz w:val="21"/>
          <w:szCs w:val="21"/>
          <w:highlight w:val="none"/>
          <w:lang w:val="en-US" w:eastAsia="zh-CN"/>
        </w:rPr>
        <w:t>（四）响应偏离表</w:t>
      </w:r>
    </w:p>
    <w:p w14:paraId="7C846D83">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项目名称：</w:t>
      </w:r>
      <w:r>
        <w:rPr>
          <w:rFonts w:hint="eastAsia" w:ascii="宋体" w:hAnsi="宋体" w:eastAsia="宋体" w:cs="宋体"/>
          <w:i w:val="0"/>
          <w:iCs w:val="0"/>
          <w:color w:val="auto"/>
          <w:spacing w:val="-6"/>
          <w:kern w:val="0"/>
          <w:sz w:val="21"/>
          <w:szCs w:val="21"/>
          <w:highlight w:val="none"/>
          <w:lang w:val="en-US" w:eastAsia="zh-CN"/>
        </w:rPr>
        <w:t>廉政风险防控管理系统项目（二期）</w:t>
      </w:r>
    </w:p>
    <w:p w14:paraId="3EEB8E93">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项目编号：</w:t>
      </w:r>
      <w:r>
        <w:rPr>
          <w:rFonts w:hint="eastAsia" w:ascii="宋体" w:hAnsi="宋体" w:eastAsia="宋体" w:cs="宋体"/>
          <w:i w:val="0"/>
          <w:iCs w:val="0"/>
          <w:color w:val="auto"/>
          <w:spacing w:val="-6"/>
          <w:kern w:val="0"/>
          <w:sz w:val="21"/>
          <w:szCs w:val="21"/>
          <w:highlight w:val="none"/>
          <w:lang w:val="en-US" w:eastAsia="zh-CN"/>
        </w:rPr>
        <w:t>330000263030390000079-QSZBC260131ZFCS</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3"/>
        <w:gridCol w:w="3309"/>
        <w:gridCol w:w="3435"/>
        <w:gridCol w:w="863"/>
        <w:gridCol w:w="1260"/>
      </w:tblGrid>
      <w:tr w14:paraId="0EABAC9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PrEx>
        <w:trPr>
          <w:trHeight w:val="340" w:hRule="atLeast"/>
        </w:trPr>
        <w:tc>
          <w:tcPr>
            <w:tcW w:w="63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A5252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序号</w:t>
            </w:r>
          </w:p>
        </w:tc>
        <w:tc>
          <w:tcPr>
            <w:tcW w:w="327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A0A621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采购文件要求</w:t>
            </w:r>
          </w:p>
        </w:tc>
        <w:tc>
          <w:tcPr>
            <w:tcW w:w="3399"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F3259B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响应情况</w:t>
            </w:r>
          </w:p>
        </w:tc>
        <w:tc>
          <w:tcPr>
            <w:tcW w:w="854"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9F6F7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偏离</w:t>
            </w:r>
          </w:p>
          <w:p w14:paraId="13F795B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情况</w:t>
            </w:r>
          </w:p>
        </w:tc>
        <w:tc>
          <w:tcPr>
            <w:tcW w:w="1247"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2402E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说明</w:t>
            </w:r>
          </w:p>
        </w:tc>
      </w:tr>
      <w:tr w14:paraId="08340C7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053E2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商务要求</w:t>
            </w:r>
          </w:p>
        </w:tc>
      </w:tr>
      <w:tr w14:paraId="6ED767E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1AC8D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2E0D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4804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5ECCD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4616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r>
      <w:tr w14:paraId="69B0E37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7367F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2CAB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99C7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67CD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E5700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r>
      <w:tr w14:paraId="00508E6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65708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D743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694D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CC39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4613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r>
      <w:tr w14:paraId="742E1AF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20C97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技术要求</w:t>
            </w:r>
          </w:p>
        </w:tc>
      </w:tr>
      <w:tr w14:paraId="0692A51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A19A9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3D747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527BF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D6B0F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2E7CE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r>
      <w:tr w14:paraId="00669CA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9BE1F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5B779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6FF6C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7AEE6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BBA44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r>
      <w:tr w14:paraId="1F9EE87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A3B76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43199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D9547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976FE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368C8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r>
      <w:tr w14:paraId="762DA6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90D49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采购文件其他要求或条款</w:t>
            </w:r>
          </w:p>
        </w:tc>
      </w:tr>
      <w:tr w14:paraId="30A7412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1858D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665B5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……（略）</w:t>
            </w: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9AE48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（除响应偏离表列出的偏离外，我方响应采购文件的全部要求）</w:t>
            </w: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64BF3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无</w:t>
            </w: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95B6D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r>
    </w:tbl>
    <w:p w14:paraId="1ED08999">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0207F1BC">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供应商名称（电子签名/公章）：</w:t>
      </w:r>
    </w:p>
    <w:p w14:paraId="6ECBFA70">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日期：    年  月  日</w:t>
      </w:r>
    </w:p>
    <w:p w14:paraId="7B903486">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2BA22806">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说明：</w:t>
      </w:r>
    </w:p>
    <w:p w14:paraId="4407B515">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1.供应商对采购文件要求有不同的响应的，应在响应偏离表中列明；</w:t>
      </w:r>
    </w:p>
    <w:p w14:paraId="41DF54C4">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2.偏离情况系指：正偏离（高于</w:t>
      </w:r>
      <w:r>
        <w:rPr>
          <w:rFonts w:hint="eastAsia" w:ascii="宋体" w:hAnsi="宋体" w:eastAsia="宋体" w:cs="宋体"/>
          <w:color w:val="auto"/>
          <w:kern w:val="0"/>
          <w:sz w:val="21"/>
          <w:szCs w:val="21"/>
          <w:highlight w:val="none"/>
          <w:lang w:val="en-US" w:eastAsia="zh-CN"/>
        </w:rPr>
        <w:t>采购文件要求</w:t>
      </w:r>
      <w:r>
        <w:rPr>
          <w:rFonts w:hint="eastAsia" w:ascii="宋体" w:hAnsi="宋体" w:eastAsia="宋体" w:cs="宋体"/>
          <w:color w:val="auto"/>
          <w:spacing w:val="-6"/>
          <w:kern w:val="0"/>
          <w:sz w:val="21"/>
          <w:szCs w:val="21"/>
          <w:highlight w:val="none"/>
          <w:lang w:val="en-US" w:eastAsia="zh-CN"/>
        </w:rPr>
        <w:t>）、负偏离（低于</w:t>
      </w:r>
      <w:r>
        <w:rPr>
          <w:rFonts w:hint="eastAsia" w:ascii="宋体" w:hAnsi="宋体" w:eastAsia="宋体" w:cs="宋体"/>
          <w:color w:val="auto"/>
          <w:kern w:val="0"/>
          <w:sz w:val="21"/>
          <w:szCs w:val="21"/>
          <w:highlight w:val="none"/>
          <w:lang w:val="en-US" w:eastAsia="zh-CN"/>
        </w:rPr>
        <w:t>采购文件要求</w:t>
      </w:r>
      <w:r>
        <w:rPr>
          <w:rFonts w:hint="eastAsia" w:ascii="宋体" w:hAnsi="宋体" w:eastAsia="宋体" w:cs="宋体"/>
          <w:color w:val="auto"/>
          <w:spacing w:val="-6"/>
          <w:kern w:val="0"/>
          <w:sz w:val="21"/>
          <w:szCs w:val="21"/>
          <w:highlight w:val="none"/>
          <w:lang w:val="en-US" w:eastAsia="zh-CN"/>
        </w:rPr>
        <w:t>）、无偏离（符合</w:t>
      </w:r>
      <w:r>
        <w:rPr>
          <w:rFonts w:hint="eastAsia" w:ascii="宋体" w:hAnsi="宋体" w:eastAsia="宋体" w:cs="宋体"/>
          <w:color w:val="auto"/>
          <w:kern w:val="0"/>
          <w:sz w:val="21"/>
          <w:szCs w:val="21"/>
          <w:highlight w:val="none"/>
          <w:lang w:val="en-US" w:eastAsia="zh-CN"/>
        </w:rPr>
        <w:t>采购文件要求</w:t>
      </w:r>
      <w:r>
        <w:rPr>
          <w:rFonts w:hint="eastAsia" w:ascii="宋体" w:hAnsi="宋体" w:eastAsia="宋体" w:cs="宋体"/>
          <w:color w:val="auto"/>
          <w:spacing w:val="-6"/>
          <w:kern w:val="0"/>
          <w:sz w:val="21"/>
          <w:szCs w:val="21"/>
          <w:highlight w:val="none"/>
          <w:lang w:val="en-US" w:eastAsia="zh-CN"/>
        </w:rPr>
        <w:t>或与其一致）。说明是指对采购文件要求存在不同之处的解释说明。</w:t>
      </w:r>
    </w:p>
    <w:p w14:paraId="4A283342">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3.如供应商提供的“响应偏离表”响应情况与产品技术支持材料、响应样品（如有）不一致，且无法合理解释的，视为与事实不符。</w:t>
      </w:r>
    </w:p>
    <w:p w14:paraId="5E80A52B">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1B5F1210">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color w:val="auto"/>
          <w:kern w:val="0"/>
          <w:sz w:val="21"/>
          <w:szCs w:val="21"/>
          <w:highlight w:val="none"/>
          <w:lang w:val="en-US" w:eastAsia="zh-CN"/>
        </w:rPr>
        <w:t>评审标准</w:t>
      </w:r>
      <w:r>
        <w:rPr>
          <w:rFonts w:hint="eastAsia" w:ascii="宋体" w:hAnsi="宋体" w:eastAsia="宋体" w:cs="宋体"/>
          <w:b/>
          <w:bCs/>
          <w:color w:val="auto"/>
          <w:kern w:val="0"/>
          <w:sz w:val="21"/>
          <w:szCs w:val="21"/>
          <w:highlight w:val="none"/>
          <w:lang w:val="en-US" w:eastAsia="zh-CN"/>
        </w:rPr>
        <w:t>相应的商务和技术资料</w:t>
      </w:r>
    </w:p>
    <w:p w14:paraId="4D853630">
      <w:pPr>
        <w:keepNext w:val="0"/>
        <w:keepLines w:val="0"/>
        <w:widowControl/>
        <w:suppressLineNumbers w:val="0"/>
        <w:autoSpaceDE w:val="0"/>
        <w:autoSpaceDN/>
        <w:spacing w:line="288" w:lineRule="auto"/>
        <w:jc w:val="left"/>
        <w:rPr>
          <w:rFonts w:hint="eastAsia" w:ascii="宋体" w:hAnsi="宋体" w:eastAsia="宋体" w:cs="宋体"/>
          <w:color w:val="auto"/>
          <w:sz w:val="21"/>
          <w:szCs w:val="21"/>
          <w:highlight w:val="none"/>
        </w:rPr>
      </w:pPr>
    </w:p>
    <w:p w14:paraId="28739151">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注：</w:t>
      </w:r>
    </w:p>
    <w:p w14:paraId="7F796820">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u w:val="single"/>
          <w:lang w:val="en-US" w:eastAsia="zh-CN"/>
        </w:rPr>
        <w:t>按采购文件【第四章  评审方法和评审标准】及评审因素相应的内容，逐项提供商务和技术资料。</w:t>
      </w:r>
    </w:p>
    <w:p w14:paraId="203ABAD6">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i w:val="0"/>
          <w:iCs w:val="0"/>
          <w:color w:val="auto"/>
          <w:kern w:val="0"/>
          <w:sz w:val="21"/>
          <w:szCs w:val="21"/>
          <w:highlight w:val="none"/>
          <w:lang w:val="en-US" w:eastAsia="zh-CN"/>
        </w:rPr>
        <w:t>磋商小组</w:t>
      </w:r>
      <w:r>
        <w:rPr>
          <w:rFonts w:hint="eastAsia" w:ascii="宋体" w:hAnsi="宋体" w:eastAsia="宋体" w:cs="宋体"/>
          <w:color w:val="auto"/>
          <w:kern w:val="0"/>
          <w:sz w:val="21"/>
          <w:szCs w:val="21"/>
          <w:highlight w:val="none"/>
          <w:lang w:val="en-US" w:eastAsia="zh-CN"/>
        </w:rPr>
        <w:t>依据供应商在响应文件中提供的商务和技术资料进行商务和技术评分。</w:t>
      </w:r>
    </w:p>
    <w:p w14:paraId="79013F58">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5659F580">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kern w:val="0"/>
          <w:sz w:val="21"/>
          <w:szCs w:val="21"/>
          <w:highlight w:val="none"/>
          <w:lang w:val="en-US" w:eastAsia="zh-CN"/>
        </w:rPr>
        <w:t>三、报价文件</w:t>
      </w:r>
      <w:r>
        <w:rPr>
          <w:rFonts w:hint="eastAsia" w:ascii="宋体" w:hAnsi="宋体" w:eastAsia="宋体" w:cs="宋体"/>
          <w:b/>
          <w:bCs/>
          <w:color w:val="auto"/>
          <w:spacing w:val="-6"/>
          <w:kern w:val="0"/>
          <w:sz w:val="21"/>
          <w:szCs w:val="21"/>
          <w:highlight w:val="none"/>
          <w:lang w:val="en-US" w:eastAsia="zh-CN"/>
        </w:rPr>
        <w:t>（标项：  ）</w:t>
      </w:r>
    </w:p>
    <w:p w14:paraId="4B4B6BF3">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5F6D9ED8">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（一）开标一览表</w:t>
      </w:r>
    </w:p>
    <w:p w14:paraId="223B6E57">
      <w:pPr>
        <w:keepNext w:val="0"/>
        <w:keepLines w:val="0"/>
        <w:widowControl/>
        <w:suppressLineNumbers w:val="0"/>
        <w:autoSpaceDE w:val="0"/>
        <w:autoSpaceDN/>
        <w:spacing w:line="288" w:lineRule="auto"/>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（报价表）</w:t>
      </w:r>
    </w:p>
    <w:p w14:paraId="6C53FA68">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项目名称：</w:t>
      </w:r>
      <w:r>
        <w:rPr>
          <w:rFonts w:hint="eastAsia" w:ascii="宋体" w:hAnsi="宋体" w:eastAsia="宋体" w:cs="宋体"/>
          <w:i w:val="0"/>
          <w:iCs w:val="0"/>
          <w:color w:val="auto"/>
          <w:spacing w:val="-6"/>
          <w:kern w:val="0"/>
          <w:sz w:val="21"/>
          <w:szCs w:val="21"/>
          <w:highlight w:val="none"/>
          <w:lang w:val="en-US" w:eastAsia="zh-CN"/>
        </w:rPr>
        <w:t>廉政风险防控管理系统项目（二期）</w:t>
      </w:r>
    </w:p>
    <w:p w14:paraId="09A1D786">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项目编号：</w:t>
      </w:r>
      <w:r>
        <w:rPr>
          <w:rFonts w:hint="eastAsia" w:ascii="宋体" w:hAnsi="宋体" w:eastAsia="宋体" w:cs="宋体"/>
          <w:i w:val="0"/>
          <w:iCs w:val="0"/>
          <w:color w:val="auto"/>
          <w:spacing w:val="-6"/>
          <w:kern w:val="0"/>
          <w:sz w:val="21"/>
          <w:szCs w:val="21"/>
          <w:highlight w:val="none"/>
          <w:lang w:val="en-US" w:eastAsia="zh-CN"/>
        </w:rPr>
        <w:t>330000263030390000079-QSZBC260131ZFCS</w:t>
      </w:r>
    </w:p>
    <w:tbl>
      <w:tblPr>
        <w:tblStyle w:val="14"/>
        <w:tblW w:w="4996"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15" w:type="dxa"/>
          <w:left w:w="15" w:type="dxa"/>
          <w:bottom w:w="15" w:type="dxa"/>
          <w:right w:w="15" w:type="dxa"/>
        </w:tblCellMar>
      </w:tblPr>
      <w:tblGrid>
        <w:gridCol w:w="692"/>
        <w:gridCol w:w="1368"/>
        <w:gridCol w:w="1570"/>
        <w:gridCol w:w="1777"/>
        <w:gridCol w:w="773"/>
        <w:gridCol w:w="1617"/>
        <w:gridCol w:w="1705"/>
      </w:tblGrid>
      <w:tr w14:paraId="0F55C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340" w:hRule="atLeast"/>
        </w:trPr>
        <w:tc>
          <w:tcPr>
            <w:tcW w:w="364" w:type="pct"/>
            <w:tcBorders>
              <w:tl2br w:val="nil"/>
              <w:tr2bl w:val="nil"/>
            </w:tcBorders>
            <w:shd w:val="clear" w:color="auto" w:fill="auto"/>
            <w:tcMar>
              <w:top w:w="0" w:type="dxa"/>
              <w:left w:w="75" w:type="dxa"/>
              <w:bottom w:w="0" w:type="dxa"/>
              <w:right w:w="75" w:type="dxa"/>
            </w:tcMar>
            <w:vAlign w:val="center"/>
          </w:tcPr>
          <w:p w14:paraId="423C7B8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序号</w:t>
            </w:r>
          </w:p>
        </w:tc>
        <w:tc>
          <w:tcPr>
            <w:tcW w:w="720" w:type="pct"/>
            <w:tcBorders>
              <w:tl2br w:val="nil"/>
              <w:tr2bl w:val="nil"/>
            </w:tcBorders>
            <w:shd w:val="clear" w:color="auto" w:fill="auto"/>
            <w:tcMar>
              <w:top w:w="0" w:type="dxa"/>
              <w:left w:w="75" w:type="dxa"/>
              <w:bottom w:w="0" w:type="dxa"/>
              <w:right w:w="75" w:type="dxa"/>
            </w:tcMar>
            <w:vAlign w:val="center"/>
          </w:tcPr>
          <w:p w14:paraId="0E8E34F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标的名称</w:t>
            </w:r>
          </w:p>
        </w:tc>
        <w:tc>
          <w:tcPr>
            <w:tcW w:w="826" w:type="pct"/>
            <w:tcBorders>
              <w:tl2br w:val="nil"/>
              <w:tr2bl w:val="nil"/>
            </w:tcBorders>
            <w:shd w:val="clear" w:color="auto" w:fill="auto"/>
            <w:tcMar>
              <w:top w:w="0" w:type="dxa"/>
              <w:left w:w="75" w:type="dxa"/>
              <w:bottom w:w="0" w:type="dxa"/>
              <w:right w:w="75" w:type="dxa"/>
            </w:tcMar>
            <w:vAlign w:val="center"/>
          </w:tcPr>
          <w:p w14:paraId="284CFA9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功能模块</w:t>
            </w:r>
          </w:p>
        </w:tc>
        <w:tc>
          <w:tcPr>
            <w:tcW w:w="934" w:type="pct"/>
            <w:tcBorders>
              <w:tl2br w:val="nil"/>
              <w:tr2bl w:val="nil"/>
            </w:tcBorders>
            <w:shd w:val="clear" w:color="auto" w:fill="auto"/>
            <w:tcMar>
              <w:top w:w="0" w:type="dxa"/>
              <w:left w:w="75" w:type="dxa"/>
              <w:bottom w:w="0" w:type="dxa"/>
              <w:right w:w="75" w:type="dxa"/>
            </w:tcMar>
            <w:vAlign w:val="center"/>
          </w:tcPr>
          <w:p w14:paraId="212D7F2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规格型号</w:t>
            </w:r>
          </w:p>
          <w:p w14:paraId="053E7EB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r>
              <w:rPr>
                <w:rFonts w:hint="eastAsia" w:ascii="宋体" w:hAnsi="宋体" w:eastAsia="宋体" w:cs="宋体"/>
                <w:b/>
                <w:bCs/>
                <w:i w:val="0"/>
                <w:iCs w:val="0"/>
                <w:color w:val="auto"/>
                <w:kern w:val="0"/>
                <w:sz w:val="21"/>
                <w:szCs w:val="21"/>
                <w:highlight w:val="none"/>
                <w:lang w:val="en-US" w:eastAsia="zh-CN"/>
              </w:rPr>
              <w:t>（或具体服务）</w:t>
            </w:r>
          </w:p>
        </w:tc>
        <w:tc>
          <w:tcPr>
            <w:tcW w:w="407" w:type="pct"/>
            <w:tcBorders>
              <w:tl2br w:val="nil"/>
              <w:tr2bl w:val="nil"/>
            </w:tcBorders>
            <w:shd w:val="clear" w:color="auto" w:fill="auto"/>
            <w:tcMar>
              <w:top w:w="0" w:type="dxa"/>
              <w:left w:w="75" w:type="dxa"/>
              <w:bottom w:w="0" w:type="dxa"/>
              <w:right w:w="75" w:type="dxa"/>
            </w:tcMar>
            <w:vAlign w:val="center"/>
          </w:tcPr>
          <w:p w14:paraId="7F32C9D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数量</w:t>
            </w:r>
          </w:p>
        </w:tc>
        <w:tc>
          <w:tcPr>
            <w:tcW w:w="851" w:type="pct"/>
            <w:tcBorders>
              <w:tl2br w:val="nil"/>
              <w:tr2bl w:val="nil"/>
            </w:tcBorders>
            <w:shd w:val="clear" w:color="auto" w:fill="auto"/>
            <w:tcMar>
              <w:top w:w="0" w:type="dxa"/>
              <w:left w:w="75" w:type="dxa"/>
              <w:bottom w:w="0" w:type="dxa"/>
              <w:right w:w="75" w:type="dxa"/>
            </w:tcMar>
            <w:vAlign w:val="center"/>
          </w:tcPr>
          <w:p w14:paraId="4B0C1BF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单价（元）</w:t>
            </w:r>
          </w:p>
        </w:tc>
        <w:tc>
          <w:tcPr>
            <w:tcW w:w="894" w:type="pct"/>
            <w:tcBorders>
              <w:tl2br w:val="nil"/>
              <w:tr2bl w:val="nil"/>
            </w:tcBorders>
            <w:shd w:val="clear" w:color="auto" w:fill="auto"/>
            <w:tcMar>
              <w:top w:w="0" w:type="dxa"/>
              <w:left w:w="75" w:type="dxa"/>
              <w:bottom w:w="0" w:type="dxa"/>
              <w:right w:w="75" w:type="dxa"/>
            </w:tcMar>
            <w:vAlign w:val="center"/>
          </w:tcPr>
          <w:p w14:paraId="49B8A30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合计（元）</w:t>
            </w:r>
          </w:p>
        </w:tc>
      </w:tr>
      <w:tr w14:paraId="60DC3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40" w:hRule="atLeast"/>
        </w:trPr>
        <w:tc>
          <w:tcPr>
            <w:tcW w:w="364" w:type="pct"/>
            <w:tcBorders>
              <w:tl2br w:val="nil"/>
              <w:tr2bl w:val="nil"/>
            </w:tcBorders>
            <w:shd w:val="clear" w:color="auto" w:fill="auto"/>
            <w:tcMar>
              <w:top w:w="0" w:type="dxa"/>
              <w:left w:w="75" w:type="dxa"/>
              <w:bottom w:w="0" w:type="dxa"/>
              <w:right w:w="75" w:type="dxa"/>
            </w:tcMar>
            <w:vAlign w:val="center"/>
          </w:tcPr>
          <w:p w14:paraId="0670CD0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720" w:type="pct"/>
            <w:vMerge w:val="restart"/>
            <w:tcBorders>
              <w:tl2br w:val="nil"/>
              <w:tr2bl w:val="nil"/>
            </w:tcBorders>
            <w:shd w:val="clear" w:color="auto" w:fill="auto"/>
            <w:tcMar>
              <w:top w:w="0" w:type="dxa"/>
              <w:left w:w="75" w:type="dxa"/>
              <w:bottom w:w="0" w:type="dxa"/>
              <w:right w:w="75" w:type="dxa"/>
            </w:tcMar>
            <w:vAlign w:val="center"/>
          </w:tcPr>
          <w:p w14:paraId="0A2A469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r>
              <w:rPr>
                <w:rFonts w:hint="eastAsia" w:ascii="宋体" w:hAnsi="宋体" w:eastAsia="宋体" w:cs="宋体"/>
                <w:b/>
                <w:bCs/>
                <w:i w:val="0"/>
                <w:iCs w:val="0"/>
                <w:color w:val="auto"/>
                <w:kern w:val="0"/>
                <w:sz w:val="21"/>
                <w:szCs w:val="21"/>
                <w:highlight w:val="none"/>
                <w:lang w:val="en-US" w:eastAsia="zh-CN"/>
              </w:rPr>
              <w:t>廉政风险防控管理系统项目（二期） </w:t>
            </w:r>
          </w:p>
          <w:p w14:paraId="25306BF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826" w:type="pct"/>
            <w:tcBorders>
              <w:tl2br w:val="nil"/>
              <w:tr2bl w:val="nil"/>
            </w:tcBorders>
            <w:shd w:val="clear" w:color="auto" w:fill="auto"/>
            <w:tcMar>
              <w:top w:w="0" w:type="dxa"/>
              <w:left w:w="75" w:type="dxa"/>
              <w:bottom w:w="0" w:type="dxa"/>
              <w:right w:w="75" w:type="dxa"/>
            </w:tcMar>
            <w:vAlign w:val="center"/>
          </w:tcPr>
          <w:p w14:paraId="04989190">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决策驾驶舱</w:t>
            </w:r>
          </w:p>
        </w:tc>
        <w:tc>
          <w:tcPr>
            <w:tcW w:w="934" w:type="pct"/>
            <w:tcBorders>
              <w:tl2br w:val="nil"/>
              <w:tr2bl w:val="nil"/>
            </w:tcBorders>
            <w:shd w:val="clear" w:color="auto" w:fill="auto"/>
            <w:tcMar>
              <w:top w:w="0" w:type="dxa"/>
              <w:left w:w="75" w:type="dxa"/>
              <w:bottom w:w="0" w:type="dxa"/>
              <w:right w:w="75" w:type="dxa"/>
            </w:tcMar>
            <w:vAlign w:val="center"/>
          </w:tcPr>
          <w:p w14:paraId="5A9127C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407" w:type="pct"/>
            <w:tcBorders>
              <w:tl2br w:val="nil"/>
              <w:tr2bl w:val="nil"/>
            </w:tcBorders>
            <w:shd w:val="clear" w:color="auto" w:fill="auto"/>
            <w:tcMar>
              <w:top w:w="0" w:type="dxa"/>
              <w:left w:w="75" w:type="dxa"/>
              <w:bottom w:w="0" w:type="dxa"/>
              <w:right w:w="75" w:type="dxa"/>
            </w:tcMar>
            <w:vAlign w:val="center"/>
          </w:tcPr>
          <w:p w14:paraId="4F016D6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851" w:type="pct"/>
            <w:tcBorders>
              <w:tl2br w:val="nil"/>
              <w:tr2bl w:val="nil"/>
            </w:tcBorders>
            <w:shd w:val="clear" w:color="auto" w:fill="auto"/>
            <w:tcMar>
              <w:top w:w="0" w:type="dxa"/>
              <w:left w:w="75" w:type="dxa"/>
              <w:bottom w:w="0" w:type="dxa"/>
              <w:right w:w="75" w:type="dxa"/>
            </w:tcMar>
            <w:vAlign w:val="center"/>
          </w:tcPr>
          <w:p w14:paraId="58F3F37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894" w:type="pct"/>
            <w:tcBorders>
              <w:tl2br w:val="nil"/>
              <w:tr2bl w:val="nil"/>
            </w:tcBorders>
            <w:shd w:val="clear" w:color="auto" w:fill="auto"/>
            <w:tcMar>
              <w:top w:w="0" w:type="dxa"/>
              <w:left w:w="75" w:type="dxa"/>
              <w:bottom w:w="0" w:type="dxa"/>
              <w:right w:w="75" w:type="dxa"/>
            </w:tcMar>
            <w:vAlign w:val="center"/>
          </w:tcPr>
          <w:p w14:paraId="70C9684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r>
      <w:tr w14:paraId="2E76F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40" w:hRule="atLeast"/>
        </w:trPr>
        <w:tc>
          <w:tcPr>
            <w:tcW w:w="364" w:type="pct"/>
            <w:tcBorders>
              <w:tl2br w:val="nil"/>
              <w:tr2bl w:val="nil"/>
            </w:tcBorders>
            <w:shd w:val="clear" w:color="auto" w:fill="auto"/>
            <w:tcMar>
              <w:top w:w="0" w:type="dxa"/>
              <w:left w:w="75" w:type="dxa"/>
              <w:bottom w:w="0" w:type="dxa"/>
              <w:right w:w="75" w:type="dxa"/>
            </w:tcMar>
            <w:vAlign w:val="center"/>
          </w:tcPr>
          <w:p w14:paraId="659F1EB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720" w:type="pct"/>
            <w:vMerge w:val="continue"/>
            <w:tcBorders>
              <w:tl2br w:val="nil"/>
              <w:tr2bl w:val="nil"/>
            </w:tcBorders>
            <w:shd w:val="clear" w:color="auto" w:fill="auto"/>
            <w:tcMar>
              <w:top w:w="0" w:type="dxa"/>
              <w:left w:w="75" w:type="dxa"/>
              <w:bottom w:w="0" w:type="dxa"/>
              <w:right w:w="75" w:type="dxa"/>
            </w:tcMar>
            <w:vAlign w:val="center"/>
          </w:tcPr>
          <w:p w14:paraId="0FED04A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826" w:type="pct"/>
            <w:tcBorders>
              <w:tl2br w:val="nil"/>
              <w:tr2bl w:val="nil"/>
            </w:tcBorders>
            <w:shd w:val="clear" w:color="auto" w:fill="auto"/>
            <w:tcMar>
              <w:top w:w="0" w:type="dxa"/>
              <w:left w:w="75" w:type="dxa"/>
              <w:bottom w:w="0" w:type="dxa"/>
              <w:right w:w="75" w:type="dxa"/>
            </w:tcMar>
            <w:vAlign w:val="center"/>
          </w:tcPr>
          <w:p w14:paraId="2D4EA55D">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重大事项报备管理应用场景</w:t>
            </w:r>
          </w:p>
        </w:tc>
        <w:tc>
          <w:tcPr>
            <w:tcW w:w="934" w:type="pct"/>
            <w:tcBorders>
              <w:tl2br w:val="nil"/>
              <w:tr2bl w:val="nil"/>
            </w:tcBorders>
            <w:shd w:val="clear" w:color="auto" w:fill="auto"/>
            <w:tcMar>
              <w:top w:w="0" w:type="dxa"/>
              <w:left w:w="75" w:type="dxa"/>
              <w:bottom w:w="0" w:type="dxa"/>
              <w:right w:w="75" w:type="dxa"/>
            </w:tcMar>
            <w:vAlign w:val="center"/>
          </w:tcPr>
          <w:p w14:paraId="59CEDDB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407" w:type="pct"/>
            <w:tcBorders>
              <w:tl2br w:val="nil"/>
              <w:tr2bl w:val="nil"/>
            </w:tcBorders>
            <w:shd w:val="clear" w:color="auto" w:fill="auto"/>
            <w:tcMar>
              <w:top w:w="0" w:type="dxa"/>
              <w:left w:w="75" w:type="dxa"/>
              <w:bottom w:w="0" w:type="dxa"/>
              <w:right w:w="75" w:type="dxa"/>
            </w:tcMar>
            <w:vAlign w:val="center"/>
          </w:tcPr>
          <w:p w14:paraId="046F5A7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851" w:type="pct"/>
            <w:tcBorders>
              <w:tl2br w:val="nil"/>
              <w:tr2bl w:val="nil"/>
            </w:tcBorders>
            <w:shd w:val="clear" w:color="auto" w:fill="auto"/>
            <w:tcMar>
              <w:top w:w="0" w:type="dxa"/>
              <w:left w:w="75" w:type="dxa"/>
              <w:bottom w:w="0" w:type="dxa"/>
              <w:right w:w="75" w:type="dxa"/>
            </w:tcMar>
            <w:vAlign w:val="center"/>
          </w:tcPr>
          <w:p w14:paraId="2518A6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894" w:type="pct"/>
            <w:tcBorders>
              <w:tl2br w:val="nil"/>
              <w:tr2bl w:val="nil"/>
            </w:tcBorders>
            <w:shd w:val="clear" w:color="auto" w:fill="auto"/>
            <w:tcMar>
              <w:top w:w="0" w:type="dxa"/>
              <w:left w:w="75" w:type="dxa"/>
              <w:bottom w:w="0" w:type="dxa"/>
              <w:right w:w="75" w:type="dxa"/>
            </w:tcMar>
            <w:vAlign w:val="center"/>
          </w:tcPr>
          <w:p w14:paraId="1095F98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r>
      <w:tr w14:paraId="1CA51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40" w:hRule="atLeast"/>
        </w:trPr>
        <w:tc>
          <w:tcPr>
            <w:tcW w:w="364" w:type="pct"/>
            <w:tcBorders>
              <w:tl2br w:val="nil"/>
              <w:tr2bl w:val="nil"/>
            </w:tcBorders>
            <w:shd w:val="clear" w:color="auto" w:fill="auto"/>
            <w:tcMar>
              <w:top w:w="0" w:type="dxa"/>
              <w:left w:w="75" w:type="dxa"/>
              <w:bottom w:w="0" w:type="dxa"/>
              <w:right w:w="75" w:type="dxa"/>
            </w:tcMar>
            <w:vAlign w:val="center"/>
          </w:tcPr>
          <w:p w14:paraId="4C48F0B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720" w:type="pct"/>
            <w:vMerge w:val="continue"/>
            <w:tcBorders>
              <w:tl2br w:val="nil"/>
              <w:tr2bl w:val="nil"/>
            </w:tcBorders>
            <w:shd w:val="clear" w:color="auto" w:fill="auto"/>
            <w:tcMar>
              <w:top w:w="0" w:type="dxa"/>
              <w:left w:w="75" w:type="dxa"/>
              <w:bottom w:w="0" w:type="dxa"/>
              <w:right w:w="75" w:type="dxa"/>
            </w:tcMar>
            <w:vAlign w:val="center"/>
          </w:tcPr>
          <w:p w14:paraId="63B2E2C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826" w:type="pct"/>
            <w:tcBorders>
              <w:tl2br w:val="nil"/>
              <w:tr2bl w:val="nil"/>
            </w:tcBorders>
            <w:shd w:val="clear" w:color="auto" w:fill="auto"/>
            <w:tcMar>
              <w:top w:w="0" w:type="dxa"/>
              <w:left w:w="75" w:type="dxa"/>
              <w:bottom w:w="0" w:type="dxa"/>
              <w:right w:w="75" w:type="dxa"/>
            </w:tcMar>
            <w:vAlign w:val="center"/>
          </w:tcPr>
          <w:p w14:paraId="4DA145D4">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数据采集及风险分析</w:t>
            </w:r>
          </w:p>
        </w:tc>
        <w:tc>
          <w:tcPr>
            <w:tcW w:w="934" w:type="pct"/>
            <w:tcBorders>
              <w:tl2br w:val="nil"/>
              <w:tr2bl w:val="nil"/>
            </w:tcBorders>
            <w:shd w:val="clear" w:color="auto" w:fill="auto"/>
            <w:tcMar>
              <w:top w:w="0" w:type="dxa"/>
              <w:left w:w="75" w:type="dxa"/>
              <w:bottom w:w="0" w:type="dxa"/>
              <w:right w:w="75" w:type="dxa"/>
            </w:tcMar>
            <w:vAlign w:val="center"/>
          </w:tcPr>
          <w:p w14:paraId="4686C1A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407" w:type="pct"/>
            <w:tcBorders>
              <w:tl2br w:val="nil"/>
              <w:tr2bl w:val="nil"/>
            </w:tcBorders>
            <w:shd w:val="clear" w:color="auto" w:fill="auto"/>
            <w:tcMar>
              <w:top w:w="0" w:type="dxa"/>
              <w:left w:w="75" w:type="dxa"/>
              <w:bottom w:w="0" w:type="dxa"/>
              <w:right w:w="75" w:type="dxa"/>
            </w:tcMar>
            <w:vAlign w:val="center"/>
          </w:tcPr>
          <w:p w14:paraId="25F63FF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851" w:type="pct"/>
            <w:tcBorders>
              <w:tl2br w:val="nil"/>
              <w:tr2bl w:val="nil"/>
            </w:tcBorders>
            <w:shd w:val="clear" w:color="auto" w:fill="auto"/>
            <w:tcMar>
              <w:top w:w="0" w:type="dxa"/>
              <w:left w:w="75" w:type="dxa"/>
              <w:bottom w:w="0" w:type="dxa"/>
              <w:right w:w="75" w:type="dxa"/>
            </w:tcMar>
            <w:vAlign w:val="center"/>
          </w:tcPr>
          <w:p w14:paraId="4DB37A5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894" w:type="pct"/>
            <w:tcBorders>
              <w:tl2br w:val="nil"/>
              <w:tr2bl w:val="nil"/>
            </w:tcBorders>
            <w:shd w:val="clear" w:color="auto" w:fill="auto"/>
            <w:tcMar>
              <w:top w:w="0" w:type="dxa"/>
              <w:left w:w="75" w:type="dxa"/>
              <w:bottom w:w="0" w:type="dxa"/>
              <w:right w:w="75" w:type="dxa"/>
            </w:tcMar>
            <w:vAlign w:val="center"/>
          </w:tcPr>
          <w:p w14:paraId="35D11F3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r>
      <w:tr w14:paraId="79002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40" w:hRule="atLeast"/>
        </w:trPr>
        <w:tc>
          <w:tcPr>
            <w:tcW w:w="364" w:type="pct"/>
            <w:tcBorders>
              <w:tl2br w:val="nil"/>
              <w:tr2bl w:val="nil"/>
            </w:tcBorders>
            <w:shd w:val="clear" w:color="auto" w:fill="auto"/>
            <w:tcMar>
              <w:top w:w="0" w:type="dxa"/>
              <w:left w:w="75" w:type="dxa"/>
              <w:bottom w:w="0" w:type="dxa"/>
              <w:right w:w="75" w:type="dxa"/>
            </w:tcMar>
            <w:vAlign w:val="center"/>
          </w:tcPr>
          <w:p w14:paraId="322FA0A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720" w:type="pct"/>
            <w:vMerge w:val="continue"/>
            <w:tcBorders>
              <w:tl2br w:val="nil"/>
              <w:tr2bl w:val="nil"/>
            </w:tcBorders>
            <w:shd w:val="clear" w:color="auto" w:fill="auto"/>
            <w:tcMar>
              <w:top w:w="0" w:type="dxa"/>
              <w:left w:w="75" w:type="dxa"/>
              <w:bottom w:w="0" w:type="dxa"/>
              <w:right w:w="75" w:type="dxa"/>
            </w:tcMar>
            <w:vAlign w:val="center"/>
          </w:tcPr>
          <w:p w14:paraId="4D6B36D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826" w:type="pct"/>
            <w:tcBorders>
              <w:tl2br w:val="nil"/>
              <w:tr2bl w:val="nil"/>
            </w:tcBorders>
            <w:shd w:val="clear" w:color="auto" w:fill="auto"/>
            <w:tcMar>
              <w:top w:w="0" w:type="dxa"/>
              <w:left w:w="75" w:type="dxa"/>
              <w:bottom w:w="0" w:type="dxa"/>
              <w:right w:w="75" w:type="dxa"/>
            </w:tcMar>
            <w:vAlign w:val="center"/>
          </w:tcPr>
          <w:p w14:paraId="72EA6468">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手机端移动办公</w:t>
            </w:r>
          </w:p>
        </w:tc>
        <w:tc>
          <w:tcPr>
            <w:tcW w:w="934" w:type="pct"/>
            <w:tcBorders>
              <w:tl2br w:val="nil"/>
              <w:tr2bl w:val="nil"/>
            </w:tcBorders>
            <w:shd w:val="clear" w:color="auto" w:fill="auto"/>
            <w:tcMar>
              <w:top w:w="0" w:type="dxa"/>
              <w:left w:w="75" w:type="dxa"/>
              <w:bottom w:w="0" w:type="dxa"/>
              <w:right w:w="75" w:type="dxa"/>
            </w:tcMar>
            <w:vAlign w:val="center"/>
          </w:tcPr>
          <w:p w14:paraId="75F6DEB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407" w:type="pct"/>
            <w:tcBorders>
              <w:tl2br w:val="nil"/>
              <w:tr2bl w:val="nil"/>
            </w:tcBorders>
            <w:shd w:val="clear" w:color="auto" w:fill="auto"/>
            <w:tcMar>
              <w:top w:w="0" w:type="dxa"/>
              <w:left w:w="75" w:type="dxa"/>
              <w:bottom w:w="0" w:type="dxa"/>
              <w:right w:w="75" w:type="dxa"/>
            </w:tcMar>
            <w:vAlign w:val="center"/>
          </w:tcPr>
          <w:p w14:paraId="6F47E87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851" w:type="pct"/>
            <w:tcBorders>
              <w:tl2br w:val="nil"/>
              <w:tr2bl w:val="nil"/>
            </w:tcBorders>
            <w:shd w:val="clear" w:color="auto" w:fill="auto"/>
            <w:tcMar>
              <w:top w:w="0" w:type="dxa"/>
              <w:left w:w="75" w:type="dxa"/>
              <w:bottom w:w="0" w:type="dxa"/>
              <w:right w:w="75" w:type="dxa"/>
            </w:tcMar>
            <w:vAlign w:val="center"/>
          </w:tcPr>
          <w:p w14:paraId="449BB09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894" w:type="pct"/>
            <w:tcBorders>
              <w:tl2br w:val="nil"/>
              <w:tr2bl w:val="nil"/>
            </w:tcBorders>
            <w:shd w:val="clear" w:color="auto" w:fill="auto"/>
            <w:tcMar>
              <w:top w:w="0" w:type="dxa"/>
              <w:left w:w="75" w:type="dxa"/>
              <w:bottom w:w="0" w:type="dxa"/>
              <w:right w:w="75" w:type="dxa"/>
            </w:tcMar>
            <w:vAlign w:val="center"/>
          </w:tcPr>
          <w:p w14:paraId="72480DB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r>
      <w:tr w14:paraId="7F9CA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40" w:hRule="atLeast"/>
        </w:trPr>
        <w:tc>
          <w:tcPr>
            <w:tcW w:w="364" w:type="pct"/>
            <w:tcBorders>
              <w:tl2br w:val="nil"/>
              <w:tr2bl w:val="nil"/>
            </w:tcBorders>
            <w:shd w:val="clear" w:color="auto" w:fill="auto"/>
            <w:tcMar>
              <w:top w:w="0" w:type="dxa"/>
              <w:left w:w="75" w:type="dxa"/>
              <w:bottom w:w="0" w:type="dxa"/>
              <w:right w:w="75" w:type="dxa"/>
            </w:tcMar>
            <w:vAlign w:val="center"/>
          </w:tcPr>
          <w:p w14:paraId="28E7FAA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720" w:type="pct"/>
            <w:vMerge w:val="continue"/>
            <w:tcBorders>
              <w:tl2br w:val="nil"/>
              <w:tr2bl w:val="nil"/>
            </w:tcBorders>
            <w:shd w:val="clear" w:color="auto" w:fill="auto"/>
            <w:tcMar>
              <w:top w:w="0" w:type="dxa"/>
              <w:left w:w="75" w:type="dxa"/>
              <w:bottom w:w="0" w:type="dxa"/>
              <w:right w:w="75" w:type="dxa"/>
            </w:tcMar>
            <w:vAlign w:val="center"/>
          </w:tcPr>
          <w:p w14:paraId="0DC8A55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826" w:type="pct"/>
            <w:tcBorders>
              <w:tl2br w:val="nil"/>
              <w:tr2bl w:val="nil"/>
            </w:tcBorders>
            <w:shd w:val="clear" w:color="auto" w:fill="auto"/>
            <w:tcMar>
              <w:top w:w="0" w:type="dxa"/>
              <w:left w:w="75" w:type="dxa"/>
              <w:bottom w:w="0" w:type="dxa"/>
              <w:right w:w="75" w:type="dxa"/>
            </w:tcMar>
            <w:vAlign w:val="center"/>
          </w:tcPr>
          <w:p w14:paraId="7AFF6403">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一期升级功能</w:t>
            </w:r>
          </w:p>
        </w:tc>
        <w:tc>
          <w:tcPr>
            <w:tcW w:w="934" w:type="pct"/>
            <w:tcBorders>
              <w:tl2br w:val="nil"/>
              <w:tr2bl w:val="nil"/>
            </w:tcBorders>
            <w:shd w:val="clear" w:color="auto" w:fill="auto"/>
            <w:tcMar>
              <w:top w:w="0" w:type="dxa"/>
              <w:left w:w="75" w:type="dxa"/>
              <w:bottom w:w="0" w:type="dxa"/>
              <w:right w:w="75" w:type="dxa"/>
            </w:tcMar>
            <w:vAlign w:val="center"/>
          </w:tcPr>
          <w:p w14:paraId="2B56E4D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407" w:type="pct"/>
            <w:tcBorders>
              <w:tl2br w:val="nil"/>
              <w:tr2bl w:val="nil"/>
            </w:tcBorders>
            <w:shd w:val="clear" w:color="auto" w:fill="auto"/>
            <w:tcMar>
              <w:top w:w="0" w:type="dxa"/>
              <w:left w:w="75" w:type="dxa"/>
              <w:bottom w:w="0" w:type="dxa"/>
              <w:right w:w="75" w:type="dxa"/>
            </w:tcMar>
            <w:vAlign w:val="center"/>
          </w:tcPr>
          <w:p w14:paraId="21AA0CF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851" w:type="pct"/>
            <w:tcBorders>
              <w:tl2br w:val="nil"/>
              <w:tr2bl w:val="nil"/>
            </w:tcBorders>
            <w:shd w:val="clear" w:color="auto" w:fill="auto"/>
            <w:tcMar>
              <w:top w:w="0" w:type="dxa"/>
              <w:left w:w="75" w:type="dxa"/>
              <w:bottom w:w="0" w:type="dxa"/>
              <w:right w:w="75" w:type="dxa"/>
            </w:tcMar>
            <w:vAlign w:val="center"/>
          </w:tcPr>
          <w:p w14:paraId="735E284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894" w:type="pct"/>
            <w:tcBorders>
              <w:tl2br w:val="nil"/>
              <w:tr2bl w:val="nil"/>
            </w:tcBorders>
            <w:shd w:val="clear" w:color="auto" w:fill="auto"/>
            <w:tcMar>
              <w:top w:w="0" w:type="dxa"/>
              <w:left w:w="75" w:type="dxa"/>
              <w:bottom w:w="0" w:type="dxa"/>
              <w:right w:w="75" w:type="dxa"/>
            </w:tcMar>
            <w:vAlign w:val="center"/>
          </w:tcPr>
          <w:p w14:paraId="35B6340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r>
      <w:tr w14:paraId="3AF73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40" w:hRule="atLeast"/>
        </w:trPr>
        <w:tc>
          <w:tcPr>
            <w:tcW w:w="364" w:type="pct"/>
            <w:tcBorders>
              <w:tl2br w:val="nil"/>
              <w:tr2bl w:val="nil"/>
            </w:tcBorders>
            <w:shd w:val="clear" w:color="auto" w:fill="auto"/>
            <w:tcMar>
              <w:top w:w="0" w:type="dxa"/>
              <w:left w:w="75" w:type="dxa"/>
              <w:bottom w:w="0" w:type="dxa"/>
              <w:right w:w="75" w:type="dxa"/>
            </w:tcMar>
            <w:vAlign w:val="center"/>
          </w:tcPr>
          <w:p w14:paraId="2151C5F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720" w:type="pct"/>
            <w:vMerge w:val="continue"/>
            <w:tcBorders>
              <w:tl2br w:val="nil"/>
              <w:tr2bl w:val="nil"/>
            </w:tcBorders>
            <w:shd w:val="clear" w:color="auto" w:fill="auto"/>
            <w:tcMar>
              <w:top w:w="0" w:type="dxa"/>
              <w:left w:w="75" w:type="dxa"/>
              <w:bottom w:w="0" w:type="dxa"/>
              <w:right w:w="75" w:type="dxa"/>
            </w:tcMar>
            <w:vAlign w:val="center"/>
          </w:tcPr>
          <w:p w14:paraId="0D3713E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826" w:type="pct"/>
            <w:tcBorders>
              <w:tl2br w:val="nil"/>
              <w:tr2bl w:val="nil"/>
            </w:tcBorders>
            <w:shd w:val="clear" w:color="auto" w:fill="auto"/>
            <w:tcMar>
              <w:top w:w="0" w:type="dxa"/>
              <w:left w:w="75" w:type="dxa"/>
              <w:bottom w:w="0" w:type="dxa"/>
              <w:right w:w="75" w:type="dxa"/>
            </w:tcMar>
            <w:vAlign w:val="center"/>
          </w:tcPr>
          <w:p w14:paraId="6C19D5AF">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其他重大项目数据对接</w:t>
            </w:r>
          </w:p>
        </w:tc>
        <w:tc>
          <w:tcPr>
            <w:tcW w:w="934" w:type="pct"/>
            <w:tcBorders>
              <w:tl2br w:val="nil"/>
              <w:tr2bl w:val="nil"/>
            </w:tcBorders>
            <w:shd w:val="clear" w:color="auto" w:fill="auto"/>
            <w:tcMar>
              <w:top w:w="0" w:type="dxa"/>
              <w:left w:w="75" w:type="dxa"/>
              <w:bottom w:w="0" w:type="dxa"/>
              <w:right w:w="75" w:type="dxa"/>
            </w:tcMar>
            <w:vAlign w:val="center"/>
          </w:tcPr>
          <w:p w14:paraId="74AB1E1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407" w:type="pct"/>
            <w:tcBorders>
              <w:tl2br w:val="nil"/>
              <w:tr2bl w:val="nil"/>
            </w:tcBorders>
            <w:shd w:val="clear" w:color="auto" w:fill="auto"/>
            <w:tcMar>
              <w:top w:w="0" w:type="dxa"/>
              <w:left w:w="75" w:type="dxa"/>
              <w:bottom w:w="0" w:type="dxa"/>
              <w:right w:w="75" w:type="dxa"/>
            </w:tcMar>
            <w:vAlign w:val="center"/>
          </w:tcPr>
          <w:p w14:paraId="406BDA4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851" w:type="pct"/>
            <w:tcBorders>
              <w:tl2br w:val="nil"/>
              <w:tr2bl w:val="nil"/>
            </w:tcBorders>
            <w:shd w:val="clear" w:color="auto" w:fill="auto"/>
            <w:tcMar>
              <w:top w:w="0" w:type="dxa"/>
              <w:left w:w="75" w:type="dxa"/>
              <w:bottom w:w="0" w:type="dxa"/>
              <w:right w:w="75" w:type="dxa"/>
            </w:tcMar>
            <w:vAlign w:val="center"/>
          </w:tcPr>
          <w:p w14:paraId="1119C04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894" w:type="pct"/>
            <w:tcBorders>
              <w:tl2br w:val="nil"/>
              <w:tr2bl w:val="nil"/>
            </w:tcBorders>
            <w:shd w:val="clear" w:color="auto" w:fill="auto"/>
            <w:tcMar>
              <w:top w:w="0" w:type="dxa"/>
              <w:left w:w="75" w:type="dxa"/>
              <w:bottom w:w="0" w:type="dxa"/>
              <w:right w:w="75" w:type="dxa"/>
            </w:tcMar>
            <w:vAlign w:val="center"/>
          </w:tcPr>
          <w:p w14:paraId="097A99C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r>
      <w:tr w14:paraId="02790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40" w:hRule="atLeast"/>
        </w:trPr>
        <w:tc>
          <w:tcPr>
            <w:tcW w:w="364" w:type="pct"/>
            <w:tcBorders>
              <w:tl2br w:val="nil"/>
              <w:tr2bl w:val="nil"/>
            </w:tcBorders>
            <w:shd w:val="clear" w:color="auto" w:fill="auto"/>
            <w:tcMar>
              <w:top w:w="0" w:type="dxa"/>
              <w:left w:w="75" w:type="dxa"/>
              <w:bottom w:w="0" w:type="dxa"/>
              <w:right w:w="75" w:type="dxa"/>
            </w:tcMar>
            <w:vAlign w:val="center"/>
          </w:tcPr>
          <w:p w14:paraId="5634CDF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720" w:type="pct"/>
            <w:vMerge w:val="continue"/>
            <w:tcBorders>
              <w:tl2br w:val="nil"/>
              <w:tr2bl w:val="nil"/>
            </w:tcBorders>
            <w:shd w:val="clear" w:color="auto" w:fill="auto"/>
            <w:tcMar>
              <w:top w:w="0" w:type="dxa"/>
              <w:left w:w="75" w:type="dxa"/>
              <w:bottom w:w="0" w:type="dxa"/>
              <w:right w:w="75" w:type="dxa"/>
            </w:tcMar>
            <w:vAlign w:val="center"/>
          </w:tcPr>
          <w:p w14:paraId="7EF9E10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p>
        </w:tc>
        <w:tc>
          <w:tcPr>
            <w:tcW w:w="826" w:type="pct"/>
            <w:tcBorders>
              <w:tl2br w:val="nil"/>
              <w:tr2bl w:val="nil"/>
            </w:tcBorders>
            <w:shd w:val="clear" w:color="auto" w:fill="auto"/>
            <w:tcMar>
              <w:top w:w="0" w:type="dxa"/>
              <w:left w:w="75" w:type="dxa"/>
              <w:bottom w:w="0" w:type="dxa"/>
              <w:right w:w="75" w:type="dxa"/>
            </w:tcMar>
            <w:vAlign w:val="center"/>
          </w:tcPr>
          <w:p w14:paraId="1841F2D8">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后台管理</w:t>
            </w:r>
          </w:p>
        </w:tc>
        <w:tc>
          <w:tcPr>
            <w:tcW w:w="934" w:type="pct"/>
            <w:tcBorders>
              <w:tl2br w:val="nil"/>
              <w:tr2bl w:val="nil"/>
            </w:tcBorders>
            <w:shd w:val="clear" w:color="auto" w:fill="auto"/>
            <w:tcMar>
              <w:top w:w="0" w:type="dxa"/>
              <w:left w:w="75" w:type="dxa"/>
              <w:bottom w:w="0" w:type="dxa"/>
              <w:right w:w="75" w:type="dxa"/>
            </w:tcMar>
            <w:vAlign w:val="center"/>
          </w:tcPr>
          <w:p w14:paraId="0726B14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407" w:type="pct"/>
            <w:tcBorders>
              <w:tl2br w:val="nil"/>
              <w:tr2bl w:val="nil"/>
            </w:tcBorders>
            <w:shd w:val="clear" w:color="auto" w:fill="auto"/>
            <w:tcMar>
              <w:top w:w="0" w:type="dxa"/>
              <w:left w:w="75" w:type="dxa"/>
              <w:bottom w:w="0" w:type="dxa"/>
              <w:right w:w="75" w:type="dxa"/>
            </w:tcMar>
            <w:vAlign w:val="center"/>
          </w:tcPr>
          <w:p w14:paraId="3425CE3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851" w:type="pct"/>
            <w:tcBorders>
              <w:tl2br w:val="nil"/>
              <w:tr2bl w:val="nil"/>
            </w:tcBorders>
            <w:shd w:val="clear" w:color="auto" w:fill="auto"/>
            <w:tcMar>
              <w:top w:w="0" w:type="dxa"/>
              <w:left w:w="75" w:type="dxa"/>
              <w:bottom w:w="0" w:type="dxa"/>
              <w:right w:w="75" w:type="dxa"/>
            </w:tcMar>
            <w:vAlign w:val="center"/>
          </w:tcPr>
          <w:p w14:paraId="7352053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894" w:type="pct"/>
            <w:tcBorders>
              <w:tl2br w:val="nil"/>
              <w:tr2bl w:val="nil"/>
            </w:tcBorders>
            <w:shd w:val="clear" w:color="auto" w:fill="auto"/>
            <w:tcMar>
              <w:top w:w="0" w:type="dxa"/>
              <w:left w:w="75" w:type="dxa"/>
              <w:bottom w:w="0" w:type="dxa"/>
              <w:right w:w="75" w:type="dxa"/>
            </w:tcMar>
            <w:vAlign w:val="center"/>
          </w:tcPr>
          <w:p w14:paraId="2A715FB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r>
      <w:tr w14:paraId="23FB2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40" w:hRule="atLeast"/>
        </w:trPr>
        <w:tc>
          <w:tcPr>
            <w:tcW w:w="364" w:type="pct"/>
            <w:tcBorders>
              <w:tl2br w:val="nil"/>
              <w:tr2bl w:val="nil"/>
            </w:tcBorders>
            <w:shd w:val="clear" w:color="auto" w:fill="auto"/>
            <w:tcMar>
              <w:top w:w="0" w:type="dxa"/>
              <w:left w:w="75" w:type="dxa"/>
              <w:bottom w:w="0" w:type="dxa"/>
              <w:right w:w="75" w:type="dxa"/>
            </w:tcMar>
            <w:vAlign w:val="center"/>
          </w:tcPr>
          <w:p w14:paraId="1DA9C77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720" w:type="pct"/>
            <w:tcBorders>
              <w:tl2br w:val="nil"/>
              <w:tr2bl w:val="nil"/>
            </w:tcBorders>
            <w:shd w:val="clear" w:color="auto" w:fill="auto"/>
            <w:tcMar>
              <w:top w:w="0" w:type="dxa"/>
              <w:left w:w="75" w:type="dxa"/>
              <w:bottom w:w="0" w:type="dxa"/>
              <w:right w:w="75" w:type="dxa"/>
            </w:tcMar>
            <w:vAlign w:val="center"/>
          </w:tcPr>
          <w:p w14:paraId="2D76109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826" w:type="pct"/>
            <w:tcBorders>
              <w:tl2br w:val="nil"/>
              <w:tr2bl w:val="nil"/>
            </w:tcBorders>
            <w:shd w:val="clear" w:color="auto" w:fill="auto"/>
            <w:tcMar>
              <w:top w:w="0" w:type="dxa"/>
              <w:left w:w="75" w:type="dxa"/>
              <w:bottom w:w="0" w:type="dxa"/>
              <w:right w:w="75" w:type="dxa"/>
            </w:tcMar>
            <w:vAlign w:val="center"/>
          </w:tcPr>
          <w:p w14:paraId="258033B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934" w:type="pct"/>
            <w:tcBorders>
              <w:tl2br w:val="nil"/>
              <w:tr2bl w:val="nil"/>
            </w:tcBorders>
            <w:shd w:val="clear" w:color="auto" w:fill="auto"/>
            <w:tcMar>
              <w:top w:w="0" w:type="dxa"/>
              <w:left w:w="75" w:type="dxa"/>
              <w:bottom w:w="0" w:type="dxa"/>
              <w:right w:w="75" w:type="dxa"/>
            </w:tcMar>
            <w:vAlign w:val="center"/>
          </w:tcPr>
          <w:p w14:paraId="7B609F9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b/>
                <w:bCs/>
                <w:i w:val="0"/>
                <w:iCs w:val="0"/>
                <w:color w:val="auto"/>
                <w:kern w:val="0"/>
                <w:sz w:val="21"/>
                <w:szCs w:val="21"/>
                <w:highlight w:val="none"/>
                <w:lang w:val="en-US" w:eastAsia="zh-CN"/>
              </w:rPr>
            </w:pPr>
          </w:p>
        </w:tc>
        <w:tc>
          <w:tcPr>
            <w:tcW w:w="407" w:type="pct"/>
            <w:tcBorders>
              <w:tl2br w:val="nil"/>
              <w:tr2bl w:val="nil"/>
            </w:tcBorders>
            <w:shd w:val="clear" w:color="auto" w:fill="auto"/>
            <w:tcMar>
              <w:top w:w="0" w:type="dxa"/>
              <w:left w:w="75" w:type="dxa"/>
              <w:bottom w:w="0" w:type="dxa"/>
              <w:right w:w="75" w:type="dxa"/>
            </w:tcMar>
            <w:vAlign w:val="center"/>
          </w:tcPr>
          <w:p w14:paraId="3ECD3BF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851" w:type="pct"/>
            <w:tcBorders>
              <w:tl2br w:val="nil"/>
              <w:tr2bl w:val="nil"/>
            </w:tcBorders>
            <w:shd w:val="clear" w:color="auto" w:fill="auto"/>
            <w:tcMar>
              <w:top w:w="0" w:type="dxa"/>
              <w:left w:w="75" w:type="dxa"/>
              <w:bottom w:w="0" w:type="dxa"/>
              <w:right w:w="75" w:type="dxa"/>
            </w:tcMar>
            <w:vAlign w:val="center"/>
          </w:tcPr>
          <w:p w14:paraId="7B2D5EF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894" w:type="pct"/>
            <w:tcBorders>
              <w:tl2br w:val="nil"/>
              <w:tr2bl w:val="nil"/>
            </w:tcBorders>
            <w:shd w:val="clear" w:color="auto" w:fill="auto"/>
            <w:tcMar>
              <w:top w:w="0" w:type="dxa"/>
              <w:left w:w="75" w:type="dxa"/>
              <w:bottom w:w="0" w:type="dxa"/>
              <w:right w:w="75" w:type="dxa"/>
            </w:tcMar>
            <w:vAlign w:val="center"/>
          </w:tcPr>
          <w:p w14:paraId="5FA6CB6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r>
      <w:tr w14:paraId="3E9BB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40" w:hRule="atLeast"/>
        </w:trPr>
        <w:tc>
          <w:tcPr>
            <w:tcW w:w="5000" w:type="pct"/>
            <w:gridSpan w:val="7"/>
            <w:tcBorders>
              <w:tl2br w:val="nil"/>
              <w:tr2bl w:val="nil"/>
            </w:tcBorders>
            <w:shd w:val="clear" w:color="auto" w:fill="auto"/>
            <w:tcMar>
              <w:top w:w="0" w:type="dxa"/>
              <w:left w:w="75" w:type="dxa"/>
              <w:bottom w:w="0" w:type="dxa"/>
              <w:right w:w="75" w:type="dxa"/>
            </w:tcMar>
            <w:vAlign w:val="center"/>
          </w:tcPr>
          <w:p w14:paraId="40877C5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以下（联合体成员）承担的部分：</w:t>
            </w:r>
          </w:p>
        </w:tc>
      </w:tr>
      <w:tr w14:paraId="1813D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40" w:hRule="atLeast"/>
        </w:trPr>
        <w:tc>
          <w:tcPr>
            <w:tcW w:w="364" w:type="pct"/>
            <w:tcBorders>
              <w:tl2br w:val="nil"/>
              <w:tr2bl w:val="nil"/>
            </w:tcBorders>
            <w:shd w:val="clear" w:color="auto" w:fill="auto"/>
            <w:tcMar>
              <w:top w:w="0" w:type="dxa"/>
              <w:left w:w="75" w:type="dxa"/>
              <w:bottom w:w="0" w:type="dxa"/>
              <w:right w:w="75" w:type="dxa"/>
            </w:tcMar>
            <w:vAlign w:val="center"/>
          </w:tcPr>
          <w:p w14:paraId="3E8268A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720" w:type="pct"/>
            <w:tcBorders>
              <w:tl2br w:val="nil"/>
              <w:tr2bl w:val="nil"/>
            </w:tcBorders>
            <w:shd w:val="clear" w:color="auto" w:fill="auto"/>
            <w:tcMar>
              <w:top w:w="0" w:type="dxa"/>
              <w:left w:w="75" w:type="dxa"/>
              <w:bottom w:w="0" w:type="dxa"/>
              <w:right w:w="75" w:type="dxa"/>
            </w:tcMar>
            <w:vAlign w:val="center"/>
          </w:tcPr>
          <w:p w14:paraId="1961CE7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761" w:type="pct"/>
            <w:gridSpan w:val="2"/>
            <w:tcBorders>
              <w:tl2br w:val="nil"/>
              <w:tr2bl w:val="nil"/>
            </w:tcBorders>
            <w:shd w:val="clear" w:color="auto" w:fill="auto"/>
            <w:tcMar>
              <w:top w:w="0" w:type="dxa"/>
              <w:left w:w="75" w:type="dxa"/>
              <w:bottom w:w="0" w:type="dxa"/>
              <w:right w:w="75" w:type="dxa"/>
            </w:tcMar>
            <w:vAlign w:val="center"/>
          </w:tcPr>
          <w:p w14:paraId="4699198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407" w:type="pct"/>
            <w:tcBorders>
              <w:tl2br w:val="nil"/>
              <w:tr2bl w:val="nil"/>
            </w:tcBorders>
            <w:shd w:val="clear" w:color="auto" w:fill="auto"/>
            <w:tcMar>
              <w:top w:w="0" w:type="dxa"/>
              <w:left w:w="75" w:type="dxa"/>
              <w:bottom w:w="0" w:type="dxa"/>
              <w:right w:w="75" w:type="dxa"/>
            </w:tcMar>
            <w:vAlign w:val="center"/>
          </w:tcPr>
          <w:p w14:paraId="696B379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851" w:type="pct"/>
            <w:tcBorders>
              <w:tl2br w:val="nil"/>
              <w:tr2bl w:val="nil"/>
            </w:tcBorders>
            <w:shd w:val="clear" w:color="auto" w:fill="auto"/>
            <w:tcMar>
              <w:top w:w="0" w:type="dxa"/>
              <w:left w:w="75" w:type="dxa"/>
              <w:bottom w:w="0" w:type="dxa"/>
              <w:right w:w="75" w:type="dxa"/>
            </w:tcMar>
            <w:vAlign w:val="center"/>
          </w:tcPr>
          <w:p w14:paraId="75313DC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894" w:type="pct"/>
            <w:tcBorders>
              <w:tl2br w:val="nil"/>
              <w:tr2bl w:val="nil"/>
            </w:tcBorders>
            <w:shd w:val="clear" w:color="auto" w:fill="auto"/>
            <w:tcMar>
              <w:top w:w="0" w:type="dxa"/>
              <w:left w:w="75" w:type="dxa"/>
              <w:bottom w:w="0" w:type="dxa"/>
              <w:right w:w="75" w:type="dxa"/>
            </w:tcMar>
            <w:vAlign w:val="center"/>
          </w:tcPr>
          <w:p w14:paraId="7DFDA1D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r>
      <w:tr w14:paraId="4A52A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40" w:hRule="atLeast"/>
        </w:trPr>
        <w:tc>
          <w:tcPr>
            <w:tcW w:w="5000" w:type="pct"/>
            <w:gridSpan w:val="7"/>
            <w:tcBorders>
              <w:tl2br w:val="nil"/>
              <w:tr2bl w:val="nil"/>
            </w:tcBorders>
            <w:shd w:val="clear" w:color="auto" w:fill="auto"/>
            <w:tcMar>
              <w:top w:w="0" w:type="dxa"/>
              <w:left w:w="75" w:type="dxa"/>
              <w:bottom w:w="0" w:type="dxa"/>
              <w:right w:w="75" w:type="dxa"/>
            </w:tcMar>
            <w:vAlign w:val="center"/>
          </w:tcPr>
          <w:p w14:paraId="7723B57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以下（分包单位）承担的部分：</w:t>
            </w:r>
          </w:p>
        </w:tc>
      </w:tr>
      <w:tr w14:paraId="37E0EB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40" w:hRule="atLeast"/>
        </w:trPr>
        <w:tc>
          <w:tcPr>
            <w:tcW w:w="364" w:type="pct"/>
            <w:tcBorders>
              <w:tl2br w:val="nil"/>
              <w:tr2bl w:val="nil"/>
            </w:tcBorders>
            <w:shd w:val="clear" w:color="auto" w:fill="auto"/>
            <w:tcMar>
              <w:top w:w="0" w:type="dxa"/>
              <w:left w:w="75" w:type="dxa"/>
              <w:bottom w:w="0" w:type="dxa"/>
              <w:right w:w="75" w:type="dxa"/>
            </w:tcMar>
            <w:vAlign w:val="center"/>
          </w:tcPr>
          <w:p w14:paraId="0DD5A82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720" w:type="pct"/>
            <w:tcBorders>
              <w:tl2br w:val="nil"/>
              <w:tr2bl w:val="nil"/>
            </w:tcBorders>
            <w:shd w:val="clear" w:color="auto" w:fill="auto"/>
            <w:tcMar>
              <w:top w:w="0" w:type="dxa"/>
              <w:left w:w="75" w:type="dxa"/>
              <w:bottom w:w="0" w:type="dxa"/>
              <w:right w:w="75" w:type="dxa"/>
            </w:tcMar>
            <w:vAlign w:val="center"/>
          </w:tcPr>
          <w:p w14:paraId="002E74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1761" w:type="pct"/>
            <w:gridSpan w:val="2"/>
            <w:tcBorders>
              <w:tl2br w:val="nil"/>
              <w:tr2bl w:val="nil"/>
            </w:tcBorders>
            <w:shd w:val="clear" w:color="auto" w:fill="auto"/>
            <w:tcMar>
              <w:top w:w="0" w:type="dxa"/>
              <w:left w:w="75" w:type="dxa"/>
              <w:bottom w:w="0" w:type="dxa"/>
              <w:right w:w="75" w:type="dxa"/>
            </w:tcMar>
            <w:vAlign w:val="center"/>
          </w:tcPr>
          <w:p w14:paraId="2BDAFF9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407" w:type="pct"/>
            <w:tcBorders>
              <w:tl2br w:val="nil"/>
              <w:tr2bl w:val="nil"/>
            </w:tcBorders>
            <w:shd w:val="clear" w:color="auto" w:fill="auto"/>
            <w:tcMar>
              <w:top w:w="0" w:type="dxa"/>
              <w:left w:w="75" w:type="dxa"/>
              <w:bottom w:w="0" w:type="dxa"/>
              <w:right w:w="75" w:type="dxa"/>
            </w:tcMar>
            <w:vAlign w:val="center"/>
          </w:tcPr>
          <w:p w14:paraId="28870F0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851" w:type="pct"/>
            <w:tcBorders>
              <w:tl2br w:val="nil"/>
              <w:tr2bl w:val="nil"/>
            </w:tcBorders>
            <w:shd w:val="clear" w:color="auto" w:fill="auto"/>
            <w:tcMar>
              <w:top w:w="0" w:type="dxa"/>
              <w:left w:w="75" w:type="dxa"/>
              <w:bottom w:w="0" w:type="dxa"/>
              <w:right w:w="75" w:type="dxa"/>
            </w:tcMar>
            <w:vAlign w:val="center"/>
          </w:tcPr>
          <w:p w14:paraId="576C1CA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c>
          <w:tcPr>
            <w:tcW w:w="894" w:type="pct"/>
            <w:tcBorders>
              <w:tl2br w:val="nil"/>
              <w:tr2bl w:val="nil"/>
            </w:tcBorders>
            <w:shd w:val="clear" w:color="auto" w:fill="auto"/>
            <w:tcMar>
              <w:top w:w="0" w:type="dxa"/>
              <w:left w:w="75" w:type="dxa"/>
              <w:bottom w:w="0" w:type="dxa"/>
              <w:right w:w="75" w:type="dxa"/>
            </w:tcMar>
            <w:vAlign w:val="center"/>
          </w:tcPr>
          <w:p w14:paraId="6C9D080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 </w:t>
            </w:r>
          </w:p>
        </w:tc>
      </w:tr>
      <w:tr w14:paraId="3AD03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1434" w:hRule="atLeast"/>
        </w:trPr>
        <w:tc>
          <w:tcPr>
            <w:tcW w:w="5000" w:type="pct"/>
            <w:gridSpan w:val="7"/>
            <w:tcBorders>
              <w:tl2br w:val="nil"/>
              <w:tr2bl w:val="nil"/>
            </w:tcBorders>
            <w:shd w:val="clear" w:color="auto" w:fill="auto"/>
            <w:tcMar>
              <w:top w:w="0" w:type="dxa"/>
              <w:left w:w="75" w:type="dxa"/>
              <w:bottom w:w="0" w:type="dxa"/>
              <w:right w:w="75" w:type="dxa"/>
            </w:tcMar>
            <w:vAlign w:val="center"/>
          </w:tcPr>
          <w:p w14:paraId="3CF68BE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响应报价</w:t>
            </w:r>
            <w:r>
              <w:rPr>
                <w:rFonts w:hint="eastAsia" w:ascii="宋体" w:hAnsi="宋体" w:eastAsia="宋体" w:cs="宋体"/>
                <w:i w:val="0"/>
                <w:iCs w:val="0"/>
                <w:color w:val="auto"/>
                <w:kern w:val="0"/>
                <w:sz w:val="21"/>
                <w:szCs w:val="21"/>
                <w:highlight w:val="none"/>
                <w:lang w:val="en-US" w:eastAsia="zh-CN"/>
              </w:rPr>
              <w:t>（计价单位：人民币元）</w:t>
            </w:r>
          </w:p>
          <w:p w14:paraId="0697C0D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总价（小写）：</w:t>
            </w:r>
            <w:r>
              <w:rPr>
                <w:rFonts w:hint="eastAsia" w:ascii="宋体" w:hAnsi="宋体" w:eastAsia="宋体" w:cs="宋体"/>
                <w:b/>
                <w:bCs/>
                <w:i w:val="0"/>
                <w:iCs w:val="0"/>
                <w:color w:val="auto"/>
                <w:kern w:val="0"/>
                <w:sz w:val="21"/>
                <w:szCs w:val="21"/>
                <w:highlight w:val="none"/>
                <w:u w:val="single"/>
                <w:lang w:val="en-US" w:eastAsia="zh-CN"/>
              </w:rPr>
              <w:t>        </w:t>
            </w:r>
          </w:p>
          <w:p w14:paraId="08DED25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lang w:val="en-US" w:eastAsia="zh-CN"/>
              </w:rPr>
              <w:t>总价（大写）：</w:t>
            </w:r>
            <w:r>
              <w:rPr>
                <w:rFonts w:hint="eastAsia" w:ascii="宋体" w:hAnsi="宋体" w:eastAsia="宋体" w:cs="宋体"/>
                <w:b/>
                <w:bCs/>
                <w:i w:val="0"/>
                <w:iCs w:val="0"/>
                <w:color w:val="auto"/>
                <w:kern w:val="0"/>
                <w:sz w:val="21"/>
                <w:szCs w:val="21"/>
                <w:highlight w:val="none"/>
                <w:u w:val="single"/>
                <w:lang w:val="en-US" w:eastAsia="zh-CN"/>
              </w:rPr>
              <w:t>        </w:t>
            </w:r>
          </w:p>
        </w:tc>
      </w:tr>
    </w:tbl>
    <w:p w14:paraId="7A9359A0">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2C712AD6">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供应商名称（电子签名/公章）：</w:t>
      </w:r>
    </w:p>
    <w:p w14:paraId="7CA6B9A8">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日期：    年  月  日</w:t>
      </w:r>
    </w:p>
    <w:p w14:paraId="11FA060D">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26E6BCDC">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注：</w:t>
      </w:r>
    </w:p>
    <w:p w14:paraId="0C85F733">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1.供应商应按采购文件规定的要求填写；</w:t>
      </w:r>
    </w:p>
    <w:p w14:paraId="31C77953">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2.联合体其他成员承担的部分、分包单位承担的部分，应在表中列明。</w:t>
      </w:r>
    </w:p>
    <w:p w14:paraId="47E68BF0">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3.“制造商”按单个标的整体的生产企业确定，与组成标的部件或材料制造商无关。</w:t>
      </w:r>
    </w:p>
    <w:p w14:paraId="72BFBD69">
      <w:pPr>
        <w:keepNext w:val="0"/>
        <w:keepLines w:val="0"/>
        <w:widowControl/>
        <w:suppressLineNumbers w:val="0"/>
        <w:autoSpaceDE w:val="0"/>
        <w:autoSpaceDN/>
        <w:spacing w:line="288" w:lineRule="auto"/>
        <w:ind w:left="0" w:firstLine="0"/>
        <w:jc w:val="left"/>
        <w:rPr>
          <w:rFonts w:hint="eastAsia" w:ascii="宋体" w:hAnsi="宋体" w:eastAsia="宋体" w:cs="宋体"/>
          <w:color w:val="auto"/>
          <w:sz w:val="21"/>
          <w:szCs w:val="21"/>
          <w:highlight w:val="none"/>
        </w:rPr>
      </w:pPr>
    </w:p>
    <w:p w14:paraId="5CCCF8B7">
      <w:pPr>
        <w:pStyle w:val="5"/>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pacing w:val="-2"/>
          <w:sz w:val="21"/>
          <w:szCs w:val="21"/>
          <w:highlight w:val="none"/>
        </w:rPr>
        <w:br w:type="page"/>
      </w:r>
      <w:r>
        <w:rPr>
          <w:rFonts w:hint="eastAsia" w:ascii="宋体" w:hAnsi="宋体" w:eastAsia="宋体" w:cs="宋体"/>
          <w:color w:val="auto"/>
          <w:sz w:val="28"/>
          <w:szCs w:val="28"/>
          <w:highlight w:val="none"/>
        </w:rPr>
        <w:t>附件1：中小企业声明函</w:t>
      </w:r>
    </w:p>
    <w:p w14:paraId="417AEC7C">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中小企业声明函（</w:t>
      </w:r>
      <w:r>
        <w:rPr>
          <w:rFonts w:hint="eastAsia" w:ascii="宋体" w:hAnsi="宋体" w:eastAsia="宋体" w:cs="宋体"/>
          <w:b/>
          <w:bCs/>
          <w:i w:val="0"/>
          <w:iCs w:val="0"/>
          <w:color w:val="auto"/>
          <w:spacing w:val="-6"/>
          <w:kern w:val="0"/>
          <w:sz w:val="21"/>
          <w:szCs w:val="21"/>
          <w:highlight w:val="none"/>
          <w:lang w:val="en-US" w:eastAsia="zh-CN"/>
        </w:rPr>
        <w:t>服务</w:t>
      </w:r>
      <w:r>
        <w:rPr>
          <w:rFonts w:hint="eastAsia" w:ascii="宋体" w:hAnsi="宋体" w:eastAsia="宋体" w:cs="宋体"/>
          <w:b/>
          <w:bCs/>
          <w:color w:val="auto"/>
          <w:spacing w:val="-6"/>
          <w:kern w:val="0"/>
          <w:sz w:val="21"/>
          <w:szCs w:val="21"/>
          <w:highlight w:val="none"/>
          <w:lang w:val="en-US" w:eastAsia="zh-CN"/>
        </w:rPr>
        <w:t>）</w:t>
      </w:r>
    </w:p>
    <w:p w14:paraId="727B21FF">
      <w:pPr>
        <w:keepNext w:val="0"/>
        <w:keepLines w:val="0"/>
        <w:widowControl/>
        <w:suppressLineNumbers w:val="0"/>
        <w:spacing w:line="288" w:lineRule="auto"/>
        <w:jc w:val="cente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kern w:val="0"/>
          <w:sz w:val="21"/>
          <w:szCs w:val="21"/>
          <w:highlight w:val="none"/>
          <w:lang w:val="en-US" w:eastAsia="zh-CN"/>
        </w:rPr>
        <w:t> </w:t>
      </w:r>
    </w:p>
    <w:p w14:paraId="5A2B88C7">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i w:val="0"/>
          <w:iCs w:val="0"/>
          <w:color w:val="auto"/>
          <w:kern w:val="0"/>
          <w:sz w:val="21"/>
          <w:szCs w:val="21"/>
          <w:highlight w:val="none"/>
          <w:u w:val="single"/>
          <w:lang w:val="en-US" w:eastAsia="zh-CN"/>
        </w:rPr>
        <w:t>浙江交通职业技术学院</w:t>
      </w:r>
      <w:r>
        <w:rPr>
          <w:rFonts w:hint="eastAsia" w:ascii="宋体" w:hAnsi="宋体" w:eastAsia="宋体" w:cs="宋体"/>
          <w:color w:val="auto"/>
          <w:kern w:val="0"/>
          <w:sz w:val="21"/>
          <w:szCs w:val="21"/>
          <w:highlight w:val="none"/>
          <w:u w:val="single"/>
          <w:lang w:val="en-US" w:eastAsia="zh-CN"/>
        </w:rPr>
        <w:t>）的（项目名称：</w:t>
      </w:r>
      <w:r>
        <w:rPr>
          <w:rFonts w:hint="eastAsia" w:ascii="宋体" w:hAnsi="宋体" w:eastAsia="宋体" w:cs="宋体"/>
          <w:i w:val="0"/>
          <w:iCs w:val="0"/>
          <w:color w:val="auto"/>
          <w:kern w:val="0"/>
          <w:sz w:val="21"/>
          <w:szCs w:val="21"/>
          <w:highlight w:val="none"/>
          <w:u w:val="single"/>
          <w:lang w:val="en-US" w:eastAsia="zh-CN"/>
        </w:rPr>
        <w:t>廉政风险防控管理系统项目（二期）</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lang w:val="en-US" w:eastAsia="zh-CN"/>
        </w:rPr>
        <w:t>采购活动，</w:t>
      </w:r>
      <w:r>
        <w:rPr>
          <w:rFonts w:hint="eastAsia" w:ascii="宋体" w:hAnsi="宋体" w:eastAsia="宋体" w:cs="宋体"/>
          <w:i w:val="0"/>
          <w:iCs w:val="0"/>
          <w:color w:val="auto"/>
          <w:kern w:val="0"/>
          <w:sz w:val="21"/>
          <w:szCs w:val="21"/>
          <w:highlight w:val="none"/>
          <w:lang w:val="en-US" w:eastAsia="zh-CN"/>
        </w:rPr>
        <w:t>服务全部由符合政策要求的中小企业承接。</w:t>
      </w:r>
    </w:p>
    <w:p w14:paraId="5AC347B5">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相关企业（含联合体中的中小企业、签订分包意向协议的中小企业）的具体情况如下：</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1"/>
        <w:gridCol w:w="1344"/>
        <w:gridCol w:w="1204"/>
        <w:gridCol w:w="1981"/>
        <w:gridCol w:w="1144"/>
        <w:gridCol w:w="1120"/>
        <w:gridCol w:w="1120"/>
        <w:gridCol w:w="1096"/>
      </w:tblGrid>
      <w:tr w14:paraId="79C74E6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52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86F61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序号</w:t>
            </w:r>
          </w:p>
        </w:tc>
        <w:tc>
          <w:tcPr>
            <w:tcW w:w="144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22E54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标的名称</w:t>
            </w:r>
          </w:p>
        </w:tc>
        <w:tc>
          <w:tcPr>
            <w:tcW w:w="128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8551E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219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C65340">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承接企业</w:t>
            </w:r>
          </w:p>
        </w:tc>
        <w:tc>
          <w:tcPr>
            <w:tcW w:w="119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DD1E7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w:t>
            </w:r>
          </w:p>
          <w:p w14:paraId="67C0FF31">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（人）</w:t>
            </w:r>
          </w:p>
        </w:tc>
        <w:tc>
          <w:tcPr>
            <w:tcW w:w="119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BD40C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w:t>
            </w:r>
          </w:p>
          <w:p w14:paraId="448062B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（万元）</w:t>
            </w:r>
          </w:p>
        </w:tc>
        <w:tc>
          <w:tcPr>
            <w:tcW w:w="119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7609F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w:t>
            </w:r>
          </w:p>
          <w:p w14:paraId="1D6C618F">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（万元）</w:t>
            </w:r>
          </w:p>
        </w:tc>
        <w:tc>
          <w:tcPr>
            <w:tcW w:w="119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C5850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企业类型</w:t>
            </w:r>
          </w:p>
        </w:tc>
      </w:tr>
      <w:tr w14:paraId="3509E20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2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3F8E7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44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82B6A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廉政风险防控管理系统项目（二期）</w:t>
            </w:r>
          </w:p>
        </w:tc>
        <w:tc>
          <w:tcPr>
            <w:tcW w:w="12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6926D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r>
              <w:rPr>
                <w:rFonts w:hint="eastAsia" w:ascii="宋体" w:hAnsi="宋体" w:eastAsia="宋体" w:cs="宋体"/>
                <w:color w:val="auto"/>
                <w:sz w:val="21"/>
                <w:szCs w:val="21"/>
                <w:highlight w:val="none"/>
              </w:rPr>
              <w:t>软件和信息技术服务业</w:t>
            </w:r>
            <w:bookmarkStart w:id="18" w:name="_GoBack"/>
            <w:bookmarkEnd w:id="18"/>
          </w:p>
        </w:tc>
        <w:tc>
          <w:tcPr>
            <w:tcW w:w="21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9801C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3B7F3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89286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53F17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586B8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r>
      <w:tr w14:paraId="2E6BEEC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2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F6E45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44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6BAE7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2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8B2D7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21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599F1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EBA8F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5BCD7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E4895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B0CC8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r>
      <w:tr w14:paraId="2FA6FE4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2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85923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44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46CC6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2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BEFA6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21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05589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2CE24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94A57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40D06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838BC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r>
      <w:tr w14:paraId="1FA301F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2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7096A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44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A3913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2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F773C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21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B1F38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30A52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9D320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1498B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9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D87C2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r>
    </w:tbl>
    <w:p w14:paraId="1A228FFC">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以上企业，不属于大企业的分支机构，不存在控股股东为大企业的情形，也不存在与大企业的负责人为同一人的情形。</w:t>
      </w:r>
    </w:p>
    <w:p w14:paraId="4FBDD743">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本企业对上述声明内容的真实性负责。如有虚假，将依法承担相应责任。</w:t>
      </w:r>
    </w:p>
    <w:p w14:paraId="475A2114">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p>
    <w:p w14:paraId="4D864A3D">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供应商名称（电子签名/公章）： </w:t>
      </w:r>
    </w:p>
    <w:p w14:paraId="42339F07">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日期： 年 月 日</w:t>
      </w:r>
    </w:p>
    <w:p w14:paraId="5C195A61">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p>
    <w:p w14:paraId="567DED3B">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说明：</w:t>
      </w:r>
    </w:p>
    <w:p w14:paraId="78CD64C5">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1.标的名称，按照【采购需求】中明确的标的填写；</w:t>
      </w:r>
    </w:p>
    <w:p w14:paraId="146E0E8D">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2.所属行业，按照【采购需求】中明确的标的“所属行业”填写；</w:t>
      </w:r>
    </w:p>
    <w:p w14:paraId="309BC15B">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3.承接企业：服务由中小企业承接，即提供服务的人员为中小企业依照《中华人民共和国劳动合同法》订立劳动合同的从业人员；</w:t>
      </w:r>
    </w:p>
    <w:p w14:paraId="11CC66F0">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4.从业人员、营业收入、资产总额填报上一年度数据，无上一年度数据的新成立企业可不填报。</w:t>
      </w:r>
    </w:p>
    <w:p w14:paraId="487F36B9">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5.企业类型（包括新成立企业），按照《中小企业划型标准规定》（工信部联企业〔2011〕300号）规定和【采购需求】中明确的标的“所属行业”，选择“中型、小型、微型”其中之一；</w:t>
      </w:r>
    </w:p>
    <w:p w14:paraId="7B0FCD29">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6.采购文件中明确的标的是能够独立发挥功能的产品，配件、辅料不作为标的，不需要在《中小企业声明函》里填列。</w:t>
      </w:r>
    </w:p>
    <w:p w14:paraId="350161CA">
      <w:pPr>
        <w:keepNext w:val="0"/>
        <w:keepLines w:val="0"/>
        <w:widowControl/>
        <w:suppressLineNumbers w:val="0"/>
        <w:spacing w:line="288" w:lineRule="auto"/>
        <w:ind w:left="0" w:firstLine="495"/>
        <w:jc w:val="left"/>
        <w:rPr>
          <w:rFonts w:hint="eastAsia" w:ascii="宋体" w:hAnsi="宋体" w:eastAsia="宋体" w:cs="宋体"/>
          <w:color w:val="auto"/>
          <w:sz w:val="21"/>
          <w:szCs w:val="21"/>
          <w:highlight w:val="none"/>
        </w:rPr>
      </w:pPr>
    </w:p>
    <w:p w14:paraId="0049D0CE">
      <w:pPr>
        <w:pStyle w:val="5"/>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附件2：属于监狱企业的证明文件</w:t>
      </w:r>
    </w:p>
    <w:p w14:paraId="0E6C9C41">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（仅适用于：供应商属于监狱企业）</w:t>
      </w:r>
    </w:p>
    <w:p w14:paraId="672DF336">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0938EEB4">
      <w:pPr>
        <w:keepNext w:val="0"/>
        <w:keepLines w:val="0"/>
        <w:widowControl/>
        <w:suppressLineNumbers w:val="0"/>
        <w:spacing w:line="288" w:lineRule="auto"/>
        <w:ind w:left="0" w:firstLine="373"/>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监狱企业参加政府采购活动时，应当提供由省级以上监狱管理局、戒毒管理局（含新疆生产建设兵团）出具的属于监狱企业的证明文件。</w:t>
      </w:r>
    </w:p>
    <w:p w14:paraId="4B0C8A98">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5DD5A742">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说明：</w:t>
      </w:r>
    </w:p>
    <w:p w14:paraId="6660312A">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FF80D1B">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二、在政府采购活动中，监狱企业视同小型、微型企业，享受预留份额、评审中价格扣除等政府采购促进中小企业发展的政府采购政策。</w:t>
      </w:r>
    </w:p>
    <w:p w14:paraId="27FDA7C6">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p>
    <w:p w14:paraId="364F4AF8">
      <w:pPr>
        <w:pStyle w:val="5"/>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附件3：残疾人福利性单位声明函</w:t>
      </w:r>
    </w:p>
    <w:p w14:paraId="7D265A33">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（仅适用于：供应商属于残疾人福利性单位）</w:t>
      </w:r>
    </w:p>
    <w:p w14:paraId="3129C6C1">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1DFD406E">
      <w:pPr>
        <w:keepNext w:val="0"/>
        <w:keepLines w:val="0"/>
        <w:widowControl/>
        <w:suppressLineNumbers w:val="0"/>
        <w:spacing w:line="288" w:lineRule="auto"/>
        <w:ind w:left="0" w:firstLine="444"/>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本单位郑重声明，根据《财政部民政部中国残疾人联合会关于促进残疾人就业政府采购政策的通知》（财库</w:t>
      </w:r>
      <w:r>
        <w:rPr>
          <w:rFonts w:hint="eastAsia" w:ascii="宋体" w:hAnsi="宋体" w:eastAsia="宋体" w:cs="宋体"/>
          <w:color w:val="auto"/>
          <w:kern w:val="0"/>
          <w:sz w:val="21"/>
          <w:szCs w:val="21"/>
          <w:highlight w:val="none"/>
          <w:lang w:val="en-US" w:eastAsia="zh-CN"/>
        </w:rPr>
        <w:t>〔2017〕141</w:t>
      </w:r>
      <w:r>
        <w:rPr>
          <w:rFonts w:hint="eastAsia" w:ascii="宋体" w:hAnsi="宋体" w:eastAsia="宋体" w:cs="宋体"/>
          <w:color w:val="auto"/>
          <w:spacing w:val="6"/>
          <w:kern w:val="0"/>
          <w:sz w:val="21"/>
          <w:szCs w:val="21"/>
          <w:highlight w:val="none"/>
          <w:lang w:val="en-US" w:eastAsia="zh-CN"/>
        </w:rPr>
        <w:t>号）的规定，</w:t>
      </w:r>
      <w:r>
        <w:rPr>
          <w:rFonts w:hint="eastAsia" w:ascii="宋体" w:hAnsi="宋体" w:eastAsia="宋体" w:cs="宋体"/>
          <w:b/>
          <w:bCs/>
          <w:color w:val="auto"/>
          <w:spacing w:val="6"/>
          <w:kern w:val="0"/>
          <w:sz w:val="21"/>
          <w:szCs w:val="21"/>
          <w:highlight w:val="none"/>
          <w:lang w:val="en-US" w:eastAsia="zh-CN"/>
        </w:rPr>
        <w:t>本单位为符合条件的残疾人福利性单位</w:t>
      </w:r>
      <w:r>
        <w:rPr>
          <w:rFonts w:hint="eastAsia" w:ascii="宋体" w:hAnsi="宋体" w:eastAsia="宋体" w:cs="宋体"/>
          <w:color w:val="auto"/>
          <w:spacing w:val="6"/>
          <w:kern w:val="0"/>
          <w:sz w:val="21"/>
          <w:szCs w:val="21"/>
          <w:highlight w:val="none"/>
          <w:lang w:val="en-US" w:eastAsia="zh-CN"/>
        </w:rPr>
        <w:t>，且本单位参加（采购人）单位的（项目名称）项目采购活动提供本单位制造的货物（由本单位承担工程/提供服务），或者提供其他残疾人福利性单位制造的货物（不包括使用非残疾人福利性单位注册商标的货物）。</w:t>
      </w:r>
    </w:p>
    <w:p w14:paraId="6F3EBC00">
      <w:pPr>
        <w:keepNext w:val="0"/>
        <w:keepLines w:val="0"/>
        <w:widowControl/>
        <w:suppressLineNumbers w:val="0"/>
        <w:spacing w:line="288" w:lineRule="auto"/>
        <w:ind w:left="0" w:firstLine="444"/>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本单位对上述声明的真实性负责。如有虚假，将依法承担相应责任。</w:t>
      </w:r>
    </w:p>
    <w:p w14:paraId="631D47B5">
      <w:pPr>
        <w:keepNext w:val="0"/>
        <w:keepLines w:val="0"/>
        <w:widowControl/>
        <w:suppressLineNumbers w:val="0"/>
        <w:spacing w:line="288" w:lineRule="auto"/>
        <w:ind w:left="0" w:right="1560" w:firstLine="444"/>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单位名称（盖章）：</w:t>
      </w:r>
    </w:p>
    <w:p w14:paraId="35DB409B">
      <w:pPr>
        <w:keepNext w:val="0"/>
        <w:keepLines w:val="0"/>
        <w:widowControl/>
        <w:suppressLineNumbers w:val="0"/>
        <w:spacing w:line="288" w:lineRule="auto"/>
        <w:ind w:left="0" w:right="1560" w:firstLine="444"/>
        <w:jc w:val="left"/>
        <w:rPr>
          <w:rFonts w:hint="eastAsia" w:ascii="宋体" w:hAnsi="宋体" w:eastAsia="宋体" w:cs="宋体"/>
          <w:color w:val="auto"/>
          <w:sz w:val="21"/>
          <w:szCs w:val="21"/>
          <w:highlight w:val="none"/>
        </w:rPr>
      </w:pPr>
      <w:r>
        <w:rPr>
          <w:rFonts w:hint="eastAsia" w:ascii="宋体" w:hAnsi="宋体" w:eastAsia="宋体" w:cs="宋体"/>
          <w:color w:val="auto"/>
          <w:spacing w:val="6"/>
          <w:kern w:val="0"/>
          <w:sz w:val="21"/>
          <w:szCs w:val="21"/>
          <w:highlight w:val="none"/>
          <w:lang w:val="en-US" w:eastAsia="zh-CN"/>
        </w:rPr>
        <w:t>日期：</w:t>
      </w:r>
    </w:p>
    <w:p w14:paraId="29EE12FB">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65E2FD30">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说明：</w:t>
      </w:r>
    </w:p>
    <w:p w14:paraId="47993950">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一、享受政府采购支持政策的残疾人福利性单位应当同时满足以下条件：</w:t>
      </w:r>
    </w:p>
    <w:p w14:paraId="703E4645">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（一）安置的残疾人占本单位在职职工人数的比例不低于25%（含25%），并且安置的残疾人人数不少于10人（含10人）；</w:t>
      </w:r>
    </w:p>
    <w:p w14:paraId="6DA97086">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（二）依法与安置的每位残疾人签订了一年以上（含一年）的劳动合同或服务协议；</w:t>
      </w:r>
    </w:p>
    <w:p w14:paraId="718B052A">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（三）为安置的每位残疾人按月足额缴纳了基本养老保险、基本医疗保险、失业保险、工伤保险和生育保险等社会保险费；</w:t>
      </w:r>
    </w:p>
    <w:p w14:paraId="72F02268">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（四）通过银行等金融机构向安置的每位残疾人，按月支付了不低于单位所在区县适用的经省级人民政府批准的月最低工资标准的工资；</w:t>
      </w:r>
    </w:p>
    <w:p w14:paraId="726E1E66">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（五）提供本单位制造的货物、承担的工程或者服务（以下简称产品），或者提供其他残疾人福利性单位制造的货物（不包括使用非残疾人福利性单位注册商标的货物）。</w:t>
      </w:r>
    </w:p>
    <w:p w14:paraId="3CFEEF97">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FEE9703">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二、符合条件的残疾人福利性单位在参加政府采购活动时，应当提供财库[2017]141号文件规定的《残疾人福利性单位声明函》，并对声明的真实性负责。</w:t>
      </w:r>
    </w:p>
    <w:p w14:paraId="6A6C1C42">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三、在政府采购活动中，残疾人福利性单位视同小型、微型企业，享受预留份额、评审中价格扣除等促进中小企业发展的政府采购政策。</w:t>
      </w:r>
    </w:p>
    <w:p w14:paraId="30087E99">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残疾人福利性单位属于小型、微型企业的，不重复享受政策。</w:t>
      </w:r>
    </w:p>
    <w:p w14:paraId="0BAD5BF0">
      <w:pPr>
        <w:keepNext w:val="0"/>
        <w:keepLines w:val="0"/>
        <w:widowControl/>
        <w:suppressLineNumbers w:val="0"/>
        <w:spacing w:line="288" w:lineRule="auto"/>
        <w:ind w:left="0" w:firstLine="371"/>
        <w:jc w:val="left"/>
        <w:rPr>
          <w:rFonts w:hint="eastAsia" w:ascii="宋体" w:hAnsi="宋体" w:eastAsia="宋体" w:cs="宋体"/>
          <w:color w:val="auto"/>
          <w:sz w:val="21"/>
          <w:szCs w:val="21"/>
          <w:highlight w:val="none"/>
        </w:rPr>
      </w:pPr>
    </w:p>
    <w:p w14:paraId="2609E98B">
      <w:pPr>
        <w:pStyle w:val="5"/>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附件4：联合协议</w:t>
      </w:r>
    </w:p>
    <w:p w14:paraId="51107393">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联合协议</w:t>
      </w:r>
    </w:p>
    <w:p w14:paraId="4130E7B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156346A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rPr>
        <w:t>（联合体所有成员名称）</w:t>
      </w:r>
      <w:r>
        <w:rPr>
          <w:rFonts w:hint="eastAsia" w:ascii="宋体" w:hAnsi="宋体" w:eastAsia="宋体" w:cs="宋体"/>
          <w:color w:val="auto"/>
          <w:kern w:val="0"/>
          <w:sz w:val="21"/>
          <w:szCs w:val="21"/>
          <w:highlight w:val="none"/>
          <w:lang w:val="en-US" w:eastAsia="zh-CN"/>
        </w:rPr>
        <w:t>自愿组成一个联合体，以一个供应商的身份参加</w:t>
      </w:r>
      <w:r>
        <w:rPr>
          <w:rFonts w:hint="eastAsia" w:ascii="宋体" w:hAnsi="宋体" w:eastAsia="宋体" w:cs="宋体"/>
          <w:color w:val="auto"/>
          <w:kern w:val="0"/>
          <w:sz w:val="21"/>
          <w:szCs w:val="21"/>
          <w:highlight w:val="none"/>
          <w:u w:val="single"/>
          <w:lang w:val="en-US" w:eastAsia="zh-CN"/>
        </w:rPr>
        <w:t>（项目名称：</w:t>
      </w:r>
      <w:r>
        <w:rPr>
          <w:rFonts w:hint="eastAsia" w:ascii="宋体" w:hAnsi="宋体" w:eastAsia="宋体" w:cs="宋体"/>
          <w:i w:val="0"/>
          <w:iCs w:val="0"/>
          <w:color w:val="auto"/>
          <w:kern w:val="0"/>
          <w:sz w:val="21"/>
          <w:szCs w:val="21"/>
          <w:highlight w:val="none"/>
          <w:u w:val="single"/>
          <w:lang w:val="en-US" w:eastAsia="zh-CN"/>
        </w:rPr>
        <w:t>廉政风险防控管理系统项目（二期）</w:t>
      </w:r>
      <w:r>
        <w:rPr>
          <w:rFonts w:hint="eastAsia" w:ascii="宋体" w:hAnsi="宋体" w:eastAsia="宋体" w:cs="宋体"/>
          <w:color w:val="auto"/>
          <w:kern w:val="0"/>
          <w:sz w:val="21"/>
          <w:szCs w:val="21"/>
          <w:highlight w:val="none"/>
          <w:u w:val="single"/>
          <w:lang w:val="en-US" w:eastAsia="zh-CN"/>
        </w:rPr>
        <w:t>，项目编号：</w:t>
      </w:r>
      <w:r>
        <w:rPr>
          <w:rFonts w:hint="eastAsia" w:ascii="宋体" w:hAnsi="宋体" w:eastAsia="宋体" w:cs="宋体"/>
          <w:i w:val="0"/>
          <w:iCs w:val="0"/>
          <w:color w:val="auto"/>
          <w:kern w:val="0"/>
          <w:sz w:val="21"/>
          <w:szCs w:val="21"/>
          <w:highlight w:val="none"/>
          <w:u w:val="single"/>
          <w:lang w:val="en-US" w:eastAsia="zh-CN"/>
        </w:rPr>
        <w:t>330000263030390000079-QSZBC260131ZFCS</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i w:val="0"/>
          <w:iCs w:val="0"/>
          <w:color w:val="auto"/>
          <w:kern w:val="0"/>
          <w:sz w:val="21"/>
          <w:szCs w:val="21"/>
          <w:highlight w:val="none"/>
          <w:lang w:val="en-US" w:eastAsia="zh-CN"/>
        </w:rPr>
        <w:t>响应</w:t>
      </w:r>
      <w:r>
        <w:rPr>
          <w:rFonts w:hint="eastAsia" w:ascii="宋体" w:hAnsi="宋体" w:eastAsia="宋体" w:cs="宋体"/>
          <w:color w:val="auto"/>
          <w:kern w:val="0"/>
          <w:sz w:val="21"/>
          <w:szCs w:val="21"/>
          <w:highlight w:val="none"/>
          <w:lang w:val="en-US" w:eastAsia="zh-CN"/>
        </w:rPr>
        <w:t>。</w:t>
      </w:r>
    </w:p>
    <w:p w14:paraId="52A483B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一、各方一致决定，</w:t>
      </w:r>
      <w:r>
        <w:rPr>
          <w:rFonts w:hint="eastAsia" w:ascii="宋体" w:hAnsi="宋体" w:eastAsia="宋体" w:cs="宋体"/>
          <w:color w:val="auto"/>
          <w:kern w:val="0"/>
          <w:sz w:val="21"/>
          <w:szCs w:val="21"/>
          <w:highlight w:val="none"/>
          <w:u w:val="single"/>
          <w:lang w:val="en-US" w:eastAsia="zh-CN"/>
        </w:rPr>
        <w:t>（某联合体成员名称）</w:t>
      </w:r>
      <w:r>
        <w:rPr>
          <w:rFonts w:hint="eastAsia" w:ascii="宋体" w:hAnsi="宋体" w:eastAsia="宋体" w:cs="宋体"/>
          <w:color w:val="auto"/>
          <w:kern w:val="0"/>
          <w:sz w:val="21"/>
          <w:szCs w:val="21"/>
          <w:highlight w:val="none"/>
          <w:lang w:val="en-US" w:eastAsia="zh-CN"/>
        </w:rPr>
        <w:t>为联合体牵头人，代表所有联合体成员负责</w:t>
      </w:r>
      <w:r>
        <w:rPr>
          <w:rFonts w:hint="eastAsia" w:ascii="宋体" w:hAnsi="宋体" w:eastAsia="宋体" w:cs="宋体"/>
          <w:i w:val="0"/>
          <w:iCs w:val="0"/>
          <w:color w:val="auto"/>
          <w:kern w:val="0"/>
          <w:sz w:val="21"/>
          <w:szCs w:val="21"/>
          <w:highlight w:val="none"/>
          <w:lang w:val="en-US" w:eastAsia="zh-CN"/>
        </w:rPr>
        <w:t>响应</w:t>
      </w:r>
      <w:r>
        <w:rPr>
          <w:rFonts w:hint="eastAsia" w:ascii="宋体" w:hAnsi="宋体" w:eastAsia="宋体" w:cs="宋体"/>
          <w:color w:val="auto"/>
          <w:kern w:val="0"/>
          <w:sz w:val="21"/>
          <w:szCs w:val="21"/>
          <w:highlight w:val="none"/>
          <w:lang w:val="en-US" w:eastAsia="zh-CN"/>
        </w:rPr>
        <w:t>和合同实施阶段的主办、协调工作。</w:t>
      </w:r>
    </w:p>
    <w:p w14:paraId="40F2E2E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二、所有联合体成员各方签署授权书，授权书载明的授权代表根据采购文件规定及</w:t>
      </w:r>
      <w:r>
        <w:rPr>
          <w:rFonts w:hint="eastAsia" w:ascii="宋体" w:hAnsi="宋体" w:eastAsia="宋体" w:cs="宋体"/>
          <w:i w:val="0"/>
          <w:iCs w:val="0"/>
          <w:color w:val="auto"/>
          <w:kern w:val="0"/>
          <w:sz w:val="21"/>
          <w:szCs w:val="21"/>
          <w:highlight w:val="none"/>
          <w:lang w:val="en-US" w:eastAsia="zh-CN"/>
        </w:rPr>
        <w:t>响应</w:t>
      </w:r>
      <w:r>
        <w:rPr>
          <w:rFonts w:hint="eastAsia" w:ascii="宋体" w:hAnsi="宋体" w:eastAsia="宋体" w:cs="宋体"/>
          <w:color w:val="auto"/>
          <w:kern w:val="0"/>
          <w:sz w:val="21"/>
          <w:szCs w:val="21"/>
          <w:highlight w:val="none"/>
          <w:lang w:val="en-US" w:eastAsia="zh-CN"/>
        </w:rPr>
        <w:t>内容而对采购人、采购代理机构所作的任何合法承诺，包括书面澄清及相应等均对联合</w:t>
      </w:r>
      <w:r>
        <w:rPr>
          <w:rFonts w:hint="eastAsia" w:ascii="宋体" w:hAnsi="宋体" w:eastAsia="宋体" w:cs="宋体"/>
          <w:i w:val="0"/>
          <w:iCs w:val="0"/>
          <w:color w:val="auto"/>
          <w:kern w:val="0"/>
          <w:sz w:val="21"/>
          <w:szCs w:val="21"/>
          <w:highlight w:val="none"/>
          <w:lang w:val="en-US" w:eastAsia="zh-CN"/>
        </w:rPr>
        <w:t>响应</w:t>
      </w:r>
      <w:r>
        <w:rPr>
          <w:rFonts w:hint="eastAsia" w:ascii="宋体" w:hAnsi="宋体" w:eastAsia="宋体" w:cs="宋体"/>
          <w:color w:val="auto"/>
          <w:kern w:val="0"/>
          <w:sz w:val="21"/>
          <w:szCs w:val="21"/>
          <w:highlight w:val="none"/>
          <w:lang w:val="en-US" w:eastAsia="zh-CN"/>
        </w:rPr>
        <w:t>各方产生约束力。</w:t>
      </w:r>
    </w:p>
    <w:p w14:paraId="5D1EFD2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三、本次联合</w:t>
      </w:r>
      <w:r>
        <w:rPr>
          <w:rFonts w:hint="eastAsia" w:ascii="宋体" w:hAnsi="宋体" w:eastAsia="宋体" w:cs="宋体"/>
          <w:i w:val="0"/>
          <w:iCs w:val="0"/>
          <w:color w:val="auto"/>
          <w:kern w:val="0"/>
          <w:sz w:val="21"/>
          <w:szCs w:val="21"/>
          <w:highlight w:val="none"/>
          <w:lang w:val="en-US" w:eastAsia="zh-CN"/>
        </w:rPr>
        <w:t>响应</w:t>
      </w:r>
      <w:r>
        <w:rPr>
          <w:rFonts w:hint="eastAsia" w:ascii="宋体" w:hAnsi="宋体" w:eastAsia="宋体" w:cs="宋体"/>
          <w:color w:val="auto"/>
          <w:kern w:val="0"/>
          <w:sz w:val="21"/>
          <w:szCs w:val="21"/>
          <w:highlight w:val="none"/>
          <w:lang w:val="en-US" w:eastAsia="zh-CN"/>
        </w:rPr>
        <w:t>中，分工如下：</w:t>
      </w:r>
    </w:p>
    <w:p w14:paraId="16C2486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rPr>
        <w:t>（联合体成员1）</w:t>
      </w:r>
      <w:r>
        <w:rPr>
          <w:rFonts w:hint="eastAsia" w:ascii="宋体" w:hAnsi="宋体" w:eastAsia="宋体" w:cs="宋体"/>
          <w:color w:val="auto"/>
          <w:kern w:val="0"/>
          <w:sz w:val="21"/>
          <w:szCs w:val="21"/>
          <w:highlight w:val="none"/>
          <w:lang w:val="en-US" w:eastAsia="zh-CN"/>
        </w:rPr>
        <w:t>承担的工作和义务为：；</w:t>
      </w:r>
    </w:p>
    <w:p w14:paraId="218B1A7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rPr>
        <w:t>（联合体成员2）</w:t>
      </w:r>
      <w:r>
        <w:rPr>
          <w:rFonts w:hint="eastAsia" w:ascii="宋体" w:hAnsi="宋体" w:eastAsia="宋体" w:cs="宋体"/>
          <w:color w:val="auto"/>
          <w:kern w:val="0"/>
          <w:sz w:val="21"/>
          <w:szCs w:val="21"/>
          <w:highlight w:val="none"/>
          <w:lang w:val="en-US" w:eastAsia="zh-CN"/>
        </w:rPr>
        <w:t>承担的工作和义务为：；</w:t>
      </w:r>
    </w:p>
    <w:p w14:paraId="0F58AB1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p w14:paraId="3A5C3D8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四、联合体成员中小企业合同份额。</w:t>
      </w:r>
    </w:p>
    <w:p w14:paraId="703A721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中小企业合同金额达到【    %】，其中小微企业合同金额达到【    %】，其中：</w:t>
      </w:r>
    </w:p>
    <w:p w14:paraId="6C7EBF4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u w:val="single"/>
          <w:lang w:val="en-US" w:eastAsia="zh-CN"/>
        </w:rPr>
        <w:t>（联合体成员X，……）</w:t>
      </w:r>
      <w:r>
        <w:rPr>
          <w:rFonts w:hint="eastAsia" w:ascii="宋体" w:hAnsi="宋体" w:eastAsia="宋体" w:cs="宋体"/>
          <w:color w:val="auto"/>
          <w:kern w:val="0"/>
          <w:sz w:val="21"/>
          <w:szCs w:val="21"/>
          <w:highlight w:val="none"/>
          <w:lang w:val="en-US" w:eastAsia="zh-CN"/>
        </w:rPr>
        <w:t>提供的全部货物由小微企业制造（服务全部由小微企业承接），其合同份额占到合同总金额【    %】以上；</w:t>
      </w:r>
    </w:p>
    <w:p w14:paraId="0AA0AAFB">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p w14:paraId="1FBAAA2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五、如果</w:t>
      </w:r>
      <w:r>
        <w:rPr>
          <w:rFonts w:hint="eastAsia" w:ascii="宋体" w:hAnsi="宋体" w:eastAsia="宋体" w:cs="宋体"/>
          <w:i w:val="0"/>
          <w:iCs w:val="0"/>
          <w:color w:val="auto"/>
          <w:kern w:val="0"/>
          <w:sz w:val="21"/>
          <w:szCs w:val="21"/>
          <w:highlight w:val="none"/>
          <w:lang w:val="en-US" w:eastAsia="zh-CN"/>
        </w:rPr>
        <w:t>成交</w:t>
      </w:r>
      <w:r>
        <w:rPr>
          <w:rFonts w:hint="eastAsia" w:ascii="宋体" w:hAnsi="宋体" w:eastAsia="宋体" w:cs="宋体"/>
          <w:color w:val="auto"/>
          <w:kern w:val="0"/>
          <w:sz w:val="21"/>
          <w:szCs w:val="21"/>
          <w:highlight w:val="none"/>
          <w:lang w:val="en-US" w:eastAsia="zh-CN"/>
        </w:rPr>
        <w:t>，联合体各成员方共同与采购人签订合同，并就采购合同约定的事项对采购人承担连带责任。</w:t>
      </w:r>
    </w:p>
    <w:p w14:paraId="37DB42B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六、有关本次联合</w:t>
      </w:r>
      <w:r>
        <w:rPr>
          <w:rFonts w:hint="eastAsia" w:ascii="宋体" w:hAnsi="宋体" w:eastAsia="宋体" w:cs="宋体"/>
          <w:i w:val="0"/>
          <w:iCs w:val="0"/>
          <w:color w:val="auto"/>
          <w:kern w:val="0"/>
          <w:sz w:val="21"/>
          <w:szCs w:val="21"/>
          <w:highlight w:val="none"/>
          <w:lang w:val="en-US" w:eastAsia="zh-CN"/>
        </w:rPr>
        <w:t>响应</w:t>
      </w:r>
      <w:r>
        <w:rPr>
          <w:rFonts w:hint="eastAsia" w:ascii="宋体" w:hAnsi="宋体" w:eastAsia="宋体" w:cs="宋体"/>
          <w:color w:val="auto"/>
          <w:kern w:val="0"/>
          <w:sz w:val="21"/>
          <w:szCs w:val="21"/>
          <w:highlight w:val="none"/>
          <w:lang w:val="en-US" w:eastAsia="zh-CN"/>
        </w:rPr>
        <w:t>的其他事宜：</w:t>
      </w:r>
    </w:p>
    <w:p w14:paraId="5EF92DA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1.联合体各方不再单独参加或者与其他供应商另外组成联合体参加同一合同项下的政府采购活动。</w:t>
      </w:r>
    </w:p>
    <w:p w14:paraId="25D5F6E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2.联合体中有同类资质的各方按照联合体分工承担相同工作的，按照资质等级较低的供应商确定资质等级。</w:t>
      </w:r>
    </w:p>
    <w:p w14:paraId="6816FDB6">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3.本协议提交采购人、采购代理机构后，联合体各方不得以任何形式对上述内容进行修改或撤销。</w:t>
      </w:r>
    </w:p>
    <w:p w14:paraId="3FFF111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p w14:paraId="169DB3CF">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联合体成员（各方）名称(电子签名/公章)：</w:t>
      </w:r>
    </w:p>
    <w:p w14:paraId="2CEF750B">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5A45A0F0">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日期：  年  月  日</w:t>
      </w:r>
    </w:p>
    <w:p w14:paraId="3D65B940">
      <w:pPr>
        <w:keepNext w:val="0"/>
        <w:keepLines w:val="0"/>
        <w:widowControl/>
        <w:suppressLineNumbers w:val="0"/>
        <w:spacing w:line="288" w:lineRule="auto"/>
        <w:ind w:right="420"/>
        <w:jc w:val="left"/>
        <w:rPr>
          <w:rFonts w:hint="eastAsia" w:ascii="宋体" w:hAnsi="宋体" w:eastAsia="宋体" w:cs="宋体"/>
          <w:color w:val="auto"/>
          <w:sz w:val="21"/>
          <w:szCs w:val="21"/>
          <w:highlight w:val="none"/>
        </w:rPr>
      </w:pPr>
    </w:p>
    <w:p w14:paraId="49E774AA">
      <w:pPr>
        <w:keepNext w:val="0"/>
        <w:keepLines w:val="0"/>
        <w:widowControl/>
        <w:suppressLineNumbers w:val="0"/>
        <w:spacing w:line="288" w:lineRule="auto"/>
        <w:ind w:right="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注：</w:t>
      </w:r>
    </w:p>
    <w:p w14:paraId="09E65CA8">
      <w:pPr>
        <w:keepNext w:val="0"/>
        <w:keepLines w:val="0"/>
        <w:widowControl/>
        <w:suppressLineNumbers w:val="0"/>
        <w:spacing w:line="288" w:lineRule="auto"/>
        <w:ind w:right="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1.按本格式和要求提供。</w:t>
      </w:r>
    </w:p>
    <w:p w14:paraId="1F91B97F">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2.以联合体形式</w:t>
      </w:r>
      <w:r>
        <w:rPr>
          <w:rFonts w:hint="eastAsia" w:ascii="宋体" w:hAnsi="宋体" w:eastAsia="宋体" w:cs="宋体"/>
          <w:i w:val="0"/>
          <w:iCs w:val="0"/>
          <w:color w:val="auto"/>
          <w:kern w:val="0"/>
          <w:sz w:val="21"/>
          <w:szCs w:val="21"/>
          <w:highlight w:val="none"/>
          <w:lang w:val="en-US" w:eastAsia="zh-CN"/>
        </w:rPr>
        <w:t>响应</w:t>
      </w:r>
      <w:r>
        <w:rPr>
          <w:rFonts w:hint="eastAsia" w:ascii="宋体" w:hAnsi="宋体" w:eastAsia="宋体" w:cs="宋体"/>
          <w:color w:val="auto"/>
          <w:kern w:val="0"/>
          <w:sz w:val="21"/>
          <w:szCs w:val="21"/>
          <w:highlight w:val="none"/>
          <w:lang w:val="en-US" w:eastAsia="zh-CN"/>
        </w:rPr>
        <w:t>的，提供联合协议；本项目不接受联合体</w:t>
      </w:r>
      <w:r>
        <w:rPr>
          <w:rFonts w:hint="eastAsia" w:ascii="宋体" w:hAnsi="宋体" w:eastAsia="宋体" w:cs="宋体"/>
          <w:i w:val="0"/>
          <w:iCs w:val="0"/>
          <w:color w:val="auto"/>
          <w:kern w:val="0"/>
          <w:sz w:val="21"/>
          <w:szCs w:val="21"/>
          <w:highlight w:val="none"/>
          <w:lang w:val="en-US" w:eastAsia="zh-CN"/>
        </w:rPr>
        <w:t>响应</w:t>
      </w:r>
      <w:r>
        <w:rPr>
          <w:rFonts w:hint="eastAsia" w:ascii="宋体" w:hAnsi="宋体" w:eastAsia="宋体" w:cs="宋体"/>
          <w:color w:val="auto"/>
          <w:kern w:val="0"/>
          <w:sz w:val="21"/>
          <w:szCs w:val="21"/>
          <w:highlight w:val="none"/>
          <w:lang w:val="en-US" w:eastAsia="zh-CN"/>
        </w:rPr>
        <w:t>或者供应商不以联合体形式</w:t>
      </w:r>
      <w:r>
        <w:rPr>
          <w:rFonts w:hint="eastAsia" w:ascii="宋体" w:hAnsi="宋体" w:eastAsia="宋体" w:cs="宋体"/>
          <w:i w:val="0"/>
          <w:iCs w:val="0"/>
          <w:color w:val="auto"/>
          <w:kern w:val="0"/>
          <w:sz w:val="21"/>
          <w:szCs w:val="21"/>
          <w:highlight w:val="none"/>
          <w:lang w:val="en-US" w:eastAsia="zh-CN"/>
        </w:rPr>
        <w:t>响应</w:t>
      </w:r>
      <w:r>
        <w:rPr>
          <w:rFonts w:hint="eastAsia" w:ascii="宋体" w:hAnsi="宋体" w:eastAsia="宋体" w:cs="宋体"/>
          <w:color w:val="auto"/>
          <w:kern w:val="0"/>
          <w:sz w:val="21"/>
          <w:szCs w:val="21"/>
          <w:highlight w:val="none"/>
          <w:lang w:val="en-US" w:eastAsia="zh-CN"/>
        </w:rPr>
        <w:t>的，则不需要提供。</w:t>
      </w:r>
    </w:p>
    <w:p w14:paraId="5F7D2094">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3.要求以联合体形式参加的项目或采购包，供应商按采购公告“申请人的资格要求”中规定的联合协议中中小企业、小微企业合同金额应当达到的比例要求填写。</w:t>
      </w:r>
    </w:p>
    <w:p w14:paraId="7B39DBBD">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4.未预留份额专门面向中小企业采购的采购项目，以及预留份额中的非预留部分采购包，接受联合体</w:t>
      </w:r>
      <w:r>
        <w:rPr>
          <w:rFonts w:hint="eastAsia" w:ascii="宋体" w:hAnsi="宋体" w:eastAsia="宋体" w:cs="宋体"/>
          <w:i w:val="0"/>
          <w:iCs w:val="0"/>
          <w:color w:val="auto"/>
          <w:kern w:val="0"/>
          <w:sz w:val="21"/>
          <w:szCs w:val="21"/>
          <w:highlight w:val="none"/>
          <w:lang w:val="en-US" w:eastAsia="zh-CN"/>
        </w:rPr>
        <w:t>响应</w:t>
      </w:r>
      <w:r>
        <w:rPr>
          <w:rFonts w:hint="eastAsia" w:ascii="宋体" w:hAnsi="宋体" w:eastAsia="宋体" w:cs="宋体"/>
          <w:color w:val="auto"/>
          <w:kern w:val="0"/>
          <w:sz w:val="21"/>
          <w:szCs w:val="21"/>
          <w:highlight w:val="none"/>
          <w:lang w:val="en-US" w:eastAsia="zh-CN"/>
        </w:rPr>
        <w:t>的，联合协议约定小微企业的合同份额占到合同总金额30%以上的，对联合体报价按采购文件确定的比例给予扣除。供应商拟享受以上价格扣除政策的，填写有关内容。</w:t>
      </w:r>
    </w:p>
    <w:p w14:paraId="1E1542AC">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2F4CE211">
      <w:pPr>
        <w:pStyle w:val="5"/>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附件5：分包意向协议</w:t>
      </w:r>
    </w:p>
    <w:p w14:paraId="58792DD6">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分包意向协议</w:t>
      </w:r>
    </w:p>
    <w:p w14:paraId="1E8EEF4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11DB6724">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我方若成为</w:t>
      </w:r>
      <w:r>
        <w:rPr>
          <w:rFonts w:hint="eastAsia" w:ascii="宋体" w:hAnsi="宋体" w:eastAsia="宋体" w:cs="宋体"/>
          <w:color w:val="auto"/>
          <w:kern w:val="0"/>
          <w:sz w:val="21"/>
          <w:szCs w:val="21"/>
          <w:highlight w:val="none"/>
          <w:u w:val="single"/>
          <w:lang w:val="en-US" w:eastAsia="zh-CN"/>
        </w:rPr>
        <w:t>（项目名称：</w:t>
      </w:r>
      <w:r>
        <w:rPr>
          <w:rFonts w:hint="eastAsia" w:ascii="宋体" w:hAnsi="宋体" w:eastAsia="宋体" w:cs="宋体"/>
          <w:i w:val="0"/>
          <w:iCs w:val="0"/>
          <w:color w:val="auto"/>
          <w:kern w:val="0"/>
          <w:sz w:val="21"/>
          <w:szCs w:val="21"/>
          <w:highlight w:val="none"/>
          <w:u w:val="single"/>
          <w:lang w:val="en-US" w:eastAsia="zh-CN"/>
        </w:rPr>
        <w:t>廉政风险防控管理系统项目（二期）</w:t>
      </w:r>
      <w:r>
        <w:rPr>
          <w:rFonts w:hint="eastAsia" w:ascii="宋体" w:hAnsi="宋体" w:eastAsia="宋体" w:cs="宋体"/>
          <w:color w:val="auto"/>
          <w:kern w:val="0"/>
          <w:sz w:val="21"/>
          <w:szCs w:val="21"/>
          <w:highlight w:val="none"/>
          <w:u w:val="single"/>
          <w:lang w:val="en-US" w:eastAsia="zh-CN"/>
        </w:rPr>
        <w:t>，项目编号：</w:t>
      </w:r>
      <w:r>
        <w:rPr>
          <w:rFonts w:hint="eastAsia" w:ascii="宋体" w:hAnsi="宋体" w:eastAsia="宋体" w:cs="宋体"/>
          <w:i w:val="0"/>
          <w:iCs w:val="0"/>
          <w:color w:val="auto"/>
          <w:kern w:val="0"/>
          <w:sz w:val="21"/>
          <w:szCs w:val="21"/>
          <w:highlight w:val="none"/>
          <w:u w:val="single"/>
          <w:lang w:val="en-US" w:eastAsia="zh-CN"/>
        </w:rPr>
        <w:t>330000263030390000079-QSZBC260131ZFCS</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i w:val="0"/>
          <w:iCs w:val="0"/>
          <w:color w:val="auto"/>
          <w:kern w:val="0"/>
          <w:sz w:val="21"/>
          <w:szCs w:val="21"/>
          <w:highlight w:val="none"/>
          <w:lang w:val="en-US" w:eastAsia="zh-CN"/>
        </w:rPr>
        <w:t>成交</w:t>
      </w:r>
      <w:r>
        <w:rPr>
          <w:rFonts w:hint="eastAsia" w:ascii="宋体" w:hAnsi="宋体" w:eastAsia="宋体" w:cs="宋体"/>
          <w:color w:val="auto"/>
          <w:kern w:val="0"/>
          <w:sz w:val="21"/>
          <w:szCs w:val="21"/>
          <w:highlight w:val="none"/>
          <w:lang w:val="en-US" w:eastAsia="zh-CN"/>
        </w:rPr>
        <w:t>供应商，将依法采取分包方式履行合同。</w:t>
      </w:r>
      <w:r>
        <w:rPr>
          <w:rFonts w:hint="eastAsia" w:ascii="宋体" w:hAnsi="宋体" w:eastAsia="宋体" w:cs="宋体"/>
          <w:color w:val="auto"/>
          <w:kern w:val="0"/>
          <w:sz w:val="21"/>
          <w:szCs w:val="21"/>
          <w:highlight w:val="none"/>
          <w:u w:val="single"/>
          <w:lang w:val="en-US" w:eastAsia="zh-CN"/>
        </w:rPr>
        <w:t>（供应商名称）</w:t>
      </w:r>
      <w:r>
        <w:rPr>
          <w:rFonts w:hint="eastAsia" w:ascii="宋体" w:hAnsi="宋体" w:eastAsia="宋体" w:cs="宋体"/>
          <w:color w:val="auto"/>
          <w:kern w:val="0"/>
          <w:sz w:val="21"/>
          <w:szCs w:val="21"/>
          <w:highlight w:val="none"/>
          <w:lang w:val="en-US" w:eastAsia="zh-CN"/>
        </w:rPr>
        <w:t>与</w:t>
      </w:r>
      <w:r>
        <w:rPr>
          <w:rFonts w:hint="eastAsia" w:ascii="宋体" w:hAnsi="宋体" w:eastAsia="宋体" w:cs="宋体"/>
          <w:color w:val="auto"/>
          <w:kern w:val="0"/>
          <w:sz w:val="21"/>
          <w:szCs w:val="21"/>
          <w:highlight w:val="none"/>
          <w:u w:val="single"/>
          <w:lang w:val="en-US" w:eastAsia="zh-CN"/>
        </w:rPr>
        <w:t>（所有分包供应商名称）</w:t>
      </w:r>
      <w:r>
        <w:rPr>
          <w:rFonts w:hint="eastAsia" w:ascii="宋体" w:hAnsi="宋体" w:eastAsia="宋体" w:cs="宋体"/>
          <w:color w:val="auto"/>
          <w:kern w:val="0"/>
          <w:sz w:val="21"/>
          <w:szCs w:val="21"/>
          <w:highlight w:val="none"/>
          <w:lang w:val="en-US" w:eastAsia="zh-CN"/>
        </w:rPr>
        <w:t>达成分包意向协议。</w:t>
      </w:r>
    </w:p>
    <w:p w14:paraId="403C9641">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一、分包的标的及数量</w:t>
      </w:r>
    </w:p>
    <w:p w14:paraId="4375F3D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我方将</w:t>
      </w:r>
      <w:r>
        <w:rPr>
          <w:rFonts w:hint="eastAsia" w:ascii="宋体" w:hAnsi="宋体" w:eastAsia="宋体" w:cs="宋体"/>
          <w:color w:val="auto"/>
          <w:kern w:val="0"/>
          <w:sz w:val="21"/>
          <w:szCs w:val="21"/>
          <w:highlight w:val="none"/>
          <w:u w:val="single"/>
          <w:lang w:val="en-US" w:eastAsia="zh-CN"/>
        </w:rPr>
        <w:t>（XX工作内容）</w:t>
      </w:r>
      <w:r>
        <w:rPr>
          <w:rFonts w:hint="eastAsia" w:ascii="宋体" w:hAnsi="宋体" w:eastAsia="宋体" w:cs="宋体"/>
          <w:color w:val="auto"/>
          <w:kern w:val="0"/>
          <w:sz w:val="21"/>
          <w:szCs w:val="21"/>
          <w:highlight w:val="none"/>
          <w:lang w:val="en-US" w:eastAsia="zh-CN"/>
        </w:rPr>
        <w:t>分包给</w:t>
      </w:r>
      <w:r>
        <w:rPr>
          <w:rFonts w:hint="eastAsia" w:ascii="宋体" w:hAnsi="宋体" w:eastAsia="宋体" w:cs="宋体"/>
          <w:color w:val="auto"/>
          <w:kern w:val="0"/>
          <w:sz w:val="21"/>
          <w:szCs w:val="21"/>
          <w:highlight w:val="none"/>
          <w:u w:val="single"/>
          <w:lang w:val="en-US" w:eastAsia="zh-CN"/>
        </w:rPr>
        <w:t>（分包供应商1名称）</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u w:val="single"/>
          <w:lang w:val="en-US" w:eastAsia="zh-CN"/>
        </w:rPr>
        <w:t>（分包供应商1名称），</w:t>
      </w:r>
      <w:r>
        <w:rPr>
          <w:rFonts w:hint="eastAsia" w:ascii="宋体" w:hAnsi="宋体" w:eastAsia="宋体" w:cs="宋体"/>
          <w:color w:val="auto"/>
          <w:kern w:val="0"/>
          <w:sz w:val="21"/>
          <w:szCs w:val="21"/>
          <w:highlight w:val="none"/>
          <w:lang w:val="en-US" w:eastAsia="zh-CN"/>
        </w:rPr>
        <w:t>具备承担分包内容相应资质条件且不得再次分包；</w:t>
      </w:r>
    </w:p>
    <w:p w14:paraId="473649C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p w14:paraId="612AB4FA">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二、分包供应商中小企业合同份额</w:t>
      </w:r>
    </w:p>
    <w:p w14:paraId="3BAEAF0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中小企业合同金额达到【    %】，其中小微企业合同金额达到【    %】，其中：</w:t>
      </w:r>
    </w:p>
    <w:p w14:paraId="489AD3C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u w:val="single"/>
          <w:lang w:val="en-US" w:eastAsia="zh-CN"/>
        </w:rPr>
        <w:t>（分包供应商X，……）</w:t>
      </w:r>
      <w:r>
        <w:rPr>
          <w:rFonts w:hint="eastAsia" w:ascii="宋体" w:hAnsi="宋体" w:eastAsia="宋体" w:cs="宋体"/>
          <w:color w:val="auto"/>
          <w:kern w:val="0"/>
          <w:sz w:val="21"/>
          <w:szCs w:val="21"/>
          <w:highlight w:val="none"/>
          <w:lang w:val="en-US" w:eastAsia="zh-CN"/>
        </w:rPr>
        <w:t>提供的货物全部由小微企业制造（服务全部由小微企业承接），其合同份额占到合同总金额【    %】以上。</w:t>
      </w:r>
    </w:p>
    <w:p w14:paraId="48D5964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p w14:paraId="250D5578">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三、分包工作履行期限、地点、方式</w:t>
      </w:r>
    </w:p>
    <w:p w14:paraId="10A91F12">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2388846F">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四、质量</w:t>
      </w:r>
    </w:p>
    <w:p w14:paraId="068A22C6">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671E57E7">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五、价款或者报酬</w:t>
      </w:r>
    </w:p>
    <w:p w14:paraId="7D2D09AA">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4153005C">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六、违约责任</w:t>
      </w:r>
    </w:p>
    <w:p w14:paraId="7ED810D3">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6861CEA4">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七、争议解决的办法</w:t>
      </w:r>
    </w:p>
    <w:p w14:paraId="3884C6C9">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2FDE8817">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供应商名称（电子签名/公章）：</w:t>
      </w:r>
    </w:p>
    <w:p w14:paraId="3446018B">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7F7B8153">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分包供应商名称（电子签名/公章）：</w:t>
      </w:r>
    </w:p>
    <w:p w14:paraId="363EE3D5">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p>
    <w:p w14:paraId="06B9EE94">
      <w:pPr>
        <w:keepNext w:val="0"/>
        <w:keepLines w:val="0"/>
        <w:widowControl/>
        <w:suppressLineNumbers w:val="0"/>
        <w:spacing w:line="288" w:lineRule="auto"/>
        <w:ind w:left="0" w:firstLine="422"/>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日期：  年  月  日</w:t>
      </w:r>
    </w:p>
    <w:p w14:paraId="4529C15F">
      <w:pPr>
        <w:keepNext w:val="0"/>
        <w:keepLines w:val="0"/>
        <w:widowControl/>
        <w:suppressLineNumbers w:val="0"/>
        <w:spacing w:line="288" w:lineRule="auto"/>
        <w:ind w:left="0" w:right="420" w:firstLine="420"/>
        <w:jc w:val="left"/>
        <w:rPr>
          <w:rFonts w:hint="eastAsia" w:ascii="宋体" w:hAnsi="宋体" w:eastAsia="宋体" w:cs="宋体"/>
          <w:color w:val="auto"/>
          <w:sz w:val="21"/>
          <w:szCs w:val="21"/>
          <w:highlight w:val="none"/>
        </w:rPr>
      </w:pPr>
    </w:p>
    <w:p w14:paraId="21000B5C">
      <w:pPr>
        <w:keepNext w:val="0"/>
        <w:keepLines w:val="0"/>
        <w:widowControl/>
        <w:suppressLineNumbers w:val="0"/>
        <w:spacing w:line="288" w:lineRule="auto"/>
        <w:ind w:right="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注：</w:t>
      </w:r>
    </w:p>
    <w:p w14:paraId="194926CA">
      <w:pPr>
        <w:keepNext w:val="0"/>
        <w:keepLines w:val="0"/>
        <w:widowControl/>
        <w:suppressLineNumbers w:val="0"/>
        <w:spacing w:line="288" w:lineRule="auto"/>
        <w:ind w:right="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1.按本格式和要求提供。</w:t>
      </w:r>
    </w:p>
    <w:p w14:paraId="48B6F48C">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i w:val="0"/>
          <w:iCs w:val="0"/>
          <w:color w:val="auto"/>
          <w:kern w:val="0"/>
          <w:sz w:val="21"/>
          <w:szCs w:val="21"/>
          <w:highlight w:val="none"/>
          <w:lang w:val="en-US" w:eastAsia="zh-CN"/>
        </w:rPr>
        <w:t>成交</w:t>
      </w:r>
      <w:r>
        <w:rPr>
          <w:rFonts w:hint="eastAsia" w:ascii="宋体" w:hAnsi="宋体" w:eastAsia="宋体" w:cs="宋体"/>
          <w:color w:val="auto"/>
          <w:kern w:val="0"/>
          <w:sz w:val="21"/>
          <w:szCs w:val="21"/>
          <w:highlight w:val="none"/>
          <w:lang w:val="en-US" w:eastAsia="zh-CN"/>
        </w:rPr>
        <w:t>后以分包方式履行合同的，提供分包意向协议；采购人不同意分包或者供应商</w:t>
      </w:r>
      <w:r>
        <w:rPr>
          <w:rFonts w:hint="eastAsia" w:ascii="宋体" w:hAnsi="宋体" w:eastAsia="宋体" w:cs="宋体"/>
          <w:i w:val="0"/>
          <w:iCs w:val="0"/>
          <w:color w:val="auto"/>
          <w:kern w:val="0"/>
          <w:sz w:val="21"/>
          <w:szCs w:val="21"/>
          <w:highlight w:val="none"/>
          <w:lang w:val="en-US" w:eastAsia="zh-CN"/>
        </w:rPr>
        <w:t>成交</w:t>
      </w:r>
      <w:r>
        <w:rPr>
          <w:rFonts w:hint="eastAsia" w:ascii="宋体" w:hAnsi="宋体" w:eastAsia="宋体" w:cs="宋体"/>
          <w:color w:val="auto"/>
          <w:kern w:val="0"/>
          <w:sz w:val="21"/>
          <w:szCs w:val="21"/>
          <w:highlight w:val="none"/>
          <w:lang w:val="en-US" w:eastAsia="zh-CN"/>
        </w:rPr>
        <w:t>后不以分包方式履行合同的，则不需要提供。</w:t>
      </w:r>
    </w:p>
    <w:p w14:paraId="3012D3D5">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3.要求合同分包形式参加的项目或采购包，供应商按采购公告“申请人的资格要求”中规定的分包意向协议中中小企业、小微企业合同金额应当达到的比例要求填写。</w:t>
      </w:r>
    </w:p>
    <w:p w14:paraId="23DA87F4">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未预留份额专门面向中小企业采购的采购项目，以及预留份额中的非预留部分采购包，允许分包的，分包意向协议约定小微企业的合同份额占到合同总金额30%以上的，对大中型企业的报价按采购文件确定的比例给予扣除。供应商拟享受以上价格扣除政策的，填写有关内容。</w:t>
      </w:r>
    </w:p>
    <w:p w14:paraId="061B4150">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404FC684">
      <w:pPr>
        <w:pStyle w:val="5"/>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附件6：业务专用章使用说明函</w:t>
      </w:r>
    </w:p>
    <w:p w14:paraId="53CAFA5B">
      <w:pPr>
        <w:keepNext w:val="0"/>
        <w:keepLines w:val="0"/>
        <w:widowControl/>
        <w:suppressLineNumbers w:val="0"/>
        <w:autoSpaceDE/>
        <w:autoSpaceDN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业务专用章使用说明函</w:t>
      </w:r>
    </w:p>
    <w:p w14:paraId="084ACCDE">
      <w:pPr>
        <w:keepNext w:val="0"/>
        <w:keepLines w:val="0"/>
        <w:widowControl/>
        <w:suppressLineNumbers w:val="0"/>
        <w:autoSpaceDE/>
        <w:autoSpaceDN w:val="0"/>
        <w:spacing w:line="288" w:lineRule="auto"/>
        <w:jc w:val="left"/>
        <w:rPr>
          <w:rFonts w:hint="eastAsia" w:ascii="宋体" w:hAnsi="宋体" w:eastAsia="宋体" w:cs="宋体"/>
          <w:color w:val="auto"/>
          <w:sz w:val="21"/>
          <w:szCs w:val="21"/>
          <w:highlight w:val="none"/>
        </w:rPr>
      </w:pPr>
    </w:p>
    <w:p w14:paraId="042D73E1">
      <w:pPr>
        <w:keepNext w:val="0"/>
        <w:keepLines w:val="0"/>
        <w:widowControl/>
        <w:suppressLineNumbers w:val="0"/>
        <w:autoSpaceDE/>
        <w:autoSpaceDN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i w:val="0"/>
          <w:iCs w:val="0"/>
          <w:color w:val="auto"/>
          <w:kern w:val="0"/>
          <w:sz w:val="21"/>
          <w:szCs w:val="21"/>
          <w:highlight w:val="none"/>
          <w:u w:val="single"/>
          <w:lang w:val="en-US" w:eastAsia="zh-CN"/>
        </w:rPr>
        <w:t>浙江交通职业技术学院</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i w:val="0"/>
          <w:iCs w:val="0"/>
          <w:color w:val="auto"/>
          <w:kern w:val="0"/>
          <w:sz w:val="21"/>
          <w:szCs w:val="21"/>
          <w:highlight w:val="none"/>
          <w:u w:val="single"/>
          <w:lang w:val="en-US" w:eastAsia="zh-CN"/>
        </w:rPr>
        <w:t>浙江求是招标代理有限公司</w:t>
      </w:r>
      <w:r>
        <w:rPr>
          <w:rFonts w:hint="eastAsia" w:ascii="宋体" w:hAnsi="宋体" w:eastAsia="宋体" w:cs="宋体"/>
          <w:color w:val="auto"/>
          <w:kern w:val="0"/>
          <w:sz w:val="21"/>
          <w:szCs w:val="21"/>
          <w:highlight w:val="none"/>
          <w:u w:val="single"/>
          <w:lang w:val="en-US" w:eastAsia="zh-CN"/>
        </w:rPr>
        <w:t>）：</w:t>
      </w:r>
    </w:p>
    <w:p w14:paraId="797EB3CE">
      <w:pPr>
        <w:keepNext w:val="0"/>
        <w:keepLines w:val="0"/>
        <w:widowControl/>
        <w:suppressLineNumbers w:val="0"/>
        <w:autoSpaceDE/>
        <w:autoSpaceDN w:val="0"/>
        <w:spacing w:line="288" w:lineRule="auto"/>
        <w:ind w:left="0" w:firstLine="42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我方是中华人民共和国依法登记注册的合法企业，在参加你方组织的</w:t>
      </w:r>
      <w:r>
        <w:rPr>
          <w:rFonts w:hint="eastAsia" w:ascii="宋体" w:hAnsi="宋体" w:eastAsia="宋体" w:cs="宋体"/>
          <w:color w:val="auto"/>
          <w:kern w:val="0"/>
          <w:sz w:val="21"/>
          <w:szCs w:val="21"/>
          <w:highlight w:val="none"/>
          <w:u w:val="single"/>
          <w:lang w:val="en-US" w:eastAsia="zh-CN"/>
        </w:rPr>
        <w:t>（项目名称：</w:t>
      </w:r>
      <w:r>
        <w:rPr>
          <w:rFonts w:hint="eastAsia" w:ascii="宋体" w:hAnsi="宋体" w:eastAsia="宋体" w:cs="宋体"/>
          <w:i w:val="0"/>
          <w:iCs w:val="0"/>
          <w:color w:val="auto"/>
          <w:kern w:val="0"/>
          <w:sz w:val="21"/>
          <w:szCs w:val="21"/>
          <w:highlight w:val="none"/>
          <w:u w:val="single"/>
          <w:lang w:val="en-US" w:eastAsia="zh-CN"/>
        </w:rPr>
        <w:t>廉政风险防控管理系统项目（二期）</w:t>
      </w:r>
      <w:r>
        <w:rPr>
          <w:rFonts w:hint="eastAsia" w:ascii="宋体" w:hAnsi="宋体" w:eastAsia="宋体" w:cs="宋体"/>
          <w:color w:val="auto"/>
          <w:kern w:val="0"/>
          <w:sz w:val="21"/>
          <w:szCs w:val="21"/>
          <w:highlight w:val="none"/>
          <w:u w:val="single"/>
          <w:lang w:val="en-US" w:eastAsia="zh-CN"/>
        </w:rPr>
        <w:t>，项目编号：</w:t>
      </w:r>
      <w:r>
        <w:rPr>
          <w:rFonts w:hint="eastAsia" w:ascii="宋体" w:hAnsi="宋体" w:eastAsia="宋体" w:cs="宋体"/>
          <w:i w:val="0"/>
          <w:iCs w:val="0"/>
          <w:color w:val="auto"/>
          <w:kern w:val="0"/>
          <w:sz w:val="21"/>
          <w:szCs w:val="21"/>
          <w:highlight w:val="none"/>
          <w:u w:val="single"/>
          <w:lang w:val="en-US" w:eastAsia="zh-CN"/>
        </w:rPr>
        <w:t>330000263030390000079-QSZBC260131ZFCS</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lang w:val="en-US" w:eastAsia="zh-CN"/>
        </w:rPr>
        <w:t>采购活动中作如下说明：我方所使用的</w:t>
      </w:r>
      <w:r>
        <w:rPr>
          <w:rFonts w:hint="eastAsia" w:ascii="宋体" w:hAnsi="宋体" w:eastAsia="宋体" w:cs="宋体"/>
          <w:color w:val="auto"/>
          <w:kern w:val="0"/>
          <w:sz w:val="21"/>
          <w:szCs w:val="21"/>
          <w:highlight w:val="none"/>
          <w:u w:val="single"/>
          <w:lang w:val="en-US" w:eastAsia="zh-CN"/>
        </w:rPr>
        <w:t>“XX专用章”</w:t>
      </w:r>
      <w:r>
        <w:rPr>
          <w:rFonts w:hint="eastAsia" w:ascii="宋体" w:hAnsi="宋体" w:eastAsia="宋体" w:cs="宋体"/>
          <w:color w:val="auto"/>
          <w:kern w:val="0"/>
          <w:sz w:val="21"/>
          <w:szCs w:val="21"/>
          <w:highlight w:val="none"/>
          <w:lang w:val="en-US" w:eastAsia="zh-CN"/>
        </w:rPr>
        <w:t>与法定名称章具有同等的法律效力，对使用</w:t>
      </w:r>
      <w:r>
        <w:rPr>
          <w:rFonts w:hint="eastAsia" w:ascii="宋体" w:hAnsi="宋体" w:eastAsia="宋体" w:cs="宋体"/>
          <w:color w:val="auto"/>
          <w:kern w:val="0"/>
          <w:sz w:val="21"/>
          <w:szCs w:val="21"/>
          <w:highlight w:val="none"/>
          <w:u w:val="single"/>
          <w:lang w:val="en-US" w:eastAsia="zh-CN"/>
        </w:rPr>
        <w:t>“XX专用章”</w:t>
      </w:r>
      <w:r>
        <w:rPr>
          <w:rFonts w:hint="eastAsia" w:ascii="宋体" w:hAnsi="宋体" w:eastAsia="宋体" w:cs="宋体"/>
          <w:color w:val="auto"/>
          <w:kern w:val="0"/>
          <w:sz w:val="21"/>
          <w:szCs w:val="21"/>
          <w:highlight w:val="none"/>
          <w:lang w:val="en-US" w:eastAsia="zh-CN"/>
        </w:rPr>
        <w:t>的行为予以完全承认，并愿意承担相应责任。</w:t>
      </w:r>
    </w:p>
    <w:p w14:paraId="5DB54F18">
      <w:pPr>
        <w:keepNext w:val="0"/>
        <w:keepLines w:val="0"/>
        <w:widowControl/>
        <w:suppressLineNumbers w:val="0"/>
        <w:autoSpaceDE/>
        <w:autoSpaceDN w:val="0"/>
        <w:spacing w:line="288" w:lineRule="auto"/>
        <w:ind w:left="0" w:firstLine="42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特此说明。</w:t>
      </w:r>
    </w:p>
    <w:p w14:paraId="52C55602">
      <w:pPr>
        <w:keepNext w:val="0"/>
        <w:keepLines w:val="0"/>
        <w:widowControl/>
        <w:suppressLineNumbers w:val="0"/>
        <w:autoSpaceDE/>
        <w:autoSpaceDN w:val="0"/>
        <w:spacing w:line="288" w:lineRule="auto"/>
        <w:ind w:left="0" w:right="480" w:firstLine="424"/>
        <w:jc w:val="left"/>
        <w:rPr>
          <w:rFonts w:hint="eastAsia" w:ascii="宋体" w:hAnsi="宋体" w:eastAsia="宋体" w:cs="宋体"/>
          <w:color w:val="auto"/>
          <w:sz w:val="21"/>
          <w:szCs w:val="21"/>
          <w:highlight w:val="none"/>
        </w:rPr>
      </w:pPr>
    </w:p>
    <w:p w14:paraId="05A256CE">
      <w:pPr>
        <w:keepNext w:val="0"/>
        <w:keepLines w:val="0"/>
        <w:widowControl/>
        <w:suppressLineNumbers w:val="0"/>
        <w:autoSpaceDE/>
        <w:autoSpaceDN w:val="0"/>
        <w:spacing w:line="288" w:lineRule="auto"/>
        <w:ind w:left="0" w:right="480" w:firstLine="426"/>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供应商（法定名称章）：</w:t>
      </w:r>
    </w:p>
    <w:p w14:paraId="37A566BC">
      <w:pPr>
        <w:keepNext w:val="0"/>
        <w:keepLines w:val="0"/>
        <w:widowControl/>
        <w:suppressLineNumbers w:val="0"/>
        <w:autoSpaceDE/>
        <w:autoSpaceDN w:val="0"/>
        <w:spacing w:line="288" w:lineRule="auto"/>
        <w:ind w:left="0" w:right="1440" w:firstLine="426"/>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日期：    年  月  日</w:t>
      </w:r>
    </w:p>
    <w:p w14:paraId="1CFD5DC2">
      <w:pPr>
        <w:keepNext w:val="0"/>
        <w:keepLines w:val="0"/>
        <w:widowControl/>
        <w:suppressLineNumbers w:val="0"/>
        <w:autoSpaceDE/>
        <w:autoSpaceDN w:val="0"/>
        <w:spacing w:line="288" w:lineRule="auto"/>
        <w:jc w:val="left"/>
        <w:rPr>
          <w:rFonts w:hint="eastAsia" w:ascii="宋体" w:hAnsi="宋体" w:eastAsia="宋体" w:cs="宋体"/>
          <w:color w:val="auto"/>
          <w:sz w:val="21"/>
          <w:szCs w:val="21"/>
          <w:highlight w:val="none"/>
        </w:rPr>
      </w:pPr>
    </w:p>
    <w:p w14:paraId="487A2308">
      <w:pPr>
        <w:keepNext w:val="0"/>
        <w:keepLines w:val="0"/>
        <w:widowControl/>
        <w:suppressLineNumbers w:val="0"/>
        <w:autoSpaceDE/>
        <w:autoSpaceDN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附：</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55"/>
        <w:gridCol w:w="4755"/>
      </w:tblGrid>
      <w:tr w14:paraId="5BB26A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tcPr>
          <w:p w14:paraId="47615A3F">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供应商法定名称章（印模）</w:t>
            </w:r>
          </w:p>
        </w:tc>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tcPr>
          <w:p w14:paraId="7BDBBCA0">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供应商“XX专用章”（印模）</w:t>
            </w:r>
          </w:p>
        </w:tc>
      </w:tr>
      <w:tr w14:paraId="2E2A6D7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950" w:hRule="atLeast"/>
        </w:trPr>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tcPr>
          <w:p w14:paraId="59277991">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tcPr>
          <w:p w14:paraId="526CD197">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r>
    </w:tbl>
    <w:p w14:paraId="1D3FC57A">
      <w:pPr>
        <w:keepNext w:val="0"/>
        <w:keepLines w:val="0"/>
        <w:widowControl/>
        <w:suppressLineNumbers w:val="0"/>
        <w:autoSpaceDE/>
        <w:autoSpaceDN w:val="0"/>
        <w:spacing w:line="288" w:lineRule="auto"/>
        <w:jc w:val="left"/>
        <w:rPr>
          <w:rFonts w:hint="eastAsia" w:ascii="宋体" w:hAnsi="宋体" w:eastAsia="宋体" w:cs="宋体"/>
          <w:color w:val="auto"/>
          <w:sz w:val="21"/>
          <w:szCs w:val="21"/>
          <w:highlight w:val="none"/>
        </w:rPr>
      </w:pPr>
    </w:p>
    <w:p w14:paraId="0FB727ED">
      <w:pPr>
        <w:pStyle w:val="5"/>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附件7：质疑函范本及制作说明</w:t>
      </w:r>
    </w:p>
    <w:p w14:paraId="34E2F3A5">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质疑函</w:t>
      </w:r>
    </w:p>
    <w:p w14:paraId="08DA4933">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一、质疑供应商基本信息</w:t>
      </w:r>
    </w:p>
    <w:p w14:paraId="5279515A">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质疑供应商：</w:t>
      </w:r>
    </w:p>
    <w:p w14:paraId="669406D3">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地址：邮编：</w:t>
      </w:r>
    </w:p>
    <w:p w14:paraId="1F35ABAD">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联系人：联系电话：</w:t>
      </w:r>
    </w:p>
    <w:p w14:paraId="658760FE">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授权代表：</w:t>
      </w:r>
    </w:p>
    <w:p w14:paraId="0600C626">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联系电话：</w:t>
      </w:r>
    </w:p>
    <w:p w14:paraId="48BA7D30">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地址：邮编：</w:t>
      </w:r>
    </w:p>
    <w:p w14:paraId="43D829A6">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二、质疑项目基本情况</w:t>
      </w:r>
    </w:p>
    <w:p w14:paraId="46EC5190">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质疑项目的名称：</w:t>
      </w:r>
    </w:p>
    <w:p w14:paraId="5BB88736">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质疑项目的编号：包号：</w:t>
      </w:r>
    </w:p>
    <w:p w14:paraId="3C0CE782">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采购人名称：</w:t>
      </w:r>
    </w:p>
    <w:p w14:paraId="5E0A60B3">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采购文件获取日期：</w:t>
      </w:r>
    </w:p>
    <w:p w14:paraId="03C9539B">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三、质疑事项具体内容</w:t>
      </w:r>
    </w:p>
    <w:p w14:paraId="1761CF65">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质疑事项1：</w:t>
      </w:r>
    </w:p>
    <w:p w14:paraId="79FE8D1E">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事实依据：</w:t>
      </w:r>
    </w:p>
    <w:p w14:paraId="4F50B70D">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p>
    <w:p w14:paraId="5A1E3CBA">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法律依据：</w:t>
      </w:r>
    </w:p>
    <w:p w14:paraId="6F0F5D67">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p>
    <w:p w14:paraId="4BE3C349">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质疑事项2：</w:t>
      </w:r>
    </w:p>
    <w:p w14:paraId="6D1B7D9D">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p w14:paraId="4CE290A2">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四、与质疑事项相关的质疑请求</w:t>
      </w:r>
    </w:p>
    <w:p w14:paraId="3E20EAC2">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请求：</w:t>
      </w:r>
    </w:p>
    <w:p w14:paraId="73FF0397">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p>
    <w:p w14:paraId="0A4DE136">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签字(签章)：公章：</w:t>
      </w:r>
    </w:p>
    <w:p w14:paraId="5ADEB4AD">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日期：</w:t>
      </w:r>
    </w:p>
    <w:p w14:paraId="6D053582">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2B54AB17">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质疑函制作说明：</w:t>
      </w:r>
    </w:p>
    <w:p w14:paraId="52F78ED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1.供应商提出质疑时，应提交质疑函和必要的证明材料。</w:t>
      </w:r>
    </w:p>
    <w:p w14:paraId="50BB049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011143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3.质疑供应商若对项目的某一分包进行质疑，质疑函中应列明具体分包号。</w:t>
      </w:r>
    </w:p>
    <w:p w14:paraId="5A33EE0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4.质疑函的质疑事项应具体、明确，并有必要的事实依据和法律依据。</w:t>
      </w:r>
    </w:p>
    <w:p w14:paraId="1428F11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5.质疑函的质疑请求应与质疑事项相关。</w:t>
      </w:r>
    </w:p>
    <w:p w14:paraId="6E1D011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6.质疑供应商为自然人的，质疑函应由本人签字；质疑供应商为法人或者其他组织的，质疑函应由法定代表人、主要负责人，或者其授权代表签字或者盖章，并加盖公章。</w:t>
      </w:r>
    </w:p>
    <w:p w14:paraId="79AC0E5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7.在浙江省政府采购云平台提起质疑的，按照平台相关规定执行。</w:t>
      </w:r>
    </w:p>
    <w:p w14:paraId="1D2A7E45">
      <w:pPr>
        <w:pStyle w:val="5"/>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附件8：投诉书范本及制作说明</w:t>
      </w:r>
    </w:p>
    <w:p w14:paraId="59472618">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投诉书</w:t>
      </w:r>
    </w:p>
    <w:p w14:paraId="41B9CC9D">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一、投诉相关主体基本情况</w:t>
      </w:r>
    </w:p>
    <w:p w14:paraId="20A07F72">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投诉人：</w:t>
      </w:r>
    </w:p>
    <w:p w14:paraId="13E82994">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地址：邮编：</w:t>
      </w:r>
    </w:p>
    <w:p w14:paraId="6E77C260">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法定代表人/主要负责人：</w:t>
      </w:r>
    </w:p>
    <w:p w14:paraId="53A132B6">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联系电话：</w:t>
      </w:r>
    </w:p>
    <w:p w14:paraId="49C93FB1">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授权代表：联系电话：</w:t>
      </w:r>
    </w:p>
    <w:p w14:paraId="50C9631A">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地址：邮编：</w:t>
      </w:r>
    </w:p>
    <w:p w14:paraId="1E3330B4">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被投诉人1：</w:t>
      </w:r>
    </w:p>
    <w:p w14:paraId="6F9EAC93">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地址：邮编：</w:t>
      </w:r>
    </w:p>
    <w:p w14:paraId="47AA913B">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联系人：联系电话：</w:t>
      </w:r>
    </w:p>
    <w:p w14:paraId="35C9CCF8">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被投诉人2：</w:t>
      </w:r>
    </w:p>
    <w:p w14:paraId="78521C30">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p w14:paraId="122927C5">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相关供应商：</w:t>
      </w:r>
    </w:p>
    <w:p w14:paraId="6454FA44">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地址：邮编：</w:t>
      </w:r>
    </w:p>
    <w:p w14:paraId="444E96AF">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联系人：联系电话：</w:t>
      </w:r>
    </w:p>
    <w:p w14:paraId="388A7040">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p>
    <w:p w14:paraId="53ABA485">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二、投诉项目基本情况</w:t>
      </w:r>
    </w:p>
    <w:p w14:paraId="2386A1D4">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采购项目名称：</w:t>
      </w:r>
    </w:p>
    <w:p w14:paraId="341DF8EB">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采购项目编号：包号：</w:t>
      </w:r>
    </w:p>
    <w:p w14:paraId="23F21C9D">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采购人名称：</w:t>
      </w:r>
    </w:p>
    <w:p w14:paraId="47C1113A">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代理机构名称：</w:t>
      </w:r>
    </w:p>
    <w:p w14:paraId="63D4DCA5">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采购文件公告:是/否公告期限：</w:t>
      </w:r>
    </w:p>
    <w:p w14:paraId="4752921B">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采购结果公告:是/否公告期限：</w:t>
      </w:r>
    </w:p>
    <w:p w14:paraId="51018F11">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p>
    <w:p w14:paraId="4373459E">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三、质疑基本情况</w:t>
      </w:r>
    </w:p>
    <w:p w14:paraId="7ABB3459">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投诉人于年月日,向提出质疑，质疑事项为：</w:t>
      </w:r>
    </w:p>
    <w:p w14:paraId="7C89781B">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p>
    <w:p w14:paraId="5DFB55E6">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采购人/代理机构于年月日,就质疑事项作出了答复/没有在法定期限内作出答复。</w:t>
      </w:r>
    </w:p>
    <w:p w14:paraId="3BE4CCDE">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p>
    <w:p w14:paraId="6F6B65AE">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四、投诉事项具体内容</w:t>
      </w:r>
    </w:p>
    <w:p w14:paraId="25B74B1C">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投诉事项1：</w:t>
      </w:r>
    </w:p>
    <w:p w14:paraId="0043D61D">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事实依据：</w:t>
      </w:r>
    </w:p>
    <w:p w14:paraId="70C205FD">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法律依据：</w:t>
      </w:r>
    </w:p>
    <w:p w14:paraId="1FEF4CFD">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投诉事项2：</w:t>
      </w:r>
    </w:p>
    <w:p w14:paraId="304FDA35">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p w14:paraId="2AE366EC">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五、与投诉事项相关的投诉请求</w:t>
      </w:r>
    </w:p>
    <w:p w14:paraId="7C021737">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请求：</w:t>
      </w:r>
    </w:p>
    <w:p w14:paraId="5E9E6EC5">
      <w:pPr>
        <w:keepNext w:val="0"/>
        <w:keepLines w:val="0"/>
        <w:widowControl/>
        <w:suppressLineNumbers w:val="0"/>
        <w:spacing w:line="288" w:lineRule="auto"/>
        <w:ind w:left="0" w:firstLine="367"/>
        <w:jc w:val="left"/>
        <w:rPr>
          <w:rFonts w:hint="eastAsia" w:ascii="宋体" w:hAnsi="宋体" w:eastAsia="宋体" w:cs="宋体"/>
          <w:color w:val="auto"/>
          <w:sz w:val="21"/>
          <w:szCs w:val="21"/>
          <w:highlight w:val="none"/>
        </w:rPr>
      </w:pPr>
    </w:p>
    <w:p w14:paraId="2D6B67F4">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签字(签章)：公章：</w:t>
      </w:r>
    </w:p>
    <w:p w14:paraId="0634C500">
      <w:pPr>
        <w:keepNext w:val="0"/>
        <w:keepLines w:val="0"/>
        <w:widowControl/>
        <w:suppressLineNumbers w:val="0"/>
        <w:spacing w:line="288" w:lineRule="auto"/>
        <w:ind w:left="0" w:firstLine="369"/>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日期：</w:t>
      </w:r>
    </w:p>
    <w:p w14:paraId="77044724">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5880D4F7">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投诉书制作说明：</w:t>
      </w:r>
    </w:p>
    <w:p w14:paraId="4706345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1.投诉人提起投诉时，应当提交投诉书和必要的证明材料，并按照被投诉人和与投诉事项有关的供应商数量提供投诉书副本。</w:t>
      </w:r>
    </w:p>
    <w:p w14:paraId="1F0A780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F1651E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3.投诉人若对项目的某一分包进行投诉，投诉书应列明具体分包号。</w:t>
      </w:r>
    </w:p>
    <w:p w14:paraId="1BCA69E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4.投诉书应简要列明质疑事项，质疑函、质疑答复等作为附件材料提供。</w:t>
      </w:r>
    </w:p>
    <w:p w14:paraId="4F8A52D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5.投诉书的投诉事项应具体、明确，并有必要的事实依据和法律依据。</w:t>
      </w:r>
    </w:p>
    <w:p w14:paraId="0B21EAC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6.投诉书的投诉请求应与投诉事项相关。</w:t>
      </w:r>
    </w:p>
    <w:p w14:paraId="36E7581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7.投诉人为自然人的，投诉书应当由本人签字；投诉人为法人或者其他组织的，投诉书应当由法定代表人、主要负责人，或者其授权代表签字或者盖章，并加盖公章。</w:t>
      </w:r>
    </w:p>
    <w:p w14:paraId="0F803C1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8.在浙江省政府采购云平台提起投诉的，按照平台相关规定执行。</w:t>
      </w:r>
    </w:p>
    <w:p w14:paraId="55E6C2A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p>
    <w:p w14:paraId="30E742FA">
      <w:pPr>
        <w:pStyle w:val="5"/>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8"/>
          <w:szCs w:val="28"/>
          <w:highlight w:val="none"/>
        </w:rPr>
        <w:t>附件9：关于符合本国产品标准的声明函</w:t>
      </w:r>
    </w:p>
    <w:p w14:paraId="6CC8A1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1"/>
          <w:szCs w:val="21"/>
          <w:highlight w:val="none"/>
          <w:vertAlign w:val="baseline"/>
          <w:lang w:val="en-US" w:eastAsia="zh-CN"/>
        </w:rPr>
        <w:t>关于符合本国产品标准的声明函</w:t>
      </w:r>
    </w:p>
    <w:p w14:paraId="49D1F88B">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p w14:paraId="659D93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本公司（单位）郑重声明，根据《国务院办公厅关于在政府采购中实施本国产品标准及相关政策的通知》（国办发〔2025〕34号）的规定，本公司（单位）提供的以下产品属于本国产品。具体情况如下：</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3"/>
        <w:gridCol w:w="1377"/>
        <w:gridCol w:w="1359"/>
        <w:gridCol w:w="1088"/>
        <w:gridCol w:w="1999"/>
        <w:gridCol w:w="1507"/>
        <w:gridCol w:w="1507"/>
      </w:tblGrid>
      <w:tr w14:paraId="6D2885A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7FA5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序号</w:t>
            </w:r>
          </w:p>
        </w:tc>
        <w:tc>
          <w:tcPr>
            <w:tcW w:w="13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BA06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产品名称①</w:t>
            </w:r>
          </w:p>
        </w:tc>
        <w:tc>
          <w:tcPr>
            <w:tcW w:w="134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287B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生产厂名②</w:t>
            </w:r>
          </w:p>
        </w:tc>
        <w:tc>
          <w:tcPr>
            <w:tcW w:w="107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FE91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生产厂址</w:t>
            </w:r>
          </w:p>
        </w:tc>
        <w:tc>
          <w:tcPr>
            <w:tcW w:w="197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E09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中国境内生产的组件成本占比≥（规定比例）③</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0E16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在中国境内生产的（关键组件）④</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288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在中国境内完成的（关键工序）⑤</w:t>
            </w:r>
          </w:p>
        </w:tc>
      </w:tr>
      <w:tr w14:paraId="4E77B57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1C82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1</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0FEF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E3C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F403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256E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912D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B55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r>
      <w:tr w14:paraId="3A4CD50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3AF2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2</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74F6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D201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A41F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C6C9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7792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1F46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r>
      <w:tr w14:paraId="53F4DCA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6D25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03CB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09F0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E80B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D11C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B4BF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71F2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p>
        </w:tc>
      </w:tr>
    </w:tbl>
    <w:p w14:paraId="5E29788B">
      <w:pPr>
        <w:keepNext w:val="0"/>
        <w:keepLines w:val="0"/>
        <w:widowControl/>
        <w:suppressLineNumbers w:val="0"/>
        <w:spacing w:line="288"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rPr>
        <w:t> </w:t>
      </w:r>
    </w:p>
    <w:p w14:paraId="0D4CFF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本公司（单位）对上述声明内容的真实性负责。如有虚假，愿承担相应法律责任。</w:t>
      </w:r>
    </w:p>
    <w:p w14:paraId="2E16F2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left"/>
        <w:textAlignment w:val="baseline"/>
        <w:rPr>
          <w:rFonts w:hint="eastAsia" w:ascii="宋体" w:hAnsi="宋体" w:eastAsia="宋体" w:cs="宋体"/>
          <w:color w:val="auto"/>
          <w:sz w:val="21"/>
          <w:szCs w:val="21"/>
          <w:highlight w:val="none"/>
        </w:rPr>
      </w:pPr>
    </w:p>
    <w:p w14:paraId="418B97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公司（单位）名称（盖章）：</w:t>
      </w:r>
    </w:p>
    <w:p w14:paraId="2558E0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u w:val="single"/>
          <w:vertAlign w:val="baseline"/>
          <w:lang w:val="en-US" w:eastAsia="zh-CN"/>
        </w:rPr>
        <w:t>日期：    年  月  日</w:t>
      </w:r>
    </w:p>
    <w:p w14:paraId="4D94816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auto"/>
          <w:sz w:val="21"/>
          <w:szCs w:val="21"/>
          <w:highlight w:val="none"/>
        </w:rPr>
      </w:pPr>
    </w:p>
    <w:p w14:paraId="055A42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注释：</w:t>
      </w:r>
    </w:p>
    <w:p w14:paraId="4C5045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①产品如有型号，请在“产品名称”栏一并填写。</w:t>
      </w:r>
    </w:p>
    <w:p w14:paraId="284864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②生产厂名与厂址应与生产厂营业执照载明的相关信息保持一致。</w:t>
      </w:r>
    </w:p>
    <w:p w14:paraId="323BA6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③该产品的中国境内生产的组件成本占比相关要求实施前，“规定比例”栏可不填，下同。</w:t>
      </w:r>
    </w:p>
    <w:p w14:paraId="1BF122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④该产品的关键组件要求实施前，“关键组件”栏可不填，下同。</w:t>
      </w:r>
    </w:p>
    <w:p w14:paraId="1904D7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⑤该产品的关键工序要求实施前，“关键工序”栏可不填，下同。</w:t>
      </w:r>
    </w:p>
    <w:p w14:paraId="09AFF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left"/>
        <w:textAlignment w:val="baseline"/>
        <w:rPr>
          <w:rFonts w:hint="eastAsia" w:ascii="宋体" w:hAnsi="宋体" w:eastAsia="宋体" w:cs="宋体"/>
          <w:color w:val="auto"/>
          <w:sz w:val="21"/>
          <w:szCs w:val="21"/>
          <w:highlight w:val="none"/>
        </w:rPr>
      </w:pPr>
    </w:p>
    <w:p w14:paraId="456E74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kern w:val="0"/>
          <w:sz w:val="21"/>
          <w:szCs w:val="21"/>
          <w:highlight w:val="none"/>
          <w:vertAlign w:val="baseline"/>
          <w:lang w:val="en-US" w:eastAsia="zh-CN"/>
        </w:rPr>
        <w:t>中国境内生产的组件成本核算基本规则</w:t>
      </w:r>
    </w:p>
    <w:p w14:paraId="0C31299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p>
    <w:p w14:paraId="58AE939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vertAlign w:val="baseline"/>
          <w:lang w:val="en-US"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BC583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一、产品的一级组件是指直接组成产品的组件。产品的二级组件是指直接组成产品一级组件的组件。一级组件不可分解的，视同二级组件。</w:t>
      </w:r>
    </w:p>
    <w:p w14:paraId="0631F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二、二级组件在中国境内生产的，其全部成本计入中国境内生产的组件成本；二级组件不在中国境内生产的，其成本不计入中国境内生产的组件成本。</w:t>
      </w:r>
    </w:p>
    <w:p w14:paraId="48819B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三、产品总成本和组件成本以相关会计核算数据、采购合同、进货记录等为基础进行计算。</w:t>
      </w:r>
    </w:p>
    <w:p w14:paraId="0C9FD2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四、需要对成本核算规则予以进一步明确的其他有关事项，由财政部会同有关部门另行规定。</w:t>
      </w:r>
    </w:p>
    <w:p w14:paraId="2A89BC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p>
    <w:p w14:paraId="5DB57E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rPr>
        <w:br w:type="page"/>
      </w:r>
    </w:p>
    <w:p w14:paraId="26A71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vertAlign w:val="baseline"/>
          <w:lang w:val="en-US" w:eastAsia="zh-CN"/>
        </w:rPr>
        <w:t>关于本国产品成本比例的声明函</w:t>
      </w:r>
    </w:p>
    <w:p w14:paraId="5952E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 </w:t>
      </w:r>
    </w:p>
    <w:p w14:paraId="47DB5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r>
        <w:rPr>
          <w:rFonts w:hint="eastAsia" w:ascii="宋体" w:hAnsi="宋体" w:eastAsia="宋体" w:cs="宋体"/>
          <w:i w:val="0"/>
          <w:iCs w:val="0"/>
          <w:caps w:val="0"/>
          <w:color w:val="auto"/>
          <w:spacing w:val="0"/>
          <w:kern w:val="0"/>
          <w:sz w:val="21"/>
          <w:szCs w:val="21"/>
          <w:highlight w:val="none"/>
          <w:u w:val="single"/>
          <w:vertAlign w:val="baseline"/>
          <w:lang w:val="en-US" w:eastAsia="zh-CN"/>
        </w:rPr>
        <w:t>     </w:t>
      </w:r>
      <w:r>
        <w:rPr>
          <w:rFonts w:hint="eastAsia" w:ascii="宋体" w:hAnsi="宋体" w:eastAsia="宋体" w:cs="宋体"/>
          <w:i w:val="0"/>
          <w:iCs w:val="0"/>
          <w:caps w:val="0"/>
          <w:color w:val="auto"/>
          <w:spacing w:val="0"/>
          <w:kern w:val="0"/>
          <w:sz w:val="21"/>
          <w:szCs w:val="21"/>
          <w:highlight w:val="none"/>
          <w:vertAlign w:val="baseline"/>
          <w:lang w:val="en-US" w:eastAsia="zh-CN"/>
        </w:rPr>
        <w:t>%。</w:t>
      </w:r>
    </w:p>
    <w:p w14:paraId="202F48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本公司（单位）对上述声明内容的真实性负责。如有虚假，愿承担相应法律责任。</w:t>
      </w:r>
    </w:p>
    <w:p w14:paraId="23C1B4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 </w:t>
      </w:r>
    </w:p>
    <w:p w14:paraId="5959AF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公司（单位）名称（盖章）：</w:t>
      </w:r>
    </w:p>
    <w:p w14:paraId="58B7CE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vertAlign w:val="baseline"/>
          <w:lang w:val="en-US" w:eastAsia="zh-CN"/>
        </w:rPr>
        <w:t>日期：    年  月  日</w:t>
      </w:r>
    </w:p>
    <w:p w14:paraId="433BF559">
      <w:pPr>
        <w:keepNext w:val="0"/>
        <w:keepLines w:val="0"/>
        <w:widowControl/>
        <w:suppressLineNumbers w:val="0"/>
        <w:pBdr>
          <w:top w:val="none" w:color="auto" w:sz="0" w:space="0"/>
          <w:bottom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p>
    <w:p w14:paraId="7CED4EED">
      <w:pPr>
        <w:keepNext w:val="0"/>
        <w:keepLines w:val="0"/>
        <w:widowControl/>
        <w:suppressLineNumbers w:val="0"/>
        <w:pBdr>
          <w:top w:val="none" w:color="auto" w:sz="0" w:space="0"/>
          <w:bottom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auto"/>
          <w:sz w:val="21"/>
          <w:szCs w:val="21"/>
          <w:highlight w:val="none"/>
        </w:rPr>
      </w:pPr>
    </w:p>
    <w:p w14:paraId="64E98C17">
      <w:pPr>
        <w:pStyle w:val="5"/>
        <w:keepNext w:val="0"/>
        <w:keepLines w:val="0"/>
        <w:widowControl/>
        <w:suppressLineNumbers w:val="0"/>
        <w:spacing w:line="288" w:lineRule="auto"/>
        <w:ind w:left="0" w:firstLine="480"/>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vertAlign w:val="baseline"/>
        </w:rPr>
        <w:br w:type="page"/>
      </w:r>
      <w:r>
        <w:rPr>
          <w:rFonts w:hint="eastAsia" w:ascii="宋体" w:hAnsi="宋体" w:eastAsia="宋体" w:cs="宋体"/>
          <w:color w:val="auto"/>
          <w:sz w:val="28"/>
          <w:szCs w:val="28"/>
          <w:highlight w:val="none"/>
        </w:rPr>
        <w:t>中小企业划型标准规定</w:t>
      </w:r>
    </w:p>
    <w:p w14:paraId="7F6B7A88">
      <w:pPr>
        <w:keepNext w:val="0"/>
        <w:keepLines w:val="0"/>
        <w:widowControl/>
        <w:suppressLineNumbers w:val="0"/>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6"/>
          <w:kern w:val="0"/>
          <w:sz w:val="21"/>
          <w:szCs w:val="21"/>
          <w:highlight w:val="none"/>
          <w:lang w:val="en-US" w:eastAsia="zh-CN"/>
        </w:rPr>
        <w:t>中小企业划型标准（参考数据表）</w:t>
      </w:r>
    </w:p>
    <w:p w14:paraId="4FA53884">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（一）</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2"/>
        <w:gridCol w:w="816"/>
        <w:gridCol w:w="1184"/>
        <w:gridCol w:w="813"/>
        <w:gridCol w:w="1149"/>
        <w:gridCol w:w="813"/>
        <w:gridCol w:w="1126"/>
        <w:gridCol w:w="1797"/>
      </w:tblGrid>
      <w:tr w14:paraId="4C4B136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ED53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2B9F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从业人员（人）</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0481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营业收入（万元）</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F851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资产总额（万元）</w:t>
            </w: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9313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企业类型</w:t>
            </w:r>
          </w:p>
        </w:tc>
      </w:tr>
      <w:tr w14:paraId="1B334C0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7FC4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农、林、牧、渔业</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A189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7FBAF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610AF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A3A183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20000</w:t>
            </w:r>
          </w:p>
        </w:tc>
        <w:tc>
          <w:tcPr>
            <w:tcW w:w="850"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012E0E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88"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9550B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73FC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大型</w:t>
            </w:r>
          </w:p>
        </w:tc>
      </w:tr>
      <w:tr w14:paraId="0B57110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43A4DF">
            <w:pPr>
              <w:rPr>
                <w:rFonts w:hint="eastAsia" w:ascii="宋体" w:hAnsi="宋体" w:eastAsia="宋体" w:cs="宋体"/>
                <w:color w:val="auto"/>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0D54F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7EC7E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DA8DD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612A9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500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C3B664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B8BE3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8C3F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中型</w:t>
            </w:r>
          </w:p>
        </w:tc>
      </w:tr>
      <w:tr w14:paraId="436B64B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41581D">
            <w:pPr>
              <w:rPr>
                <w:rFonts w:hint="eastAsia" w:ascii="宋体" w:hAnsi="宋体" w:eastAsia="宋体" w:cs="宋体"/>
                <w:color w:val="auto"/>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A6E83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4F9C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B58BF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08F6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995B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E9B78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CFC8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小型</w:t>
            </w:r>
          </w:p>
        </w:tc>
      </w:tr>
      <w:tr w14:paraId="03B25CF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4BF252">
            <w:pPr>
              <w:rPr>
                <w:rFonts w:hint="eastAsia" w:ascii="宋体" w:hAnsi="宋体" w:eastAsia="宋体" w:cs="宋体"/>
                <w:color w:val="auto"/>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4C7AD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F8FE2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8327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3DBF6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2AFA3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DE44C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D461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微型</w:t>
            </w:r>
          </w:p>
        </w:tc>
      </w:tr>
    </w:tbl>
    <w:p w14:paraId="7A13836E">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（二）</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6935FA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31C0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6869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9683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A1D6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CF70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企业类型</w:t>
            </w:r>
          </w:p>
        </w:tc>
      </w:tr>
      <w:tr w14:paraId="1F160EA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FFB5D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工业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31B5C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73192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1574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488BB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EE15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49D5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1C99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大型</w:t>
            </w:r>
          </w:p>
        </w:tc>
      </w:tr>
      <w:tr w14:paraId="5E0C6EE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55FAAF">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6075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0CAE5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1C4A1F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D61EB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00A7B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4C1FE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0F20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中型</w:t>
            </w:r>
          </w:p>
        </w:tc>
      </w:tr>
      <w:tr w14:paraId="2BA6B1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324F58">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CFE13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262019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989D4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A0C28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75159F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91004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3ECD2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小型</w:t>
            </w:r>
          </w:p>
        </w:tc>
      </w:tr>
      <w:tr w14:paraId="1F6DD42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131E0A">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86C2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A2938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EB032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40439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A206E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AD74A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CAF81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微型</w:t>
            </w:r>
          </w:p>
        </w:tc>
      </w:tr>
    </w:tbl>
    <w:p w14:paraId="6A87975D">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（三）</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A2CE92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8483B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3B51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2B2E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9B67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4D2A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企业类型</w:t>
            </w:r>
          </w:p>
        </w:tc>
      </w:tr>
      <w:tr w14:paraId="173CD74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2254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建筑业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3FA783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A644B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3B5FF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350B0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80000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48F2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46EF9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80000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7B77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大型</w:t>
            </w:r>
          </w:p>
        </w:tc>
      </w:tr>
      <w:tr w14:paraId="6693120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4BB5A4">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EA09A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F3F8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EAAE5A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35FCA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6000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1EC29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BDBD1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DD5E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中型</w:t>
            </w:r>
          </w:p>
        </w:tc>
      </w:tr>
      <w:tr w14:paraId="22FCCEC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4A03C5">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37A1C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5FA4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4C7DFD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ECF3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646A9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02014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533D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小型</w:t>
            </w:r>
          </w:p>
        </w:tc>
      </w:tr>
      <w:tr w14:paraId="46FC852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74C392">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7E518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5645E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3DEC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03B48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D3708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F329C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A0CD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微型</w:t>
            </w:r>
          </w:p>
        </w:tc>
      </w:tr>
    </w:tbl>
    <w:p w14:paraId="1D2B7CCF">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（四）</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6DD347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E2C9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8305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7BEC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ABD3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A2F1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企业类型</w:t>
            </w:r>
          </w:p>
        </w:tc>
      </w:tr>
      <w:tr w14:paraId="36C21BD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105E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批发业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1267F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48AA0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B923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BDEAF1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4571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088E0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B583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大型</w:t>
            </w:r>
          </w:p>
        </w:tc>
      </w:tr>
      <w:tr w14:paraId="0809746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B45AB7">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7F1C29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47F8D9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C86E3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AC641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CA7CE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EB89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9197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中型</w:t>
            </w:r>
          </w:p>
        </w:tc>
      </w:tr>
      <w:tr w14:paraId="22C7281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DB48FC">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14491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E072E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0B09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EC04A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63DE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920DC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3BFC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小型</w:t>
            </w:r>
          </w:p>
        </w:tc>
      </w:tr>
      <w:tr w14:paraId="3933BC6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764B65">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30DBE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BA8F1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599F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9CD53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C6717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786B1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8C47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微型</w:t>
            </w:r>
          </w:p>
        </w:tc>
      </w:tr>
    </w:tbl>
    <w:p w14:paraId="223ED47A">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（五）</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513B5B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90A2D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EEC1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1C7B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9A02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764C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企业类型</w:t>
            </w:r>
          </w:p>
        </w:tc>
      </w:tr>
      <w:tr w14:paraId="7639BE9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14B4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零售业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2334B6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3A347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A74E8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15960E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0B1A28B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5E7877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BC109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大型</w:t>
            </w:r>
          </w:p>
        </w:tc>
      </w:tr>
      <w:tr w14:paraId="77F6459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02F0BB">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7E7DBD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AFD6E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E0A85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2CAE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04BF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B5EE4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44AA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中型</w:t>
            </w:r>
          </w:p>
        </w:tc>
      </w:tr>
      <w:tr w14:paraId="432FA03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8BAA68">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0FDDA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88653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98B9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5223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39D5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16E83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1676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小型</w:t>
            </w:r>
          </w:p>
        </w:tc>
      </w:tr>
      <w:tr w14:paraId="58563EC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AC666B">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6B981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EE02D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9C46B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1957C3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CCC19B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BBC916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5618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微型</w:t>
            </w:r>
          </w:p>
        </w:tc>
      </w:tr>
    </w:tbl>
    <w:p w14:paraId="5859F5B0">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（六）</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CD8AE2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352DA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CF04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78390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0A76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77FF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企业类型</w:t>
            </w:r>
          </w:p>
        </w:tc>
      </w:tr>
      <w:tr w14:paraId="319AD2A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2163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交通运输业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AC544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8D287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95152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40AE3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6145A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FC2D7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39A1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大型</w:t>
            </w:r>
          </w:p>
        </w:tc>
      </w:tr>
      <w:tr w14:paraId="670C62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FFC824">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A40C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AD868E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13E86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EEC71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6D0A2D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BAE34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822A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中型</w:t>
            </w:r>
          </w:p>
        </w:tc>
      </w:tr>
      <w:tr w14:paraId="6FAB255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C8E57A">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DE922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E98A7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1F3D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816FD3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2B00D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B981B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34E7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小型</w:t>
            </w:r>
          </w:p>
        </w:tc>
      </w:tr>
      <w:tr w14:paraId="3613A9C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A9A5E8">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7AF707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D2E77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05114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EB512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50AC1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1968E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CACD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微型</w:t>
            </w:r>
          </w:p>
        </w:tc>
      </w:tr>
    </w:tbl>
    <w:p w14:paraId="5855ABCA">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（七）</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5A7A8B6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6907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223D8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DD7B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8256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4649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企业类型</w:t>
            </w:r>
          </w:p>
        </w:tc>
      </w:tr>
      <w:tr w14:paraId="2527D90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7802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仓储业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EBDE2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6FE58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69C9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AB2CC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08F45B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8EB35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201B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大型</w:t>
            </w:r>
          </w:p>
        </w:tc>
      </w:tr>
      <w:tr w14:paraId="00A6830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63721E">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D162A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84353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8E70B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83276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CB90E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9FD37A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75C4C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中型</w:t>
            </w:r>
          </w:p>
        </w:tc>
      </w:tr>
      <w:tr w14:paraId="0278B80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D6B3AE">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1306B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73EB9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5ABEDD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67100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C80E9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96BAF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3D5E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小型</w:t>
            </w:r>
          </w:p>
        </w:tc>
      </w:tr>
      <w:tr w14:paraId="66E6FE0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B22A84">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A88709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874B8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ECFC9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1B839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A174E4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51D3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5D38A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微型</w:t>
            </w:r>
          </w:p>
        </w:tc>
      </w:tr>
    </w:tbl>
    <w:p w14:paraId="27BC591C">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（八）</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544FFF9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1726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650D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282A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D4CA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A829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企业类型</w:t>
            </w:r>
          </w:p>
        </w:tc>
      </w:tr>
      <w:tr w14:paraId="09EF99A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1959B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邮政业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26B4D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F1690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C779E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5279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3E13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CAAD5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B796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大型</w:t>
            </w:r>
          </w:p>
        </w:tc>
      </w:tr>
      <w:tr w14:paraId="71D006A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986799">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D0C4C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14367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E1F19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2E10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902F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6910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C6AD6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中型</w:t>
            </w:r>
          </w:p>
        </w:tc>
      </w:tr>
      <w:tr w14:paraId="4BAC99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39FE19">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28CFC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460F4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AC590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C40E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0307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CB283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6FEE9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小型</w:t>
            </w:r>
          </w:p>
        </w:tc>
      </w:tr>
      <w:tr w14:paraId="6EC687C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54B84C">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0C055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662D88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4CF44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167CF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42DB26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68C0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B910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微型</w:t>
            </w:r>
          </w:p>
        </w:tc>
      </w:tr>
    </w:tbl>
    <w:p w14:paraId="30FC297A">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（九）</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B5A90F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97A2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0371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C730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E987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0790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企业类型</w:t>
            </w:r>
          </w:p>
        </w:tc>
      </w:tr>
      <w:tr w14:paraId="7209C16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8D434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住宿业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A1F2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DFC7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C8B52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A7D2E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B40E6C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15E6E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61A0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大型</w:t>
            </w:r>
          </w:p>
        </w:tc>
      </w:tr>
      <w:tr w14:paraId="24F87C2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FC9D17">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2CE6F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ABF248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DA3002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583A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D699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E6081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3BF4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中型</w:t>
            </w:r>
          </w:p>
        </w:tc>
      </w:tr>
      <w:tr w14:paraId="5D207D6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5C2F97">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6AF14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2DC6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203B5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004C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E222B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062208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2DFF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小型</w:t>
            </w:r>
          </w:p>
        </w:tc>
      </w:tr>
      <w:tr w14:paraId="566F426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D9601E">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63BF4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87D9AD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89F4C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CBB6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ECE93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660B4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8FF43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微型</w:t>
            </w:r>
          </w:p>
        </w:tc>
      </w:tr>
    </w:tbl>
    <w:p w14:paraId="7A0EB855">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（十）</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C30C8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E6AB5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0E42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1242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F055B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A88D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企业类型</w:t>
            </w:r>
          </w:p>
        </w:tc>
      </w:tr>
      <w:tr w14:paraId="4B03197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A3A2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餐饮业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AF0963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64447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09122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3932C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9EFF49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2686E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049B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大型</w:t>
            </w:r>
          </w:p>
        </w:tc>
      </w:tr>
      <w:tr w14:paraId="2E1E70B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97EED5">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B94AF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9447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5A3FA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C2267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99142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F20D1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7360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中型</w:t>
            </w:r>
          </w:p>
        </w:tc>
      </w:tr>
      <w:tr w14:paraId="558FC56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E2F102">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4146D5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DD1DE4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49F17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8F815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A14B1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1F3B3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C252A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小型</w:t>
            </w:r>
          </w:p>
        </w:tc>
      </w:tr>
      <w:tr w14:paraId="76175DA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E34A1E">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0A226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9DAEE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1A62A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966129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E8BA5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09F217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8205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微型</w:t>
            </w:r>
          </w:p>
        </w:tc>
      </w:tr>
    </w:tbl>
    <w:p w14:paraId="046A2102">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（十一）</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C5798C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A9E2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3612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1312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0728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4040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企业类型</w:t>
            </w:r>
          </w:p>
        </w:tc>
      </w:tr>
      <w:tr w14:paraId="2DFC89D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7597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信息传输业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FD2C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73A63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3E82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4EA22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856D6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4D6E6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2EBC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大型</w:t>
            </w:r>
          </w:p>
        </w:tc>
      </w:tr>
      <w:tr w14:paraId="465B26C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457CCD">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A17DA4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02152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FE42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F0221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B2BA7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B987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FFD50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中型</w:t>
            </w:r>
          </w:p>
        </w:tc>
      </w:tr>
      <w:tr w14:paraId="0B5BA7B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5A847A">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9D9FA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DE3A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717C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1F3D9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B27BC0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0534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B135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小型</w:t>
            </w:r>
          </w:p>
        </w:tc>
      </w:tr>
      <w:tr w14:paraId="45446AF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F7DED2">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A54F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FC684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3175C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277F3E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B2058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30566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D201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微型</w:t>
            </w:r>
          </w:p>
        </w:tc>
      </w:tr>
    </w:tbl>
    <w:p w14:paraId="39F2F887">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（十二）</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33F9EC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D117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849DC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2D88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40F1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8EA4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企业类型</w:t>
            </w:r>
          </w:p>
        </w:tc>
      </w:tr>
      <w:tr w14:paraId="28AA9C4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BB8B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软件和信息技术服务业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773EE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7092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8A7BC2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374592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2EB8C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2414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319F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大型</w:t>
            </w:r>
          </w:p>
        </w:tc>
      </w:tr>
      <w:tr w14:paraId="49A8F1E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5FC611">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1F3E2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30279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AF64B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DA929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5509E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AF7127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AD01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中型</w:t>
            </w:r>
          </w:p>
        </w:tc>
      </w:tr>
      <w:tr w14:paraId="3DB84FC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C333AC">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82FE3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9FB3D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E974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AF92C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3545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76E3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BD3B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小型</w:t>
            </w:r>
          </w:p>
        </w:tc>
      </w:tr>
      <w:tr w14:paraId="075364A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76F92D">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7CD333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8994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E0D1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00A32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DB7BB8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90F0D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A721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微型</w:t>
            </w:r>
          </w:p>
        </w:tc>
      </w:tr>
    </w:tbl>
    <w:p w14:paraId="4D391FA8">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（十三）</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BCB3EE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CFA7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526F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0174C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6EDA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0843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企业类型</w:t>
            </w:r>
          </w:p>
        </w:tc>
      </w:tr>
      <w:tr w14:paraId="44301D4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78AD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房地产开发经营</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B3C89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82BD2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E5411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BB05B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2532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44FDA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8754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大型</w:t>
            </w:r>
          </w:p>
        </w:tc>
      </w:tr>
      <w:tr w14:paraId="1140545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3990F8">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2A0542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E68F7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EF0EA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F46E4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E40B9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13037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0EEE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中型</w:t>
            </w:r>
          </w:p>
        </w:tc>
      </w:tr>
      <w:tr w14:paraId="37DD830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BE9CC6">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575C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FAFFC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AC628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C69DB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C7AD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1057E4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D248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小型</w:t>
            </w:r>
          </w:p>
        </w:tc>
      </w:tr>
      <w:tr w14:paraId="42B3AEB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EC83DE">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3009A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F83C5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B46B5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459B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E68A3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5E7BD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FC57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微型</w:t>
            </w:r>
          </w:p>
        </w:tc>
      </w:tr>
    </w:tbl>
    <w:p w14:paraId="441F9E7F">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（十四）</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78BA31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5C80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89E6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8AAA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6801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33B2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企业类型</w:t>
            </w:r>
          </w:p>
        </w:tc>
      </w:tr>
      <w:tr w14:paraId="25AF16B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D442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物业管理</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7B528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CC7B5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DCE0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03563A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22A20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CC8DD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1F223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大型</w:t>
            </w:r>
          </w:p>
        </w:tc>
      </w:tr>
      <w:tr w14:paraId="32579C7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D13F1C">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76815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C177F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0A054B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8D2E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D95AF8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59DA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F2F0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中型</w:t>
            </w:r>
          </w:p>
        </w:tc>
      </w:tr>
      <w:tr w14:paraId="2B0B905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212FFA">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D0480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D668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2E110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90136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CDAFC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89D14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BD14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小型</w:t>
            </w:r>
          </w:p>
        </w:tc>
      </w:tr>
      <w:tr w14:paraId="4000742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BB575C">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1EEE6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0D9CA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F15C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B4B23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8EF9D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3000F7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5058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微型</w:t>
            </w:r>
          </w:p>
        </w:tc>
      </w:tr>
    </w:tbl>
    <w:p w14:paraId="4CA2830A">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（十五）</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A50F87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5BB1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2E1A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A100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7092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16B1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企业类型</w:t>
            </w:r>
          </w:p>
        </w:tc>
      </w:tr>
      <w:tr w14:paraId="51414CF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9644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租赁和商务服务业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5289D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2E7A8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FE26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4ACD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711DE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7D5CB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120000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A030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大型</w:t>
            </w:r>
          </w:p>
        </w:tc>
      </w:tr>
      <w:tr w14:paraId="69CFB14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FA87DC">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B6167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ADC476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889FA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4CE8C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F42B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C323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8000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3326C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中型</w:t>
            </w:r>
          </w:p>
        </w:tc>
      </w:tr>
      <w:tr w14:paraId="5487CB1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83855D">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BFE79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AD3EB0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34D34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FC2CE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4BD4A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FFC2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EAE1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小型</w:t>
            </w:r>
          </w:p>
        </w:tc>
      </w:tr>
      <w:tr w14:paraId="208140B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8C4DD7">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889C6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62EBD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B1108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6A255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C1554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95247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704A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微型</w:t>
            </w:r>
          </w:p>
        </w:tc>
      </w:tr>
    </w:tbl>
    <w:p w14:paraId="4A11EDCB">
      <w:pPr>
        <w:keepNext w:val="0"/>
        <w:keepLines w:val="0"/>
        <w:widowControl/>
        <w:suppressLineNumbers w:val="0"/>
        <w:spacing w:line="288" w:lineRule="auto"/>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（十六）</w:t>
      </w:r>
    </w:p>
    <w:tbl>
      <w:tblPr>
        <w:tblStyle w:val="14"/>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AD84E0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ADDD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C8F1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9A8DC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0FE9F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7D8F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企业类型</w:t>
            </w:r>
          </w:p>
        </w:tc>
      </w:tr>
      <w:tr w14:paraId="376FC9A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AB60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其他未列明行业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C4BB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5EC8B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A66D9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3807D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F18A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3832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4CD3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大型</w:t>
            </w:r>
          </w:p>
        </w:tc>
      </w:tr>
      <w:tr w14:paraId="660BE14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2C2270">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8938B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8A488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41677C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508B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BAFD9D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42FB6B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3665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中型</w:t>
            </w:r>
          </w:p>
        </w:tc>
      </w:tr>
      <w:tr w14:paraId="4236D03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5A855A">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898943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ADB40C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BB1F9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F7C3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53AD2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846DA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42CA7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小型</w:t>
            </w:r>
          </w:p>
        </w:tc>
      </w:tr>
      <w:tr w14:paraId="7668E91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056EC1">
            <w:pPr>
              <w:rPr>
                <w:rFonts w:hint="eastAsia" w:ascii="宋体" w:hAnsi="宋体" w:eastAsia="宋体" w:cs="宋体"/>
                <w:color w:val="auto"/>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29CD6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DF151D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BF9F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5958A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B964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D4D11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 </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AAC4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微型</w:t>
            </w:r>
          </w:p>
        </w:tc>
      </w:tr>
    </w:tbl>
    <w:p w14:paraId="1CDE89AA">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53152D23">
      <w:pPr>
        <w:keepNext w:val="0"/>
        <w:keepLines w:val="0"/>
        <w:widowControl/>
        <w:suppressLineNumbers w:val="0"/>
        <w:spacing w:line="288" w:lineRule="auto"/>
        <w:ind w:left="0"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中小企业划型标准规定</w:t>
      </w:r>
    </w:p>
    <w:p w14:paraId="1EC64B3A">
      <w:pPr>
        <w:keepNext w:val="0"/>
        <w:keepLines w:val="0"/>
        <w:widowControl/>
        <w:suppressLineNumbers w:val="0"/>
        <w:spacing w:line="288" w:lineRule="auto"/>
        <w:jc w:val="left"/>
        <w:rPr>
          <w:rFonts w:hint="eastAsia" w:ascii="宋体" w:hAnsi="宋体" w:eastAsia="宋体" w:cs="宋体"/>
          <w:color w:val="auto"/>
          <w:sz w:val="21"/>
          <w:szCs w:val="21"/>
          <w:highlight w:val="none"/>
        </w:rPr>
      </w:pPr>
    </w:p>
    <w:p w14:paraId="5B50757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一、根据《中华人民共和国中小企业促进法》和《国务院关于进一步促进中小企业发展的若干意见》(国发〔2009〕36号)，制定本规定。</w:t>
      </w:r>
    </w:p>
    <w:p w14:paraId="5F24F1D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二、中小企业划分为中型、小型、微型三种类型，具体标准根据企业从业人员、营业收入、资产总额等指标，结合行业特点制定。</w:t>
      </w:r>
    </w:p>
    <w:p w14:paraId="71B29B7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6EAD0C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四、各行业划型标准为：</w:t>
      </w:r>
    </w:p>
    <w:p w14:paraId="689D1DB1">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（一）农、林、牧、渔业。营业收入20000万元以下的为中小微型企业。其中，营业收入500万元及以上的为中型企业，营业收入50万元及以上的为小型企业，营业收入50万元以下的为微型企业。</w:t>
      </w:r>
    </w:p>
    <w:p w14:paraId="766B654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22C08E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8AC67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F7C74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F07D29C">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5D66D4A">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79FFF75">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F11DBC7">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B40CF5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D7CF0E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A6316F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C4B120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166B39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9BB3E1F">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3B394B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（十六）其他未列明行业。从业人员300人以下的为中小微型企业。其中，从业人员100人及以上的为中型企业；从业人员10人及以上的为小型企业；从业人员10人以下的为微型企业。</w:t>
      </w:r>
    </w:p>
    <w:p w14:paraId="6747F6D9">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五、企业类型的划分以统计部门的统计数据为依据。</w:t>
      </w:r>
    </w:p>
    <w:p w14:paraId="2143E250">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六、本规定适用于在中华人民共和国境内依法设立的各类所有制和各种组织形式的企业。个体工商户和本规定以外的行业，参照本规定进行划型。</w:t>
      </w:r>
    </w:p>
    <w:p w14:paraId="4465A138">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7B349503">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八、本规定由工业和信息化部、国家统计局会同有关部门根据《国民经济行业分类》修订情况和企业发展变化情况适时修订。</w:t>
      </w:r>
    </w:p>
    <w:p w14:paraId="45F18F0E">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九、本规定由工业和信息化部、国家统计局会同有关部门负责解释。</w:t>
      </w:r>
    </w:p>
    <w:p w14:paraId="62D9163D">
      <w:pPr>
        <w:keepNext w:val="0"/>
        <w:keepLines w:val="0"/>
        <w:widowControl/>
        <w:suppressLineNumbers w:val="0"/>
        <w:spacing w:line="288" w:lineRule="auto"/>
        <w:ind w:left="0" w:firstLine="42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十、本规定自发布之日起执行，原国家经贸委、原国家计委、财政部和国家统计局2003年颁布的《中小企业标准暂行规定》同时废止。</w:t>
      </w:r>
    </w:p>
    <w:sectPr>
      <w:footerReference r:id="rId4" w:type="default"/>
      <w:pgSz w:w="12240" w:h="15840"/>
      <w:pgMar w:top="1440" w:right="1440" w:bottom="1440" w:left="1440" w:header="720" w:footer="720" w:gutter="0"/>
      <w:pgBorders>
        <w:top w:val="none" w:sz="0" w:space="0"/>
        <w:left w:val="none" w:sz="0" w:space="0"/>
        <w:bottom w:val="none" w:sz="0" w:space="0"/>
        <w:right w:val="none" w:sz="0" w:space="0"/>
      </w:pgBorders>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B605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6053">
    <w:pPr>
      <w:pStyle w:val="12"/>
    </w:pPr>
    <w:r>
      <w:rPr>
        <w:sz w:val="18"/>
      </w:rPr>
      <w:pict>
        <v:shape id="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61467A4A">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5"/>
      <w:numFmt w:val="chineseCounting"/>
      <w:suff w:val="nothing"/>
      <w:lvlText w:val="%1、"/>
      <w:lvlJc w:val="left"/>
      <w:rPr>
        <w:rFonts w:hint="eastAsia"/>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1"/>
      <w:numFmt w:val="decimal"/>
      <w:lvlText w:val="(%1)"/>
      <w:lvlJc w:val="left"/>
      <w:pPr>
        <w:ind w:left="425" w:hanging="425"/>
      </w:pPr>
      <w:rPr>
        <w:rFonts w:hint="default"/>
      </w:rPr>
    </w:lvl>
  </w:abstractNum>
  <w:abstractNum w:abstractNumId="4">
    <w:nsid w:val="00000004"/>
    <w:multiLevelType w:val="multilevel"/>
    <w:tmpl w:val="00000004"/>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00000005"/>
    <w:multiLevelType w:val="multilevel"/>
    <w:tmpl w:val="00000005"/>
    <w:lvl w:ilvl="0" w:tentative="0">
      <w:start w:val="1"/>
      <w:numFmt w:val="decimal"/>
      <w:suff w:val="nothing"/>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00000006"/>
    <w:multiLevelType w:val="singleLevel"/>
    <w:tmpl w:val="00000006"/>
    <w:lvl w:ilvl="0" w:tentative="0">
      <w:start w:val="1"/>
      <w:numFmt w:val="decimal"/>
      <w:suff w:val="nothing"/>
      <w:lvlText w:val="（%1）"/>
      <w:lvlJc w:val="left"/>
      <w:pPr>
        <w:ind w:left="640" w:leftChars="0" w:firstLine="0" w:firstLineChars="0"/>
      </w:pPr>
    </w:lvl>
  </w:abstractNum>
  <w:num w:numId="1">
    <w:abstractNumId w:val="4"/>
  </w:num>
  <w:num w:numId="2">
    <w:abstractNumId w:val="5"/>
  </w:num>
  <w:num w:numId="3">
    <w:abstractNumId w:val="6"/>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splitPgBreakAndParaMark/>
    <w:compatSetting w:name="compatibilityMode" w:uri="http://schemas.microsoft.com/office/word" w:val="12"/>
  </w:compat>
  <w:rsids>
    <w:rsidRoot w:val="00000000"/>
    <w:rsid w:val="02344912"/>
    <w:rsid w:val="0509577A"/>
    <w:rsid w:val="069F67D0"/>
    <w:rsid w:val="0A8C0F67"/>
    <w:rsid w:val="0A8D08C3"/>
    <w:rsid w:val="0B671A00"/>
    <w:rsid w:val="0D196656"/>
    <w:rsid w:val="16005D04"/>
    <w:rsid w:val="16481B56"/>
    <w:rsid w:val="1AC75042"/>
    <w:rsid w:val="1E8A6C20"/>
    <w:rsid w:val="21DC4FB5"/>
    <w:rsid w:val="227930C6"/>
    <w:rsid w:val="246833F2"/>
    <w:rsid w:val="24913915"/>
    <w:rsid w:val="252F1C88"/>
    <w:rsid w:val="262A7053"/>
    <w:rsid w:val="275C2BD9"/>
    <w:rsid w:val="2AA65874"/>
    <w:rsid w:val="2B004385"/>
    <w:rsid w:val="2C2E4A75"/>
    <w:rsid w:val="2F3D7179"/>
    <w:rsid w:val="2F6649D2"/>
    <w:rsid w:val="379F0AD7"/>
    <w:rsid w:val="40EB5A54"/>
    <w:rsid w:val="41763C3E"/>
    <w:rsid w:val="42F771B0"/>
    <w:rsid w:val="4C1475F9"/>
    <w:rsid w:val="4E845B62"/>
    <w:rsid w:val="50247EE2"/>
    <w:rsid w:val="52722F02"/>
    <w:rsid w:val="52BD39C5"/>
    <w:rsid w:val="536D3FDA"/>
    <w:rsid w:val="539A4151"/>
    <w:rsid w:val="59576B2A"/>
    <w:rsid w:val="5A953A4E"/>
    <w:rsid w:val="5C9347A9"/>
    <w:rsid w:val="5E861797"/>
    <w:rsid w:val="64D35B59"/>
    <w:rsid w:val="6ADC61AD"/>
    <w:rsid w:val="7104137A"/>
    <w:rsid w:val="763B7A00"/>
    <w:rsid w:val="77FF34C3"/>
    <w:rsid w:val="7D8775BA"/>
    <w:rsid w:val="7DF06F0E"/>
    <w:rsid w:val="7F8A33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3">
    <w:name w:val="heading 1"/>
    <w:basedOn w:val="1"/>
    <w:next w:val="1"/>
    <w:qFormat/>
    <w:uiPriority w:val="0"/>
    <w:pPr>
      <w:keepNext/>
      <w:keepLines/>
      <w:numPr>
        <w:ilvl w:val="0"/>
        <w:numId w:val="1"/>
      </w:numPr>
      <w:spacing w:before="340" w:after="330" w:line="576" w:lineRule="auto"/>
      <w:outlineLvl w:val="0"/>
    </w:pPr>
    <w:rPr>
      <w:rFonts w:ascii="Calibri" w:hAnsi="Calibri" w:eastAsia="黑体"/>
      <w:b/>
      <w:kern w:val="44"/>
    </w:rPr>
  </w:style>
  <w:style w:type="paragraph" w:styleId="4">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5">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paragraph" w:styleId="6">
    <w:name w:val="heading 4"/>
    <w:basedOn w:val="1"/>
    <w:next w:val="1"/>
    <w:qFormat/>
    <w:uiPriority w:val="0"/>
    <w:pPr>
      <w:keepNext/>
      <w:keepLines/>
      <w:numPr>
        <w:ilvl w:val="3"/>
        <w:numId w:val="1"/>
      </w:numPr>
      <w:spacing w:before="280" w:after="290" w:line="372" w:lineRule="auto"/>
      <w:outlineLvl w:val="3"/>
    </w:pPr>
    <w:rPr>
      <w:rFonts w:ascii="Arial" w:hAnsi="Arial" w:eastAsia="黑体"/>
      <w:b/>
      <w:sz w:val="28"/>
    </w:rPr>
  </w:style>
  <w:style w:type="paragraph" w:styleId="7">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rPr>
  </w:style>
  <w:style w:type="character" w:default="1" w:styleId="16">
    <w:name w:val="Default Paragraph Font"/>
    <w:qFormat/>
    <w:uiPriority w:val="0"/>
  </w:style>
  <w:style w:type="table" w:default="1" w:styleId="14">
    <w:name w:val="Normal Table"/>
    <w:qFormat/>
    <w:uiPriority w:val="0"/>
    <w:tblPr>
      <w:tblCellMar>
        <w:top w:w="0" w:type="dxa"/>
        <w:left w:w="108" w:type="dxa"/>
        <w:bottom w:w="0" w:type="dxa"/>
        <w:right w:w="108" w:type="dxa"/>
      </w:tblCellMar>
    </w:tblPr>
  </w:style>
  <w:style w:type="paragraph" w:styleId="2">
    <w:name w:val="Plain Text"/>
    <w:basedOn w:val="1"/>
    <w:qFormat/>
    <w:uiPriority w:val="0"/>
    <w:pPr>
      <w:spacing w:before="156" w:beforeLines="50" w:after="156" w:afterLines="50" w:line="400" w:lineRule="atLeast"/>
    </w:pPr>
    <w:rPr>
      <w:rFonts w:ascii="宋体" w:hAnsi="Courier New"/>
      <w:sz w:val="24"/>
    </w:rPr>
  </w:style>
  <w:style w:type="paragraph" w:styleId="8">
    <w:name w:val="Normal Indent"/>
    <w:basedOn w:val="1"/>
    <w:qFormat/>
    <w:uiPriority w:val="0"/>
    <w:pPr>
      <w:ind w:firstLine="420"/>
    </w:pPr>
  </w:style>
  <w:style w:type="paragraph" w:styleId="9">
    <w:name w:val="annotation text"/>
    <w:basedOn w:val="1"/>
    <w:qFormat/>
    <w:uiPriority w:val="0"/>
    <w:pPr>
      <w:jc w:val="left"/>
    </w:pPr>
  </w:style>
  <w:style w:type="paragraph" w:styleId="10">
    <w:name w:val="Body Text"/>
    <w:basedOn w:val="1"/>
    <w:qFormat/>
    <w:uiPriority w:val="99"/>
    <w:pPr>
      <w:spacing w:after="120" w:afterAutospacing="0"/>
    </w:pPr>
  </w:style>
  <w:style w:type="paragraph" w:styleId="11">
    <w:name w:val="Body Text Indent"/>
    <w:basedOn w:val="1"/>
    <w:qFormat/>
    <w:uiPriority w:val="99"/>
    <w:pPr>
      <w:widowControl/>
      <w:autoSpaceDE w:val="0"/>
      <w:autoSpaceDN w:val="0"/>
      <w:snapToGrid w:val="0"/>
      <w:spacing w:before="120" w:line="400" w:lineRule="atLeast"/>
      <w:ind w:firstLine="570"/>
      <w:textAlignment w:val="bottom"/>
    </w:pPr>
    <w:rPr>
      <w:rFonts w:ascii="宋体" w:hAnsi="Calibri"/>
      <w:sz w:val="24"/>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自动更正"/>
    <w:next w:val="19"/>
    <w:qFormat/>
    <w:uiPriority w:val="0"/>
    <w:pPr>
      <w:widowControl w:val="0"/>
      <w:spacing w:line="360" w:lineRule="auto"/>
      <w:ind w:firstLine="1285" w:firstLineChars="200"/>
      <w:jc w:val="both"/>
    </w:pPr>
    <w:rPr>
      <w:rFonts w:ascii="Times New Roman" w:hAnsi="Times New Roman" w:eastAsia="仿宋" w:cs="Times New Roman"/>
      <w:kern w:val="2"/>
      <w:sz w:val="28"/>
      <w:szCs w:val="24"/>
      <w:lang w:val="en-US" w:eastAsia="zh-CN" w:bidi="ar-SA"/>
    </w:rPr>
  </w:style>
  <w:style w:type="paragraph" w:customStyle="1" w:styleId="19">
    <w:name w:val="*正文"/>
    <w:basedOn w:val="1"/>
    <w:next w:val="1"/>
    <w:qFormat/>
    <w:uiPriority w:val="0"/>
    <w:pPr>
      <w:ind w:firstLine="200"/>
    </w:pPr>
    <w:rPr>
      <w:rFonts w:ascii="宋体" w:hAnsi="宋体"/>
      <w:kern w:val="0"/>
    </w:rPr>
  </w:style>
  <w:style w:type="paragraph" w:customStyle="1" w:styleId="20">
    <w:name w:val="正文常用"/>
    <w:basedOn w:val="1"/>
    <w:qFormat/>
    <w:uiPriority w:val="0"/>
    <w:rPr>
      <w:rFonts w:ascii="宋体" w:hAnsi="宋体" w:eastAsia="宋体"/>
      <w:color w:val="000000"/>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1a93fc-215e-4b08-b3d6-036d3c5134c9}">
  <ds:schemaRefs/>
</ds:datastoreItem>
</file>

<file path=docProps/app.xml><?xml version="1.0" encoding="utf-8"?>
<Properties xmlns="http://schemas.openxmlformats.org/officeDocument/2006/extended-properties" xmlns:vt="http://schemas.openxmlformats.org/officeDocument/2006/docPropsVTypes">
  <Pages>68</Pages>
  <Words>3301</Words>
  <Characters>3822</Characters>
  <Paragraphs>2727</Paragraphs>
  <TotalTime>1</TotalTime>
  <ScaleCrop>false</ScaleCrop>
  <LinksUpToDate>false</LinksUpToDate>
  <CharactersWithSpaces>3853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2026-05-09T08:08:00Z</dcterms:created>
  <dc:creator>13695</dc:creator>
  <cp:lastModifiedBy>温瑶</cp:lastModifiedBy>
  <dcterms:modified xsi:type="dcterms:W3CDTF">2026-05-15T07:16:39Z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eyJoZGlkIjoiMzYyYmYyOGUzZWY1Y2YxMDEzN2MwODQ0NWRjMDc3NmMiLCJ1c2VySWQiOiIxNjEzNDM1NjUyIn0=</vt:lpwstr>
  </property>
  <property fmtid="{D5CDD505-2E9C-101B-9397-08002B2CF9AE}" pid="3" name="KSOProductBuildVer">
    <vt:lpwstr>2052-12.1.0.25865</vt:lpwstr>
  </property>
  <property fmtid="{D5CDD505-2E9C-101B-9397-08002B2CF9AE}" pid="4" name="ICV">
    <vt:lpwstr>A0579E12EE2A4480B935CE230D46527B_12</vt:lpwstr>
  </property>
</Properties>
</file>