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6ACB7">
      <w:pPr>
        <w:wordWrap w:val="0"/>
        <w:snapToGrid w:val="0"/>
        <w:spacing w:line="360" w:lineRule="auto"/>
        <w:jc w:val="right"/>
        <w:rPr>
          <w:rFonts w:ascii="仿宋_GB2312" w:hAnsi="仿宋" w:eastAsia="仿宋_GB2312"/>
          <w:color w:val="000000"/>
          <w:highlight w:val="none"/>
        </w:rPr>
      </w:pPr>
      <w:r>
        <w:rPr>
          <w:rFonts w:hint="eastAsia" w:ascii="仿宋_GB2312" w:hAnsi="仿宋" w:eastAsia="仿宋_GB2312"/>
          <w:color w:val="000000"/>
          <w:highlight w:val="none"/>
        </w:rPr>
        <w:t xml:space="preserve">                </w:t>
      </w:r>
    </w:p>
    <w:p w14:paraId="6615C7A3">
      <w:pPr>
        <w:wordWrap w:val="0"/>
        <w:snapToGrid w:val="0"/>
        <w:spacing w:line="360" w:lineRule="auto"/>
        <w:jc w:val="right"/>
        <w:rPr>
          <w:rFonts w:ascii="黑体" w:hAnsi="黑体" w:eastAsia="黑体"/>
          <w:color w:val="000000"/>
          <w:highlight w:val="none"/>
        </w:rPr>
      </w:pPr>
      <w:r>
        <w:rPr>
          <w:rFonts w:ascii="仿宋_GB2312" w:hAnsi="仿宋" w:eastAsia="仿宋_GB2312"/>
          <w:b/>
          <w:color w:val="000000"/>
          <w:kern w:val="16"/>
          <w:highlight w:val="none"/>
        </w:rPr>
        <w:pict>
          <v:shape id="_x0000_s1027" o:spid="_x0000_s1027" o:spt="136" alt="water" type="#_x0000_t136" style="position:absolute;left:0pt;margin-left:246.95pt;margin-top:11.3pt;height:19.25pt;width:206.55pt;mso-wrap-distance-left:9pt;mso-wrap-distance-right:9pt;z-index:-251656192;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adj="10800">
            <v:path/>
            <v:fill type="gradient" on="t" color2="#FFFFFF" colors="0f #012D86;65536f #0E2557" focus="0%" focussize="0f,0f" focusposition="0f,0f" rotate="t">
              <o:fill type="gradientUnscaled" v:ext="backwardCompatible"/>
            </v:fill>
            <v:stroke weight="1.5pt" color="#99CCFF"/>
            <v:imagedata o:title=""/>
            <o:lock v:ext="edit" aspectratio="f"/>
            <v:textpath on="t" fitshape="t" fitpath="t" trim="t" xscale="f" string="中合安建工程管理有限公司" style="font-family:宋体;font-size:36pt;v-text-align:center;"/>
            <v:shadow on="t" obscured="f" color="#990000" opacity="65536f" offset="2pt,2pt" offset2="-2pt,-2pt" origin="0f,0f" matrix="65536f,0f,0f,65536f,0,0"/>
            <w10:wrap type="tight"/>
          </v:shape>
        </w:pict>
      </w:r>
      <w:r>
        <w:rPr>
          <w:rFonts w:hint="eastAsia" w:ascii="仿宋_GB2312" w:hAnsi="仿宋" w:eastAsia="仿宋_GB2312"/>
          <w:color w:val="000000"/>
          <w:highlight w:val="none"/>
        </w:rPr>
        <w:drawing>
          <wp:inline distT="0" distB="0" distL="114300" distR="114300">
            <wp:extent cx="981075" cy="619125"/>
            <wp:effectExtent l="0" t="0" r="9525" b="5715"/>
            <wp:docPr id="2" name="图片 2" descr="中合安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合安建"/>
                    <pic:cNvPicPr>
                      <a:picLocks noChangeAspect="1"/>
                    </pic:cNvPicPr>
                  </pic:nvPicPr>
                  <pic:blipFill>
                    <a:blip r:embed="rId15"/>
                    <a:stretch>
                      <a:fillRect/>
                    </a:stretch>
                  </pic:blipFill>
                  <pic:spPr>
                    <a:xfrm>
                      <a:off x="0" y="0"/>
                      <a:ext cx="981075" cy="619125"/>
                    </a:xfrm>
                    <a:prstGeom prst="rect">
                      <a:avLst/>
                    </a:prstGeom>
                  </pic:spPr>
                </pic:pic>
              </a:graphicData>
            </a:graphic>
          </wp:inline>
        </w:drawing>
      </w:r>
      <w:r>
        <w:rPr>
          <w:rFonts w:hint="eastAsia" w:ascii="仿宋_GB2312" w:hAnsi="仿宋" w:eastAsia="仿宋_GB2312"/>
          <w:color w:val="000000"/>
          <w:highlight w:val="none"/>
        </w:rPr>
        <w:t xml:space="preserve"> </w:t>
      </w:r>
    </w:p>
    <w:p w14:paraId="35A2DC20">
      <w:pPr>
        <w:shd w:val="clear"/>
        <w:wordWrap w:val="0"/>
        <w:snapToGrid w:val="0"/>
        <w:spacing w:line="360" w:lineRule="auto"/>
        <w:ind w:right="480"/>
        <w:jc w:val="right"/>
        <w:rPr>
          <w:rFonts w:hint="eastAsia" w:ascii="黑体" w:hAnsi="黑体" w:eastAsia="黑体"/>
          <w:color w:val="000000"/>
          <w:highlight w:val="none"/>
          <w:shd w:val="clear"/>
          <w:lang w:val="en-US" w:eastAsia="zh-CN"/>
        </w:rPr>
      </w:pPr>
      <w:r>
        <w:rPr>
          <w:rFonts w:hint="eastAsia" w:ascii="黑体" w:hAnsi="黑体" w:eastAsia="黑体"/>
          <w:color w:val="000000"/>
          <w:highlight w:val="none"/>
          <w:shd w:val="clear"/>
          <w:lang w:val="en-US" w:eastAsia="zh-CN"/>
        </w:rPr>
        <w:t xml:space="preserve">                 </w:t>
      </w:r>
    </w:p>
    <w:p w14:paraId="3444D2EA">
      <w:pPr>
        <w:shd w:val="clear"/>
        <w:tabs>
          <w:tab w:val="left" w:pos="8400"/>
        </w:tabs>
        <w:wordWrap/>
        <w:snapToGrid w:val="0"/>
        <w:spacing w:line="360" w:lineRule="auto"/>
        <w:ind w:right="14" w:rightChars="0"/>
        <w:jc w:val="right"/>
        <w:rPr>
          <w:rFonts w:hint="eastAsia" w:ascii="黑体" w:hAnsi="黑体" w:eastAsia="黑体"/>
          <w:color w:val="000000"/>
          <w:highlight w:val="none"/>
          <w:lang w:val="en-US" w:eastAsia="zh-CN"/>
        </w:rPr>
      </w:pPr>
      <w:r>
        <w:rPr>
          <w:rFonts w:hint="eastAsia" w:ascii="黑体" w:hAnsi="黑体" w:eastAsia="黑体"/>
          <w:color w:val="000000"/>
          <w:highlight w:val="none"/>
          <w:shd w:val="clear"/>
          <w:lang w:val="en-US" w:eastAsia="zh-CN"/>
        </w:rPr>
        <w:t xml:space="preserve"> </w:t>
      </w:r>
      <w:r>
        <w:rPr>
          <w:rFonts w:hint="eastAsia" w:ascii="黑体" w:hAnsi="黑体" w:eastAsia="黑体"/>
          <w:color w:val="000000"/>
          <w:highlight w:val="none"/>
          <w:shd w:val="clear"/>
        </w:rPr>
        <w:t>项目编号：</w:t>
      </w:r>
      <w:r>
        <w:rPr>
          <w:rFonts w:hint="eastAsia" w:ascii="黑体" w:hAnsi="黑体" w:eastAsia="黑体"/>
          <w:color w:val="000000"/>
          <w:highlight w:val="none"/>
          <w:shd w:val="clear"/>
          <w:lang w:eastAsia="zh-CN"/>
        </w:rPr>
        <w:t>2026ZHAJ-10</w:t>
      </w:r>
    </w:p>
    <w:p w14:paraId="413B7496">
      <w:pPr>
        <w:snapToGrid w:val="0"/>
        <w:spacing w:line="360" w:lineRule="auto"/>
        <w:jc w:val="right"/>
        <w:rPr>
          <w:rFonts w:ascii="黑体" w:hAnsi="黑体" w:eastAsia="黑体"/>
          <w:color w:val="000000"/>
          <w:highlight w:val="none"/>
        </w:rPr>
      </w:pPr>
    </w:p>
    <w:p w14:paraId="45B9C59A">
      <w:pPr>
        <w:snapToGrid w:val="0"/>
        <w:spacing w:line="360" w:lineRule="auto"/>
        <w:jc w:val="center"/>
        <w:rPr>
          <w:rFonts w:hint="eastAsia" w:ascii="黑体" w:hAnsi="黑体" w:eastAsia="黑体"/>
          <w:color w:val="000000"/>
          <w:sz w:val="52"/>
          <w:szCs w:val="52"/>
          <w:highlight w:val="none"/>
          <w:lang w:eastAsia="zh-CN"/>
        </w:rPr>
      </w:pPr>
    </w:p>
    <w:p w14:paraId="25B70A68">
      <w:pPr>
        <w:pStyle w:val="8"/>
        <w:jc w:val="center"/>
        <w:rPr>
          <w:rFonts w:hint="eastAsia"/>
          <w:highlight w:val="none"/>
        </w:rPr>
      </w:pPr>
      <w:r>
        <w:rPr>
          <w:rFonts w:hint="eastAsia" w:ascii="黑体" w:hAnsi="黑体" w:eastAsia="黑体"/>
          <w:color w:val="000000"/>
          <w:sz w:val="52"/>
          <w:szCs w:val="52"/>
          <w:highlight w:val="none"/>
          <w:lang w:eastAsia="zh-CN"/>
        </w:rPr>
        <w:t>新疆农业大学新疆特色农畜产品贮藏加工创新与实践基地项目</w:t>
      </w:r>
    </w:p>
    <w:p w14:paraId="6553EF69">
      <w:pPr>
        <w:pStyle w:val="4"/>
        <w:rPr>
          <w:rFonts w:hint="eastAsia"/>
          <w:highlight w:val="none"/>
        </w:rPr>
      </w:pPr>
    </w:p>
    <w:p w14:paraId="5D550327">
      <w:pPr>
        <w:snapToGrid w:val="0"/>
        <w:jc w:val="center"/>
        <w:rPr>
          <w:rFonts w:hint="eastAsia" w:ascii="黑体" w:hAnsi="黑体" w:eastAsia="黑体"/>
          <w:color w:val="000000"/>
          <w:sz w:val="78"/>
          <w:highlight w:val="none"/>
        </w:rPr>
      </w:pPr>
    </w:p>
    <w:p w14:paraId="27772AF0">
      <w:pPr>
        <w:pStyle w:val="6"/>
        <w:rPr>
          <w:rFonts w:hint="eastAsia" w:ascii="黑体" w:hAnsi="黑体" w:eastAsia="黑体"/>
          <w:color w:val="000000"/>
          <w:sz w:val="78"/>
          <w:highlight w:val="none"/>
        </w:rPr>
      </w:pPr>
    </w:p>
    <w:p w14:paraId="3DDEABC2">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rPr>
        <w:t>招标文件</w:t>
      </w:r>
    </w:p>
    <w:p w14:paraId="3EBF929C">
      <w:pPr>
        <w:snapToGrid w:val="0"/>
        <w:spacing w:line="360" w:lineRule="auto"/>
        <w:rPr>
          <w:rFonts w:hint="eastAsia" w:ascii="黑体" w:hAnsi="黑体" w:eastAsia="黑体"/>
          <w:color w:val="000000"/>
          <w:sz w:val="32"/>
          <w:highlight w:val="none"/>
        </w:rPr>
      </w:pPr>
    </w:p>
    <w:p w14:paraId="2699CAC4">
      <w:pPr>
        <w:rPr>
          <w:rFonts w:hint="eastAsia"/>
          <w:highlight w:val="none"/>
        </w:rPr>
      </w:pPr>
    </w:p>
    <w:p w14:paraId="05E6E595">
      <w:pPr>
        <w:pStyle w:val="8"/>
        <w:rPr>
          <w:rFonts w:hint="eastAsia"/>
          <w:highlight w:val="none"/>
        </w:rPr>
      </w:pPr>
    </w:p>
    <w:p w14:paraId="112E3F1C">
      <w:pPr>
        <w:pStyle w:val="8"/>
        <w:ind w:left="1480" w:hanging="640"/>
        <w:rPr>
          <w:rFonts w:hint="eastAsia" w:ascii="黑体" w:hAnsi="黑体" w:eastAsia="黑体"/>
          <w:sz w:val="32"/>
          <w:highlight w:val="none"/>
        </w:rPr>
      </w:pPr>
    </w:p>
    <w:p w14:paraId="7C70BAB8">
      <w:pPr>
        <w:snapToGrid w:val="0"/>
        <w:spacing w:line="360" w:lineRule="auto"/>
        <w:ind w:left="2240" w:hanging="2240" w:hangingChars="700"/>
        <w:rPr>
          <w:rFonts w:hint="eastAsia" w:ascii="黑体" w:hAnsi="黑体" w:eastAsia="黑体"/>
          <w:color w:val="000000"/>
          <w:sz w:val="32"/>
          <w:szCs w:val="32"/>
          <w:highlight w:val="none"/>
        </w:rPr>
      </w:pPr>
    </w:p>
    <w:p w14:paraId="2B030CCD">
      <w:pPr>
        <w:snapToGrid w:val="0"/>
        <w:spacing w:line="360" w:lineRule="auto"/>
        <w:ind w:left="2240" w:hanging="2240" w:hangingChars="700"/>
        <w:rPr>
          <w:rFonts w:hint="eastAsia" w:ascii="黑体" w:hAnsi="黑体" w:eastAsia="黑体"/>
          <w:color w:val="000000"/>
          <w:spacing w:val="0"/>
          <w:sz w:val="32"/>
          <w:szCs w:val="32"/>
          <w:highlight w:val="none"/>
        </w:rPr>
      </w:pPr>
      <w:r>
        <w:rPr>
          <w:rFonts w:hint="eastAsia" w:ascii="黑体" w:hAnsi="黑体" w:eastAsia="黑体"/>
          <w:color w:val="000000"/>
          <w:spacing w:val="0"/>
          <w:sz w:val="32"/>
          <w:szCs w:val="32"/>
          <w:highlight w:val="none"/>
        </w:rPr>
        <w:t xml:space="preserve">采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 xml:space="preserve"> 购  </w:t>
      </w:r>
      <w:r>
        <w:rPr>
          <w:rFonts w:hint="eastAsia" w:ascii="黑体" w:hAnsi="黑体" w:eastAsia="黑体"/>
          <w:color w:val="000000"/>
          <w:spacing w:val="0"/>
          <w:sz w:val="32"/>
          <w:szCs w:val="32"/>
          <w:highlight w:val="none"/>
          <w:lang w:val="en-US" w:eastAsia="zh-CN"/>
        </w:rPr>
        <w:t xml:space="preserve"> </w:t>
      </w:r>
      <w:r>
        <w:rPr>
          <w:rFonts w:hint="eastAsia" w:ascii="黑体" w:hAnsi="黑体" w:eastAsia="黑体"/>
          <w:color w:val="000000"/>
          <w:spacing w:val="0"/>
          <w:sz w:val="32"/>
          <w:szCs w:val="32"/>
          <w:highlight w:val="none"/>
        </w:rPr>
        <w:t>人：</w:t>
      </w:r>
      <w:r>
        <w:rPr>
          <w:rFonts w:hint="eastAsia" w:ascii="黑体" w:hAnsi="黑体" w:eastAsia="黑体" w:cs="Times New Roman"/>
          <w:color w:val="000000"/>
          <w:spacing w:val="0"/>
          <w:sz w:val="32"/>
          <w:szCs w:val="32"/>
          <w:highlight w:val="none"/>
          <w:lang w:eastAsia="zh-CN"/>
        </w:rPr>
        <w:t>新疆农业大学</w:t>
      </w:r>
    </w:p>
    <w:p w14:paraId="69CC6B8C">
      <w:pPr>
        <w:snapToGrid w:val="0"/>
        <w:spacing w:line="360" w:lineRule="auto"/>
        <w:rPr>
          <w:rFonts w:hint="eastAsia" w:ascii="黑体" w:hAnsi="黑体" w:eastAsia="黑体"/>
          <w:color w:val="000000"/>
          <w:spacing w:val="0"/>
          <w:sz w:val="32"/>
          <w:szCs w:val="32"/>
          <w:highlight w:val="none"/>
          <w:lang w:eastAsia="zh-CN"/>
        </w:rPr>
      </w:pPr>
      <w:r>
        <w:rPr>
          <w:rFonts w:hint="eastAsia" w:ascii="黑体" w:hAnsi="黑体" w:eastAsia="黑体"/>
          <w:color w:val="000000"/>
          <w:spacing w:val="0"/>
          <w:sz w:val="32"/>
          <w:szCs w:val="32"/>
          <w:highlight w:val="none"/>
        </w:rPr>
        <w:t>采购代理机构：</w:t>
      </w:r>
      <w:r>
        <w:rPr>
          <w:rFonts w:hint="eastAsia" w:ascii="黑体" w:hAnsi="黑体" w:eastAsia="黑体"/>
          <w:color w:val="000000"/>
          <w:spacing w:val="0"/>
          <w:sz w:val="32"/>
          <w:szCs w:val="32"/>
          <w:highlight w:val="none"/>
          <w:lang w:eastAsia="zh-CN"/>
        </w:rPr>
        <w:t>中合安建工程管理有限公司</w:t>
      </w:r>
    </w:p>
    <w:p w14:paraId="048937B9">
      <w:pPr>
        <w:snapToGrid w:val="0"/>
        <w:spacing w:line="360" w:lineRule="auto"/>
        <w:jc w:val="left"/>
        <w:rPr>
          <w:rFonts w:hint="eastAsia" w:ascii="仿宋" w:hAnsi="仿宋" w:eastAsia="仿宋"/>
          <w:color w:val="000000"/>
          <w:spacing w:val="0"/>
          <w:highlight w:val="none"/>
        </w:rPr>
      </w:pPr>
      <w:r>
        <w:rPr>
          <w:rFonts w:hint="eastAsia" w:ascii="黑体" w:hAnsi="黑体" w:eastAsia="黑体"/>
          <w:color w:val="000000"/>
          <w:spacing w:val="0"/>
          <w:sz w:val="32"/>
          <w:szCs w:val="32"/>
          <w:highlight w:val="none"/>
        </w:rPr>
        <w:t>文件编制日期：202</w:t>
      </w:r>
      <w:r>
        <w:rPr>
          <w:rFonts w:hint="eastAsia" w:ascii="黑体" w:hAnsi="黑体" w:eastAsia="黑体"/>
          <w:color w:val="000000"/>
          <w:spacing w:val="0"/>
          <w:sz w:val="32"/>
          <w:szCs w:val="32"/>
          <w:highlight w:val="none"/>
          <w:lang w:val="en-US" w:eastAsia="zh-CN"/>
        </w:rPr>
        <w:t>6</w:t>
      </w:r>
      <w:r>
        <w:rPr>
          <w:rFonts w:hint="eastAsia" w:ascii="黑体" w:hAnsi="黑体" w:eastAsia="黑体"/>
          <w:color w:val="000000"/>
          <w:spacing w:val="0"/>
          <w:sz w:val="32"/>
          <w:szCs w:val="32"/>
          <w:highlight w:val="none"/>
        </w:rPr>
        <w:t>年</w:t>
      </w:r>
      <w:r>
        <w:rPr>
          <w:rFonts w:hint="eastAsia" w:ascii="黑体" w:hAnsi="黑体" w:eastAsia="黑体"/>
          <w:color w:val="000000"/>
          <w:spacing w:val="0"/>
          <w:sz w:val="32"/>
          <w:szCs w:val="32"/>
          <w:highlight w:val="none"/>
          <w:lang w:val="en-US" w:eastAsia="zh-CN"/>
        </w:rPr>
        <w:t>5</w:t>
      </w:r>
      <w:r>
        <w:rPr>
          <w:rFonts w:hint="eastAsia" w:ascii="黑体" w:hAnsi="黑体" w:eastAsia="黑体"/>
          <w:color w:val="000000"/>
          <w:spacing w:val="0"/>
          <w:sz w:val="32"/>
          <w:szCs w:val="32"/>
          <w:highlight w:val="none"/>
        </w:rPr>
        <w:t>月</w:t>
      </w:r>
    </w:p>
    <w:p w14:paraId="2F4A9D1A">
      <w:pPr>
        <w:tabs>
          <w:tab w:val="left" w:pos="1134"/>
          <w:tab w:val="left" w:pos="5481"/>
          <w:tab w:val="left" w:pos="5859"/>
        </w:tabs>
        <w:spacing w:line="360" w:lineRule="auto"/>
        <w:rPr>
          <w:rFonts w:hint="eastAsia" w:ascii="宋体" w:hAnsi="宋体" w:cs="宋体"/>
          <w:b/>
          <w:sz w:val="72"/>
          <w:szCs w:val="72"/>
          <w:highlight w:val="none"/>
        </w:rPr>
        <w:sectPr>
          <w:headerReference r:id="rId3" w:type="first"/>
          <w:pgSz w:w="11906" w:h="16838"/>
          <w:pgMar w:top="1440" w:right="1746" w:bottom="1440" w:left="1746" w:header="851" w:footer="552" w:gutter="0"/>
          <w:pgBorders>
            <w:top w:val="none" w:sz="0" w:space="0"/>
            <w:left w:val="none" w:sz="0" w:space="0"/>
            <w:bottom w:val="none" w:sz="0" w:space="0"/>
            <w:right w:val="none" w:sz="0" w:space="0"/>
          </w:pgBorders>
          <w:pgNumType w:start="1"/>
          <w:cols w:space="720" w:num="1"/>
          <w:titlePg/>
          <w:docGrid w:type="lines" w:linePitch="312" w:charSpace="0"/>
        </w:sectPr>
      </w:pPr>
    </w:p>
    <w:p w14:paraId="6A8AD39E">
      <w:pPr>
        <w:jc w:val="center"/>
        <w:rPr>
          <w:rStyle w:val="28"/>
          <w:rFonts w:hint="eastAsia" w:ascii="仿宋" w:hAnsi="仿宋" w:eastAsia="仿宋" w:cs="仿宋"/>
          <w:b/>
          <w:bCs/>
          <w:color w:val="000000"/>
          <w:sz w:val="56"/>
          <w:szCs w:val="56"/>
          <w:highlight w:val="none"/>
        </w:rPr>
      </w:pPr>
    </w:p>
    <w:p w14:paraId="0368ED7A">
      <w:pPr>
        <w:pStyle w:val="6"/>
        <w:rPr>
          <w:rStyle w:val="28"/>
          <w:rFonts w:hint="eastAsia" w:ascii="仿宋" w:hAnsi="仿宋" w:eastAsia="仿宋" w:cs="仿宋"/>
          <w:b/>
          <w:bCs/>
          <w:color w:val="000000"/>
          <w:sz w:val="56"/>
          <w:szCs w:val="56"/>
          <w:highlight w:val="none"/>
        </w:rPr>
      </w:pPr>
    </w:p>
    <w:p w14:paraId="29110975">
      <w:pPr>
        <w:rPr>
          <w:rFonts w:hint="eastAsia"/>
        </w:rPr>
      </w:pPr>
    </w:p>
    <w:p w14:paraId="63C7E744">
      <w:pPr>
        <w:jc w:val="center"/>
        <w:rPr>
          <w:rStyle w:val="28"/>
          <w:rFonts w:hint="eastAsia" w:ascii="仿宋" w:hAnsi="仿宋" w:eastAsia="仿宋" w:cs="仿宋"/>
          <w:b/>
          <w:bCs/>
          <w:color w:val="000000"/>
          <w:sz w:val="56"/>
          <w:szCs w:val="56"/>
          <w:highlight w:val="none"/>
        </w:rPr>
      </w:pPr>
      <w:r>
        <w:rPr>
          <w:rStyle w:val="28"/>
          <w:rFonts w:hint="eastAsia" w:ascii="仿宋" w:hAnsi="仿宋" w:eastAsia="仿宋" w:cs="仿宋"/>
          <w:b/>
          <w:bCs/>
          <w:color w:val="000000"/>
          <w:sz w:val="56"/>
          <w:szCs w:val="56"/>
          <w:highlight w:val="none"/>
        </w:rPr>
        <w:t>招标文件</w:t>
      </w:r>
    </w:p>
    <w:p w14:paraId="08F1FB2B">
      <w:pPr>
        <w:pStyle w:val="6"/>
        <w:rPr>
          <w:rStyle w:val="28"/>
          <w:rFonts w:hint="eastAsia" w:ascii="仿宋" w:hAnsi="仿宋" w:eastAsia="仿宋" w:cs="仿宋"/>
          <w:b/>
          <w:bCs/>
          <w:color w:val="000000"/>
          <w:sz w:val="56"/>
          <w:szCs w:val="56"/>
          <w:highlight w:val="none"/>
        </w:rPr>
      </w:pPr>
    </w:p>
    <w:p w14:paraId="763EB527">
      <w:pPr>
        <w:rPr>
          <w:rFonts w:hint="eastAsia"/>
        </w:rPr>
      </w:pPr>
    </w:p>
    <w:p w14:paraId="727C3B60">
      <w:pPr>
        <w:pStyle w:val="17"/>
        <w:ind w:firstLine="280"/>
        <w:rPr>
          <w:rFonts w:hint="eastAsia"/>
          <w:highlight w:val="none"/>
        </w:rPr>
      </w:pPr>
    </w:p>
    <w:p w14:paraId="3AE0886E">
      <w:pPr>
        <w:rPr>
          <w:rFonts w:hint="eastAsia"/>
          <w:highlight w:val="none"/>
        </w:rPr>
      </w:pPr>
    </w:p>
    <w:p w14:paraId="453AB001">
      <w:pPr>
        <w:tabs>
          <w:tab w:val="left" w:pos="2100"/>
        </w:tabs>
        <w:snapToGrid w:val="0"/>
        <w:spacing w:line="480" w:lineRule="auto"/>
        <w:ind w:left="2087" w:leftChars="-70" w:hanging="2255" w:hangingChars="702"/>
        <w:rPr>
          <w:rFonts w:hint="default" w:ascii="仿宋" w:hAnsi="仿宋" w:eastAsia="仿宋" w:cs="仿宋"/>
          <w:b/>
          <w:color w:val="000000"/>
          <w:spacing w:val="-20"/>
          <w:sz w:val="32"/>
          <w:szCs w:val="32"/>
          <w:highlight w:val="none"/>
          <w:lang w:val="en-US"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新疆农业大学新疆特色农畜产品贮藏加工创新与实践基地项目</w:t>
      </w:r>
    </w:p>
    <w:p w14:paraId="77B5733C">
      <w:pPr>
        <w:tabs>
          <w:tab w:val="left" w:pos="2100"/>
        </w:tabs>
        <w:snapToGrid w:val="0"/>
        <w:spacing w:line="48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采购人（盖章）：</w:t>
      </w:r>
      <w:r>
        <w:rPr>
          <w:rFonts w:hint="eastAsia" w:ascii="仿宋" w:hAnsi="仿宋" w:eastAsia="仿宋" w:cs="仿宋"/>
          <w:b/>
          <w:color w:val="000000"/>
          <w:spacing w:val="-20"/>
          <w:sz w:val="32"/>
          <w:szCs w:val="32"/>
          <w:highlight w:val="none"/>
          <w:lang w:eastAsia="zh-CN"/>
        </w:rPr>
        <w:t>新疆农业大学</w:t>
      </w:r>
    </w:p>
    <w:p w14:paraId="4D3A9399">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联系人：</w:t>
      </w:r>
      <w:r>
        <w:rPr>
          <w:rFonts w:hint="eastAsia" w:ascii="仿宋" w:hAnsi="仿宋" w:eastAsia="仿宋" w:cs="仿宋"/>
          <w:b/>
          <w:color w:val="000000"/>
          <w:sz w:val="32"/>
          <w:szCs w:val="32"/>
          <w:highlight w:val="none"/>
          <w:lang w:val="en-US" w:eastAsia="zh-CN"/>
        </w:rPr>
        <w:t xml:space="preserve"> 黄文书老师</w:t>
      </w:r>
    </w:p>
    <w:p w14:paraId="5B116F9F">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联系方式：</w:t>
      </w:r>
      <w:r>
        <w:rPr>
          <w:rFonts w:hint="eastAsia" w:ascii="仿宋" w:hAnsi="仿宋" w:eastAsia="仿宋" w:cs="仿宋"/>
          <w:b/>
          <w:color w:val="000000"/>
          <w:sz w:val="32"/>
          <w:szCs w:val="32"/>
          <w:highlight w:val="none"/>
          <w:lang w:val="en-US" w:eastAsia="zh-CN"/>
        </w:rPr>
        <w:t>13899860936</w:t>
      </w:r>
    </w:p>
    <w:p w14:paraId="7C1486D6">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联系地址</w:t>
      </w:r>
      <w:r>
        <w:rPr>
          <w:rFonts w:hint="eastAsia" w:ascii="仿宋" w:hAnsi="仿宋" w:eastAsia="仿宋" w:cs="仿宋"/>
          <w:b/>
          <w:color w:val="000000"/>
          <w:sz w:val="32"/>
          <w:szCs w:val="32"/>
          <w:highlight w:val="none"/>
          <w:lang w:eastAsia="zh-CN"/>
        </w:rPr>
        <w:t>：乌鲁木齐市沙依巴克区八一街道农大东路311号</w:t>
      </w:r>
    </w:p>
    <w:p w14:paraId="5B87EA9A">
      <w:pPr>
        <w:pStyle w:val="17"/>
        <w:snapToGrid w:val="0"/>
        <w:ind w:firstLine="280"/>
        <w:rPr>
          <w:rFonts w:hint="eastAsia"/>
          <w:highlight w:val="none"/>
        </w:rPr>
      </w:pPr>
    </w:p>
    <w:p w14:paraId="0F66A069">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采购代理机构（盖章）：</w:t>
      </w:r>
      <w:r>
        <w:rPr>
          <w:rFonts w:hint="eastAsia" w:ascii="仿宋" w:hAnsi="仿宋" w:eastAsia="仿宋" w:cs="仿宋"/>
          <w:b/>
          <w:color w:val="000000"/>
          <w:sz w:val="32"/>
          <w:szCs w:val="32"/>
          <w:highlight w:val="none"/>
          <w:lang w:eastAsia="zh-CN"/>
        </w:rPr>
        <w:t>中合安建工程管理有限公司</w:t>
      </w:r>
    </w:p>
    <w:p w14:paraId="2C06F9AC">
      <w:pPr>
        <w:tabs>
          <w:tab w:val="left" w:pos="2100"/>
        </w:tabs>
        <w:snapToGrid w:val="0"/>
        <w:spacing w:line="480" w:lineRule="auto"/>
        <w:ind w:left="2087" w:leftChars="-70" w:hanging="2255" w:hangingChars="702"/>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rPr>
        <w:t>法定代表人（盖章）：</w:t>
      </w:r>
      <w:r>
        <w:rPr>
          <w:rFonts w:hint="eastAsia" w:ascii="仿宋" w:hAnsi="仿宋" w:eastAsia="仿宋" w:cs="仿宋"/>
          <w:b/>
          <w:color w:val="000000"/>
          <w:sz w:val="32"/>
          <w:szCs w:val="32"/>
          <w:highlight w:val="none"/>
          <w:lang w:val="en-US" w:eastAsia="zh-CN"/>
        </w:rPr>
        <w:t>王蕾</w:t>
      </w:r>
    </w:p>
    <w:p w14:paraId="0CEFFE21">
      <w:pPr>
        <w:tabs>
          <w:tab w:val="left" w:pos="2100"/>
        </w:tabs>
        <w:snapToGrid w:val="0"/>
        <w:spacing w:line="48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项目负责人：</w:t>
      </w:r>
      <w:r>
        <w:rPr>
          <w:rFonts w:hint="eastAsia" w:ascii="仿宋" w:hAnsi="仿宋" w:eastAsia="仿宋" w:cs="仿宋"/>
          <w:b/>
          <w:color w:val="000000"/>
          <w:sz w:val="32"/>
          <w:szCs w:val="32"/>
          <w:highlight w:val="none"/>
          <w:lang w:val="en-US" w:eastAsia="zh-CN"/>
        </w:rPr>
        <w:t>彭小倬、王荣荣</w:t>
      </w:r>
    </w:p>
    <w:p w14:paraId="31E57CE6">
      <w:pPr>
        <w:tabs>
          <w:tab w:val="left" w:pos="2100"/>
        </w:tabs>
        <w:snapToGrid w:val="0"/>
        <w:spacing w:line="480" w:lineRule="auto"/>
        <w:ind w:left="2087" w:leftChars="-70" w:hanging="2255" w:hangingChars="702"/>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2"/>
          <w:szCs w:val="32"/>
          <w:highlight w:val="none"/>
        </w:rPr>
        <w:t>联系电话：</w:t>
      </w:r>
      <w:r>
        <w:rPr>
          <w:rFonts w:hint="eastAsia" w:ascii="仿宋" w:hAnsi="仿宋" w:eastAsia="仿宋" w:cs="仿宋"/>
          <w:b/>
          <w:color w:val="000000"/>
          <w:sz w:val="30"/>
          <w:szCs w:val="30"/>
          <w:highlight w:val="none"/>
          <w:lang w:eastAsia="zh-CN"/>
        </w:rPr>
        <w:t>13579881296</w:t>
      </w:r>
    </w:p>
    <w:p w14:paraId="0999E4FC">
      <w:pPr>
        <w:tabs>
          <w:tab w:val="left" w:pos="2100"/>
        </w:tabs>
        <w:snapToGrid w:val="0"/>
        <w:spacing w:line="480" w:lineRule="auto"/>
        <w:ind w:left="1764" w:leftChars="-70" w:hanging="1932" w:hangingChars="702"/>
        <w:rPr>
          <w:rFonts w:hint="eastAsia" w:ascii="仿宋" w:hAnsi="仿宋" w:eastAsia="仿宋" w:cs="仿宋"/>
          <w:b/>
          <w:color w:val="000000"/>
          <w:sz w:val="32"/>
          <w:szCs w:val="32"/>
          <w:highlight w:val="none"/>
        </w:rPr>
      </w:pPr>
      <w:r>
        <w:rPr>
          <w:rFonts w:hint="eastAsia" w:ascii="仿宋" w:hAnsi="仿宋" w:eastAsia="仿宋" w:cs="仿宋"/>
          <w:b/>
          <w:color w:val="000000"/>
          <w:spacing w:val="-23"/>
          <w:sz w:val="32"/>
          <w:szCs w:val="32"/>
          <w:highlight w:val="none"/>
        </w:rPr>
        <w:t>联系地址：</w:t>
      </w:r>
      <w:r>
        <w:rPr>
          <w:rFonts w:hint="eastAsia" w:ascii="仿宋" w:hAnsi="仿宋" w:eastAsia="仿宋" w:cs="仿宋"/>
          <w:b/>
          <w:color w:val="000000"/>
          <w:spacing w:val="-23"/>
          <w:sz w:val="32"/>
          <w:szCs w:val="32"/>
          <w:highlight w:val="none"/>
          <w:lang w:val="en-US" w:eastAsia="zh-CN"/>
        </w:rPr>
        <w:t>新疆</w:t>
      </w:r>
      <w:r>
        <w:rPr>
          <w:rFonts w:hint="eastAsia" w:ascii="仿宋" w:hAnsi="仿宋" w:eastAsia="仿宋" w:cs="仿宋"/>
          <w:b/>
          <w:color w:val="000000"/>
          <w:spacing w:val="-23"/>
          <w:sz w:val="32"/>
          <w:szCs w:val="32"/>
          <w:highlight w:val="none"/>
        </w:rPr>
        <w:t>乌鲁木齐市高新区（新市区）新医路165号汇文大厦1栋</w:t>
      </w:r>
      <w:r>
        <w:rPr>
          <w:rFonts w:hint="eastAsia" w:ascii="仿宋" w:hAnsi="仿宋" w:eastAsia="仿宋" w:cs="仿宋"/>
          <w:b/>
          <w:color w:val="000000"/>
          <w:spacing w:val="-23"/>
          <w:sz w:val="32"/>
          <w:szCs w:val="32"/>
          <w:highlight w:val="none"/>
          <w:lang w:val="en-US" w:eastAsia="zh-CN"/>
        </w:rPr>
        <w:t>6</w:t>
      </w:r>
      <w:r>
        <w:rPr>
          <w:rFonts w:hint="eastAsia" w:ascii="仿宋" w:hAnsi="仿宋" w:eastAsia="仿宋" w:cs="仿宋"/>
          <w:b/>
          <w:color w:val="000000"/>
          <w:spacing w:val="-23"/>
          <w:sz w:val="32"/>
          <w:szCs w:val="32"/>
          <w:highlight w:val="none"/>
        </w:rPr>
        <w:t>层A</w:t>
      </w:r>
    </w:p>
    <w:p w14:paraId="3AAD79EE">
      <w:pPr>
        <w:pStyle w:val="17"/>
        <w:ind w:firstLine="280"/>
        <w:rPr>
          <w:rFonts w:hint="eastAsia"/>
          <w:highlight w:val="none"/>
        </w:rPr>
        <w:sectPr>
          <w:headerReference r:id="rId4" w:type="default"/>
          <w:footerReference r:id="rId5" w:type="default"/>
          <w:pgSz w:w="11907" w:h="16840"/>
          <w:pgMar w:top="1440" w:right="1531" w:bottom="1440" w:left="1531" w:header="720" w:footer="720" w:gutter="0"/>
          <w:pgBorders>
            <w:top w:val="none" w:sz="0" w:space="0"/>
            <w:left w:val="none" w:sz="0" w:space="0"/>
            <w:bottom w:val="none" w:sz="0" w:space="0"/>
            <w:right w:val="none" w:sz="0" w:space="0"/>
          </w:pgBorders>
          <w:pgNumType w:start="1"/>
          <w:cols w:space="720" w:num="1"/>
        </w:sectPr>
      </w:pPr>
    </w:p>
    <w:p w14:paraId="4639D70B">
      <w:pPr>
        <w:snapToGrid w:val="0"/>
        <w:spacing w:line="360" w:lineRule="auto"/>
        <w:jc w:val="center"/>
        <w:rPr>
          <w:rFonts w:hint="eastAsia" w:ascii="仿宋" w:hAnsi="仿宋" w:eastAsia="仿宋" w:cs="仿宋"/>
          <w:b/>
          <w:bCs w:val="0"/>
          <w:sz w:val="28"/>
          <w:szCs w:val="36"/>
          <w:highlight w:val="none"/>
        </w:rPr>
      </w:pPr>
      <w:r>
        <w:rPr>
          <w:rFonts w:hint="eastAsia" w:ascii="仿宋" w:hAnsi="仿宋" w:eastAsia="仿宋" w:cs="仿宋"/>
          <w:b/>
          <w:bCs/>
          <w:sz w:val="40"/>
          <w:szCs w:val="40"/>
          <w:highlight w:val="none"/>
        </w:rPr>
        <w:t>目 录</w:t>
      </w:r>
      <w:r>
        <w:rPr>
          <w:rFonts w:hint="eastAsia" w:ascii="仿宋" w:hAnsi="仿宋" w:eastAsia="仿宋" w:cs="仿宋"/>
          <w:b/>
          <w:bCs w:val="0"/>
          <w:sz w:val="48"/>
          <w:szCs w:val="48"/>
          <w:highlight w:val="none"/>
        </w:rPr>
        <w:fldChar w:fldCharType="begin"/>
      </w:r>
      <w:r>
        <w:rPr>
          <w:rFonts w:hint="eastAsia" w:ascii="仿宋" w:hAnsi="仿宋" w:eastAsia="仿宋" w:cs="仿宋"/>
          <w:b/>
          <w:bCs w:val="0"/>
          <w:sz w:val="48"/>
          <w:szCs w:val="48"/>
          <w:highlight w:val="none"/>
        </w:rPr>
        <w:instrText xml:space="preserve">TOC \o "1-1" \h \u </w:instrText>
      </w:r>
      <w:r>
        <w:rPr>
          <w:rFonts w:hint="eastAsia" w:ascii="仿宋" w:hAnsi="仿宋" w:eastAsia="仿宋" w:cs="仿宋"/>
          <w:b/>
          <w:bCs w:val="0"/>
          <w:sz w:val="48"/>
          <w:szCs w:val="48"/>
          <w:highlight w:val="none"/>
        </w:rPr>
        <w:fldChar w:fldCharType="separate"/>
      </w:r>
    </w:p>
    <w:p w14:paraId="5AE3182A">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44"/>
          <w:highlight w:val="none"/>
          <w:lang w:val="zh-CN"/>
        </w:rPr>
      </w:pPr>
      <w:r>
        <w:rPr>
          <w:rFonts w:hint="eastAsia" w:ascii="仿宋" w:hAnsi="仿宋" w:eastAsia="仿宋" w:cs="仿宋"/>
          <w:b/>
          <w:bCs w:val="0"/>
          <w:sz w:val="28"/>
          <w:szCs w:val="48"/>
          <w:highlight w:val="none"/>
        </w:rPr>
        <w:fldChar w:fldCharType="begin"/>
      </w:r>
      <w:r>
        <w:rPr>
          <w:rFonts w:hint="eastAsia" w:ascii="仿宋" w:hAnsi="仿宋" w:eastAsia="仿宋" w:cs="仿宋"/>
          <w:b/>
          <w:bCs w:val="0"/>
          <w:sz w:val="28"/>
          <w:szCs w:val="48"/>
          <w:highlight w:val="none"/>
        </w:rPr>
        <w:instrText xml:space="preserve"> HYPERLINK \l _Toc26297 </w:instrText>
      </w:r>
      <w:r>
        <w:rPr>
          <w:rFonts w:hint="eastAsia" w:ascii="仿宋" w:hAnsi="仿宋" w:eastAsia="仿宋" w:cs="仿宋"/>
          <w:b/>
          <w:bCs w:val="0"/>
          <w:sz w:val="28"/>
          <w:szCs w:val="48"/>
          <w:highlight w:val="none"/>
        </w:rPr>
        <w:fldChar w:fldCharType="separate"/>
      </w:r>
    </w:p>
    <w:sdt>
      <w:sdtPr>
        <w:rPr>
          <w:rFonts w:ascii="宋体" w:hAnsi="宋体" w:eastAsia="宋体" w:cs="Times New Roman"/>
          <w:sz w:val="21"/>
          <w:szCs w:val="24"/>
          <w:highlight w:val="none"/>
          <w:lang w:val="en-US" w:eastAsia="zh-CN" w:bidi="ar-SA"/>
        </w:rPr>
        <w:id w:val="147478543"/>
        <w15:color w:val="DBDBDB"/>
        <w:docPartObj>
          <w:docPartGallery w:val="Table of Contents"/>
          <w:docPartUnique/>
        </w:docPartObj>
      </w:sdtPr>
      <w:sdtEndPr>
        <w:rPr>
          <w:rFonts w:ascii="宋体" w:hAnsi="宋体" w:eastAsia="宋体" w:cs="Times New Roman"/>
          <w:sz w:val="21"/>
          <w:szCs w:val="24"/>
          <w:highlight w:val="none"/>
          <w:lang w:val="en-US" w:eastAsia="zh-CN" w:bidi="ar-SA"/>
        </w:rPr>
      </w:sdtEndPr>
      <w:sdtContent>
        <w:p w14:paraId="57B60B6E">
          <w:pPr>
            <w:spacing w:before="0" w:beforeLines="0" w:after="0" w:afterLines="0" w:line="240" w:lineRule="auto"/>
            <w:ind w:left="0" w:leftChars="0" w:right="0" w:rightChars="0" w:firstLine="0" w:firstLineChars="0"/>
            <w:jc w:val="center"/>
            <w:rPr>
              <w:highlight w:val="none"/>
            </w:rPr>
          </w:pPr>
        </w:p>
        <w:p w14:paraId="70FF06FD">
          <w:pPr>
            <w:pStyle w:val="13"/>
            <w:tabs>
              <w:tab w:val="right" w:leader="dot" w:pos="8845"/>
            </w:tabs>
            <w:spacing w:line="480" w:lineRule="auto"/>
            <w:rPr>
              <w:rFonts w:hint="eastAsia" w:ascii="仿宋" w:hAnsi="仿宋" w:eastAsia="仿宋" w:cs="仿宋"/>
              <w:b/>
              <w:bCs/>
              <w:sz w:val="28"/>
              <w:szCs w:val="36"/>
              <w:highlight w:val="none"/>
            </w:rPr>
          </w:pPr>
          <w:r>
            <w:rPr>
              <w:highlight w:val="none"/>
            </w:rPr>
            <w:fldChar w:fldCharType="begin"/>
          </w:r>
          <w:r>
            <w:rPr>
              <w:highlight w:val="none"/>
            </w:rPr>
            <w:instrText xml:space="preserve">TOC \o "1-2" \h \u </w:instrText>
          </w:r>
          <w:r>
            <w:rPr>
              <w:highlight w:val="none"/>
            </w:rPr>
            <w:fldChar w:fldCharType="separate"/>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_Toc15373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第一章  招标公告</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_Toc15373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1</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10513928">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_Toc23069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 xml:space="preserve">第二章  </w:t>
          </w:r>
          <w:r>
            <w:rPr>
              <w:rFonts w:hint="eastAsia" w:ascii="仿宋" w:hAnsi="仿宋" w:eastAsia="仿宋" w:cs="仿宋"/>
              <w:b/>
              <w:bCs/>
              <w:sz w:val="28"/>
              <w:szCs w:val="44"/>
              <w:highlight w:val="none"/>
              <w:lang w:eastAsia="zh-CN"/>
            </w:rPr>
            <w:t>供应商</w:t>
          </w:r>
          <w:r>
            <w:rPr>
              <w:rFonts w:hint="eastAsia" w:ascii="仿宋" w:hAnsi="仿宋" w:eastAsia="仿宋" w:cs="仿宋"/>
              <w:b/>
              <w:bCs/>
              <w:sz w:val="28"/>
              <w:szCs w:val="44"/>
              <w:highlight w:val="none"/>
              <w:lang w:val="zh-CN"/>
            </w:rPr>
            <w:t>须知</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_Toc23069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4</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2FBB9AF5">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_Toc13352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rPr>
            <w:t>第三章  评审办法（综合评分法）</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_Toc13352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24</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188E1C57">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_Toc14983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第四章</w:t>
          </w:r>
          <w:r>
            <w:rPr>
              <w:rFonts w:hint="eastAsia" w:ascii="仿宋" w:hAnsi="仿宋" w:eastAsia="仿宋" w:cs="仿宋"/>
              <w:b/>
              <w:bCs/>
              <w:sz w:val="28"/>
              <w:szCs w:val="44"/>
              <w:highlight w:val="none"/>
              <w:lang w:val="en-US" w:eastAsia="zh-CN"/>
            </w:rPr>
            <w:t xml:space="preserve">  </w:t>
          </w:r>
          <w:r>
            <w:rPr>
              <w:rFonts w:hint="eastAsia" w:ascii="仿宋" w:hAnsi="仿宋" w:eastAsia="仿宋" w:cs="仿宋"/>
              <w:b/>
              <w:bCs/>
              <w:sz w:val="28"/>
              <w:szCs w:val="44"/>
              <w:highlight w:val="none"/>
            </w:rPr>
            <w:t>采购需求</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_Toc14983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31</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361A879B">
          <w:pPr>
            <w:pStyle w:val="13"/>
            <w:tabs>
              <w:tab w:val="right" w:leader="dot" w:pos="8845"/>
            </w:tabs>
            <w:spacing w:line="480" w:lineRule="auto"/>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_Toc5720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 xml:space="preserve">第五章 </w:t>
          </w:r>
          <w:r>
            <w:rPr>
              <w:rFonts w:hint="eastAsia" w:ascii="仿宋" w:hAnsi="仿宋" w:eastAsia="仿宋" w:cs="仿宋"/>
              <w:b/>
              <w:bCs/>
              <w:sz w:val="28"/>
              <w:szCs w:val="44"/>
              <w:highlight w:val="none"/>
              <w:lang w:val="en-US" w:eastAsia="zh-CN"/>
            </w:rPr>
            <w:t xml:space="preserve"> </w:t>
          </w:r>
          <w:r>
            <w:rPr>
              <w:rFonts w:hint="eastAsia" w:ascii="仿宋" w:hAnsi="仿宋" w:eastAsia="仿宋" w:cs="仿宋"/>
              <w:b/>
              <w:bCs/>
              <w:sz w:val="28"/>
              <w:szCs w:val="44"/>
              <w:highlight w:val="none"/>
              <w:lang w:val="zh-CN"/>
            </w:rPr>
            <w:t>合同条款</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_Toc5720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32</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5D5D83EA">
          <w:pPr>
            <w:pStyle w:val="13"/>
            <w:tabs>
              <w:tab w:val="right" w:leader="dot" w:pos="8845"/>
            </w:tabs>
            <w:spacing w:line="480" w:lineRule="auto"/>
            <w:rPr>
              <w:highlight w:val="none"/>
            </w:rPr>
          </w:pP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HYPERLINK \l _Toc12262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44"/>
              <w:highlight w:val="none"/>
              <w:lang w:val="zh-CN"/>
            </w:rPr>
            <w:t>第六章  投标文件格式</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_Toc12262 \h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49</w:t>
          </w:r>
          <w:r>
            <w:rPr>
              <w:rFonts w:hint="eastAsia" w:ascii="仿宋" w:hAnsi="仿宋" w:eastAsia="仿宋" w:cs="仿宋"/>
              <w:b/>
              <w:bCs/>
              <w:sz w:val="28"/>
              <w:szCs w:val="36"/>
              <w:highlight w:val="none"/>
            </w:rPr>
            <w:fldChar w:fldCharType="end"/>
          </w:r>
          <w:r>
            <w:rPr>
              <w:rFonts w:hint="eastAsia" w:ascii="仿宋" w:hAnsi="仿宋" w:eastAsia="仿宋" w:cs="仿宋"/>
              <w:b/>
              <w:bCs/>
              <w:sz w:val="28"/>
              <w:szCs w:val="36"/>
              <w:highlight w:val="none"/>
            </w:rPr>
            <w:fldChar w:fldCharType="end"/>
          </w:r>
        </w:p>
        <w:p w14:paraId="0FB471E8">
          <w:pPr>
            <w:rPr>
              <w:highlight w:val="none"/>
            </w:rPr>
          </w:pPr>
          <w:r>
            <w:rPr>
              <w:highlight w:val="none"/>
            </w:rPr>
            <w:fldChar w:fldCharType="end"/>
          </w:r>
        </w:p>
      </w:sdtContent>
    </w:sdt>
    <w:p w14:paraId="722D4563">
      <w:pPr>
        <w:rPr>
          <w:highlight w:val="none"/>
        </w:rPr>
      </w:pPr>
    </w:p>
    <w:p w14:paraId="50161ADE">
      <w:pPr>
        <w:pStyle w:val="13"/>
        <w:keepNext w:val="0"/>
        <w:keepLines w:val="0"/>
        <w:widowControl w:val="0"/>
        <w:tabs>
          <w:tab w:val="right" w:leader="dot" w:pos="8845"/>
        </w:tabs>
        <w:kinsoku/>
        <w:wordWrap/>
        <w:overflowPunct/>
        <w:topLinePunct w:val="0"/>
        <w:bidi w:val="0"/>
        <w:spacing w:line="360" w:lineRule="auto"/>
        <w:textAlignment w:val="auto"/>
        <w:rPr>
          <w:rFonts w:hint="eastAsia" w:ascii="仿宋" w:hAnsi="仿宋" w:eastAsia="仿宋" w:cs="仿宋"/>
          <w:b/>
          <w:bCs w:val="0"/>
          <w:sz w:val="28"/>
          <w:szCs w:val="36"/>
          <w:highlight w:val="none"/>
        </w:rPr>
      </w:pPr>
      <w:r>
        <w:rPr>
          <w:rFonts w:hint="eastAsia" w:ascii="仿宋" w:hAnsi="仿宋" w:eastAsia="仿宋" w:cs="仿宋"/>
          <w:b/>
          <w:bCs w:val="0"/>
          <w:sz w:val="28"/>
          <w:szCs w:val="48"/>
          <w:highlight w:val="none"/>
        </w:rPr>
        <w:fldChar w:fldCharType="end"/>
      </w:r>
    </w:p>
    <w:p w14:paraId="7B26736D">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val="0"/>
          <w:sz w:val="36"/>
          <w:szCs w:val="48"/>
          <w:highlight w:val="none"/>
        </w:rPr>
        <w:sectPr>
          <w:footerReference r:id="rId6" w:type="default"/>
          <w:pgSz w:w="11907" w:h="16840"/>
          <w:pgMar w:top="1440" w:right="1531" w:bottom="1440" w:left="1531" w:header="720" w:footer="720" w:gutter="0"/>
          <w:pgBorders>
            <w:top w:val="none" w:sz="0" w:space="0"/>
            <w:left w:val="none" w:sz="0" w:space="0"/>
            <w:bottom w:val="none" w:sz="0" w:space="0"/>
            <w:right w:val="none" w:sz="0" w:space="0"/>
          </w:pgBorders>
          <w:pgNumType w:start="1"/>
          <w:cols w:space="720" w:num="1"/>
        </w:sectPr>
      </w:pPr>
    </w:p>
    <w:p w14:paraId="015D7B96">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eastAsia="zh-CN"/>
        </w:rPr>
      </w:pPr>
      <w:r>
        <w:rPr>
          <w:rFonts w:hint="eastAsia" w:ascii="仿宋" w:hAnsi="仿宋" w:eastAsia="仿宋" w:cs="仿宋"/>
          <w:b/>
          <w:bCs w:val="0"/>
          <w:sz w:val="36"/>
          <w:szCs w:val="48"/>
          <w:highlight w:val="none"/>
        </w:rPr>
        <w:fldChar w:fldCharType="end"/>
      </w:r>
      <w:bookmarkStart w:id="0" w:name="_Toc28779"/>
      <w:bookmarkStart w:id="1" w:name="_Toc455"/>
      <w:bookmarkStart w:id="2" w:name="_Toc26500"/>
      <w:bookmarkStart w:id="3" w:name="_Toc1041"/>
      <w:bookmarkStart w:id="4" w:name="_Toc15373"/>
      <w:bookmarkStart w:id="5" w:name="_Toc14741"/>
      <w:bookmarkStart w:id="6" w:name="_Toc24582"/>
      <w:bookmarkStart w:id="7" w:name="_Toc20084"/>
      <w:bookmarkStart w:id="8" w:name="_Toc8038"/>
      <w:bookmarkStart w:id="9" w:name="_Toc28572"/>
      <w:r>
        <w:rPr>
          <w:rFonts w:hint="eastAsia" w:ascii="仿宋" w:hAnsi="仿宋" w:eastAsia="仿宋" w:cs="仿宋"/>
          <w:b/>
          <w:bCs/>
          <w:sz w:val="32"/>
          <w:szCs w:val="32"/>
          <w:highlight w:val="none"/>
        </w:rPr>
        <w:t>第一章  招标公告</w:t>
      </w:r>
      <w:bookmarkEnd w:id="0"/>
      <w:bookmarkEnd w:id="1"/>
      <w:bookmarkEnd w:id="2"/>
      <w:bookmarkEnd w:id="3"/>
      <w:bookmarkEnd w:id="4"/>
      <w:bookmarkEnd w:id="5"/>
      <w:bookmarkEnd w:id="6"/>
      <w:bookmarkEnd w:id="7"/>
      <w:bookmarkEnd w:id="8"/>
      <w:bookmarkEnd w:id="9"/>
    </w:p>
    <w:p w14:paraId="0F2BBFA6">
      <w:pPr>
        <w:spacing w:line="360" w:lineRule="auto"/>
        <w:jc w:val="center"/>
        <w:rPr>
          <w:rFonts w:hint="eastAsia" w:ascii="仿宋" w:hAnsi="仿宋" w:eastAsia="仿宋" w:cs="宋体"/>
          <w:b/>
          <w:bCs/>
          <w:highlight w:val="none"/>
          <w:lang w:val="en-US" w:eastAsia="zh-CN"/>
        </w:rPr>
      </w:pPr>
      <w:r>
        <w:rPr>
          <w:rFonts w:hint="eastAsia" w:ascii="仿宋" w:hAnsi="仿宋" w:eastAsia="仿宋" w:cs="宋体"/>
          <w:b/>
          <w:bCs/>
          <w:highlight w:val="none"/>
          <w:lang w:val="zh-CN"/>
        </w:rPr>
        <w:t>新疆农业大学新疆特色农畜产品贮藏加工创新与实践基地项目</w:t>
      </w:r>
    </w:p>
    <w:p w14:paraId="6731046E">
      <w:pPr>
        <w:keepNext w:val="0"/>
        <w:keepLines w:val="0"/>
        <w:pageBreakBefore w:val="0"/>
        <w:widowControl w:val="0"/>
        <w:kinsoku/>
        <w:wordWrap/>
        <w:overflowPunct/>
        <w:topLinePunct w:val="0"/>
        <w:bidi w:val="0"/>
        <w:snapToGrid w:val="0"/>
        <w:spacing w:line="240" w:lineRule="auto"/>
        <w:jc w:val="center"/>
        <w:textAlignment w:val="auto"/>
        <w:rPr>
          <w:rFonts w:hint="eastAsia" w:ascii="仿宋" w:hAnsi="仿宋" w:eastAsia="仿宋" w:cs="宋体"/>
          <w:b/>
          <w:bCs/>
          <w:highlight w:val="none"/>
        </w:rPr>
      </w:pPr>
      <w:r>
        <w:rPr>
          <w:rFonts w:hint="eastAsia" w:ascii="仿宋" w:hAnsi="仿宋" w:eastAsia="仿宋" w:cs="宋体"/>
          <w:b/>
          <w:bCs/>
          <w:highlight w:val="none"/>
        </w:rPr>
        <w:t>公开招标公告</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2C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8522" w:type="dxa"/>
            <w:noWrap w:val="0"/>
            <w:vAlign w:val="center"/>
          </w:tcPr>
          <w:p w14:paraId="00AF6886">
            <w:pPr>
              <w:pStyle w:val="6"/>
              <w:keepNext w:val="0"/>
              <w:keepLines w:val="0"/>
              <w:pageBreakBefore w:val="0"/>
              <w:widowControl w:val="0"/>
              <w:kinsoku/>
              <w:wordWrap/>
              <w:overflowPunct/>
              <w:topLinePunct w:val="0"/>
              <w:bidi w:val="0"/>
              <w:snapToGrid w:val="0"/>
              <w:spacing w:line="240" w:lineRule="auto"/>
              <w:ind w:firstLine="480"/>
              <w:jc w:val="both"/>
              <w:textAlignment w:val="auto"/>
              <w:rPr>
                <w:rFonts w:hint="eastAsia" w:ascii="仿宋" w:hAnsi="仿宋" w:eastAsia="仿宋" w:cs="宋体"/>
                <w:kern w:val="0"/>
                <w:sz w:val="24"/>
                <w:highlight w:val="none"/>
              </w:rPr>
            </w:pPr>
            <w:r>
              <w:rPr>
                <w:rFonts w:hint="eastAsia" w:ascii="仿宋" w:hAnsi="仿宋" w:eastAsia="仿宋" w:cs="宋体"/>
                <w:kern w:val="0"/>
                <w:sz w:val="24"/>
                <w:highlight w:val="none"/>
              </w:rPr>
              <w:t>项目概况</w:t>
            </w:r>
          </w:p>
          <w:p w14:paraId="3A47C325">
            <w:pPr>
              <w:pStyle w:val="6"/>
              <w:keepNext w:val="0"/>
              <w:keepLines w:val="0"/>
              <w:pageBreakBefore w:val="0"/>
              <w:widowControl w:val="0"/>
              <w:kinsoku/>
              <w:wordWrap/>
              <w:overflowPunct/>
              <w:topLinePunct w:val="0"/>
              <w:bidi w:val="0"/>
              <w:snapToGrid w:val="0"/>
              <w:spacing w:line="240" w:lineRule="auto"/>
              <w:ind w:firstLine="480"/>
              <w:jc w:val="both"/>
              <w:textAlignment w:val="auto"/>
              <w:rPr>
                <w:rFonts w:hint="eastAsia" w:ascii="仿宋" w:hAnsi="仿宋" w:eastAsia="仿宋" w:cs="宋体"/>
                <w:kern w:val="0"/>
                <w:sz w:val="24"/>
                <w:highlight w:val="none"/>
              </w:rPr>
            </w:pPr>
            <w:r>
              <w:rPr>
                <w:rFonts w:hint="eastAsia" w:ascii="仿宋" w:hAnsi="仿宋" w:eastAsia="仿宋" w:cs="宋体"/>
                <w:kern w:val="0"/>
                <w:sz w:val="24"/>
                <w:highlight w:val="none"/>
                <w:lang w:eastAsia="zh-CN"/>
              </w:rPr>
              <w:t>新疆农业大学新疆特色农畜产品贮藏加工创新与实践基地项目</w:t>
            </w:r>
            <w:r>
              <w:rPr>
                <w:rFonts w:hint="eastAsia" w:ascii="仿宋" w:hAnsi="仿宋" w:eastAsia="仿宋" w:cs="宋体"/>
                <w:color w:val="auto"/>
                <w:sz w:val="24"/>
                <w:highlight w:val="none"/>
              </w:rPr>
              <w:t>招标项目的潜在投标人应在政采云平台线上获取招标文件</w:t>
            </w:r>
            <w:r>
              <w:rPr>
                <w:rFonts w:hint="eastAsia" w:ascii="仿宋" w:hAnsi="仿宋" w:eastAsia="仿宋" w:cs="宋体"/>
                <w:color w:val="auto"/>
                <w:sz w:val="24"/>
                <w:highlight w:val="none"/>
                <w:lang w:val="en-US" w:eastAsia="zh-CN"/>
              </w:rPr>
              <w:t xml:space="preserve">  </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eastAsia="zh-CN"/>
              </w:rPr>
              <w:t>并于2026年</w:t>
            </w:r>
            <w:r>
              <w:rPr>
                <w:rFonts w:hint="eastAsia" w:ascii="仿宋" w:hAnsi="仿宋" w:eastAsia="仿宋" w:cs="宋体"/>
                <w:color w:val="auto"/>
                <w:sz w:val="24"/>
                <w:highlight w:val="none"/>
                <w:lang w:val="en-US" w:eastAsia="zh-CN"/>
              </w:rPr>
              <w:t>6</w:t>
            </w:r>
            <w:r>
              <w:rPr>
                <w:rFonts w:hint="eastAsia" w:ascii="仿宋" w:hAnsi="仿宋" w:eastAsia="仿宋" w:cs="宋体"/>
                <w:color w:val="auto"/>
                <w:sz w:val="24"/>
                <w:highlight w:val="none"/>
                <w:lang w:eastAsia="zh-CN"/>
              </w:rPr>
              <w:t>月</w:t>
            </w:r>
            <w:r>
              <w:rPr>
                <w:rFonts w:hint="eastAsia" w:ascii="仿宋" w:hAnsi="仿宋" w:eastAsia="仿宋" w:cs="宋体"/>
                <w:color w:val="auto"/>
                <w:sz w:val="24"/>
                <w:highlight w:val="none"/>
                <w:lang w:val="en-US" w:eastAsia="zh-CN"/>
              </w:rPr>
              <w:t>9</w:t>
            </w:r>
            <w:r>
              <w:rPr>
                <w:rFonts w:hint="eastAsia" w:ascii="仿宋" w:hAnsi="仿宋" w:eastAsia="仿宋" w:cs="宋体"/>
                <w:color w:val="auto"/>
                <w:sz w:val="24"/>
                <w:highlight w:val="none"/>
                <w:lang w:eastAsia="zh-CN"/>
              </w:rPr>
              <w:t>日 11:00（北京时间）前提交响应文件。</w:t>
            </w:r>
          </w:p>
        </w:tc>
      </w:tr>
    </w:tbl>
    <w:p w14:paraId="1C1C863C">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jc w:val="both"/>
        <w:textAlignment w:val="auto"/>
        <w:rPr>
          <w:rFonts w:hint="eastAsia" w:ascii="仿宋" w:hAnsi="仿宋" w:eastAsia="仿宋" w:cs="宋体"/>
          <w:color w:val="000000"/>
          <w:highlight w:val="none"/>
        </w:rPr>
      </w:pPr>
      <w:r>
        <w:rPr>
          <w:rStyle w:val="22"/>
          <w:rFonts w:hint="eastAsia" w:ascii="仿宋" w:hAnsi="仿宋" w:eastAsia="仿宋" w:cs="宋体"/>
          <w:color w:val="000000"/>
          <w:highlight w:val="none"/>
        </w:rPr>
        <w:t>一、项目基本情况</w:t>
      </w:r>
    </w:p>
    <w:p w14:paraId="0AD188AE">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项目</w:t>
      </w:r>
      <w:r>
        <w:rPr>
          <w:rFonts w:hint="eastAsia" w:ascii="仿宋" w:hAnsi="仿宋" w:eastAsia="仿宋" w:cs="宋体"/>
          <w:color w:val="auto"/>
          <w:highlight w:val="none"/>
        </w:rPr>
        <w:t>编号</w:t>
      </w:r>
      <w:r>
        <w:rPr>
          <w:rFonts w:hint="eastAsia" w:ascii="仿宋" w:hAnsi="仿宋" w:eastAsia="仿宋" w:cs="宋体"/>
          <w:color w:val="auto"/>
          <w:highlight w:val="none"/>
          <w:lang w:eastAsia="zh-CN"/>
        </w:rPr>
        <w:t>：2026ZHAJ-10</w:t>
      </w:r>
    </w:p>
    <w:p w14:paraId="6D0037F7">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left="480" w:leftChars="200" w:firstLine="0" w:firstLineChars="0"/>
        <w:jc w:val="both"/>
        <w:textAlignment w:val="auto"/>
        <w:rPr>
          <w:rFonts w:hint="default" w:ascii="仿宋" w:hAnsi="仿宋" w:eastAsia="仿宋" w:cs="宋体"/>
          <w:kern w:val="0"/>
          <w:sz w:val="24"/>
          <w:highlight w:val="none"/>
          <w:lang w:val="en-US" w:eastAsia="zh-CN"/>
        </w:rPr>
      </w:pPr>
      <w:r>
        <w:rPr>
          <w:rFonts w:hint="eastAsia" w:ascii="仿宋" w:hAnsi="仿宋" w:eastAsia="仿宋" w:cs="宋体"/>
          <w:color w:val="000000"/>
          <w:highlight w:val="none"/>
        </w:rPr>
        <w:t>项目名称：</w:t>
      </w:r>
      <w:r>
        <w:rPr>
          <w:rFonts w:hint="eastAsia" w:ascii="仿宋" w:hAnsi="仿宋" w:eastAsia="仿宋" w:cs="宋体"/>
          <w:kern w:val="0"/>
          <w:sz w:val="24"/>
          <w:highlight w:val="none"/>
          <w:lang w:eastAsia="zh-CN"/>
        </w:rPr>
        <w:t>新疆农业大学新疆特色农畜产品贮藏加工创新与实践基地项目</w:t>
      </w:r>
    </w:p>
    <w:p w14:paraId="26E135B0">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left="480" w:leftChars="200" w:firstLine="0" w:firstLineChars="0"/>
        <w:jc w:val="both"/>
        <w:textAlignment w:val="auto"/>
        <w:rPr>
          <w:rFonts w:hint="default" w:ascii="仿宋" w:hAnsi="仿宋" w:eastAsia="仿宋" w:cs="宋体"/>
          <w:highlight w:val="none"/>
          <w:lang w:val="en-US" w:eastAsia="zh-CN"/>
        </w:rPr>
      </w:pPr>
      <w:r>
        <w:rPr>
          <w:rFonts w:hint="eastAsia" w:ascii="仿宋" w:hAnsi="仿宋" w:eastAsia="仿宋" w:cs="宋体"/>
          <w:highlight w:val="none"/>
          <w:lang w:eastAsia="zh-CN"/>
        </w:rPr>
        <w:t>采购方式：公开招标</w:t>
      </w:r>
      <w:r>
        <w:rPr>
          <w:rFonts w:hint="eastAsia" w:ascii="仿宋" w:hAnsi="仿宋" w:eastAsia="仿宋" w:cs="宋体"/>
          <w:highlight w:val="none"/>
          <w:lang w:val="en-US" w:eastAsia="zh-CN"/>
        </w:rPr>
        <w:t xml:space="preserve">     </w:t>
      </w:r>
    </w:p>
    <w:p w14:paraId="05740CB8">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color w:val="000000"/>
          <w:highlight w:val="none"/>
          <w:lang w:val="en-US" w:eastAsia="zh-CN"/>
        </w:rPr>
        <w:t>3000000.00</w:t>
      </w:r>
    </w:p>
    <w:p w14:paraId="25366563">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default" w:ascii="仿宋" w:hAnsi="仿宋" w:eastAsia="仿宋" w:cs="宋体"/>
          <w:color w:val="000000"/>
          <w:highlight w:val="none"/>
          <w:lang w:val="en-US"/>
        </w:rPr>
      </w:pPr>
      <w:r>
        <w:rPr>
          <w:rFonts w:hint="eastAsia" w:ascii="仿宋" w:hAnsi="仿宋" w:eastAsia="仿宋" w:cs="宋体"/>
          <w:color w:val="000000"/>
          <w:highlight w:val="none"/>
        </w:rPr>
        <w:t>最高限价（元）：</w:t>
      </w:r>
      <w:r>
        <w:rPr>
          <w:rFonts w:hint="eastAsia" w:ascii="仿宋" w:hAnsi="仿宋" w:eastAsia="仿宋" w:cs="宋体"/>
          <w:color w:val="000000"/>
          <w:highlight w:val="none"/>
          <w:lang w:val="en-US" w:eastAsia="zh-CN"/>
        </w:rPr>
        <w:t>3000000.00</w:t>
      </w:r>
    </w:p>
    <w:p w14:paraId="251B8260">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480" w:leftChars="200" w:firstLine="0" w:firstLineChars="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采购需求：</w:t>
      </w:r>
    </w:p>
    <w:p w14:paraId="08FD456D">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left="480" w:leftChars="200" w:firstLine="0" w:firstLineChars="0"/>
        <w:jc w:val="both"/>
        <w:textAlignment w:val="auto"/>
        <w:rPr>
          <w:rFonts w:hint="eastAsia" w:ascii="仿宋" w:hAnsi="仿宋" w:eastAsia="仿宋" w:cs="宋体"/>
          <w:color w:val="000000"/>
          <w:highlight w:val="none"/>
          <w:lang w:eastAsia="zh-CN"/>
        </w:rPr>
      </w:pPr>
      <w:r>
        <w:rPr>
          <w:rFonts w:hint="eastAsia" w:ascii="仿宋" w:hAnsi="仿宋" w:eastAsia="仿宋" w:cs="宋体"/>
          <w:highlight w:val="none"/>
          <w:lang w:eastAsia="zh-CN"/>
        </w:rPr>
        <w:t>标项名称:新疆农业大学新疆特色农畜产品贮藏加工创新与实践基地项目标项</w:t>
      </w:r>
      <w:r>
        <w:rPr>
          <w:rFonts w:hint="eastAsia" w:ascii="仿宋" w:hAnsi="仿宋" w:eastAsia="仿宋" w:cs="宋体"/>
          <w:highlight w:val="none"/>
          <w:lang w:val="en-US" w:eastAsia="zh-CN"/>
        </w:rPr>
        <w:t>1</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数量:1</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预算金额（元）:</w:t>
      </w:r>
      <w:r>
        <w:rPr>
          <w:rFonts w:hint="eastAsia" w:ascii="仿宋" w:hAnsi="仿宋" w:eastAsia="仿宋" w:cs="宋体"/>
          <w:highlight w:val="none"/>
          <w:lang w:val="en-US" w:eastAsia="zh-CN"/>
        </w:rPr>
        <w:t>2250000.00</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单位： 项 </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简要规格描述或项目基本概况介绍、用途：采购一批实验设</w:t>
      </w:r>
      <w:r>
        <w:rPr>
          <w:rFonts w:hint="eastAsia" w:ascii="仿宋" w:hAnsi="仿宋" w:eastAsia="仿宋" w:cs="宋体"/>
          <w:color w:val="000000"/>
          <w:highlight w:val="none"/>
          <w:lang w:eastAsia="zh-CN"/>
        </w:rPr>
        <w:t>备。（具体详见招标文件第四章采购需求）</w:t>
      </w:r>
    </w:p>
    <w:p w14:paraId="66E731F8">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left="480" w:leftChars="200" w:firstLine="0" w:firstLineChars="0"/>
        <w:jc w:val="both"/>
        <w:textAlignment w:val="auto"/>
        <w:rPr>
          <w:rFonts w:hint="eastAsia" w:ascii="仿宋" w:hAnsi="仿宋" w:eastAsia="仿宋" w:cs="宋体"/>
          <w:highlight w:val="none"/>
          <w:lang w:eastAsia="zh-CN"/>
        </w:rPr>
      </w:pPr>
      <w:r>
        <w:rPr>
          <w:rFonts w:hint="eastAsia" w:ascii="仿宋" w:hAnsi="仿宋" w:eastAsia="仿宋" w:cs="宋体"/>
          <w:highlight w:val="none"/>
          <w:lang w:eastAsia="zh-CN"/>
        </w:rPr>
        <w:t>备注：各标段分别编制投标文件，不可兼投兼中。</w:t>
      </w:r>
    </w:p>
    <w:p w14:paraId="022DBE20">
      <w:pPr>
        <w:pStyle w:val="16"/>
        <w:keepNext w:val="0"/>
        <w:keepLines w:val="0"/>
        <w:pageBreakBefore w:val="0"/>
        <w:widowControl/>
        <w:kinsoku/>
        <w:wordWrap/>
        <w:overflowPunct/>
        <w:topLinePunct w:val="0"/>
        <w:autoSpaceDE/>
        <w:autoSpaceDN/>
        <w:bidi w:val="0"/>
        <w:snapToGrid w:val="0"/>
        <w:spacing w:before="0" w:beforeAutospacing="0" w:after="0" w:afterAutospacing="0" w:line="360" w:lineRule="auto"/>
        <w:ind w:left="480" w:leftChars="200" w:firstLine="0" w:firstLineChars="0"/>
        <w:jc w:val="both"/>
        <w:textAlignment w:val="auto"/>
        <w:rPr>
          <w:rFonts w:hint="eastAsia" w:ascii="仿宋" w:hAnsi="仿宋" w:eastAsia="仿宋" w:cs="宋体"/>
          <w:sz w:val="24"/>
          <w:highlight w:val="none"/>
          <w:lang w:eastAsia="zh-CN"/>
        </w:rPr>
      </w:pPr>
      <w:r>
        <w:rPr>
          <w:rFonts w:hint="eastAsia" w:ascii="仿宋" w:hAnsi="仿宋" w:eastAsia="仿宋" w:cs="宋体"/>
          <w:highlight w:val="none"/>
          <w:lang w:eastAsia="zh-CN"/>
        </w:rPr>
        <w:t>标项名称:新疆农业大学新疆特色农畜产品贮藏加工创新与实践基地项目标项</w:t>
      </w:r>
      <w:r>
        <w:rPr>
          <w:rFonts w:hint="eastAsia" w:ascii="仿宋" w:hAnsi="仿宋" w:eastAsia="仿宋" w:cs="宋体"/>
          <w:highlight w:val="none"/>
          <w:lang w:val="en-US" w:eastAsia="zh-CN"/>
        </w:rPr>
        <w:t>2</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数量:1</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预算金额（元）:</w:t>
      </w:r>
      <w:r>
        <w:rPr>
          <w:rFonts w:hint="eastAsia" w:ascii="仿宋" w:hAnsi="仿宋" w:eastAsia="仿宋" w:cs="宋体"/>
          <w:highlight w:val="none"/>
          <w:lang w:val="en-US" w:eastAsia="zh-CN"/>
        </w:rPr>
        <w:t>750000.00</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单位： 项 </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简要规格描述或项目基本概况介绍、用途：采购小型高水分双螺杆膨化挤压设备。</w:t>
      </w:r>
      <w:r>
        <w:rPr>
          <w:rFonts w:hint="eastAsia" w:ascii="仿宋" w:hAnsi="仿宋" w:eastAsia="仿宋" w:cs="宋体"/>
          <w:color w:val="000000"/>
          <w:highlight w:val="none"/>
          <w:lang w:eastAsia="zh-CN"/>
        </w:rPr>
        <w:t>（具体详见招标文件第四章采购需求）</w:t>
      </w:r>
      <w:r>
        <w:rPr>
          <w:rFonts w:hint="eastAsia" w:ascii="仿宋" w:hAnsi="仿宋" w:eastAsia="仿宋" w:cs="宋体"/>
          <w:highlight w:val="none"/>
          <w:lang w:eastAsia="zh-CN"/>
        </w:rPr>
        <w:br w:type="textWrapping"/>
      </w:r>
      <w:r>
        <w:rPr>
          <w:rFonts w:hint="eastAsia" w:ascii="仿宋" w:hAnsi="仿宋" w:eastAsia="仿宋" w:cs="宋体"/>
          <w:highlight w:val="none"/>
          <w:lang w:eastAsia="zh-CN"/>
        </w:rPr>
        <w:t>备注：各标段分别编制投标文件，不可兼投兼中。</w:t>
      </w:r>
    </w:p>
    <w:p w14:paraId="03E0EAB0">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480" w:leftChars="200" w:firstLine="0" w:firstLineChars="0"/>
        <w:jc w:val="both"/>
        <w:textAlignment w:val="auto"/>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合同履约期限：签订合同后</w:t>
      </w:r>
      <w:r>
        <w:rPr>
          <w:rFonts w:hint="eastAsia" w:ascii="仿宋" w:hAnsi="仿宋" w:eastAsia="仿宋" w:cs="宋体"/>
          <w:sz w:val="24"/>
          <w:highlight w:val="none"/>
          <w:lang w:val="en-US" w:eastAsia="zh-CN"/>
        </w:rPr>
        <w:t>90</w:t>
      </w:r>
      <w:r>
        <w:rPr>
          <w:rFonts w:hint="eastAsia" w:ascii="仿宋" w:hAnsi="仿宋" w:eastAsia="仿宋" w:cs="宋体"/>
          <w:sz w:val="24"/>
          <w:highlight w:val="none"/>
          <w:lang w:eastAsia="zh-CN"/>
        </w:rPr>
        <w:t>天内完成供货、安装、调试以及与之配套的辅助工作，交付采购人使用。</w:t>
      </w:r>
    </w:p>
    <w:p w14:paraId="59A2BB5E">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本项目（</w:t>
      </w:r>
      <w:r>
        <w:rPr>
          <w:rFonts w:hint="eastAsia" w:ascii="仿宋" w:hAnsi="仿宋" w:eastAsia="仿宋" w:cs="宋体"/>
          <w:color w:val="000000"/>
          <w:highlight w:val="none"/>
          <w:lang w:eastAsia="zh-CN"/>
        </w:rPr>
        <w:t>否</w:t>
      </w:r>
      <w:r>
        <w:rPr>
          <w:rFonts w:hint="eastAsia" w:ascii="仿宋" w:hAnsi="仿宋" w:eastAsia="仿宋" w:cs="宋体"/>
          <w:color w:val="000000"/>
          <w:highlight w:val="none"/>
        </w:rPr>
        <w:t>）联合体投标。</w:t>
      </w:r>
    </w:p>
    <w:p w14:paraId="24734A92">
      <w:pPr>
        <w:pStyle w:val="16"/>
        <w:keepNext w:val="0"/>
        <w:keepLines w:val="0"/>
        <w:pageBreakBefore w:val="0"/>
        <w:widowControl/>
        <w:numPr>
          <w:ilvl w:val="0"/>
          <w:numId w:val="1"/>
        </w:numPr>
        <w:kinsoku/>
        <w:wordWrap/>
        <w:overflowPunct/>
        <w:topLinePunct w:val="0"/>
        <w:autoSpaceDE/>
        <w:autoSpaceDN/>
        <w:bidi w:val="0"/>
        <w:snapToGrid w:val="0"/>
        <w:spacing w:before="0" w:beforeAutospacing="0" w:after="0" w:afterAutospacing="0" w:line="360" w:lineRule="auto"/>
        <w:jc w:val="both"/>
        <w:textAlignment w:val="auto"/>
        <w:rPr>
          <w:rStyle w:val="22"/>
          <w:rFonts w:hint="eastAsia" w:ascii="仿宋" w:hAnsi="仿宋" w:eastAsia="仿宋" w:cs="宋体"/>
          <w:color w:val="000000"/>
          <w:highlight w:val="none"/>
        </w:rPr>
      </w:pPr>
      <w:r>
        <w:rPr>
          <w:rStyle w:val="22"/>
          <w:rFonts w:hint="eastAsia" w:ascii="仿宋" w:hAnsi="仿宋" w:eastAsia="仿宋" w:cs="宋体"/>
          <w:color w:val="000000"/>
          <w:highlight w:val="none"/>
        </w:rPr>
        <w:t>申请人的资格要求</w:t>
      </w:r>
    </w:p>
    <w:p w14:paraId="741B8FC2">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1.满足《中华人民共和国政府采购法》第二十二条规定：</w:t>
      </w:r>
    </w:p>
    <w:p w14:paraId="3DA63642">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auto"/>
          <w:highlight w:val="none"/>
          <w:lang w:eastAsia="zh-CN"/>
        </w:rPr>
      </w:pPr>
      <w:r>
        <w:rPr>
          <w:rFonts w:hint="eastAsia" w:ascii="仿宋" w:hAnsi="仿宋" w:eastAsia="仿宋" w:cs="宋体"/>
          <w:color w:val="000000"/>
          <w:highlight w:val="none"/>
        </w:rPr>
        <w:t>2.落实政府采购政策需满足的资格</w:t>
      </w:r>
      <w:r>
        <w:rPr>
          <w:rFonts w:hint="eastAsia" w:ascii="仿宋" w:hAnsi="仿宋" w:eastAsia="仿宋" w:cs="宋体"/>
          <w:color w:val="auto"/>
          <w:highlight w:val="none"/>
        </w:rPr>
        <w:t>要求：标项1：本项目</w:t>
      </w:r>
      <w:r>
        <w:rPr>
          <w:rFonts w:hint="eastAsia" w:ascii="仿宋" w:hAnsi="仿宋" w:eastAsia="仿宋" w:cs="宋体"/>
          <w:color w:val="auto"/>
          <w:highlight w:val="none"/>
          <w:lang w:eastAsia="zh-CN"/>
        </w:rPr>
        <w:t>不</w:t>
      </w:r>
      <w:r>
        <w:rPr>
          <w:rFonts w:hint="eastAsia" w:ascii="仿宋" w:hAnsi="仿宋" w:eastAsia="仿宋" w:cs="宋体"/>
          <w:color w:val="auto"/>
          <w:highlight w:val="none"/>
        </w:rPr>
        <w:t>专门面向中小企业</w:t>
      </w:r>
      <w:r>
        <w:rPr>
          <w:rFonts w:hint="eastAsia" w:ascii="仿宋" w:hAnsi="仿宋" w:eastAsia="仿宋" w:cs="宋体"/>
          <w:color w:val="auto"/>
          <w:highlight w:val="none"/>
          <w:lang w:eastAsia="zh-CN"/>
        </w:rPr>
        <w:t>；</w:t>
      </w:r>
      <w:r>
        <w:rPr>
          <w:rFonts w:hint="eastAsia" w:ascii="仿宋" w:hAnsi="仿宋" w:eastAsia="仿宋" w:cs="宋体"/>
          <w:color w:val="000000"/>
          <w:highlight w:val="none"/>
        </w:rPr>
        <w:t>标项2：本项目专门面向</w:t>
      </w:r>
      <w:r>
        <w:rPr>
          <w:rFonts w:hint="eastAsia" w:ascii="仿宋" w:hAnsi="仿宋" w:eastAsia="仿宋" w:cs="宋体"/>
          <w:color w:val="000000"/>
          <w:highlight w:val="none"/>
          <w:lang w:eastAsia="zh-CN"/>
        </w:rPr>
        <w:t>小微</w:t>
      </w:r>
      <w:r>
        <w:rPr>
          <w:rFonts w:hint="eastAsia" w:ascii="仿宋" w:hAnsi="仿宋" w:eastAsia="仿宋" w:cs="宋体"/>
          <w:color w:val="000000"/>
          <w:highlight w:val="none"/>
        </w:rPr>
        <w:t>企业</w:t>
      </w:r>
      <w:r>
        <w:rPr>
          <w:rFonts w:hint="eastAsia" w:ascii="仿宋" w:hAnsi="仿宋" w:eastAsia="仿宋" w:cs="宋体"/>
          <w:color w:val="000000"/>
          <w:highlight w:val="none"/>
          <w:lang w:eastAsia="zh-CN"/>
        </w:rPr>
        <w:t>；</w:t>
      </w:r>
    </w:p>
    <w:p w14:paraId="7F169407">
      <w:pPr>
        <w:pStyle w:val="16"/>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3.本项目的特定资格要求：</w:t>
      </w:r>
    </w:p>
    <w:p w14:paraId="00737F46">
      <w:pPr>
        <w:pStyle w:val="16"/>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【标项1、2】</w:t>
      </w:r>
    </w:p>
    <w:p w14:paraId="47EB94DD">
      <w:pPr>
        <w:pStyle w:val="16"/>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宋体"/>
          <w:color w:val="000000"/>
          <w:highlight w:val="none"/>
          <w:lang w:eastAsia="zh-CN"/>
        </w:rPr>
      </w:pPr>
      <w:r>
        <w:rPr>
          <w:rFonts w:hint="eastAsia" w:ascii="仿宋" w:hAnsi="仿宋" w:eastAsia="仿宋" w:cs="宋体"/>
          <w:color w:val="000000"/>
          <w:highlight w:val="none"/>
          <w:lang w:eastAsia="zh-CN"/>
        </w:rPr>
        <w:t>（</w:t>
      </w:r>
      <w:r>
        <w:rPr>
          <w:rFonts w:hint="eastAsia" w:ascii="仿宋" w:hAnsi="仿宋" w:eastAsia="仿宋" w:cs="宋体"/>
          <w:color w:val="000000"/>
          <w:highlight w:val="none"/>
          <w:lang w:val="en-US" w:eastAsia="zh-CN"/>
        </w:rPr>
        <w:t>1</w:t>
      </w:r>
      <w:r>
        <w:rPr>
          <w:rFonts w:hint="eastAsia" w:ascii="仿宋" w:hAnsi="仿宋" w:eastAsia="仿宋" w:cs="宋体"/>
          <w:color w:val="000000"/>
          <w:highlight w:val="none"/>
          <w:lang w:eastAsia="zh-CN"/>
        </w:rPr>
        <w:t>）投标人须在“信用中国”（www.creditchina.gov.cn）和中国政府采购网（www.ccgp.gov.cn）网站上未被列入失信被执行人、重大税收违法案件当事人名单以及政府采购严重违法失信行为记录名单（查询时间为自公告发布之日后）</w:t>
      </w:r>
    </w:p>
    <w:p w14:paraId="333B93C0">
      <w:pPr>
        <w:pStyle w:val="16"/>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lang w:eastAsia="zh-CN"/>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03FB5C5">
      <w:pPr>
        <w:pStyle w:val="16"/>
        <w:keepNext w:val="0"/>
        <w:keepLines w:val="0"/>
        <w:pageBreakBefore w:val="0"/>
        <w:widowControl/>
        <w:shd w:val="clear"/>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仿宋" w:hAnsi="仿宋" w:eastAsia="仿宋" w:cs="宋体"/>
          <w:highlight w:val="none"/>
        </w:rPr>
      </w:pPr>
      <w:r>
        <w:rPr>
          <w:rStyle w:val="22"/>
          <w:rFonts w:hint="eastAsia" w:ascii="仿宋" w:hAnsi="仿宋" w:eastAsia="仿宋" w:cs="宋体"/>
          <w:highlight w:val="none"/>
        </w:rPr>
        <w:t>三、获取招标文件</w:t>
      </w:r>
    </w:p>
    <w:p w14:paraId="5BEFF7E0">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2" w:firstLineChars="200"/>
        <w:jc w:val="both"/>
        <w:textAlignment w:val="auto"/>
        <w:rPr>
          <w:rFonts w:hint="eastAsia" w:ascii="仿宋" w:hAnsi="仿宋" w:eastAsia="仿宋" w:cs="宋体"/>
          <w:color w:val="FF0000"/>
          <w:highlight w:val="none"/>
        </w:rPr>
      </w:pPr>
      <w:r>
        <w:rPr>
          <w:rFonts w:hint="eastAsia" w:ascii="仿宋" w:hAnsi="仿宋" w:eastAsia="仿宋" w:cs="宋体"/>
          <w:b/>
          <w:bCs/>
          <w:color w:val="000000"/>
          <w:highlight w:val="none"/>
        </w:rPr>
        <w:t>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5</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18</w:t>
      </w:r>
      <w:r>
        <w:rPr>
          <w:rFonts w:hint="eastAsia" w:ascii="仿宋" w:hAnsi="仿宋" w:eastAsia="仿宋" w:cs="宋体"/>
          <w:color w:val="auto"/>
          <w:highlight w:val="none"/>
          <w:shd w:val="clear"/>
        </w:rPr>
        <w:t>日至202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5</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26</w:t>
      </w:r>
      <w:r>
        <w:rPr>
          <w:rFonts w:hint="eastAsia" w:ascii="仿宋" w:hAnsi="仿宋" w:eastAsia="仿宋" w:cs="宋体"/>
          <w:color w:val="auto"/>
          <w:highlight w:val="none"/>
          <w:shd w:val="clear"/>
        </w:rPr>
        <w:t>日，</w:t>
      </w:r>
      <w:r>
        <w:rPr>
          <w:rFonts w:hint="eastAsia" w:ascii="仿宋" w:hAnsi="仿宋" w:eastAsia="仿宋" w:cs="宋体"/>
          <w:color w:val="auto"/>
          <w:highlight w:val="none"/>
        </w:rPr>
        <w:t>每天上午</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:00，下午1</w:t>
      </w:r>
      <w:r>
        <w:rPr>
          <w:rFonts w:hint="eastAsia" w:ascii="仿宋" w:hAnsi="仿宋" w:eastAsia="仿宋" w:cs="宋体"/>
          <w:color w:val="auto"/>
          <w:highlight w:val="none"/>
          <w:lang w:val="en-US" w:eastAsia="zh-CN"/>
        </w:rPr>
        <w:t>4</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00</w:t>
      </w:r>
      <w:r>
        <w:rPr>
          <w:rFonts w:hint="eastAsia" w:ascii="仿宋" w:hAnsi="仿宋" w:eastAsia="仿宋" w:cs="宋体"/>
          <w:color w:val="auto"/>
          <w:highlight w:val="none"/>
        </w:rPr>
        <w:t>至</w:t>
      </w:r>
      <w:r>
        <w:rPr>
          <w:rFonts w:hint="eastAsia" w:ascii="仿宋" w:hAnsi="仿宋" w:eastAsia="仿宋" w:cs="宋体"/>
          <w:color w:val="auto"/>
          <w:highlight w:val="none"/>
          <w:lang w:val="en-US" w:eastAsia="zh-CN"/>
        </w:rPr>
        <w:t>23</w:t>
      </w:r>
      <w:r>
        <w:rPr>
          <w:rFonts w:hint="eastAsia" w:ascii="仿宋" w:hAnsi="仿宋" w:eastAsia="仿宋" w:cs="宋体"/>
          <w:color w:val="auto"/>
          <w:highlight w:val="none"/>
        </w:rPr>
        <w:t>:</w:t>
      </w:r>
      <w:r>
        <w:rPr>
          <w:rFonts w:hint="eastAsia" w:ascii="仿宋" w:hAnsi="仿宋" w:eastAsia="仿宋" w:cs="宋体"/>
          <w:color w:val="auto"/>
          <w:highlight w:val="none"/>
          <w:lang w:val="en-US" w:eastAsia="zh-CN"/>
        </w:rPr>
        <w:t>59（北京时间，法定节假日除外）</w:t>
      </w:r>
    </w:p>
    <w:p w14:paraId="70E8E175">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2" w:firstLineChars="200"/>
        <w:jc w:val="both"/>
        <w:textAlignment w:val="auto"/>
        <w:rPr>
          <w:rFonts w:hint="eastAsia" w:ascii="仿宋" w:hAnsi="仿宋" w:eastAsia="仿宋" w:cs="宋体"/>
          <w:b w:val="0"/>
          <w:bCs w:val="0"/>
          <w:color w:val="000000"/>
          <w:highlight w:val="none"/>
          <w:lang w:eastAsia="zh-CN"/>
        </w:rPr>
      </w:pPr>
      <w:r>
        <w:rPr>
          <w:rFonts w:hint="eastAsia" w:ascii="仿宋" w:hAnsi="仿宋" w:eastAsia="仿宋" w:cs="宋体"/>
          <w:b/>
          <w:bCs/>
          <w:color w:val="000000"/>
          <w:highlight w:val="none"/>
        </w:rPr>
        <w:t>地点：</w:t>
      </w:r>
      <w:r>
        <w:rPr>
          <w:rFonts w:hint="eastAsia" w:ascii="仿宋" w:hAnsi="仿宋" w:eastAsia="仿宋" w:cs="宋体"/>
          <w:b w:val="0"/>
          <w:bCs w:val="0"/>
          <w:color w:val="000000"/>
          <w:highlight w:val="none"/>
        </w:rPr>
        <w:t>政采云平台线上</w:t>
      </w:r>
      <w:r>
        <w:rPr>
          <w:rFonts w:hint="eastAsia" w:ascii="仿宋" w:hAnsi="仿宋" w:eastAsia="仿宋" w:cs="宋体"/>
          <w:b w:val="0"/>
          <w:bCs w:val="0"/>
          <w:highlight w:val="none"/>
          <w:lang w:eastAsia="zh-CN"/>
        </w:rPr>
        <w:t>。</w:t>
      </w:r>
    </w:p>
    <w:p w14:paraId="3FBB4ECE">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2" w:firstLineChars="200"/>
        <w:jc w:val="both"/>
        <w:textAlignment w:val="auto"/>
        <w:rPr>
          <w:rFonts w:hint="eastAsia" w:ascii="仿宋" w:hAnsi="仿宋" w:eastAsia="仿宋" w:cs="宋体"/>
          <w:color w:val="000000"/>
          <w:highlight w:val="yellow"/>
          <w:lang w:eastAsia="zh-CN"/>
        </w:rPr>
      </w:pPr>
      <w:r>
        <w:rPr>
          <w:rFonts w:hint="eastAsia" w:ascii="仿宋" w:hAnsi="仿宋" w:eastAsia="仿宋" w:cs="宋体"/>
          <w:b/>
          <w:bCs/>
          <w:color w:val="000000"/>
          <w:highlight w:val="none"/>
        </w:rPr>
        <w:t>方式：</w:t>
      </w:r>
      <w:r>
        <w:rPr>
          <w:rFonts w:hint="eastAsia" w:ascii="仿宋" w:hAnsi="仿宋" w:eastAsia="仿宋" w:cs="宋体"/>
          <w:b w:val="0"/>
          <w:bCs w:val="0"/>
          <w:color w:val="000000"/>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宋体"/>
          <w:b w:val="0"/>
          <w:bCs w:val="0"/>
          <w:color w:val="000000"/>
          <w:highlight w:val="none"/>
          <w:lang w:eastAsia="zh-CN"/>
        </w:rPr>
        <w:t>。</w:t>
      </w:r>
    </w:p>
    <w:p w14:paraId="6DBD45C4">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售价（元）：</w:t>
      </w:r>
      <w:r>
        <w:rPr>
          <w:rFonts w:hint="eastAsia" w:ascii="仿宋" w:hAnsi="仿宋" w:eastAsia="仿宋" w:cs="宋体"/>
          <w:color w:val="000000"/>
          <w:highlight w:val="none"/>
          <w:lang w:val="en-US" w:eastAsia="zh-CN"/>
        </w:rPr>
        <w:t>0</w:t>
      </w:r>
    </w:p>
    <w:p w14:paraId="74826EE1">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jc w:val="both"/>
        <w:textAlignment w:val="auto"/>
        <w:rPr>
          <w:rFonts w:hint="eastAsia" w:ascii="仿宋" w:hAnsi="仿宋" w:eastAsia="仿宋" w:cs="宋体"/>
          <w:highlight w:val="none"/>
        </w:rPr>
      </w:pPr>
      <w:r>
        <w:rPr>
          <w:rStyle w:val="22"/>
          <w:rFonts w:hint="eastAsia" w:ascii="仿宋" w:hAnsi="仿宋" w:eastAsia="仿宋" w:cs="宋体"/>
          <w:highlight w:val="none"/>
        </w:rPr>
        <w:t>四、提交投标文件截止时间、开标时间和地点</w:t>
      </w:r>
    </w:p>
    <w:p w14:paraId="3498932D">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000000"/>
          <w:highlight w:val="none"/>
          <w:lang w:eastAsia="zh-CN"/>
        </w:rPr>
        <w:t>提交投</w:t>
      </w:r>
      <w:r>
        <w:rPr>
          <w:rFonts w:hint="eastAsia" w:ascii="仿宋" w:hAnsi="仿宋" w:eastAsia="仿宋" w:cs="宋体"/>
          <w:color w:val="auto"/>
          <w:highlight w:val="none"/>
          <w:lang w:eastAsia="zh-CN"/>
        </w:rPr>
        <w:t>标文件</w:t>
      </w:r>
      <w:r>
        <w:rPr>
          <w:rFonts w:hint="eastAsia" w:ascii="仿宋" w:hAnsi="仿宋" w:eastAsia="仿宋" w:cs="宋体"/>
          <w:color w:val="auto"/>
          <w:highlight w:val="none"/>
        </w:rPr>
        <w:t>截止时间：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9</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（北京时间）</w:t>
      </w:r>
    </w:p>
    <w:p w14:paraId="5F9ACEBC">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宋体"/>
          <w:b w:val="0"/>
          <w:bCs w:val="0"/>
          <w:color w:val="000000"/>
          <w:highlight w:val="none"/>
          <w:lang w:eastAsia="zh-CN"/>
        </w:rPr>
      </w:pPr>
      <w:r>
        <w:rPr>
          <w:rFonts w:hint="eastAsia" w:ascii="仿宋" w:hAnsi="仿宋" w:eastAsia="仿宋" w:cs="宋体"/>
          <w:color w:val="auto"/>
          <w:highlight w:val="none"/>
        </w:rPr>
        <w:t xml:space="preserve">投标地点 </w:t>
      </w:r>
      <w:r>
        <w:rPr>
          <w:rFonts w:hint="eastAsia" w:ascii="仿宋" w:hAnsi="仿宋" w:eastAsia="仿宋" w:cs="宋体"/>
          <w:color w:val="auto"/>
          <w:highlight w:val="none"/>
          <w:lang w:eastAsia="zh-CN"/>
        </w:rPr>
        <w:t>：</w:t>
      </w:r>
      <w:r>
        <w:rPr>
          <w:rFonts w:hint="eastAsia" w:ascii="仿宋" w:hAnsi="仿宋" w:eastAsia="仿宋" w:cs="宋体"/>
          <w:b w:val="0"/>
          <w:bCs w:val="0"/>
          <w:color w:val="000000"/>
          <w:highlight w:val="none"/>
        </w:rPr>
        <w:t>请登录</w:t>
      </w:r>
      <w:r>
        <w:rPr>
          <w:rFonts w:hint="eastAsia" w:ascii="仿宋" w:hAnsi="仿宋" w:eastAsia="仿宋" w:cs="宋体"/>
          <w:b w:val="0"/>
          <w:bCs w:val="0"/>
          <w:color w:val="000000"/>
          <w:highlight w:val="none"/>
          <w:lang w:eastAsia="zh-CN"/>
        </w:rPr>
        <w:t>政采云</w:t>
      </w:r>
      <w:r>
        <w:rPr>
          <w:rFonts w:hint="eastAsia" w:ascii="仿宋" w:hAnsi="仿宋" w:eastAsia="仿宋" w:cs="宋体"/>
          <w:b w:val="0"/>
          <w:bCs w:val="0"/>
          <w:color w:val="000000"/>
          <w:highlight w:val="none"/>
        </w:rPr>
        <w:t>投标客户端</w:t>
      </w:r>
      <w:r>
        <w:rPr>
          <w:rFonts w:hint="eastAsia" w:ascii="仿宋" w:hAnsi="仿宋" w:eastAsia="仿宋" w:cs="宋体"/>
          <w:b w:val="0"/>
          <w:bCs w:val="0"/>
          <w:color w:val="000000"/>
          <w:highlight w:val="none"/>
          <w:lang w:eastAsia="zh-CN"/>
        </w:rPr>
        <w:t>投标</w:t>
      </w:r>
    </w:p>
    <w:p w14:paraId="7E4E937A">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开标时间：</w:t>
      </w:r>
      <w:r>
        <w:rPr>
          <w:rFonts w:hint="eastAsia" w:ascii="仿宋" w:hAnsi="仿宋" w:eastAsia="仿宋" w:cs="宋体"/>
          <w:color w:val="auto"/>
          <w:highlight w:val="none"/>
          <w:shd w:val="clear"/>
        </w:rPr>
        <w:t>202</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年</w:t>
      </w:r>
      <w:r>
        <w:rPr>
          <w:rFonts w:hint="eastAsia" w:ascii="仿宋" w:hAnsi="仿宋" w:eastAsia="仿宋" w:cs="宋体"/>
          <w:color w:val="auto"/>
          <w:highlight w:val="none"/>
          <w:shd w:val="clear"/>
          <w:lang w:val="en-US" w:eastAsia="zh-CN"/>
        </w:rPr>
        <w:t>6</w:t>
      </w:r>
      <w:r>
        <w:rPr>
          <w:rFonts w:hint="eastAsia" w:ascii="仿宋" w:hAnsi="仿宋" w:eastAsia="仿宋" w:cs="宋体"/>
          <w:color w:val="auto"/>
          <w:highlight w:val="none"/>
          <w:shd w:val="clear"/>
        </w:rPr>
        <w:t>月</w:t>
      </w:r>
      <w:r>
        <w:rPr>
          <w:rFonts w:hint="eastAsia" w:ascii="仿宋" w:hAnsi="仿宋" w:eastAsia="仿宋" w:cs="宋体"/>
          <w:color w:val="auto"/>
          <w:highlight w:val="none"/>
          <w:shd w:val="clear"/>
          <w:lang w:val="en-US" w:eastAsia="zh-CN"/>
        </w:rPr>
        <w:t>9</w:t>
      </w:r>
      <w:r>
        <w:rPr>
          <w:rFonts w:hint="eastAsia" w:ascii="仿宋" w:hAnsi="仿宋" w:eastAsia="仿宋" w:cs="宋体"/>
          <w:color w:val="auto"/>
          <w:highlight w:val="none"/>
          <w:shd w:val="clear"/>
        </w:rPr>
        <w:t>日1</w:t>
      </w:r>
      <w:r>
        <w:rPr>
          <w:rFonts w:hint="eastAsia" w:ascii="仿宋" w:hAnsi="仿宋" w:eastAsia="仿宋" w:cs="宋体"/>
          <w:color w:val="auto"/>
          <w:highlight w:val="none"/>
          <w:shd w:val="clear"/>
          <w:lang w:val="en-US" w:eastAsia="zh-CN"/>
        </w:rPr>
        <w:t>1</w:t>
      </w:r>
      <w:r>
        <w:rPr>
          <w:rFonts w:hint="eastAsia" w:ascii="仿宋" w:hAnsi="仿宋" w:eastAsia="仿宋" w:cs="宋体"/>
          <w:color w:val="auto"/>
          <w:highlight w:val="none"/>
          <w:shd w:val="clear"/>
        </w:rPr>
        <w:t>：</w:t>
      </w:r>
      <w:r>
        <w:rPr>
          <w:rFonts w:hint="eastAsia" w:ascii="仿宋" w:hAnsi="仿宋" w:eastAsia="仿宋" w:cs="宋体"/>
          <w:color w:val="auto"/>
          <w:highlight w:val="none"/>
          <w:shd w:val="clear"/>
          <w:lang w:val="en-US" w:eastAsia="zh-CN"/>
        </w:rPr>
        <w:t>0</w:t>
      </w:r>
      <w:r>
        <w:rPr>
          <w:rFonts w:hint="eastAsia" w:ascii="仿宋" w:hAnsi="仿宋" w:eastAsia="仿宋" w:cs="宋体"/>
          <w:color w:val="auto"/>
          <w:highlight w:val="none"/>
          <w:shd w:val="clear"/>
        </w:rPr>
        <w:t>0</w:t>
      </w:r>
      <w:r>
        <w:rPr>
          <w:rFonts w:hint="eastAsia" w:ascii="仿宋" w:hAnsi="仿宋" w:eastAsia="仿宋" w:cs="宋体"/>
          <w:color w:val="auto"/>
          <w:highlight w:val="none"/>
        </w:rPr>
        <w:t xml:space="preserve">（北京时间） </w:t>
      </w:r>
    </w:p>
    <w:p w14:paraId="2494CCEF">
      <w:pPr>
        <w:pStyle w:val="16"/>
        <w:keepNext w:val="0"/>
        <w:keepLines w:val="0"/>
        <w:pageBreakBefore w:val="0"/>
        <w:widowControl/>
        <w:shd w:val="clear"/>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开标地点：</w:t>
      </w:r>
      <w:r>
        <w:rPr>
          <w:rFonts w:hint="eastAsia" w:ascii="仿宋" w:hAnsi="仿宋" w:eastAsia="仿宋" w:cs="仿宋"/>
          <w:sz w:val="24"/>
          <w:szCs w:val="24"/>
        </w:rPr>
        <w:t>投标人登录政采云平台https://www.zcygov.cn/，进入“项目采购-开标评标-右边选择对应项目点击“进入项目”进入开标大厅</w:t>
      </w:r>
    </w:p>
    <w:p w14:paraId="6BDD2138">
      <w:pPr>
        <w:pStyle w:val="16"/>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auto"/>
        <w:rPr>
          <w:rFonts w:hint="eastAsia" w:ascii="仿宋" w:hAnsi="仿宋" w:eastAsia="仿宋" w:cs="仿宋"/>
          <w:color w:val="000000"/>
          <w:highlight w:val="none"/>
        </w:rPr>
      </w:pPr>
      <w:r>
        <w:rPr>
          <w:rStyle w:val="22"/>
          <w:rFonts w:hint="eastAsia" w:ascii="仿宋" w:hAnsi="仿宋" w:eastAsia="仿宋" w:cs="仿宋"/>
          <w:color w:val="000000"/>
          <w:highlight w:val="none"/>
        </w:rPr>
        <w:t>五、公告期限</w:t>
      </w:r>
    </w:p>
    <w:p w14:paraId="234065CF">
      <w:pPr>
        <w:pStyle w:val="16"/>
        <w:keepNext w:val="0"/>
        <w:keepLines w:val="0"/>
        <w:pageBreakBefore w:val="0"/>
        <w:kinsoku/>
        <w:wordWrap/>
        <w:overflowPunct/>
        <w:topLinePunct w:val="0"/>
        <w:autoSpaceDE/>
        <w:autoSpaceDN/>
        <w:bidi w:val="0"/>
        <w:snapToGrid w:val="0"/>
        <w:spacing w:before="0" w:beforeAutospacing="0" w:after="0" w:afterAutospacing="0" w:line="360" w:lineRule="auto"/>
        <w:ind w:firstLine="480" w:firstLineChars="2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自本公告发布之日起5个工作日。</w:t>
      </w:r>
    </w:p>
    <w:p w14:paraId="0D708CCE">
      <w:pPr>
        <w:pStyle w:val="16"/>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auto"/>
        <w:rPr>
          <w:rFonts w:ascii="仿宋" w:hAnsi="仿宋" w:eastAsia="仿宋" w:cs="仿宋"/>
          <w:color w:val="000000"/>
          <w:highlight w:val="none"/>
        </w:rPr>
      </w:pPr>
      <w:r>
        <w:rPr>
          <w:rStyle w:val="22"/>
          <w:rFonts w:hint="eastAsia" w:ascii="仿宋" w:hAnsi="仿宋" w:eastAsia="仿宋" w:cs="仿宋"/>
          <w:color w:val="000000"/>
          <w:highlight w:val="none"/>
        </w:rPr>
        <w:t>六、其</w:t>
      </w:r>
      <w:r>
        <w:rPr>
          <w:rStyle w:val="22"/>
          <w:rFonts w:hint="eastAsia" w:ascii="仿宋" w:hAnsi="仿宋" w:eastAsia="仿宋" w:cs="仿宋"/>
          <w:color w:val="000000"/>
          <w:highlight w:val="none"/>
          <w:lang w:val="en-US" w:eastAsia="zh-CN"/>
        </w:rPr>
        <w:t>他</w:t>
      </w:r>
      <w:r>
        <w:rPr>
          <w:rStyle w:val="22"/>
          <w:rFonts w:hint="eastAsia" w:ascii="仿宋" w:hAnsi="仿宋" w:eastAsia="仿宋" w:cs="仿宋"/>
          <w:color w:val="000000"/>
          <w:highlight w:val="none"/>
        </w:rPr>
        <w:t>补充事宜</w:t>
      </w:r>
    </w:p>
    <w:p w14:paraId="2EBE71C9">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本项目实行网上投标，采用电子投标文件。</w:t>
      </w:r>
    </w:p>
    <w:p w14:paraId="7687B968">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AE6400">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供应商将政采云电子交易客户端下载、安装完成后，可通过账号密码或CA登录客户端进行投标文件的制作。在使用政采云投标客户端时，建议使用WIN7及以上操作系统。</w:t>
      </w:r>
    </w:p>
    <w:p w14:paraId="08559DF0">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其他事项：</w:t>
      </w:r>
    </w:p>
    <w:p w14:paraId="49242AA2">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（1）政采云投标客户端请至新疆政府采购网（http://www.ccgp-xinjiang.gov.cn/）下载专区查看，如有问题可拨打政采云客户服务热线95763进行咨询。</w:t>
      </w:r>
    </w:p>
    <w:p w14:paraId="3E421CAA">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（2）供应商在开标时须使用制作加密电子响应文件所使用的CA锁及电脑，电脑须提前配置好浏览器（建议使用谷歌浏览器），以便开标时解锁。</w:t>
      </w:r>
    </w:p>
    <w:p w14:paraId="35BAE755">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19A94B9">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仿宋" w:hAnsi="仿宋" w:eastAsia="仿宋" w:cs="仿宋"/>
          <w:sz w:val="24"/>
          <w:szCs w:val="24"/>
          <w:highlight w:val="red"/>
          <w:lang w:eastAsia="zh-CN"/>
        </w:rPr>
      </w:pPr>
      <w:r>
        <w:rPr>
          <w:rFonts w:hint="eastAsia" w:ascii="仿宋" w:hAnsi="仿宋" w:eastAsia="仿宋" w:cs="仿宋"/>
          <w:sz w:val="24"/>
          <w:szCs w:val="24"/>
          <w:lang w:eastAsia="zh-CN"/>
        </w:rPr>
        <w:t>（4）为了保证开评标顺利进行，政采云线上开标功能完全实现，供应商开</w:t>
      </w:r>
      <w:r>
        <w:rPr>
          <w:rFonts w:hint="eastAsia" w:ascii="仿宋" w:hAnsi="仿宋" w:eastAsia="仿宋" w:cs="仿宋"/>
          <w:sz w:val="24"/>
          <w:szCs w:val="24"/>
          <w:highlight w:val="none"/>
          <w:lang w:eastAsia="zh-CN"/>
        </w:rPr>
        <w:t>标所使用的电脑设备须具有视频及语音功能。</w:t>
      </w:r>
    </w:p>
    <w:p w14:paraId="6F205841">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特别提示：</w:t>
      </w:r>
    </w:p>
    <w:p w14:paraId="3B810326">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1、采购限额标准以上，200万元以下的货物和服务采购项目、400万元以下的工程采购项目，适宜由中小企业提供的，采购人应当专门面向中小企业采购。</w:t>
      </w:r>
    </w:p>
    <w:p w14:paraId="3AC2B669">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2、超过200万元的货物和服务采购项目，预留该部分采购项目预算总额的30%以上专门面向中小企业采购，其中预留给小微企业的比例不低于60%。</w:t>
      </w:r>
    </w:p>
    <w:p w14:paraId="3620CB17">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3、超过400万元的工程采购项目中适宜由中小企业提供的，预留该部分采购项目预算总额的40%以上专门面向中小企业采购，其中预留给小微企业的比例不低于60%。</w:t>
      </w:r>
    </w:p>
    <w:p w14:paraId="4CF5D7F3">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D49B33">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i/>
          <w:iCs/>
          <w:sz w:val="24"/>
          <w:szCs w:val="24"/>
          <w:lang w:eastAsia="zh-CN"/>
        </w:rPr>
      </w:pPr>
      <w:r>
        <w:rPr>
          <w:rFonts w:hint="eastAsia" w:ascii="仿宋" w:hAnsi="仿宋" w:eastAsia="仿宋" w:cs="仿宋"/>
          <w:b/>
          <w:bCs/>
          <w:i/>
          <w:iCs/>
          <w:sz w:val="24"/>
          <w:szCs w:val="24"/>
          <w:lang w:eastAsia="zh-CN"/>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27BF34">
      <w:pPr>
        <w:pStyle w:val="16"/>
        <w:widowControl/>
        <w:spacing w:before="0" w:beforeAutospacing="0" w:after="0" w:afterAutospacing="0" w:line="440" w:lineRule="exact"/>
        <w:ind w:firstLine="482" w:firstLineChars="200"/>
        <w:jc w:val="both"/>
        <w:rPr>
          <w:rFonts w:hint="eastAsia" w:ascii="仿宋" w:hAnsi="仿宋" w:eastAsia="仿宋" w:cs="宋体"/>
          <w:highlight w:val="none"/>
        </w:rPr>
      </w:pPr>
      <w:r>
        <w:rPr>
          <w:rStyle w:val="22"/>
          <w:rFonts w:hint="eastAsia" w:ascii="仿宋" w:hAnsi="仿宋" w:eastAsia="仿宋" w:cs="仿宋"/>
          <w:color w:val="000000"/>
          <w:highlight w:val="none"/>
        </w:rPr>
        <w:t>七、</w:t>
      </w:r>
      <w:r>
        <w:rPr>
          <w:rStyle w:val="22"/>
          <w:rFonts w:hint="eastAsia" w:ascii="仿宋" w:hAnsi="仿宋" w:eastAsia="仿宋" w:cs="宋体"/>
          <w:highlight w:val="none"/>
        </w:rPr>
        <w:t>对本次招标提出询问，请按以下方式联系</w:t>
      </w:r>
    </w:p>
    <w:p w14:paraId="2BBBAA0E">
      <w:pPr>
        <w:pStyle w:val="16"/>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1.采购人信息</w:t>
      </w:r>
    </w:p>
    <w:p w14:paraId="40A2A16A">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新疆农业大学</w:t>
      </w:r>
    </w:p>
    <w:p w14:paraId="65F647F4">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 址：</w:t>
      </w:r>
      <w:r>
        <w:rPr>
          <w:rFonts w:hint="eastAsia" w:ascii="仿宋" w:hAnsi="仿宋" w:eastAsia="仿宋" w:cs="宋体"/>
          <w:color w:val="000000"/>
          <w:highlight w:val="none"/>
          <w:lang w:eastAsia="zh-CN"/>
        </w:rPr>
        <w:t>乌鲁木齐市沙依巴克区八一街道农大东路311号</w:t>
      </w:r>
    </w:p>
    <w:p w14:paraId="60827E9B">
      <w:pPr>
        <w:pStyle w:val="16"/>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联系方式：</w:t>
      </w:r>
      <w:r>
        <w:rPr>
          <w:rFonts w:hint="eastAsia" w:ascii="仿宋" w:hAnsi="仿宋" w:eastAsia="仿宋" w:cs="宋体"/>
          <w:color w:val="000000"/>
          <w:highlight w:val="none"/>
          <w:lang w:val="en-US" w:eastAsia="zh-CN"/>
        </w:rPr>
        <w:t>13899860936</w:t>
      </w:r>
    </w:p>
    <w:p w14:paraId="6B327340">
      <w:pPr>
        <w:pStyle w:val="16"/>
        <w:widowControl/>
        <w:spacing w:before="0" w:beforeAutospacing="0" w:after="0" w:afterAutospacing="0" w:line="440" w:lineRule="exact"/>
        <w:ind w:firstLine="482" w:firstLineChars="200"/>
        <w:jc w:val="both"/>
        <w:rPr>
          <w:rFonts w:hint="eastAsia" w:ascii="仿宋" w:hAnsi="仿宋" w:eastAsia="仿宋" w:cs="宋体"/>
          <w:b/>
          <w:bCs/>
          <w:color w:val="000000"/>
          <w:highlight w:val="none"/>
        </w:rPr>
      </w:pPr>
      <w:r>
        <w:rPr>
          <w:rFonts w:hint="eastAsia" w:ascii="仿宋" w:hAnsi="仿宋" w:eastAsia="仿宋" w:cs="宋体"/>
          <w:b/>
          <w:bCs/>
          <w:color w:val="000000"/>
          <w:highlight w:val="none"/>
        </w:rPr>
        <w:t>2.采购代理机构信息</w:t>
      </w:r>
    </w:p>
    <w:p w14:paraId="3F871291">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名 称：</w:t>
      </w:r>
      <w:r>
        <w:rPr>
          <w:rFonts w:hint="eastAsia" w:ascii="仿宋" w:hAnsi="仿宋" w:eastAsia="仿宋" w:cs="宋体"/>
          <w:color w:val="000000"/>
          <w:highlight w:val="none"/>
          <w:lang w:eastAsia="zh-CN"/>
        </w:rPr>
        <w:t>中合安建工程管理有限公司</w:t>
      </w:r>
    </w:p>
    <w:p w14:paraId="3071E89B">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eastAsia="zh-CN"/>
        </w:rPr>
      </w:pPr>
      <w:r>
        <w:rPr>
          <w:rFonts w:hint="eastAsia" w:ascii="仿宋" w:hAnsi="仿宋" w:eastAsia="仿宋" w:cs="宋体"/>
          <w:color w:val="000000"/>
          <w:highlight w:val="none"/>
        </w:rPr>
        <w:t>地</w:t>
      </w:r>
      <w:r>
        <w:rPr>
          <w:rFonts w:hint="eastAsia" w:ascii="仿宋" w:hAnsi="仿宋" w:eastAsia="仿宋" w:cs="宋体"/>
          <w:color w:val="000000"/>
          <w:highlight w:val="none"/>
          <w:lang w:eastAsia="zh-CN"/>
        </w:rPr>
        <w:t xml:space="preserve"> 址：新疆乌鲁木齐市高新区（新市区）新医路165号汇文大厦1栋</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lang w:eastAsia="zh-CN"/>
        </w:rPr>
        <w:t>层A</w:t>
      </w:r>
    </w:p>
    <w:p w14:paraId="68ABE5EB">
      <w:pPr>
        <w:pStyle w:val="16"/>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lang w:eastAsia="zh-CN"/>
        </w:rPr>
        <w:t>项目联系人：彭小倬、王荣荣</w:t>
      </w:r>
    </w:p>
    <w:p w14:paraId="1B80FF9C">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zh-CN" w:eastAsia="zh-CN"/>
        </w:rPr>
        <w:sectPr>
          <w:footerReference r:id="rId7" w:type="default"/>
          <w:pgSz w:w="11907" w:h="16840"/>
          <w:pgMar w:top="1440" w:right="1531" w:bottom="1440" w:left="1531" w:header="720" w:footer="720"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宋体"/>
          <w:color w:val="000000"/>
          <w:highlight w:val="none"/>
          <w:lang w:eastAsia="zh-CN"/>
        </w:rPr>
        <w:t>联系方式：</w:t>
      </w:r>
      <w:r>
        <w:rPr>
          <w:rFonts w:hint="eastAsia" w:ascii="仿宋" w:hAnsi="仿宋" w:eastAsia="仿宋" w:cs="宋体"/>
          <w:color w:val="000000"/>
          <w:highlight w:val="none"/>
          <w:lang w:val="en-US" w:eastAsia="zh-CN"/>
        </w:rPr>
        <w:t>13579881296</w:t>
      </w:r>
    </w:p>
    <w:p w14:paraId="0CD32950">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10" w:name="_Toc29978"/>
      <w:bookmarkStart w:id="11" w:name="_Toc14193"/>
      <w:bookmarkStart w:id="12" w:name="_Toc24463"/>
      <w:bookmarkStart w:id="13" w:name="_Toc17662"/>
      <w:bookmarkStart w:id="14" w:name="_Toc23069"/>
      <w:bookmarkStart w:id="15" w:name="_Toc8591"/>
      <w:bookmarkStart w:id="16" w:name="_Toc25806"/>
      <w:bookmarkStart w:id="17" w:name="_Toc7741"/>
      <w:bookmarkStart w:id="18" w:name="_Toc20017"/>
      <w:r>
        <w:rPr>
          <w:rFonts w:hint="eastAsia" w:ascii="仿宋" w:hAnsi="仿宋" w:eastAsia="仿宋" w:cs="仿宋"/>
          <w:b/>
          <w:bCs/>
          <w:sz w:val="32"/>
          <w:szCs w:val="32"/>
          <w:highlight w:val="none"/>
        </w:rPr>
        <w:t>第二章</w:t>
      </w:r>
      <w:bookmarkStart w:id="19" w:name="_Toc45033358"/>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eastAsia="zh-CN"/>
        </w:rPr>
        <w:t>供应商</w:t>
      </w:r>
      <w:r>
        <w:rPr>
          <w:rFonts w:hint="eastAsia" w:ascii="仿宋" w:hAnsi="仿宋" w:eastAsia="仿宋" w:cs="仿宋"/>
          <w:b/>
          <w:bCs/>
          <w:sz w:val="32"/>
          <w:szCs w:val="32"/>
          <w:highlight w:val="none"/>
          <w:lang w:val="zh-CN"/>
        </w:rPr>
        <w:t>须知</w:t>
      </w:r>
      <w:bookmarkEnd w:id="10"/>
      <w:bookmarkEnd w:id="11"/>
      <w:bookmarkEnd w:id="12"/>
      <w:bookmarkEnd w:id="13"/>
      <w:bookmarkEnd w:id="14"/>
      <w:bookmarkEnd w:id="15"/>
      <w:bookmarkEnd w:id="16"/>
      <w:bookmarkEnd w:id="17"/>
      <w:bookmarkEnd w:id="18"/>
      <w:bookmarkEnd w:id="19"/>
    </w:p>
    <w:p w14:paraId="17E35FCA">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须知前附表</w:t>
      </w:r>
    </w:p>
    <w:tbl>
      <w:tblPr>
        <w:tblStyle w:val="19"/>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735"/>
        <w:gridCol w:w="7099"/>
      </w:tblGrid>
      <w:tr w14:paraId="3CE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7" w:type="dxa"/>
            <w:noWrap w:val="0"/>
            <w:vAlign w:val="center"/>
          </w:tcPr>
          <w:p w14:paraId="677B57FF">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735" w:type="dxa"/>
            <w:noWrap w:val="0"/>
            <w:vAlign w:val="center"/>
          </w:tcPr>
          <w:p w14:paraId="3A6A895B">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条款名称</w:t>
            </w:r>
          </w:p>
        </w:tc>
        <w:tc>
          <w:tcPr>
            <w:tcW w:w="7099" w:type="dxa"/>
            <w:noWrap w:val="0"/>
            <w:vAlign w:val="center"/>
          </w:tcPr>
          <w:p w14:paraId="28C82838">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编列内容</w:t>
            </w:r>
          </w:p>
        </w:tc>
      </w:tr>
      <w:tr w14:paraId="614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7710730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735" w:type="dxa"/>
            <w:noWrap w:val="0"/>
            <w:vAlign w:val="center"/>
          </w:tcPr>
          <w:p w14:paraId="353A3DA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项目名称及</w:t>
            </w:r>
          </w:p>
          <w:p w14:paraId="3E49CCD6">
            <w:pPr>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项目编</w:t>
            </w:r>
            <w:r>
              <w:rPr>
                <w:rFonts w:hint="eastAsia" w:ascii="仿宋" w:hAnsi="仿宋" w:eastAsia="仿宋" w:cs="仿宋"/>
                <w:sz w:val="21"/>
                <w:szCs w:val="21"/>
                <w:highlight w:val="none"/>
                <w:lang w:eastAsia="zh-CN"/>
              </w:rPr>
              <w:t>号</w:t>
            </w:r>
          </w:p>
        </w:tc>
        <w:tc>
          <w:tcPr>
            <w:tcW w:w="7099" w:type="dxa"/>
            <w:noWrap w:val="0"/>
            <w:vAlign w:val="center"/>
          </w:tcPr>
          <w:p w14:paraId="5683B650">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新疆农业大学新疆特色农畜产品贮藏加工创新与实践基地项目（</w:t>
            </w:r>
            <w:r>
              <w:rPr>
                <w:rFonts w:hint="eastAsia" w:ascii="仿宋" w:hAnsi="仿宋" w:eastAsia="仿宋" w:cs="仿宋"/>
                <w:kern w:val="0"/>
                <w:sz w:val="21"/>
                <w:szCs w:val="21"/>
                <w:highlight w:val="none"/>
                <w:lang w:val="en-US" w:eastAsia="zh-CN" w:bidi="ar-SA"/>
              </w:rPr>
              <w:t>项目编号：2026ZHAJ-10</w:t>
            </w:r>
            <w:r>
              <w:rPr>
                <w:rFonts w:hint="eastAsia" w:ascii="仿宋" w:hAnsi="仿宋" w:eastAsia="仿宋" w:cs="仿宋"/>
                <w:sz w:val="21"/>
                <w:szCs w:val="21"/>
                <w:highlight w:val="none"/>
                <w:lang w:eastAsia="zh-CN"/>
              </w:rPr>
              <w:t>）</w:t>
            </w:r>
          </w:p>
          <w:p w14:paraId="75D68B7A">
            <w:pPr>
              <w:pStyle w:val="6"/>
              <w:ind w:left="1050" w:leftChars="0" w:hanging="1050" w:hangingChars="500"/>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标段名称：新疆农业大学新疆特色农畜产品贮藏加工创新与实践基地项目标项1（标段编号：2026ZHAJ-10(1)）</w:t>
            </w:r>
          </w:p>
          <w:p w14:paraId="5C56626D">
            <w:pPr>
              <w:pStyle w:val="6"/>
              <w:ind w:left="1044" w:leftChars="435" w:firstLine="0" w:firstLineChars="0"/>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bidi="ar-SA"/>
              </w:rPr>
              <w:t>新疆农业大学新疆特色农畜产品贮藏加工创新与实践基地项目标项2（标段编号：2026ZHAJ-10(2)）</w:t>
            </w:r>
          </w:p>
        </w:tc>
      </w:tr>
      <w:tr w14:paraId="45E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87" w:type="dxa"/>
            <w:noWrap w:val="0"/>
            <w:vAlign w:val="center"/>
          </w:tcPr>
          <w:p w14:paraId="1E816ED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735" w:type="dxa"/>
            <w:noWrap w:val="0"/>
            <w:vAlign w:val="center"/>
          </w:tcPr>
          <w:p w14:paraId="7A11E37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7099" w:type="dxa"/>
            <w:noWrap w:val="0"/>
            <w:vAlign w:val="center"/>
          </w:tcPr>
          <w:p w14:paraId="5E9B0164">
            <w:pPr>
              <w:pStyle w:val="16"/>
              <w:widowControl/>
              <w:adjustRightInd w:val="0"/>
              <w:snapToGrid w:val="0"/>
              <w:spacing w:before="0" w:beforeAutospacing="0" w:after="0" w:afterAutospacing="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新疆农业大学</w:t>
            </w:r>
          </w:p>
          <w:p w14:paraId="2665B3A4">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000000"/>
                <w:sz w:val="21"/>
                <w:szCs w:val="21"/>
                <w:highlight w:val="none"/>
              </w:rPr>
              <w:t>地址</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乌鲁木齐市沙依巴克区八一街道农大东路311号</w:t>
            </w:r>
          </w:p>
          <w:p w14:paraId="0DD30A52">
            <w:pPr>
              <w:snapToGrid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eastAsia="zh-CN"/>
              </w:rPr>
              <w:t>黄文书老师</w:t>
            </w:r>
            <w:r>
              <w:rPr>
                <w:rFonts w:hint="eastAsia" w:ascii="仿宋" w:hAnsi="仿宋" w:eastAsia="仿宋" w:cs="仿宋"/>
                <w:color w:val="auto"/>
                <w:sz w:val="21"/>
                <w:szCs w:val="21"/>
                <w:highlight w:val="none"/>
                <w:lang w:val="en-US" w:eastAsia="zh-CN"/>
              </w:rPr>
              <w:t xml:space="preserve"> </w:t>
            </w:r>
          </w:p>
          <w:p w14:paraId="7B6DA2CC">
            <w:pPr>
              <w:snapToGrid w:val="0"/>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val="en-US" w:eastAsia="zh-CN"/>
              </w:rPr>
              <w:t xml:space="preserve">13899860936 </w:t>
            </w:r>
          </w:p>
        </w:tc>
      </w:tr>
      <w:tr w14:paraId="1E3C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0BF3A39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735" w:type="dxa"/>
            <w:noWrap w:val="0"/>
            <w:vAlign w:val="center"/>
          </w:tcPr>
          <w:p w14:paraId="3DA07A9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7099" w:type="dxa"/>
            <w:noWrap w:val="0"/>
            <w:vAlign w:val="center"/>
          </w:tcPr>
          <w:p w14:paraId="0D5FD75B">
            <w:pPr>
              <w:pStyle w:val="16"/>
              <w:widowControl/>
              <w:adjustRightInd w:val="0"/>
              <w:snapToGrid w:val="0"/>
              <w:spacing w:before="0" w:beforeAutospacing="0" w:after="0" w:afterAutospacing="0"/>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eastAsia="zh-CN"/>
              </w:rPr>
              <w:t>中合安建工程管理有限公司</w:t>
            </w:r>
          </w:p>
          <w:p w14:paraId="6B739543">
            <w:pPr>
              <w:pStyle w:val="16"/>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地址：</w:t>
            </w:r>
            <w:r>
              <w:rPr>
                <w:rFonts w:hint="eastAsia" w:ascii="仿宋" w:hAnsi="仿宋" w:eastAsia="仿宋" w:cs="仿宋"/>
                <w:sz w:val="21"/>
                <w:szCs w:val="21"/>
                <w:highlight w:val="none"/>
              </w:rPr>
              <w:t>新疆乌鲁木齐市高新区（新市区）新医路165号汇文大厦1栋</w:t>
            </w:r>
            <w:r>
              <w:rPr>
                <w:rFonts w:hint="eastAsia" w:ascii="仿宋" w:hAnsi="仿宋" w:eastAsia="仿宋" w:cs="仿宋"/>
                <w:sz w:val="21"/>
                <w:szCs w:val="21"/>
                <w:highlight w:val="none"/>
                <w:lang w:val="en-US" w:eastAsia="zh-CN"/>
              </w:rPr>
              <w:t>6</w:t>
            </w:r>
            <w:r>
              <w:rPr>
                <w:rFonts w:hint="eastAsia" w:ascii="仿宋" w:hAnsi="仿宋" w:eastAsia="仿宋" w:cs="仿宋"/>
                <w:color w:val="auto"/>
                <w:sz w:val="21"/>
                <w:szCs w:val="21"/>
                <w:highlight w:val="none"/>
              </w:rPr>
              <w:t>层A</w:t>
            </w:r>
          </w:p>
          <w:p w14:paraId="6E86F6AA">
            <w:pPr>
              <w:pStyle w:val="16"/>
              <w:widowControl/>
              <w:adjustRightInd w:val="0"/>
              <w:snapToGrid w:val="0"/>
              <w:spacing w:before="0" w:beforeAutospacing="0" w:after="0" w:afterAutospacing="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eastAsia="zh-CN"/>
              </w:rPr>
              <w:t>彭小倬、王荣荣</w:t>
            </w:r>
          </w:p>
          <w:p w14:paraId="4D1E2F04">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lang w:eastAsia="zh-CN"/>
              </w:rPr>
              <w:t>13579881296</w:t>
            </w:r>
          </w:p>
        </w:tc>
      </w:tr>
      <w:tr w14:paraId="6E71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1F62C74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735" w:type="dxa"/>
            <w:noWrap w:val="0"/>
            <w:vAlign w:val="center"/>
          </w:tcPr>
          <w:p w14:paraId="50D2B61C">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w:t>
            </w:r>
          </w:p>
        </w:tc>
        <w:tc>
          <w:tcPr>
            <w:tcW w:w="7099" w:type="dxa"/>
            <w:noWrap w:val="0"/>
            <w:vAlign w:val="center"/>
          </w:tcPr>
          <w:p w14:paraId="453DD109">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财政资金</w:t>
            </w:r>
          </w:p>
        </w:tc>
      </w:tr>
      <w:tr w14:paraId="685B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660BDF2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735" w:type="dxa"/>
            <w:noWrap w:val="0"/>
            <w:vAlign w:val="center"/>
          </w:tcPr>
          <w:p w14:paraId="5AEA634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采购预算</w:t>
            </w:r>
          </w:p>
        </w:tc>
        <w:tc>
          <w:tcPr>
            <w:tcW w:w="7099" w:type="dxa"/>
            <w:noWrap w:val="0"/>
            <w:vAlign w:val="center"/>
          </w:tcPr>
          <w:p w14:paraId="165A8858">
            <w:pPr>
              <w:widowControl/>
              <w:snapToGrid w:val="0"/>
              <w:jc w:val="both"/>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3000000.00元（标项1：2250000.00元；标项2：750000.00元）</w:t>
            </w:r>
          </w:p>
        </w:tc>
      </w:tr>
      <w:tr w14:paraId="2739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13907E35">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w:t>
            </w:r>
          </w:p>
        </w:tc>
        <w:tc>
          <w:tcPr>
            <w:tcW w:w="1735" w:type="dxa"/>
            <w:noWrap w:val="0"/>
            <w:vAlign w:val="center"/>
          </w:tcPr>
          <w:p w14:paraId="1638044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7099" w:type="dxa"/>
            <w:noWrap w:val="0"/>
            <w:vAlign w:val="center"/>
          </w:tcPr>
          <w:p w14:paraId="3911D33F">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已落实</w:t>
            </w:r>
          </w:p>
        </w:tc>
      </w:tr>
      <w:tr w14:paraId="21C9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505DCC67">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7</w:t>
            </w:r>
          </w:p>
        </w:tc>
        <w:tc>
          <w:tcPr>
            <w:tcW w:w="1735" w:type="dxa"/>
            <w:noWrap w:val="0"/>
            <w:vAlign w:val="center"/>
          </w:tcPr>
          <w:p w14:paraId="71B732FD">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采购内容</w:t>
            </w:r>
          </w:p>
        </w:tc>
        <w:tc>
          <w:tcPr>
            <w:tcW w:w="7099" w:type="dxa"/>
            <w:noWrap w:val="0"/>
            <w:vAlign w:val="center"/>
          </w:tcPr>
          <w:p w14:paraId="46747228">
            <w:pPr>
              <w:pStyle w:val="17"/>
              <w:snapToGrid w:val="0"/>
              <w:spacing w:line="240" w:lineRule="auto"/>
              <w:ind w:firstLine="0" w:firstLineChars="0"/>
              <w:jc w:val="both"/>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标项1：采购一批实验设备。（具体详见招标文件第四章采购需求）</w:t>
            </w:r>
          </w:p>
          <w:p w14:paraId="7E3DB63D">
            <w:pPr>
              <w:rPr>
                <w:rFonts w:hint="eastAsia" w:ascii="仿宋" w:hAnsi="仿宋" w:eastAsia="仿宋" w:cs="仿宋"/>
                <w:sz w:val="21"/>
                <w:szCs w:val="21"/>
              </w:rPr>
            </w:pPr>
            <w:r>
              <w:rPr>
                <w:rFonts w:hint="eastAsia" w:ascii="仿宋" w:hAnsi="仿宋" w:eastAsia="仿宋" w:cs="仿宋"/>
                <w:color w:val="000000"/>
                <w:sz w:val="21"/>
                <w:szCs w:val="21"/>
                <w:highlight w:val="none"/>
                <w:lang w:val="en-US" w:eastAsia="zh-CN" w:bidi="ar-SA"/>
              </w:rPr>
              <w:t>标项2：</w:t>
            </w:r>
            <w:r>
              <w:rPr>
                <w:rFonts w:hint="eastAsia" w:ascii="仿宋" w:hAnsi="仿宋" w:eastAsia="仿宋" w:cs="仿宋"/>
                <w:sz w:val="21"/>
                <w:szCs w:val="21"/>
                <w:highlight w:val="none"/>
                <w:lang w:eastAsia="zh-CN"/>
              </w:rPr>
              <w:t>采购小型高水分双螺杆膨化挤压设备。</w:t>
            </w:r>
            <w:r>
              <w:rPr>
                <w:rFonts w:hint="eastAsia" w:ascii="仿宋" w:hAnsi="仿宋" w:eastAsia="仿宋" w:cs="仿宋"/>
                <w:color w:val="000000"/>
                <w:sz w:val="21"/>
                <w:szCs w:val="21"/>
                <w:highlight w:val="none"/>
                <w:lang w:eastAsia="zh-CN"/>
              </w:rPr>
              <w:t>（具体详见招标文件第四章采购需求）</w:t>
            </w:r>
          </w:p>
        </w:tc>
      </w:tr>
      <w:tr w14:paraId="1C8F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3BB5237D">
            <w:pPr>
              <w:snapToGrid w:val="0"/>
              <w:jc w:val="center"/>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8</w:t>
            </w:r>
          </w:p>
        </w:tc>
        <w:tc>
          <w:tcPr>
            <w:tcW w:w="1735" w:type="dxa"/>
            <w:noWrap w:val="0"/>
            <w:vAlign w:val="center"/>
          </w:tcPr>
          <w:p w14:paraId="64F20DE2">
            <w:pPr>
              <w:snapToGrid w:val="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t>合同履约</w:t>
            </w:r>
            <w:r>
              <w:rPr>
                <w:rFonts w:hint="eastAsia" w:ascii="仿宋" w:hAnsi="仿宋" w:eastAsia="仿宋" w:cs="仿宋"/>
                <w:color w:val="000000"/>
                <w:sz w:val="21"/>
                <w:szCs w:val="21"/>
                <w:highlight w:val="none"/>
              </w:rPr>
              <w:t>期限</w:t>
            </w:r>
          </w:p>
        </w:tc>
        <w:tc>
          <w:tcPr>
            <w:tcW w:w="7099" w:type="dxa"/>
            <w:noWrap w:val="0"/>
            <w:vAlign w:val="center"/>
          </w:tcPr>
          <w:p w14:paraId="6801B255">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签订合同后</w:t>
            </w:r>
            <w:r>
              <w:rPr>
                <w:rFonts w:hint="eastAsia" w:ascii="仿宋" w:hAnsi="仿宋" w:eastAsia="仿宋" w:cs="仿宋"/>
                <w:sz w:val="21"/>
                <w:szCs w:val="21"/>
                <w:highlight w:val="none"/>
                <w:lang w:val="en-US" w:eastAsia="zh-CN"/>
              </w:rPr>
              <w:t>90</w:t>
            </w:r>
            <w:r>
              <w:rPr>
                <w:rFonts w:hint="eastAsia" w:ascii="仿宋" w:hAnsi="仿宋" w:eastAsia="仿宋" w:cs="仿宋"/>
                <w:sz w:val="21"/>
                <w:szCs w:val="21"/>
                <w:highlight w:val="none"/>
                <w:lang w:eastAsia="zh-CN"/>
              </w:rPr>
              <w:t>天内完成供货、安装、调试以及与之配套的辅助工作，交付采购人使用。</w:t>
            </w:r>
          </w:p>
        </w:tc>
      </w:tr>
      <w:tr w14:paraId="5D61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887" w:type="dxa"/>
            <w:noWrap w:val="0"/>
            <w:vAlign w:val="center"/>
          </w:tcPr>
          <w:p w14:paraId="61B8521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735" w:type="dxa"/>
            <w:noWrap w:val="0"/>
            <w:vAlign w:val="center"/>
          </w:tcPr>
          <w:p w14:paraId="17AFF18E">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资格条件</w:t>
            </w:r>
          </w:p>
        </w:tc>
        <w:tc>
          <w:tcPr>
            <w:tcW w:w="7099" w:type="dxa"/>
            <w:noWrap w:val="0"/>
            <w:vAlign w:val="center"/>
          </w:tcPr>
          <w:p w14:paraId="750A590B">
            <w:pPr>
              <w:pStyle w:val="16"/>
              <w:widowControl/>
              <w:adjustRightInd w:val="0"/>
              <w:snapToGrid w:val="0"/>
              <w:spacing w:before="0" w:beforeAutospacing="0" w:after="0" w:afterAutospacing="0"/>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14:paraId="388C314E">
            <w:pPr>
              <w:pStyle w:val="16"/>
              <w:widowControl/>
              <w:adjustRightInd w:val="0"/>
              <w:snapToGrid w:val="0"/>
              <w:spacing w:before="0" w:beforeAutospacing="0" w:after="0" w:afterAutospacing="0"/>
              <w:ind w:firstLine="420" w:firstLineChars="20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2.落实政府采购政策需满足的资格要求：标项1：本项目</w:t>
            </w:r>
            <w:r>
              <w:rPr>
                <w:rFonts w:hint="eastAsia" w:ascii="仿宋" w:hAnsi="仿宋" w:eastAsia="仿宋" w:cs="仿宋"/>
                <w:color w:val="auto"/>
                <w:sz w:val="21"/>
                <w:szCs w:val="21"/>
                <w:highlight w:val="none"/>
                <w:lang w:eastAsia="zh-CN"/>
              </w:rPr>
              <w:t>不</w:t>
            </w:r>
            <w:r>
              <w:rPr>
                <w:rFonts w:hint="eastAsia" w:ascii="仿宋" w:hAnsi="仿宋" w:eastAsia="仿宋" w:cs="仿宋"/>
                <w:color w:val="auto"/>
                <w:sz w:val="21"/>
                <w:szCs w:val="21"/>
                <w:highlight w:val="none"/>
              </w:rPr>
              <w:t>专门面向中小企业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标项2：本项目专门面向</w:t>
            </w:r>
            <w:r>
              <w:rPr>
                <w:rFonts w:hint="eastAsia" w:ascii="仿宋" w:hAnsi="仿宋" w:eastAsia="仿宋" w:cs="仿宋"/>
                <w:color w:val="auto"/>
                <w:sz w:val="21"/>
                <w:szCs w:val="21"/>
                <w:highlight w:val="none"/>
                <w:lang w:eastAsia="zh-CN"/>
              </w:rPr>
              <w:t>小微</w:t>
            </w:r>
            <w:r>
              <w:rPr>
                <w:rFonts w:hint="eastAsia" w:ascii="仿宋" w:hAnsi="仿宋" w:eastAsia="仿宋" w:cs="仿宋"/>
                <w:color w:val="auto"/>
                <w:sz w:val="21"/>
                <w:szCs w:val="21"/>
                <w:highlight w:val="none"/>
              </w:rPr>
              <w:t>企业</w:t>
            </w:r>
            <w:r>
              <w:rPr>
                <w:rFonts w:hint="eastAsia" w:ascii="仿宋" w:hAnsi="仿宋" w:eastAsia="仿宋" w:cs="仿宋"/>
                <w:color w:val="auto"/>
                <w:sz w:val="21"/>
                <w:szCs w:val="21"/>
                <w:highlight w:val="none"/>
                <w:lang w:eastAsia="zh-CN"/>
              </w:rPr>
              <w:t>；</w:t>
            </w:r>
          </w:p>
          <w:p w14:paraId="1038E40D">
            <w:pPr>
              <w:pStyle w:val="16"/>
              <w:widowControl/>
              <w:adjustRightInd w:val="0"/>
              <w:snapToGrid w:val="0"/>
              <w:spacing w:before="0" w:beforeAutospacing="0" w:after="0" w:afterAutospacing="0"/>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p>
          <w:p w14:paraId="67C043B9">
            <w:pPr>
              <w:pStyle w:val="16"/>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【标项1、2】</w:t>
            </w:r>
          </w:p>
          <w:p w14:paraId="484271E1">
            <w:pPr>
              <w:pStyle w:val="16"/>
              <w:widowControl/>
              <w:adjustRightInd w:val="0"/>
              <w:snapToGrid w:val="0"/>
              <w:spacing w:before="0" w:beforeAutospacing="0" w:after="0" w:afterAutospacing="0"/>
              <w:ind w:firstLine="420" w:firstLineChars="20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投标人须在“信用中国”（www.creditchina.gov.cn）和中国政府采购网（www.ccgp.gov.cn）网站上未被列入失信被执行人、重大税收违法案件当事人名单以及政府采购严重违法失信行为记录名单（查询时间为自公告发布之日后）</w:t>
            </w:r>
          </w:p>
          <w:p w14:paraId="6A3CE43D">
            <w:pPr>
              <w:pStyle w:val="16"/>
              <w:widowControl/>
              <w:adjustRightInd w:val="0"/>
              <w:snapToGrid w:val="0"/>
              <w:spacing w:before="0" w:beforeAutospacing="0" w:after="0" w:afterAutospacing="0"/>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522D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14:paraId="2C71624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735" w:type="dxa"/>
            <w:noWrap w:val="0"/>
            <w:vAlign w:val="center"/>
          </w:tcPr>
          <w:p w14:paraId="25FB7CA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是否接受联合体投标</w:t>
            </w:r>
          </w:p>
        </w:tc>
        <w:tc>
          <w:tcPr>
            <w:tcW w:w="7099" w:type="dxa"/>
            <w:noWrap w:val="0"/>
            <w:vAlign w:val="center"/>
          </w:tcPr>
          <w:p w14:paraId="3C70E64A">
            <w:pPr>
              <w:snapToGrid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14:paraId="4F32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7" w:type="dxa"/>
            <w:noWrap w:val="0"/>
            <w:vAlign w:val="center"/>
          </w:tcPr>
          <w:p w14:paraId="46C3014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735" w:type="dxa"/>
            <w:noWrap w:val="0"/>
            <w:vAlign w:val="center"/>
          </w:tcPr>
          <w:p w14:paraId="7ADC7FD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付款方式</w:t>
            </w:r>
          </w:p>
        </w:tc>
        <w:tc>
          <w:tcPr>
            <w:tcW w:w="7099" w:type="dxa"/>
            <w:noWrap w:val="0"/>
            <w:vAlign w:val="center"/>
          </w:tcPr>
          <w:p w14:paraId="4DF87F20">
            <w:pPr>
              <w:widowControl/>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1、付款币种：人民币支付。</w:t>
            </w:r>
          </w:p>
          <w:p w14:paraId="4556EE22">
            <w:pPr>
              <w:widowControl/>
              <w:snapToGrid w:val="0"/>
              <w:rPr>
                <w:rFonts w:hint="eastAsia" w:ascii="仿宋" w:hAnsi="仿宋" w:eastAsia="仿宋" w:cs="仿宋"/>
                <w:color w:val="FF0000"/>
                <w:sz w:val="21"/>
                <w:szCs w:val="21"/>
                <w:highlight w:val="none"/>
                <w:lang w:eastAsia="zh-CN"/>
              </w:rPr>
            </w:pPr>
            <w:r>
              <w:rPr>
                <w:rFonts w:hint="eastAsia" w:ascii="仿宋" w:hAnsi="仿宋" w:eastAsia="仿宋" w:cs="仿宋"/>
                <w:color w:val="auto"/>
                <w:sz w:val="21"/>
                <w:szCs w:val="21"/>
                <w:highlight w:val="none"/>
                <w:lang w:val="en-US" w:eastAsia="zh-CN" w:bidi="ar-SA"/>
              </w:rPr>
              <w:t>2、付款方式：采购单位在合同生效后支付给中标供应商合同价款的50%作为合同预付款。中标供应商在收到预付款3个工作日内依法开具相应的收据并交付给采购单位。中标供应商在约定的交付期限内将设备全部运至采购单位指定地点安装调试完毕，经采购单位验收合格后，中标供应商依法开具相应的发票交付给采购单位，采购单位向中标供应商支付合同剩余价款，并将5%的履约保证金无息退还给中标供应商。</w:t>
            </w:r>
          </w:p>
        </w:tc>
      </w:tr>
      <w:tr w14:paraId="68B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7" w:type="dxa"/>
            <w:noWrap w:val="0"/>
            <w:vAlign w:val="center"/>
          </w:tcPr>
          <w:p w14:paraId="20E253B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1735" w:type="dxa"/>
            <w:noWrap w:val="0"/>
            <w:vAlign w:val="center"/>
          </w:tcPr>
          <w:p w14:paraId="5FE48014">
            <w:pPr>
              <w:snapToGrid w:val="0"/>
              <w:jc w:val="center"/>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lang w:eastAsia="zh-CN"/>
              </w:rPr>
              <w:t>交货地点</w:t>
            </w:r>
          </w:p>
        </w:tc>
        <w:tc>
          <w:tcPr>
            <w:tcW w:w="7099" w:type="dxa"/>
            <w:shd w:val="clear" w:color="auto" w:fill="auto"/>
            <w:noWrap w:val="0"/>
            <w:vAlign w:val="center"/>
          </w:tcPr>
          <w:p w14:paraId="0C654F9F">
            <w:pPr>
              <w:snapToGrid w:val="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新疆农业大学指定地点</w:t>
            </w:r>
          </w:p>
        </w:tc>
      </w:tr>
      <w:tr w14:paraId="315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7" w:type="dxa"/>
            <w:noWrap w:val="0"/>
            <w:vAlign w:val="center"/>
          </w:tcPr>
          <w:p w14:paraId="3FB8C14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w:t>
            </w:r>
          </w:p>
        </w:tc>
        <w:tc>
          <w:tcPr>
            <w:tcW w:w="1735" w:type="dxa"/>
            <w:noWrap w:val="0"/>
            <w:vAlign w:val="center"/>
          </w:tcPr>
          <w:p w14:paraId="022F0DB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投标截止时间</w:t>
            </w:r>
          </w:p>
        </w:tc>
        <w:tc>
          <w:tcPr>
            <w:tcW w:w="7099" w:type="dxa"/>
            <w:shd w:val="clear" w:color="auto" w:fill="auto"/>
            <w:noWrap w:val="0"/>
            <w:vAlign w:val="center"/>
          </w:tcPr>
          <w:p w14:paraId="475CD6AD">
            <w:pPr>
              <w:snapToGrid w:val="0"/>
              <w:rPr>
                <w:rFonts w:hint="eastAsia" w:ascii="仿宋" w:hAnsi="仿宋" w:eastAsia="仿宋" w:cs="仿宋"/>
                <w:sz w:val="21"/>
                <w:szCs w:val="21"/>
                <w:highlight w:val="none"/>
              </w:rPr>
            </w:pPr>
            <w:r>
              <w:rPr>
                <w:rFonts w:hint="eastAsia" w:ascii="仿宋" w:hAnsi="仿宋" w:eastAsia="仿宋" w:cs="仿宋"/>
                <w:color w:val="000000"/>
                <w:sz w:val="21"/>
                <w:szCs w:val="21"/>
                <w:highlight w:val="none"/>
                <w:shd w:val="clear"/>
              </w:rPr>
              <w:t>202</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年</w:t>
            </w:r>
            <w:r>
              <w:rPr>
                <w:rFonts w:hint="eastAsia" w:ascii="仿宋" w:hAnsi="仿宋" w:eastAsia="仿宋" w:cs="仿宋"/>
                <w:color w:val="000000"/>
                <w:sz w:val="21"/>
                <w:szCs w:val="21"/>
                <w:highlight w:val="none"/>
                <w:shd w:val="clear"/>
                <w:lang w:val="en-US" w:eastAsia="zh-CN"/>
              </w:rPr>
              <w:t>6</w:t>
            </w:r>
            <w:r>
              <w:rPr>
                <w:rFonts w:hint="eastAsia" w:ascii="仿宋" w:hAnsi="仿宋" w:eastAsia="仿宋" w:cs="仿宋"/>
                <w:color w:val="000000"/>
                <w:sz w:val="21"/>
                <w:szCs w:val="21"/>
                <w:highlight w:val="none"/>
                <w:shd w:val="clear"/>
              </w:rPr>
              <w:t>月</w:t>
            </w:r>
            <w:r>
              <w:rPr>
                <w:rFonts w:hint="eastAsia" w:ascii="仿宋" w:hAnsi="仿宋" w:eastAsia="仿宋" w:cs="仿宋"/>
                <w:color w:val="000000"/>
                <w:sz w:val="21"/>
                <w:szCs w:val="21"/>
                <w:highlight w:val="none"/>
                <w:shd w:val="clear"/>
                <w:lang w:val="en-US" w:eastAsia="zh-CN"/>
              </w:rPr>
              <w:t>9</w:t>
            </w:r>
            <w:r>
              <w:rPr>
                <w:rFonts w:hint="eastAsia" w:ascii="仿宋" w:hAnsi="仿宋" w:eastAsia="仿宋" w:cs="仿宋"/>
                <w:color w:val="000000"/>
                <w:sz w:val="21"/>
                <w:szCs w:val="21"/>
                <w:highlight w:val="none"/>
                <w:shd w:val="clear"/>
              </w:rPr>
              <w:t>日1</w:t>
            </w:r>
            <w:r>
              <w:rPr>
                <w:rFonts w:hint="eastAsia" w:ascii="仿宋" w:hAnsi="仿宋" w:eastAsia="仿宋" w:cs="仿宋"/>
                <w:color w:val="000000"/>
                <w:sz w:val="21"/>
                <w:szCs w:val="21"/>
                <w:highlight w:val="none"/>
                <w:shd w:val="clear"/>
                <w:lang w:val="en-US" w:eastAsia="zh-CN"/>
              </w:rPr>
              <w:t>1</w:t>
            </w:r>
            <w:r>
              <w:rPr>
                <w:rFonts w:hint="eastAsia" w:ascii="仿宋" w:hAnsi="仿宋" w:eastAsia="仿宋" w:cs="仿宋"/>
                <w:color w:val="000000"/>
                <w:sz w:val="21"/>
                <w:szCs w:val="21"/>
                <w:highlight w:val="none"/>
                <w:shd w:val="clear"/>
              </w:rPr>
              <w:t>时</w:t>
            </w:r>
            <w:r>
              <w:rPr>
                <w:rFonts w:hint="eastAsia" w:ascii="仿宋" w:hAnsi="仿宋" w:eastAsia="仿宋" w:cs="仿宋"/>
                <w:color w:val="000000"/>
                <w:sz w:val="21"/>
                <w:szCs w:val="21"/>
                <w:highlight w:val="none"/>
                <w:shd w:val="clear"/>
                <w:lang w:val="en-US" w:eastAsia="zh-CN"/>
              </w:rPr>
              <w:t>0</w:t>
            </w:r>
            <w:r>
              <w:rPr>
                <w:rFonts w:hint="eastAsia" w:ascii="仿宋" w:hAnsi="仿宋" w:eastAsia="仿宋" w:cs="仿宋"/>
                <w:color w:val="000000"/>
                <w:sz w:val="21"/>
                <w:szCs w:val="21"/>
                <w:highlight w:val="none"/>
                <w:shd w:val="clear"/>
              </w:rPr>
              <w:t>0分</w:t>
            </w:r>
          </w:p>
        </w:tc>
      </w:tr>
      <w:tr w14:paraId="37A3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14:paraId="466B088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w:t>
            </w:r>
          </w:p>
        </w:tc>
        <w:tc>
          <w:tcPr>
            <w:tcW w:w="1735" w:type="dxa"/>
            <w:noWrap w:val="0"/>
            <w:vAlign w:val="center"/>
          </w:tcPr>
          <w:p w14:paraId="31005D4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确认收到招标文件修改的时间</w:t>
            </w:r>
          </w:p>
        </w:tc>
        <w:tc>
          <w:tcPr>
            <w:tcW w:w="7099" w:type="dxa"/>
            <w:noWrap w:val="0"/>
            <w:vAlign w:val="center"/>
          </w:tcPr>
          <w:p w14:paraId="0A5B3E07">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招标文件修改发出后24小时以内</w:t>
            </w:r>
          </w:p>
        </w:tc>
      </w:tr>
      <w:tr w14:paraId="1231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14:paraId="24C52E9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735" w:type="dxa"/>
            <w:noWrap w:val="0"/>
            <w:vAlign w:val="center"/>
          </w:tcPr>
          <w:p w14:paraId="6BF3326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最高限价</w:t>
            </w:r>
          </w:p>
        </w:tc>
        <w:tc>
          <w:tcPr>
            <w:tcW w:w="7099" w:type="dxa"/>
            <w:noWrap w:val="0"/>
            <w:vAlign w:val="center"/>
          </w:tcPr>
          <w:p w14:paraId="26F92F8C">
            <w:pPr>
              <w:pStyle w:val="29"/>
              <w:adjustRightInd w:val="0"/>
              <w:snapToGrid w:val="0"/>
              <w:ind w:left="120" w:leftChars="50"/>
              <w:rPr>
                <w:rFonts w:hint="eastAsia" w:ascii="仿宋" w:hAnsi="仿宋" w:eastAsia="仿宋" w:cs="仿宋"/>
                <w:sz w:val="21"/>
                <w:szCs w:val="21"/>
                <w:highlight w:val="none"/>
                <w:shd w:val="clear"/>
                <w:lang w:val="en-US" w:bidi="ar-SA"/>
              </w:rPr>
            </w:pPr>
            <w:r>
              <w:rPr>
                <w:rFonts w:hint="eastAsia" w:ascii="仿宋" w:hAnsi="仿宋" w:eastAsia="仿宋" w:cs="仿宋"/>
                <w:sz w:val="21"/>
                <w:szCs w:val="21"/>
                <w:highlight w:val="none"/>
                <w:lang w:val="en-US" w:bidi="ar-SA"/>
              </w:rPr>
              <w:t>☑有，最高限价</w:t>
            </w:r>
            <w:r>
              <w:rPr>
                <w:rFonts w:hint="eastAsia" w:ascii="仿宋" w:hAnsi="仿宋" w:eastAsia="仿宋" w:cs="仿宋"/>
                <w:sz w:val="21"/>
                <w:szCs w:val="21"/>
                <w:highlight w:val="none"/>
                <w:shd w:val="clear"/>
                <w:lang w:val="en-US" w:bidi="ar-SA"/>
              </w:rPr>
              <w:t>：</w:t>
            </w:r>
            <w:r>
              <w:rPr>
                <w:rFonts w:hint="eastAsia" w:ascii="仿宋" w:hAnsi="仿宋" w:eastAsia="仿宋" w:cs="仿宋"/>
                <w:sz w:val="21"/>
                <w:szCs w:val="21"/>
                <w:highlight w:val="none"/>
                <w:shd w:val="clear"/>
                <w:lang w:val="en-US" w:eastAsia="zh-CN" w:bidi="ar-SA"/>
              </w:rPr>
              <w:t>2250000.00</w:t>
            </w:r>
            <w:r>
              <w:rPr>
                <w:rFonts w:hint="eastAsia" w:ascii="仿宋" w:hAnsi="仿宋" w:eastAsia="仿宋" w:cs="仿宋"/>
                <w:color w:val="000000"/>
                <w:sz w:val="21"/>
                <w:szCs w:val="21"/>
                <w:highlight w:val="none"/>
                <w:shd w:val="clear"/>
                <w:lang w:val="en-US" w:eastAsia="zh-CN"/>
              </w:rPr>
              <w:t>元；750000.00元</w:t>
            </w:r>
          </w:p>
          <w:p w14:paraId="48229E16">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的投标报价不得超过最高限价，否则其投标将被拒绝。</w:t>
            </w:r>
          </w:p>
        </w:tc>
      </w:tr>
      <w:tr w14:paraId="0737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7" w:type="dxa"/>
            <w:noWrap w:val="0"/>
            <w:vAlign w:val="center"/>
          </w:tcPr>
          <w:p w14:paraId="47FB05D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1735" w:type="dxa"/>
            <w:noWrap w:val="0"/>
            <w:vAlign w:val="center"/>
          </w:tcPr>
          <w:p w14:paraId="75AA531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7099" w:type="dxa"/>
            <w:noWrap w:val="0"/>
            <w:vAlign w:val="center"/>
          </w:tcPr>
          <w:p w14:paraId="14C47950">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90日历天（从投标截止之日算起）</w:t>
            </w:r>
          </w:p>
        </w:tc>
      </w:tr>
      <w:tr w14:paraId="6BE0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87" w:type="dxa"/>
            <w:noWrap w:val="0"/>
            <w:vAlign w:val="center"/>
          </w:tcPr>
          <w:p w14:paraId="745D34A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17</w:t>
            </w:r>
          </w:p>
        </w:tc>
        <w:tc>
          <w:tcPr>
            <w:tcW w:w="1735" w:type="dxa"/>
            <w:noWrap w:val="0"/>
            <w:vAlign w:val="center"/>
          </w:tcPr>
          <w:p w14:paraId="23ED057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7099" w:type="dxa"/>
            <w:noWrap w:val="0"/>
            <w:vAlign w:val="center"/>
          </w:tcPr>
          <w:p w14:paraId="2ADACA4F">
            <w:pPr>
              <w:pStyle w:val="10"/>
              <w:adjustRightInd w:val="0"/>
              <w:snapToGrid w:val="0"/>
              <w:rPr>
                <w:rFonts w:hint="eastAsia" w:ascii="仿宋" w:hAnsi="仿宋" w:eastAsia="仿宋" w:cs="仿宋"/>
                <w:kern w:val="0"/>
                <w:sz w:val="21"/>
                <w:szCs w:val="21"/>
                <w:highlight w:val="none"/>
                <w:lang w:eastAsia="zh-CN"/>
              </w:rPr>
            </w:pPr>
            <w:r>
              <w:rPr>
                <w:rFonts w:hint="eastAsia" w:ascii="仿宋" w:hAnsi="仿宋" w:eastAsia="仿宋" w:cs="仿宋"/>
                <w:kern w:val="0"/>
                <w:sz w:val="21"/>
                <w:szCs w:val="21"/>
                <w:highlight w:val="none"/>
              </w:rPr>
              <w:t>1.投标保证金的形式：电汇、网银、保函</w:t>
            </w:r>
            <w:r>
              <w:rPr>
                <w:rFonts w:hint="eastAsia" w:ascii="仿宋" w:hAnsi="仿宋" w:eastAsia="仿宋" w:cs="仿宋"/>
                <w:kern w:val="0"/>
                <w:sz w:val="21"/>
                <w:szCs w:val="21"/>
                <w:highlight w:val="none"/>
                <w:lang w:eastAsia="zh-CN"/>
              </w:rPr>
              <w:t>等非现金形式。</w:t>
            </w:r>
          </w:p>
          <w:p w14:paraId="4F13A72F">
            <w:pPr>
              <w:pStyle w:val="10"/>
              <w:adjustRightInd w:val="0"/>
              <w:snapToGrid w:val="0"/>
              <w:ind w:left="11" w:leftChars="0" w:hanging="11" w:hangingChars="5"/>
              <w:rPr>
                <w:rFonts w:hint="eastAsia" w:ascii="仿宋" w:hAnsi="仿宋" w:eastAsia="仿宋" w:cs="仿宋"/>
                <w:b/>
                <w:kern w:val="0"/>
                <w:sz w:val="21"/>
                <w:szCs w:val="21"/>
                <w:highlight w:val="none"/>
                <w:lang w:eastAsia="zh-CN"/>
              </w:rPr>
            </w:pPr>
            <w:r>
              <w:rPr>
                <w:rFonts w:hint="eastAsia" w:ascii="仿宋" w:hAnsi="仿宋" w:eastAsia="仿宋" w:cs="仿宋"/>
                <w:b/>
                <w:kern w:val="0"/>
                <w:sz w:val="21"/>
                <w:szCs w:val="21"/>
                <w:highlight w:val="none"/>
              </w:rPr>
              <w:t>2.缴纳保证金金</w:t>
            </w:r>
            <w:r>
              <w:rPr>
                <w:rFonts w:hint="eastAsia" w:ascii="仿宋" w:hAnsi="仿宋" w:eastAsia="仿宋" w:cs="仿宋"/>
                <w:b/>
                <w:color w:val="auto"/>
                <w:kern w:val="0"/>
                <w:sz w:val="21"/>
                <w:szCs w:val="21"/>
                <w:highlight w:val="none"/>
              </w:rPr>
              <w:t>额：</w:t>
            </w:r>
            <w:r>
              <w:rPr>
                <w:rFonts w:hint="eastAsia" w:ascii="仿宋" w:hAnsi="仿宋" w:eastAsia="仿宋" w:cs="仿宋"/>
                <w:b/>
                <w:color w:val="auto"/>
                <w:kern w:val="0"/>
                <w:sz w:val="21"/>
                <w:szCs w:val="21"/>
                <w:highlight w:val="none"/>
                <w:lang w:eastAsia="zh-CN"/>
              </w:rPr>
              <w:t>标项1</w:t>
            </w:r>
            <w:r>
              <w:rPr>
                <w:rFonts w:hint="eastAsia" w:ascii="仿宋" w:hAnsi="仿宋" w:eastAsia="仿宋" w:cs="仿宋"/>
                <w:b/>
                <w:color w:val="auto"/>
                <w:kern w:val="0"/>
                <w:sz w:val="21"/>
                <w:szCs w:val="21"/>
                <w:highlight w:val="none"/>
                <w:lang w:val="en-US" w:eastAsia="zh-CN"/>
              </w:rPr>
              <w:t>：22000</w:t>
            </w:r>
            <w:r>
              <w:rPr>
                <w:rFonts w:hint="eastAsia" w:ascii="仿宋" w:hAnsi="仿宋" w:eastAsia="仿宋" w:cs="仿宋"/>
                <w:b/>
                <w:color w:val="auto"/>
                <w:kern w:val="0"/>
                <w:sz w:val="21"/>
                <w:szCs w:val="21"/>
                <w:highlight w:val="none"/>
              </w:rPr>
              <w:t>元整（大写：</w:t>
            </w:r>
            <w:r>
              <w:rPr>
                <w:rFonts w:hint="eastAsia" w:ascii="仿宋" w:hAnsi="仿宋" w:eastAsia="仿宋" w:cs="仿宋"/>
                <w:b/>
                <w:color w:val="auto"/>
                <w:kern w:val="0"/>
                <w:sz w:val="21"/>
                <w:szCs w:val="21"/>
                <w:highlight w:val="none"/>
                <w:lang w:val="en-US" w:eastAsia="zh-CN"/>
              </w:rPr>
              <w:t>贰万贰仟</w:t>
            </w:r>
            <w:r>
              <w:rPr>
                <w:rFonts w:hint="eastAsia" w:ascii="仿宋" w:hAnsi="仿宋" w:eastAsia="仿宋" w:cs="仿宋"/>
                <w:b/>
                <w:color w:val="auto"/>
                <w:kern w:val="0"/>
                <w:sz w:val="21"/>
                <w:szCs w:val="21"/>
                <w:highlight w:val="none"/>
              </w:rPr>
              <w:t>元整）</w:t>
            </w:r>
            <w:r>
              <w:rPr>
                <w:rFonts w:hint="eastAsia" w:ascii="仿宋" w:hAnsi="仿宋" w:eastAsia="仿宋" w:cs="仿宋"/>
                <w:b/>
                <w:color w:val="auto"/>
                <w:kern w:val="0"/>
                <w:sz w:val="21"/>
                <w:szCs w:val="21"/>
                <w:highlight w:val="none"/>
                <w:lang w:eastAsia="zh-CN"/>
              </w:rPr>
              <w:t>；标项2</w:t>
            </w:r>
            <w:r>
              <w:rPr>
                <w:rFonts w:hint="eastAsia" w:ascii="仿宋" w:hAnsi="仿宋" w:eastAsia="仿宋" w:cs="仿宋"/>
                <w:b/>
                <w:color w:val="auto"/>
                <w:kern w:val="0"/>
                <w:sz w:val="21"/>
                <w:szCs w:val="21"/>
                <w:highlight w:val="none"/>
                <w:lang w:val="en-US" w:eastAsia="zh-CN"/>
              </w:rPr>
              <w:t xml:space="preserve"> ：7500</w:t>
            </w:r>
            <w:r>
              <w:rPr>
                <w:rFonts w:hint="eastAsia" w:ascii="仿宋" w:hAnsi="仿宋" w:eastAsia="仿宋" w:cs="仿宋"/>
                <w:b/>
                <w:color w:val="auto"/>
                <w:kern w:val="0"/>
                <w:sz w:val="21"/>
                <w:szCs w:val="21"/>
                <w:highlight w:val="none"/>
              </w:rPr>
              <w:t>元整（大写：</w:t>
            </w:r>
            <w:r>
              <w:rPr>
                <w:rFonts w:hint="eastAsia" w:ascii="仿宋" w:hAnsi="仿宋" w:eastAsia="仿宋" w:cs="仿宋"/>
                <w:b/>
                <w:color w:val="auto"/>
                <w:kern w:val="0"/>
                <w:sz w:val="21"/>
                <w:szCs w:val="21"/>
                <w:highlight w:val="none"/>
                <w:lang w:val="en-US" w:eastAsia="zh-CN"/>
              </w:rPr>
              <w:t>柒仟伍佰</w:t>
            </w:r>
            <w:r>
              <w:rPr>
                <w:rFonts w:hint="eastAsia" w:ascii="仿宋" w:hAnsi="仿宋" w:eastAsia="仿宋" w:cs="仿宋"/>
                <w:b/>
                <w:color w:val="auto"/>
                <w:kern w:val="0"/>
                <w:sz w:val="21"/>
                <w:szCs w:val="21"/>
                <w:highlight w:val="none"/>
              </w:rPr>
              <w:t>元整）</w:t>
            </w:r>
            <w:r>
              <w:rPr>
                <w:rFonts w:hint="eastAsia" w:ascii="仿宋" w:hAnsi="仿宋" w:eastAsia="仿宋" w:cs="仿宋"/>
                <w:b/>
                <w:color w:val="auto"/>
                <w:kern w:val="0"/>
                <w:sz w:val="21"/>
                <w:szCs w:val="21"/>
                <w:highlight w:val="none"/>
                <w:lang w:eastAsia="zh-CN"/>
              </w:rPr>
              <w:t>。</w:t>
            </w:r>
          </w:p>
          <w:p w14:paraId="0EFC9E00">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3.开户单位名称：</w:t>
            </w:r>
            <w:r>
              <w:rPr>
                <w:rFonts w:hint="eastAsia" w:ascii="仿宋" w:hAnsi="仿宋" w:eastAsia="仿宋" w:cs="仿宋"/>
                <w:kern w:val="0"/>
                <w:sz w:val="21"/>
                <w:szCs w:val="21"/>
                <w:highlight w:val="none"/>
                <w:lang w:eastAsia="zh-CN"/>
              </w:rPr>
              <w:t>中合安建工程管理有限公司</w:t>
            </w:r>
            <w:r>
              <w:rPr>
                <w:rFonts w:hint="eastAsia" w:ascii="仿宋" w:hAnsi="仿宋" w:eastAsia="仿宋" w:cs="仿宋"/>
                <w:kern w:val="0"/>
                <w:sz w:val="21"/>
                <w:szCs w:val="21"/>
                <w:highlight w:val="none"/>
                <w:lang w:val="en-US" w:eastAsia="zh-CN"/>
              </w:rPr>
              <w:t>新疆</w:t>
            </w:r>
            <w:r>
              <w:rPr>
                <w:rFonts w:hint="eastAsia" w:ascii="仿宋" w:hAnsi="仿宋" w:eastAsia="仿宋" w:cs="仿宋"/>
                <w:kern w:val="0"/>
                <w:sz w:val="21"/>
                <w:szCs w:val="21"/>
                <w:highlight w:val="none"/>
              </w:rPr>
              <w:t>分公司</w:t>
            </w:r>
          </w:p>
          <w:p w14:paraId="7D7C71FB">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4.开 户 行：交通银行股份有限公司乌鲁木齐新医路支行</w:t>
            </w:r>
          </w:p>
          <w:p w14:paraId="7EB78A19">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5.银行帐号：651651005015003167990</w:t>
            </w:r>
          </w:p>
          <w:p w14:paraId="47C52349">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6.咨询电话：李艳    联系电话：0991-3335501</w:t>
            </w:r>
          </w:p>
          <w:p w14:paraId="39FE6C89">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7.投标保证金以电汇、网银转账方式缴纳的，必须</w:t>
            </w:r>
            <w:r>
              <w:rPr>
                <w:rFonts w:hint="eastAsia" w:ascii="仿宋" w:hAnsi="仿宋" w:eastAsia="仿宋" w:cs="仿宋"/>
                <w:sz w:val="21"/>
                <w:szCs w:val="21"/>
                <w:highlight w:val="none"/>
              </w:rPr>
              <w:t>通过</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w:t>
            </w:r>
            <w:r>
              <w:rPr>
                <w:rFonts w:hint="eastAsia" w:ascii="仿宋" w:hAnsi="仿宋" w:eastAsia="仿宋" w:cs="仿宋"/>
                <w:b/>
                <w:bCs/>
                <w:sz w:val="21"/>
                <w:szCs w:val="21"/>
                <w:highlight w:val="none"/>
              </w:rPr>
              <w:t>基本账户</w:t>
            </w:r>
            <w:r>
              <w:rPr>
                <w:rFonts w:hint="eastAsia" w:ascii="仿宋" w:hAnsi="仿宋" w:eastAsia="仿宋" w:cs="仿宋"/>
                <w:sz w:val="21"/>
                <w:szCs w:val="21"/>
                <w:highlight w:val="none"/>
              </w:rPr>
              <w:t>转出，转出账户名称必须与</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名称一致，</w:t>
            </w:r>
            <w:r>
              <w:rPr>
                <w:rFonts w:hint="eastAsia" w:ascii="仿宋" w:hAnsi="仿宋" w:eastAsia="仿宋" w:cs="仿宋"/>
                <w:kern w:val="0"/>
                <w:sz w:val="21"/>
                <w:szCs w:val="21"/>
                <w:highlight w:val="none"/>
              </w:rPr>
              <w:t>且在投标文件递交截止时间前确保到达代理公司账户，</w:t>
            </w:r>
            <w:r>
              <w:rPr>
                <w:rFonts w:hint="eastAsia" w:ascii="仿宋" w:hAnsi="仿宋" w:eastAsia="仿宋" w:cs="仿宋"/>
                <w:kern w:val="0"/>
                <w:sz w:val="21"/>
                <w:szCs w:val="21"/>
                <w:highlight w:val="none"/>
                <w:lang w:eastAsia="zh-CN"/>
              </w:rPr>
              <w:t>供应商</w:t>
            </w:r>
            <w:r>
              <w:rPr>
                <w:rFonts w:hint="eastAsia" w:ascii="仿宋" w:hAnsi="仿宋" w:eastAsia="仿宋" w:cs="仿宋"/>
                <w:kern w:val="0"/>
                <w:sz w:val="21"/>
                <w:szCs w:val="21"/>
                <w:highlight w:val="none"/>
              </w:rPr>
              <w:t>应充分考虑在途时间。</w:t>
            </w:r>
            <w:r>
              <w:rPr>
                <w:rFonts w:hint="eastAsia" w:ascii="仿宋" w:hAnsi="仿宋" w:eastAsia="仿宋" w:cs="仿宋"/>
                <w:b/>
                <w:bCs/>
                <w:sz w:val="21"/>
                <w:szCs w:val="21"/>
                <w:highlight w:val="none"/>
              </w:rPr>
              <w:t>基本开户许可证或者基本存款账户信息、电汇、网银缴纳凭证须附入投标文件中，</w:t>
            </w:r>
            <w:r>
              <w:rPr>
                <w:rFonts w:hint="eastAsia" w:ascii="仿宋" w:hAnsi="仿宋" w:eastAsia="仿宋" w:cs="仿宋"/>
                <w:kern w:val="0"/>
                <w:sz w:val="21"/>
                <w:szCs w:val="21"/>
                <w:highlight w:val="none"/>
              </w:rPr>
              <w:t>未按照招标文件要求提交保证金的，其投标文件将被拒绝；</w:t>
            </w:r>
          </w:p>
          <w:p w14:paraId="77729A4C">
            <w:pPr>
              <w:pStyle w:val="10"/>
              <w:adjustRightInd w:val="0"/>
              <w:snapToGrid w:val="0"/>
              <w:rPr>
                <w:rFonts w:hint="eastAsia" w:ascii="仿宋" w:hAnsi="仿宋" w:eastAsia="仿宋" w:cs="仿宋"/>
                <w:kern w:val="0"/>
                <w:sz w:val="21"/>
                <w:szCs w:val="21"/>
                <w:highlight w:val="none"/>
              </w:rPr>
            </w:pPr>
            <w:r>
              <w:rPr>
                <w:rFonts w:hint="eastAsia" w:ascii="仿宋" w:hAnsi="仿宋" w:eastAsia="仿宋" w:cs="仿宋"/>
                <w:b/>
                <w:bCs/>
                <w:kern w:val="0"/>
                <w:sz w:val="21"/>
                <w:szCs w:val="21"/>
                <w:highlight w:val="none"/>
              </w:rPr>
              <w:t>8.如</w:t>
            </w:r>
            <w:r>
              <w:rPr>
                <w:rFonts w:hint="eastAsia" w:ascii="仿宋" w:hAnsi="仿宋" w:eastAsia="仿宋" w:cs="仿宋"/>
                <w:b/>
                <w:bCs/>
                <w:kern w:val="0"/>
                <w:sz w:val="21"/>
                <w:szCs w:val="21"/>
                <w:highlight w:val="none"/>
                <w:lang w:eastAsia="zh-CN"/>
              </w:rPr>
              <w:t>供应商</w:t>
            </w:r>
            <w:r>
              <w:rPr>
                <w:rFonts w:hint="eastAsia" w:ascii="仿宋" w:hAnsi="仿宋" w:eastAsia="仿宋" w:cs="仿宋"/>
                <w:b/>
                <w:bCs/>
                <w:kern w:val="0"/>
                <w:sz w:val="21"/>
                <w:szCs w:val="21"/>
                <w:highlight w:val="none"/>
              </w:rPr>
              <w:t>保证金的</w:t>
            </w:r>
            <w:r>
              <w:rPr>
                <w:rFonts w:hint="eastAsia" w:ascii="仿宋" w:hAnsi="仿宋" w:eastAsia="仿宋" w:cs="仿宋"/>
                <w:b/>
                <w:bCs/>
                <w:kern w:val="0"/>
                <w:sz w:val="21"/>
                <w:szCs w:val="21"/>
                <w:highlight w:val="none"/>
                <w:lang w:eastAsia="zh-CN"/>
              </w:rPr>
              <w:t>缴纳</w:t>
            </w:r>
            <w:r>
              <w:rPr>
                <w:rFonts w:hint="eastAsia" w:ascii="仿宋" w:hAnsi="仿宋" w:eastAsia="仿宋" w:cs="仿宋"/>
                <w:b/>
                <w:bCs/>
                <w:kern w:val="0"/>
                <w:sz w:val="21"/>
                <w:szCs w:val="21"/>
                <w:highlight w:val="none"/>
              </w:rPr>
              <w:t>形式为保函，保函有效期不小于投标有效期90天，须将有效期内的保函扫描件加盖单位公章附入投标文件中，如保函的有效期少于投标有效期90天的，其保函无效且投标文件作废标处理。</w:t>
            </w:r>
          </w:p>
          <w:p w14:paraId="369722FE">
            <w:pPr>
              <w:pStyle w:val="10"/>
              <w:adjustRightInd w:val="0"/>
              <w:snapToGrid w:val="0"/>
              <w:rPr>
                <w:rFonts w:hint="eastAsia" w:ascii="仿宋" w:hAnsi="仿宋" w:eastAsia="仿宋" w:cs="仿宋"/>
                <w:sz w:val="21"/>
                <w:szCs w:val="21"/>
                <w:highlight w:val="none"/>
                <w:lang w:eastAsia="zh-CN"/>
              </w:rPr>
            </w:pPr>
            <w:r>
              <w:rPr>
                <w:rFonts w:hint="eastAsia" w:ascii="仿宋" w:hAnsi="仿宋" w:eastAsia="仿宋" w:cs="仿宋"/>
                <w:kern w:val="0"/>
                <w:sz w:val="21"/>
                <w:szCs w:val="21"/>
                <w:highlight w:val="none"/>
              </w:rPr>
              <w:t>注：投标保证金在用途处写明项目名称</w:t>
            </w:r>
            <w:r>
              <w:rPr>
                <w:rFonts w:hint="eastAsia" w:ascii="仿宋" w:hAnsi="仿宋" w:eastAsia="仿宋" w:cs="仿宋"/>
                <w:kern w:val="0"/>
                <w:sz w:val="21"/>
                <w:szCs w:val="21"/>
                <w:highlight w:val="none"/>
                <w:lang w:eastAsia="zh-CN"/>
              </w:rPr>
              <w:t>。</w:t>
            </w:r>
          </w:p>
        </w:tc>
      </w:tr>
      <w:tr w14:paraId="4BF7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38776DDC">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w:t>
            </w:r>
          </w:p>
        </w:tc>
        <w:tc>
          <w:tcPr>
            <w:tcW w:w="1735" w:type="dxa"/>
            <w:noWrap w:val="0"/>
            <w:vAlign w:val="center"/>
          </w:tcPr>
          <w:p w14:paraId="4B4FC32A">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7099" w:type="dxa"/>
            <w:noWrap w:val="0"/>
            <w:vAlign w:val="center"/>
          </w:tcPr>
          <w:p w14:paraId="1C4083AE">
            <w:pPr>
              <w:pStyle w:val="10"/>
              <w:adjustRightInd w:val="0"/>
              <w:snapToGrid w:val="0"/>
              <w:rPr>
                <w:rFonts w:hint="default" w:ascii="仿宋" w:hAnsi="仿宋" w:eastAsia="仿宋" w:cs="仿宋"/>
                <w:sz w:val="21"/>
                <w:szCs w:val="21"/>
                <w:highlight w:val="none"/>
                <w:lang w:val="en-US"/>
              </w:rPr>
            </w:pPr>
            <w:r>
              <w:rPr>
                <w:rFonts w:hint="eastAsia" w:ascii="仿宋" w:hAnsi="仿宋" w:eastAsia="仿宋" w:cs="仿宋"/>
                <w:sz w:val="21"/>
                <w:szCs w:val="21"/>
                <w:highlight w:val="none"/>
              </w:rPr>
              <w:t>履约保证金金额：</w:t>
            </w:r>
            <w:r>
              <w:rPr>
                <w:rFonts w:hint="eastAsia" w:ascii="仿宋" w:hAnsi="仿宋" w:eastAsia="仿宋" w:cs="仿宋"/>
                <w:sz w:val="21"/>
                <w:szCs w:val="21"/>
                <w:highlight w:val="none"/>
                <w:lang w:eastAsia="zh-CN"/>
              </w:rPr>
              <w:t>合同金额的</w:t>
            </w:r>
            <w:r>
              <w:rPr>
                <w:rFonts w:hint="eastAsia" w:ascii="仿宋" w:hAnsi="仿宋" w:eastAsia="仿宋" w:cs="仿宋"/>
                <w:sz w:val="21"/>
                <w:szCs w:val="21"/>
                <w:highlight w:val="none"/>
                <w:lang w:val="en-US" w:eastAsia="zh-CN"/>
              </w:rPr>
              <w:t>5%</w:t>
            </w:r>
          </w:p>
          <w:p w14:paraId="27C3EDAC">
            <w:pPr>
              <w:pStyle w:val="10"/>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缴纳期限：</w:t>
            </w:r>
            <w:r>
              <w:rPr>
                <w:rFonts w:hint="eastAsia" w:ascii="仿宋" w:hAnsi="仿宋" w:eastAsia="仿宋" w:cs="仿宋"/>
                <w:sz w:val="21"/>
                <w:szCs w:val="21"/>
                <w:highlight w:val="none"/>
                <w:lang w:eastAsia="zh-CN"/>
              </w:rPr>
              <w:t>中标</w:t>
            </w:r>
            <w:r>
              <w:rPr>
                <w:rFonts w:hint="eastAsia" w:ascii="仿宋" w:hAnsi="仿宋" w:eastAsia="仿宋" w:cs="仿宋"/>
                <w:sz w:val="21"/>
                <w:szCs w:val="21"/>
                <w:highlight w:val="none"/>
              </w:rPr>
              <w:t>人自领取中标通知书1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日内并在合同签订之日前，向</w:t>
            </w:r>
            <w:r>
              <w:rPr>
                <w:rFonts w:hint="eastAsia" w:ascii="仿宋" w:hAnsi="仿宋" w:eastAsia="仿宋" w:cs="仿宋"/>
                <w:sz w:val="21"/>
                <w:szCs w:val="21"/>
                <w:highlight w:val="none"/>
                <w:lang w:eastAsia="zh-CN"/>
              </w:rPr>
              <w:t>招标</w:t>
            </w:r>
            <w:r>
              <w:rPr>
                <w:rFonts w:hint="eastAsia" w:ascii="仿宋" w:hAnsi="仿宋" w:eastAsia="仿宋" w:cs="仿宋"/>
                <w:sz w:val="21"/>
                <w:szCs w:val="21"/>
                <w:highlight w:val="none"/>
              </w:rPr>
              <w:t>人缴纳履约保证金。</w:t>
            </w:r>
          </w:p>
          <w:p w14:paraId="27251E3C">
            <w:pPr>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缴纳方式：</w:t>
            </w:r>
            <w:r>
              <w:rPr>
                <w:rFonts w:hint="eastAsia" w:ascii="仿宋" w:hAnsi="仿宋" w:eastAsia="仿宋" w:cs="仿宋"/>
                <w:kern w:val="0"/>
                <w:sz w:val="21"/>
                <w:szCs w:val="21"/>
                <w:highlight w:val="none"/>
                <w:u w:val="single"/>
              </w:rPr>
              <w:t>履约保函或银行保函或保险公司或担保公司</w:t>
            </w:r>
            <w:r>
              <w:rPr>
                <w:rFonts w:hint="eastAsia" w:ascii="仿宋" w:hAnsi="仿宋" w:eastAsia="仿宋" w:cs="仿宋"/>
                <w:color w:val="000000"/>
                <w:kern w:val="0"/>
                <w:sz w:val="21"/>
                <w:szCs w:val="21"/>
                <w:highlight w:val="none"/>
                <w:lang w:val="en-US" w:eastAsia="zh-CN" w:bidi="ar-SA"/>
              </w:rPr>
              <w:t>（等非现金形式</w:t>
            </w:r>
            <w:r>
              <w:rPr>
                <w:rFonts w:hint="eastAsia" w:ascii="仿宋" w:hAnsi="仿宋" w:eastAsia="仿宋" w:cs="仿宋"/>
                <w:sz w:val="21"/>
                <w:szCs w:val="21"/>
                <w:highlight w:val="none"/>
              </w:rPr>
              <w:t>提供）</w:t>
            </w:r>
          </w:p>
        </w:tc>
      </w:tr>
      <w:tr w14:paraId="3EF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87" w:type="dxa"/>
            <w:noWrap w:val="0"/>
            <w:vAlign w:val="center"/>
          </w:tcPr>
          <w:p w14:paraId="2C95491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w:t>
            </w:r>
          </w:p>
        </w:tc>
        <w:tc>
          <w:tcPr>
            <w:tcW w:w="1735" w:type="dxa"/>
            <w:noWrap w:val="0"/>
            <w:vAlign w:val="center"/>
          </w:tcPr>
          <w:p w14:paraId="2CF89DA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踏勘现场</w:t>
            </w:r>
          </w:p>
        </w:tc>
        <w:tc>
          <w:tcPr>
            <w:tcW w:w="7099" w:type="dxa"/>
            <w:noWrap w:val="0"/>
            <w:vAlign w:val="center"/>
          </w:tcPr>
          <w:p w14:paraId="7E811E67">
            <w:pPr>
              <w:pStyle w:val="6"/>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rPr>
              <w:t>组织</w:t>
            </w:r>
          </w:p>
          <w:p w14:paraId="1C3F588B">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lang w:eastAsia="zh-CN"/>
              </w:rPr>
              <w:t>不组织</w:t>
            </w:r>
          </w:p>
        </w:tc>
      </w:tr>
      <w:tr w14:paraId="0957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7" w:type="dxa"/>
            <w:noWrap w:val="0"/>
            <w:vAlign w:val="center"/>
          </w:tcPr>
          <w:p w14:paraId="3B44BC5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1735" w:type="dxa"/>
            <w:noWrap w:val="0"/>
            <w:vAlign w:val="center"/>
          </w:tcPr>
          <w:p w14:paraId="1DA7D335">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投标文件份数</w:t>
            </w:r>
          </w:p>
        </w:tc>
        <w:tc>
          <w:tcPr>
            <w:tcW w:w="7099" w:type="dxa"/>
            <w:noWrap w:val="0"/>
            <w:vAlign w:val="center"/>
          </w:tcPr>
          <w:p w14:paraId="0D382B8C">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采用不见面开标：</w:t>
            </w:r>
          </w:p>
          <w:p w14:paraId="611858D8">
            <w:pPr>
              <w:snapToGrid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1．本项目采用不见面开标、供应商需要递交电子投标文件，加密的电子投标文件，在投标截止时间前通过政采云平台上传到指定位置。</w:t>
            </w:r>
          </w:p>
          <w:p w14:paraId="6CC0CED0">
            <w:pPr>
              <w:snapToGrid w:val="0"/>
              <w:rPr>
                <w:rFonts w:hint="eastAsia" w:ascii="仿宋" w:hAnsi="仿宋" w:eastAsia="仿宋" w:cs="仿宋"/>
                <w:color w:val="auto"/>
                <w:kern w:val="2"/>
                <w:sz w:val="21"/>
                <w:szCs w:val="21"/>
                <w:highlight w:val="none"/>
              </w:rPr>
            </w:pPr>
            <w:r>
              <w:rPr>
                <w:rFonts w:hint="eastAsia" w:ascii="仿宋" w:hAnsi="仿宋" w:eastAsia="仿宋" w:cs="仿宋"/>
                <w:b/>
                <w:bCs/>
                <w:color w:val="auto"/>
                <w:kern w:val="0"/>
                <w:sz w:val="21"/>
                <w:szCs w:val="21"/>
                <w:highlight w:val="none"/>
                <w:lang w:val="en-US" w:eastAsia="zh-CN" w:bidi="ar-SA"/>
              </w:rPr>
              <w:t>2.中标结果公示后，中标单位在领取中标通知书时须递交纸质投标文件及电子版投标文件（均须已上传电子加密文件保持一致）三份。</w:t>
            </w:r>
          </w:p>
        </w:tc>
      </w:tr>
      <w:tr w14:paraId="1C0A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87" w:type="dxa"/>
            <w:noWrap w:val="0"/>
            <w:vAlign w:val="center"/>
          </w:tcPr>
          <w:p w14:paraId="5CFF085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1735" w:type="dxa"/>
            <w:noWrap w:val="0"/>
            <w:vAlign w:val="center"/>
          </w:tcPr>
          <w:p w14:paraId="48D8D505">
            <w:pPr>
              <w:keepNext w:val="0"/>
              <w:keepLines w:val="0"/>
              <w:suppressLineNumbers w:val="0"/>
              <w:snapToGrid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开标时间及</w:t>
            </w:r>
            <w:r>
              <w:rPr>
                <w:rFonts w:hint="eastAsia" w:ascii="仿宋" w:hAnsi="仿宋" w:eastAsia="仿宋" w:cs="仿宋"/>
                <w:sz w:val="21"/>
                <w:szCs w:val="21"/>
                <w:highlight w:val="none"/>
              </w:rPr>
              <w:t>地点</w:t>
            </w:r>
          </w:p>
        </w:tc>
        <w:tc>
          <w:tcPr>
            <w:tcW w:w="7099" w:type="dxa"/>
            <w:noWrap w:val="0"/>
            <w:vAlign w:val="center"/>
          </w:tcPr>
          <w:p w14:paraId="6406C11C">
            <w:pPr>
              <w:pStyle w:val="29"/>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eastAsia="zh-CN"/>
              </w:rPr>
              <w:sym w:font="Wingdings 2" w:char="0052"/>
            </w:r>
            <w:r>
              <w:rPr>
                <w:rFonts w:hint="eastAsia" w:ascii="仿宋" w:hAnsi="仿宋" w:eastAsia="仿宋" w:cs="仿宋"/>
                <w:color w:val="000000"/>
                <w:sz w:val="21"/>
                <w:szCs w:val="21"/>
                <w:highlight w:val="none"/>
              </w:rPr>
              <w:t>采用不见面开标：</w:t>
            </w:r>
          </w:p>
          <w:p w14:paraId="4096F0B7">
            <w:pPr>
              <w:pStyle w:val="29"/>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开标时间：202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月</w:t>
            </w:r>
            <w:r>
              <w:rPr>
                <w:rFonts w:hint="eastAsia" w:ascii="仿宋" w:hAnsi="仿宋" w:eastAsia="仿宋" w:cs="仿宋"/>
                <w:color w:val="000000"/>
                <w:sz w:val="21"/>
                <w:szCs w:val="21"/>
                <w:highlight w:val="none"/>
                <w:lang w:val="en-US" w:eastAsia="zh-CN"/>
              </w:rPr>
              <w:t>9</w:t>
            </w:r>
            <w:r>
              <w:rPr>
                <w:rFonts w:hint="eastAsia" w:ascii="仿宋" w:hAnsi="仿宋" w:eastAsia="仿宋" w:cs="仿宋"/>
                <w:color w:val="000000"/>
                <w:sz w:val="21"/>
                <w:szCs w:val="21"/>
                <w:highlight w:val="none"/>
              </w:rPr>
              <w:t>日1</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w:t>
            </w:r>
            <w:r>
              <w:rPr>
                <w:rFonts w:hint="eastAsia" w:ascii="仿宋" w:hAnsi="仿宋" w:eastAsia="仿宋" w:cs="仿宋"/>
                <w:color w:val="000000"/>
                <w:sz w:val="21"/>
                <w:szCs w:val="21"/>
                <w:highlight w:val="none"/>
                <w:lang w:val="en-US" w:eastAsia="zh-CN"/>
              </w:rPr>
              <w:t>0</w:t>
            </w:r>
            <w:r>
              <w:rPr>
                <w:rFonts w:hint="eastAsia" w:ascii="仿宋" w:hAnsi="仿宋" w:eastAsia="仿宋" w:cs="仿宋"/>
                <w:color w:val="000000"/>
                <w:sz w:val="21"/>
                <w:szCs w:val="21"/>
                <w:highlight w:val="none"/>
              </w:rPr>
              <w:t>0（北京时间）</w:t>
            </w:r>
          </w:p>
          <w:p w14:paraId="4CA905D6">
            <w:pPr>
              <w:pStyle w:val="29"/>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开标地点：投标人登录政采云平台https://www.zcygov.cn/，进入“项目采购-开标评标-右边选择对应项目点击“进入项目”进入开标大厅。</w:t>
            </w:r>
          </w:p>
          <w:p w14:paraId="127A8EFA">
            <w:pPr>
              <w:pStyle w:val="29"/>
              <w:keepNext w:val="0"/>
              <w:keepLines w:val="0"/>
              <w:suppressLineNumbers w:val="0"/>
              <w:tabs>
                <w:tab w:val="left" w:pos="1161"/>
              </w:tabs>
              <w:adjustRightInd w:val="0"/>
              <w:snapToGrid w:val="0"/>
              <w:spacing w:before="0" w:beforeAutospacing="0" w:after="0" w:afterAutospacing="0"/>
              <w:ind w:left="0" w:right="9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不见面开标默认解密时长：30分钟（过时未进行解密的投标文件，开标现场不进行解密时间延长。）</w:t>
            </w:r>
          </w:p>
          <w:p w14:paraId="725E8BA0">
            <w:pPr>
              <w:pStyle w:val="29"/>
              <w:keepNext w:val="0"/>
              <w:keepLines w:val="0"/>
              <w:suppressLineNumbers w:val="0"/>
              <w:tabs>
                <w:tab w:val="left" w:pos="1161"/>
              </w:tabs>
              <w:adjustRightInd w:val="0"/>
              <w:snapToGrid w:val="0"/>
              <w:spacing w:before="0" w:beforeAutospacing="0" w:after="0" w:afterAutospacing="0"/>
              <w:ind w:left="0" w:leftChars="0" w:right="98" w:rightChars="0"/>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注：开标当日仅需在任意地点通过</w:t>
            </w:r>
            <w:r>
              <w:rPr>
                <w:rFonts w:hint="eastAsia" w:ascii="仿宋" w:hAnsi="仿宋" w:eastAsia="仿宋" w:cs="仿宋"/>
                <w:color w:val="000000"/>
                <w:sz w:val="21"/>
                <w:szCs w:val="21"/>
                <w:highlight w:val="none"/>
                <w:lang w:eastAsia="zh-CN"/>
              </w:rPr>
              <w:t>政采云</w:t>
            </w:r>
            <w:r>
              <w:rPr>
                <w:rFonts w:hint="eastAsia" w:ascii="仿宋" w:hAnsi="仿宋" w:eastAsia="仿宋" w:cs="仿宋"/>
                <w:color w:val="000000"/>
                <w:sz w:val="21"/>
                <w:szCs w:val="21"/>
                <w:highlight w:val="none"/>
              </w:rPr>
              <w:t>平台不见面开标系统（登录地址详见网站操作手册）完成远程解密、提疑澄清、开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r>
              <w:rPr>
                <w:rFonts w:hint="eastAsia" w:ascii="仿宋" w:hAnsi="仿宋" w:eastAsia="仿宋" w:cs="仿宋"/>
                <w:color w:val="000000"/>
                <w:sz w:val="21"/>
                <w:szCs w:val="21"/>
                <w:highlight w:val="none"/>
                <w:lang w:eastAsia="zh-CN"/>
              </w:rPr>
              <w:t>。</w:t>
            </w:r>
          </w:p>
        </w:tc>
      </w:tr>
      <w:tr w14:paraId="32E6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7" w:type="dxa"/>
            <w:noWrap w:val="0"/>
            <w:vAlign w:val="center"/>
          </w:tcPr>
          <w:p w14:paraId="1CB06850">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w:t>
            </w:r>
          </w:p>
        </w:tc>
        <w:tc>
          <w:tcPr>
            <w:tcW w:w="1735" w:type="dxa"/>
            <w:noWrap w:val="0"/>
            <w:vAlign w:val="center"/>
          </w:tcPr>
          <w:p w14:paraId="39DA6692">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是否退还投标</w:t>
            </w:r>
          </w:p>
          <w:p w14:paraId="2891CF42">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文件</w:t>
            </w:r>
          </w:p>
        </w:tc>
        <w:tc>
          <w:tcPr>
            <w:tcW w:w="7099" w:type="dxa"/>
            <w:noWrap w:val="0"/>
            <w:vAlign w:val="center"/>
          </w:tcPr>
          <w:p w14:paraId="2C302CFB">
            <w:pPr>
              <w:snapToGrid w:val="0"/>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sym w:font="Wingdings" w:char="00A8"/>
            </w:r>
            <w:r>
              <w:rPr>
                <w:rFonts w:hint="eastAsia" w:ascii="仿宋" w:hAnsi="仿宋" w:eastAsia="仿宋" w:cs="仿宋"/>
                <w:kern w:val="2"/>
                <w:sz w:val="21"/>
                <w:szCs w:val="21"/>
                <w:highlight w:val="none"/>
              </w:rPr>
              <w:t xml:space="preserve">  是</w:t>
            </w:r>
          </w:p>
          <w:p w14:paraId="434153D9">
            <w:pPr>
              <w:snapToGrid w:val="0"/>
              <w:rPr>
                <w:rFonts w:hint="eastAsia" w:ascii="仿宋" w:hAnsi="仿宋" w:eastAsia="仿宋" w:cs="仿宋"/>
                <w:color w:val="000000"/>
                <w:sz w:val="21"/>
                <w:szCs w:val="21"/>
                <w:highlight w:val="none"/>
              </w:rPr>
            </w:pPr>
            <w:r>
              <w:rPr>
                <w:rFonts w:hint="eastAsia" w:ascii="仿宋" w:hAnsi="仿宋" w:eastAsia="仿宋" w:cs="仿宋"/>
                <w:kern w:val="2"/>
                <w:sz w:val="21"/>
                <w:szCs w:val="21"/>
                <w:highlight w:val="none"/>
              </w:rPr>
              <w:sym w:font="Wingdings" w:char="00FE"/>
            </w:r>
            <w:r>
              <w:rPr>
                <w:rFonts w:hint="eastAsia" w:ascii="仿宋" w:hAnsi="仿宋" w:eastAsia="仿宋" w:cs="仿宋"/>
                <w:kern w:val="2"/>
                <w:sz w:val="21"/>
                <w:szCs w:val="21"/>
                <w:highlight w:val="none"/>
              </w:rPr>
              <w:t xml:space="preserve">  否</w:t>
            </w:r>
          </w:p>
        </w:tc>
      </w:tr>
      <w:tr w14:paraId="47E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7" w:type="dxa"/>
            <w:noWrap w:val="0"/>
            <w:vAlign w:val="center"/>
          </w:tcPr>
          <w:p w14:paraId="25EF5B4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w:t>
            </w:r>
          </w:p>
        </w:tc>
        <w:tc>
          <w:tcPr>
            <w:tcW w:w="1735" w:type="dxa"/>
            <w:noWrap w:val="0"/>
            <w:vAlign w:val="center"/>
          </w:tcPr>
          <w:p w14:paraId="61899307">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报价说明</w:t>
            </w:r>
          </w:p>
        </w:tc>
        <w:tc>
          <w:tcPr>
            <w:tcW w:w="7099" w:type="dxa"/>
            <w:noWrap w:val="0"/>
            <w:vAlign w:val="center"/>
          </w:tcPr>
          <w:p w14:paraId="3F997C6A">
            <w:pPr>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投标报价方式：直接报价</w:t>
            </w:r>
            <w:r>
              <w:rPr>
                <w:rFonts w:hint="eastAsia" w:ascii="仿宋" w:hAnsi="仿宋" w:eastAsia="仿宋" w:cs="仿宋"/>
                <w:sz w:val="21"/>
                <w:szCs w:val="21"/>
                <w:highlight w:val="none"/>
                <w:lang w:eastAsia="zh-CN"/>
              </w:rPr>
              <w:t>；</w:t>
            </w:r>
          </w:p>
          <w:p w14:paraId="65AF3992">
            <w:pPr>
              <w:snapToGrid w:val="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供应商的投标报价不得超过最高限价，否则其投标将被拒绝。</w:t>
            </w:r>
          </w:p>
        </w:tc>
      </w:tr>
      <w:tr w14:paraId="7A3D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4DDDD3EF">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24</w:t>
            </w:r>
          </w:p>
        </w:tc>
        <w:tc>
          <w:tcPr>
            <w:tcW w:w="1735" w:type="dxa"/>
            <w:noWrap w:val="0"/>
            <w:vAlign w:val="center"/>
          </w:tcPr>
          <w:p w14:paraId="7BDB0DA3">
            <w:pPr>
              <w:pStyle w:val="29"/>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highlight w:val="none"/>
                <w:lang w:val="en-US" w:bidi="ar-SA"/>
              </w:rPr>
              <w:t>答疑接受时间</w:t>
            </w:r>
          </w:p>
        </w:tc>
        <w:tc>
          <w:tcPr>
            <w:tcW w:w="7099" w:type="dxa"/>
            <w:noWrap w:val="0"/>
            <w:vAlign w:val="center"/>
          </w:tcPr>
          <w:p w14:paraId="1108BF16">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投标截止时间15天前接受投标人疑问或澄清要求（逾期不予受理）。</w:t>
            </w:r>
          </w:p>
          <w:p w14:paraId="07ED0C94">
            <w:pPr>
              <w:snapToGrid w:val="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联系人：</w:t>
            </w:r>
            <w:r>
              <w:rPr>
                <w:rFonts w:hint="eastAsia" w:ascii="仿宋" w:hAnsi="仿宋" w:eastAsia="仿宋" w:cs="仿宋"/>
                <w:color w:val="auto"/>
                <w:kern w:val="2"/>
                <w:sz w:val="21"/>
                <w:szCs w:val="21"/>
                <w:highlight w:val="none"/>
                <w:lang w:eastAsia="zh-CN"/>
              </w:rPr>
              <w:t>彭小倬、王荣荣</w:t>
            </w:r>
          </w:p>
          <w:p w14:paraId="7FAFB391">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联系电话：</w:t>
            </w:r>
            <w:r>
              <w:rPr>
                <w:rFonts w:hint="eastAsia" w:ascii="仿宋" w:hAnsi="仿宋" w:eastAsia="仿宋" w:cs="仿宋"/>
                <w:kern w:val="2"/>
                <w:sz w:val="21"/>
                <w:szCs w:val="21"/>
                <w:highlight w:val="none"/>
                <w:lang w:eastAsia="zh-CN"/>
              </w:rPr>
              <w:t>13579881296</w:t>
            </w:r>
          </w:p>
          <w:p w14:paraId="33B6C643">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1"/>
                <w:szCs w:val="21"/>
                <w:highlight w:val="none"/>
                <w:lang w:val="zh-CN" w:eastAsia="zh-CN" w:bidi="ar-SA"/>
              </w:rPr>
            </w:pPr>
            <w:r>
              <w:rPr>
                <w:rFonts w:hint="eastAsia" w:ascii="仿宋" w:hAnsi="仿宋" w:eastAsia="仿宋" w:cs="仿宋"/>
                <w:color w:val="000000"/>
                <w:sz w:val="21"/>
                <w:szCs w:val="21"/>
                <w:highlight w:val="none"/>
                <w:lang w:val="en-US" w:eastAsia="zh-CN" w:bidi="ar-SA"/>
              </w:rPr>
              <w:t>提交方式：政采云平台https://www.zcygov.cn/</w:t>
            </w:r>
          </w:p>
          <w:p w14:paraId="7DD654F9">
            <w:pPr>
              <w:pStyle w:val="29"/>
              <w:adjustRightInd w:val="0"/>
              <w:snapToGrid w:val="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注：澄清、修改文件发出后，</w:t>
            </w:r>
            <w:r>
              <w:rPr>
                <w:rFonts w:hint="eastAsia" w:ascii="仿宋" w:hAnsi="仿宋" w:eastAsia="仿宋" w:cs="仿宋"/>
                <w:sz w:val="21"/>
                <w:szCs w:val="21"/>
                <w:highlight w:val="none"/>
                <w:lang w:val="en-US" w:eastAsia="zh-CN" w:bidi="ar-SA"/>
              </w:rPr>
              <w:t>供应商</w:t>
            </w:r>
            <w:r>
              <w:rPr>
                <w:rFonts w:hint="eastAsia" w:ascii="仿宋" w:hAnsi="仿宋" w:eastAsia="仿宋" w:cs="仿宋"/>
                <w:sz w:val="21"/>
                <w:szCs w:val="21"/>
                <w:highlight w:val="none"/>
                <w:lang w:val="en-US" w:bidi="ar-SA"/>
              </w:rPr>
              <w:t>必须使用最新的澄清文件制作投标文件。</w:t>
            </w:r>
          </w:p>
        </w:tc>
      </w:tr>
      <w:tr w14:paraId="6B03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87" w:type="dxa"/>
            <w:noWrap w:val="0"/>
            <w:vAlign w:val="center"/>
          </w:tcPr>
          <w:p w14:paraId="39E1575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25</w:t>
            </w:r>
          </w:p>
        </w:tc>
        <w:tc>
          <w:tcPr>
            <w:tcW w:w="1735" w:type="dxa"/>
            <w:noWrap w:val="0"/>
            <w:vAlign w:val="center"/>
          </w:tcPr>
          <w:p w14:paraId="0C6B81CF">
            <w:pPr>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评标委员会的</w:t>
            </w:r>
          </w:p>
          <w:p w14:paraId="6A53ED04">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rPr>
              <w:t>组成</w:t>
            </w:r>
          </w:p>
        </w:tc>
        <w:tc>
          <w:tcPr>
            <w:tcW w:w="7099" w:type="dxa"/>
            <w:noWrap w:val="0"/>
            <w:vAlign w:val="center"/>
          </w:tcPr>
          <w:p w14:paraId="39E76DEC">
            <w:pPr>
              <w:keepNext w:val="0"/>
              <w:keepLines w:val="0"/>
              <w:suppressLineNumbers w:val="0"/>
              <w:snapToGrid w:val="0"/>
              <w:spacing w:before="0" w:beforeAutospacing="0" w:after="0" w:afterAutospacing="0"/>
              <w:ind w:left="0" w:right="0" w:firstLine="420" w:firstLineChars="200"/>
              <w:jc w:val="left"/>
              <w:rPr>
                <w:rFonts w:hint="eastAsia" w:ascii="仿宋" w:hAnsi="仿宋" w:eastAsia="仿宋" w:cs="仿宋"/>
                <w:color w:val="000000"/>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评审小组人员组成：由采购人代表和评审专家共5人以上单数组成，其中评审专家人数不得少于评审小组成员总数的2/3。</w:t>
            </w:r>
          </w:p>
          <w:p w14:paraId="0BF2CD9E">
            <w:pPr>
              <w:keepNext w:val="0"/>
              <w:keepLines w:val="0"/>
              <w:suppressLineNumbers w:val="0"/>
              <w:snapToGrid w:val="0"/>
              <w:spacing w:before="0" w:beforeAutospacing="0" w:after="0" w:afterAutospacing="0"/>
              <w:ind w:left="0" w:right="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bidi="ar-SA"/>
              </w:rPr>
              <w:t>评审专家确定方式：政采云专家库随机抽取。</w:t>
            </w:r>
          </w:p>
        </w:tc>
      </w:tr>
      <w:tr w14:paraId="6BC9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14:paraId="3BB9117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26</w:t>
            </w:r>
          </w:p>
        </w:tc>
        <w:tc>
          <w:tcPr>
            <w:tcW w:w="1735" w:type="dxa"/>
            <w:noWrap w:val="0"/>
            <w:vAlign w:val="center"/>
          </w:tcPr>
          <w:p w14:paraId="7EBB0E63">
            <w:pPr>
              <w:snapToGrid w:val="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是否为专门面向中小企业采购</w:t>
            </w:r>
          </w:p>
        </w:tc>
        <w:tc>
          <w:tcPr>
            <w:tcW w:w="7099" w:type="dxa"/>
            <w:noWrap w:val="0"/>
            <w:vAlign w:val="center"/>
          </w:tcPr>
          <w:p w14:paraId="3F26CC04">
            <w:pPr>
              <w:snapToGrid w:val="0"/>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本项目</w:t>
            </w:r>
            <w:r>
              <w:rPr>
                <w:rFonts w:hint="eastAsia" w:ascii="仿宋" w:hAnsi="仿宋" w:eastAsia="仿宋" w:cs="仿宋"/>
                <w:b/>
                <w:bCs/>
                <w:color w:val="auto"/>
                <w:sz w:val="21"/>
                <w:szCs w:val="21"/>
                <w:highlight w:val="none"/>
                <w:lang w:eastAsia="zh-CN"/>
              </w:rPr>
              <w:t>标项</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lang w:eastAsia="zh-CN"/>
              </w:rPr>
              <w:t>不</w:t>
            </w:r>
            <w:r>
              <w:rPr>
                <w:rFonts w:hint="eastAsia" w:ascii="仿宋" w:hAnsi="仿宋" w:eastAsia="仿宋" w:cs="仿宋"/>
                <w:b/>
                <w:bCs/>
                <w:color w:val="auto"/>
                <w:sz w:val="21"/>
                <w:szCs w:val="21"/>
                <w:highlight w:val="none"/>
              </w:rPr>
              <w:t>专门面向中小企业（含中型、小型、微型企业）采购项目，根据《政府采购促进中小企业发展管理办法》（财库[2020]46号）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sz w:val="21"/>
                <w:szCs w:val="21"/>
                <w:highlight w:val="none"/>
                <w:lang w:val="en-US" w:eastAsia="zh-CN"/>
              </w:rPr>
              <w:t>《关于进一步加大政府采购支持中小企业力度的通知》财库〔2022〕19号）的规定，给予符合条件的小微企业</w:t>
            </w:r>
            <w:r>
              <w:rPr>
                <w:rFonts w:hint="eastAsia" w:ascii="仿宋" w:hAnsi="仿宋" w:eastAsia="仿宋" w:cs="仿宋"/>
                <w:b/>
                <w:bCs/>
                <w:color w:val="auto"/>
                <w:sz w:val="21"/>
                <w:szCs w:val="21"/>
                <w:highlight w:val="none"/>
                <w:lang w:val="en-US" w:eastAsia="zh-CN"/>
              </w:rPr>
              <w:t>10%的</w:t>
            </w:r>
            <w:r>
              <w:rPr>
                <w:rFonts w:hint="eastAsia" w:ascii="仿宋" w:hAnsi="仿宋" w:eastAsia="仿宋" w:cs="仿宋"/>
                <w:b/>
                <w:bCs/>
                <w:color w:val="auto"/>
                <w:sz w:val="21"/>
                <w:szCs w:val="21"/>
                <w:highlight w:val="none"/>
              </w:rPr>
              <w:t>价格评审优惠。</w:t>
            </w:r>
          </w:p>
          <w:p w14:paraId="31DEAE0C">
            <w:pPr>
              <w:snapToGrid w:val="0"/>
              <w:ind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本项目</w:t>
            </w:r>
            <w:r>
              <w:rPr>
                <w:rFonts w:hint="eastAsia" w:ascii="仿宋" w:hAnsi="仿宋" w:eastAsia="仿宋" w:cs="仿宋"/>
                <w:b/>
                <w:bCs/>
                <w:color w:val="auto"/>
                <w:sz w:val="21"/>
                <w:szCs w:val="21"/>
                <w:highlight w:val="none"/>
                <w:lang w:eastAsia="zh-CN"/>
              </w:rPr>
              <w:t>标项</w:t>
            </w:r>
            <w:r>
              <w:rPr>
                <w:rFonts w:hint="eastAsia" w:ascii="仿宋" w:hAnsi="仿宋" w:eastAsia="仿宋" w:cs="仿宋"/>
                <w:b/>
                <w:bCs/>
                <w:color w:val="auto"/>
                <w:sz w:val="21"/>
                <w:szCs w:val="21"/>
                <w:highlight w:val="none"/>
                <w:lang w:val="en-US" w:eastAsia="zh-CN"/>
              </w:rPr>
              <w:t>2为</w:t>
            </w:r>
            <w:r>
              <w:rPr>
                <w:rFonts w:hint="eastAsia" w:ascii="仿宋" w:hAnsi="仿宋" w:eastAsia="仿宋" w:cs="仿宋"/>
                <w:b/>
                <w:bCs/>
                <w:color w:val="auto"/>
                <w:sz w:val="21"/>
                <w:szCs w:val="21"/>
                <w:highlight w:val="none"/>
              </w:rPr>
              <w:t>专门面向小</w:t>
            </w:r>
            <w:r>
              <w:rPr>
                <w:rFonts w:hint="eastAsia" w:ascii="仿宋" w:hAnsi="仿宋" w:eastAsia="仿宋" w:cs="仿宋"/>
                <w:b/>
                <w:bCs/>
                <w:color w:val="auto"/>
                <w:sz w:val="21"/>
                <w:szCs w:val="21"/>
                <w:highlight w:val="none"/>
                <w:lang w:eastAsia="zh-CN"/>
              </w:rPr>
              <w:t>微</w:t>
            </w:r>
            <w:r>
              <w:rPr>
                <w:rFonts w:hint="eastAsia" w:ascii="仿宋" w:hAnsi="仿宋" w:eastAsia="仿宋" w:cs="仿宋"/>
                <w:b/>
                <w:bCs/>
                <w:color w:val="auto"/>
                <w:sz w:val="21"/>
                <w:szCs w:val="21"/>
                <w:highlight w:val="none"/>
              </w:rPr>
              <w:t>企业采购项目，根据《政府采购促进中小企业发展管理办法》（财库[2020]46号）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sz w:val="21"/>
                <w:szCs w:val="21"/>
                <w:highlight w:val="none"/>
                <w:lang w:val="en-US" w:eastAsia="zh-CN"/>
              </w:rPr>
              <w:t>《关于进一步加大政府采购支持中小企业力度的通知》财库〔2022〕19号）的规定，不再给予符合条件的小微企业</w:t>
            </w:r>
            <w:r>
              <w:rPr>
                <w:rFonts w:hint="eastAsia" w:ascii="仿宋" w:hAnsi="仿宋" w:eastAsia="仿宋" w:cs="仿宋"/>
                <w:b/>
                <w:bCs/>
                <w:color w:val="auto"/>
                <w:sz w:val="21"/>
                <w:szCs w:val="21"/>
                <w:highlight w:val="none"/>
              </w:rPr>
              <w:t>价格评审优惠。</w:t>
            </w:r>
          </w:p>
        </w:tc>
      </w:tr>
      <w:tr w14:paraId="6E9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7" w:type="dxa"/>
            <w:noWrap w:val="0"/>
            <w:vAlign w:val="center"/>
          </w:tcPr>
          <w:p w14:paraId="4B8EE53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27</w:t>
            </w:r>
          </w:p>
        </w:tc>
        <w:tc>
          <w:tcPr>
            <w:tcW w:w="1735" w:type="dxa"/>
            <w:noWrap w:val="0"/>
            <w:vAlign w:val="center"/>
          </w:tcPr>
          <w:p w14:paraId="49465A54">
            <w:pPr>
              <w:snapToGrid w:val="0"/>
              <w:jc w:val="center"/>
              <w:rPr>
                <w:rFonts w:hint="eastAsia" w:ascii="仿宋" w:hAnsi="仿宋" w:eastAsia="仿宋" w:cs="仿宋"/>
                <w:bCs/>
                <w:sz w:val="21"/>
                <w:szCs w:val="21"/>
                <w:highlight w:val="none"/>
                <w:lang w:val="en-US" w:eastAsia="zh-CN" w:bidi="ar-SA"/>
              </w:rPr>
            </w:pPr>
            <w:r>
              <w:rPr>
                <w:rFonts w:hint="eastAsia" w:ascii="仿宋" w:hAnsi="仿宋" w:eastAsia="仿宋" w:cs="仿宋"/>
                <w:bCs/>
                <w:sz w:val="21"/>
                <w:szCs w:val="21"/>
                <w:highlight w:val="none"/>
              </w:rPr>
              <w:t>低于成本价不正当竞争预防措施</w:t>
            </w:r>
          </w:p>
        </w:tc>
        <w:tc>
          <w:tcPr>
            <w:tcW w:w="7099" w:type="dxa"/>
            <w:noWrap w:val="0"/>
            <w:vAlign w:val="center"/>
          </w:tcPr>
          <w:p w14:paraId="18F4B4D7">
            <w:pPr>
              <w:snapToGrid w:val="0"/>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rPr>
              <w:t>低于成本价不正当竞争预防措施</w:t>
            </w:r>
            <w:r>
              <w:rPr>
                <w:rFonts w:hint="eastAsia" w:ascii="仿宋" w:hAnsi="仿宋" w:eastAsia="仿宋" w:cs="仿宋"/>
                <w:bCs/>
                <w:sz w:val="21"/>
                <w:szCs w:val="21"/>
                <w:highlight w:val="none"/>
                <w:lang w:eastAsia="zh-CN"/>
              </w:rPr>
              <w:t>：财库〔2026〕2号</w:t>
            </w:r>
          </w:p>
          <w:p w14:paraId="3B23899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（一）评审中出现下列情形之一的，评审委员会应当启动异常低价投标（响应）审查程序：</w:t>
            </w:r>
          </w:p>
          <w:p w14:paraId="10C66759">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4EDAE0C5">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079E25F1">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3.投标（响应）报价低于采购项目最高限价45%的，即投标（响应）报价&lt;采购项目最高限价×45%；</w:t>
            </w:r>
          </w:p>
          <w:p w14:paraId="36764DA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4.评审委员会基于专业判断，认为供应商报价过低，有可能影响产品质量或者不能诚信履约的其他情形。</w:t>
            </w:r>
          </w:p>
          <w:p w14:paraId="648B6825">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采购人可以结合具体项目实际情况，提高上述第1项至第3项中启动异常低价投标（响应）审查的数值标准，但是最高不得超过65%。</w:t>
            </w:r>
          </w:p>
          <w:p w14:paraId="47998165">
            <w:pPr>
              <w:snapToGrid w:val="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相关法律法规对供应商报价有规定的，从其规定。</w:t>
            </w:r>
          </w:p>
          <w:p w14:paraId="6EAAD8E4">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2D1A88">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B3200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B64B5DE">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384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14:paraId="4AC6C837">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28</w:t>
            </w:r>
          </w:p>
        </w:tc>
        <w:tc>
          <w:tcPr>
            <w:tcW w:w="1735" w:type="dxa"/>
            <w:noWrap w:val="0"/>
            <w:vAlign w:val="center"/>
          </w:tcPr>
          <w:p w14:paraId="66B4BE25">
            <w:pPr>
              <w:pStyle w:val="29"/>
              <w:adjustRightInd w:val="0"/>
              <w:snapToGrid w:val="0"/>
              <w:ind w:right="141"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bidi="ar-SA"/>
              </w:rPr>
              <w:t>招标代理服务费</w:t>
            </w:r>
          </w:p>
        </w:tc>
        <w:tc>
          <w:tcPr>
            <w:tcW w:w="7099" w:type="dxa"/>
            <w:noWrap w:val="0"/>
            <w:vAlign w:val="center"/>
          </w:tcPr>
          <w:p w14:paraId="7162B93B">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参照国家计委计价格【2002】1980号、发改办价格【2003】857号、【2011】534号文计取，不足3000元按3000元计取，本项目招标代理服务费由成交供应商支付。</w:t>
            </w:r>
          </w:p>
          <w:p w14:paraId="732C9E7B">
            <w:pPr>
              <w:snapToGrid w:val="0"/>
              <w:ind w:firstLine="420" w:firstLineChars="200"/>
              <w:rPr>
                <w:rFonts w:hint="eastAsia" w:ascii="仿宋" w:hAnsi="仿宋" w:eastAsia="仿宋" w:cs="仿宋"/>
                <w:kern w:val="2"/>
                <w:sz w:val="21"/>
                <w:szCs w:val="21"/>
                <w:highlight w:val="none"/>
                <w:lang w:val="en-US" w:eastAsia="zh-CN" w:bidi="ar-SA"/>
              </w:rPr>
            </w:pPr>
            <w:r>
              <w:rPr>
                <w:rFonts w:hint="eastAsia" w:ascii="仿宋" w:hAnsi="仿宋" w:eastAsia="仿宋" w:cs="仿宋"/>
                <w:bCs/>
                <w:sz w:val="21"/>
                <w:szCs w:val="21"/>
                <w:highlight w:val="none"/>
                <w:lang w:val="en-US" w:eastAsia="zh-CN"/>
              </w:rPr>
              <w:t>中标人须在领取中标通知书时一次性付清招标代理服务费。</w:t>
            </w:r>
          </w:p>
        </w:tc>
      </w:tr>
      <w:tr w14:paraId="313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14:paraId="1B39D2E9">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29</w:t>
            </w:r>
          </w:p>
        </w:tc>
        <w:tc>
          <w:tcPr>
            <w:tcW w:w="1735" w:type="dxa"/>
            <w:shd w:val="clear" w:color="auto" w:fill="auto"/>
            <w:noWrap w:val="0"/>
            <w:vAlign w:val="center"/>
          </w:tcPr>
          <w:p w14:paraId="1411DF0A">
            <w:pPr>
              <w:pStyle w:val="5"/>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政府采购政策支持</w:t>
            </w:r>
          </w:p>
        </w:tc>
        <w:tc>
          <w:tcPr>
            <w:tcW w:w="7099" w:type="dxa"/>
            <w:shd w:val="clear" w:color="auto" w:fill="auto"/>
            <w:noWrap w:val="0"/>
            <w:vAlign w:val="center"/>
          </w:tcPr>
          <w:p w14:paraId="77A671B3">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关于落实中小企业政府采购政策：</w:t>
            </w:r>
          </w:p>
          <w:p w14:paraId="478C9AAA">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因本项目标项1为不专门面向中小企业采购项目,执行价格评审优惠的扶持政策；标项2为专门面向中小企业采购项目，不再执行价格评审优惠。</w:t>
            </w:r>
          </w:p>
          <w:p w14:paraId="2DCA9E25">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本次采购标的所属行业为工业，符合中小微型企业应按照招标文件格式要求提供《中小企业声明函》（见格式），（监狱企业、残疾人福利性单位视同为中小企业）。</w:t>
            </w:r>
          </w:p>
          <w:p w14:paraId="28F62EE5">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2.依据本办法规定享受扶持政策获得政府采购合同的，小微企业不得将合同分包给大中型企业，中型企业不得将合同分包给大型企业。）</w:t>
            </w:r>
          </w:p>
          <w:p w14:paraId="2EAF26C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根据财政部、工业和信息化部《政府采购促进中小企业发展管理办法》(财库[2020]46号文)的规定,监狱企业、残疾人福利性单位视同为中小企业。符合以下条件的中小微型企业应按照招标文件格式要求提供《中小企业声明函》。</w:t>
            </w:r>
          </w:p>
          <w:p w14:paraId="09329643">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B28C76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(2)在政府采购活动中，供应商提供的货物、工程或者服务符合下列情形的，享受本办法规定的中小企业扶持政策：</w:t>
            </w:r>
          </w:p>
          <w:p w14:paraId="4A4FF4AE">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(一) 在货物采购项目中，货物由中小企业制造，即货物由中小企业生产且使用该中小企业商号或者注册商标；</w:t>
            </w:r>
          </w:p>
          <w:p w14:paraId="4CB3DADD">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(二) 在工程采购项目中，工程由中小企业承建，即工程施工单位为中小企业；</w:t>
            </w:r>
          </w:p>
          <w:p w14:paraId="2A03A00B">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(三) 在服务采购项目中，服务由中小企业承接，即提供服务的人员为中小企业依照《中华人民共和国劳动合同法》订立劳动合同的从业人员。</w:t>
            </w:r>
          </w:p>
          <w:p w14:paraId="6BF64A59">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在货物采购项目中，供应商提供的货物既有中小企业制造货物，也有大型企业制造货物的，不享受本办法规定的中小企业扶持政策。</w:t>
            </w:r>
          </w:p>
          <w:p w14:paraId="3E0525D7">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以联合体形式参加政府采购活动，联合体各方均为中小企业的，联合体视同中小企业。其中，联合体各方均为小微企业的，联合体视同小微企业。</w:t>
            </w:r>
          </w:p>
          <w:p w14:paraId="6F474DA2">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(3)依据本办法规定享受扶持政策获得政府采购合同的，小微企业不得将合同分包给大中型企业，中型企业不得将合同分包给大型企业。</w:t>
            </w:r>
          </w:p>
          <w:p w14:paraId="608ADCE9">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(4)提供由省级以上监狱管理局、戒毒管理局(含新疆生产建设兵团)出具的属于监狱企业证明文件(扫描件) 的，视同为小型和微型企业。</w:t>
            </w:r>
          </w:p>
          <w:p w14:paraId="2E0B6345">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(5)符合享受政府采购支持政策的残疾人福利性单位条件且提供《残疾人福利性单位声明函》的，视同为小型和微型企业。</w:t>
            </w:r>
          </w:p>
          <w:p w14:paraId="1968788C">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(6)</w:t>
            </w:r>
            <w:r>
              <w:rPr>
                <w:rFonts w:hint="eastAsia" w:ascii="仿宋" w:hAnsi="仿宋" w:eastAsia="仿宋" w:cs="仿宋"/>
                <w:b/>
                <w:bCs w:val="0"/>
                <w:sz w:val="21"/>
                <w:szCs w:val="21"/>
                <w:highlight w:val="none"/>
                <w:lang w:val="en-US" w:eastAsia="zh-CN"/>
              </w:rPr>
              <w:t>本采购项目中小企业划分标准所属行业为：工业。</w:t>
            </w:r>
            <w:r>
              <w:rPr>
                <w:rFonts w:hint="eastAsia" w:ascii="仿宋" w:hAnsi="仿宋" w:eastAsia="仿宋" w:cs="仿宋"/>
                <w:bCs/>
                <w:sz w:val="21"/>
                <w:szCs w:val="21"/>
                <w:highlight w:val="none"/>
                <w:lang w:val="en-US" w:eastAsia="zh-CN"/>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A1DAA6">
            <w:pPr>
              <w:snapToGrid w:val="0"/>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bCs/>
                <w:sz w:val="21"/>
                <w:szCs w:val="21"/>
                <w:highlight w:val="none"/>
                <w:lang w:val="en-US" w:eastAsia="zh-CN"/>
              </w:rPr>
              <w:t>（标项1供应商应在中小企业声明函中按照采购货物名称逐个填写制造商信息，且制造商均为小微企业，如未按要求填写，将不享受价格评审优惠；标项2供应商应在中小企业声明函中按照采购货物名称逐个填写制造商信息，且制造商均为小微企业，如未按要求填写，将被否决此次投标）</w:t>
            </w:r>
          </w:p>
        </w:tc>
      </w:tr>
      <w:tr w14:paraId="30B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87" w:type="dxa"/>
            <w:noWrap w:val="0"/>
            <w:vAlign w:val="center"/>
          </w:tcPr>
          <w:p w14:paraId="082E7D38">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1735" w:type="dxa"/>
            <w:shd w:val="clear" w:color="auto" w:fill="auto"/>
            <w:noWrap w:val="0"/>
            <w:vAlign w:val="center"/>
          </w:tcPr>
          <w:p w14:paraId="4F16EB35">
            <w:pPr>
              <w:keepNext w:val="0"/>
              <w:keepLines w:val="0"/>
              <w:pageBreakBefore w:val="0"/>
              <w:widowControl w:val="0"/>
              <w:kinsoku/>
              <w:wordWrap/>
              <w:topLinePunct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bCs/>
                <w:sz w:val="21"/>
                <w:szCs w:val="21"/>
                <w:highlight w:val="none"/>
                <w:lang w:val="en-US" w:eastAsia="zh-CN"/>
              </w:rPr>
              <w:t>关于在政府采购中实施本国产品标准及相关政策的通知</w:t>
            </w:r>
          </w:p>
        </w:tc>
        <w:tc>
          <w:tcPr>
            <w:tcW w:w="7099" w:type="dxa"/>
            <w:shd w:val="clear" w:color="auto" w:fill="auto"/>
            <w:noWrap w:val="0"/>
            <w:vAlign w:val="center"/>
          </w:tcPr>
          <w:p w14:paraId="1C32B68B">
            <w:pPr>
              <w:snapToGrid w:val="0"/>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lang w:val="en-US" w:eastAsia="zh-CN"/>
              </w:rPr>
              <w:t>国务院办公厅印发的《关于在政府采购中实施本国产品标准及相关政策的通知》（以下简称《通知》）：国办发〔2025〕34号</w:t>
            </w:r>
          </w:p>
          <w:p w14:paraId="7B6F2F70">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在政府采购活动中，对同时有本国产品和非本国产品参与竞争的项目，对本国产品报价给予20%的价格扣除，并以扣除后的价格参与评审。</w:t>
            </w:r>
          </w:p>
          <w:p w14:paraId="2947E40E">
            <w:pPr>
              <w:snapToGrid w:val="0"/>
              <w:ind w:firstLine="420" w:firstLineChars="200"/>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本国产品”是指：一是在中国境内生产，实现从原材料、组件到产品的属性改变。二是产品在中国境内生产的组件成本占比应当达到规定比例。三是对特定产品，在满足上述条件的基础上，还须符合由财政部会同行业主管部门确定的其关键组件、关键工序在中国境内生产、完成等要求。</w:t>
            </w:r>
          </w:p>
        </w:tc>
      </w:tr>
      <w:tr w14:paraId="4E50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14:paraId="3EE8926D">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c>
          <w:tcPr>
            <w:tcW w:w="8834" w:type="dxa"/>
            <w:gridSpan w:val="2"/>
            <w:noWrap w:val="0"/>
            <w:vAlign w:val="center"/>
          </w:tcPr>
          <w:p w14:paraId="1E6B6607">
            <w:pPr>
              <w:snapToGrid w:val="0"/>
              <w:ind w:firstLine="422" w:firstLineChars="20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项规定为公开招标87号令货物类招标，在使用综合评分法的采购项目中，提供相同品牌产品且通过资格审查、符合性审查的不同投标人，按一家投标人计算，评审后得分最高的同品牌投标人获得中标人推荐资格；评审得分相同的，由采购人或评标委员会按照招标文件规定的方式确定一个投标人获得中标人推荐资格，招标文件未规定的采取随机抽取方式确定。</w:t>
            </w:r>
          </w:p>
          <w:p w14:paraId="39AF7B9F">
            <w:pPr>
              <w:snapToGrid w:val="0"/>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非单一产品采购项目中，采购人应根据采购项目的技术构成和产品价格比重合理确定核心产品，并在招标文件中明确载明。多家投标人提供的核心产品品牌相同的，按前两款规定处理。</w:t>
            </w:r>
          </w:p>
        </w:tc>
      </w:tr>
      <w:tr w14:paraId="7E43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87" w:type="dxa"/>
            <w:noWrap w:val="0"/>
            <w:vAlign w:val="center"/>
          </w:tcPr>
          <w:p w14:paraId="54956791">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w:t>
            </w:r>
          </w:p>
        </w:tc>
        <w:tc>
          <w:tcPr>
            <w:tcW w:w="8834" w:type="dxa"/>
            <w:gridSpan w:val="2"/>
            <w:noWrap w:val="0"/>
            <w:vAlign w:val="center"/>
          </w:tcPr>
          <w:p w14:paraId="009C845B">
            <w:pPr>
              <w:snapToGrid w:val="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本次采购标项1核心产品为：激光粒度仪（含 Zeta 电位）</w:t>
            </w:r>
          </w:p>
        </w:tc>
      </w:tr>
    </w:tbl>
    <w:p w14:paraId="08BF2E57">
      <w:pPr>
        <w:spacing w:line="440" w:lineRule="exact"/>
        <w:rPr>
          <w:rFonts w:hint="eastAsia" w:ascii="仿宋" w:hAnsi="仿宋" w:eastAsia="仿宋" w:cs="宋体"/>
          <w:b/>
          <w:highlight w:val="none"/>
        </w:rPr>
      </w:pPr>
      <w:r>
        <w:rPr>
          <w:rFonts w:hint="eastAsia" w:ascii="仿宋" w:hAnsi="仿宋" w:eastAsia="仿宋" w:cs="宋体"/>
          <w:b/>
          <w:highlight w:val="none"/>
        </w:rPr>
        <w:t>注：本表内容与招标文件其它内容不一致的，应当以本表内容为准。</w:t>
      </w:r>
    </w:p>
    <w:p w14:paraId="7458F262">
      <w:pPr>
        <w:spacing w:line="360" w:lineRule="auto"/>
        <w:jc w:val="both"/>
        <w:rPr>
          <w:rFonts w:hint="eastAsia" w:ascii="仿宋" w:hAnsi="仿宋" w:eastAsia="仿宋" w:cs="仿宋"/>
          <w:b/>
          <w:bCs/>
          <w:kern w:val="2"/>
          <w:highlight w:val="none"/>
        </w:rPr>
      </w:pPr>
      <w:r>
        <w:rPr>
          <w:rFonts w:hint="eastAsia" w:ascii="仿宋" w:hAnsi="仿宋" w:eastAsia="仿宋" w:cs="宋体"/>
          <w:b/>
          <w:highlight w:val="none"/>
        </w:rPr>
        <w:t>本表中“</w:t>
      </w:r>
      <w:r>
        <w:rPr>
          <w:rFonts w:hint="eastAsia" w:ascii="仿宋" w:hAnsi="仿宋" w:eastAsia="仿宋" w:cs="宋体"/>
          <w:b/>
          <w:highlight w:val="none"/>
        </w:rPr>
        <w:fldChar w:fldCharType="begin"/>
      </w:r>
      <w:r>
        <w:rPr>
          <w:rFonts w:hint="eastAsia" w:ascii="仿宋" w:hAnsi="仿宋" w:eastAsia="仿宋" w:cs="宋体"/>
          <w:b/>
          <w:highlight w:val="none"/>
        </w:rPr>
        <w:instrText xml:space="preserve"> eq \o\ac(□,√)</w:instrText>
      </w:r>
      <w:r>
        <w:rPr>
          <w:rFonts w:hint="eastAsia" w:ascii="仿宋" w:hAnsi="仿宋" w:eastAsia="仿宋" w:cs="宋体"/>
          <w:b/>
          <w:highlight w:val="none"/>
        </w:rPr>
        <w:fldChar w:fldCharType="end"/>
      </w:r>
      <w:r>
        <w:rPr>
          <w:rFonts w:hint="eastAsia" w:ascii="仿宋" w:hAnsi="仿宋" w:eastAsia="仿宋" w:cs="宋体"/>
          <w:b/>
          <w:highlight w:val="none"/>
        </w:rPr>
        <w:t>”标示选择使用该项，“□”标示不选择使用该项。</w:t>
      </w:r>
    </w:p>
    <w:p w14:paraId="11B94A09">
      <w:pPr>
        <w:spacing w:line="360" w:lineRule="auto"/>
        <w:jc w:val="both"/>
        <w:rPr>
          <w:rFonts w:hint="eastAsia" w:ascii="仿宋" w:hAnsi="仿宋" w:eastAsia="仿宋" w:cs="仿宋"/>
          <w:b/>
          <w:bCs/>
          <w:kern w:val="2"/>
          <w:highlight w:val="none"/>
        </w:rPr>
        <w:sectPr>
          <w:pgSz w:w="11907" w:h="16840"/>
          <w:pgMar w:top="1440" w:right="1474" w:bottom="1440" w:left="1474" w:header="720" w:footer="720" w:gutter="0"/>
          <w:pgBorders>
            <w:top w:val="none" w:sz="0" w:space="0"/>
            <w:left w:val="none" w:sz="0" w:space="0"/>
            <w:bottom w:val="none" w:sz="0" w:space="0"/>
            <w:right w:val="none" w:sz="0" w:space="0"/>
          </w:pgBorders>
          <w:pgNumType w:fmt="decimal"/>
          <w:cols w:space="720" w:num="1"/>
        </w:sectPr>
      </w:pPr>
    </w:p>
    <w:p w14:paraId="60DFD4F4">
      <w:pPr>
        <w:snapToGrid w:val="0"/>
        <w:spacing w:line="360" w:lineRule="auto"/>
        <w:jc w:val="center"/>
        <w:rPr>
          <w:rFonts w:hint="eastAsia" w:ascii="仿宋" w:hAnsi="仿宋" w:eastAsia="仿宋" w:cs="仿宋"/>
          <w:b/>
          <w:bCs/>
          <w:kern w:val="2"/>
          <w:sz w:val="28"/>
          <w:szCs w:val="28"/>
          <w:highlight w:val="none"/>
        </w:rPr>
      </w:pPr>
      <w:bookmarkStart w:id="20" w:name="_Toc31592"/>
      <w:bookmarkStart w:id="21" w:name="_Toc1688"/>
      <w:bookmarkStart w:id="22" w:name="_Toc11862"/>
      <w:bookmarkStart w:id="23" w:name="_Toc31913"/>
      <w:bookmarkStart w:id="24" w:name="_Toc6044"/>
      <w:bookmarkStart w:id="25" w:name="_Toc11575"/>
      <w:bookmarkStart w:id="26" w:name="_Toc16822"/>
      <w:bookmarkStart w:id="27" w:name="_Toc3227"/>
      <w:bookmarkStart w:id="28" w:name="_Toc29747"/>
      <w:bookmarkStart w:id="29" w:name="_Toc45033359"/>
      <w:r>
        <w:rPr>
          <w:rFonts w:hint="eastAsia" w:ascii="仿宋" w:hAnsi="仿宋" w:eastAsia="仿宋" w:cs="仿宋"/>
          <w:b/>
          <w:bCs/>
          <w:kern w:val="2"/>
          <w:sz w:val="28"/>
          <w:szCs w:val="28"/>
          <w:highlight w:val="none"/>
          <w:lang w:val="zh-CN"/>
        </w:rPr>
        <w:t>一、总</w:t>
      </w:r>
      <w:r>
        <w:rPr>
          <w:rFonts w:hint="eastAsia" w:ascii="仿宋" w:hAnsi="仿宋" w:eastAsia="仿宋" w:cs="仿宋"/>
          <w:b/>
          <w:bCs/>
          <w:kern w:val="2"/>
          <w:sz w:val="28"/>
          <w:szCs w:val="28"/>
          <w:highlight w:val="none"/>
        </w:rPr>
        <w:t xml:space="preserve">    </w:t>
      </w:r>
      <w:r>
        <w:rPr>
          <w:rFonts w:hint="eastAsia" w:ascii="仿宋" w:hAnsi="仿宋" w:eastAsia="仿宋" w:cs="仿宋"/>
          <w:b/>
          <w:bCs/>
          <w:kern w:val="2"/>
          <w:sz w:val="28"/>
          <w:szCs w:val="28"/>
          <w:highlight w:val="none"/>
          <w:lang w:val="zh-CN"/>
        </w:rPr>
        <w:t>则</w:t>
      </w:r>
    </w:p>
    <w:p w14:paraId="1BC6B5EA">
      <w:pPr>
        <w:snapToGrid w:val="0"/>
        <w:spacing w:line="360" w:lineRule="auto"/>
        <w:ind w:firstLine="482" w:firstLineChars="200"/>
        <w:rPr>
          <w:rFonts w:hint="eastAsia" w:ascii="仿宋" w:hAnsi="仿宋" w:eastAsia="仿宋" w:cs="仿宋"/>
          <w:bCs/>
          <w:kern w:val="2"/>
          <w:sz w:val="28"/>
          <w:szCs w:val="28"/>
          <w:highlight w:val="none"/>
        </w:rPr>
      </w:pPr>
      <w:r>
        <w:rPr>
          <w:rFonts w:hint="eastAsia" w:ascii="仿宋" w:hAnsi="仿宋" w:eastAsia="仿宋" w:cs="仿宋"/>
          <w:b/>
          <w:bCs/>
          <w:kern w:val="2"/>
          <w:highlight w:val="none"/>
        </w:rPr>
        <w:t>1.</w:t>
      </w:r>
      <w:r>
        <w:rPr>
          <w:rFonts w:hint="eastAsia" w:ascii="仿宋" w:hAnsi="仿宋" w:eastAsia="仿宋" w:cs="仿宋"/>
          <w:b/>
          <w:bCs/>
          <w:kern w:val="2"/>
          <w:highlight w:val="none"/>
          <w:lang w:val="zh-CN"/>
        </w:rPr>
        <w:t>适用范围</w:t>
      </w:r>
    </w:p>
    <w:p w14:paraId="0AD213C1">
      <w:pPr>
        <w:snapToGrid w:val="0"/>
        <w:spacing w:line="360" w:lineRule="auto"/>
        <w:ind w:firstLine="464" w:firstLineChars="200"/>
        <w:rPr>
          <w:rFonts w:hint="eastAsia" w:ascii="仿宋" w:hAnsi="仿宋" w:eastAsia="仿宋" w:cs="仿宋"/>
          <w:spacing w:val="-4"/>
          <w:highlight w:val="none"/>
        </w:rPr>
      </w:pPr>
      <w:r>
        <w:rPr>
          <w:rFonts w:hint="eastAsia" w:ascii="仿宋" w:hAnsi="仿宋" w:eastAsia="仿宋" w:cs="仿宋"/>
          <w:spacing w:val="-4"/>
          <w:highlight w:val="none"/>
        </w:rPr>
        <w:t>1.1</w:t>
      </w:r>
      <w:r>
        <w:rPr>
          <w:rFonts w:hint="eastAsia" w:ascii="仿宋" w:hAnsi="仿宋" w:eastAsia="仿宋" w:cs="仿宋"/>
          <w:highlight w:val="none"/>
        </w:rPr>
        <w:t>本招标文件适用于本次招标采购项目的招标投标</w:t>
      </w:r>
      <w:r>
        <w:rPr>
          <w:rFonts w:hint="eastAsia" w:ascii="仿宋" w:hAnsi="仿宋" w:eastAsia="仿宋" w:cs="仿宋"/>
          <w:spacing w:val="-4"/>
          <w:highlight w:val="none"/>
        </w:rPr>
        <w:t>。</w:t>
      </w:r>
    </w:p>
    <w:p w14:paraId="46218122">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2.定义</w:t>
      </w:r>
    </w:p>
    <w:p w14:paraId="5A8701B2">
      <w:pPr>
        <w:snapToGrid w:val="0"/>
        <w:spacing w:line="360" w:lineRule="auto"/>
        <w:ind w:firstLine="480" w:firstLineChars="200"/>
        <w:rPr>
          <w:rFonts w:hint="eastAsia" w:ascii="仿宋" w:hAnsi="仿宋" w:eastAsia="仿宋" w:cs="仿宋"/>
          <w:highlight w:val="none"/>
          <w:lang w:val="zh-CN"/>
        </w:rPr>
      </w:pPr>
      <w:r>
        <w:rPr>
          <w:rFonts w:hint="eastAsia" w:ascii="仿宋" w:hAnsi="仿宋" w:eastAsia="仿宋" w:cs="仿宋"/>
          <w:highlight w:val="none"/>
          <w:lang w:val="zh-CN"/>
        </w:rPr>
        <w:t>2.1</w:t>
      </w:r>
      <w:r>
        <w:rPr>
          <w:rFonts w:hint="eastAsia" w:ascii="仿宋" w:hAnsi="仿宋" w:eastAsia="仿宋" w:cs="仿宋"/>
          <w:highlight w:val="none"/>
        </w:rPr>
        <w:t>“采购人”名称见本招标文件“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须知前附表”中第2项。</w:t>
      </w:r>
    </w:p>
    <w:p w14:paraId="31A7578C">
      <w:pPr>
        <w:tabs>
          <w:tab w:val="left" w:pos="540"/>
        </w:tabs>
        <w:snapToGrid w:val="0"/>
        <w:spacing w:line="360" w:lineRule="auto"/>
        <w:ind w:firstLine="460" w:firstLineChars="192"/>
        <w:rPr>
          <w:rFonts w:hint="eastAsia" w:ascii="仿宋" w:hAnsi="仿宋" w:eastAsia="仿宋" w:cs="仿宋"/>
          <w:spacing w:val="-4"/>
          <w:highlight w:val="none"/>
        </w:rPr>
      </w:pPr>
      <w:r>
        <w:rPr>
          <w:rFonts w:hint="eastAsia" w:ascii="仿宋" w:hAnsi="仿宋" w:eastAsia="仿宋" w:cs="仿宋"/>
          <w:highlight w:val="none"/>
        </w:rPr>
        <w:t>2.2 “采购代理机构”名称见本招标文件“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须知前附表”中第3项</w:t>
      </w:r>
      <w:r>
        <w:rPr>
          <w:rFonts w:hint="eastAsia" w:ascii="仿宋" w:hAnsi="仿宋" w:eastAsia="仿宋" w:cs="仿宋"/>
          <w:spacing w:val="-4"/>
          <w:highlight w:val="none"/>
        </w:rPr>
        <w:t>；</w:t>
      </w:r>
    </w:p>
    <w:p w14:paraId="1FA50EE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2.3“</w:t>
      </w:r>
      <w:r>
        <w:rPr>
          <w:rFonts w:hint="eastAsia" w:ascii="仿宋" w:hAnsi="仿宋" w:eastAsia="仿宋" w:cs="仿宋"/>
          <w:highlight w:val="none"/>
          <w:lang w:eastAsia="zh-CN"/>
        </w:rPr>
        <w:t>供应商</w:t>
      </w:r>
      <w:r>
        <w:rPr>
          <w:rFonts w:hint="eastAsia" w:ascii="仿宋" w:hAnsi="仿宋" w:eastAsia="仿宋" w:cs="仿宋"/>
          <w:highlight w:val="none"/>
        </w:rPr>
        <w:t>”指符合招标文件规定并参加投标的</w:t>
      </w:r>
      <w:r>
        <w:rPr>
          <w:rFonts w:hint="eastAsia" w:ascii="仿宋" w:hAnsi="仿宋" w:eastAsia="仿宋" w:cs="仿宋"/>
          <w:highlight w:val="none"/>
          <w:lang w:eastAsia="zh-CN"/>
        </w:rPr>
        <w:t>供应商</w:t>
      </w:r>
      <w:r>
        <w:rPr>
          <w:rFonts w:hint="eastAsia" w:ascii="仿宋" w:hAnsi="仿宋" w:eastAsia="仿宋" w:cs="仿宋"/>
          <w:highlight w:val="none"/>
        </w:rPr>
        <w:t>；</w:t>
      </w:r>
    </w:p>
    <w:p w14:paraId="7EBE663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2.4“招标货物”指招标文件第</w:t>
      </w:r>
      <w:r>
        <w:rPr>
          <w:rFonts w:hint="eastAsia" w:ascii="仿宋" w:hAnsi="仿宋" w:eastAsia="仿宋" w:cs="仿宋"/>
          <w:highlight w:val="none"/>
          <w:lang w:eastAsia="zh-CN"/>
        </w:rPr>
        <w:t>四章</w:t>
      </w:r>
      <w:r>
        <w:rPr>
          <w:rFonts w:hint="eastAsia" w:ascii="仿宋" w:hAnsi="仿宋" w:eastAsia="仿宋" w:cs="仿宋"/>
          <w:highlight w:val="none"/>
        </w:rPr>
        <w:t>所述所有货物；</w:t>
      </w:r>
    </w:p>
    <w:p w14:paraId="10E41D8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w:t>
      </w:r>
      <w:r>
        <w:rPr>
          <w:rFonts w:hint="eastAsia" w:ascii="仿宋" w:hAnsi="仿宋" w:eastAsia="仿宋" w:cs="仿宋"/>
          <w:highlight w:val="none"/>
          <w:lang w:eastAsia="zh-CN"/>
        </w:rPr>
        <w:t>供应商</w:t>
      </w:r>
      <w:r>
        <w:rPr>
          <w:rFonts w:hint="eastAsia" w:ascii="仿宋" w:hAnsi="仿宋" w:eastAsia="仿宋" w:cs="仿宋"/>
          <w:highlight w:val="none"/>
        </w:rPr>
        <w:t>公章”在投标文件中指与</w:t>
      </w:r>
      <w:r>
        <w:rPr>
          <w:rFonts w:hint="eastAsia" w:ascii="仿宋" w:hAnsi="仿宋" w:eastAsia="仿宋" w:cs="仿宋"/>
          <w:highlight w:val="none"/>
          <w:lang w:eastAsia="zh-CN"/>
        </w:rPr>
        <w:t>供应商</w:t>
      </w:r>
      <w:r>
        <w:rPr>
          <w:rFonts w:hint="eastAsia" w:ascii="仿宋" w:hAnsi="仿宋" w:eastAsia="仿宋" w:cs="仿宋"/>
          <w:highlight w:val="none"/>
        </w:rPr>
        <w:t>标准公章一致的</w:t>
      </w:r>
      <w:r>
        <w:rPr>
          <w:rFonts w:hint="eastAsia" w:ascii="仿宋" w:hAnsi="仿宋" w:eastAsia="仿宋" w:cs="仿宋"/>
          <w:highlight w:val="none"/>
          <w:lang w:eastAsia="zh-CN"/>
        </w:rPr>
        <w:t>供应商</w:t>
      </w:r>
      <w:r>
        <w:rPr>
          <w:rFonts w:hint="eastAsia" w:ascii="仿宋" w:hAnsi="仿宋" w:eastAsia="仿宋" w:cs="仿宋"/>
          <w:highlight w:val="none"/>
        </w:rPr>
        <w:t>签章。</w:t>
      </w:r>
    </w:p>
    <w:p w14:paraId="3DEF4EA8">
      <w:pPr>
        <w:snapToGrid w:val="0"/>
        <w:spacing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3.</w:t>
      </w:r>
      <w:r>
        <w:rPr>
          <w:rFonts w:hint="eastAsia" w:ascii="仿宋" w:hAnsi="仿宋" w:eastAsia="仿宋" w:cs="仿宋"/>
          <w:b/>
          <w:bCs/>
          <w:kern w:val="2"/>
          <w:highlight w:val="none"/>
          <w:lang w:val="zh-CN"/>
        </w:rPr>
        <w:t>合格的供应商</w:t>
      </w:r>
    </w:p>
    <w:p w14:paraId="19983E1B">
      <w:pPr>
        <w:snapToGrid w:val="0"/>
        <w:spacing w:line="360" w:lineRule="auto"/>
        <w:ind w:firstLine="484" w:firstLineChars="202"/>
        <w:jc w:val="both"/>
        <w:rPr>
          <w:rFonts w:hint="eastAsia" w:ascii="仿宋" w:hAnsi="仿宋" w:eastAsia="仿宋" w:cs="仿宋"/>
          <w:kern w:val="2"/>
          <w:highlight w:val="none"/>
        </w:rPr>
      </w:pPr>
      <w:r>
        <w:rPr>
          <w:rFonts w:hint="eastAsia" w:ascii="仿宋" w:hAnsi="仿宋" w:eastAsia="仿宋" w:cs="仿宋"/>
          <w:kern w:val="2"/>
          <w:highlight w:val="none"/>
        </w:rPr>
        <w:t>3.1</w:t>
      </w:r>
      <w:r>
        <w:rPr>
          <w:rFonts w:hint="eastAsia" w:ascii="仿宋" w:hAnsi="仿宋" w:eastAsia="仿宋" w:cs="仿宋"/>
          <w:b/>
          <w:bCs/>
          <w:kern w:val="2"/>
          <w:highlight w:val="none"/>
        </w:rPr>
        <w:t xml:space="preserve"> </w:t>
      </w:r>
      <w:r>
        <w:rPr>
          <w:rFonts w:hint="eastAsia" w:ascii="仿宋" w:hAnsi="仿宋" w:eastAsia="仿宋" w:cs="仿宋"/>
          <w:kern w:val="2"/>
          <w:highlight w:val="none"/>
          <w:lang w:val="zh-CN"/>
        </w:rPr>
        <w:t>本次采购采取</w:t>
      </w:r>
      <w:r>
        <w:rPr>
          <w:rFonts w:hint="eastAsia" w:ascii="仿宋" w:hAnsi="仿宋" w:eastAsia="仿宋" w:cs="仿宋"/>
          <w:kern w:val="2"/>
          <w:highlight w:val="none"/>
        </w:rPr>
        <w:t>公开招标</w:t>
      </w:r>
      <w:r>
        <w:rPr>
          <w:rFonts w:hint="eastAsia" w:ascii="仿宋" w:hAnsi="仿宋" w:eastAsia="仿宋" w:cs="仿宋"/>
          <w:kern w:val="2"/>
          <w:highlight w:val="none"/>
          <w:lang w:val="zh-CN"/>
        </w:rPr>
        <w:t>的方式。</w:t>
      </w:r>
    </w:p>
    <w:p w14:paraId="7469E73F">
      <w:pPr>
        <w:tabs>
          <w:tab w:val="left" w:pos="0"/>
        </w:tabs>
        <w:snapToGrid w:val="0"/>
        <w:spacing w:line="360" w:lineRule="auto"/>
        <w:ind w:firstLine="480" w:firstLineChars="200"/>
        <w:jc w:val="both"/>
        <w:rPr>
          <w:rFonts w:ascii="仿宋" w:hAnsi="仿宋" w:eastAsia="仿宋" w:cs="仿宋"/>
          <w:highlight w:val="none"/>
        </w:rPr>
      </w:pPr>
      <w:r>
        <w:rPr>
          <w:rFonts w:hint="eastAsia" w:ascii="仿宋" w:hAnsi="仿宋" w:eastAsia="仿宋" w:cs="仿宋"/>
          <w:kern w:val="2"/>
          <w:highlight w:val="none"/>
        </w:rPr>
        <w:t>3.2</w:t>
      </w:r>
      <w:r>
        <w:rPr>
          <w:rFonts w:hint="eastAsia" w:ascii="仿宋" w:hAnsi="仿宋" w:eastAsia="仿宋" w:cs="仿宋"/>
          <w:b/>
          <w:bCs/>
          <w:kern w:val="2"/>
          <w:highlight w:val="none"/>
        </w:rPr>
        <w:t xml:space="preserve"> </w:t>
      </w:r>
      <w:r>
        <w:rPr>
          <w:rFonts w:hint="eastAsia" w:ascii="仿宋" w:hAnsi="仿宋" w:eastAsia="仿宋" w:cs="仿宋"/>
          <w:bCs/>
          <w:kern w:val="2"/>
          <w:highlight w:val="none"/>
          <w:lang w:val="zh-CN"/>
        </w:rPr>
        <w:t>供应商</w:t>
      </w:r>
      <w:r>
        <w:rPr>
          <w:rFonts w:hint="eastAsia" w:ascii="仿宋" w:hAnsi="仿宋" w:eastAsia="仿宋" w:cs="仿宋"/>
          <w:kern w:val="2"/>
          <w:highlight w:val="none"/>
          <w:lang w:val="zh-CN"/>
        </w:rPr>
        <w:t>的资格要求:</w:t>
      </w:r>
      <w:r>
        <w:rPr>
          <w:rFonts w:hint="eastAsia" w:ascii="仿宋" w:hAnsi="仿宋" w:eastAsia="仿宋" w:cs="仿宋"/>
          <w:highlight w:val="none"/>
        </w:rPr>
        <w:t>详见</w:t>
      </w:r>
      <w:r>
        <w:rPr>
          <w:rFonts w:hint="eastAsia" w:ascii="仿宋" w:hAnsi="仿宋" w:eastAsia="仿宋" w:cs="仿宋"/>
          <w:highlight w:val="none"/>
          <w:lang w:eastAsia="zh-CN"/>
        </w:rPr>
        <w:t>供应商</w:t>
      </w:r>
      <w:r>
        <w:rPr>
          <w:rFonts w:hint="eastAsia" w:ascii="仿宋" w:hAnsi="仿宋" w:eastAsia="仿宋" w:cs="仿宋"/>
          <w:highlight w:val="none"/>
        </w:rPr>
        <w:t>须知前附表第9项；</w:t>
      </w:r>
    </w:p>
    <w:p w14:paraId="0119D643">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highlight w:val="none"/>
        </w:rPr>
        <w:t xml:space="preserve">3.3 </w:t>
      </w:r>
      <w:r>
        <w:rPr>
          <w:rFonts w:hint="eastAsia" w:ascii="仿宋" w:hAnsi="仿宋" w:eastAsia="仿宋" w:cs="仿宋"/>
          <w:highlight w:val="none"/>
          <w:lang w:eastAsia="zh-CN"/>
        </w:rPr>
        <w:t>供应商</w:t>
      </w:r>
      <w:r>
        <w:rPr>
          <w:rFonts w:hint="eastAsia" w:ascii="仿宋" w:hAnsi="仿宋" w:eastAsia="仿宋" w:cs="仿宋"/>
          <w:highlight w:val="none"/>
        </w:rPr>
        <w:t>之间如果存在下列情形之一的，不得同时参加同一包（标段）或者不分包（标段）的同一项目</w:t>
      </w:r>
      <w:r>
        <w:rPr>
          <w:rFonts w:hint="eastAsia" w:ascii="仿宋" w:hAnsi="仿宋" w:eastAsia="仿宋" w:cs="仿宋"/>
          <w:kern w:val="2"/>
          <w:highlight w:val="none"/>
          <w:lang w:val="zh-CN"/>
        </w:rPr>
        <w:t>投标：</w:t>
      </w:r>
    </w:p>
    <w:p w14:paraId="199B95DB">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3.3.1 法定代表人为同一个人的两个及两个以上法人；</w:t>
      </w:r>
    </w:p>
    <w:p w14:paraId="3354BF53">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3.3.2 母公司、全资子公司及其控股公司；</w:t>
      </w:r>
    </w:p>
    <w:p w14:paraId="7741BCCC">
      <w:pPr>
        <w:tabs>
          <w:tab w:val="left" w:pos="0"/>
        </w:tabs>
        <w:snapToGrid w:val="0"/>
        <w:spacing w:line="360" w:lineRule="auto"/>
        <w:ind w:firstLine="480" w:firstLineChars="200"/>
        <w:jc w:val="both"/>
        <w:rPr>
          <w:rFonts w:hint="default" w:ascii="仿宋" w:hAnsi="仿宋" w:eastAsia="仿宋" w:cs="仿宋"/>
          <w:kern w:val="2"/>
          <w:highlight w:val="none"/>
          <w:lang w:val="en-US" w:eastAsia="zh-CN"/>
        </w:rPr>
      </w:pPr>
      <w:r>
        <w:rPr>
          <w:rFonts w:hint="eastAsia" w:ascii="仿宋" w:hAnsi="仿宋" w:eastAsia="仿宋" w:cs="仿宋"/>
          <w:kern w:val="2"/>
          <w:highlight w:val="none"/>
          <w:lang w:val="en-US" w:eastAsia="zh-CN"/>
        </w:rPr>
        <w:t>3.3.3 单位负责人为同一人或者存在控股、管理关系的不同供应商，不得参加同一合同项下的政府采购活动。</w:t>
      </w:r>
    </w:p>
    <w:p w14:paraId="00E40234">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4</w:t>
      </w:r>
      <w:r>
        <w:rPr>
          <w:rFonts w:hint="eastAsia" w:ascii="仿宋" w:hAnsi="仿宋" w:eastAsia="仿宋" w:cs="仿宋"/>
          <w:kern w:val="2"/>
          <w:highlight w:val="none"/>
          <w:lang w:val="zh-CN"/>
        </w:rPr>
        <w:t xml:space="preserve"> 参加投标的其他组织之间存在特殊的利害关系的；</w:t>
      </w:r>
    </w:p>
    <w:p w14:paraId="72432DC7">
      <w:pPr>
        <w:tabs>
          <w:tab w:val="left" w:pos="0"/>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3.3.</w:t>
      </w:r>
      <w:r>
        <w:rPr>
          <w:rFonts w:hint="eastAsia" w:ascii="仿宋" w:hAnsi="仿宋" w:eastAsia="仿宋" w:cs="仿宋"/>
          <w:kern w:val="2"/>
          <w:highlight w:val="none"/>
          <w:lang w:val="en-US" w:eastAsia="zh-CN"/>
        </w:rPr>
        <w:t>5</w:t>
      </w:r>
      <w:r>
        <w:rPr>
          <w:rFonts w:hint="eastAsia" w:ascii="仿宋" w:hAnsi="仿宋" w:eastAsia="仿宋" w:cs="仿宋"/>
          <w:kern w:val="2"/>
          <w:highlight w:val="none"/>
          <w:lang w:val="zh-CN"/>
        </w:rPr>
        <w:t xml:space="preserve"> 法律和行政法规规定的其他情形。</w:t>
      </w:r>
    </w:p>
    <w:p w14:paraId="0DE912E9">
      <w:pPr>
        <w:tabs>
          <w:tab w:val="left" w:pos="0"/>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4.投标</w:t>
      </w:r>
      <w:r>
        <w:rPr>
          <w:rFonts w:hint="eastAsia" w:ascii="仿宋" w:hAnsi="仿宋" w:eastAsia="仿宋" w:cs="仿宋"/>
          <w:b/>
          <w:bCs/>
          <w:kern w:val="2"/>
          <w:highlight w:val="none"/>
          <w:lang w:val="zh-CN"/>
        </w:rPr>
        <w:t>费用</w:t>
      </w:r>
    </w:p>
    <w:p w14:paraId="31BC4098">
      <w:pPr>
        <w:snapToGrid w:val="0"/>
        <w:spacing w:line="360" w:lineRule="auto"/>
        <w:ind w:firstLine="532"/>
        <w:jc w:val="both"/>
        <w:rPr>
          <w:rFonts w:hint="eastAsia" w:ascii="仿宋" w:hAnsi="仿宋" w:eastAsia="仿宋" w:cs="仿宋"/>
          <w:kern w:val="2"/>
          <w:highlight w:val="none"/>
          <w:lang w:val="zh-CN"/>
        </w:rPr>
      </w:pPr>
      <w:r>
        <w:rPr>
          <w:rFonts w:hint="eastAsia" w:ascii="仿宋" w:hAnsi="仿宋" w:eastAsia="仿宋" w:cs="仿宋"/>
          <w:bCs/>
          <w:kern w:val="2"/>
          <w:highlight w:val="none"/>
        </w:rPr>
        <w:t xml:space="preserve">4.1 </w:t>
      </w:r>
      <w:r>
        <w:rPr>
          <w:rFonts w:hint="eastAsia" w:ascii="仿宋" w:hAnsi="仿宋" w:eastAsia="仿宋" w:cs="仿宋"/>
          <w:bCs/>
          <w:kern w:val="2"/>
          <w:highlight w:val="none"/>
          <w:lang w:val="zh-CN"/>
        </w:rPr>
        <w:t>供应商</w:t>
      </w:r>
      <w:r>
        <w:rPr>
          <w:rFonts w:hint="eastAsia" w:ascii="仿宋" w:hAnsi="仿宋" w:eastAsia="仿宋" w:cs="仿宋"/>
          <w:kern w:val="2"/>
          <w:highlight w:val="none"/>
          <w:lang w:val="zh-CN"/>
        </w:rPr>
        <w:t>应自行承担所有参加本次</w:t>
      </w:r>
      <w:r>
        <w:rPr>
          <w:rFonts w:hint="eastAsia" w:ascii="仿宋" w:hAnsi="仿宋" w:eastAsia="仿宋" w:cs="仿宋"/>
          <w:kern w:val="2"/>
          <w:highlight w:val="none"/>
        </w:rPr>
        <w:t>投标</w:t>
      </w:r>
      <w:r>
        <w:rPr>
          <w:rFonts w:hint="eastAsia" w:ascii="仿宋" w:hAnsi="仿宋" w:eastAsia="仿宋" w:cs="仿宋"/>
          <w:kern w:val="2"/>
          <w:highlight w:val="none"/>
          <w:lang w:val="zh-CN"/>
        </w:rPr>
        <w:t>有关的费用。不论的结果如何，</w:t>
      </w:r>
      <w:r>
        <w:rPr>
          <w:rFonts w:hint="eastAsia" w:ascii="仿宋" w:hAnsi="仿宋" w:eastAsia="仿宋" w:cs="仿宋"/>
          <w:kern w:val="2"/>
          <w:highlight w:val="none"/>
        </w:rPr>
        <w:t>采购人</w:t>
      </w:r>
      <w:r>
        <w:rPr>
          <w:rFonts w:hint="eastAsia" w:ascii="仿宋" w:hAnsi="仿宋" w:eastAsia="仿宋" w:cs="仿宋"/>
          <w:kern w:val="2"/>
          <w:highlight w:val="none"/>
          <w:lang w:val="zh-CN"/>
        </w:rPr>
        <w:t>在任何情况下均无义务和责任承担这些费用。</w:t>
      </w:r>
    </w:p>
    <w:p w14:paraId="66F28F8F">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5.纪律</w:t>
      </w:r>
    </w:p>
    <w:p w14:paraId="6AD1EB4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5.1 </w:t>
      </w:r>
      <w:r>
        <w:rPr>
          <w:rFonts w:hint="eastAsia" w:ascii="仿宋" w:hAnsi="仿宋" w:eastAsia="仿宋" w:cs="仿宋"/>
          <w:highlight w:val="none"/>
          <w:lang w:eastAsia="zh-CN"/>
        </w:rPr>
        <w:t>供应商</w:t>
      </w:r>
      <w:r>
        <w:rPr>
          <w:rFonts w:hint="eastAsia" w:ascii="仿宋" w:hAnsi="仿宋" w:eastAsia="仿宋" w:cs="仿宋"/>
          <w:highlight w:val="none"/>
        </w:rPr>
        <w:t>的投标行为应遵守中国的有关法律、法规和规章。</w:t>
      </w:r>
    </w:p>
    <w:p w14:paraId="1CBE7AF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 </w:t>
      </w:r>
      <w:r>
        <w:rPr>
          <w:rFonts w:hint="eastAsia" w:ascii="仿宋" w:hAnsi="仿宋" w:eastAsia="仿宋" w:cs="仿宋"/>
          <w:highlight w:val="none"/>
          <w:lang w:eastAsia="zh-CN"/>
        </w:rPr>
        <w:t>供应商</w:t>
      </w:r>
      <w:r>
        <w:rPr>
          <w:rFonts w:hint="eastAsia" w:ascii="仿宋" w:hAnsi="仿宋" w:eastAsia="仿宋" w:cs="仿宋"/>
          <w:highlight w:val="none"/>
        </w:rPr>
        <w:t>不得相互串通投标报价，不得妨碍其他</w:t>
      </w:r>
      <w:r>
        <w:rPr>
          <w:rFonts w:hint="eastAsia" w:ascii="仿宋" w:hAnsi="仿宋" w:eastAsia="仿宋" w:cs="仿宋"/>
          <w:highlight w:val="none"/>
          <w:lang w:eastAsia="zh-CN"/>
        </w:rPr>
        <w:t>供应商</w:t>
      </w:r>
      <w:r>
        <w:rPr>
          <w:rFonts w:hint="eastAsia" w:ascii="仿宋" w:hAnsi="仿宋" w:eastAsia="仿宋" w:cs="仿宋"/>
          <w:highlight w:val="none"/>
        </w:rPr>
        <w:t>的公平竞争，不得损害采购人或其他</w:t>
      </w:r>
      <w:r>
        <w:rPr>
          <w:rFonts w:hint="eastAsia" w:ascii="仿宋" w:hAnsi="仿宋" w:eastAsia="仿宋" w:cs="仿宋"/>
          <w:highlight w:val="none"/>
          <w:lang w:eastAsia="zh-CN"/>
        </w:rPr>
        <w:t>供应商</w:t>
      </w:r>
      <w:r>
        <w:rPr>
          <w:rFonts w:hint="eastAsia" w:ascii="仿宋" w:hAnsi="仿宋" w:eastAsia="仿宋" w:cs="仿宋"/>
          <w:highlight w:val="none"/>
        </w:rPr>
        <w:t>的合法权益，</w:t>
      </w:r>
      <w:r>
        <w:rPr>
          <w:rFonts w:hint="eastAsia" w:ascii="仿宋" w:hAnsi="仿宋" w:eastAsia="仿宋" w:cs="仿宋"/>
          <w:highlight w:val="none"/>
          <w:lang w:eastAsia="zh-CN"/>
        </w:rPr>
        <w:t>供应商</w:t>
      </w:r>
      <w:r>
        <w:rPr>
          <w:rFonts w:hint="eastAsia" w:ascii="仿宋" w:hAnsi="仿宋" w:eastAsia="仿宋" w:cs="仿宋"/>
          <w:highlight w:val="none"/>
        </w:rPr>
        <w:t>不得以向采购人、评标委员会成员行贿或者采取其他不正当手段谋取中标。</w:t>
      </w:r>
    </w:p>
    <w:p w14:paraId="1A1517CF">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5.2.1 有下列情形之一的，属于</w:t>
      </w:r>
      <w:r>
        <w:rPr>
          <w:rFonts w:hint="eastAsia" w:ascii="仿宋" w:hAnsi="仿宋" w:eastAsia="仿宋" w:cs="仿宋"/>
          <w:b/>
          <w:bCs/>
          <w:highlight w:val="none"/>
          <w:lang w:eastAsia="zh-CN"/>
        </w:rPr>
        <w:t>供应商</w:t>
      </w:r>
      <w:r>
        <w:rPr>
          <w:rFonts w:hint="eastAsia" w:ascii="仿宋" w:hAnsi="仿宋" w:eastAsia="仿宋" w:cs="仿宋"/>
          <w:b/>
          <w:bCs/>
          <w:highlight w:val="none"/>
        </w:rPr>
        <w:t>相互串通投标：</w:t>
      </w:r>
    </w:p>
    <w:p w14:paraId="61BA2D9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5.2.1.1 </w:t>
      </w:r>
      <w:r>
        <w:rPr>
          <w:rFonts w:hint="eastAsia" w:ascii="仿宋" w:hAnsi="仿宋" w:eastAsia="仿宋" w:cs="仿宋"/>
          <w:highlight w:val="none"/>
          <w:lang w:eastAsia="zh-CN"/>
        </w:rPr>
        <w:t>供应商</w:t>
      </w:r>
      <w:r>
        <w:rPr>
          <w:rFonts w:hint="eastAsia" w:ascii="仿宋" w:hAnsi="仿宋" w:eastAsia="仿宋" w:cs="仿宋"/>
          <w:highlight w:val="none"/>
        </w:rPr>
        <w:t>之间协商投标报价等投标文件的实质性内容；</w:t>
      </w:r>
    </w:p>
    <w:p w14:paraId="4941FC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5.2.1.2 </w:t>
      </w:r>
      <w:r>
        <w:rPr>
          <w:rFonts w:hint="eastAsia" w:ascii="仿宋" w:hAnsi="仿宋" w:eastAsia="仿宋" w:cs="仿宋"/>
          <w:highlight w:val="none"/>
          <w:lang w:eastAsia="zh-CN"/>
        </w:rPr>
        <w:t>供应商</w:t>
      </w:r>
      <w:r>
        <w:rPr>
          <w:rFonts w:hint="eastAsia" w:ascii="仿宋" w:hAnsi="仿宋" w:eastAsia="仿宋" w:cs="仿宋"/>
          <w:highlight w:val="none"/>
        </w:rPr>
        <w:t>之间约定中标人；</w:t>
      </w:r>
    </w:p>
    <w:p w14:paraId="07CC29F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5.2.1.3 </w:t>
      </w:r>
      <w:r>
        <w:rPr>
          <w:rFonts w:hint="eastAsia" w:ascii="仿宋" w:hAnsi="仿宋" w:eastAsia="仿宋" w:cs="仿宋"/>
          <w:highlight w:val="none"/>
          <w:lang w:eastAsia="zh-CN"/>
        </w:rPr>
        <w:t>供应商</w:t>
      </w:r>
      <w:r>
        <w:rPr>
          <w:rFonts w:hint="eastAsia" w:ascii="仿宋" w:hAnsi="仿宋" w:eastAsia="仿宋" w:cs="仿宋"/>
          <w:highlight w:val="none"/>
        </w:rPr>
        <w:t>之间约定部分</w:t>
      </w:r>
      <w:r>
        <w:rPr>
          <w:rFonts w:hint="eastAsia" w:ascii="仿宋" w:hAnsi="仿宋" w:eastAsia="仿宋" w:cs="仿宋"/>
          <w:highlight w:val="none"/>
          <w:lang w:eastAsia="zh-CN"/>
        </w:rPr>
        <w:t>供应商</w:t>
      </w:r>
      <w:r>
        <w:rPr>
          <w:rFonts w:hint="eastAsia" w:ascii="仿宋" w:hAnsi="仿宋" w:eastAsia="仿宋" w:cs="仿宋"/>
          <w:highlight w:val="none"/>
        </w:rPr>
        <w:t>放弃投标或者中标；</w:t>
      </w:r>
    </w:p>
    <w:p w14:paraId="3F51E44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5.2.1.4 属于同一集团、协会、商会等组织成员的</w:t>
      </w:r>
      <w:r>
        <w:rPr>
          <w:rFonts w:hint="eastAsia" w:ascii="仿宋" w:hAnsi="仿宋" w:eastAsia="仿宋" w:cs="仿宋"/>
          <w:highlight w:val="none"/>
          <w:lang w:eastAsia="zh-CN"/>
        </w:rPr>
        <w:t>供应商</w:t>
      </w:r>
      <w:r>
        <w:rPr>
          <w:rFonts w:hint="eastAsia" w:ascii="仿宋" w:hAnsi="仿宋" w:eastAsia="仿宋" w:cs="仿宋"/>
          <w:highlight w:val="none"/>
        </w:rPr>
        <w:t>按照该组织要求协同投标；</w:t>
      </w:r>
    </w:p>
    <w:p w14:paraId="62894DD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5.2.1.5 </w:t>
      </w:r>
      <w:r>
        <w:rPr>
          <w:rFonts w:hint="eastAsia" w:ascii="仿宋" w:hAnsi="仿宋" w:eastAsia="仿宋" w:cs="仿宋"/>
          <w:highlight w:val="none"/>
          <w:lang w:eastAsia="zh-CN"/>
        </w:rPr>
        <w:t>供应商</w:t>
      </w:r>
      <w:r>
        <w:rPr>
          <w:rFonts w:hint="eastAsia" w:ascii="仿宋" w:hAnsi="仿宋" w:eastAsia="仿宋" w:cs="仿宋"/>
          <w:highlight w:val="none"/>
        </w:rPr>
        <w:t>之间为谋取中标或者排斥特定</w:t>
      </w:r>
      <w:r>
        <w:rPr>
          <w:rFonts w:hint="eastAsia" w:ascii="仿宋" w:hAnsi="仿宋" w:eastAsia="仿宋" w:cs="仿宋"/>
          <w:highlight w:val="none"/>
          <w:lang w:eastAsia="zh-CN"/>
        </w:rPr>
        <w:t>供应商</w:t>
      </w:r>
      <w:r>
        <w:rPr>
          <w:rFonts w:hint="eastAsia" w:ascii="仿宋" w:hAnsi="仿宋" w:eastAsia="仿宋" w:cs="仿宋"/>
          <w:highlight w:val="none"/>
        </w:rPr>
        <w:t>而采取的其他联合行动。</w:t>
      </w:r>
    </w:p>
    <w:p w14:paraId="22B9A22E">
      <w:pPr>
        <w:snapToGrid w:val="0"/>
        <w:spacing w:line="360" w:lineRule="auto"/>
        <w:ind w:firstLine="482" w:firstLineChars="200"/>
        <w:rPr>
          <w:rFonts w:ascii="仿宋" w:hAnsi="仿宋" w:eastAsia="仿宋" w:cs="仿宋"/>
          <w:b/>
          <w:bCs/>
          <w:highlight w:val="none"/>
        </w:rPr>
      </w:pPr>
      <w:r>
        <w:rPr>
          <w:rFonts w:hint="eastAsia" w:ascii="仿宋" w:hAnsi="仿宋" w:eastAsia="仿宋" w:cs="仿宋"/>
          <w:b/>
          <w:bCs/>
          <w:highlight w:val="none"/>
        </w:rPr>
        <w:t>5.2.2 有下列情形之一的，</w:t>
      </w:r>
      <w:r>
        <w:rPr>
          <w:rFonts w:ascii="仿宋" w:hAnsi="仿宋" w:eastAsia="仿宋" w:cs="仿宋"/>
          <w:b/>
          <w:bCs/>
          <w:highlight w:val="none"/>
        </w:rPr>
        <w:t>视为</w:t>
      </w:r>
      <w:r>
        <w:rPr>
          <w:rFonts w:hint="eastAsia" w:ascii="仿宋" w:hAnsi="仿宋" w:eastAsia="仿宋" w:cs="仿宋"/>
          <w:b/>
          <w:bCs/>
          <w:highlight w:val="none"/>
          <w:lang w:eastAsia="zh-CN"/>
        </w:rPr>
        <w:t>供应商</w:t>
      </w:r>
      <w:r>
        <w:rPr>
          <w:rFonts w:ascii="仿宋" w:hAnsi="仿宋" w:eastAsia="仿宋" w:cs="仿宋"/>
          <w:b/>
          <w:bCs/>
          <w:highlight w:val="none"/>
        </w:rPr>
        <w:t>串通投标，其投标无效：</w:t>
      </w:r>
    </w:p>
    <w:p w14:paraId="03FE201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5.2.2.1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的投标文件由同一单位或者个人编制；</w:t>
      </w:r>
    </w:p>
    <w:p w14:paraId="4A007E6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5.2.2.2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委托同一单位或者个人办理投标事宜；</w:t>
      </w:r>
    </w:p>
    <w:p w14:paraId="226BBE7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5.2.2.3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的投标文件载明的项目管理成员或者联系人员为同一人；</w:t>
      </w:r>
    </w:p>
    <w:p w14:paraId="24F2DDA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5.2.2.4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的投标文件异常一致或者投标报价呈规律性差异；</w:t>
      </w:r>
    </w:p>
    <w:p w14:paraId="5E12F295">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5.2.2.5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的投标文件相互混装；</w:t>
      </w:r>
    </w:p>
    <w:p w14:paraId="5DCBE94D">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 xml:space="preserve">5.2.2.6 </w:t>
      </w:r>
      <w:r>
        <w:rPr>
          <w:rFonts w:ascii="仿宋" w:hAnsi="仿宋" w:eastAsia="仿宋" w:cs="仿宋"/>
          <w:highlight w:val="none"/>
        </w:rPr>
        <w:t>不同</w:t>
      </w:r>
      <w:r>
        <w:rPr>
          <w:rFonts w:hint="eastAsia" w:ascii="仿宋" w:hAnsi="仿宋" w:eastAsia="仿宋" w:cs="仿宋"/>
          <w:highlight w:val="none"/>
          <w:lang w:eastAsia="zh-CN"/>
        </w:rPr>
        <w:t>供应商</w:t>
      </w:r>
      <w:r>
        <w:rPr>
          <w:rFonts w:ascii="仿宋" w:hAnsi="仿宋" w:eastAsia="仿宋" w:cs="仿宋"/>
          <w:highlight w:val="none"/>
        </w:rPr>
        <w:t>的投标保证金从同一单位或者个人的账户转出。</w:t>
      </w:r>
    </w:p>
    <w:p w14:paraId="2FD639AB">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6.通知</w:t>
      </w:r>
    </w:p>
    <w:p w14:paraId="37BFD16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6.1</w:t>
      </w:r>
      <w:r>
        <w:rPr>
          <w:rFonts w:hint="eastAsia" w:ascii="仿宋" w:hAnsi="仿宋" w:eastAsia="仿宋" w:cs="仿宋"/>
          <w:highlight w:val="none"/>
        </w:rPr>
        <w:t>对与本项目有关的通知，采购代理机构将以书面（包括书面材料、信函、传真等，下同）或在本次招标公告刊登的媒体上发布公告的形式，向潜在</w:t>
      </w:r>
      <w:r>
        <w:rPr>
          <w:rFonts w:hint="eastAsia" w:ascii="仿宋" w:hAnsi="仿宋" w:eastAsia="仿宋" w:cs="仿宋"/>
          <w:highlight w:val="none"/>
          <w:lang w:eastAsia="zh-CN"/>
        </w:rPr>
        <w:t>供应商</w:t>
      </w:r>
      <w:r>
        <w:rPr>
          <w:rFonts w:hint="eastAsia" w:ascii="仿宋" w:hAnsi="仿宋" w:eastAsia="仿宋" w:cs="仿宋"/>
          <w:highlight w:val="none"/>
        </w:rPr>
        <w:t>发出，传真和电话号码以潜在</w:t>
      </w:r>
      <w:r>
        <w:rPr>
          <w:rFonts w:hint="eastAsia" w:ascii="仿宋" w:hAnsi="仿宋" w:eastAsia="仿宋" w:cs="仿宋"/>
          <w:highlight w:val="none"/>
          <w:lang w:eastAsia="zh-CN"/>
        </w:rPr>
        <w:t>供应商</w:t>
      </w:r>
      <w:r>
        <w:rPr>
          <w:rFonts w:hint="eastAsia" w:ascii="仿宋" w:hAnsi="仿宋" w:eastAsia="仿宋" w:cs="仿宋"/>
          <w:highlight w:val="none"/>
        </w:rPr>
        <w:t>的登记为准。收到通知的</w:t>
      </w:r>
      <w:r>
        <w:rPr>
          <w:rFonts w:hint="eastAsia" w:ascii="仿宋" w:hAnsi="仿宋" w:eastAsia="仿宋" w:cs="仿宋"/>
          <w:highlight w:val="none"/>
          <w:lang w:eastAsia="zh-CN"/>
        </w:rPr>
        <w:t>供应商</w:t>
      </w:r>
      <w:r>
        <w:rPr>
          <w:rFonts w:hint="eastAsia" w:ascii="仿宋" w:hAnsi="仿宋" w:eastAsia="仿宋" w:cs="仿宋"/>
          <w:highlight w:val="none"/>
        </w:rPr>
        <w:t>须立即予以回复确认，但</w:t>
      </w:r>
      <w:r>
        <w:rPr>
          <w:rFonts w:hint="eastAsia" w:ascii="仿宋" w:hAnsi="仿宋" w:eastAsia="仿宋" w:cs="仿宋"/>
          <w:highlight w:val="none"/>
          <w:lang w:eastAsia="zh-CN"/>
        </w:rPr>
        <w:t>供应商</w:t>
      </w:r>
      <w:r>
        <w:rPr>
          <w:rFonts w:hint="eastAsia" w:ascii="仿宋" w:hAnsi="仿宋" w:eastAsia="仿宋" w:cs="仿宋"/>
          <w:highlight w:val="none"/>
        </w:rPr>
        <w:t>未回复或采购代理机构未收到回复时，并不应当被理解为采购代理机构知道或应当知道</w:t>
      </w:r>
      <w:r>
        <w:rPr>
          <w:rFonts w:hint="eastAsia" w:ascii="仿宋" w:hAnsi="仿宋" w:eastAsia="仿宋" w:cs="仿宋"/>
          <w:highlight w:val="none"/>
          <w:lang w:eastAsia="zh-CN"/>
        </w:rPr>
        <w:t>供应商</w:t>
      </w:r>
      <w:r>
        <w:rPr>
          <w:rFonts w:hint="eastAsia" w:ascii="仿宋" w:hAnsi="仿宋" w:eastAsia="仿宋" w:cs="仿宋"/>
          <w:highlight w:val="none"/>
        </w:rPr>
        <w:t>是否收到通知。因登记有误、传真线路故障或其它任何意外情形，导致所发出的通知延迟送达或无法到达</w:t>
      </w:r>
      <w:r>
        <w:rPr>
          <w:rFonts w:hint="eastAsia" w:ascii="仿宋" w:hAnsi="仿宋" w:eastAsia="仿宋" w:cs="仿宋"/>
          <w:highlight w:val="none"/>
          <w:lang w:eastAsia="zh-CN"/>
        </w:rPr>
        <w:t>供应商</w:t>
      </w:r>
      <w:r>
        <w:rPr>
          <w:rFonts w:hint="eastAsia" w:ascii="仿宋" w:hAnsi="仿宋" w:eastAsia="仿宋" w:cs="仿宋"/>
          <w:highlight w:val="none"/>
        </w:rPr>
        <w:t>，采购代理机构不因此承担任何责任，有关的招标活动可以继续有效地进行。</w:t>
      </w:r>
    </w:p>
    <w:p w14:paraId="678A1801">
      <w:pPr>
        <w:snapToGrid w:val="0"/>
        <w:spacing w:line="360" w:lineRule="auto"/>
        <w:ind w:firstLine="562" w:firstLineChars="200"/>
        <w:jc w:val="center"/>
        <w:rPr>
          <w:rFonts w:hint="eastAsia" w:ascii="仿宋" w:hAnsi="仿宋" w:eastAsia="仿宋" w:cs="仿宋"/>
          <w:b/>
          <w:kern w:val="2"/>
          <w:sz w:val="28"/>
          <w:szCs w:val="28"/>
          <w:highlight w:val="none"/>
          <w:lang w:val="zh-CN"/>
        </w:rPr>
      </w:pPr>
      <w:r>
        <w:rPr>
          <w:rFonts w:hint="eastAsia" w:ascii="仿宋" w:hAnsi="仿宋" w:eastAsia="仿宋" w:cs="仿宋"/>
          <w:b/>
          <w:kern w:val="2"/>
          <w:sz w:val="28"/>
          <w:szCs w:val="28"/>
          <w:highlight w:val="none"/>
          <w:lang w:val="zh-CN"/>
        </w:rPr>
        <w:t>二、</w:t>
      </w:r>
      <w:r>
        <w:rPr>
          <w:rFonts w:hint="eastAsia" w:ascii="仿宋" w:hAnsi="仿宋" w:eastAsia="仿宋" w:cs="仿宋"/>
          <w:b/>
          <w:kern w:val="2"/>
          <w:sz w:val="28"/>
          <w:szCs w:val="28"/>
          <w:highlight w:val="none"/>
        </w:rPr>
        <w:t>招标</w:t>
      </w:r>
      <w:r>
        <w:rPr>
          <w:rFonts w:hint="eastAsia" w:ascii="仿宋" w:hAnsi="仿宋" w:eastAsia="仿宋" w:cs="仿宋"/>
          <w:b/>
          <w:kern w:val="2"/>
          <w:sz w:val="28"/>
          <w:szCs w:val="28"/>
          <w:highlight w:val="none"/>
          <w:lang w:val="zh-CN"/>
        </w:rPr>
        <w:t>文件</w:t>
      </w:r>
    </w:p>
    <w:p w14:paraId="337956C2">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rPr>
        <w:t>7.招标</w:t>
      </w:r>
      <w:r>
        <w:rPr>
          <w:rFonts w:hint="eastAsia" w:ascii="仿宋" w:hAnsi="仿宋" w:eastAsia="仿宋" w:cs="仿宋"/>
          <w:b/>
          <w:bCs/>
          <w:kern w:val="2"/>
          <w:highlight w:val="none"/>
          <w:lang w:val="zh-CN"/>
        </w:rPr>
        <w:t>文件</w:t>
      </w:r>
      <w:r>
        <w:rPr>
          <w:rFonts w:hint="eastAsia" w:ascii="仿宋" w:hAnsi="仿宋" w:eastAsia="仿宋" w:cs="仿宋"/>
          <w:b/>
          <w:bCs/>
          <w:kern w:val="2"/>
          <w:highlight w:val="none"/>
        </w:rPr>
        <w:t>组</w:t>
      </w:r>
      <w:r>
        <w:rPr>
          <w:rFonts w:hint="eastAsia" w:ascii="仿宋" w:hAnsi="仿宋" w:eastAsia="仿宋" w:cs="仿宋"/>
          <w:b/>
          <w:bCs/>
          <w:kern w:val="2"/>
          <w:highlight w:val="none"/>
          <w:lang w:val="zh-CN"/>
        </w:rPr>
        <w:t>成</w:t>
      </w:r>
    </w:p>
    <w:p w14:paraId="68F23083">
      <w:pPr>
        <w:tabs>
          <w:tab w:val="left" w:pos="645"/>
        </w:tabs>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7.1 招标文件由招标文件目录所列内容组成。</w:t>
      </w:r>
    </w:p>
    <w:p w14:paraId="28CFDEDE">
      <w:pPr>
        <w:tabs>
          <w:tab w:val="left" w:pos="645"/>
        </w:tabs>
        <w:snapToGrid w:val="0"/>
        <w:spacing w:line="360" w:lineRule="auto"/>
        <w:ind w:firstLine="482" w:firstLineChars="200"/>
        <w:jc w:val="both"/>
        <w:rPr>
          <w:rFonts w:hint="eastAsia" w:ascii="仿宋" w:hAnsi="仿宋" w:eastAsia="仿宋" w:cs="仿宋"/>
          <w:b/>
          <w:bCs/>
          <w:kern w:val="2"/>
          <w:highlight w:val="none"/>
          <w:lang w:val="zh-CN"/>
        </w:rPr>
      </w:pPr>
      <w:r>
        <w:rPr>
          <w:rFonts w:hint="eastAsia" w:ascii="仿宋" w:hAnsi="仿宋" w:eastAsia="仿宋" w:cs="仿宋"/>
          <w:b/>
          <w:bCs/>
          <w:kern w:val="2"/>
          <w:highlight w:val="none"/>
        </w:rPr>
        <w:t>8.</w:t>
      </w:r>
      <w:r>
        <w:rPr>
          <w:rFonts w:hint="eastAsia" w:ascii="仿宋" w:hAnsi="仿宋" w:eastAsia="仿宋" w:cs="仿宋"/>
          <w:b/>
          <w:bCs/>
          <w:kern w:val="2"/>
          <w:highlight w:val="none"/>
          <w:lang w:val="zh-CN"/>
        </w:rPr>
        <w:t>踏勘现场（本项目自行踏勘）</w:t>
      </w:r>
    </w:p>
    <w:p w14:paraId="1BA336D7">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8.1</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本项目是否统一组织供应商踏勘现场见招标文件“供应商须知前附表”中第</w:t>
      </w:r>
      <w:r>
        <w:rPr>
          <w:rFonts w:hint="eastAsia" w:ascii="仿宋" w:hAnsi="仿宋" w:eastAsia="仿宋" w:cs="仿宋"/>
          <w:kern w:val="2"/>
          <w:highlight w:val="none"/>
        </w:rPr>
        <w:t>19</w:t>
      </w:r>
      <w:r>
        <w:rPr>
          <w:rFonts w:hint="eastAsia" w:ascii="仿宋" w:hAnsi="仿宋" w:eastAsia="仿宋" w:cs="仿宋"/>
          <w:kern w:val="2"/>
          <w:highlight w:val="none"/>
          <w:lang w:val="zh-CN"/>
        </w:rPr>
        <w:t>项的规定。无论是否统一组织，供应商应对现场和周围环境进行勘察，以获取编制投标文件所需的资料。</w:t>
      </w:r>
    </w:p>
    <w:p w14:paraId="559CAF04">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8.2</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14:paraId="76857B09">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8.3</w:t>
      </w:r>
      <w:r>
        <w:rPr>
          <w:rFonts w:hint="eastAsia" w:ascii="仿宋" w:hAnsi="仿宋" w:eastAsia="仿宋" w:cs="仿宋"/>
          <w:kern w:val="2"/>
          <w:highlight w:val="none"/>
        </w:rPr>
        <w:t xml:space="preserve"> </w:t>
      </w:r>
      <w:r>
        <w:rPr>
          <w:rFonts w:hint="eastAsia" w:ascii="仿宋" w:hAnsi="仿宋" w:eastAsia="仿宋" w:cs="仿宋"/>
          <w:kern w:val="2"/>
          <w:highlight w:val="none"/>
          <w:lang w:val="zh-CN"/>
        </w:rPr>
        <w:t>除非有特殊要求，招标文件不单独提供使用地的自然环境、气候条件、公用设施等情况，供应商被视为熟悉上述与履行合同有关的一切情况。</w:t>
      </w:r>
    </w:p>
    <w:p w14:paraId="16EE3BB6">
      <w:pPr>
        <w:snapToGrid w:val="0"/>
        <w:spacing w:line="360" w:lineRule="auto"/>
        <w:ind w:firstLine="480" w:firstLineChars="200"/>
        <w:jc w:val="both"/>
        <w:rPr>
          <w:rFonts w:hint="eastAsia" w:ascii="仿宋" w:hAnsi="仿宋" w:eastAsia="仿宋" w:cs="仿宋"/>
          <w:kern w:val="2"/>
          <w:highlight w:val="none"/>
          <w:lang w:val="zh-CN"/>
        </w:rPr>
      </w:pPr>
      <w:r>
        <w:rPr>
          <w:rFonts w:hint="eastAsia" w:ascii="仿宋" w:hAnsi="仿宋" w:eastAsia="仿宋" w:cs="仿宋"/>
          <w:kern w:val="2"/>
          <w:highlight w:val="none"/>
          <w:lang w:val="zh-CN"/>
        </w:rPr>
        <w:t>8.4除采购人原因外，供应商自行负责在踏勘现场中所发生的人员伤亡和财产损失。</w:t>
      </w:r>
    </w:p>
    <w:p w14:paraId="11F4B408">
      <w:pPr>
        <w:spacing w:line="360" w:lineRule="auto"/>
        <w:ind w:firstLine="482" w:firstLineChars="200"/>
        <w:rPr>
          <w:rFonts w:hint="eastAsia" w:ascii="仿宋" w:hAnsi="仿宋" w:eastAsia="仿宋" w:cs="宋体"/>
          <w:bCs/>
          <w:sz w:val="24"/>
          <w:szCs w:val="24"/>
          <w:highlight w:val="none"/>
        </w:rPr>
      </w:pPr>
      <w:r>
        <w:rPr>
          <w:rFonts w:hint="eastAsia" w:ascii="仿宋" w:hAnsi="仿宋" w:eastAsia="仿宋" w:cs="宋体"/>
          <w:b/>
          <w:sz w:val="24"/>
          <w:szCs w:val="24"/>
          <w:highlight w:val="none"/>
        </w:rPr>
        <w:t>9.知识产权</w:t>
      </w:r>
    </w:p>
    <w:p w14:paraId="4695AD34">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9.1供应商须保证，采购人在中华人民共和国境内使用投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68B6A38B">
      <w:pPr>
        <w:spacing w:line="360" w:lineRule="auto"/>
        <w:ind w:firstLine="480" w:firstLineChars="200"/>
        <w:rPr>
          <w:rFonts w:hint="eastAsia"/>
          <w:highlight w:val="none"/>
          <w:lang w:val="zh-CN"/>
        </w:rPr>
      </w:pPr>
      <w:r>
        <w:rPr>
          <w:rFonts w:hint="eastAsia" w:ascii="仿宋" w:hAnsi="仿宋" w:eastAsia="仿宋" w:cs="宋体"/>
          <w:sz w:val="24"/>
          <w:szCs w:val="24"/>
          <w:highlight w:val="none"/>
        </w:rPr>
        <w:t>9.2供应商如欲在项目实施过程中采用自有知识成果，须在投标文件中声明，并提供相关知识产权证明文件。使用该知识成果后，供应商须提供开发接口和开发手册等技术文档。</w:t>
      </w:r>
    </w:p>
    <w:p w14:paraId="4CE07789">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10</w:t>
      </w:r>
      <w:r>
        <w:rPr>
          <w:rFonts w:hint="eastAsia" w:ascii="仿宋" w:hAnsi="仿宋" w:eastAsia="仿宋" w:cs="仿宋"/>
          <w:b/>
          <w:bCs/>
          <w:kern w:val="2"/>
          <w:highlight w:val="none"/>
        </w:rPr>
        <w:t>.招标</w:t>
      </w:r>
      <w:r>
        <w:rPr>
          <w:rFonts w:hint="eastAsia" w:ascii="仿宋" w:hAnsi="仿宋" w:eastAsia="仿宋" w:cs="仿宋"/>
          <w:b/>
          <w:bCs/>
          <w:kern w:val="2"/>
          <w:highlight w:val="none"/>
          <w:lang w:val="zh-CN"/>
        </w:rPr>
        <w:t>文件的澄清</w:t>
      </w:r>
    </w:p>
    <w:p w14:paraId="739C7A86">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10</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投标人如果对招标文件有疑问或要求进行澄清的，应按照招标文件第二</w:t>
      </w:r>
      <w:r>
        <w:rPr>
          <w:rFonts w:hint="eastAsia" w:ascii="仿宋" w:hAnsi="仿宋" w:eastAsia="仿宋" w:cs="仿宋"/>
          <w:bCs/>
          <w:kern w:val="2"/>
          <w:highlight w:val="none"/>
          <w:lang w:val="en-US" w:eastAsia="zh-CN"/>
        </w:rPr>
        <w:t>章</w:t>
      </w:r>
      <w:r>
        <w:rPr>
          <w:rFonts w:hint="eastAsia" w:ascii="仿宋" w:hAnsi="仿宋" w:eastAsia="仿宋" w:cs="仿宋"/>
          <w:bCs/>
          <w:kern w:val="2"/>
          <w:highlight w:val="none"/>
          <w:lang w:val="zh-CN"/>
        </w:rPr>
        <w:t>“投标人须知前附表”第</w:t>
      </w:r>
      <w:r>
        <w:rPr>
          <w:rFonts w:hint="eastAsia" w:ascii="仿宋" w:hAnsi="仿宋" w:eastAsia="仿宋" w:cs="仿宋"/>
          <w:bCs/>
          <w:kern w:val="2"/>
          <w:highlight w:val="none"/>
          <w:lang w:val="en-US" w:eastAsia="zh-CN"/>
        </w:rPr>
        <w:t>24</w:t>
      </w:r>
      <w:r>
        <w:rPr>
          <w:rFonts w:hint="eastAsia" w:ascii="仿宋" w:hAnsi="仿宋" w:eastAsia="仿宋" w:cs="仿宋"/>
          <w:bCs/>
          <w:kern w:val="2"/>
          <w:highlight w:val="none"/>
          <w:lang w:val="zh-CN"/>
        </w:rPr>
        <w:t>项规定向采购代理机构提出。提出后，请投标人及时通过</w:t>
      </w:r>
      <w:r>
        <w:rPr>
          <w:rFonts w:hint="eastAsia" w:ascii="仿宋" w:hAnsi="仿宋" w:eastAsia="仿宋" w:cs="仿宋"/>
          <w:bCs/>
          <w:kern w:val="2"/>
          <w:highlight w:val="none"/>
          <w:lang w:val="en-US" w:eastAsia="zh-CN"/>
        </w:rPr>
        <w:t>政采云</w:t>
      </w:r>
      <w:r>
        <w:rPr>
          <w:rFonts w:hint="eastAsia" w:ascii="仿宋" w:hAnsi="仿宋" w:eastAsia="仿宋" w:cs="仿宋"/>
          <w:bCs/>
          <w:kern w:val="2"/>
          <w:highlight w:val="none"/>
          <w:lang w:val="zh-CN"/>
        </w:rPr>
        <w:t>平台“答疑文件下载”栏目查看答疑文件或澄清文件。必要时，采购代理机构将组织相关专家召开答疑会，如召开，答疑会安排另行通知。</w:t>
      </w:r>
    </w:p>
    <w:p w14:paraId="5BB80BF7">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lang w:eastAsia="zh-CN"/>
        </w:rPr>
        <w:t>投标人</w:t>
      </w:r>
      <w:r>
        <w:rPr>
          <w:rFonts w:hint="eastAsia" w:ascii="仿宋" w:hAnsi="仿宋" w:eastAsia="仿宋" w:cs="宋体"/>
          <w:sz w:val="24"/>
          <w:highlight w:val="none"/>
        </w:rPr>
        <w:t>在规定的时间内未对招标文件提出疑问或要求澄清的，采购代理机构将视其为同意，对在“答疑接受时间”后就招标文件内容提出的疑问及澄清要求将不予受理。</w:t>
      </w:r>
    </w:p>
    <w:p w14:paraId="32F98A09">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10.2 无论出于何种原因，采购代理机构主动或出于解答</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发出澄清、修改的补充文件。需要为此调整投标文件提交截止时间的，应当重新确定，并就变更后的投标截止时间重新发出通知。</w:t>
      </w:r>
    </w:p>
    <w:p w14:paraId="79080AB2">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特殊情况下，采购代理机构发布澄清、修改文件后，征得</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同意，可不改变投标截止时间和开标时间。</w:t>
      </w:r>
    </w:p>
    <w:p w14:paraId="23B85266">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10.3 采购代理机构一旦对招标文件作出了澄清、修改，即刻发生效力，采购代理机构有关的补充文件，将作为招标文件的组成部分，对所有现实的或潜在的</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均具有约束力，而无论是否已经实际收到上述文件。同时，采购代理机构和</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的权利及义务将受到新的截止期的约束。</w:t>
      </w:r>
    </w:p>
    <w:p w14:paraId="119FD96A">
      <w:pPr>
        <w:pStyle w:val="60"/>
        <w:spacing w:line="360" w:lineRule="auto"/>
        <w:ind w:firstLine="480" w:firstLineChars="200"/>
        <w:rPr>
          <w:rFonts w:hint="eastAsia" w:ascii="仿宋" w:hAnsi="仿宋" w:eastAsia="仿宋" w:cs="宋体"/>
          <w:b/>
          <w:sz w:val="24"/>
          <w:highlight w:val="none"/>
        </w:rPr>
      </w:pPr>
      <w:r>
        <w:rPr>
          <w:rFonts w:hint="eastAsia" w:ascii="仿宋" w:hAnsi="仿宋" w:eastAsia="仿宋" w:cs="宋体"/>
          <w:sz w:val="24"/>
          <w:highlight w:val="none"/>
        </w:rPr>
        <w:t>10.4 采购代理机构对招标文件作出的澄清、修改在</w:t>
      </w:r>
      <w:r>
        <w:rPr>
          <w:rFonts w:hint="eastAsia" w:ascii="仿宋" w:hAnsi="仿宋" w:eastAsia="仿宋" w:cs="宋体"/>
          <w:sz w:val="24"/>
          <w:highlight w:val="none"/>
          <w:lang w:val="en-US" w:eastAsia="zh-CN"/>
        </w:rPr>
        <w:t>政采云平台</w:t>
      </w:r>
      <w:r>
        <w:rPr>
          <w:rFonts w:hint="eastAsia" w:ascii="仿宋" w:hAnsi="仿宋" w:eastAsia="仿宋" w:cs="宋体"/>
          <w:sz w:val="24"/>
          <w:highlight w:val="none"/>
        </w:rPr>
        <w:t>内进行披露，请</w:t>
      </w:r>
      <w:r>
        <w:rPr>
          <w:rFonts w:hint="eastAsia" w:ascii="仿宋" w:hAnsi="仿宋" w:eastAsia="仿宋" w:cs="宋体"/>
          <w:sz w:val="24"/>
          <w:highlight w:val="none"/>
          <w:lang w:val="en-US" w:eastAsia="zh-CN"/>
        </w:rPr>
        <w:t>供应商</w:t>
      </w:r>
      <w:r>
        <w:rPr>
          <w:rFonts w:hint="eastAsia" w:ascii="仿宋" w:hAnsi="仿宋" w:eastAsia="仿宋" w:cs="宋体"/>
          <w:sz w:val="24"/>
          <w:highlight w:val="none"/>
        </w:rPr>
        <w:t>及时关注并获取相关资料。因登记有误、线路故障或其它任何意外情形，导致</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14:paraId="2B817D85">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10.5 澄清、修改文件发出后，</w:t>
      </w:r>
      <w:r>
        <w:rPr>
          <w:rFonts w:hint="eastAsia" w:ascii="仿宋" w:hAnsi="仿宋" w:eastAsia="仿宋" w:cs="宋体"/>
          <w:sz w:val="24"/>
          <w:highlight w:val="none"/>
          <w:lang w:eastAsia="zh-CN"/>
        </w:rPr>
        <w:t>投标人</w:t>
      </w:r>
      <w:r>
        <w:rPr>
          <w:rFonts w:hint="eastAsia" w:ascii="仿宋" w:hAnsi="仿宋" w:eastAsia="仿宋" w:cs="宋体"/>
          <w:sz w:val="24"/>
          <w:highlight w:val="none"/>
        </w:rPr>
        <w:t>必须使用最新的答疑、澄清文件制作电子投标文件，否则将无法完成上传。</w:t>
      </w:r>
    </w:p>
    <w:p w14:paraId="19784F23">
      <w:pPr>
        <w:tabs>
          <w:tab w:val="left" w:pos="645"/>
        </w:tabs>
        <w:snapToGrid w:val="0"/>
        <w:spacing w:line="360" w:lineRule="auto"/>
        <w:ind w:firstLine="482" w:firstLineChars="200"/>
        <w:jc w:val="both"/>
        <w:rPr>
          <w:rFonts w:hint="eastAsia" w:ascii="仿宋" w:hAnsi="仿宋" w:eastAsia="仿宋" w:cs="仿宋"/>
          <w:b/>
          <w:bCs/>
          <w:kern w:val="2"/>
          <w:highlight w:val="none"/>
        </w:rPr>
      </w:pPr>
      <w:r>
        <w:rPr>
          <w:rFonts w:hint="eastAsia" w:ascii="仿宋" w:hAnsi="仿宋" w:eastAsia="仿宋" w:cs="仿宋"/>
          <w:b/>
          <w:bCs/>
          <w:kern w:val="2"/>
          <w:highlight w:val="none"/>
          <w:lang w:val="en-US" w:eastAsia="zh-CN"/>
        </w:rPr>
        <w:t>11</w:t>
      </w:r>
      <w:r>
        <w:rPr>
          <w:rFonts w:hint="eastAsia" w:ascii="仿宋" w:hAnsi="仿宋" w:eastAsia="仿宋" w:cs="仿宋"/>
          <w:b/>
          <w:bCs/>
          <w:kern w:val="2"/>
          <w:highlight w:val="none"/>
        </w:rPr>
        <w:t>.招标文件的修改或补充</w:t>
      </w:r>
    </w:p>
    <w:p w14:paraId="1FBDFA60">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.1</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在投标截止期</w:t>
      </w:r>
      <w:r>
        <w:rPr>
          <w:rFonts w:hint="eastAsia" w:ascii="仿宋" w:hAnsi="仿宋" w:eastAsia="仿宋" w:cs="仿宋"/>
          <w:bCs/>
          <w:kern w:val="2"/>
          <w:highlight w:val="none"/>
        </w:rPr>
        <w:t>十</w:t>
      </w:r>
      <w:r>
        <w:rPr>
          <w:rFonts w:hint="eastAsia" w:ascii="仿宋" w:hAnsi="仿宋" w:eastAsia="仿宋" w:cs="仿宋"/>
          <w:bCs/>
          <w:kern w:val="2"/>
          <w:highlight w:val="none"/>
          <w:lang w:val="zh-CN"/>
        </w:rPr>
        <w:t>五日前的任何时间，</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可主动或依据供应商要求澄清的问题而修改或补充招标文件，并以书面形式或网上公告通知所有供应商。</w:t>
      </w:r>
    </w:p>
    <w:p w14:paraId="1C5E8B8C">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.2</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为使供应商在准备投标时有适当的时间考虑投标文件的修改，</w:t>
      </w:r>
      <w:r>
        <w:rPr>
          <w:rFonts w:hint="eastAsia" w:ascii="仿宋" w:hAnsi="仿宋" w:eastAsia="仿宋" w:cs="仿宋"/>
          <w:bCs/>
          <w:kern w:val="2"/>
          <w:highlight w:val="none"/>
        </w:rPr>
        <w:t>招标人</w:t>
      </w:r>
      <w:r>
        <w:rPr>
          <w:rFonts w:hint="eastAsia" w:ascii="仿宋" w:hAnsi="仿宋" w:eastAsia="仿宋" w:cs="仿宋"/>
          <w:bCs/>
          <w:kern w:val="2"/>
          <w:highlight w:val="none"/>
          <w:lang w:val="zh-CN"/>
        </w:rPr>
        <w:t>有权决定推迟投标截止时间和开标时间，并将此变更通知所有的供应商。</w:t>
      </w:r>
    </w:p>
    <w:p w14:paraId="724AFD63">
      <w:pPr>
        <w:snapToGrid w:val="0"/>
        <w:spacing w:line="360" w:lineRule="auto"/>
        <w:ind w:firstLine="480" w:firstLineChars="200"/>
        <w:jc w:val="both"/>
        <w:rPr>
          <w:rFonts w:hint="eastAsia" w:ascii="仿宋" w:hAnsi="仿宋" w:eastAsia="仿宋" w:cs="仿宋"/>
          <w:bCs/>
          <w:kern w:val="2"/>
          <w:highlight w:val="none"/>
          <w:lang w:val="zh-CN"/>
        </w:rPr>
      </w:pPr>
      <w:r>
        <w:rPr>
          <w:rFonts w:hint="eastAsia" w:ascii="仿宋" w:hAnsi="仿宋" w:eastAsia="仿宋" w:cs="仿宋"/>
          <w:bCs/>
          <w:kern w:val="2"/>
          <w:highlight w:val="none"/>
        </w:rPr>
        <w:t>1</w:t>
      </w:r>
      <w:r>
        <w:rPr>
          <w:rFonts w:hint="eastAsia" w:ascii="仿宋" w:hAnsi="仿宋" w:eastAsia="仿宋" w:cs="仿宋"/>
          <w:bCs/>
          <w:kern w:val="2"/>
          <w:highlight w:val="none"/>
          <w:lang w:val="en-US" w:eastAsia="zh-CN"/>
        </w:rPr>
        <w:t>1</w:t>
      </w:r>
      <w:r>
        <w:rPr>
          <w:rFonts w:hint="eastAsia" w:ascii="仿宋" w:hAnsi="仿宋" w:eastAsia="仿宋" w:cs="仿宋"/>
          <w:bCs/>
          <w:kern w:val="2"/>
          <w:highlight w:val="none"/>
          <w:lang w:val="zh-CN"/>
        </w:rPr>
        <w:t>.3</w:t>
      </w:r>
      <w:r>
        <w:rPr>
          <w:rFonts w:hint="eastAsia" w:ascii="仿宋" w:hAnsi="仿宋" w:eastAsia="仿宋" w:cs="仿宋"/>
          <w:bCs/>
          <w:kern w:val="2"/>
          <w:highlight w:val="none"/>
        </w:rPr>
        <w:t xml:space="preserve"> </w:t>
      </w:r>
      <w:r>
        <w:rPr>
          <w:rFonts w:hint="eastAsia" w:ascii="仿宋" w:hAnsi="仿宋" w:eastAsia="仿宋" w:cs="仿宋"/>
          <w:bCs/>
          <w:kern w:val="2"/>
          <w:highlight w:val="none"/>
          <w:lang w:val="zh-CN"/>
        </w:rPr>
        <w:t>招标文件的修改和补充文件将构成招标文件的一部分。</w:t>
      </w:r>
    </w:p>
    <w:p w14:paraId="3F38694C">
      <w:pPr>
        <w:snapToGrid w:val="0"/>
        <w:spacing w:line="360" w:lineRule="auto"/>
        <w:jc w:val="center"/>
        <w:rPr>
          <w:rFonts w:hint="eastAsia" w:ascii="仿宋" w:hAnsi="仿宋" w:eastAsia="仿宋" w:cs="仿宋"/>
          <w:b/>
          <w:kern w:val="2"/>
          <w:sz w:val="28"/>
          <w:szCs w:val="32"/>
          <w:highlight w:val="none"/>
        </w:rPr>
      </w:pPr>
      <w:r>
        <w:rPr>
          <w:rFonts w:hint="eastAsia" w:ascii="仿宋" w:hAnsi="仿宋" w:eastAsia="仿宋" w:cs="仿宋"/>
          <w:b/>
          <w:kern w:val="2"/>
          <w:sz w:val="28"/>
          <w:szCs w:val="32"/>
          <w:highlight w:val="none"/>
          <w:lang w:val="zh-CN"/>
        </w:rPr>
        <w:t>三、</w:t>
      </w:r>
      <w:r>
        <w:rPr>
          <w:rFonts w:hint="eastAsia" w:ascii="仿宋" w:hAnsi="仿宋" w:eastAsia="仿宋" w:cs="仿宋"/>
          <w:b/>
          <w:kern w:val="2"/>
          <w:sz w:val="28"/>
          <w:szCs w:val="32"/>
          <w:highlight w:val="none"/>
        </w:rPr>
        <w:t>投标</w:t>
      </w:r>
      <w:r>
        <w:rPr>
          <w:rFonts w:hint="eastAsia" w:ascii="仿宋" w:hAnsi="仿宋" w:eastAsia="仿宋" w:cs="仿宋"/>
          <w:b/>
          <w:kern w:val="2"/>
          <w:sz w:val="28"/>
          <w:szCs w:val="32"/>
          <w:highlight w:val="none"/>
          <w:lang w:val="zh-CN"/>
        </w:rPr>
        <w:t>文件的编制</w:t>
      </w:r>
    </w:p>
    <w:p w14:paraId="5C74654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2</w:t>
      </w:r>
      <w:r>
        <w:rPr>
          <w:rFonts w:hint="eastAsia" w:ascii="仿宋" w:hAnsi="仿宋" w:eastAsia="仿宋" w:cs="仿宋"/>
          <w:b/>
          <w:highlight w:val="none"/>
        </w:rPr>
        <w:t>.投标文件的语言及计量单位</w:t>
      </w:r>
    </w:p>
    <w:p w14:paraId="02F699E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提交的投标文件（包括技术文件和资料、图纸中的说明）以及</w:t>
      </w:r>
      <w:r>
        <w:rPr>
          <w:rFonts w:hint="eastAsia" w:ascii="仿宋" w:hAnsi="仿宋" w:eastAsia="仿宋" w:cs="仿宋"/>
          <w:highlight w:val="none"/>
          <w:lang w:eastAsia="zh-CN"/>
        </w:rPr>
        <w:t>供应商</w:t>
      </w:r>
      <w:r>
        <w:rPr>
          <w:rFonts w:hint="eastAsia" w:ascii="仿宋" w:hAnsi="仿宋" w:eastAsia="仿宋" w:cs="仿宋"/>
          <w:highlight w:val="none"/>
        </w:rPr>
        <w:t>与采购代理机构就有关投标的所有来往函电均应使用中文简体字。</w:t>
      </w:r>
    </w:p>
    <w:p w14:paraId="4429073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.2 原版为外文的证书类文件，以及由外国人作出的本人签名、外国公司的名称或外国印章等可以是外文，但应当提供中文翻译文件并加盖</w:t>
      </w:r>
      <w:r>
        <w:rPr>
          <w:rFonts w:hint="eastAsia" w:ascii="仿宋" w:hAnsi="仿宋" w:eastAsia="仿宋" w:cs="仿宋"/>
          <w:highlight w:val="none"/>
          <w:lang w:eastAsia="zh-CN"/>
        </w:rPr>
        <w:t>供应商</w:t>
      </w:r>
      <w:r>
        <w:rPr>
          <w:rFonts w:hint="eastAsia" w:ascii="仿宋" w:hAnsi="仿宋" w:eastAsia="仿宋" w:cs="仿宋"/>
          <w:highlight w:val="none"/>
        </w:rPr>
        <w:t>公章。必要时评标委员会可以要求</w:t>
      </w:r>
      <w:r>
        <w:rPr>
          <w:rFonts w:hint="eastAsia" w:ascii="仿宋" w:hAnsi="仿宋" w:eastAsia="仿宋" w:cs="仿宋"/>
          <w:highlight w:val="none"/>
          <w:lang w:eastAsia="zh-CN"/>
        </w:rPr>
        <w:t>供应商</w:t>
      </w:r>
      <w:r>
        <w:rPr>
          <w:rFonts w:hint="eastAsia" w:ascii="仿宋" w:hAnsi="仿宋" w:eastAsia="仿宋" w:cs="仿宋"/>
          <w:highlight w:val="none"/>
        </w:rPr>
        <w:t>提供附有公证书的中文翻译文件或者与原版文件签章相一致的中文翻译文件。原版为外文的证书类、证明类文件，与</w:t>
      </w:r>
      <w:r>
        <w:rPr>
          <w:rFonts w:hint="eastAsia" w:ascii="仿宋" w:hAnsi="仿宋" w:eastAsia="仿宋" w:cs="仿宋"/>
          <w:highlight w:val="none"/>
          <w:lang w:eastAsia="zh-CN"/>
        </w:rPr>
        <w:t>供应商</w:t>
      </w:r>
      <w:r>
        <w:rPr>
          <w:rFonts w:hint="eastAsia" w:ascii="仿宋" w:hAnsi="仿宋" w:eastAsia="仿宋" w:cs="仿宋"/>
          <w:highlight w:val="none"/>
        </w:rPr>
        <w:t>名称或其他实际情况不符的，</w:t>
      </w:r>
      <w:r>
        <w:rPr>
          <w:rFonts w:hint="eastAsia" w:ascii="仿宋" w:hAnsi="仿宋" w:eastAsia="仿宋" w:cs="仿宋"/>
          <w:highlight w:val="none"/>
          <w:lang w:eastAsia="zh-CN"/>
        </w:rPr>
        <w:t>供应商</w:t>
      </w:r>
      <w:r>
        <w:rPr>
          <w:rFonts w:hint="eastAsia" w:ascii="仿宋" w:hAnsi="仿宋" w:eastAsia="仿宋" w:cs="仿宋"/>
          <w:highlight w:val="none"/>
        </w:rPr>
        <w:t>应当提供相关证明文件。</w:t>
      </w:r>
    </w:p>
    <w:p w14:paraId="6DCE407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.3 除非招标文件另有规定，投标文件所使用的计量单位，应使用国家法定计量单位。</w:t>
      </w:r>
    </w:p>
    <w:p w14:paraId="371CF2B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.4 对违反上述规定情形的，评标委员会有权要求</w:t>
      </w:r>
      <w:r>
        <w:rPr>
          <w:rFonts w:hint="eastAsia" w:ascii="仿宋" w:hAnsi="仿宋" w:eastAsia="仿宋" w:cs="仿宋"/>
          <w:highlight w:val="none"/>
          <w:lang w:eastAsia="zh-CN"/>
        </w:rPr>
        <w:t>供应商</w:t>
      </w:r>
      <w:r>
        <w:rPr>
          <w:rFonts w:hint="eastAsia" w:ascii="仿宋" w:hAnsi="仿宋" w:eastAsia="仿宋" w:cs="仿宋"/>
          <w:highlight w:val="none"/>
        </w:rPr>
        <w:t>限期提供相应文件或决定对其投标予以拒绝。</w:t>
      </w:r>
    </w:p>
    <w:p w14:paraId="76D4574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2</w:t>
      </w:r>
      <w:r>
        <w:rPr>
          <w:rFonts w:hint="eastAsia" w:ascii="仿宋" w:hAnsi="仿宋" w:eastAsia="仿宋" w:cs="仿宋"/>
          <w:highlight w:val="none"/>
        </w:rPr>
        <w:t>.5 电报、电话、传真形式的投标概不接受。</w:t>
      </w:r>
      <w:r>
        <w:rPr>
          <w:rFonts w:hint="eastAsia" w:ascii="仿宋" w:hAnsi="仿宋" w:eastAsia="仿宋" w:cs="仿宋"/>
          <w:highlight w:val="none"/>
          <w:lang w:eastAsia="zh-CN"/>
        </w:rPr>
        <w:t>供应商</w:t>
      </w:r>
      <w:r>
        <w:rPr>
          <w:rFonts w:hint="eastAsia" w:ascii="仿宋" w:hAnsi="仿宋" w:eastAsia="仿宋" w:cs="仿宋"/>
          <w:highlight w:val="none"/>
        </w:rPr>
        <w:t>的投标文件一律不予退还。</w:t>
      </w:r>
    </w:p>
    <w:p w14:paraId="036FFEDF">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3</w:t>
      </w:r>
      <w:r>
        <w:rPr>
          <w:rFonts w:hint="eastAsia" w:ascii="仿宋" w:hAnsi="仿宋" w:eastAsia="仿宋" w:cs="仿宋"/>
          <w:b/>
          <w:highlight w:val="none"/>
        </w:rPr>
        <w:t>.投标文件组成及编制</w:t>
      </w:r>
    </w:p>
    <w:p w14:paraId="4DD0904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.1投标文件组成（但不仅限于）如下：</w:t>
      </w:r>
    </w:p>
    <w:p w14:paraId="45C1D6E2">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w:t>
      </w:r>
    </w:p>
    <w:p w14:paraId="5DFE9442">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.1.2目录；</w:t>
      </w:r>
    </w:p>
    <w:p w14:paraId="3BF57D32">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.1.3投标函；</w:t>
      </w:r>
    </w:p>
    <w:p w14:paraId="16378E76">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.1.4法定代表人资格证明书及授权委托书；</w:t>
      </w:r>
    </w:p>
    <w:p w14:paraId="0E841F01">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.1.5资格证明文件；</w:t>
      </w:r>
    </w:p>
    <w:p w14:paraId="0A33837F">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.1.6开标一览表；</w:t>
      </w:r>
    </w:p>
    <w:p w14:paraId="315CA6EB">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.1.7投标报价明细表；</w:t>
      </w:r>
    </w:p>
    <w:p w14:paraId="22EB8365">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.1.8近年（20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年1月1日至今）类似项目业绩；</w:t>
      </w:r>
    </w:p>
    <w:p w14:paraId="2B9D16A2">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.1.9</w:t>
      </w:r>
      <w:r>
        <w:rPr>
          <w:rFonts w:hint="eastAsia" w:ascii="仿宋" w:hAnsi="仿宋" w:eastAsia="仿宋" w:cs="仿宋"/>
          <w:sz w:val="24"/>
          <w:highlight w:val="none"/>
          <w:lang w:val="zh-CN"/>
        </w:rPr>
        <w:t>拟配备人员一览表</w:t>
      </w:r>
    </w:p>
    <w:p w14:paraId="5F003A4C">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.1.10</w:t>
      </w:r>
      <w:r>
        <w:rPr>
          <w:rFonts w:hint="eastAsia" w:ascii="仿宋" w:hAnsi="仿宋" w:eastAsia="仿宋" w:cs="仿宋"/>
          <w:sz w:val="24"/>
          <w:highlight w:val="none"/>
          <w:lang w:val="zh-CN"/>
        </w:rPr>
        <w:t>商务条款偏离说明表</w:t>
      </w:r>
    </w:p>
    <w:p w14:paraId="0F1112D7">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.1.11技术文件</w:t>
      </w:r>
    </w:p>
    <w:p w14:paraId="5F73A2D5">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.1.12技术条款偏离表</w:t>
      </w:r>
    </w:p>
    <w:p w14:paraId="42D1DFA2">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.1.13 其他材料</w:t>
      </w:r>
    </w:p>
    <w:p w14:paraId="3A79E29D">
      <w:pPr>
        <w:pStyle w:val="6"/>
        <w:adjustRightInd w:val="0"/>
        <w:snapToGrid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.2招标文件中提供格式的，投标文件须按照格式编制；表格样式不够或多余的，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根据实际情况可按照格式要求自行增加或减少。招标文件中未提供格式的，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可根据实际情况自行提供。</w:t>
      </w:r>
    </w:p>
    <w:p w14:paraId="1DDA53B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4</w:t>
      </w:r>
      <w:r>
        <w:rPr>
          <w:rFonts w:hint="eastAsia" w:ascii="仿宋" w:hAnsi="仿宋" w:eastAsia="仿宋" w:cs="仿宋"/>
          <w:b/>
          <w:highlight w:val="none"/>
        </w:rPr>
        <w:t>.投标报价</w:t>
      </w:r>
    </w:p>
    <w:p w14:paraId="29D1AEB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.1 所有投标报价均以人民币元为计算单位。只要</w:t>
      </w:r>
      <w:r>
        <w:rPr>
          <w:rFonts w:hint="eastAsia" w:ascii="仿宋" w:hAnsi="仿宋" w:eastAsia="仿宋" w:cs="仿宋"/>
          <w:highlight w:val="none"/>
          <w:lang w:eastAsia="zh-CN"/>
        </w:rPr>
        <w:t>供应商</w:t>
      </w:r>
      <w:r>
        <w:rPr>
          <w:rFonts w:hint="eastAsia" w:ascii="仿宋" w:hAnsi="仿宋" w:eastAsia="仿宋" w:cs="仿宋"/>
          <w:highlight w:val="none"/>
        </w:rPr>
        <w:t>报了一个确定数额的总价，无论分项价格是否全部填报了相应的金额或免费字样，报价应被视为已经</w:t>
      </w:r>
      <w:r>
        <w:rPr>
          <w:rFonts w:hint="eastAsia" w:ascii="仿宋" w:hAnsi="仿宋" w:eastAsia="仿宋" w:cs="仿宋"/>
          <w:highlight w:val="none"/>
          <w:lang w:val="en-US" w:eastAsia="zh-CN"/>
        </w:rPr>
        <w:t>包含但不限于书籍购置费用、包装费、运输费、装卸费、税费、售后服务费等一切相关费用，采购单位不再额外支付任何其他费用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在其他情</w:t>
      </w:r>
      <w:r>
        <w:rPr>
          <w:rFonts w:hint="eastAsia" w:ascii="仿宋" w:hAnsi="仿宋" w:eastAsia="仿宋" w:cs="仿宋"/>
          <w:highlight w:val="none"/>
        </w:rPr>
        <w:t>况下，由于分项报价填报不完整、不清楚或存在其他任何失误，所导致的任何不利后果均应当由</w:t>
      </w:r>
      <w:r>
        <w:rPr>
          <w:rFonts w:hint="eastAsia" w:ascii="仿宋" w:hAnsi="仿宋" w:eastAsia="仿宋" w:cs="仿宋"/>
          <w:highlight w:val="none"/>
          <w:lang w:eastAsia="zh-CN"/>
        </w:rPr>
        <w:t>供应商</w:t>
      </w:r>
      <w:r>
        <w:rPr>
          <w:rFonts w:hint="eastAsia" w:ascii="仿宋" w:hAnsi="仿宋" w:eastAsia="仿宋" w:cs="仿宋"/>
          <w:highlight w:val="none"/>
        </w:rPr>
        <w:t>自行承担。</w:t>
      </w:r>
    </w:p>
    <w:p w14:paraId="2CDB3BE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 xml:space="preserve">.2 </w:t>
      </w:r>
      <w:r>
        <w:rPr>
          <w:rFonts w:hint="eastAsia" w:ascii="仿宋" w:hAnsi="仿宋" w:eastAsia="仿宋" w:cs="仿宋"/>
          <w:highlight w:val="none"/>
          <w:lang w:eastAsia="zh-CN"/>
        </w:rPr>
        <w:t>供应商</w:t>
      </w:r>
      <w:r>
        <w:rPr>
          <w:rFonts w:hint="eastAsia" w:ascii="仿宋" w:hAnsi="仿宋" w:eastAsia="仿宋" w:cs="仿宋"/>
          <w:highlight w:val="none"/>
        </w:rPr>
        <w:t>投报多包的，须对每包分别制作投标文件并报价。</w:t>
      </w:r>
    </w:p>
    <w:p w14:paraId="74B1CFB6">
      <w:pPr>
        <w:spacing w:line="360" w:lineRule="auto"/>
        <w:ind w:firstLine="482" w:firstLineChars="200"/>
        <w:rPr>
          <w:rFonts w:hint="eastAsia"/>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 xml:space="preserve">.3 </w:t>
      </w:r>
      <w:r>
        <w:rPr>
          <w:rFonts w:hint="eastAsia" w:ascii="仿宋" w:hAnsi="仿宋" w:eastAsia="仿宋" w:cs="宋体"/>
          <w:b/>
          <w:bCs/>
          <w:sz w:val="24"/>
          <w:szCs w:val="24"/>
          <w:highlight w:val="none"/>
        </w:rPr>
        <w:t>除非招标文件另有规定，不接受可选择或可调整的投标方案和报价，任何有选择的或可调整的投标方案和报价将被视为非响应性投标而被拒绝。</w:t>
      </w:r>
    </w:p>
    <w:p w14:paraId="4AABE1D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 xml:space="preserve"> </w:t>
      </w:r>
      <w:r>
        <w:rPr>
          <w:rFonts w:hint="eastAsia" w:ascii="仿宋" w:hAnsi="仿宋" w:eastAsia="仿宋" w:cs="仿宋"/>
          <w:highlight w:val="none"/>
          <w:lang w:eastAsia="zh-CN"/>
        </w:rPr>
        <w:t>供应商</w:t>
      </w:r>
      <w:r>
        <w:rPr>
          <w:rFonts w:hint="eastAsia" w:ascii="仿宋" w:hAnsi="仿宋" w:eastAsia="仿宋" w:cs="仿宋"/>
          <w:highlight w:val="none"/>
        </w:rPr>
        <w:t>对投标报价若有说明应在投标文件中显著处注明。</w:t>
      </w:r>
    </w:p>
    <w:p w14:paraId="2BDB5F0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4.6</w:t>
      </w:r>
      <w:r>
        <w:rPr>
          <w:rFonts w:hint="eastAsia" w:ascii="仿宋" w:hAnsi="仿宋" w:eastAsia="仿宋" w:cs="仿宋"/>
          <w:highlight w:val="none"/>
        </w:rPr>
        <w:t xml:space="preserve"> 除政策性文件规定以外，</w:t>
      </w:r>
      <w:r>
        <w:rPr>
          <w:rFonts w:hint="eastAsia" w:ascii="仿宋" w:hAnsi="仿宋" w:eastAsia="仿宋" w:cs="仿宋"/>
          <w:highlight w:val="none"/>
          <w:lang w:eastAsia="zh-CN"/>
        </w:rPr>
        <w:t>供应商</w:t>
      </w:r>
      <w:r>
        <w:rPr>
          <w:rFonts w:hint="eastAsia" w:ascii="仿宋" w:hAnsi="仿宋" w:eastAsia="仿宋" w:cs="仿宋"/>
          <w:highlight w:val="none"/>
        </w:rPr>
        <w:t>所报价格在合同实施期间不因市场变化因素而变动。</w:t>
      </w:r>
    </w:p>
    <w:p w14:paraId="3C557A5B">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1</w:t>
      </w:r>
      <w:r>
        <w:rPr>
          <w:rFonts w:hint="eastAsia" w:ascii="仿宋" w:hAnsi="仿宋" w:eastAsia="仿宋" w:cs="仿宋"/>
          <w:b/>
          <w:bCs/>
          <w:highlight w:val="none"/>
          <w:lang w:val="en-US" w:eastAsia="zh-CN"/>
        </w:rPr>
        <w:t>4</w:t>
      </w:r>
      <w:r>
        <w:rPr>
          <w:rFonts w:hint="eastAsia" w:ascii="仿宋" w:hAnsi="仿宋" w:eastAsia="仿宋" w:cs="仿宋"/>
          <w:b/>
          <w:bCs/>
          <w:highlight w:val="none"/>
        </w:rPr>
        <w:t>.</w:t>
      </w:r>
      <w:r>
        <w:rPr>
          <w:rFonts w:hint="eastAsia" w:ascii="仿宋" w:hAnsi="仿宋" w:eastAsia="仿宋" w:cs="仿宋"/>
          <w:b/>
          <w:bCs/>
          <w:highlight w:val="none"/>
          <w:lang w:val="en-US" w:eastAsia="zh-CN"/>
        </w:rPr>
        <w:t>7</w:t>
      </w:r>
      <w:r>
        <w:rPr>
          <w:rFonts w:hint="eastAsia" w:ascii="仿宋" w:hAnsi="仿宋" w:eastAsia="仿宋" w:cs="仿宋"/>
          <w:b/>
          <w:bCs/>
          <w:highlight w:val="none"/>
        </w:rPr>
        <w:t>最低报价不能作为中标的唯一依据。</w:t>
      </w:r>
    </w:p>
    <w:p w14:paraId="339D2ED6">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5</w:t>
      </w:r>
      <w:r>
        <w:rPr>
          <w:rFonts w:hint="eastAsia" w:ascii="仿宋" w:hAnsi="仿宋" w:eastAsia="仿宋" w:cs="仿宋"/>
          <w:b/>
          <w:highlight w:val="none"/>
        </w:rPr>
        <w:t>.投标有效期</w:t>
      </w:r>
    </w:p>
    <w:p w14:paraId="47090BA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.1 本项目的投标有效期按照招标文件“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须知前附表中”中第16项的规定。投标有效期自投标截止之日起计算，短于规定期限的投标将按无效投标处理。</w:t>
      </w:r>
    </w:p>
    <w:p w14:paraId="5760AE2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5</w:t>
      </w:r>
      <w:r>
        <w:rPr>
          <w:rFonts w:hint="eastAsia" w:ascii="仿宋" w:hAnsi="仿宋" w:eastAsia="仿宋" w:cs="仿宋"/>
          <w:highlight w:val="none"/>
        </w:rPr>
        <w:t>.2 在特殊情况下，采购代理机构可与</w:t>
      </w:r>
      <w:r>
        <w:rPr>
          <w:rFonts w:hint="eastAsia" w:ascii="仿宋" w:hAnsi="仿宋" w:eastAsia="仿宋" w:cs="仿宋"/>
          <w:highlight w:val="none"/>
          <w:lang w:eastAsia="zh-CN"/>
        </w:rPr>
        <w:t>供应商</w:t>
      </w:r>
      <w:r>
        <w:rPr>
          <w:rFonts w:hint="eastAsia" w:ascii="仿宋" w:hAnsi="仿宋" w:eastAsia="仿宋" w:cs="仿宋"/>
          <w:highlight w:val="none"/>
        </w:rPr>
        <w:t>协商延长投标有效期。这种要求和答复都应以书面形式进行。此时，规定的投标保证金的有效期也相应延长。</w:t>
      </w:r>
      <w:r>
        <w:rPr>
          <w:rFonts w:hint="eastAsia" w:ascii="仿宋" w:hAnsi="仿宋" w:eastAsia="仿宋" w:cs="仿宋"/>
          <w:highlight w:val="none"/>
          <w:lang w:eastAsia="zh-CN"/>
        </w:rPr>
        <w:t>供应商</w:t>
      </w:r>
      <w:r>
        <w:rPr>
          <w:rFonts w:hint="eastAsia" w:ascii="仿宋" w:hAnsi="仿宋" w:eastAsia="仿宋" w:cs="仿宋"/>
          <w:highlight w:val="none"/>
        </w:rPr>
        <w:t>可以拒绝接受延期要求而不会被没收保证金。同意延长有效期的</w:t>
      </w:r>
      <w:r>
        <w:rPr>
          <w:rFonts w:hint="eastAsia" w:ascii="仿宋" w:hAnsi="仿宋" w:eastAsia="仿宋" w:cs="仿宋"/>
          <w:highlight w:val="none"/>
          <w:lang w:eastAsia="zh-CN"/>
        </w:rPr>
        <w:t>供应商</w:t>
      </w:r>
      <w:r>
        <w:rPr>
          <w:rFonts w:hint="eastAsia" w:ascii="仿宋" w:hAnsi="仿宋" w:eastAsia="仿宋" w:cs="仿宋"/>
          <w:highlight w:val="none"/>
        </w:rPr>
        <w:t>除按照采购代理机构要求修改投标有效期外，不能修改投标文件的其他内容。</w:t>
      </w:r>
    </w:p>
    <w:p w14:paraId="0EC371E4">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6</w:t>
      </w:r>
      <w:r>
        <w:rPr>
          <w:rFonts w:hint="eastAsia" w:ascii="仿宋" w:hAnsi="仿宋" w:eastAsia="仿宋" w:cs="仿宋"/>
          <w:b/>
          <w:highlight w:val="none"/>
        </w:rPr>
        <w:t>.投标内容填写说明</w:t>
      </w:r>
    </w:p>
    <w:p w14:paraId="4EEE49E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14:paraId="426065EC">
      <w:pPr>
        <w:snapToGrid w:val="0"/>
        <w:spacing w:line="360" w:lineRule="auto"/>
        <w:ind w:firstLine="480" w:firstLineChars="200"/>
        <w:rPr>
          <w:rFonts w:hint="eastAsia" w:ascii="仿宋" w:hAnsi="仿宋" w:eastAsia="仿宋" w:cs="仿宋"/>
          <w:b/>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.2 投标文件须严格按照招标文件规定的格式提交，并按规定的统一格式逐项填写，不准有空项；无相应内容可填的项，应填写“无”、“未测试”、“没有相应指标”等明确的回答文字。由于编排混乱导致投标文件被误读或查找不到，其责任由</w:t>
      </w:r>
      <w:r>
        <w:rPr>
          <w:rFonts w:hint="eastAsia" w:ascii="仿宋" w:hAnsi="仿宋" w:eastAsia="仿宋" w:cs="仿宋"/>
          <w:highlight w:val="none"/>
          <w:lang w:eastAsia="zh-CN"/>
        </w:rPr>
        <w:t>供应商</w:t>
      </w:r>
      <w:r>
        <w:rPr>
          <w:rFonts w:hint="eastAsia" w:ascii="仿宋" w:hAnsi="仿宋" w:eastAsia="仿宋" w:cs="仿宋"/>
          <w:highlight w:val="none"/>
        </w:rPr>
        <w:t>承担。投标文件未按规定提交，将被视为不完整响应的投标文件，其投标有可能被拒绝</w:t>
      </w:r>
      <w:r>
        <w:rPr>
          <w:rFonts w:hint="eastAsia" w:ascii="仿宋" w:hAnsi="仿宋" w:eastAsia="仿宋" w:cs="仿宋"/>
          <w:b/>
          <w:highlight w:val="none"/>
        </w:rPr>
        <w:t>。</w:t>
      </w:r>
    </w:p>
    <w:p w14:paraId="00EFE4A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.3 开标一览表为在开标会上唱标的内容，要求按投标文件格式统一填写，不得自行增减内容。</w:t>
      </w:r>
    </w:p>
    <w:p w14:paraId="01CA060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.4 </w:t>
      </w:r>
      <w:r>
        <w:rPr>
          <w:rFonts w:hint="eastAsia" w:ascii="仿宋" w:hAnsi="仿宋" w:eastAsia="仿宋" w:cs="仿宋"/>
          <w:highlight w:val="none"/>
          <w:lang w:eastAsia="zh-CN"/>
        </w:rPr>
        <w:t>供应商</w:t>
      </w:r>
      <w:r>
        <w:rPr>
          <w:rFonts w:hint="eastAsia" w:ascii="仿宋" w:hAnsi="仿宋" w:eastAsia="仿宋" w:cs="仿宋"/>
          <w:highlight w:val="none"/>
        </w:rPr>
        <w:t>须注意：为合理节约政府采购评审成本，提倡诚实信用的投标行为，特别要求</w:t>
      </w:r>
      <w:r>
        <w:rPr>
          <w:rFonts w:hint="eastAsia" w:ascii="仿宋" w:hAnsi="仿宋" w:eastAsia="仿宋" w:cs="仿宋"/>
          <w:highlight w:val="none"/>
          <w:lang w:eastAsia="zh-CN"/>
        </w:rPr>
        <w:t>供应商</w:t>
      </w:r>
      <w:r>
        <w:rPr>
          <w:rFonts w:hint="eastAsia" w:ascii="仿宋" w:hAnsi="仿宋" w:eastAsia="仿宋" w:cs="仿宋"/>
          <w:highlight w:val="none"/>
        </w:rPr>
        <w:t>应本着诚信精神，在本次投标文件的偏离表中，均以审慎的态度明确、清楚地披露各项偏离。若</w:t>
      </w:r>
      <w:r>
        <w:rPr>
          <w:rFonts w:hint="eastAsia" w:ascii="仿宋" w:hAnsi="仿宋" w:eastAsia="仿宋" w:cs="仿宋"/>
          <w:highlight w:val="none"/>
          <w:lang w:eastAsia="zh-CN"/>
        </w:rPr>
        <w:t>供应商</w:t>
      </w:r>
      <w:r>
        <w:rPr>
          <w:rFonts w:hint="eastAsia" w:ascii="仿宋" w:hAnsi="仿宋" w:eastAsia="仿宋" w:cs="仿宋"/>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highlight w:val="none"/>
          <w:lang w:eastAsia="zh-CN"/>
        </w:rPr>
        <w:t>供应商</w:t>
      </w:r>
      <w:r>
        <w:rPr>
          <w:rFonts w:hint="eastAsia" w:ascii="仿宋" w:hAnsi="仿宋" w:eastAsia="仿宋" w:cs="仿宋"/>
          <w:highlight w:val="none"/>
        </w:rPr>
        <w:t>没有在偏离表中明确、清楚地披露的事项，包括可能属于被</w:t>
      </w:r>
      <w:r>
        <w:rPr>
          <w:rFonts w:hint="eastAsia" w:ascii="仿宋" w:hAnsi="仿宋" w:eastAsia="仿宋" w:cs="仿宋"/>
          <w:highlight w:val="none"/>
          <w:lang w:eastAsia="zh-CN"/>
        </w:rPr>
        <w:t>供应商</w:t>
      </w:r>
      <w:r>
        <w:rPr>
          <w:rFonts w:hint="eastAsia" w:ascii="仿宋" w:hAnsi="仿宋" w:eastAsia="仿宋" w:cs="仿宋"/>
          <w:highlight w:val="none"/>
        </w:rPr>
        <w:t>在偏离表中遗漏披露的事项，一旦在评审中被发现存在偏离或被认定为属于偏离，则评标委员会有权视具体情形评审时予以处理，乃至对该投标予以拒绝。</w:t>
      </w:r>
    </w:p>
    <w:p w14:paraId="09B72FC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.5 </w:t>
      </w:r>
      <w:r>
        <w:rPr>
          <w:rFonts w:hint="eastAsia" w:ascii="仿宋" w:hAnsi="仿宋" w:eastAsia="仿宋" w:cs="仿宋"/>
          <w:highlight w:val="none"/>
          <w:lang w:eastAsia="zh-CN"/>
        </w:rPr>
        <w:t>供应商</w:t>
      </w:r>
      <w:r>
        <w:rPr>
          <w:rFonts w:hint="eastAsia" w:ascii="仿宋" w:hAnsi="仿宋" w:eastAsia="仿宋" w:cs="仿宋"/>
          <w:highlight w:val="none"/>
        </w:rPr>
        <w:t>必须保证投标文件所提供的全部资料真实可靠，并接受采购代理机构或评标委员会对其中任何资料进一步审查的要求。</w:t>
      </w:r>
    </w:p>
    <w:p w14:paraId="70FEA37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供应商</w:t>
      </w:r>
      <w:r>
        <w:rPr>
          <w:rFonts w:hint="eastAsia" w:ascii="仿宋" w:hAnsi="仿宋" w:eastAsia="仿宋" w:cs="仿宋"/>
          <w:highlight w:val="none"/>
        </w:rPr>
        <w:t>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14:paraId="216870EE">
      <w:pPr>
        <w:snapToGrid w:val="0"/>
        <w:spacing w:line="360" w:lineRule="auto"/>
        <w:jc w:val="center"/>
        <w:rPr>
          <w:rFonts w:hint="eastAsia" w:ascii="仿宋" w:hAnsi="仿宋" w:eastAsia="仿宋" w:cs="仿宋"/>
          <w:b/>
          <w:kern w:val="2"/>
          <w:sz w:val="28"/>
          <w:szCs w:val="32"/>
          <w:highlight w:val="none"/>
          <w:lang w:val="zh-CN"/>
        </w:rPr>
      </w:pPr>
      <w:bookmarkStart w:id="30" w:name="_Toc15999"/>
      <w:bookmarkStart w:id="31" w:name="_Toc8226"/>
      <w:r>
        <w:rPr>
          <w:rFonts w:hint="eastAsia" w:ascii="仿宋" w:hAnsi="仿宋" w:eastAsia="仿宋" w:cs="仿宋"/>
          <w:b/>
          <w:kern w:val="2"/>
          <w:sz w:val="28"/>
          <w:szCs w:val="32"/>
          <w:highlight w:val="none"/>
          <w:lang w:val="zh-CN"/>
        </w:rPr>
        <w:t>四、投标保证金</w:t>
      </w:r>
      <w:bookmarkEnd w:id="30"/>
      <w:bookmarkEnd w:id="31"/>
    </w:p>
    <w:p w14:paraId="4A02329A">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7</w:t>
      </w:r>
      <w:r>
        <w:rPr>
          <w:rFonts w:hint="eastAsia" w:ascii="仿宋" w:hAnsi="仿宋" w:eastAsia="仿宋" w:cs="仿宋"/>
          <w:b/>
          <w:highlight w:val="none"/>
        </w:rPr>
        <w:t xml:space="preserve">.投标保证金 </w:t>
      </w:r>
    </w:p>
    <w:p w14:paraId="23615F0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须知前附表”中第17项的规定交纳。投标保证金须于到账截止时间前到帐，并经采购代理机构确认。</w:t>
      </w:r>
    </w:p>
    <w:p w14:paraId="6C493AA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采购代理机构不接收以现金或汇票等其他形式递交的投标保证金。未按要求提交投标保证金的，将被视为无效投标。</w:t>
      </w:r>
    </w:p>
    <w:p w14:paraId="4102EEB9">
      <w:pPr>
        <w:autoSpaceDE/>
        <w:autoSpaceDN/>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.3 未中标的</w:t>
      </w:r>
      <w:r>
        <w:rPr>
          <w:rFonts w:hint="eastAsia" w:ascii="仿宋" w:hAnsi="仿宋" w:eastAsia="仿宋" w:cs="仿宋"/>
          <w:highlight w:val="none"/>
          <w:lang w:eastAsia="zh-CN"/>
        </w:rPr>
        <w:t>供应商</w:t>
      </w:r>
      <w:r>
        <w:rPr>
          <w:rFonts w:hint="eastAsia" w:ascii="仿宋" w:hAnsi="仿宋" w:eastAsia="仿宋" w:cs="仿宋"/>
          <w:highlight w:val="none"/>
        </w:rPr>
        <w:t>的投标保证金在中标通知书发出之日起5个工作日内退还；中标人的投标保证金将在合同签订后5个工作日内退还。</w:t>
      </w:r>
    </w:p>
    <w:p w14:paraId="18F52249">
      <w:pPr>
        <w:snapToGrid w:val="0"/>
        <w:spacing w:line="360" w:lineRule="auto"/>
        <w:jc w:val="center"/>
        <w:rPr>
          <w:rFonts w:hint="eastAsia" w:ascii="仿宋" w:hAnsi="仿宋" w:eastAsia="仿宋" w:cs="仿宋"/>
          <w:b/>
          <w:kern w:val="2"/>
          <w:sz w:val="28"/>
          <w:szCs w:val="32"/>
          <w:highlight w:val="none"/>
          <w:lang w:val="zh-CN"/>
        </w:rPr>
      </w:pPr>
      <w:bookmarkStart w:id="32" w:name="_Toc14432"/>
      <w:bookmarkStart w:id="33" w:name="_Toc14099"/>
      <w:r>
        <w:rPr>
          <w:rFonts w:hint="eastAsia" w:ascii="仿宋" w:hAnsi="仿宋" w:eastAsia="仿宋" w:cs="仿宋"/>
          <w:b/>
          <w:kern w:val="2"/>
          <w:sz w:val="28"/>
          <w:szCs w:val="32"/>
          <w:highlight w:val="none"/>
          <w:lang w:val="zh-CN"/>
        </w:rPr>
        <w:t>五、投标文件的递交</w:t>
      </w:r>
      <w:bookmarkEnd w:id="32"/>
      <w:bookmarkEnd w:id="33"/>
    </w:p>
    <w:p w14:paraId="0C3F79D0">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8</w:t>
      </w:r>
      <w:r>
        <w:rPr>
          <w:rFonts w:hint="eastAsia" w:ascii="仿宋" w:hAnsi="仿宋" w:eastAsia="仿宋" w:cs="仿宋"/>
          <w:b/>
          <w:highlight w:val="none"/>
        </w:rPr>
        <w:t>.投标文件的密封和标记</w:t>
      </w:r>
    </w:p>
    <w:p w14:paraId="6AD69F70">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.1 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501F1711">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投标截止时间以</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平台显示的时间为准，逾期系统将自动关闭，未完成上传的投标文件视为逾期送达，将被拒绝。</w:t>
      </w:r>
    </w:p>
    <w:p w14:paraId="3AA59BE9">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.2 供应商认为有必要提交的其他资料请于投标截止时间前一并提交。</w:t>
      </w:r>
    </w:p>
    <w:p w14:paraId="3A2FD545">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w:t>
      </w:r>
      <w:r>
        <w:rPr>
          <w:rFonts w:hint="eastAsia" w:ascii="仿宋" w:hAnsi="仿宋" w:eastAsia="仿宋" w:cs="宋体"/>
          <w:sz w:val="24"/>
          <w:highlight w:val="none"/>
          <w:lang w:val="en-US" w:eastAsia="zh-CN"/>
        </w:rPr>
        <w:t>8</w:t>
      </w:r>
      <w:r>
        <w:rPr>
          <w:rFonts w:hint="eastAsia" w:ascii="仿宋" w:hAnsi="仿宋" w:eastAsia="仿宋" w:cs="宋体"/>
          <w:sz w:val="24"/>
          <w:highlight w:val="none"/>
        </w:rPr>
        <w:t>.3 本项目是否采用不见面开标方式详见供应商须知前附表</w:t>
      </w:r>
      <w:r>
        <w:rPr>
          <w:rFonts w:hint="eastAsia" w:ascii="仿宋" w:hAnsi="仿宋" w:eastAsia="仿宋" w:cs="宋体"/>
          <w:b/>
          <w:bCs/>
          <w:sz w:val="24"/>
          <w:highlight w:val="none"/>
        </w:rPr>
        <w:t>（本项目采用不见面开标方式）</w:t>
      </w:r>
      <w:r>
        <w:rPr>
          <w:rFonts w:hint="eastAsia" w:ascii="仿宋" w:hAnsi="仿宋" w:eastAsia="仿宋" w:cs="宋体"/>
          <w:sz w:val="24"/>
          <w:highlight w:val="none"/>
        </w:rPr>
        <w:t>。</w:t>
      </w:r>
    </w:p>
    <w:p w14:paraId="1538029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1</w:t>
      </w:r>
      <w:r>
        <w:rPr>
          <w:rFonts w:hint="eastAsia" w:ascii="仿宋" w:hAnsi="仿宋" w:eastAsia="仿宋" w:cs="仿宋"/>
          <w:b/>
          <w:highlight w:val="none"/>
          <w:lang w:val="en-US" w:eastAsia="zh-CN"/>
        </w:rPr>
        <w:t>9</w:t>
      </w:r>
      <w:r>
        <w:rPr>
          <w:rFonts w:hint="eastAsia" w:ascii="仿宋" w:hAnsi="仿宋" w:eastAsia="仿宋" w:cs="仿宋"/>
          <w:b/>
          <w:highlight w:val="none"/>
        </w:rPr>
        <w:t>.投标文件的递交</w:t>
      </w:r>
    </w:p>
    <w:p w14:paraId="740E404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应当</w:t>
      </w:r>
      <w:r>
        <w:rPr>
          <w:rFonts w:hint="eastAsia" w:ascii="仿宋" w:hAnsi="仿宋" w:eastAsia="仿宋" w:cs="仿宋"/>
          <w:highlight w:val="none"/>
          <w:lang w:val="en-US" w:eastAsia="zh-CN"/>
        </w:rPr>
        <w:t>在</w:t>
      </w:r>
      <w:r>
        <w:rPr>
          <w:rFonts w:hint="eastAsia" w:ascii="仿宋" w:hAnsi="仿宋" w:eastAsia="仿宋" w:cs="宋体"/>
          <w:sz w:val="24"/>
          <w:highlight w:val="none"/>
        </w:rPr>
        <w:t>投标截止时间前完成上传经过数字证书电子签章并加密的投标文件（加密和解密须用同一把数字证书）</w:t>
      </w:r>
      <w:r>
        <w:rPr>
          <w:rFonts w:hint="eastAsia" w:ascii="仿宋" w:hAnsi="仿宋" w:eastAsia="仿宋" w:cs="仿宋"/>
          <w:highlight w:val="none"/>
        </w:rPr>
        <w:t>。</w:t>
      </w:r>
    </w:p>
    <w:p w14:paraId="5DB7CEB8">
      <w:pPr>
        <w:snapToGrid w:val="0"/>
        <w:spacing w:line="360" w:lineRule="auto"/>
        <w:ind w:firstLine="480" w:firstLineChars="200"/>
        <w:rPr>
          <w:rFonts w:hint="eastAsia" w:ascii="仿宋" w:hAnsi="仿宋" w:eastAsia="仿宋" w:cs="宋体"/>
          <w:sz w:val="24"/>
          <w:szCs w:val="24"/>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 xml:space="preserve">.2 </w:t>
      </w:r>
      <w:r>
        <w:rPr>
          <w:rFonts w:hint="eastAsia" w:ascii="仿宋" w:hAnsi="仿宋" w:eastAsia="仿宋" w:cs="宋体"/>
          <w:sz w:val="24"/>
          <w:szCs w:val="24"/>
          <w:highlight w:val="none"/>
        </w:rPr>
        <w:t>是否采用不见面开标详见供应商须知前附表</w:t>
      </w:r>
      <w:r>
        <w:rPr>
          <w:rFonts w:hint="eastAsia" w:ascii="仿宋" w:hAnsi="仿宋" w:eastAsia="仿宋" w:cs="宋体"/>
          <w:b/>
          <w:bCs/>
          <w:sz w:val="24"/>
          <w:szCs w:val="24"/>
          <w:highlight w:val="none"/>
        </w:rPr>
        <w:t>（本项目采用不见面开标方式）</w:t>
      </w:r>
      <w:r>
        <w:rPr>
          <w:rFonts w:hint="eastAsia" w:ascii="仿宋" w:hAnsi="仿宋" w:eastAsia="仿宋" w:cs="宋体"/>
          <w:sz w:val="24"/>
          <w:szCs w:val="24"/>
          <w:highlight w:val="none"/>
        </w:rPr>
        <w:t>，若项目采用不见面开标。只需将加密电子投标文件在投标截止时间前通过</w:t>
      </w:r>
      <w:r>
        <w:rPr>
          <w:rFonts w:hint="eastAsia" w:ascii="仿宋" w:hAnsi="仿宋" w:eastAsia="仿宋" w:cs="宋体"/>
          <w:sz w:val="24"/>
          <w:szCs w:val="24"/>
          <w:highlight w:val="none"/>
          <w:lang w:val="en-US" w:eastAsia="zh-CN"/>
        </w:rPr>
        <w:t>政采云</w:t>
      </w:r>
      <w:r>
        <w:rPr>
          <w:rFonts w:hint="eastAsia" w:ascii="仿宋" w:hAnsi="仿宋" w:eastAsia="仿宋" w:cs="宋体"/>
          <w:sz w:val="24"/>
          <w:szCs w:val="24"/>
          <w:highlight w:val="none"/>
        </w:rPr>
        <w:t>平台上传完成。上传时必须得到电脑“上传成功”的确认回复后方为上传成功。逾期上传的或者未上传到平台的投标文件，采购人不予受理。</w:t>
      </w:r>
    </w:p>
    <w:p w14:paraId="3DA51AB7">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20</w:t>
      </w:r>
      <w:r>
        <w:rPr>
          <w:rFonts w:hint="eastAsia" w:ascii="仿宋" w:hAnsi="仿宋" w:eastAsia="仿宋" w:cs="仿宋"/>
          <w:b/>
          <w:highlight w:val="none"/>
        </w:rPr>
        <w:t>.投标文件的修改和撤回</w:t>
      </w:r>
    </w:p>
    <w:p w14:paraId="4CC7DE4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20</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在递交投标文件后，可以修改或撤回其投标，但这种修改和撤回，必须在规定的投标截止时间前。在投标截止时间后，</w:t>
      </w:r>
      <w:r>
        <w:rPr>
          <w:rFonts w:hint="eastAsia" w:ascii="仿宋" w:hAnsi="仿宋" w:eastAsia="仿宋" w:cs="仿宋"/>
          <w:highlight w:val="none"/>
          <w:lang w:eastAsia="zh-CN"/>
        </w:rPr>
        <w:t>供应商</w:t>
      </w:r>
      <w:r>
        <w:rPr>
          <w:rFonts w:hint="eastAsia" w:ascii="仿宋" w:hAnsi="仿宋" w:eastAsia="仿宋" w:cs="仿宋"/>
          <w:highlight w:val="none"/>
        </w:rPr>
        <w:t>不得要求修改或撤回其投标文件。</w:t>
      </w:r>
    </w:p>
    <w:p w14:paraId="7E048E88">
      <w:pPr>
        <w:snapToGrid w:val="0"/>
        <w:spacing w:line="360" w:lineRule="auto"/>
        <w:jc w:val="center"/>
        <w:rPr>
          <w:rFonts w:hint="eastAsia" w:ascii="仿宋" w:hAnsi="仿宋" w:eastAsia="仿宋" w:cs="仿宋"/>
          <w:b/>
          <w:kern w:val="2"/>
          <w:sz w:val="28"/>
          <w:szCs w:val="32"/>
          <w:highlight w:val="none"/>
          <w:lang w:val="zh-CN"/>
        </w:rPr>
      </w:pPr>
      <w:bookmarkStart w:id="34" w:name="_Toc22351"/>
      <w:bookmarkStart w:id="35" w:name="_Toc23236"/>
      <w:r>
        <w:rPr>
          <w:rFonts w:hint="eastAsia" w:ascii="仿宋" w:hAnsi="仿宋" w:eastAsia="仿宋" w:cs="仿宋"/>
          <w:b/>
          <w:kern w:val="2"/>
          <w:sz w:val="28"/>
          <w:szCs w:val="32"/>
          <w:highlight w:val="none"/>
          <w:lang w:val="zh-CN"/>
        </w:rPr>
        <w:t>六、开标</w:t>
      </w:r>
      <w:bookmarkEnd w:id="34"/>
      <w:bookmarkEnd w:id="35"/>
    </w:p>
    <w:p w14:paraId="3E3B7062">
      <w:pPr>
        <w:pStyle w:val="60"/>
        <w:spacing w:line="360" w:lineRule="auto"/>
        <w:ind w:firstLine="482" w:firstLineChars="200"/>
        <w:rPr>
          <w:rFonts w:hint="eastAsia" w:ascii="仿宋" w:hAnsi="仿宋" w:eastAsia="仿宋" w:cs="宋体"/>
          <w:b/>
          <w:sz w:val="24"/>
          <w:highlight w:val="none"/>
        </w:rPr>
      </w:pPr>
      <w:bookmarkStart w:id="36" w:name="EB7dadd93d7a564c2da135d1ee82c4ad27"/>
      <w:bookmarkStart w:id="37" w:name="_Toc11814"/>
      <w:bookmarkStart w:id="38" w:name="_Toc8114"/>
      <w:r>
        <w:rPr>
          <w:rFonts w:hint="eastAsia" w:ascii="仿宋" w:hAnsi="仿宋" w:eastAsia="仿宋" w:cs="宋体"/>
          <w:b/>
          <w:sz w:val="24"/>
          <w:highlight w:val="none"/>
        </w:rPr>
        <w:t>A．采用见面开标方式（本项目不采用）</w:t>
      </w:r>
    </w:p>
    <w:p w14:paraId="78D64758">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1采购代理机构按照招标文件规定的时间、地点主持开标。供应商法定代表人或授权代理人应携带身份证明、电子密钥（电子证书）、未加密的电子投标文件（用信封密封）及应当提交的其他资料参加开标并签到。</w:t>
      </w:r>
    </w:p>
    <w:p w14:paraId="0A00301B">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2开标前，采购代理机构将会同监督人员或公证人员进行验标（检查网上招标系统正常与否，检查未加密的电子投标文件，检查供应商保证金交纳情况），确认无误后开标。开标时，各供应商应对本单位的加密的电子投标文件现场解密，采购代理机构工作人员在监督人员或公证人员监督下解密所有投标文件。</w:t>
      </w:r>
    </w:p>
    <w:p w14:paraId="239C976E">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因网上招标系统故障导致所有供应商均解密失败时，供应商使用未加密的电子投标文件进行开评标。</w:t>
      </w:r>
    </w:p>
    <w:p w14:paraId="01D928E0">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3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14:paraId="36B37665">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.4在评审结束前，未得到采购代理机构允许，供应商法定代表人或授权代理人不得离开开标现场。</w:t>
      </w:r>
    </w:p>
    <w:p w14:paraId="66DE4FAC">
      <w:pPr>
        <w:pStyle w:val="60"/>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.5公证员对开标过程进行全程公证。</w:t>
      </w:r>
    </w:p>
    <w:p w14:paraId="238B9E8E">
      <w:pPr>
        <w:pStyle w:val="61"/>
        <w:spacing w:line="360" w:lineRule="auto"/>
        <w:ind w:firstLine="482" w:firstLineChars="200"/>
        <w:rPr>
          <w:rFonts w:hint="eastAsia" w:ascii="仿宋" w:hAnsi="仿宋" w:eastAsia="仿宋" w:cs="宋体"/>
          <w:sz w:val="24"/>
          <w:highlight w:val="none"/>
        </w:rPr>
      </w:pPr>
      <w:r>
        <w:rPr>
          <w:rFonts w:hint="eastAsia" w:ascii="仿宋" w:hAnsi="仿宋" w:eastAsia="仿宋" w:cs="宋体"/>
          <w:b/>
          <w:sz w:val="24"/>
          <w:highlight w:val="none"/>
        </w:rPr>
        <w:t>B．采用不见面开标方式</w:t>
      </w:r>
      <w:r>
        <w:rPr>
          <w:rFonts w:hint="eastAsia" w:ascii="仿宋" w:hAnsi="仿宋" w:eastAsia="仿宋" w:cs="宋体"/>
          <w:b/>
          <w:bCs/>
          <w:sz w:val="24"/>
          <w:highlight w:val="none"/>
        </w:rPr>
        <w:t>（本项目采用）</w:t>
      </w:r>
    </w:p>
    <w:p w14:paraId="41F3F009">
      <w:pPr>
        <w:pStyle w:val="61"/>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采购人在规定的投标截止时间（开标时间）和供应商须知前附表规定的地点开标。供应商的法定代表人或其委托代理人无需到达开标现场，仅需在任意地点通过</w:t>
      </w:r>
      <w:r>
        <w:rPr>
          <w:rFonts w:hint="eastAsia" w:ascii="仿宋" w:hAnsi="仿宋" w:eastAsia="仿宋" w:cs="宋体"/>
          <w:sz w:val="24"/>
          <w:highlight w:val="none"/>
          <w:lang w:val="en-US" w:eastAsia="zh-CN"/>
        </w:rPr>
        <w:t>政采云</w:t>
      </w:r>
      <w:r>
        <w:rPr>
          <w:rFonts w:hint="eastAsia" w:ascii="仿宋" w:hAnsi="仿宋" w:eastAsia="仿宋" w:cs="宋体"/>
          <w:sz w:val="24"/>
          <w:highlight w:val="none"/>
        </w:rPr>
        <w:t>，使用CA密钥完成远程解密、提疑澄清、开标唱标、结果公布等交互环节。</w:t>
      </w:r>
    </w:p>
    <w:p w14:paraId="341E9B5A">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 </w:t>
      </w:r>
      <w:bookmarkEnd w:id="36"/>
    </w:p>
    <w:p w14:paraId="235E8430">
      <w:pPr>
        <w:snapToGrid w:val="0"/>
        <w:spacing w:line="360" w:lineRule="auto"/>
        <w:jc w:val="center"/>
        <w:rPr>
          <w:rFonts w:hint="eastAsia" w:ascii="仿宋" w:hAnsi="仿宋" w:eastAsia="仿宋" w:cs="仿宋"/>
          <w:b/>
          <w:kern w:val="2"/>
          <w:sz w:val="28"/>
          <w:szCs w:val="32"/>
          <w:highlight w:val="none"/>
          <w:lang w:val="zh-CN"/>
        </w:rPr>
      </w:pPr>
      <w:r>
        <w:rPr>
          <w:rFonts w:hint="eastAsia" w:ascii="仿宋" w:hAnsi="仿宋" w:eastAsia="仿宋" w:cs="仿宋"/>
          <w:b/>
          <w:kern w:val="2"/>
          <w:sz w:val="28"/>
          <w:szCs w:val="32"/>
          <w:highlight w:val="none"/>
          <w:lang w:val="zh-CN"/>
        </w:rPr>
        <w:t>七、评标步骤和要求</w:t>
      </w:r>
      <w:bookmarkEnd w:id="37"/>
      <w:bookmarkEnd w:id="38"/>
    </w:p>
    <w:p w14:paraId="4936AD8A">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2</w:t>
      </w:r>
      <w:r>
        <w:rPr>
          <w:rFonts w:hint="eastAsia" w:ascii="仿宋" w:hAnsi="仿宋" w:eastAsia="仿宋" w:cs="仿宋"/>
          <w:b/>
          <w:highlight w:val="none"/>
        </w:rPr>
        <w:t>.组建评标委员会</w:t>
      </w:r>
    </w:p>
    <w:p w14:paraId="515B1BD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14:paraId="6D15A2C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采购代理机构人员不得参加本机构代理的采购项目的评审。</w:t>
      </w:r>
    </w:p>
    <w:p w14:paraId="3DCB3FB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采购人对技术复杂、专业性极强的采购项目，通过随机方式难以确定合适评标专家的，经设区的市、自治州以上人民政府财政部门同意，可以采取选择性方式确定评标专家。</w:t>
      </w:r>
    </w:p>
    <w:p w14:paraId="0D4C6CF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采购预算金额在1000万元以上，评标委员会成员人数应当为7人以上单数。</w:t>
      </w:r>
    </w:p>
    <w:p w14:paraId="5ED1BD8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2</w:t>
      </w:r>
      <w:r>
        <w:rPr>
          <w:rFonts w:hint="eastAsia" w:ascii="仿宋" w:hAnsi="仿宋" w:eastAsia="仿宋" w:cs="仿宋"/>
          <w:highlight w:val="none"/>
        </w:rPr>
        <w:t>.2 参与过本项目的论证专家不得作为评标专家参加评标，采购人不得以专家身份参与评标。采购人委派的纪检监察人员进入评标现场不得超过2人，其他无关人员不得进入评标现场。</w:t>
      </w:r>
    </w:p>
    <w:p w14:paraId="45C12C7C">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bCs/>
          <w:highlight w:val="none"/>
          <w:lang w:val="en-US" w:eastAsia="zh-CN"/>
        </w:rPr>
        <w:t>3</w:t>
      </w:r>
      <w:r>
        <w:rPr>
          <w:rFonts w:hint="eastAsia" w:ascii="仿宋" w:hAnsi="仿宋" w:eastAsia="仿宋" w:cs="仿宋"/>
          <w:b/>
          <w:bCs/>
          <w:highlight w:val="none"/>
        </w:rPr>
        <w:t>、资格审查</w:t>
      </w:r>
    </w:p>
    <w:p w14:paraId="26B9A82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3</w:t>
      </w:r>
      <w:r>
        <w:rPr>
          <w:rFonts w:hint="eastAsia" w:ascii="仿宋" w:hAnsi="仿宋" w:eastAsia="仿宋" w:cs="仿宋"/>
          <w:highlight w:val="none"/>
        </w:rPr>
        <w:t>.1 公开招标采购项目采购人或者采购代理机构应当依法对</w:t>
      </w:r>
      <w:r>
        <w:rPr>
          <w:rFonts w:hint="eastAsia" w:ascii="仿宋" w:hAnsi="仿宋" w:eastAsia="仿宋" w:cs="仿宋"/>
          <w:highlight w:val="none"/>
          <w:lang w:eastAsia="zh-CN"/>
        </w:rPr>
        <w:t>供应商</w:t>
      </w:r>
      <w:r>
        <w:rPr>
          <w:rFonts w:hint="eastAsia" w:ascii="仿宋" w:hAnsi="仿宋" w:eastAsia="仿宋" w:cs="仿宋"/>
          <w:highlight w:val="none"/>
        </w:rPr>
        <w:t>的资格进行审查。合格</w:t>
      </w:r>
      <w:r>
        <w:rPr>
          <w:rFonts w:hint="eastAsia" w:ascii="仿宋" w:hAnsi="仿宋" w:eastAsia="仿宋" w:cs="仿宋"/>
          <w:highlight w:val="none"/>
          <w:lang w:eastAsia="zh-CN"/>
        </w:rPr>
        <w:t>供应商</w:t>
      </w:r>
      <w:r>
        <w:rPr>
          <w:rFonts w:hint="eastAsia" w:ascii="仿宋" w:hAnsi="仿宋" w:eastAsia="仿宋" w:cs="仿宋"/>
          <w:highlight w:val="none"/>
        </w:rPr>
        <w:t>不足3家的，不得评标。</w:t>
      </w:r>
    </w:p>
    <w:p w14:paraId="586CDCD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4</w:t>
      </w:r>
      <w:r>
        <w:rPr>
          <w:rFonts w:hint="eastAsia" w:ascii="仿宋" w:hAnsi="仿宋" w:eastAsia="仿宋" w:cs="仿宋"/>
          <w:b/>
          <w:highlight w:val="none"/>
        </w:rPr>
        <w:t>.初步评审</w:t>
      </w:r>
    </w:p>
    <w:p w14:paraId="20ED127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.1 评标委员会审查投标文件是否符合招标文件的基本要求：内容是否完整、文件签署是否齐全、有无计算错误等。 </w:t>
      </w:r>
    </w:p>
    <w:p w14:paraId="650590B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.2 评标委员会审查投标文件是否实质上响应招标文件的要求。</w:t>
      </w:r>
    </w:p>
    <w:p w14:paraId="024496D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1）实质上响应的投标是指与招标文件上的条款、条件和规格相符，没有重大偏离或保留，否则将视为无效投标。</w:t>
      </w:r>
    </w:p>
    <w:p w14:paraId="08FF915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2）重大偏离或保留系指投标内容的服务要求和服务期等明显不能满足招标文件的要求，或者实质上与招标文件不一致，纠正这些偏离或保留将对其他实质上响应要求的</w:t>
      </w:r>
      <w:r>
        <w:rPr>
          <w:rFonts w:hint="eastAsia" w:ascii="仿宋" w:hAnsi="仿宋" w:eastAsia="仿宋" w:cs="仿宋"/>
          <w:highlight w:val="none"/>
          <w:lang w:eastAsia="zh-CN"/>
        </w:rPr>
        <w:t>供应商</w:t>
      </w:r>
      <w:r>
        <w:rPr>
          <w:rFonts w:hint="eastAsia" w:ascii="仿宋" w:hAnsi="仿宋" w:eastAsia="仿宋" w:cs="仿宋"/>
          <w:highlight w:val="none"/>
        </w:rPr>
        <w:t>的竞争地位产生不公正的影响。包括但不限于：</w:t>
      </w:r>
    </w:p>
    <w:p w14:paraId="436985F5">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A、投标文件未按招标文件的规定签章的；</w:t>
      </w:r>
    </w:p>
    <w:p w14:paraId="1445ED98">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B、招标文件带“★”号部分任意一款不满足要求的；</w:t>
      </w:r>
    </w:p>
    <w:p w14:paraId="43812A9B">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C、报价超过项目预算或经评标委员会认定低于成本的；</w:t>
      </w:r>
    </w:p>
    <w:p w14:paraId="356EDD1E">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D、投标有效期不足的；</w:t>
      </w:r>
    </w:p>
    <w:p w14:paraId="2DF3F26A">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E、有串通投标或弄虚作假或有其他违法行为的；</w:t>
      </w:r>
    </w:p>
    <w:p w14:paraId="3DEB2FB1">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F、</w:t>
      </w:r>
      <w:r>
        <w:rPr>
          <w:rFonts w:hint="eastAsia" w:ascii="仿宋" w:hAnsi="仿宋" w:eastAsia="仿宋" w:cs="仿宋"/>
          <w:b/>
          <w:bCs/>
          <w:highlight w:val="none"/>
          <w:lang w:eastAsia="zh-CN"/>
        </w:rPr>
        <w:t>供应商</w:t>
      </w:r>
      <w:r>
        <w:rPr>
          <w:rFonts w:hint="eastAsia" w:ascii="仿宋" w:hAnsi="仿宋" w:eastAsia="仿宋" w:cs="仿宋"/>
          <w:b/>
          <w:bCs/>
          <w:highlight w:val="none"/>
        </w:rPr>
        <w:t>名称或组织结构与</w:t>
      </w:r>
      <w:r>
        <w:rPr>
          <w:rFonts w:hint="eastAsia" w:ascii="仿宋" w:hAnsi="仿宋" w:eastAsia="仿宋" w:cs="仿宋"/>
          <w:b/>
          <w:bCs/>
          <w:highlight w:val="none"/>
          <w:lang w:val="en-US" w:eastAsia="zh-CN"/>
        </w:rPr>
        <w:t>领取采购文件</w:t>
      </w:r>
      <w:r>
        <w:rPr>
          <w:rFonts w:hint="eastAsia" w:ascii="仿宋" w:hAnsi="仿宋" w:eastAsia="仿宋" w:cs="仿宋"/>
          <w:b/>
          <w:bCs/>
          <w:highlight w:val="none"/>
        </w:rPr>
        <w:t>不一致且无有效变更证明的；</w:t>
      </w:r>
    </w:p>
    <w:p w14:paraId="54F9A3B4">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rPr>
        <w:t>G、不符合招标文件中规定的其他实质性要求。</w:t>
      </w:r>
    </w:p>
    <w:p w14:paraId="1BC10F52">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.3 投标文件的细微偏差是指在实质上响应招标文件要求，但在个别地方存在漏项或者提供了不完整的技术信息和数据等情况，并且补正这些遗漏或者不完整，不会对其他</w:t>
      </w:r>
      <w:r>
        <w:rPr>
          <w:rFonts w:hint="eastAsia" w:ascii="仿宋" w:hAnsi="仿宋" w:eastAsia="仿宋" w:cs="仿宋"/>
          <w:highlight w:val="none"/>
          <w:lang w:eastAsia="zh-CN"/>
        </w:rPr>
        <w:t>供应商</w:t>
      </w:r>
      <w:r>
        <w:rPr>
          <w:rFonts w:hint="eastAsia" w:ascii="仿宋" w:hAnsi="仿宋" w:eastAsia="仿宋" w:cs="仿宋"/>
          <w:highlight w:val="none"/>
        </w:rPr>
        <w:t>造成不公正的结果。细微偏差不影响投标文件的有效性。</w:t>
      </w:r>
    </w:p>
    <w:p w14:paraId="40C2097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 xml:space="preserve">.4 初步评审中，对明显的文字和计算错误按下述原则处理，若出现相互矛盾之处，应以排列在先的原则为准优先处理：        </w:t>
      </w:r>
    </w:p>
    <w:p w14:paraId="12EB265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1）投标文件中的开标一览表与明细表内容不一致的，以开标一览表为准。</w:t>
      </w:r>
    </w:p>
    <w:p w14:paraId="07D0B4D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2）如果以文字表示的数据与数字表示的有差别，以文字为准修正数字。如果大写金额和小写金额不一致的，以大写金额为准；</w:t>
      </w:r>
    </w:p>
    <w:p w14:paraId="1326028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3）如果单价乘以数量不等于总价，以单价为准修正总价，但单价金额小数点有明显错位的，应以总价为准，并修改单价。如果明细价格相加不等于汇总价格，以明细价格为准。</w:t>
      </w:r>
    </w:p>
    <w:p w14:paraId="5E93C19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4）调整后的数据对</w:t>
      </w:r>
      <w:r>
        <w:rPr>
          <w:rFonts w:hint="eastAsia" w:ascii="仿宋" w:hAnsi="仿宋" w:eastAsia="仿宋" w:cs="仿宋"/>
          <w:highlight w:val="none"/>
          <w:lang w:eastAsia="zh-CN"/>
        </w:rPr>
        <w:t>供应商</w:t>
      </w:r>
      <w:r>
        <w:rPr>
          <w:rFonts w:hint="eastAsia" w:ascii="仿宋" w:hAnsi="仿宋" w:eastAsia="仿宋" w:cs="仿宋"/>
          <w:highlight w:val="none"/>
        </w:rPr>
        <w:t>具有约束力，</w:t>
      </w:r>
      <w:r>
        <w:rPr>
          <w:rFonts w:hint="eastAsia" w:ascii="仿宋" w:hAnsi="仿宋" w:eastAsia="仿宋" w:cs="仿宋"/>
          <w:highlight w:val="none"/>
          <w:lang w:eastAsia="zh-CN"/>
        </w:rPr>
        <w:t>供应商</w:t>
      </w:r>
      <w:r>
        <w:rPr>
          <w:rFonts w:hint="eastAsia" w:ascii="仿宋" w:hAnsi="仿宋" w:eastAsia="仿宋" w:cs="仿宋"/>
          <w:highlight w:val="none"/>
        </w:rPr>
        <w:t>不同意以上修正，其投标将被拒绝。</w:t>
      </w:r>
    </w:p>
    <w:p w14:paraId="3F356BF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4</w:t>
      </w:r>
      <w:r>
        <w:rPr>
          <w:rFonts w:hint="eastAsia" w:ascii="仿宋" w:hAnsi="仿宋" w:eastAsia="仿宋" w:cs="仿宋"/>
          <w:highlight w:val="none"/>
        </w:rPr>
        <w:t>.5 评标委员会对投标文件的判定，只依据投标文件内容本身，不依据其他外来证明。</w:t>
      </w:r>
    </w:p>
    <w:p w14:paraId="4A40916C">
      <w:pPr>
        <w:snapToGrid w:val="0"/>
        <w:spacing w:line="360" w:lineRule="auto"/>
        <w:ind w:firstLine="482" w:firstLineChars="200"/>
        <w:jc w:val="both"/>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5</w:t>
      </w:r>
      <w:r>
        <w:rPr>
          <w:rFonts w:hint="eastAsia" w:ascii="仿宋" w:hAnsi="仿宋" w:eastAsia="仿宋" w:cs="仿宋"/>
          <w:b/>
          <w:highlight w:val="none"/>
        </w:rPr>
        <w:t>.投标的澄清</w:t>
      </w:r>
    </w:p>
    <w:p w14:paraId="48E25E7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.1 评标委员会有权要求</w:t>
      </w:r>
      <w:r>
        <w:rPr>
          <w:rFonts w:hint="eastAsia" w:ascii="仿宋" w:hAnsi="仿宋" w:eastAsia="仿宋" w:cs="仿宋"/>
          <w:highlight w:val="none"/>
          <w:lang w:eastAsia="zh-CN"/>
        </w:rPr>
        <w:t>供应商</w:t>
      </w:r>
      <w:r>
        <w:rPr>
          <w:rFonts w:hint="eastAsia" w:ascii="仿宋" w:hAnsi="仿宋" w:eastAsia="仿宋" w:cs="仿宋"/>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仿宋" w:hAnsi="仿宋" w:eastAsia="仿宋" w:cs="仿宋"/>
          <w:highlight w:val="none"/>
          <w:lang w:eastAsia="zh-CN"/>
        </w:rPr>
        <w:t>供应商</w:t>
      </w:r>
      <w:r>
        <w:rPr>
          <w:rFonts w:hint="eastAsia" w:ascii="仿宋" w:hAnsi="仿宋" w:eastAsia="仿宋" w:cs="仿宋"/>
          <w:highlight w:val="none"/>
        </w:rPr>
        <w:t>主动提出的澄清、说明或者补正。</w:t>
      </w:r>
    </w:p>
    <w:p w14:paraId="18EEBE7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 xml:space="preserve">.2 </w:t>
      </w:r>
      <w:r>
        <w:rPr>
          <w:rFonts w:hint="eastAsia" w:ascii="仿宋" w:hAnsi="仿宋" w:eastAsia="仿宋" w:cs="仿宋"/>
          <w:highlight w:val="none"/>
          <w:lang w:eastAsia="zh-CN"/>
        </w:rPr>
        <w:t>供应商</w:t>
      </w:r>
      <w:r>
        <w:rPr>
          <w:rFonts w:hint="eastAsia" w:ascii="仿宋" w:hAnsi="仿宋" w:eastAsia="仿宋" w:cs="仿宋"/>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仿宋" w:hAnsi="仿宋" w:eastAsia="仿宋" w:cs="仿宋"/>
          <w:highlight w:val="none"/>
          <w:lang w:eastAsia="zh-CN"/>
        </w:rPr>
        <w:t>供应商</w:t>
      </w:r>
      <w:r>
        <w:rPr>
          <w:rFonts w:hint="eastAsia" w:ascii="仿宋" w:hAnsi="仿宋" w:eastAsia="仿宋" w:cs="仿宋"/>
          <w:highlight w:val="none"/>
        </w:rPr>
        <w:t>拒不按照要求对投标文件进行澄清、说明或者补正的，评标委员会可拒绝该投标。</w:t>
      </w:r>
    </w:p>
    <w:p w14:paraId="392EFCB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.3 如评标委员会一致认为某个</w:t>
      </w:r>
      <w:r>
        <w:rPr>
          <w:rFonts w:hint="eastAsia" w:ascii="仿宋" w:hAnsi="仿宋" w:eastAsia="仿宋" w:cs="仿宋"/>
          <w:highlight w:val="none"/>
          <w:lang w:eastAsia="zh-CN"/>
        </w:rPr>
        <w:t>供应商</w:t>
      </w:r>
      <w:r>
        <w:rPr>
          <w:rFonts w:hint="eastAsia" w:ascii="仿宋" w:hAnsi="仿宋" w:eastAsia="仿宋" w:cs="仿宋"/>
          <w:highlight w:val="none"/>
        </w:rPr>
        <w:t>的报价明显不合理，有降低质量、不能诚信履行的可能时，评标委员会有权决定是否通知</w:t>
      </w:r>
      <w:r>
        <w:rPr>
          <w:rFonts w:hint="eastAsia" w:ascii="仿宋" w:hAnsi="仿宋" w:eastAsia="仿宋" w:cs="仿宋"/>
          <w:highlight w:val="none"/>
          <w:lang w:eastAsia="zh-CN"/>
        </w:rPr>
        <w:t>供应商</w:t>
      </w:r>
      <w:r>
        <w:rPr>
          <w:rFonts w:hint="eastAsia" w:ascii="仿宋" w:hAnsi="仿宋" w:eastAsia="仿宋" w:cs="仿宋"/>
          <w:highlight w:val="none"/>
        </w:rPr>
        <w:t>限期进行书面解释或提供相关证明材料。若已要求，而该</w:t>
      </w:r>
      <w:r>
        <w:rPr>
          <w:rFonts w:hint="eastAsia" w:ascii="仿宋" w:hAnsi="仿宋" w:eastAsia="仿宋" w:cs="仿宋"/>
          <w:highlight w:val="none"/>
          <w:lang w:eastAsia="zh-CN"/>
        </w:rPr>
        <w:t>供应商</w:t>
      </w:r>
      <w:r>
        <w:rPr>
          <w:rFonts w:hint="eastAsia" w:ascii="仿宋" w:hAnsi="仿宋" w:eastAsia="仿宋" w:cs="仿宋"/>
          <w:highlight w:val="none"/>
        </w:rPr>
        <w:t>在规定期限内未做出解释、作出的解释不合理或不能提供证明材料的，经评标委员会取得一致意见后，可拒绝该投标。</w:t>
      </w:r>
    </w:p>
    <w:p w14:paraId="5ADD94B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.4 公开招标采购项目采购人或者采购代理机构应当依法对</w:t>
      </w:r>
      <w:r>
        <w:rPr>
          <w:rFonts w:hint="eastAsia" w:ascii="仿宋" w:hAnsi="仿宋" w:eastAsia="仿宋" w:cs="仿宋"/>
          <w:highlight w:val="none"/>
          <w:lang w:eastAsia="zh-CN"/>
        </w:rPr>
        <w:t>供应商</w:t>
      </w:r>
      <w:r>
        <w:rPr>
          <w:rFonts w:hint="eastAsia" w:ascii="仿宋" w:hAnsi="仿宋" w:eastAsia="仿宋" w:cs="仿宋"/>
          <w:highlight w:val="none"/>
        </w:rPr>
        <w:t>的资格进行审查。合格</w:t>
      </w:r>
      <w:r>
        <w:rPr>
          <w:rFonts w:hint="eastAsia" w:ascii="仿宋" w:hAnsi="仿宋" w:eastAsia="仿宋" w:cs="仿宋"/>
          <w:highlight w:val="none"/>
          <w:lang w:eastAsia="zh-CN"/>
        </w:rPr>
        <w:t>供应商</w:t>
      </w:r>
      <w:r>
        <w:rPr>
          <w:rFonts w:hint="eastAsia" w:ascii="仿宋" w:hAnsi="仿宋" w:eastAsia="仿宋" w:cs="仿宋"/>
          <w:highlight w:val="none"/>
        </w:rPr>
        <w:t>不足3家的，不得评标。</w:t>
      </w:r>
    </w:p>
    <w:p w14:paraId="705A1349">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6</w:t>
      </w:r>
      <w:r>
        <w:rPr>
          <w:rFonts w:hint="eastAsia" w:ascii="仿宋" w:hAnsi="仿宋" w:eastAsia="仿宋" w:cs="仿宋"/>
          <w:b/>
          <w:highlight w:val="none"/>
        </w:rPr>
        <w:t>.详细评审</w:t>
      </w:r>
    </w:p>
    <w:p w14:paraId="3251F22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.1 评标委员会只对实质上响应招标文件的投标进行评价和比较；评审应严格按照招标文件规定及要求进行。具体要求等详见招标文件第三章“评审方法”。</w:t>
      </w:r>
    </w:p>
    <w:p w14:paraId="7F1805D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6</w:t>
      </w:r>
      <w:r>
        <w:rPr>
          <w:rFonts w:hint="eastAsia" w:ascii="仿宋" w:hAnsi="仿宋" w:eastAsia="仿宋" w:cs="仿宋"/>
          <w:highlight w:val="none"/>
        </w:rPr>
        <w:t>.2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6B70DD85">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7</w:t>
      </w:r>
      <w:r>
        <w:rPr>
          <w:rFonts w:hint="eastAsia" w:ascii="仿宋" w:hAnsi="仿宋" w:eastAsia="仿宋" w:cs="仿宋"/>
          <w:b/>
          <w:highlight w:val="none"/>
        </w:rPr>
        <w:t>.确定中标人</w:t>
      </w:r>
    </w:p>
    <w:p w14:paraId="346302C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highlight w:val="none"/>
          <w:lang w:eastAsia="zh-CN"/>
        </w:rPr>
        <w:t>供应商</w:t>
      </w:r>
      <w:r>
        <w:rPr>
          <w:rFonts w:hint="eastAsia" w:ascii="仿宋" w:hAnsi="仿宋" w:eastAsia="仿宋" w:cs="仿宋"/>
          <w:highlight w:val="none"/>
        </w:rPr>
        <w:t>为排名第一的中标候选人。</w:t>
      </w:r>
    </w:p>
    <w:p w14:paraId="2D3DA62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.2 评标委员会根据评审结果及招标文件的规定确定中标人。</w:t>
      </w:r>
    </w:p>
    <w:p w14:paraId="7155130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7</w:t>
      </w:r>
      <w:r>
        <w:rPr>
          <w:rFonts w:hint="eastAsia" w:ascii="仿宋" w:hAnsi="仿宋" w:eastAsia="仿宋" w:cs="仿宋"/>
          <w:highlight w:val="none"/>
        </w:rPr>
        <w:t>.3 采购代理机构应当在评标结束后2个工作日内将评标报告送采购人。</w:t>
      </w:r>
    </w:p>
    <w:p w14:paraId="3B6580B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9D8D14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采购人自行组织招标的，应当在评标结束后5个工作日内确定中标人。</w:t>
      </w:r>
    </w:p>
    <w:p w14:paraId="35DF71D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采购人在收到评标报告5个工作日内未按评标报告推荐的中标候选人顺序确定中标人，又不能说明合法理由的，视同按评标报告推荐的顺序确定排名第一的中标候选人为中标人。</w:t>
      </w:r>
    </w:p>
    <w:p w14:paraId="0834FC6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8</w:t>
      </w:r>
      <w:r>
        <w:rPr>
          <w:rFonts w:hint="eastAsia" w:ascii="仿宋" w:hAnsi="仿宋" w:eastAsia="仿宋" w:cs="仿宋"/>
          <w:b/>
          <w:highlight w:val="none"/>
        </w:rPr>
        <w:t>.评标过程要求</w:t>
      </w:r>
    </w:p>
    <w:p w14:paraId="3F44EED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.1 开标之后，直到签订合同止，凡是属于审查、澄清、评价和比较投标的有关资料以及定标意向等，均不向</w:t>
      </w:r>
      <w:r>
        <w:rPr>
          <w:rFonts w:hint="eastAsia" w:ascii="仿宋" w:hAnsi="仿宋" w:eastAsia="仿宋" w:cs="仿宋"/>
          <w:highlight w:val="none"/>
          <w:lang w:eastAsia="zh-CN"/>
        </w:rPr>
        <w:t>供应商</w:t>
      </w:r>
      <w:r>
        <w:rPr>
          <w:rFonts w:hint="eastAsia" w:ascii="仿宋" w:hAnsi="仿宋" w:eastAsia="仿宋" w:cs="仿宋"/>
          <w:highlight w:val="none"/>
        </w:rPr>
        <w:t>或者其他与评标无关的人员透露。</w:t>
      </w:r>
    </w:p>
    <w:p w14:paraId="59A4D13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8</w:t>
      </w:r>
      <w:r>
        <w:rPr>
          <w:rFonts w:hint="eastAsia" w:ascii="仿宋" w:hAnsi="仿宋" w:eastAsia="仿宋" w:cs="仿宋"/>
          <w:highlight w:val="none"/>
        </w:rPr>
        <w:t>.2 在确定中标人之前，</w:t>
      </w:r>
      <w:r>
        <w:rPr>
          <w:rFonts w:hint="eastAsia" w:ascii="仿宋" w:hAnsi="仿宋" w:eastAsia="仿宋" w:cs="仿宋"/>
          <w:highlight w:val="none"/>
          <w:lang w:eastAsia="zh-CN"/>
        </w:rPr>
        <w:t>供应商</w:t>
      </w:r>
      <w:r>
        <w:rPr>
          <w:rFonts w:hint="eastAsia" w:ascii="仿宋" w:hAnsi="仿宋" w:eastAsia="仿宋" w:cs="仿宋"/>
          <w:highlight w:val="none"/>
        </w:rPr>
        <w:t>试图在投标文件审查、澄清、比较和评标时对评标委员会、采购人和采购代理机构施加任何影响都可能导致其投标无效。</w:t>
      </w:r>
    </w:p>
    <w:p w14:paraId="0E4D0EB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2</w:t>
      </w:r>
      <w:r>
        <w:rPr>
          <w:rFonts w:hint="eastAsia" w:ascii="仿宋" w:hAnsi="仿宋" w:eastAsia="仿宋" w:cs="仿宋"/>
          <w:b/>
          <w:highlight w:val="none"/>
          <w:lang w:val="en-US" w:eastAsia="zh-CN"/>
        </w:rPr>
        <w:t>9</w:t>
      </w:r>
      <w:r>
        <w:rPr>
          <w:rFonts w:hint="eastAsia" w:ascii="仿宋" w:hAnsi="仿宋" w:eastAsia="仿宋" w:cs="仿宋"/>
          <w:b/>
          <w:highlight w:val="none"/>
        </w:rPr>
        <w:t>.</w:t>
      </w:r>
      <w:r>
        <w:rPr>
          <w:rFonts w:hint="eastAsia" w:ascii="仿宋" w:hAnsi="仿宋" w:eastAsia="仿宋" w:cs="仿宋"/>
          <w:b/>
          <w:highlight w:val="none"/>
          <w:lang w:eastAsia="zh-CN"/>
        </w:rPr>
        <w:t>供应商</w:t>
      </w:r>
      <w:r>
        <w:rPr>
          <w:rFonts w:hint="eastAsia" w:ascii="仿宋" w:hAnsi="仿宋" w:eastAsia="仿宋" w:cs="仿宋"/>
          <w:b/>
          <w:highlight w:val="none"/>
        </w:rPr>
        <w:t>瑕疵滞后发现的处理规则</w:t>
      </w:r>
    </w:p>
    <w:p w14:paraId="476999C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9</w:t>
      </w:r>
      <w:r>
        <w:rPr>
          <w:rFonts w:hint="eastAsia" w:ascii="仿宋" w:hAnsi="仿宋" w:eastAsia="仿宋" w:cs="仿宋"/>
          <w:highlight w:val="none"/>
        </w:rPr>
        <w:t>.1 无论基于何种原因，各项本应作拒绝处理的情形即便未被及时发现而使该</w:t>
      </w:r>
      <w:r>
        <w:rPr>
          <w:rFonts w:hint="eastAsia" w:ascii="仿宋" w:hAnsi="仿宋" w:eastAsia="仿宋" w:cs="仿宋"/>
          <w:highlight w:val="none"/>
          <w:lang w:eastAsia="zh-CN"/>
        </w:rPr>
        <w:t>供应商</w:t>
      </w:r>
      <w:r>
        <w:rPr>
          <w:rFonts w:hint="eastAsia" w:ascii="仿宋" w:hAnsi="仿宋" w:eastAsia="仿宋" w:cs="仿宋"/>
          <w:highlight w:val="none"/>
        </w:rPr>
        <w:t>进入初审、综合评审或其他后续程序，包括已经签订合同的情形，一旦</w:t>
      </w:r>
      <w:r>
        <w:rPr>
          <w:rFonts w:hint="eastAsia" w:ascii="仿宋" w:hAnsi="仿宋" w:eastAsia="仿宋" w:cs="仿宋"/>
          <w:highlight w:val="none"/>
          <w:lang w:eastAsia="zh-CN"/>
        </w:rPr>
        <w:t>供应商</w:t>
      </w:r>
      <w:r>
        <w:rPr>
          <w:rFonts w:hint="eastAsia" w:ascii="仿宋" w:hAnsi="仿宋" w:eastAsia="仿宋" w:cs="仿宋"/>
          <w:highlight w:val="none"/>
        </w:rPr>
        <w:t>被拒绝或该</w:t>
      </w:r>
      <w:r>
        <w:rPr>
          <w:rFonts w:hint="eastAsia" w:ascii="仿宋" w:hAnsi="仿宋" w:eastAsia="仿宋" w:cs="仿宋"/>
          <w:highlight w:val="none"/>
          <w:lang w:eastAsia="zh-CN"/>
        </w:rPr>
        <w:t>供应商</w:t>
      </w:r>
      <w:r>
        <w:rPr>
          <w:rFonts w:hint="eastAsia" w:ascii="仿宋" w:hAnsi="仿宋" w:eastAsia="仿宋" w:cs="仿宋"/>
          <w:highlight w:val="none"/>
        </w:rPr>
        <w:t>的此前评议结果被取消，其现有的位置将被其他</w:t>
      </w:r>
      <w:r>
        <w:rPr>
          <w:rFonts w:hint="eastAsia" w:ascii="仿宋" w:hAnsi="仿宋" w:eastAsia="仿宋" w:cs="仿宋"/>
          <w:highlight w:val="none"/>
          <w:lang w:eastAsia="zh-CN"/>
        </w:rPr>
        <w:t>供应商</w:t>
      </w:r>
      <w:r>
        <w:rPr>
          <w:rFonts w:hint="eastAsia" w:ascii="仿宋" w:hAnsi="仿宋" w:eastAsia="仿宋" w:cs="仿宋"/>
          <w:highlight w:val="none"/>
        </w:rPr>
        <w:t>依序替代，相关的一切损失均由该</w:t>
      </w:r>
      <w:r>
        <w:rPr>
          <w:rFonts w:hint="eastAsia" w:ascii="仿宋" w:hAnsi="仿宋" w:eastAsia="仿宋" w:cs="仿宋"/>
          <w:highlight w:val="none"/>
          <w:lang w:eastAsia="zh-CN"/>
        </w:rPr>
        <w:t>供应商</w:t>
      </w:r>
      <w:r>
        <w:rPr>
          <w:rFonts w:hint="eastAsia" w:ascii="仿宋" w:hAnsi="仿宋" w:eastAsia="仿宋" w:cs="仿宋"/>
          <w:highlight w:val="none"/>
        </w:rPr>
        <w:t>承担。</w:t>
      </w:r>
    </w:p>
    <w:p w14:paraId="77E4FABF">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lang w:val="en-US" w:eastAsia="zh-CN"/>
        </w:rPr>
        <w:t>30</w:t>
      </w:r>
      <w:r>
        <w:rPr>
          <w:rFonts w:hint="eastAsia" w:ascii="仿宋" w:hAnsi="仿宋" w:eastAsia="仿宋" w:cs="仿宋"/>
          <w:b/>
          <w:highlight w:val="none"/>
        </w:rPr>
        <w:t>.采购项目废标</w:t>
      </w:r>
    </w:p>
    <w:p w14:paraId="3A8D19F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30</w:t>
      </w:r>
      <w:r>
        <w:rPr>
          <w:rFonts w:hint="eastAsia" w:ascii="仿宋" w:hAnsi="仿宋" w:eastAsia="仿宋" w:cs="仿宋"/>
          <w:highlight w:val="none"/>
        </w:rPr>
        <w:t>.1 在评标过程中，评标委员会发现有下列情形之一的，应对采购项目予以废标：</w:t>
      </w:r>
    </w:p>
    <w:p w14:paraId="08F1276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1）符合专业条件的</w:t>
      </w:r>
      <w:r>
        <w:rPr>
          <w:rFonts w:hint="eastAsia" w:ascii="仿宋" w:hAnsi="仿宋" w:eastAsia="仿宋" w:cs="仿宋"/>
          <w:highlight w:val="none"/>
          <w:lang w:eastAsia="zh-CN"/>
        </w:rPr>
        <w:t>供应商</w:t>
      </w:r>
      <w:r>
        <w:rPr>
          <w:rFonts w:hint="eastAsia" w:ascii="仿宋" w:hAnsi="仿宋" w:eastAsia="仿宋" w:cs="仿宋"/>
          <w:highlight w:val="none"/>
        </w:rPr>
        <w:t>或者对招标文件作实质响应的</w:t>
      </w:r>
      <w:r>
        <w:rPr>
          <w:rFonts w:hint="eastAsia" w:ascii="仿宋" w:hAnsi="仿宋" w:eastAsia="仿宋" w:cs="仿宋"/>
          <w:highlight w:val="none"/>
          <w:lang w:eastAsia="zh-CN"/>
        </w:rPr>
        <w:t>供应商</w:t>
      </w:r>
      <w:r>
        <w:rPr>
          <w:rFonts w:hint="eastAsia" w:ascii="仿宋" w:hAnsi="仿宋" w:eastAsia="仿宋" w:cs="仿宋"/>
          <w:highlight w:val="none"/>
        </w:rPr>
        <w:t>数量不足，导致进入详细评审、打分阶段的</w:t>
      </w:r>
      <w:r>
        <w:rPr>
          <w:rFonts w:hint="eastAsia" w:ascii="仿宋" w:hAnsi="仿宋" w:eastAsia="仿宋" w:cs="仿宋"/>
          <w:highlight w:val="none"/>
          <w:lang w:eastAsia="zh-CN"/>
        </w:rPr>
        <w:t>供应商</w:t>
      </w:r>
      <w:r>
        <w:rPr>
          <w:rFonts w:hint="eastAsia" w:ascii="仿宋" w:hAnsi="仿宋" w:eastAsia="仿宋" w:cs="仿宋"/>
          <w:highlight w:val="none"/>
        </w:rPr>
        <w:t xml:space="preserve">不足3家的； </w:t>
      </w:r>
    </w:p>
    <w:p w14:paraId="397A896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供应商</w:t>
      </w:r>
      <w:r>
        <w:rPr>
          <w:rFonts w:hint="eastAsia" w:ascii="仿宋" w:hAnsi="仿宋" w:eastAsia="仿宋" w:cs="仿宋"/>
          <w:highlight w:val="none"/>
        </w:rPr>
        <w:t>的报价不符合招标文件要求的；</w:t>
      </w:r>
    </w:p>
    <w:p w14:paraId="5268DCD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3）出现影响采购公正的违法、违规行为的；</w:t>
      </w:r>
    </w:p>
    <w:p w14:paraId="6DD2FE4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4）因重大变故，采购任务取消的。</w:t>
      </w:r>
    </w:p>
    <w:p w14:paraId="0A961FC9">
      <w:pPr>
        <w:snapToGrid w:val="0"/>
        <w:spacing w:line="360" w:lineRule="auto"/>
        <w:jc w:val="center"/>
        <w:rPr>
          <w:rFonts w:hint="eastAsia" w:ascii="仿宋" w:hAnsi="仿宋" w:eastAsia="仿宋" w:cs="仿宋"/>
          <w:b/>
          <w:kern w:val="2"/>
          <w:sz w:val="28"/>
          <w:szCs w:val="32"/>
          <w:highlight w:val="none"/>
          <w:lang w:val="zh-CN"/>
        </w:rPr>
      </w:pPr>
      <w:bookmarkStart w:id="39" w:name="_Toc17481"/>
      <w:bookmarkStart w:id="40" w:name="_Toc15082"/>
      <w:r>
        <w:rPr>
          <w:rFonts w:hint="eastAsia" w:ascii="仿宋" w:hAnsi="仿宋" w:eastAsia="仿宋" w:cs="仿宋"/>
          <w:b/>
          <w:kern w:val="2"/>
          <w:sz w:val="28"/>
          <w:szCs w:val="32"/>
          <w:highlight w:val="none"/>
          <w:lang w:val="zh-CN"/>
        </w:rPr>
        <w:t>八、履约保证金(见供应商须知前附表)</w:t>
      </w:r>
      <w:bookmarkEnd w:id="39"/>
      <w:bookmarkEnd w:id="40"/>
    </w:p>
    <w:p w14:paraId="08C5BE98">
      <w:pPr>
        <w:snapToGrid w:val="0"/>
        <w:spacing w:line="360" w:lineRule="auto"/>
        <w:jc w:val="center"/>
        <w:rPr>
          <w:rFonts w:hint="eastAsia" w:ascii="仿宋" w:hAnsi="仿宋" w:eastAsia="仿宋" w:cs="仿宋"/>
          <w:b/>
          <w:kern w:val="2"/>
          <w:sz w:val="28"/>
          <w:szCs w:val="32"/>
          <w:highlight w:val="none"/>
          <w:lang w:val="zh-CN"/>
        </w:rPr>
      </w:pPr>
      <w:bookmarkStart w:id="41" w:name="_Toc21839"/>
      <w:r>
        <w:rPr>
          <w:rFonts w:hint="eastAsia" w:ascii="仿宋" w:hAnsi="仿宋" w:eastAsia="仿宋" w:cs="仿宋"/>
          <w:b/>
          <w:kern w:val="2"/>
          <w:sz w:val="28"/>
          <w:szCs w:val="32"/>
          <w:highlight w:val="none"/>
          <w:lang w:val="zh-CN"/>
        </w:rPr>
        <w:t>九、代理服务费</w:t>
      </w:r>
      <w:bookmarkEnd w:id="41"/>
    </w:p>
    <w:p w14:paraId="14385952">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1</w:t>
      </w:r>
      <w:r>
        <w:rPr>
          <w:rFonts w:hint="eastAsia" w:ascii="仿宋" w:hAnsi="仿宋" w:eastAsia="仿宋" w:cs="仿宋"/>
          <w:b/>
          <w:highlight w:val="none"/>
        </w:rPr>
        <w:t>.代理服务费</w:t>
      </w:r>
    </w:p>
    <w:p w14:paraId="389EEEB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1</w:t>
      </w:r>
      <w:r>
        <w:rPr>
          <w:rFonts w:hint="eastAsia" w:ascii="仿宋" w:hAnsi="仿宋" w:eastAsia="仿宋" w:cs="仿宋"/>
          <w:highlight w:val="none"/>
        </w:rPr>
        <w:t>.1 代理服务费按照招标文件“</w:t>
      </w:r>
      <w:r>
        <w:rPr>
          <w:rFonts w:hint="eastAsia" w:ascii="仿宋" w:hAnsi="仿宋" w:eastAsia="仿宋" w:cs="仿宋"/>
          <w:highlight w:val="none"/>
          <w:lang w:eastAsia="zh-CN"/>
        </w:rPr>
        <w:t>供应商</w:t>
      </w:r>
      <w:r>
        <w:rPr>
          <w:rFonts w:hint="eastAsia" w:ascii="仿宋" w:hAnsi="仿宋" w:eastAsia="仿宋" w:cs="仿宋"/>
          <w:highlight w:val="none"/>
        </w:rPr>
        <w:t>须知前附表”中第</w:t>
      </w:r>
      <w:r>
        <w:rPr>
          <w:rFonts w:hint="eastAsia" w:ascii="仿宋" w:hAnsi="仿宋" w:eastAsia="仿宋" w:cs="仿宋"/>
          <w:highlight w:val="none"/>
          <w:lang w:val="en-US" w:eastAsia="zh-CN"/>
        </w:rPr>
        <w:t>28</w:t>
      </w:r>
      <w:r>
        <w:rPr>
          <w:rFonts w:hint="eastAsia" w:ascii="仿宋" w:hAnsi="仿宋" w:eastAsia="仿宋" w:cs="仿宋"/>
          <w:highlight w:val="none"/>
        </w:rPr>
        <w:t>项的规定由中标人交纳，请</w:t>
      </w:r>
      <w:r>
        <w:rPr>
          <w:rFonts w:hint="eastAsia" w:ascii="仿宋" w:hAnsi="仿宋" w:eastAsia="仿宋" w:cs="仿宋"/>
          <w:highlight w:val="none"/>
          <w:lang w:eastAsia="zh-CN"/>
        </w:rPr>
        <w:t>供应商</w:t>
      </w:r>
      <w:r>
        <w:rPr>
          <w:rFonts w:hint="eastAsia" w:ascii="仿宋" w:hAnsi="仿宋" w:eastAsia="仿宋" w:cs="仿宋"/>
          <w:highlight w:val="none"/>
        </w:rPr>
        <w:t>在测算投标报价时充分考虑这一因素。</w:t>
      </w:r>
    </w:p>
    <w:p w14:paraId="4CE04573">
      <w:pPr>
        <w:snapToGrid w:val="0"/>
        <w:spacing w:line="360" w:lineRule="auto"/>
        <w:jc w:val="center"/>
        <w:rPr>
          <w:rFonts w:hint="eastAsia" w:ascii="仿宋" w:hAnsi="仿宋" w:eastAsia="仿宋" w:cs="仿宋"/>
          <w:b/>
          <w:kern w:val="2"/>
          <w:sz w:val="28"/>
          <w:szCs w:val="32"/>
          <w:highlight w:val="none"/>
          <w:lang w:val="zh-CN"/>
        </w:rPr>
      </w:pPr>
      <w:bookmarkStart w:id="42" w:name="_Toc23307"/>
      <w:bookmarkStart w:id="43" w:name="_Toc28150"/>
      <w:r>
        <w:rPr>
          <w:rFonts w:hint="eastAsia" w:ascii="仿宋" w:hAnsi="仿宋" w:eastAsia="仿宋" w:cs="仿宋"/>
          <w:b/>
          <w:kern w:val="2"/>
          <w:sz w:val="28"/>
          <w:szCs w:val="32"/>
          <w:highlight w:val="none"/>
          <w:lang w:val="zh-CN"/>
        </w:rPr>
        <w:t>十、签订、审核合同</w:t>
      </w:r>
      <w:bookmarkEnd w:id="42"/>
      <w:bookmarkEnd w:id="43"/>
    </w:p>
    <w:p w14:paraId="4AB1D4EC">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2</w:t>
      </w:r>
      <w:r>
        <w:rPr>
          <w:rFonts w:hint="eastAsia" w:ascii="仿宋" w:hAnsi="仿宋" w:eastAsia="仿宋" w:cs="仿宋"/>
          <w:b/>
          <w:highlight w:val="none"/>
        </w:rPr>
        <w:t>.中标通知</w:t>
      </w:r>
    </w:p>
    <w:p w14:paraId="6C9BF1F9">
      <w:pPr>
        <w:snapToGrid w:val="0"/>
        <w:spacing w:line="360"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2</w:t>
      </w:r>
      <w:r>
        <w:rPr>
          <w:rFonts w:hint="eastAsia" w:ascii="仿宋" w:hAnsi="仿宋" w:eastAsia="仿宋" w:cs="仿宋"/>
          <w:highlight w:val="none"/>
        </w:rPr>
        <w:t>.1 中标人确定后,采购代理机构将在相关政府采购信息发布媒体上发布中标公告，并以书面形式向中标人发出中标通知书，但该中标结果的有效性不依赖于未中标的</w:t>
      </w:r>
      <w:r>
        <w:rPr>
          <w:rFonts w:hint="eastAsia" w:ascii="仿宋" w:hAnsi="仿宋" w:eastAsia="仿宋" w:cs="仿宋"/>
          <w:highlight w:val="none"/>
          <w:lang w:eastAsia="zh-CN"/>
        </w:rPr>
        <w:t>供应商</w:t>
      </w:r>
      <w:r>
        <w:rPr>
          <w:rFonts w:hint="eastAsia" w:ascii="仿宋" w:hAnsi="仿宋" w:eastAsia="仿宋" w:cs="仿宋"/>
          <w:highlight w:val="none"/>
        </w:rPr>
        <w:t>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66CEBE5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采购代理机构对未中标的</w:t>
      </w:r>
      <w:r>
        <w:rPr>
          <w:rFonts w:hint="eastAsia" w:ascii="仿宋" w:hAnsi="仿宋" w:eastAsia="仿宋" w:cs="仿宋"/>
          <w:highlight w:val="none"/>
          <w:lang w:eastAsia="zh-CN"/>
        </w:rPr>
        <w:t>供应商</w:t>
      </w:r>
      <w:r>
        <w:rPr>
          <w:rFonts w:hint="eastAsia" w:ascii="仿宋" w:hAnsi="仿宋" w:eastAsia="仿宋" w:cs="仿宋"/>
          <w:highlight w:val="none"/>
        </w:rPr>
        <w:t>不作未中标原因的解释，但中标结果的有效性不以未中标的</w:t>
      </w:r>
      <w:r>
        <w:rPr>
          <w:rFonts w:hint="eastAsia" w:ascii="仿宋" w:hAnsi="仿宋" w:eastAsia="仿宋" w:cs="仿宋"/>
          <w:highlight w:val="none"/>
          <w:lang w:eastAsia="zh-CN"/>
        </w:rPr>
        <w:t>供应商</w:t>
      </w:r>
      <w:r>
        <w:rPr>
          <w:rFonts w:hint="eastAsia" w:ascii="仿宋" w:hAnsi="仿宋" w:eastAsia="仿宋" w:cs="仿宋"/>
          <w:highlight w:val="none"/>
        </w:rPr>
        <w:t>是否收到相应的通知为前提。</w:t>
      </w:r>
    </w:p>
    <w:p w14:paraId="35684E5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中标通知书是合同的组成部分。</w:t>
      </w:r>
    </w:p>
    <w:p w14:paraId="7EDDA20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3</w:t>
      </w:r>
      <w:r>
        <w:rPr>
          <w:rFonts w:hint="eastAsia" w:ascii="仿宋" w:hAnsi="仿宋" w:eastAsia="仿宋" w:cs="仿宋"/>
          <w:b/>
          <w:highlight w:val="none"/>
        </w:rPr>
        <w:t>.签订合同</w:t>
      </w:r>
    </w:p>
    <w:p w14:paraId="6EF9977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.1 中标人须在中标通知书发出之日起30日内与采购人签订采购合同。</w:t>
      </w:r>
    </w:p>
    <w:p w14:paraId="0646431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.2 中标人须按照招标文件、投标文件及评标过程中的有关澄清、说明或者补正文件的内容与采购人签订合同。中标人不得再与采购人签订背离合同实质性内容的其他协议或声明。</w:t>
      </w:r>
    </w:p>
    <w:p w14:paraId="20315740">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.3 采购人如需追加与合同标的相同的</w:t>
      </w:r>
      <w:r>
        <w:rPr>
          <w:rFonts w:hint="eastAsia" w:ascii="仿宋" w:hAnsi="仿宋" w:eastAsia="仿宋" w:cs="仿宋"/>
          <w:highlight w:val="none"/>
          <w:lang w:eastAsia="zh-CN"/>
        </w:rPr>
        <w:t>货物</w:t>
      </w:r>
      <w:r>
        <w:rPr>
          <w:rFonts w:hint="eastAsia" w:ascii="仿宋" w:hAnsi="仿宋" w:eastAsia="仿宋" w:cs="仿宋"/>
          <w:highlight w:val="none"/>
        </w:rPr>
        <w:t>，在不改变合同其他条款的前提下，提交追加合同的申请报经同级财政部门审核后，可与中标人签订补充合同，但所有补充合同的采购金额不得超过原合同金额的百分之十。</w:t>
      </w:r>
    </w:p>
    <w:p w14:paraId="7A19B8E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.4 中标人一旦中标及签订合同后，不得转包，亦不得将合同全部及任何权利、义务向第三方转让。</w:t>
      </w:r>
    </w:p>
    <w:p w14:paraId="204D2189">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3</w:t>
      </w:r>
      <w:r>
        <w:rPr>
          <w:rFonts w:hint="eastAsia" w:ascii="仿宋" w:hAnsi="仿宋" w:eastAsia="仿宋" w:cs="仿宋"/>
          <w:highlight w:val="none"/>
        </w:rPr>
        <w:t>.5 中标人不履行合同的，采购人可在报经同级人民政府财政部门核准后，与排位在中标人之后的第一位中标候选</w:t>
      </w:r>
      <w:r>
        <w:rPr>
          <w:rFonts w:hint="eastAsia" w:ascii="仿宋" w:hAnsi="仿宋" w:eastAsia="仿宋" w:cs="仿宋"/>
          <w:highlight w:val="none"/>
          <w:lang w:eastAsia="zh-CN"/>
        </w:rPr>
        <w:t>供应商</w:t>
      </w:r>
      <w:r>
        <w:rPr>
          <w:rFonts w:hint="eastAsia" w:ascii="仿宋" w:hAnsi="仿宋" w:eastAsia="仿宋" w:cs="仿宋"/>
          <w:highlight w:val="none"/>
        </w:rPr>
        <w:t>签订合同，以此类推；或在报经同级人民政府财政部门核准后重新组织采购。</w:t>
      </w:r>
    </w:p>
    <w:p w14:paraId="12EA7104">
      <w:pPr>
        <w:snapToGrid w:val="0"/>
        <w:spacing w:line="360" w:lineRule="auto"/>
        <w:jc w:val="center"/>
        <w:rPr>
          <w:rFonts w:hint="eastAsia" w:ascii="仿宋" w:hAnsi="仿宋" w:eastAsia="仿宋" w:cs="仿宋"/>
          <w:b/>
          <w:kern w:val="2"/>
          <w:sz w:val="28"/>
          <w:szCs w:val="32"/>
          <w:highlight w:val="none"/>
          <w:lang w:val="zh-CN"/>
        </w:rPr>
      </w:pPr>
      <w:bookmarkStart w:id="44" w:name="_Toc2538"/>
      <w:bookmarkStart w:id="45" w:name="_Toc16351"/>
      <w:r>
        <w:rPr>
          <w:rFonts w:hint="eastAsia" w:ascii="仿宋" w:hAnsi="仿宋" w:eastAsia="仿宋" w:cs="仿宋"/>
          <w:b/>
          <w:kern w:val="2"/>
          <w:sz w:val="28"/>
          <w:szCs w:val="32"/>
          <w:highlight w:val="none"/>
          <w:lang w:val="zh-CN"/>
        </w:rPr>
        <w:t>十一、处罚、询问和质疑</w:t>
      </w:r>
      <w:bookmarkEnd w:id="44"/>
      <w:bookmarkEnd w:id="45"/>
      <w:r>
        <w:rPr>
          <w:rFonts w:hint="eastAsia" w:ascii="仿宋" w:hAnsi="仿宋" w:eastAsia="仿宋" w:cs="仿宋"/>
          <w:b/>
          <w:kern w:val="2"/>
          <w:sz w:val="28"/>
          <w:szCs w:val="32"/>
          <w:highlight w:val="none"/>
          <w:lang w:val="zh-CN"/>
        </w:rPr>
        <w:t xml:space="preserve"> </w:t>
      </w:r>
    </w:p>
    <w:p w14:paraId="5BAAB8D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4</w:t>
      </w:r>
      <w:r>
        <w:rPr>
          <w:rFonts w:hint="eastAsia" w:ascii="仿宋" w:hAnsi="仿宋" w:eastAsia="仿宋" w:cs="仿宋"/>
          <w:b/>
          <w:highlight w:val="none"/>
        </w:rPr>
        <w:t>.处罚</w:t>
      </w:r>
    </w:p>
    <w:p w14:paraId="2EABC3D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4</w:t>
      </w:r>
      <w:r>
        <w:rPr>
          <w:rFonts w:hint="eastAsia" w:ascii="仿宋" w:hAnsi="仿宋" w:eastAsia="仿宋" w:cs="仿宋"/>
          <w:highlight w:val="none"/>
        </w:rPr>
        <w:t>.1 发生下列情况之一，</w:t>
      </w:r>
      <w:r>
        <w:rPr>
          <w:rFonts w:hint="eastAsia" w:ascii="仿宋" w:hAnsi="仿宋" w:eastAsia="仿宋" w:cs="仿宋"/>
          <w:highlight w:val="none"/>
          <w:lang w:eastAsia="zh-CN"/>
        </w:rPr>
        <w:t>供应商</w:t>
      </w:r>
      <w:r>
        <w:rPr>
          <w:rFonts w:hint="eastAsia" w:ascii="仿宋" w:hAnsi="仿宋" w:eastAsia="仿宋" w:cs="仿宋"/>
          <w:highlight w:val="none"/>
        </w:rPr>
        <w:t>的保证金不予退还；情节严重的将其列入不良记录名单。</w:t>
      </w:r>
    </w:p>
    <w:p w14:paraId="53CB278A">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1）开标后在投标有效期内，</w:t>
      </w:r>
      <w:r>
        <w:rPr>
          <w:rFonts w:hint="eastAsia" w:ascii="仿宋" w:hAnsi="仿宋" w:eastAsia="仿宋" w:cs="仿宋"/>
          <w:highlight w:val="none"/>
          <w:lang w:eastAsia="zh-CN"/>
        </w:rPr>
        <w:t>供应商</w:t>
      </w:r>
      <w:r>
        <w:rPr>
          <w:rFonts w:hint="eastAsia" w:ascii="仿宋" w:hAnsi="仿宋" w:eastAsia="仿宋" w:cs="仿宋"/>
          <w:highlight w:val="none"/>
        </w:rPr>
        <w:t>撤回其投标；</w:t>
      </w:r>
    </w:p>
    <w:p w14:paraId="4B7CE41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2）中标后无正当理由不与采购人签订合同的；</w:t>
      </w:r>
    </w:p>
    <w:p w14:paraId="6F322186">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3）中标人与采购人订立背离合同实质性内容的其他协议；</w:t>
      </w:r>
    </w:p>
    <w:p w14:paraId="4F525DE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4）将中标项目转让给他人，或者在投标文件中未说明，且未经采购代理机构同意，将中标项目分包给他人的；</w:t>
      </w:r>
    </w:p>
    <w:p w14:paraId="717E040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5）存在串通投标行为的；</w:t>
      </w:r>
    </w:p>
    <w:p w14:paraId="40EEEDB8">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6）存在弄虚作假或提供虚假材料谋取中标的；</w:t>
      </w:r>
    </w:p>
    <w:p w14:paraId="0C843D71">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eastAsia="zh-CN"/>
        </w:rPr>
        <w:t>供应商</w:t>
      </w:r>
      <w:r>
        <w:rPr>
          <w:rFonts w:hint="eastAsia" w:ascii="仿宋" w:hAnsi="仿宋" w:eastAsia="仿宋" w:cs="仿宋"/>
          <w:highlight w:val="none"/>
        </w:rPr>
        <w:t>其他未按招标文件规定和合同约定履行义务的行为。</w:t>
      </w:r>
    </w:p>
    <w:p w14:paraId="354FE668">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5</w:t>
      </w:r>
      <w:r>
        <w:rPr>
          <w:rFonts w:hint="eastAsia" w:ascii="仿宋" w:hAnsi="仿宋" w:eastAsia="仿宋" w:cs="仿宋"/>
          <w:b/>
          <w:highlight w:val="none"/>
        </w:rPr>
        <w:t>．询问</w:t>
      </w:r>
    </w:p>
    <w:p w14:paraId="1F4E050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5</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对采购事项有疑问的，可以向采购人或采购代理机构提出询问。</w:t>
      </w:r>
    </w:p>
    <w:p w14:paraId="4E869D3D">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6</w:t>
      </w:r>
      <w:r>
        <w:rPr>
          <w:rFonts w:hint="eastAsia" w:ascii="仿宋" w:hAnsi="仿宋" w:eastAsia="仿宋" w:cs="仿宋"/>
          <w:b/>
          <w:highlight w:val="none"/>
        </w:rPr>
        <w:t>.</w:t>
      </w:r>
      <w:r>
        <w:rPr>
          <w:rFonts w:hint="eastAsia" w:ascii="仿宋" w:hAnsi="仿宋" w:eastAsia="仿宋" w:cs="仿宋"/>
          <w:b/>
          <w:highlight w:val="none"/>
          <w:lang w:eastAsia="zh-CN"/>
        </w:rPr>
        <w:t>供应商</w:t>
      </w:r>
      <w:r>
        <w:rPr>
          <w:rFonts w:hint="eastAsia" w:ascii="仿宋" w:hAnsi="仿宋" w:eastAsia="仿宋" w:cs="仿宋"/>
          <w:b/>
          <w:highlight w:val="none"/>
        </w:rPr>
        <w:t>有权就招标事宜提出质疑</w:t>
      </w:r>
    </w:p>
    <w:p w14:paraId="766AE45B">
      <w:pPr>
        <w:snapToGrid w:val="0"/>
        <w:spacing w:line="360" w:lineRule="auto"/>
        <w:ind w:firstLine="480" w:firstLineChars="200"/>
        <w:rPr>
          <w:rFonts w:hint="eastAsia" w:ascii="仿宋" w:hAnsi="仿宋" w:eastAsia="仿宋" w:cs="仿宋"/>
          <w:b/>
          <w:bCs/>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认为招标文件、采购过程和中标结果使自已的权益受到损害的，可以在知道或者应知其权益受到损害之日起7个工作日内，以书面形式提出质疑。</w:t>
      </w:r>
    </w:p>
    <w:p w14:paraId="6EAEEDC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.2 质疑应当按照《中华人民共和国政府采购法》、《中华人民共和国政府采购法实施条例》、《政府采购</w:t>
      </w:r>
      <w:r>
        <w:rPr>
          <w:rFonts w:hint="eastAsia" w:ascii="仿宋" w:hAnsi="仿宋" w:eastAsia="仿宋" w:cs="仿宋"/>
          <w:highlight w:val="none"/>
          <w:lang w:eastAsia="zh-CN"/>
        </w:rPr>
        <w:t>供应商</w:t>
      </w:r>
      <w:r>
        <w:rPr>
          <w:rFonts w:hint="eastAsia" w:ascii="仿宋" w:hAnsi="仿宋" w:eastAsia="仿宋" w:cs="仿宋"/>
          <w:highlight w:val="none"/>
        </w:rPr>
        <w:t>投诉处理办法》等法律法规的相关规定，以书面形式向采购代理机构提出。</w:t>
      </w:r>
    </w:p>
    <w:p w14:paraId="75BD9E1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.3 质疑书应当附上相关证明材料，否则质疑将视为无有效证据支持，将被予以驳回，并不得以上述理由要求延长质疑有效期。未递交投标文件的</w:t>
      </w:r>
      <w:r>
        <w:rPr>
          <w:rFonts w:hint="eastAsia" w:ascii="仿宋" w:hAnsi="仿宋" w:eastAsia="仿宋" w:cs="仿宋"/>
          <w:highlight w:val="none"/>
          <w:lang w:eastAsia="zh-CN"/>
        </w:rPr>
        <w:t>供应商</w:t>
      </w:r>
      <w:r>
        <w:rPr>
          <w:rFonts w:hint="eastAsia" w:ascii="仿宋" w:hAnsi="仿宋" w:eastAsia="仿宋" w:cs="仿宋"/>
          <w:highlight w:val="none"/>
        </w:rPr>
        <w:t>，其未参加后续采购活动，不得对递交投标文件截止后的采购过程、采购结果提出质疑。</w:t>
      </w:r>
    </w:p>
    <w:p w14:paraId="2EA8B4A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.4 质疑人可以采取直接送达或者邮寄方式提交质疑书。采购代理机构收到质疑书后，对质疑书进行审查，对符合质疑条件的将办理签收手续，自签收质疑书之日起即为受理。</w:t>
      </w:r>
    </w:p>
    <w:p w14:paraId="2560454B">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.5 采购代理机构将在受理书面质疑后7个工作日内审查质疑事项，作出答复或相关处理决定，并以书面形式通知质疑人和其他相关</w:t>
      </w:r>
      <w:r>
        <w:rPr>
          <w:rFonts w:hint="eastAsia" w:ascii="仿宋" w:hAnsi="仿宋" w:eastAsia="仿宋" w:cs="仿宋"/>
          <w:highlight w:val="none"/>
          <w:lang w:eastAsia="zh-CN"/>
        </w:rPr>
        <w:t>供应商</w:t>
      </w:r>
      <w:r>
        <w:rPr>
          <w:rFonts w:hint="eastAsia" w:ascii="仿宋" w:hAnsi="仿宋" w:eastAsia="仿宋" w:cs="仿宋"/>
          <w:highlight w:val="none"/>
        </w:rPr>
        <w:t>，但答复的内容不涉及商业秘密。</w:t>
      </w:r>
    </w:p>
    <w:p w14:paraId="5CAB249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 xml:space="preserve">.6 </w:t>
      </w:r>
      <w:r>
        <w:rPr>
          <w:rFonts w:hint="eastAsia" w:ascii="仿宋" w:hAnsi="仿宋" w:eastAsia="仿宋" w:cs="仿宋"/>
          <w:highlight w:val="none"/>
          <w:lang w:eastAsia="zh-CN"/>
        </w:rPr>
        <w:t>供应商</w:t>
      </w:r>
      <w:r>
        <w:rPr>
          <w:rFonts w:hint="eastAsia" w:ascii="仿宋" w:hAnsi="仿宋" w:eastAsia="仿宋" w:cs="仿宋"/>
          <w:highlight w:val="none"/>
        </w:rPr>
        <w:t>进行虚假和恶意质疑的，采购代理机构将提请有关部门将其列入不良记录名单，在一至三年内禁止参加政府采购活动，并将处理决定在相关政府采购媒体上公布。</w:t>
      </w:r>
    </w:p>
    <w:p w14:paraId="3ADADBAF">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6</w:t>
      </w:r>
      <w:r>
        <w:rPr>
          <w:rFonts w:hint="eastAsia" w:ascii="仿宋" w:hAnsi="仿宋" w:eastAsia="仿宋" w:cs="仿宋"/>
          <w:highlight w:val="none"/>
        </w:rPr>
        <w:t>.7 质疑人对答复不满意以及采购代理机构未在规定的时间内作出答复的，可以在答复期满后15个工作日内向财政部门投拆。</w:t>
      </w:r>
    </w:p>
    <w:p w14:paraId="7E5D64DD">
      <w:pPr>
        <w:pStyle w:val="14"/>
        <w:rPr>
          <w:rFonts w:hint="eastAsia"/>
          <w:highlight w:val="none"/>
        </w:rPr>
      </w:pPr>
    </w:p>
    <w:p w14:paraId="45F546AA">
      <w:pPr>
        <w:snapToGrid w:val="0"/>
        <w:spacing w:line="360" w:lineRule="auto"/>
        <w:jc w:val="center"/>
        <w:rPr>
          <w:rFonts w:hint="eastAsia" w:ascii="仿宋" w:hAnsi="仿宋" w:eastAsia="仿宋" w:cs="仿宋"/>
          <w:b/>
          <w:kern w:val="2"/>
          <w:sz w:val="28"/>
          <w:szCs w:val="32"/>
          <w:highlight w:val="none"/>
        </w:rPr>
      </w:pPr>
      <w:bookmarkStart w:id="46" w:name="_Toc3580"/>
      <w:bookmarkStart w:id="47" w:name="_Toc15729"/>
      <w:r>
        <w:rPr>
          <w:rFonts w:hint="eastAsia" w:ascii="仿宋" w:hAnsi="仿宋" w:eastAsia="仿宋" w:cs="仿宋"/>
          <w:b/>
          <w:kern w:val="2"/>
          <w:sz w:val="28"/>
          <w:szCs w:val="32"/>
          <w:highlight w:val="none"/>
          <w:lang w:val="zh-CN"/>
        </w:rPr>
        <w:t>十二、保密和披露</w:t>
      </w:r>
      <w:bookmarkEnd w:id="46"/>
      <w:bookmarkEnd w:id="47"/>
    </w:p>
    <w:p w14:paraId="664CA367">
      <w:pPr>
        <w:snapToGrid w:val="0"/>
        <w:spacing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w:t>
      </w:r>
      <w:r>
        <w:rPr>
          <w:rFonts w:hint="eastAsia" w:ascii="仿宋" w:hAnsi="仿宋" w:eastAsia="仿宋" w:cs="仿宋"/>
          <w:b/>
          <w:highlight w:val="none"/>
          <w:lang w:val="en-US" w:eastAsia="zh-CN"/>
        </w:rPr>
        <w:t>7</w:t>
      </w:r>
      <w:r>
        <w:rPr>
          <w:rFonts w:hint="eastAsia" w:ascii="仿宋" w:hAnsi="仿宋" w:eastAsia="仿宋" w:cs="仿宋"/>
          <w:b/>
          <w:highlight w:val="none"/>
        </w:rPr>
        <w:t>.保密和披露</w:t>
      </w:r>
    </w:p>
    <w:p w14:paraId="5DC117A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 xml:space="preserve">.1 </w:t>
      </w:r>
      <w:r>
        <w:rPr>
          <w:rFonts w:hint="eastAsia" w:ascii="仿宋" w:hAnsi="仿宋" w:eastAsia="仿宋" w:cs="仿宋"/>
          <w:highlight w:val="none"/>
          <w:lang w:eastAsia="zh-CN"/>
        </w:rPr>
        <w:t>供应商</w:t>
      </w:r>
      <w:r>
        <w:rPr>
          <w:rFonts w:hint="eastAsia" w:ascii="仿宋" w:hAnsi="仿宋" w:eastAsia="仿宋" w:cs="仿宋"/>
          <w:highlight w:val="none"/>
        </w:rPr>
        <w:t>自领取招标文件之日起，须承担本招标项目保密义务，不得将因本次招标获得的信息向第三人外传。由采购人向</w:t>
      </w:r>
      <w:r>
        <w:rPr>
          <w:rFonts w:hint="eastAsia" w:ascii="仿宋" w:hAnsi="仿宋" w:eastAsia="仿宋" w:cs="仿宋"/>
          <w:highlight w:val="none"/>
          <w:lang w:eastAsia="zh-CN"/>
        </w:rPr>
        <w:t>供应商</w:t>
      </w:r>
      <w:r>
        <w:rPr>
          <w:rFonts w:hint="eastAsia" w:ascii="仿宋" w:hAnsi="仿宋" w:eastAsia="仿宋" w:cs="仿宋"/>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仿宋" w:hAnsi="仿宋" w:eastAsia="仿宋" w:cs="仿宋"/>
          <w:highlight w:val="none"/>
          <w:lang w:eastAsia="zh-CN"/>
        </w:rPr>
        <w:t>供应商</w:t>
      </w:r>
      <w:r>
        <w:rPr>
          <w:rFonts w:hint="eastAsia" w:ascii="仿宋" w:hAnsi="仿宋" w:eastAsia="仿宋" w:cs="仿宋"/>
          <w:highlight w:val="none"/>
        </w:rPr>
        <w:t>应归还所有从采购人处获得的保密资料。</w:t>
      </w:r>
    </w:p>
    <w:p w14:paraId="4094B255">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.2 采购代理机构有权将</w:t>
      </w:r>
      <w:r>
        <w:rPr>
          <w:rFonts w:hint="eastAsia" w:ascii="仿宋" w:hAnsi="仿宋" w:eastAsia="仿宋" w:cs="仿宋"/>
          <w:highlight w:val="none"/>
          <w:lang w:eastAsia="zh-CN"/>
        </w:rPr>
        <w:t>供应商</w:t>
      </w:r>
      <w:r>
        <w:rPr>
          <w:rFonts w:hint="eastAsia" w:ascii="仿宋" w:hAnsi="仿宋" w:eastAsia="仿宋" w:cs="仿宋"/>
          <w:highlight w:val="none"/>
        </w:rPr>
        <w:t>提供的所有资料向有关政府部门或评审标书的有关人员披露。</w:t>
      </w:r>
    </w:p>
    <w:p w14:paraId="4E213665">
      <w:pPr>
        <w:snapToGrid w:val="0"/>
        <w:spacing w:line="360" w:lineRule="auto"/>
        <w:ind w:firstLine="480" w:firstLineChars="200"/>
        <w:rPr>
          <w:rFonts w:hint="eastAsia" w:ascii="仿宋" w:hAnsi="仿宋" w:eastAsia="仿宋" w:cs="仿宋"/>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highlight w:val="none"/>
        </w:rPr>
        <w:t>3</w:t>
      </w:r>
      <w:r>
        <w:rPr>
          <w:rFonts w:hint="eastAsia" w:ascii="仿宋" w:hAnsi="仿宋" w:eastAsia="仿宋" w:cs="仿宋"/>
          <w:highlight w:val="none"/>
          <w:lang w:val="en-US" w:eastAsia="zh-CN"/>
        </w:rPr>
        <w:t>7</w:t>
      </w:r>
      <w:r>
        <w:rPr>
          <w:rFonts w:hint="eastAsia" w:ascii="仿宋" w:hAnsi="仿宋" w:eastAsia="仿宋" w:cs="仿宋"/>
          <w:highlight w:val="none"/>
        </w:rPr>
        <w:t>.3 在采购代理机构认为适当时、国家机关调查、审查、审计时以及其他符合法律规定的情形下，采购代理机构无须事先征求</w:t>
      </w:r>
      <w:r>
        <w:rPr>
          <w:rFonts w:hint="eastAsia" w:ascii="仿宋" w:hAnsi="仿宋" w:eastAsia="仿宋" w:cs="仿宋"/>
          <w:highlight w:val="none"/>
          <w:lang w:eastAsia="zh-CN"/>
        </w:rPr>
        <w:t>供应商</w:t>
      </w:r>
      <w:r>
        <w:rPr>
          <w:rFonts w:hint="eastAsia" w:ascii="仿宋" w:hAnsi="仿宋" w:eastAsia="仿宋" w:cs="仿宋"/>
          <w:highlight w:val="none"/>
        </w:rPr>
        <w:t>同意而可以披露关于采购过程、合同文本、签署情况的资料、</w:t>
      </w:r>
      <w:r>
        <w:rPr>
          <w:rFonts w:hint="eastAsia" w:ascii="仿宋" w:hAnsi="仿宋" w:eastAsia="仿宋" w:cs="仿宋"/>
          <w:highlight w:val="none"/>
          <w:lang w:eastAsia="zh-CN"/>
        </w:rPr>
        <w:t>供应商</w:t>
      </w:r>
      <w:r>
        <w:rPr>
          <w:rFonts w:hint="eastAsia" w:ascii="仿宋" w:hAnsi="仿宋" w:eastAsia="仿宋" w:cs="仿宋"/>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
          <w:highlight w:val="none"/>
          <w:lang w:eastAsia="zh-CN"/>
        </w:rPr>
        <w:t>供应商</w:t>
      </w:r>
      <w:r>
        <w:rPr>
          <w:rFonts w:hint="eastAsia" w:ascii="仿宋" w:hAnsi="仿宋" w:eastAsia="仿宋" w:cs="仿宋"/>
          <w:highlight w:val="none"/>
        </w:rPr>
        <w:t>已经泄露或公开的，无须再承担保密责任。</w:t>
      </w:r>
    </w:p>
    <w:p w14:paraId="493DBAC1">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48" w:name="_Toc13352"/>
      <w:r>
        <w:rPr>
          <w:rFonts w:hint="eastAsia" w:ascii="仿宋" w:hAnsi="仿宋" w:eastAsia="仿宋" w:cs="仿宋"/>
          <w:b/>
          <w:bCs/>
          <w:sz w:val="32"/>
          <w:szCs w:val="32"/>
          <w:highlight w:val="none"/>
        </w:rPr>
        <w:t>第三章  评审办法（综合评分法）</w:t>
      </w:r>
      <w:bookmarkEnd w:id="20"/>
      <w:bookmarkEnd w:id="21"/>
      <w:bookmarkEnd w:id="22"/>
      <w:bookmarkEnd w:id="23"/>
      <w:bookmarkEnd w:id="24"/>
      <w:bookmarkEnd w:id="25"/>
      <w:bookmarkEnd w:id="26"/>
      <w:bookmarkEnd w:id="27"/>
      <w:bookmarkEnd w:id="28"/>
      <w:bookmarkEnd w:id="48"/>
    </w:p>
    <w:p w14:paraId="3E79E1E3">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一、评标方法：</w:t>
      </w:r>
      <w:r>
        <w:rPr>
          <w:rFonts w:hint="eastAsia" w:ascii="仿宋" w:hAnsi="仿宋" w:eastAsia="仿宋" w:cs="仿宋"/>
          <w:highlight w:val="none"/>
        </w:rPr>
        <w:t>本项目采用综合评</w:t>
      </w:r>
      <w:r>
        <w:rPr>
          <w:rFonts w:hint="eastAsia" w:ascii="仿宋" w:hAnsi="仿宋" w:eastAsia="仿宋" w:cs="仿宋"/>
          <w:highlight w:val="none"/>
          <w:lang w:eastAsia="zh-CN"/>
        </w:rPr>
        <w:t>分</w:t>
      </w:r>
      <w:r>
        <w:rPr>
          <w:rFonts w:hint="eastAsia" w:ascii="仿宋" w:hAnsi="仿宋" w:eastAsia="仿宋" w:cs="仿宋"/>
          <w:highlight w:val="none"/>
        </w:rPr>
        <w:t>法。</w:t>
      </w:r>
      <w:bookmarkStart w:id="49" w:name="_Toc188469662"/>
    </w:p>
    <w:p w14:paraId="56B56E87">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二、评标流程：</w:t>
      </w:r>
      <w:r>
        <w:rPr>
          <w:rFonts w:hint="eastAsia" w:ascii="仿宋" w:hAnsi="仿宋" w:eastAsia="仿宋" w:cs="仿宋"/>
          <w:highlight w:val="none"/>
        </w:rPr>
        <w:t>评标委员会根据本评标办法对已接收的投标文件进行评审，向招标人提供评标排序结果，撰写评标报告，由招标人最终确定中标人。</w:t>
      </w:r>
      <w:bookmarkEnd w:id="49"/>
    </w:p>
    <w:p w14:paraId="1E5516D9">
      <w:pPr>
        <w:keepNext w:val="0"/>
        <w:keepLines w:val="0"/>
        <w:pageBreakBefore w:val="0"/>
        <w:widowControl w:val="0"/>
        <w:kinsoku/>
        <w:wordWrap/>
        <w:overflowPunct/>
        <w:topLinePunct w:val="0"/>
        <w:bidi w:val="0"/>
        <w:adjustRightInd w:val="0"/>
        <w:snapToGrid w:val="0"/>
        <w:spacing w:line="400" w:lineRule="exact"/>
        <w:ind w:firstLine="482" w:firstLineChars="200"/>
        <w:textAlignment w:val="auto"/>
        <w:rPr>
          <w:rFonts w:hint="eastAsia" w:ascii="仿宋" w:hAnsi="仿宋" w:eastAsia="仿宋" w:cs="仿宋"/>
          <w:b/>
          <w:bCs/>
          <w:highlight w:val="none"/>
        </w:rPr>
      </w:pPr>
      <w:bookmarkStart w:id="50" w:name="_Toc188469663"/>
      <w:r>
        <w:rPr>
          <w:rFonts w:hint="eastAsia" w:ascii="仿宋" w:hAnsi="仿宋" w:eastAsia="仿宋" w:cs="仿宋"/>
          <w:b/>
          <w:bCs/>
          <w:highlight w:val="none"/>
        </w:rPr>
        <w:t>三、评标程序</w:t>
      </w:r>
      <w:bookmarkEnd w:id="50"/>
      <w:r>
        <w:rPr>
          <w:rFonts w:hint="eastAsia" w:ascii="仿宋" w:hAnsi="仿宋" w:eastAsia="仿宋" w:cs="仿宋"/>
          <w:b/>
          <w:bCs/>
          <w:highlight w:val="none"/>
        </w:rPr>
        <w:t>：</w:t>
      </w:r>
      <w:r>
        <w:rPr>
          <w:rFonts w:hint="eastAsia" w:ascii="仿宋" w:hAnsi="仿宋" w:eastAsia="仿宋" w:cs="仿宋"/>
          <w:highlight w:val="none"/>
        </w:rPr>
        <w:t>评标程序分为资格审查、符合性评审（初步评审）、详细评审、综合评分并提出评审意见。</w:t>
      </w:r>
    </w:p>
    <w:p w14:paraId="4F81D3B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1．资格审查</w:t>
      </w:r>
    </w:p>
    <w:p w14:paraId="6AE6358B">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1.1 采购人或者采购代理机构对招标文件中要求的资质文件系统地进行审查，确定合格</w:t>
      </w:r>
      <w:r>
        <w:rPr>
          <w:rFonts w:hint="eastAsia" w:ascii="仿宋" w:hAnsi="仿宋" w:eastAsia="仿宋" w:cs="仿宋"/>
          <w:highlight w:val="none"/>
          <w:lang w:eastAsia="zh-CN"/>
        </w:rPr>
        <w:t>供应商</w:t>
      </w:r>
      <w:r>
        <w:rPr>
          <w:rFonts w:hint="eastAsia" w:ascii="仿宋" w:hAnsi="仿宋" w:eastAsia="仿宋" w:cs="仿宋"/>
          <w:highlight w:val="none"/>
        </w:rPr>
        <w:t>。</w:t>
      </w:r>
    </w:p>
    <w:p w14:paraId="6836FFE3">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1.2 只有通过资格审查合格的</w:t>
      </w:r>
      <w:r>
        <w:rPr>
          <w:rFonts w:hint="eastAsia" w:ascii="仿宋" w:hAnsi="仿宋" w:eastAsia="仿宋" w:cs="仿宋"/>
          <w:highlight w:val="none"/>
          <w:lang w:eastAsia="zh-CN"/>
        </w:rPr>
        <w:t>供应商</w:t>
      </w:r>
      <w:r>
        <w:rPr>
          <w:rFonts w:hint="eastAsia" w:ascii="仿宋" w:hAnsi="仿宋" w:eastAsia="仿宋" w:cs="仿宋"/>
          <w:highlight w:val="none"/>
        </w:rPr>
        <w:t>才能进入下一阶段的评审。</w:t>
      </w:r>
    </w:p>
    <w:p w14:paraId="62C65498">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2、符合性评审（初步评审）</w:t>
      </w:r>
    </w:p>
    <w:p w14:paraId="2B7C7FCB">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2.1 评标委员会将首先审查投标文件是否完整，有无计算上的错误，文件签署是否合格，投标文件的总体编排是否有序。</w:t>
      </w:r>
    </w:p>
    <w:p w14:paraId="77A27B4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2.2 其次审查投标文件是否实质上响应了招标文件的要求。实质上响应的投标是指与招标文件提出的实质性要求和条件相符，包括招标项目的技术要求、对</w:t>
      </w:r>
      <w:r>
        <w:rPr>
          <w:rFonts w:hint="eastAsia" w:ascii="仿宋" w:hAnsi="仿宋" w:eastAsia="仿宋" w:cs="仿宋"/>
          <w:highlight w:val="none"/>
          <w:lang w:eastAsia="zh-CN"/>
        </w:rPr>
        <w:t>供应商</w:t>
      </w:r>
      <w:r>
        <w:rPr>
          <w:rFonts w:hint="eastAsia" w:ascii="仿宋" w:hAnsi="仿宋" w:eastAsia="仿宋" w:cs="仿宋"/>
          <w:highlight w:val="none"/>
        </w:rPr>
        <w:t>的资格要求、投标报价要求以及合同的主要条款。</w:t>
      </w:r>
    </w:p>
    <w:p w14:paraId="0EC47BA9">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 对投标文件的符合性评审应遵循以下原则：</w:t>
      </w:r>
    </w:p>
    <w:p w14:paraId="733B41B0">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2.3.1 文字表示的数值与数字表示的数值不一致，以文字表示的值为准。</w:t>
      </w:r>
    </w:p>
    <w:p w14:paraId="55452762">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2.3.2 如果投标文件实质上没有响应招标文件的要求，评标委员会可以予以拒绝。</w:t>
      </w:r>
      <w:r>
        <w:rPr>
          <w:rFonts w:hint="eastAsia" w:ascii="仿宋" w:hAnsi="仿宋" w:eastAsia="仿宋" w:cs="仿宋"/>
          <w:highlight w:val="none"/>
          <w:lang w:eastAsia="zh-CN"/>
        </w:rPr>
        <w:t>供应商</w:t>
      </w:r>
      <w:r>
        <w:rPr>
          <w:rFonts w:hint="eastAsia" w:ascii="仿宋" w:hAnsi="仿宋" w:eastAsia="仿宋" w:cs="仿宋"/>
          <w:highlight w:val="none"/>
        </w:rPr>
        <w:t>不得通过修正或撤消不合要求的偏离或保留从而使其投标成为实质上响应的投标，对于投标文件中不构成实质性偏差的小的不正规、不一致或不规则，评标委员会可以接受，但这种接受不能损害或影响任何</w:t>
      </w:r>
      <w:r>
        <w:rPr>
          <w:rFonts w:hint="eastAsia" w:ascii="仿宋" w:hAnsi="仿宋" w:eastAsia="仿宋" w:cs="仿宋"/>
          <w:highlight w:val="none"/>
          <w:lang w:eastAsia="zh-CN"/>
        </w:rPr>
        <w:t>供应商</w:t>
      </w:r>
      <w:r>
        <w:rPr>
          <w:rFonts w:hint="eastAsia" w:ascii="仿宋" w:hAnsi="仿宋" w:eastAsia="仿宋" w:cs="仿宋"/>
          <w:highlight w:val="none"/>
        </w:rPr>
        <w:t>的相对排序。</w:t>
      </w:r>
    </w:p>
    <w:p w14:paraId="48EA2937">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3、详细评审</w:t>
      </w:r>
    </w:p>
    <w:p w14:paraId="5BE64262">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3.1 评标委员会只对初审合格的投标文件进行详细评审。</w:t>
      </w:r>
    </w:p>
    <w:p w14:paraId="06FFC5AA">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3.2 评标委员会对投标文件进行技术、商务详细评审。</w:t>
      </w:r>
    </w:p>
    <w:p w14:paraId="0C7711BD">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3.3 评标委员会质询，投标单位答疑，澄清有关问题。</w:t>
      </w:r>
    </w:p>
    <w:p w14:paraId="1E6F3A05">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3.4 评标委员会可以要求</w:t>
      </w:r>
      <w:r>
        <w:rPr>
          <w:rFonts w:hint="eastAsia" w:ascii="仿宋" w:hAnsi="仿宋" w:eastAsia="仿宋" w:cs="仿宋"/>
          <w:highlight w:val="none"/>
          <w:lang w:eastAsia="zh-CN"/>
        </w:rPr>
        <w:t>供应商</w:t>
      </w:r>
      <w:r>
        <w:rPr>
          <w:rFonts w:hint="eastAsia" w:ascii="仿宋" w:hAnsi="仿宋" w:eastAsia="仿宋" w:cs="仿宋"/>
          <w:highlight w:val="none"/>
        </w:rPr>
        <w:t>对其投标文件进行澄清，有关澄清的要求和答复应以书面形式提交。</w:t>
      </w:r>
    </w:p>
    <w:p w14:paraId="591B9E2F">
      <w:pPr>
        <w:pStyle w:val="7"/>
        <w:keepNext w:val="0"/>
        <w:keepLines w:val="0"/>
        <w:pageBreakBefore w:val="0"/>
        <w:widowControl w:val="0"/>
        <w:kinsoku/>
        <w:wordWrap/>
        <w:overflowPunct/>
        <w:topLinePunct w:val="0"/>
        <w:bidi w:val="0"/>
        <w:adjustRightInd w:val="0"/>
        <w:snapToGrid w:val="0"/>
        <w:spacing w:before="0"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评标委员会按照评分标准进行综合评分并提出评审意见。</w:t>
      </w:r>
    </w:p>
    <w:p w14:paraId="1A978864">
      <w:pPr>
        <w:keepNext w:val="0"/>
        <w:keepLines w:val="0"/>
        <w:pageBreakBefore w:val="0"/>
        <w:widowControl w:val="0"/>
        <w:numPr>
          <w:ilvl w:val="0"/>
          <w:numId w:val="2"/>
        </w:numPr>
        <w:kinsoku/>
        <w:wordWrap/>
        <w:overflowPunct/>
        <w:topLinePunct w:val="0"/>
        <w:bidi w:val="0"/>
        <w:adjustRightInd w:val="0"/>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定标原则</w:t>
      </w:r>
    </w:p>
    <w:p w14:paraId="0013B115">
      <w:pPr>
        <w:pStyle w:val="5"/>
        <w:keepNext w:val="0"/>
        <w:keepLines w:val="0"/>
        <w:pageBreakBefore w:val="0"/>
        <w:widowControl w:val="0"/>
        <w:kinsoku/>
        <w:wordWrap/>
        <w:overflowPunct/>
        <w:topLinePunct w:val="0"/>
        <w:bidi w:val="0"/>
        <w:adjustRightInd w:val="0"/>
        <w:spacing w:line="400" w:lineRule="exact"/>
        <w:textAlignment w:val="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 xml:space="preserve">    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58B72658">
      <w:pPr>
        <w:pageBreakBefore/>
        <w:spacing w:line="360" w:lineRule="auto"/>
        <w:ind w:firstLine="562" w:firstLineChars="20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《资格审查标准》</w:t>
      </w:r>
      <w:r>
        <w:rPr>
          <w:rFonts w:hint="eastAsia" w:ascii="仿宋" w:hAnsi="仿宋" w:eastAsia="仿宋"/>
          <w:b/>
          <w:bCs/>
          <w:sz w:val="28"/>
          <w:szCs w:val="28"/>
          <w:highlight w:val="none"/>
          <w:lang w:eastAsia="zh-CN"/>
        </w:rPr>
        <w:t>（标项</w:t>
      </w:r>
      <w:r>
        <w:rPr>
          <w:rFonts w:hint="eastAsia" w:ascii="仿宋" w:hAnsi="仿宋" w:eastAsia="仿宋"/>
          <w:b/>
          <w:bCs/>
          <w:sz w:val="28"/>
          <w:szCs w:val="28"/>
          <w:highlight w:val="none"/>
          <w:lang w:val="en-US" w:eastAsia="zh-CN"/>
        </w:rPr>
        <w:t>1适用</w:t>
      </w:r>
      <w:r>
        <w:rPr>
          <w:rFonts w:hint="eastAsia" w:ascii="仿宋" w:hAnsi="仿宋" w:eastAsia="仿宋"/>
          <w:b/>
          <w:bCs/>
          <w:sz w:val="28"/>
          <w:szCs w:val="28"/>
          <w:highlight w:val="none"/>
          <w:lang w:eastAsia="zh-CN"/>
        </w:rPr>
        <w:t>）</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3482"/>
        <w:gridCol w:w="4580"/>
      </w:tblGrid>
      <w:tr w14:paraId="76C4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7" w:type="dxa"/>
            <w:noWrap w:val="0"/>
            <w:vAlign w:val="center"/>
          </w:tcPr>
          <w:p w14:paraId="770093EF">
            <w:pPr>
              <w:snapToGrid w:val="0"/>
              <w:rPr>
                <w:rFonts w:ascii="仿宋" w:hAnsi="仿宋" w:eastAsia="仿宋" w:cs="仿宋_GB2312"/>
                <w:bCs/>
                <w:sz w:val="21"/>
                <w:szCs w:val="21"/>
                <w:highlight w:val="none"/>
              </w:rPr>
            </w:pPr>
            <w:r>
              <w:rPr>
                <w:rFonts w:hint="eastAsia" w:ascii="仿宋" w:hAnsi="仿宋" w:eastAsia="仿宋" w:cs="仿宋_GB2312"/>
                <w:b/>
                <w:bCs w:val="0"/>
                <w:sz w:val="21"/>
                <w:szCs w:val="21"/>
                <w:highlight w:val="none"/>
              </w:rPr>
              <w:t>序号</w:t>
            </w:r>
          </w:p>
        </w:tc>
        <w:tc>
          <w:tcPr>
            <w:tcW w:w="3482" w:type="dxa"/>
            <w:noWrap w:val="0"/>
            <w:vAlign w:val="center"/>
          </w:tcPr>
          <w:p w14:paraId="6701419E">
            <w:pPr>
              <w:pStyle w:val="31"/>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审查要求</w:t>
            </w:r>
          </w:p>
        </w:tc>
        <w:tc>
          <w:tcPr>
            <w:tcW w:w="4580" w:type="dxa"/>
            <w:noWrap w:val="0"/>
            <w:vAlign w:val="center"/>
          </w:tcPr>
          <w:p w14:paraId="39946F51">
            <w:pPr>
              <w:pStyle w:val="31"/>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审查内容和审查标准</w:t>
            </w:r>
          </w:p>
        </w:tc>
      </w:tr>
      <w:tr w14:paraId="7330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0417A0FD">
            <w:pPr>
              <w:snapToGrid w:val="0"/>
              <w:jc w:val="center"/>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1</w:t>
            </w:r>
          </w:p>
        </w:tc>
        <w:tc>
          <w:tcPr>
            <w:tcW w:w="3482" w:type="dxa"/>
            <w:noWrap w:val="0"/>
            <w:vAlign w:val="center"/>
          </w:tcPr>
          <w:p w14:paraId="3E8B790F">
            <w:pPr>
              <w:pStyle w:val="31"/>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具有独立承担民事责任的能力</w:t>
            </w:r>
          </w:p>
        </w:tc>
        <w:tc>
          <w:tcPr>
            <w:tcW w:w="4580" w:type="dxa"/>
            <w:noWrap w:val="0"/>
            <w:vAlign w:val="center"/>
          </w:tcPr>
          <w:p w14:paraId="6214515A">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1A52226D">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1104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663B77D8">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2</w:t>
            </w:r>
          </w:p>
        </w:tc>
        <w:tc>
          <w:tcPr>
            <w:tcW w:w="3482" w:type="dxa"/>
            <w:noWrap w:val="0"/>
            <w:vAlign w:val="center"/>
          </w:tcPr>
          <w:p w14:paraId="7F68EF50">
            <w:pPr>
              <w:pStyle w:val="31"/>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w:t>
            </w:r>
          </w:p>
        </w:tc>
        <w:tc>
          <w:tcPr>
            <w:tcW w:w="4580" w:type="dxa"/>
            <w:noWrap w:val="0"/>
            <w:vAlign w:val="center"/>
          </w:tcPr>
          <w:p w14:paraId="7BF0AFA7">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须提供本单位上一年度（2024年度或</w:t>
            </w:r>
            <w:r>
              <w:rPr>
                <w:rFonts w:hint="eastAsia" w:ascii="仿宋" w:hAnsi="仿宋" w:eastAsia="仿宋" w:cs="仿宋"/>
                <w:sz w:val="21"/>
                <w:szCs w:val="21"/>
                <w:highlight w:val="none"/>
                <w:lang w:val="en-US" w:eastAsia="zh-CN"/>
              </w:rPr>
              <w:t>2025年度</w:t>
            </w:r>
            <w:r>
              <w:rPr>
                <w:rFonts w:hint="eastAsia" w:ascii="仿宋" w:hAnsi="仿宋" w:eastAsia="仿宋" w:cs="仿宋"/>
                <w:sz w:val="21"/>
                <w:szCs w:val="21"/>
                <w:highlight w:val="none"/>
                <w:lang w:eastAsia="zh-CN"/>
              </w:rPr>
              <w:t>）由会计师事务所出具的财务审计报告或财务报表（财务报表至少包含资产负债表、利润表、现金流量表或财务状况变动表等）或提供开标日前三个月内银行出具的资信证明；（投标人成立不足一年的提供截止开标前近3个月</w:t>
            </w:r>
            <w:r>
              <w:rPr>
                <w:rFonts w:hint="eastAsia" w:ascii="仿宋" w:hAnsi="仿宋" w:eastAsia="仿宋" w:cs="仿宋"/>
                <w:sz w:val="21"/>
                <w:szCs w:val="21"/>
                <w:highlight w:val="none"/>
                <w:lang w:val="en-US" w:eastAsia="zh-CN"/>
              </w:rPr>
              <w:t>任意一个月</w:t>
            </w:r>
            <w:r>
              <w:rPr>
                <w:rFonts w:hint="eastAsia" w:ascii="仿宋" w:hAnsi="仿宋" w:eastAsia="仿宋" w:cs="仿宋"/>
                <w:sz w:val="21"/>
                <w:szCs w:val="21"/>
                <w:highlight w:val="none"/>
                <w:lang w:eastAsia="zh-CN"/>
              </w:rPr>
              <w:t>的财务报表和截止开标前近1个月基本开户银行出具的资信证明；另：部分其他组织或自然人，没有经审计的财务报告，应当提供截止开标前近3个月的银行出具的资信证明。）；</w:t>
            </w:r>
          </w:p>
        </w:tc>
      </w:tr>
      <w:tr w14:paraId="2F24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57" w:type="dxa"/>
            <w:noWrap w:val="0"/>
            <w:vAlign w:val="center"/>
          </w:tcPr>
          <w:p w14:paraId="4C06280F">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3</w:t>
            </w:r>
          </w:p>
        </w:tc>
        <w:tc>
          <w:tcPr>
            <w:tcW w:w="3482" w:type="dxa"/>
            <w:noWrap w:val="0"/>
            <w:vAlign w:val="center"/>
          </w:tcPr>
          <w:p w14:paraId="79F4BFD8">
            <w:pPr>
              <w:pStyle w:val="31"/>
              <w:adjustRightInd w:val="0"/>
              <w:snapToGrid w:val="0"/>
              <w:jc w:val="center"/>
              <w:rPr>
                <w:rFonts w:hint="eastAsia" w:ascii="仿宋" w:hAnsi="仿宋" w:eastAsia="仿宋" w:cs="宋体"/>
                <w:sz w:val="21"/>
                <w:szCs w:val="21"/>
                <w:highlight w:val="none"/>
              </w:rPr>
            </w:pPr>
            <w:r>
              <w:rPr>
                <w:rFonts w:hint="eastAsia" w:ascii="仿宋" w:hAnsi="仿宋" w:eastAsia="仿宋" w:cs="宋体"/>
                <w:sz w:val="21"/>
                <w:szCs w:val="21"/>
                <w:highlight w:val="none"/>
              </w:rPr>
              <w:t>具有履行合同所必需的设备和专业技术能力</w:t>
            </w:r>
          </w:p>
        </w:tc>
        <w:tc>
          <w:tcPr>
            <w:tcW w:w="4580" w:type="dxa"/>
            <w:noWrap w:val="0"/>
            <w:vAlign w:val="center"/>
          </w:tcPr>
          <w:p w14:paraId="6439EAFB">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须提供具备履行合同所必需的设备和专业技术能力的证明材料或承诺书；</w:t>
            </w:r>
          </w:p>
        </w:tc>
      </w:tr>
      <w:tr w14:paraId="2F02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714D912D">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4</w:t>
            </w:r>
          </w:p>
        </w:tc>
        <w:tc>
          <w:tcPr>
            <w:tcW w:w="3482" w:type="dxa"/>
            <w:noWrap w:val="0"/>
            <w:vAlign w:val="center"/>
          </w:tcPr>
          <w:p w14:paraId="249B33A7">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有依法缴纳税收和依法缴纳社会保障资金的记录</w:t>
            </w:r>
          </w:p>
        </w:tc>
        <w:tc>
          <w:tcPr>
            <w:tcW w:w="4580" w:type="dxa"/>
            <w:noWrap w:val="0"/>
            <w:vAlign w:val="center"/>
          </w:tcPr>
          <w:p w14:paraId="09229F16">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须提供投标文件递交截止日期之前6个月内任意一个月的完税证明及缴纳社保记录；（依法免税、依法不需要缴纳社会保障资金的应提供相应文件说明）</w:t>
            </w:r>
          </w:p>
        </w:tc>
      </w:tr>
      <w:tr w14:paraId="0116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17A7B51">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5</w:t>
            </w:r>
          </w:p>
        </w:tc>
        <w:tc>
          <w:tcPr>
            <w:tcW w:w="3482" w:type="dxa"/>
            <w:noWrap w:val="0"/>
            <w:vAlign w:val="center"/>
          </w:tcPr>
          <w:p w14:paraId="79871F15">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参加政府采购活动前三年内，在经营活动中没有重大违法记录</w:t>
            </w:r>
          </w:p>
        </w:tc>
        <w:tc>
          <w:tcPr>
            <w:tcW w:w="4580" w:type="dxa"/>
            <w:noWrap w:val="0"/>
            <w:vAlign w:val="center"/>
          </w:tcPr>
          <w:p w14:paraId="20C802E0">
            <w:pPr>
              <w:pStyle w:val="16"/>
              <w:widowControl/>
              <w:adjustRightInd w:val="0"/>
              <w:snapToGrid w:val="0"/>
              <w:spacing w:before="0" w:beforeAutospacing="0" w:after="0" w:afterAutospacing="0"/>
              <w:jc w:val="both"/>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2AD8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693CA44A">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6</w:t>
            </w:r>
          </w:p>
        </w:tc>
        <w:tc>
          <w:tcPr>
            <w:tcW w:w="3482" w:type="dxa"/>
            <w:noWrap w:val="0"/>
            <w:vAlign w:val="center"/>
          </w:tcPr>
          <w:p w14:paraId="7E332353">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580" w:type="dxa"/>
            <w:noWrap w:val="0"/>
            <w:vAlign w:val="center"/>
          </w:tcPr>
          <w:p w14:paraId="60C9A2BC">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1788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57" w:type="dxa"/>
            <w:noWrap w:val="0"/>
            <w:vAlign w:val="center"/>
          </w:tcPr>
          <w:p w14:paraId="07063909">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7</w:t>
            </w:r>
          </w:p>
        </w:tc>
        <w:tc>
          <w:tcPr>
            <w:tcW w:w="3482" w:type="dxa"/>
            <w:noWrap w:val="0"/>
            <w:vAlign w:val="center"/>
          </w:tcPr>
          <w:p w14:paraId="2D40A06A">
            <w:pPr>
              <w:pStyle w:val="16"/>
              <w:widowControl/>
              <w:adjustRightInd w:val="0"/>
              <w:snapToGrid w:val="0"/>
              <w:spacing w:before="0" w:beforeAutospacing="0" w:after="0" w:afterAutospacing="0"/>
              <w:jc w:val="center"/>
              <w:rPr>
                <w:rFonts w:hint="default" w:ascii="仿宋" w:hAnsi="仿宋" w:eastAsia="仿宋" w:cs="宋体"/>
                <w:color w:val="auto"/>
                <w:sz w:val="21"/>
                <w:szCs w:val="21"/>
                <w:highlight w:val="none"/>
                <w:lang w:val="en-US" w:eastAsia="zh-CN" w:bidi="ar-SA"/>
              </w:rPr>
            </w:pPr>
            <w:r>
              <w:rPr>
                <w:rFonts w:hint="default" w:ascii="仿宋" w:hAnsi="仿宋" w:eastAsia="仿宋" w:cs="宋体"/>
                <w:color w:val="auto"/>
                <w:sz w:val="21"/>
                <w:szCs w:val="21"/>
                <w:highlight w:val="none"/>
                <w:lang w:val="en-US" w:eastAsia="zh-CN" w:bidi="ar-SA"/>
              </w:rPr>
              <w:t>在“信用中国”（www.creditchina.gov.cn）和中国政府采购网（www.ccgp.gov.cn）网站上未被列入失信被执行人、重大税收违法案件当事人名单以及政府采购严重违法失信行为记录名单（查询时间为自公告发布之日后）</w:t>
            </w:r>
          </w:p>
        </w:tc>
        <w:tc>
          <w:tcPr>
            <w:tcW w:w="4580" w:type="dxa"/>
            <w:noWrap w:val="0"/>
            <w:vAlign w:val="center"/>
          </w:tcPr>
          <w:p w14:paraId="02C8881B">
            <w:pPr>
              <w:pStyle w:val="16"/>
              <w:widowControl/>
              <w:adjustRightInd w:val="0"/>
              <w:snapToGrid w:val="0"/>
              <w:spacing w:before="0" w:beforeAutospacing="0" w:after="0" w:afterAutospacing="0"/>
              <w:jc w:val="both"/>
              <w:rPr>
                <w:rFonts w:hint="eastAsia" w:ascii="仿宋" w:hAnsi="仿宋" w:eastAsia="仿宋" w:cs="宋体"/>
                <w:color w:val="auto"/>
                <w:sz w:val="21"/>
                <w:szCs w:val="21"/>
                <w:highlight w:val="none"/>
                <w:lang w:val="en-US" w:eastAsia="zh-CN" w:bidi="ar-SA"/>
              </w:rPr>
            </w:pPr>
            <w:r>
              <w:rPr>
                <w:rFonts w:hint="eastAsia" w:ascii="仿宋" w:hAnsi="仿宋" w:eastAsia="仿宋" w:cs="宋体"/>
                <w:color w:val="auto"/>
                <w:sz w:val="21"/>
                <w:szCs w:val="21"/>
                <w:highlight w:val="none"/>
                <w:lang w:val="en-US" w:eastAsia="zh-CN" w:bidi="ar-SA"/>
              </w:rPr>
              <w:t>提供查询结果的网页打印页作为查询记录和证据，与其他采购文件一并保存。查询结果以采购人或采购代理机构查询结果为准。</w:t>
            </w:r>
          </w:p>
        </w:tc>
      </w:tr>
      <w:tr w14:paraId="7238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519" w:type="dxa"/>
            <w:gridSpan w:val="3"/>
            <w:noWrap w:val="0"/>
            <w:vAlign w:val="center"/>
          </w:tcPr>
          <w:p w14:paraId="58DF67F2">
            <w:pPr>
              <w:snapToGrid w:val="0"/>
              <w:rPr>
                <w:rFonts w:hint="eastAsia" w:ascii="仿宋" w:hAnsi="仿宋" w:eastAsia="仿宋" w:cs="宋体"/>
                <w:sz w:val="21"/>
                <w:szCs w:val="21"/>
                <w:highlight w:val="none"/>
              </w:rPr>
            </w:pPr>
            <w:r>
              <w:rPr>
                <w:rFonts w:hint="eastAsia" w:ascii="仿宋" w:hAnsi="仿宋" w:eastAsia="仿宋" w:cs="宋体"/>
                <w:sz w:val="21"/>
                <w:szCs w:val="21"/>
                <w:highlight w:val="none"/>
              </w:rPr>
              <w:t>注：以上审查资料</w:t>
            </w:r>
            <w:r>
              <w:rPr>
                <w:rFonts w:hint="eastAsia" w:ascii="仿宋" w:hAnsi="仿宋" w:eastAsia="仿宋" w:cs="宋体"/>
                <w:sz w:val="21"/>
                <w:szCs w:val="21"/>
                <w:highlight w:val="none"/>
                <w:lang w:val="en-US" w:eastAsia="zh-CN"/>
              </w:rPr>
              <w:t>必须按</w:t>
            </w:r>
            <w:r>
              <w:rPr>
                <w:rFonts w:hint="eastAsia" w:ascii="仿宋" w:hAnsi="仿宋" w:eastAsia="仿宋" w:cs="宋体"/>
                <w:sz w:val="21"/>
                <w:szCs w:val="21"/>
                <w:highlight w:val="none"/>
              </w:rPr>
              <w:t>要求提供，未按要求提供资料的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以及资格评审中有一项不满足审查标准的，</w:t>
            </w:r>
            <w:r>
              <w:rPr>
                <w:rFonts w:hint="eastAsia" w:ascii="仿宋" w:hAnsi="仿宋" w:eastAsia="仿宋" w:cs="宋体"/>
                <w:color w:val="000000"/>
                <w:sz w:val="21"/>
                <w:szCs w:val="21"/>
                <w:highlight w:val="none"/>
              </w:rPr>
              <w:t>采购人或者采购代理机构应当</w:t>
            </w:r>
            <w:r>
              <w:rPr>
                <w:rFonts w:hint="eastAsia" w:ascii="仿宋" w:hAnsi="仿宋" w:eastAsia="仿宋" w:cs="宋体"/>
                <w:sz w:val="21"/>
                <w:szCs w:val="21"/>
                <w:highlight w:val="none"/>
              </w:rPr>
              <w:t>认定该</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不通过资格审查，不得进入下一阶段评审。如果造成</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不足三个的，则认定本次招标的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数量没有竞争力，宣布本次招标失败。采购人将重新组织招标活动。</w:t>
            </w:r>
          </w:p>
        </w:tc>
      </w:tr>
    </w:tbl>
    <w:p w14:paraId="588E52DD">
      <w:pPr>
        <w:pageBreakBefore/>
        <w:spacing w:line="360" w:lineRule="auto"/>
        <w:ind w:firstLine="562" w:firstLineChars="20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《资格审查标准》</w:t>
      </w:r>
      <w:r>
        <w:rPr>
          <w:rFonts w:hint="eastAsia" w:ascii="仿宋" w:hAnsi="仿宋" w:eastAsia="仿宋"/>
          <w:b/>
          <w:bCs/>
          <w:sz w:val="28"/>
          <w:szCs w:val="28"/>
          <w:highlight w:val="none"/>
          <w:lang w:eastAsia="zh-CN"/>
        </w:rPr>
        <w:t>（标项</w:t>
      </w:r>
      <w:r>
        <w:rPr>
          <w:rFonts w:hint="eastAsia" w:ascii="仿宋" w:hAnsi="仿宋" w:eastAsia="仿宋"/>
          <w:b/>
          <w:bCs/>
          <w:sz w:val="28"/>
          <w:szCs w:val="28"/>
          <w:highlight w:val="none"/>
          <w:lang w:val="en-US" w:eastAsia="zh-CN"/>
        </w:rPr>
        <w:t>2适用</w:t>
      </w:r>
      <w:r>
        <w:rPr>
          <w:rFonts w:hint="eastAsia" w:ascii="仿宋" w:hAnsi="仿宋" w:eastAsia="仿宋"/>
          <w:b/>
          <w:bCs/>
          <w:sz w:val="28"/>
          <w:szCs w:val="28"/>
          <w:highlight w:val="none"/>
          <w:lang w:eastAsia="zh-CN"/>
        </w:rPr>
        <w:t>）</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3482"/>
        <w:gridCol w:w="4580"/>
      </w:tblGrid>
      <w:tr w14:paraId="33D3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7" w:type="dxa"/>
            <w:noWrap w:val="0"/>
            <w:vAlign w:val="center"/>
          </w:tcPr>
          <w:p w14:paraId="2CFD0148">
            <w:pPr>
              <w:snapToGrid w:val="0"/>
              <w:rPr>
                <w:rFonts w:ascii="仿宋" w:hAnsi="仿宋" w:eastAsia="仿宋" w:cs="仿宋_GB2312"/>
                <w:bCs/>
                <w:sz w:val="21"/>
                <w:szCs w:val="21"/>
                <w:highlight w:val="none"/>
              </w:rPr>
            </w:pPr>
            <w:r>
              <w:rPr>
                <w:rFonts w:hint="eastAsia" w:ascii="仿宋" w:hAnsi="仿宋" w:eastAsia="仿宋" w:cs="仿宋_GB2312"/>
                <w:b/>
                <w:bCs w:val="0"/>
                <w:sz w:val="21"/>
                <w:szCs w:val="21"/>
                <w:highlight w:val="none"/>
              </w:rPr>
              <w:t>序号</w:t>
            </w:r>
          </w:p>
        </w:tc>
        <w:tc>
          <w:tcPr>
            <w:tcW w:w="3482" w:type="dxa"/>
            <w:noWrap w:val="0"/>
            <w:vAlign w:val="center"/>
          </w:tcPr>
          <w:p w14:paraId="5B006B91">
            <w:pPr>
              <w:pStyle w:val="31"/>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审查要求</w:t>
            </w:r>
          </w:p>
        </w:tc>
        <w:tc>
          <w:tcPr>
            <w:tcW w:w="4580" w:type="dxa"/>
            <w:noWrap w:val="0"/>
            <w:vAlign w:val="center"/>
          </w:tcPr>
          <w:p w14:paraId="58340298">
            <w:pPr>
              <w:pStyle w:val="31"/>
              <w:adjustRightInd w:val="0"/>
              <w:snapToGrid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审查内容和审查标准</w:t>
            </w:r>
          </w:p>
        </w:tc>
      </w:tr>
      <w:tr w14:paraId="377B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24A89C66">
            <w:pPr>
              <w:snapToGrid w:val="0"/>
              <w:jc w:val="center"/>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1</w:t>
            </w:r>
          </w:p>
        </w:tc>
        <w:tc>
          <w:tcPr>
            <w:tcW w:w="3482" w:type="dxa"/>
            <w:noWrap w:val="0"/>
            <w:vAlign w:val="center"/>
          </w:tcPr>
          <w:p w14:paraId="47DB26DB">
            <w:pPr>
              <w:pStyle w:val="31"/>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具有独立承担民事责任的能力</w:t>
            </w:r>
          </w:p>
        </w:tc>
        <w:tc>
          <w:tcPr>
            <w:tcW w:w="4580" w:type="dxa"/>
            <w:noWrap w:val="0"/>
            <w:vAlign w:val="center"/>
          </w:tcPr>
          <w:p w14:paraId="798F77EA">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上述资料须复印件加盖印章）</w:t>
            </w:r>
          </w:p>
          <w:p w14:paraId="570D5E00">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14:paraId="2D2F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7" w:type="dxa"/>
            <w:noWrap w:val="0"/>
            <w:vAlign w:val="center"/>
          </w:tcPr>
          <w:p w14:paraId="4991C9C9">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2</w:t>
            </w:r>
          </w:p>
        </w:tc>
        <w:tc>
          <w:tcPr>
            <w:tcW w:w="3482" w:type="dxa"/>
            <w:noWrap w:val="0"/>
            <w:vAlign w:val="center"/>
          </w:tcPr>
          <w:p w14:paraId="4B1E03D7">
            <w:pPr>
              <w:pStyle w:val="31"/>
              <w:adjustRightInd w:val="0"/>
              <w:snapToGrid w:val="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具有良好的商业信誉和健全的财务会计制度</w:t>
            </w:r>
          </w:p>
        </w:tc>
        <w:tc>
          <w:tcPr>
            <w:tcW w:w="4580" w:type="dxa"/>
            <w:noWrap w:val="0"/>
            <w:vAlign w:val="center"/>
          </w:tcPr>
          <w:p w14:paraId="43E4BEF6">
            <w:pPr>
              <w:pStyle w:val="31"/>
              <w:adjustRightInd w:val="0"/>
              <w:snapToGrid w:val="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须提供本单位上一年度（2024年度或</w:t>
            </w:r>
            <w:r>
              <w:rPr>
                <w:rFonts w:hint="eastAsia" w:ascii="仿宋" w:hAnsi="仿宋" w:eastAsia="仿宋" w:cs="仿宋"/>
                <w:sz w:val="21"/>
                <w:szCs w:val="21"/>
                <w:highlight w:val="none"/>
                <w:lang w:val="en-US" w:eastAsia="zh-CN"/>
              </w:rPr>
              <w:t>2025年度</w:t>
            </w:r>
            <w:r>
              <w:rPr>
                <w:rFonts w:hint="eastAsia" w:ascii="仿宋" w:hAnsi="仿宋" w:eastAsia="仿宋" w:cs="仿宋"/>
                <w:sz w:val="21"/>
                <w:szCs w:val="21"/>
                <w:highlight w:val="none"/>
                <w:lang w:eastAsia="zh-CN"/>
              </w:rPr>
              <w:t>）由会计师事务所出具的财务审计报告或财务报表（财务报表至少包含资产负债表、利润表、现金流量表或财务状况变动表等）或提供开标日前三个月内银行出具的资信证明；（投标人成立不足一年的提供截止开标前近3个月</w:t>
            </w:r>
            <w:r>
              <w:rPr>
                <w:rFonts w:hint="eastAsia" w:ascii="仿宋" w:hAnsi="仿宋" w:eastAsia="仿宋" w:cs="仿宋"/>
                <w:sz w:val="21"/>
                <w:szCs w:val="21"/>
                <w:highlight w:val="none"/>
                <w:lang w:val="en-US" w:eastAsia="zh-CN"/>
              </w:rPr>
              <w:t>任意一个月</w:t>
            </w:r>
            <w:r>
              <w:rPr>
                <w:rFonts w:hint="eastAsia" w:ascii="仿宋" w:hAnsi="仿宋" w:eastAsia="仿宋" w:cs="仿宋"/>
                <w:sz w:val="21"/>
                <w:szCs w:val="21"/>
                <w:highlight w:val="none"/>
                <w:lang w:eastAsia="zh-CN"/>
              </w:rPr>
              <w:t>的财务报表和截止开标前近1个月基本开户银行出具的资信证明；另：部分其他组织或自然人，没有经审计的财务报告，应当提供截止开标前近3个月的银行出具的资信证明。）；</w:t>
            </w:r>
          </w:p>
        </w:tc>
      </w:tr>
      <w:tr w14:paraId="32F6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57" w:type="dxa"/>
            <w:noWrap w:val="0"/>
            <w:vAlign w:val="center"/>
          </w:tcPr>
          <w:p w14:paraId="590AEA8C">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3</w:t>
            </w:r>
          </w:p>
        </w:tc>
        <w:tc>
          <w:tcPr>
            <w:tcW w:w="3482" w:type="dxa"/>
            <w:noWrap w:val="0"/>
            <w:vAlign w:val="center"/>
          </w:tcPr>
          <w:p w14:paraId="75A7A87C">
            <w:pPr>
              <w:pStyle w:val="31"/>
              <w:adjustRightInd w:val="0"/>
              <w:snapToGrid w:val="0"/>
              <w:jc w:val="center"/>
              <w:rPr>
                <w:rFonts w:hint="eastAsia" w:ascii="仿宋" w:hAnsi="仿宋" w:eastAsia="仿宋" w:cs="宋体"/>
                <w:sz w:val="21"/>
                <w:szCs w:val="21"/>
                <w:highlight w:val="none"/>
              </w:rPr>
            </w:pPr>
            <w:r>
              <w:rPr>
                <w:rFonts w:hint="eastAsia" w:ascii="仿宋" w:hAnsi="仿宋" w:eastAsia="仿宋" w:cs="宋体"/>
                <w:sz w:val="21"/>
                <w:szCs w:val="21"/>
                <w:highlight w:val="none"/>
              </w:rPr>
              <w:t>具有履行合同所必需的设备和专业技术能力</w:t>
            </w:r>
          </w:p>
        </w:tc>
        <w:tc>
          <w:tcPr>
            <w:tcW w:w="4580" w:type="dxa"/>
            <w:noWrap w:val="0"/>
            <w:vAlign w:val="center"/>
          </w:tcPr>
          <w:p w14:paraId="7F54BB58">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须提供具备履行合同所必需的设备和专业技术能力的证明材料或承诺书；</w:t>
            </w:r>
          </w:p>
        </w:tc>
      </w:tr>
      <w:tr w14:paraId="0D04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36919D49">
            <w:pPr>
              <w:snapToGrid w:val="0"/>
              <w:jc w:val="center"/>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val="en-US" w:eastAsia="zh-CN"/>
              </w:rPr>
              <w:t>4</w:t>
            </w:r>
          </w:p>
        </w:tc>
        <w:tc>
          <w:tcPr>
            <w:tcW w:w="3482" w:type="dxa"/>
            <w:noWrap w:val="0"/>
            <w:vAlign w:val="center"/>
          </w:tcPr>
          <w:p w14:paraId="208DCD74">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有依法缴纳税收和依法缴纳社会保障资金的记录</w:t>
            </w:r>
          </w:p>
        </w:tc>
        <w:tc>
          <w:tcPr>
            <w:tcW w:w="4580" w:type="dxa"/>
            <w:noWrap w:val="0"/>
            <w:vAlign w:val="center"/>
          </w:tcPr>
          <w:p w14:paraId="64EFFEA8">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须提供投标文件递交截止日期之前6个月内任意一个月的完税证明及缴纳社保记录；（依法免税、依法不需要缴纳社会保障资金的应提供相应文件说明）</w:t>
            </w:r>
          </w:p>
        </w:tc>
      </w:tr>
      <w:tr w14:paraId="17B2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14357BA9">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5</w:t>
            </w:r>
          </w:p>
        </w:tc>
        <w:tc>
          <w:tcPr>
            <w:tcW w:w="3482" w:type="dxa"/>
            <w:noWrap w:val="0"/>
            <w:vAlign w:val="center"/>
          </w:tcPr>
          <w:p w14:paraId="7EFBDCF8">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参加政府采购活动前三年内，在经营活动中没有重大违法记录</w:t>
            </w:r>
          </w:p>
        </w:tc>
        <w:tc>
          <w:tcPr>
            <w:tcW w:w="4580" w:type="dxa"/>
            <w:noWrap w:val="0"/>
            <w:vAlign w:val="center"/>
          </w:tcPr>
          <w:p w14:paraId="5341C104">
            <w:pPr>
              <w:pStyle w:val="16"/>
              <w:widowControl/>
              <w:adjustRightInd w:val="0"/>
              <w:snapToGrid w:val="0"/>
              <w:spacing w:before="0" w:beforeAutospacing="0" w:after="0" w:afterAutospacing="0"/>
              <w:jc w:val="both"/>
              <w:rPr>
                <w:rFonts w:hint="eastAsia" w:ascii="仿宋" w:hAnsi="仿宋" w:eastAsia="仿宋" w:cs="宋体"/>
                <w:color w:val="000000"/>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05F1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6E35ACC9">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6</w:t>
            </w:r>
          </w:p>
        </w:tc>
        <w:tc>
          <w:tcPr>
            <w:tcW w:w="3482" w:type="dxa"/>
            <w:noWrap w:val="0"/>
            <w:vAlign w:val="center"/>
          </w:tcPr>
          <w:p w14:paraId="754DF487">
            <w:pPr>
              <w:pStyle w:val="16"/>
              <w:widowControl/>
              <w:adjustRightInd w:val="0"/>
              <w:snapToGrid w:val="0"/>
              <w:spacing w:before="0" w:beforeAutospacing="0" w:after="0" w:afterAutospacing="0"/>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580" w:type="dxa"/>
            <w:noWrap w:val="0"/>
            <w:vAlign w:val="center"/>
          </w:tcPr>
          <w:p w14:paraId="4FD60020">
            <w:pPr>
              <w:pStyle w:val="16"/>
              <w:widowControl/>
              <w:adjustRightInd w:val="0"/>
              <w:snapToGrid w:val="0"/>
              <w:spacing w:before="0" w:beforeAutospacing="0" w:after="0" w:afterAutospacing="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须提供供应商</w:t>
            </w:r>
            <w:r>
              <w:rPr>
                <w:rFonts w:hint="eastAsia" w:ascii="仿宋" w:hAnsi="仿宋" w:eastAsia="仿宋" w:cs="仿宋"/>
                <w:sz w:val="21"/>
                <w:szCs w:val="21"/>
                <w:highlight w:val="none"/>
              </w:rPr>
              <w:t>声明函</w:t>
            </w:r>
            <w:r>
              <w:rPr>
                <w:rFonts w:hint="eastAsia" w:ascii="仿宋" w:hAnsi="仿宋" w:eastAsia="仿宋" w:cs="仿宋"/>
                <w:sz w:val="21"/>
                <w:szCs w:val="21"/>
                <w:highlight w:val="none"/>
                <w:lang w:eastAsia="zh-CN"/>
              </w:rPr>
              <w:t>原件扫描件</w:t>
            </w:r>
          </w:p>
        </w:tc>
      </w:tr>
      <w:tr w14:paraId="4B44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57" w:type="dxa"/>
            <w:noWrap w:val="0"/>
            <w:vAlign w:val="center"/>
          </w:tcPr>
          <w:p w14:paraId="5AEE40E8">
            <w:pPr>
              <w:snapToGrid w:val="0"/>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7</w:t>
            </w:r>
          </w:p>
        </w:tc>
        <w:tc>
          <w:tcPr>
            <w:tcW w:w="3482" w:type="dxa"/>
            <w:noWrap w:val="0"/>
            <w:vAlign w:val="center"/>
          </w:tcPr>
          <w:p w14:paraId="688EBECE">
            <w:pPr>
              <w:pStyle w:val="16"/>
              <w:widowControl/>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580" w:type="dxa"/>
            <w:noWrap w:val="0"/>
            <w:vAlign w:val="center"/>
          </w:tcPr>
          <w:p w14:paraId="0D85581E">
            <w:pPr>
              <w:pStyle w:val="16"/>
              <w:widowControl/>
              <w:adjustRightInd w:val="0"/>
              <w:snapToGrid w:val="0"/>
              <w:spacing w:before="0" w:beforeAutospacing="0" w:after="0" w:afterAutospacing="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提供中小企业声明函扫描件</w:t>
            </w:r>
          </w:p>
        </w:tc>
      </w:tr>
      <w:tr w14:paraId="4F51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57" w:type="dxa"/>
            <w:noWrap w:val="0"/>
            <w:vAlign w:val="center"/>
          </w:tcPr>
          <w:p w14:paraId="46D7B766">
            <w:pPr>
              <w:snapToGrid w:val="0"/>
              <w:jc w:val="center"/>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8</w:t>
            </w:r>
          </w:p>
        </w:tc>
        <w:tc>
          <w:tcPr>
            <w:tcW w:w="3482" w:type="dxa"/>
            <w:noWrap w:val="0"/>
            <w:vAlign w:val="center"/>
          </w:tcPr>
          <w:p w14:paraId="45B6138E">
            <w:pPr>
              <w:pStyle w:val="16"/>
              <w:widowControl/>
              <w:adjustRightInd w:val="0"/>
              <w:snapToGrid w:val="0"/>
              <w:spacing w:before="0" w:beforeAutospacing="0" w:after="0" w:afterAutospacing="0"/>
              <w:jc w:val="center"/>
              <w:rPr>
                <w:rFonts w:hint="default" w:ascii="仿宋" w:hAnsi="仿宋" w:eastAsia="仿宋" w:cs="宋体"/>
                <w:color w:val="auto"/>
                <w:sz w:val="21"/>
                <w:szCs w:val="21"/>
                <w:highlight w:val="none"/>
                <w:lang w:val="en-US" w:eastAsia="zh-CN" w:bidi="ar-SA"/>
              </w:rPr>
            </w:pPr>
            <w:r>
              <w:rPr>
                <w:rFonts w:hint="default" w:ascii="仿宋" w:hAnsi="仿宋" w:eastAsia="仿宋" w:cs="宋体"/>
                <w:color w:val="auto"/>
                <w:sz w:val="21"/>
                <w:szCs w:val="21"/>
                <w:highlight w:val="none"/>
                <w:lang w:val="en-US" w:eastAsia="zh-CN" w:bidi="ar-SA"/>
              </w:rPr>
              <w:t>在“信用中国”（www.creditchina.gov.cn）和中国政府采购网（www.ccgp.gov.cn）网站上未被列入失信被执行人、重大税收违法案件当事人名单以及政府采购严重违法失信行为记录名单（查询时间为自公告发布之日后）</w:t>
            </w:r>
          </w:p>
        </w:tc>
        <w:tc>
          <w:tcPr>
            <w:tcW w:w="4580" w:type="dxa"/>
            <w:noWrap w:val="0"/>
            <w:vAlign w:val="center"/>
          </w:tcPr>
          <w:p w14:paraId="31D2508E">
            <w:pPr>
              <w:pStyle w:val="16"/>
              <w:widowControl/>
              <w:adjustRightInd w:val="0"/>
              <w:snapToGrid w:val="0"/>
              <w:spacing w:before="0" w:beforeAutospacing="0" w:after="0" w:afterAutospacing="0"/>
              <w:jc w:val="both"/>
              <w:rPr>
                <w:rFonts w:hint="eastAsia" w:ascii="仿宋" w:hAnsi="仿宋" w:eastAsia="仿宋" w:cs="宋体"/>
                <w:color w:val="auto"/>
                <w:sz w:val="21"/>
                <w:szCs w:val="21"/>
                <w:highlight w:val="none"/>
                <w:lang w:val="en-US" w:eastAsia="zh-CN" w:bidi="ar-SA"/>
              </w:rPr>
            </w:pPr>
            <w:r>
              <w:rPr>
                <w:rFonts w:hint="eastAsia" w:ascii="仿宋" w:hAnsi="仿宋" w:eastAsia="仿宋" w:cs="宋体"/>
                <w:color w:val="auto"/>
                <w:sz w:val="21"/>
                <w:szCs w:val="21"/>
                <w:highlight w:val="none"/>
                <w:lang w:val="en-US" w:eastAsia="zh-CN" w:bidi="ar-SA"/>
              </w:rPr>
              <w:t>提供查询结果的网页打印页作为查询记录和证据，与其他采购文件一并保存。查询结果以采购人或采购代理机构查询结果为准。</w:t>
            </w:r>
          </w:p>
        </w:tc>
      </w:tr>
      <w:tr w14:paraId="1F96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519" w:type="dxa"/>
            <w:gridSpan w:val="3"/>
            <w:noWrap w:val="0"/>
            <w:vAlign w:val="center"/>
          </w:tcPr>
          <w:p w14:paraId="4A31CB47">
            <w:pPr>
              <w:snapToGrid w:val="0"/>
              <w:rPr>
                <w:rFonts w:hint="eastAsia" w:ascii="仿宋" w:hAnsi="仿宋" w:eastAsia="仿宋" w:cs="宋体"/>
                <w:sz w:val="21"/>
                <w:szCs w:val="21"/>
                <w:highlight w:val="none"/>
              </w:rPr>
            </w:pPr>
            <w:r>
              <w:rPr>
                <w:rFonts w:hint="eastAsia" w:ascii="仿宋" w:hAnsi="仿宋" w:eastAsia="仿宋" w:cs="宋体"/>
                <w:sz w:val="21"/>
                <w:szCs w:val="21"/>
                <w:highlight w:val="none"/>
              </w:rPr>
              <w:t>注：以上审查资料</w:t>
            </w:r>
            <w:r>
              <w:rPr>
                <w:rFonts w:hint="eastAsia" w:ascii="仿宋" w:hAnsi="仿宋" w:eastAsia="仿宋" w:cs="宋体"/>
                <w:sz w:val="21"/>
                <w:szCs w:val="21"/>
                <w:highlight w:val="none"/>
                <w:lang w:val="en-US" w:eastAsia="zh-CN"/>
              </w:rPr>
              <w:t>必须按</w:t>
            </w:r>
            <w:r>
              <w:rPr>
                <w:rFonts w:hint="eastAsia" w:ascii="仿宋" w:hAnsi="仿宋" w:eastAsia="仿宋" w:cs="宋体"/>
                <w:sz w:val="21"/>
                <w:szCs w:val="21"/>
                <w:highlight w:val="none"/>
              </w:rPr>
              <w:t>要求提供，未按要求提供资料的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以及资格评审中有一项不满足审查标准的，</w:t>
            </w:r>
            <w:r>
              <w:rPr>
                <w:rFonts w:hint="eastAsia" w:ascii="仿宋" w:hAnsi="仿宋" w:eastAsia="仿宋" w:cs="宋体"/>
                <w:color w:val="000000"/>
                <w:sz w:val="21"/>
                <w:szCs w:val="21"/>
                <w:highlight w:val="none"/>
              </w:rPr>
              <w:t>采购人或者采购代理机构应当</w:t>
            </w:r>
            <w:r>
              <w:rPr>
                <w:rFonts w:hint="eastAsia" w:ascii="仿宋" w:hAnsi="仿宋" w:eastAsia="仿宋" w:cs="宋体"/>
                <w:sz w:val="21"/>
                <w:szCs w:val="21"/>
                <w:highlight w:val="none"/>
              </w:rPr>
              <w:t>认定该</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不通过资格审查，不得进入下一阶段评审。如果造成</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不足三个的，则认定本次招标的</w:t>
            </w:r>
            <w:r>
              <w:rPr>
                <w:rFonts w:hint="eastAsia" w:ascii="仿宋" w:hAnsi="仿宋" w:eastAsia="仿宋" w:cs="宋体"/>
                <w:sz w:val="21"/>
                <w:szCs w:val="21"/>
                <w:highlight w:val="none"/>
                <w:lang w:eastAsia="zh-CN"/>
              </w:rPr>
              <w:t>供应商</w:t>
            </w:r>
            <w:r>
              <w:rPr>
                <w:rFonts w:hint="eastAsia" w:ascii="仿宋" w:hAnsi="仿宋" w:eastAsia="仿宋" w:cs="宋体"/>
                <w:sz w:val="21"/>
                <w:szCs w:val="21"/>
                <w:highlight w:val="none"/>
              </w:rPr>
              <w:t>数量没有竞争力，宣布本次招标失败。采购人将重新组织招标活动。</w:t>
            </w:r>
          </w:p>
        </w:tc>
      </w:tr>
    </w:tbl>
    <w:p w14:paraId="6830A9DC">
      <w:pPr>
        <w:pageBreakBefore/>
        <w:spacing w:line="360" w:lineRule="auto"/>
        <w:ind w:firstLine="562" w:firstLineChars="20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初步评审-《符合性审查》</w:t>
      </w:r>
    </w:p>
    <w:tbl>
      <w:tblPr>
        <w:tblStyle w:val="19"/>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6"/>
        <w:gridCol w:w="501"/>
        <w:gridCol w:w="1347"/>
        <w:gridCol w:w="4817"/>
        <w:gridCol w:w="643"/>
        <w:gridCol w:w="649"/>
      </w:tblGrid>
      <w:tr w14:paraId="7EDB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521" w:type="pct"/>
            <w:gridSpan w:val="2"/>
            <w:vMerge w:val="restart"/>
            <w:vAlign w:val="center"/>
          </w:tcPr>
          <w:p w14:paraId="084446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bookmarkStart w:id="51" w:name="EBf97f626d7f2349dc98726a51f37130cf"/>
            <w:r>
              <w:rPr>
                <w:rFonts w:hint="eastAsia" w:ascii="仿宋" w:hAnsi="仿宋" w:eastAsia="仿宋" w:cs="仿宋"/>
                <w:b/>
                <w:bCs/>
                <w:sz w:val="21"/>
                <w:szCs w:val="21"/>
              </w:rPr>
              <w:t>评分因素</w:t>
            </w:r>
          </w:p>
        </w:tc>
        <w:tc>
          <w:tcPr>
            <w:tcW w:w="809" w:type="pct"/>
            <w:vMerge w:val="restart"/>
            <w:vAlign w:val="center"/>
          </w:tcPr>
          <w:p w14:paraId="392330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评分点</w:t>
            </w:r>
          </w:p>
        </w:tc>
        <w:tc>
          <w:tcPr>
            <w:tcW w:w="2894" w:type="pct"/>
            <w:vMerge w:val="restart"/>
            <w:vAlign w:val="center"/>
          </w:tcPr>
          <w:p w14:paraId="7D8610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774" w:type="pct"/>
            <w:gridSpan w:val="2"/>
            <w:vAlign w:val="center"/>
          </w:tcPr>
          <w:p w14:paraId="38D22B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评审意见</w:t>
            </w:r>
          </w:p>
        </w:tc>
      </w:tr>
      <w:tr w14:paraId="12D5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521" w:type="pct"/>
            <w:gridSpan w:val="2"/>
            <w:vMerge w:val="continue"/>
            <w:vAlign w:val="center"/>
          </w:tcPr>
          <w:p w14:paraId="4A8A21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Merge w:val="continue"/>
            <w:vAlign w:val="center"/>
          </w:tcPr>
          <w:p w14:paraId="55F139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2894" w:type="pct"/>
            <w:vMerge w:val="continue"/>
            <w:vAlign w:val="center"/>
          </w:tcPr>
          <w:p w14:paraId="4C4817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6" w:type="pct"/>
            <w:vAlign w:val="center"/>
          </w:tcPr>
          <w:p w14:paraId="7F069E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是</w:t>
            </w:r>
          </w:p>
          <w:p w14:paraId="334718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c>
          <w:tcPr>
            <w:tcW w:w="387" w:type="pct"/>
            <w:vAlign w:val="center"/>
          </w:tcPr>
          <w:p w14:paraId="7D11E6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否</w:t>
            </w:r>
          </w:p>
          <w:p w14:paraId="40ABBB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w:t>
            </w:r>
          </w:p>
        </w:tc>
      </w:tr>
      <w:tr w14:paraId="6AAD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restart"/>
            <w:vAlign w:val="center"/>
          </w:tcPr>
          <w:p w14:paraId="3B4AD4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初步评审</w:t>
            </w:r>
          </w:p>
        </w:tc>
        <w:tc>
          <w:tcPr>
            <w:tcW w:w="300" w:type="pct"/>
            <w:vMerge w:val="restart"/>
            <w:vAlign w:val="center"/>
          </w:tcPr>
          <w:p w14:paraId="4C3EEF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符合性检查</w:t>
            </w:r>
          </w:p>
        </w:tc>
        <w:tc>
          <w:tcPr>
            <w:tcW w:w="809" w:type="pct"/>
            <w:vAlign w:val="center"/>
          </w:tcPr>
          <w:p w14:paraId="22238D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rPr>
              <w:t>保证金</w:t>
            </w:r>
          </w:p>
        </w:tc>
        <w:tc>
          <w:tcPr>
            <w:tcW w:w="2894" w:type="pct"/>
            <w:vAlign w:val="center"/>
          </w:tcPr>
          <w:p w14:paraId="0CB2620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按照</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的规定提交</w:t>
            </w: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保证金的</w:t>
            </w:r>
          </w:p>
        </w:tc>
        <w:tc>
          <w:tcPr>
            <w:tcW w:w="386" w:type="pct"/>
          </w:tcPr>
          <w:p w14:paraId="37EF33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29A5F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1B5C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60A2A1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26860B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4ACDCD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lang w:eastAsia="zh-CN"/>
              </w:rPr>
              <w:t>投标</w:t>
            </w:r>
            <w:r>
              <w:rPr>
                <w:rFonts w:hint="eastAsia" w:ascii="仿宋" w:hAnsi="仿宋" w:eastAsia="仿宋" w:cs="仿宋"/>
                <w:b w:val="0"/>
                <w:bCs w:val="0"/>
                <w:sz w:val="21"/>
                <w:szCs w:val="21"/>
                <w:highlight w:val="none"/>
              </w:rPr>
              <w:t>有效期</w:t>
            </w:r>
          </w:p>
        </w:tc>
        <w:tc>
          <w:tcPr>
            <w:tcW w:w="2894" w:type="pct"/>
            <w:vAlign w:val="center"/>
          </w:tcPr>
          <w:p w14:paraId="4CF2AAB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投标文件中承诺的投标</w:t>
            </w:r>
            <w:r>
              <w:rPr>
                <w:rFonts w:hint="eastAsia" w:ascii="仿宋" w:hAnsi="仿宋" w:eastAsia="仿宋" w:cs="仿宋"/>
                <w:b w:val="0"/>
                <w:bCs w:val="0"/>
                <w:sz w:val="21"/>
                <w:szCs w:val="21"/>
                <w:highlight w:val="none"/>
              </w:rPr>
              <w:t>有效期</w:t>
            </w:r>
            <w:r>
              <w:rPr>
                <w:rFonts w:hint="eastAsia" w:ascii="仿宋" w:hAnsi="仿宋" w:eastAsia="仿宋" w:cs="仿宋"/>
                <w:b w:val="0"/>
                <w:bCs w:val="0"/>
                <w:sz w:val="21"/>
                <w:szCs w:val="21"/>
                <w:highlight w:val="none"/>
                <w:lang w:eastAsia="zh-CN"/>
              </w:rPr>
              <w:t>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386" w:type="pct"/>
          </w:tcPr>
          <w:p w14:paraId="6B82CF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3E49C4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6EC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6807B0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787BFE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387398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合同履约期限</w:t>
            </w:r>
          </w:p>
        </w:tc>
        <w:tc>
          <w:tcPr>
            <w:tcW w:w="2894" w:type="pct"/>
            <w:vAlign w:val="center"/>
          </w:tcPr>
          <w:p w14:paraId="7EF5B0C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eastAsia="zh-CN"/>
              </w:rPr>
              <w:t>投标文件中承诺的合同履约期限满足</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highlight w:val="none"/>
                <w:lang w:eastAsia="zh-CN"/>
              </w:rPr>
              <w:t>文件中的</w:t>
            </w:r>
            <w:r>
              <w:rPr>
                <w:rFonts w:hint="eastAsia" w:ascii="仿宋" w:hAnsi="仿宋" w:eastAsia="仿宋" w:cs="仿宋"/>
                <w:b w:val="0"/>
                <w:bCs w:val="0"/>
                <w:sz w:val="21"/>
                <w:szCs w:val="21"/>
                <w:highlight w:val="none"/>
                <w:lang w:val="en-US" w:eastAsia="zh-CN"/>
              </w:rPr>
              <w:t>规定</w:t>
            </w:r>
          </w:p>
        </w:tc>
        <w:tc>
          <w:tcPr>
            <w:tcW w:w="386" w:type="pct"/>
          </w:tcPr>
          <w:p w14:paraId="23D4D4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599247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4C8C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58A1A8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5CEDE1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78BEE2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highlight w:val="none"/>
              </w:rPr>
              <w:t>文件签署、盖章</w:t>
            </w:r>
          </w:p>
        </w:tc>
        <w:tc>
          <w:tcPr>
            <w:tcW w:w="2894" w:type="pct"/>
            <w:vAlign w:val="center"/>
          </w:tcPr>
          <w:p w14:paraId="7A6256C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文件是否按照</w:t>
            </w:r>
            <w:r>
              <w:rPr>
                <w:rFonts w:hint="eastAsia" w:ascii="仿宋" w:hAnsi="仿宋" w:eastAsia="仿宋" w:cs="仿宋"/>
                <w:b w:val="0"/>
                <w:bCs w:val="0"/>
                <w:sz w:val="21"/>
                <w:szCs w:val="21"/>
                <w:lang w:eastAsia="zh-CN"/>
              </w:rPr>
              <w:t>招标</w:t>
            </w:r>
            <w:r>
              <w:rPr>
                <w:rFonts w:hint="eastAsia" w:ascii="仿宋" w:hAnsi="仿宋" w:eastAsia="仿宋" w:cs="仿宋"/>
                <w:b w:val="0"/>
                <w:bCs w:val="0"/>
                <w:sz w:val="21"/>
                <w:szCs w:val="21"/>
              </w:rPr>
              <w:t>文件规定</w:t>
            </w:r>
            <w:r>
              <w:rPr>
                <w:rFonts w:hint="eastAsia" w:ascii="仿宋" w:hAnsi="仿宋" w:eastAsia="仿宋" w:cs="仿宋"/>
                <w:b w:val="0"/>
                <w:bCs w:val="0"/>
                <w:sz w:val="21"/>
                <w:szCs w:val="21"/>
                <w:lang w:val="en-US" w:eastAsia="zh-CN"/>
              </w:rPr>
              <w:t>的</w:t>
            </w:r>
            <w:r>
              <w:rPr>
                <w:rFonts w:hint="eastAsia" w:ascii="仿宋" w:hAnsi="仿宋" w:eastAsia="仿宋" w:cs="仿宋"/>
                <w:b w:val="0"/>
                <w:bCs w:val="0"/>
                <w:sz w:val="21"/>
                <w:szCs w:val="21"/>
              </w:rPr>
              <w:t>要求签署、盖章</w:t>
            </w:r>
          </w:p>
        </w:tc>
        <w:tc>
          <w:tcPr>
            <w:tcW w:w="386" w:type="pct"/>
          </w:tcPr>
          <w:p w14:paraId="517557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693030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0912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1D99E3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46A9E8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1C2D52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报价</w:t>
            </w:r>
          </w:p>
        </w:tc>
        <w:tc>
          <w:tcPr>
            <w:tcW w:w="2894" w:type="pct"/>
            <w:vAlign w:val="center"/>
          </w:tcPr>
          <w:p w14:paraId="593D31D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报价</w:t>
            </w:r>
            <w:r>
              <w:rPr>
                <w:rFonts w:hint="eastAsia" w:ascii="仿宋" w:hAnsi="仿宋" w:eastAsia="仿宋" w:cs="仿宋"/>
                <w:b w:val="0"/>
                <w:bCs w:val="0"/>
                <w:sz w:val="21"/>
                <w:szCs w:val="21"/>
                <w:lang w:eastAsia="zh-CN"/>
              </w:rPr>
              <w:t>未</w:t>
            </w:r>
            <w:r>
              <w:rPr>
                <w:rFonts w:hint="eastAsia" w:ascii="仿宋" w:hAnsi="仿宋" w:eastAsia="仿宋" w:cs="仿宋"/>
                <w:b w:val="0"/>
                <w:bCs w:val="0"/>
                <w:sz w:val="21"/>
                <w:szCs w:val="21"/>
              </w:rPr>
              <w:t>超过</w:t>
            </w:r>
            <w:r>
              <w:rPr>
                <w:rFonts w:hint="eastAsia" w:ascii="仿宋" w:hAnsi="仿宋" w:eastAsia="仿宋" w:cs="仿宋"/>
                <w:b w:val="0"/>
                <w:bCs w:val="0"/>
                <w:sz w:val="21"/>
                <w:szCs w:val="21"/>
                <w:lang w:eastAsia="zh-CN"/>
              </w:rPr>
              <w:t>招标文件</w:t>
            </w:r>
            <w:r>
              <w:rPr>
                <w:rFonts w:hint="eastAsia" w:ascii="仿宋" w:hAnsi="仿宋" w:eastAsia="仿宋" w:cs="仿宋"/>
                <w:b w:val="0"/>
                <w:bCs w:val="0"/>
                <w:sz w:val="21"/>
                <w:szCs w:val="21"/>
              </w:rPr>
              <w:t>中规定的预算金额或者最高限价</w:t>
            </w:r>
          </w:p>
        </w:tc>
        <w:tc>
          <w:tcPr>
            <w:tcW w:w="386" w:type="pct"/>
          </w:tcPr>
          <w:p w14:paraId="45A559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3DD47E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6C3D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5AEE38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7C59E7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419ABE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实质性响应</w:t>
            </w:r>
          </w:p>
        </w:tc>
        <w:tc>
          <w:tcPr>
            <w:tcW w:w="2894" w:type="pct"/>
            <w:vAlign w:val="center"/>
          </w:tcPr>
          <w:p w14:paraId="3DEBEDD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val="0"/>
                <w:bCs w:val="0"/>
                <w:sz w:val="21"/>
                <w:szCs w:val="21"/>
                <w:lang w:val="en-US"/>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lang w:eastAsia="zh-CN"/>
              </w:rPr>
              <w:t>文件满足招标文件中实质性条款的要求和商务要求</w:t>
            </w:r>
            <w:r>
              <w:rPr>
                <w:rFonts w:hint="eastAsia" w:ascii="仿宋" w:hAnsi="仿宋" w:eastAsia="仿宋" w:cs="仿宋"/>
                <w:b w:val="0"/>
                <w:bCs w:val="0"/>
                <w:sz w:val="21"/>
                <w:szCs w:val="21"/>
                <w:lang w:val="en-US" w:eastAsia="zh-CN"/>
              </w:rPr>
              <w:t>（注：技术指标中★项指标为核心指标必须满足项，不接受负偏离，若出现负偏离，做否决投标处理；）</w:t>
            </w:r>
          </w:p>
        </w:tc>
        <w:tc>
          <w:tcPr>
            <w:tcW w:w="386" w:type="pct"/>
          </w:tcPr>
          <w:p w14:paraId="013494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65252A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72FD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0853BA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6FA4F1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3E4E9D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其他条件</w:t>
            </w:r>
          </w:p>
        </w:tc>
        <w:tc>
          <w:tcPr>
            <w:tcW w:w="2894" w:type="pct"/>
            <w:vAlign w:val="center"/>
          </w:tcPr>
          <w:p w14:paraId="174F026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highlight w:val="none"/>
                <w:lang w:eastAsia="zh-CN"/>
              </w:rPr>
              <w:t>投标</w:t>
            </w:r>
            <w:r>
              <w:rPr>
                <w:rFonts w:hint="eastAsia" w:ascii="仿宋" w:hAnsi="仿宋" w:eastAsia="仿宋" w:cs="仿宋"/>
                <w:b w:val="0"/>
                <w:bCs w:val="0"/>
                <w:sz w:val="21"/>
                <w:szCs w:val="21"/>
              </w:rPr>
              <w:t>文件</w:t>
            </w:r>
            <w:r>
              <w:rPr>
                <w:rFonts w:hint="eastAsia" w:ascii="仿宋" w:hAnsi="仿宋" w:eastAsia="仿宋" w:cs="仿宋"/>
                <w:b w:val="0"/>
                <w:bCs w:val="0"/>
                <w:sz w:val="21"/>
                <w:szCs w:val="21"/>
                <w:lang w:eastAsia="zh-CN"/>
              </w:rPr>
              <w:t>是否</w:t>
            </w:r>
            <w:r>
              <w:rPr>
                <w:rFonts w:hint="eastAsia" w:ascii="仿宋" w:hAnsi="仿宋" w:eastAsia="仿宋" w:cs="仿宋"/>
                <w:b w:val="0"/>
                <w:bCs w:val="0"/>
                <w:sz w:val="21"/>
                <w:szCs w:val="21"/>
              </w:rPr>
              <w:t>含有采购人不能接受的附加条件</w:t>
            </w:r>
          </w:p>
        </w:tc>
        <w:tc>
          <w:tcPr>
            <w:tcW w:w="386" w:type="pct"/>
          </w:tcPr>
          <w:p w14:paraId="7ED84D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7CE082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437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220" w:type="pct"/>
            <w:vMerge w:val="continue"/>
          </w:tcPr>
          <w:p w14:paraId="0548ED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00" w:type="pct"/>
            <w:vMerge w:val="continue"/>
            <w:vAlign w:val="center"/>
          </w:tcPr>
          <w:p w14:paraId="672D0D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809" w:type="pct"/>
            <w:vAlign w:val="center"/>
          </w:tcPr>
          <w:p w14:paraId="3E3718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无效情形</w:t>
            </w:r>
          </w:p>
        </w:tc>
        <w:tc>
          <w:tcPr>
            <w:tcW w:w="2894" w:type="pct"/>
            <w:vAlign w:val="center"/>
          </w:tcPr>
          <w:p w14:paraId="165B9EE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法律、法规和</w:t>
            </w:r>
            <w:r>
              <w:rPr>
                <w:rFonts w:hint="eastAsia" w:ascii="仿宋" w:hAnsi="仿宋" w:eastAsia="仿宋" w:cs="仿宋"/>
                <w:b w:val="0"/>
                <w:bCs w:val="0"/>
                <w:sz w:val="21"/>
                <w:szCs w:val="21"/>
                <w:highlight w:val="none"/>
                <w:lang w:eastAsia="zh-CN"/>
              </w:rPr>
              <w:t>招标</w:t>
            </w:r>
            <w:r>
              <w:rPr>
                <w:rFonts w:hint="eastAsia" w:ascii="仿宋" w:hAnsi="仿宋" w:eastAsia="仿宋" w:cs="仿宋"/>
                <w:b w:val="0"/>
                <w:bCs w:val="0"/>
                <w:sz w:val="21"/>
                <w:szCs w:val="21"/>
              </w:rPr>
              <w:t>文件规定的其他无效情形</w:t>
            </w:r>
          </w:p>
        </w:tc>
        <w:tc>
          <w:tcPr>
            <w:tcW w:w="386" w:type="pct"/>
          </w:tcPr>
          <w:p w14:paraId="5F2E4F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c>
          <w:tcPr>
            <w:tcW w:w="387" w:type="pct"/>
            <w:vAlign w:val="center"/>
          </w:tcPr>
          <w:p w14:paraId="11CE12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sz w:val="21"/>
                <w:szCs w:val="21"/>
              </w:rPr>
            </w:pPr>
          </w:p>
        </w:tc>
      </w:tr>
      <w:tr w14:paraId="00BF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5000" w:type="pct"/>
            <w:gridSpan w:val="6"/>
            <w:vAlign w:val="center"/>
          </w:tcPr>
          <w:p w14:paraId="577F88F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注：以上检查内容必须全部符合检查标准，否则为无效标。</w:t>
            </w:r>
          </w:p>
        </w:tc>
      </w:tr>
      <w:bookmarkEnd w:id="51"/>
    </w:tbl>
    <w:p w14:paraId="44E82960">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sz w:val="24"/>
          <w:szCs w:val="24"/>
          <w:highlight w:val="none"/>
        </w:rPr>
      </w:pPr>
      <w:r>
        <w:rPr>
          <w:rFonts w:hint="eastAsia" w:ascii="仿宋" w:hAnsi="仿宋" w:eastAsia="仿宋" w:cs="仿宋"/>
          <w:b/>
          <w:bCs/>
          <w:sz w:val="24"/>
          <w:szCs w:val="24"/>
          <w:highlight w:val="none"/>
        </w:rPr>
        <w:t>注：提交的图表、影印件、查询记录等文件须清晰完整，因文字模糊专家辨识造成审查不合格的由响应人自行承担相应责任。</w:t>
      </w:r>
    </w:p>
    <w:p w14:paraId="2DE101A1">
      <w:pPr>
        <w:pStyle w:val="4"/>
        <w:rPr>
          <w:rFonts w:hint="eastAsia" w:ascii="仿宋" w:hAnsi="仿宋" w:eastAsia="仿宋"/>
          <w:b/>
          <w:bCs/>
          <w:sz w:val="28"/>
          <w:szCs w:val="28"/>
          <w:highlight w:val="none"/>
        </w:rPr>
      </w:pPr>
    </w:p>
    <w:p w14:paraId="3753FB4A"/>
    <w:p w14:paraId="4CF2E84E">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《详细评审》</w:t>
      </w:r>
      <w:r>
        <w:rPr>
          <w:rFonts w:hint="eastAsia" w:ascii="仿宋" w:hAnsi="仿宋" w:eastAsia="仿宋"/>
          <w:b/>
          <w:bCs/>
          <w:sz w:val="28"/>
          <w:szCs w:val="28"/>
          <w:highlight w:val="none"/>
          <w:lang w:eastAsia="zh-CN"/>
        </w:rPr>
        <w:t>（标项</w:t>
      </w:r>
      <w:r>
        <w:rPr>
          <w:rFonts w:hint="eastAsia" w:ascii="仿宋" w:hAnsi="仿宋" w:eastAsia="仿宋"/>
          <w:b/>
          <w:bCs/>
          <w:sz w:val="28"/>
          <w:szCs w:val="28"/>
          <w:highlight w:val="none"/>
          <w:lang w:val="en-US" w:eastAsia="zh-CN"/>
        </w:rPr>
        <w:t>1</w:t>
      </w:r>
      <w:r>
        <w:rPr>
          <w:rFonts w:hint="eastAsia" w:ascii="仿宋" w:hAnsi="仿宋" w:eastAsia="仿宋"/>
          <w:b/>
          <w:bCs/>
          <w:sz w:val="28"/>
          <w:szCs w:val="28"/>
          <w:highlight w:val="none"/>
          <w:lang w:eastAsia="zh-CN"/>
        </w:rPr>
        <w:t>适用）</w:t>
      </w:r>
    </w:p>
    <w:tbl>
      <w:tblPr>
        <w:tblStyle w:val="19"/>
        <w:tblpPr w:leftFromText="180" w:rightFromText="180" w:vertAnchor="text" w:horzAnchor="page" w:tblpXSpec="center" w:tblpY="289"/>
        <w:tblOverlap w:val="never"/>
        <w:tblW w:w="8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73"/>
        <w:gridCol w:w="1121"/>
        <w:gridCol w:w="7153"/>
      </w:tblGrid>
      <w:tr w14:paraId="0193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573" w:type="dxa"/>
            <w:shd w:val="clear" w:color="auto" w:fill="auto"/>
            <w:noWrap/>
            <w:vAlign w:val="center"/>
          </w:tcPr>
          <w:p w14:paraId="4E279D5C">
            <w:pPr>
              <w:keepNext w:val="0"/>
              <w:keepLines w:val="0"/>
              <w:pageBreakBefore w:val="0"/>
              <w:widowControl w:val="0"/>
              <w:kinsoku/>
              <w:wordWrap/>
              <w:overflowPunct/>
              <w:topLinePunct w:val="0"/>
              <w:bidi w:val="0"/>
              <w:adjustRightInd w:val="0"/>
              <w:snapToGrid w:val="0"/>
              <w:spacing w:before="161"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评标项目</w:t>
            </w:r>
          </w:p>
        </w:tc>
        <w:tc>
          <w:tcPr>
            <w:tcW w:w="1121" w:type="dxa"/>
            <w:shd w:val="clear" w:color="auto" w:fill="auto"/>
            <w:noWrap/>
            <w:vAlign w:val="center"/>
          </w:tcPr>
          <w:p w14:paraId="14403C6A">
            <w:pPr>
              <w:keepNext w:val="0"/>
              <w:keepLines w:val="0"/>
              <w:pageBreakBefore w:val="0"/>
              <w:widowControl w:val="0"/>
              <w:kinsoku/>
              <w:wordWrap/>
              <w:overflowPunct/>
              <w:topLinePunct w:val="0"/>
              <w:bidi w:val="0"/>
              <w:adjustRightInd w:val="0"/>
              <w:snapToGrid w:val="0"/>
              <w:spacing w:before="67"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评审内容</w:t>
            </w:r>
          </w:p>
        </w:tc>
        <w:tc>
          <w:tcPr>
            <w:tcW w:w="7153" w:type="dxa"/>
            <w:shd w:val="clear" w:color="auto" w:fill="auto"/>
            <w:noWrap/>
            <w:vAlign w:val="center"/>
          </w:tcPr>
          <w:p w14:paraId="6FBE67DB">
            <w:pPr>
              <w:keepNext w:val="0"/>
              <w:keepLines w:val="0"/>
              <w:pageBreakBefore w:val="0"/>
              <w:widowControl w:val="0"/>
              <w:kinsoku/>
              <w:wordWrap/>
              <w:overflowPunct/>
              <w:topLinePunct w:val="0"/>
              <w:bidi w:val="0"/>
              <w:adjustRightInd w:val="0"/>
              <w:snapToGrid w:val="0"/>
              <w:spacing w:before="67" w:line="240" w:lineRule="auto"/>
              <w:ind w:left="2461" w:right="233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评分标准</w:t>
            </w:r>
          </w:p>
        </w:tc>
      </w:tr>
      <w:tr w14:paraId="170BE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573" w:type="dxa"/>
            <w:shd w:val="clear" w:color="auto" w:fill="auto"/>
            <w:noWrap/>
            <w:vAlign w:val="center"/>
          </w:tcPr>
          <w:p w14:paraId="1298B0B3">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报价</w:t>
            </w:r>
          </w:p>
          <w:p w14:paraId="3FB5194F">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部分</w:t>
            </w:r>
          </w:p>
          <w:p w14:paraId="36D5B020">
            <w:pPr>
              <w:pStyle w:val="51"/>
              <w:shd w:val="clear"/>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bidi="ar-SA"/>
              </w:rPr>
              <w:t>（30分）</w:t>
            </w:r>
          </w:p>
        </w:tc>
        <w:tc>
          <w:tcPr>
            <w:tcW w:w="1121" w:type="dxa"/>
            <w:shd w:val="clear" w:color="auto" w:fill="auto"/>
            <w:noWrap/>
            <w:vAlign w:val="center"/>
          </w:tcPr>
          <w:p w14:paraId="0979CE07">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p>
          <w:p w14:paraId="21CAD5F9">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7153" w:type="dxa"/>
            <w:shd w:val="clear" w:color="auto" w:fill="auto"/>
            <w:noWrap/>
            <w:vAlign w:val="center"/>
          </w:tcPr>
          <w:p w14:paraId="3874C13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评标基准价即满足采购文件要求且投标价格最低的投标报价，</w:t>
            </w:r>
            <w:r>
              <w:rPr>
                <w:rFonts w:hint="eastAsia" w:ascii="仿宋" w:hAnsi="仿宋" w:eastAsia="仿宋" w:cs="仿宋"/>
                <w:sz w:val="21"/>
                <w:szCs w:val="21"/>
                <w:highlight w:val="none"/>
              </w:rPr>
              <w:t>其价格分为满分</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p w14:paraId="5FC12FD2">
            <w:pPr>
              <w:keepNext w:val="0"/>
              <w:keepLines w:val="0"/>
              <w:pageBreakBefore w:val="0"/>
              <w:widowControl w:val="0"/>
              <w:shd w:val="clear"/>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的价格得分按照下列公式计算：投标报价得分＝（评标基准价/</w:t>
            </w: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100</w:t>
            </w:r>
          </w:p>
          <w:p w14:paraId="7C05DEA4">
            <w:pPr>
              <w:keepNext w:val="0"/>
              <w:keepLines w:val="0"/>
              <w:pageBreakBefore w:val="0"/>
              <w:widowControl w:val="0"/>
              <w:shd w:val="clear"/>
              <w:kinsoku/>
              <w:wordWrap/>
              <w:overflowPunct/>
              <w:topLinePunct w:val="0"/>
              <w:bidi w:val="0"/>
              <w:adjustRightInd w:val="0"/>
              <w:snapToGrid w:val="0"/>
              <w:spacing w:before="1" w:line="240" w:lineRule="auto"/>
              <w:ind w:firstLine="422" w:firstLineChars="200"/>
              <w:textAlignment w:val="auto"/>
              <w:rPr>
                <w:rFonts w:hint="eastAsia" w:ascii="仿宋" w:hAnsi="仿宋" w:eastAsia="仿宋" w:cs="仿宋"/>
                <w:sz w:val="21"/>
                <w:szCs w:val="21"/>
                <w:highlight w:val="none"/>
              </w:rPr>
            </w:pPr>
            <w:r>
              <w:rPr>
                <w:rFonts w:hint="eastAsia" w:ascii="仿宋" w:hAnsi="仿宋" w:eastAsia="仿宋" w:cs="仿宋"/>
                <w:b/>
                <w:bCs/>
                <w:sz w:val="21"/>
                <w:szCs w:val="21"/>
                <w:highlight w:val="none"/>
              </w:rPr>
              <w:t>备注：本项目</w:t>
            </w:r>
            <w:r>
              <w:rPr>
                <w:rFonts w:hint="eastAsia" w:ascii="仿宋" w:hAnsi="仿宋" w:eastAsia="仿宋" w:cs="仿宋"/>
                <w:b/>
                <w:bCs/>
                <w:sz w:val="21"/>
                <w:szCs w:val="21"/>
                <w:highlight w:val="none"/>
                <w:lang w:eastAsia="zh-CN"/>
              </w:rPr>
              <w:t>不</w:t>
            </w:r>
            <w:r>
              <w:rPr>
                <w:rFonts w:hint="eastAsia" w:ascii="仿宋" w:hAnsi="仿宋" w:eastAsia="仿宋" w:cs="仿宋"/>
                <w:b/>
                <w:bCs/>
                <w:sz w:val="21"/>
                <w:szCs w:val="21"/>
                <w:highlight w:val="none"/>
              </w:rPr>
              <w:t>专门面向中小</w:t>
            </w:r>
            <w:r>
              <w:rPr>
                <w:rFonts w:hint="eastAsia" w:ascii="仿宋" w:hAnsi="仿宋" w:eastAsia="仿宋" w:cs="仿宋"/>
                <w:b/>
                <w:bCs/>
                <w:sz w:val="21"/>
                <w:szCs w:val="21"/>
                <w:highlight w:val="none"/>
                <w:lang w:val="en-US" w:eastAsia="zh-CN"/>
              </w:rPr>
              <w:t>微</w:t>
            </w:r>
            <w:r>
              <w:rPr>
                <w:rFonts w:hint="eastAsia" w:ascii="仿宋" w:hAnsi="仿宋" w:eastAsia="仿宋" w:cs="仿宋"/>
                <w:b/>
                <w:bCs/>
                <w:sz w:val="21"/>
                <w:szCs w:val="21"/>
                <w:highlight w:val="none"/>
              </w:rPr>
              <w:t>企业（小型、微型企业）采购项目，根据《政府采购促进中小企业发展管理办法》（财库[2020]46号）、《关于进一步加大政府采购支持中小企业力度的通知》财库〔2022〕19号）的规定，</w:t>
            </w:r>
            <w:r>
              <w:rPr>
                <w:rFonts w:hint="eastAsia" w:ascii="仿宋" w:hAnsi="仿宋" w:eastAsia="仿宋" w:cs="仿宋"/>
                <w:b/>
                <w:bCs/>
                <w:sz w:val="21"/>
                <w:szCs w:val="21"/>
                <w:highlight w:val="none"/>
                <w:lang w:eastAsia="zh-CN"/>
              </w:rPr>
              <w:t>给予符合条件的小微企业</w:t>
            </w:r>
            <w:r>
              <w:rPr>
                <w:rFonts w:hint="eastAsia" w:ascii="仿宋" w:hAnsi="仿宋" w:eastAsia="仿宋" w:cs="仿宋"/>
                <w:b/>
                <w:bCs/>
                <w:sz w:val="21"/>
                <w:szCs w:val="21"/>
                <w:highlight w:val="none"/>
                <w:lang w:val="en-US" w:eastAsia="zh-CN"/>
              </w:rPr>
              <w:t>10%的</w:t>
            </w:r>
            <w:r>
              <w:rPr>
                <w:rFonts w:hint="eastAsia" w:ascii="仿宋" w:hAnsi="仿宋" w:eastAsia="仿宋" w:cs="仿宋"/>
                <w:b/>
                <w:bCs/>
                <w:sz w:val="21"/>
                <w:szCs w:val="21"/>
                <w:highlight w:val="none"/>
              </w:rPr>
              <w:t>价格评审优惠。</w:t>
            </w:r>
          </w:p>
        </w:tc>
      </w:tr>
      <w:tr w14:paraId="70AD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3" w:type="dxa"/>
            <w:vMerge w:val="restart"/>
            <w:shd w:val="clear" w:color="auto" w:fill="auto"/>
            <w:noWrap/>
            <w:vAlign w:val="center"/>
          </w:tcPr>
          <w:p w14:paraId="1C082EBF">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lang w:val="zh-CN"/>
              </w:rPr>
              <w:t>技术部分（</w:t>
            </w:r>
            <w:r>
              <w:rPr>
                <w:rFonts w:hint="eastAsia" w:ascii="仿宋" w:hAnsi="仿宋" w:eastAsia="仿宋" w:cs="仿宋"/>
                <w:color w:val="auto"/>
                <w:sz w:val="21"/>
                <w:szCs w:val="21"/>
                <w:highlight w:val="none"/>
                <w:lang w:val="en-US" w:eastAsia="zh-CN"/>
              </w:rPr>
              <w:t>70分</w:t>
            </w:r>
            <w:r>
              <w:rPr>
                <w:rFonts w:hint="eastAsia" w:ascii="仿宋" w:hAnsi="仿宋" w:eastAsia="仿宋" w:cs="仿宋"/>
                <w:color w:val="auto"/>
                <w:sz w:val="21"/>
                <w:szCs w:val="21"/>
                <w:highlight w:val="none"/>
                <w:lang w:val="zh-CN"/>
              </w:rPr>
              <w:t>）</w:t>
            </w:r>
          </w:p>
        </w:tc>
        <w:tc>
          <w:tcPr>
            <w:tcW w:w="1121" w:type="dxa"/>
            <w:shd w:val="clear" w:color="auto" w:fill="auto"/>
            <w:noWrap/>
            <w:vAlign w:val="center"/>
          </w:tcPr>
          <w:p w14:paraId="06144AF1">
            <w:pPr>
              <w:pStyle w:val="51"/>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企业业绩</w:t>
            </w:r>
          </w:p>
          <w:p w14:paraId="0344266E">
            <w:pPr>
              <w:pStyle w:val="51"/>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（9分）</w:t>
            </w:r>
          </w:p>
        </w:tc>
        <w:tc>
          <w:tcPr>
            <w:tcW w:w="7153" w:type="dxa"/>
            <w:shd w:val="clear" w:color="auto" w:fill="auto"/>
            <w:noWrap/>
            <w:vAlign w:val="center"/>
          </w:tcPr>
          <w:p w14:paraId="1FA04CB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投标人提供的2023年1月1日至今类似项目业绩，每提供1项得3分，满分9分。【业绩证明材料为中标（成交）通知书或合同】</w:t>
            </w:r>
          </w:p>
        </w:tc>
      </w:tr>
      <w:tr w14:paraId="752F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573" w:type="dxa"/>
            <w:vMerge w:val="continue"/>
            <w:shd w:val="clear" w:color="auto" w:fill="auto"/>
            <w:noWrap/>
            <w:vAlign w:val="center"/>
          </w:tcPr>
          <w:p w14:paraId="1007C4A8">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783FE8BF">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技术指标</w:t>
            </w:r>
          </w:p>
          <w:p w14:paraId="40FB0FC4">
            <w:pPr>
              <w:pStyle w:val="51"/>
              <w:shd w:val="clear"/>
              <w:jc w:val="center"/>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ar-SA"/>
              </w:rPr>
              <w:t>（</w:t>
            </w:r>
            <w:r>
              <w:rPr>
                <w:rFonts w:hint="eastAsia" w:ascii="仿宋" w:hAnsi="仿宋" w:eastAsia="仿宋" w:cs="仿宋"/>
                <w:color w:val="auto"/>
                <w:sz w:val="21"/>
                <w:szCs w:val="21"/>
                <w:highlight w:val="none"/>
                <w:lang w:val="en-US" w:eastAsia="zh-CN" w:bidi="ar-SA"/>
              </w:rPr>
              <w:t>29分</w:t>
            </w:r>
            <w:r>
              <w:rPr>
                <w:rFonts w:hint="eastAsia" w:ascii="仿宋" w:hAnsi="仿宋" w:eastAsia="仿宋" w:cs="仿宋"/>
                <w:color w:val="auto"/>
                <w:sz w:val="21"/>
                <w:szCs w:val="21"/>
                <w:highlight w:val="none"/>
                <w:lang w:val="zh-CN" w:eastAsia="zh-CN" w:bidi="ar-SA"/>
              </w:rPr>
              <w:t>）</w:t>
            </w:r>
          </w:p>
        </w:tc>
        <w:tc>
          <w:tcPr>
            <w:tcW w:w="7153" w:type="dxa"/>
            <w:tcBorders>
              <w:bottom w:val="single" w:color="auto" w:sz="4" w:space="0"/>
            </w:tcBorders>
            <w:shd w:val="clear" w:color="auto" w:fill="auto"/>
            <w:noWrap/>
            <w:vAlign w:val="center"/>
          </w:tcPr>
          <w:p w14:paraId="444D333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所投产品参数技术要求中所有条款逐条响应（附详细的响应技术方案及证明材料）完全符合采购文件要求的</w:t>
            </w:r>
          </w:p>
          <w:p w14:paraId="6A3DD7F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满足所有技术参数指标得</w:t>
            </w:r>
            <w:r>
              <w:rPr>
                <w:rFonts w:hint="eastAsia" w:ascii="仿宋" w:hAnsi="仿宋" w:eastAsia="仿宋" w:cs="仿宋"/>
                <w:sz w:val="21"/>
                <w:szCs w:val="21"/>
                <w:highlight w:val="none"/>
                <w:lang w:val="en-US" w:eastAsia="zh-CN"/>
              </w:rPr>
              <w:t>满分29</w:t>
            </w:r>
            <w:r>
              <w:rPr>
                <w:rFonts w:hint="eastAsia" w:ascii="仿宋" w:hAnsi="仿宋" w:eastAsia="仿宋" w:cs="仿宋"/>
                <w:sz w:val="21"/>
                <w:szCs w:val="21"/>
                <w:highlight w:val="none"/>
                <w:lang w:val="zh-CN" w:eastAsia="zh-CN"/>
              </w:rPr>
              <w:t>分；</w:t>
            </w:r>
          </w:p>
          <w:p w14:paraId="3345E9D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技术指标中</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项为重要指标，每条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项指标出现负偏离扣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共有29条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en-US" w:eastAsia="zh-CN"/>
              </w:rPr>
              <w:t>项重要指标，</w:t>
            </w:r>
            <w:r>
              <w:rPr>
                <w:rFonts w:hint="eastAsia" w:ascii="仿宋" w:hAnsi="仿宋" w:eastAsia="仿宋" w:cs="仿宋"/>
                <w:sz w:val="21"/>
                <w:szCs w:val="21"/>
                <w:highlight w:val="none"/>
                <w:lang w:val="zh-CN" w:eastAsia="zh-CN"/>
              </w:rPr>
              <w:t>扣完为止；</w:t>
            </w:r>
          </w:p>
          <w:p w14:paraId="76408ED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（提供检测报告或截图或产品说明书等相关证明材料）</w:t>
            </w:r>
          </w:p>
          <w:p w14:paraId="38C540F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 xml:space="preserve"> 注：负偏离是指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w:t>
            </w:r>
          </w:p>
          <w:p w14:paraId="0B3813A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①所提供技术参数（指标要求）低于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lang w:val="zh-CN" w:eastAsia="zh-CN"/>
              </w:rPr>
              <w:t>文件要求的，视为负偏离；</w:t>
            </w:r>
          </w:p>
          <w:p w14:paraId="6F2B6DA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②技术参数响应条款（以投标文件内技术偏离表为准）与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lang w:val="zh-CN" w:eastAsia="zh-CN"/>
              </w:rPr>
              <w:t>文件对比有缺项、漏项的，视为负偏离；</w:t>
            </w:r>
          </w:p>
          <w:p w14:paraId="50B4A69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③投标人提供的投标文件中采购需求偏离表、产品技术规格书和产品检测报告、产品功能截图、产品说明内描述的同一产品技术参数响应值不一致的，视为负偏离。</w:t>
            </w:r>
          </w:p>
        </w:tc>
      </w:tr>
      <w:tr w14:paraId="26FD7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573" w:type="dxa"/>
            <w:vMerge w:val="continue"/>
            <w:shd w:val="clear" w:color="auto" w:fill="auto"/>
            <w:noWrap/>
            <w:vAlign w:val="center"/>
          </w:tcPr>
          <w:p w14:paraId="6ED1E97C">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328D7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项目实施</w:t>
            </w:r>
          </w:p>
          <w:p w14:paraId="39A4B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方案</w:t>
            </w:r>
          </w:p>
          <w:p w14:paraId="4B0F7F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62238DE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所投产品详细的产品、运送、安装调试计划及实施各阶段的人员配备情况、重点，难点及展示亮点进行准确挖掘。</w:t>
            </w:r>
          </w:p>
          <w:p w14:paraId="687D637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en-US" w:eastAsia="zh-CN"/>
              </w:rPr>
              <w:t>内容包含但不限于</w:t>
            </w:r>
            <w:r>
              <w:rPr>
                <w:rFonts w:hint="eastAsia" w:ascii="仿宋" w:hAnsi="仿宋" w:eastAsia="仿宋" w:cs="仿宋"/>
                <w:sz w:val="21"/>
                <w:szCs w:val="21"/>
                <w:highlight w:val="none"/>
                <w:lang w:val="zh-CN" w:eastAsia="zh-CN"/>
              </w:rPr>
              <w:t>：</w:t>
            </w:r>
          </w:p>
          <w:p w14:paraId="15107D6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①供货流程安排；</w:t>
            </w:r>
          </w:p>
          <w:p w14:paraId="7D13B30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②供货时间安排；</w:t>
            </w:r>
          </w:p>
          <w:p w14:paraId="667870B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③供货渠道、退换货方案；</w:t>
            </w:r>
          </w:p>
          <w:p w14:paraId="78E230B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④验收方案。</w:t>
            </w:r>
          </w:p>
          <w:p w14:paraId="1F557EA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根据所提供内容进行评分，</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提供上述一项内容得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w:t>
            </w:r>
            <w:r>
              <w:rPr>
                <w:rFonts w:hint="eastAsia" w:ascii="仿宋" w:hAnsi="仿宋" w:eastAsia="仿宋" w:cs="仿宋"/>
                <w:sz w:val="21"/>
                <w:szCs w:val="21"/>
                <w:highlight w:val="none"/>
                <w:lang w:val="zh-CN" w:eastAsia="zh-CN"/>
              </w:rPr>
              <w:t>提供的内容</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有一处存在缺陷的扣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未提供不得分。</w:t>
            </w:r>
          </w:p>
          <w:p w14:paraId="3C305FC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zh-CN" w:eastAsia="zh-CN"/>
              </w:rPr>
              <w:t>（缺陷是指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4C7C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5" w:hRule="atLeast"/>
          <w:jc w:val="center"/>
        </w:trPr>
        <w:tc>
          <w:tcPr>
            <w:tcW w:w="573" w:type="dxa"/>
            <w:vMerge w:val="continue"/>
            <w:shd w:val="clear" w:color="auto" w:fill="auto"/>
            <w:noWrap/>
            <w:vAlign w:val="center"/>
          </w:tcPr>
          <w:p w14:paraId="37B42B42">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2C1DAE20">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质量保证</w:t>
            </w:r>
          </w:p>
          <w:p w14:paraId="63F496B4">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（4分）</w:t>
            </w:r>
          </w:p>
        </w:tc>
        <w:tc>
          <w:tcPr>
            <w:tcW w:w="7153" w:type="dxa"/>
            <w:tcBorders>
              <w:bottom w:val="single" w:color="auto" w:sz="4" w:space="0"/>
            </w:tcBorders>
            <w:shd w:val="clear" w:color="auto" w:fill="auto"/>
            <w:noWrap/>
            <w:vAlign w:val="center"/>
          </w:tcPr>
          <w:p w14:paraId="7911E1C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en-US" w:eastAsia="zh-CN"/>
              </w:rPr>
              <w:t>提供的</w:t>
            </w:r>
            <w:r>
              <w:rPr>
                <w:rFonts w:hint="eastAsia" w:ascii="仿宋" w:hAnsi="仿宋" w:eastAsia="仿宋" w:cs="仿宋"/>
                <w:sz w:val="21"/>
                <w:szCs w:val="21"/>
                <w:highlight w:val="none"/>
                <w:lang w:val="zh-CN" w:eastAsia="zh-CN"/>
              </w:rPr>
              <w:t>质量保证措施方案</w:t>
            </w:r>
            <w:r>
              <w:rPr>
                <w:rFonts w:hint="eastAsia" w:ascii="仿宋" w:hAnsi="仿宋" w:eastAsia="仿宋" w:cs="仿宋"/>
                <w:sz w:val="21"/>
                <w:szCs w:val="21"/>
                <w:highlight w:val="none"/>
                <w:lang w:val="en-US" w:eastAsia="zh-CN"/>
              </w:rPr>
              <w:t>内容包含但不限于</w:t>
            </w:r>
            <w:r>
              <w:rPr>
                <w:rFonts w:hint="eastAsia" w:ascii="仿宋" w:hAnsi="仿宋" w:eastAsia="仿宋" w:cs="仿宋"/>
                <w:sz w:val="21"/>
                <w:szCs w:val="21"/>
                <w:highlight w:val="none"/>
                <w:lang w:val="zh-CN" w:eastAsia="zh-CN"/>
              </w:rPr>
              <w:t>：</w:t>
            </w:r>
          </w:p>
          <w:p w14:paraId="71F4FEB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①质量保证的标准；</w:t>
            </w:r>
          </w:p>
          <w:p w14:paraId="5FF25A1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②质量管理方法；</w:t>
            </w:r>
          </w:p>
          <w:p w14:paraId="486A3CA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③质量保障措施；</w:t>
            </w:r>
          </w:p>
          <w:p w14:paraId="09D226F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④质量管理程序制度。</w:t>
            </w:r>
          </w:p>
          <w:p w14:paraId="483A879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提供一项内容得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4分，</w:t>
            </w:r>
            <w:r>
              <w:rPr>
                <w:rFonts w:hint="eastAsia" w:ascii="仿宋" w:hAnsi="仿宋" w:eastAsia="仿宋" w:cs="仿宋"/>
                <w:sz w:val="21"/>
                <w:szCs w:val="21"/>
                <w:highlight w:val="none"/>
                <w:lang w:val="zh-CN" w:eastAsia="zh-CN"/>
              </w:rPr>
              <w:t>提供的内容</w:t>
            </w:r>
            <w:r>
              <w:rPr>
                <w:rFonts w:hint="eastAsia" w:ascii="仿宋" w:hAnsi="仿宋" w:eastAsia="仿宋" w:cs="仿宋"/>
                <w:sz w:val="21"/>
                <w:szCs w:val="21"/>
                <w:highlight w:val="none"/>
                <w:lang w:val="en-US" w:eastAsia="zh-CN"/>
              </w:rPr>
              <w:t>每有</w:t>
            </w:r>
            <w:r>
              <w:rPr>
                <w:rFonts w:hint="eastAsia" w:ascii="仿宋" w:hAnsi="仿宋" w:eastAsia="仿宋" w:cs="仿宋"/>
                <w:sz w:val="21"/>
                <w:szCs w:val="21"/>
                <w:highlight w:val="none"/>
                <w:lang w:val="zh-CN" w:eastAsia="zh-CN"/>
              </w:rPr>
              <w:t>一处存在缺陷的扣</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未提供不得分。（缺陷是指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D24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573" w:type="dxa"/>
            <w:vMerge w:val="continue"/>
            <w:shd w:val="clear" w:color="auto" w:fill="auto"/>
            <w:noWrap/>
            <w:vAlign w:val="center"/>
          </w:tcPr>
          <w:p w14:paraId="085BB32D">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66596E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培训方案</w:t>
            </w:r>
          </w:p>
          <w:p w14:paraId="5048FF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64B525D0">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提供的培训方案内容包含但不限于：</w:t>
            </w:r>
          </w:p>
          <w:p w14:paraId="19EC866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①培训计划；</w:t>
            </w:r>
          </w:p>
          <w:p w14:paraId="4A9FCD9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②培训目标。</w:t>
            </w:r>
          </w:p>
          <w:p w14:paraId="21EF7D2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每提供上述一项内容的得2分，本项满分4分，提供的内容每有一处存在缺陷的扣1分，扣完为止，未提供不得分。(内容存在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2F5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jc w:val="center"/>
        </w:trPr>
        <w:tc>
          <w:tcPr>
            <w:tcW w:w="573" w:type="dxa"/>
            <w:vMerge w:val="continue"/>
            <w:shd w:val="clear" w:color="auto" w:fill="auto"/>
            <w:noWrap/>
            <w:vAlign w:val="center"/>
          </w:tcPr>
          <w:p w14:paraId="39FDE7A0">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496EA782">
            <w:pPr>
              <w:pStyle w:val="51"/>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应急服务</w:t>
            </w:r>
          </w:p>
          <w:p w14:paraId="1DA529AF">
            <w:pPr>
              <w:pStyle w:val="51"/>
              <w:jc w:val="center"/>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ar-SA"/>
              </w:rPr>
              <w:t>（6分）</w:t>
            </w:r>
          </w:p>
        </w:tc>
        <w:tc>
          <w:tcPr>
            <w:tcW w:w="7153" w:type="dxa"/>
            <w:shd w:val="clear" w:color="auto" w:fill="auto"/>
            <w:noWrap/>
            <w:vAlign w:val="center"/>
          </w:tcPr>
          <w:p w14:paraId="10807A0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提供的应急服务方案内容包含但不限于：</w:t>
            </w:r>
          </w:p>
          <w:p w14:paraId="1465C3C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①故障处理；</w:t>
            </w:r>
          </w:p>
          <w:p w14:paraId="736E40B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②应急程序；</w:t>
            </w:r>
          </w:p>
          <w:p w14:paraId="69C2465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③安全保障。</w:t>
            </w:r>
          </w:p>
          <w:p w14:paraId="0CC9446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方案内容进行评分每提供上述一项内容得2分，，本项满分6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BFDE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jc w:val="center"/>
        </w:trPr>
        <w:tc>
          <w:tcPr>
            <w:tcW w:w="573" w:type="dxa"/>
            <w:vMerge w:val="continue"/>
            <w:shd w:val="clear" w:color="auto" w:fill="auto"/>
            <w:noWrap/>
            <w:vAlign w:val="center"/>
          </w:tcPr>
          <w:p w14:paraId="2E62B282">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21" w:type="dxa"/>
            <w:shd w:val="clear" w:color="auto" w:fill="auto"/>
            <w:noWrap/>
            <w:vAlign w:val="center"/>
          </w:tcPr>
          <w:p w14:paraId="33CACEA2">
            <w:pPr>
              <w:numPr>
                <w:ilvl w:val="0"/>
                <w:numId w:val="0"/>
              </w:num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w:t>
            </w:r>
          </w:p>
          <w:p w14:paraId="58225205">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（10分）</w:t>
            </w:r>
          </w:p>
        </w:tc>
        <w:tc>
          <w:tcPr>
            <w:tcW w:w="7153" w:type="dxa"/>
            <w:shd w:val="clear" w:color="auto" w:fill="auto"/>
            <w:noWrap/>
            <w:vAlign w:val="center"/>
          </w:tcPr>
          <w:p w14:paraId="1831495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根据投标人提供的售后服务方案内容进行综合评审。售后服务方案内容充分，详细具体，内容包含但不限于：</w:t>
            </w:r>
          </w:p>
          <w:p w14:paraId="1379407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①售后服务方案及承诺；</w:t>
            </w:r>
          </w:p>
          <w:p w14:paraId="645E6B7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②响应及处理完毕时间；</w:t>
            </w:r>
          </w:p>
          <w:p w14:paraId="770DA22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③售后服务流程（包括故障处理、上门维护、紧急维护、重要服务、电话回访维护等）；</w:t>
            </w:r>
          </w:p>
          <w:p w14:paraId="0BB4CC5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④售后应急预案（包括人员安排、车辆安排等）；</w:t>
            </w:r>
          </w:p>
          <w:p w14:paraId="5F3E01B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⑤售后服务记录（包括服务报告、质量考核评估、满意度调查、电话回访记录）。</w:t>
            </w:r>
          </w:p>
          <w:p w14:paraId="0464D3F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提供上述一项内容得2分，本项满分10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AAE6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2" w:hRule="atLeast"/>
          <w:jc w:val="center"/>
        </w:trPr>
        <w:tc>
          <w:tcPr>
            <w:tcW w:w="573" w:type="dxa"/>
            <w:vMerge w:val="continue"/>
            <w:shd w:val="clear" w:color="auto" w:fill="auto"/>
            <w:noWrap/>
            <w:vAlign w:val="center"/>
          </w:tcPr>
          <w:p w14:paraId="485FB298">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121" w:type="dxa"/>
            <w:shd w:val="clear" w:color="auto" w:fill="auto"/>
            <w:noWrap/>
            <w:vAlign w:val="center"/>
          </w:tcPr>
          <w:p w14:paraId="5F806C8C">
            <w:pPr>
              <w:pStyle w:val="29"/>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7153" w:type="dxa"/>
            <w:shd w:val="clear" w:color="auto" w:fill="auto"/>
            <w:noWrap/>
            <w:vAlign w:val="center"/>
          </w:tcPr>
          <w:p w14:paraId="5497D15F">
            <w:pPr>
              <w:pStyle w:val="29"/>
              <w:keepNext w:val="0"/>
              <w:keepLines w:val="0"/>
              <w:pageBreakBefore w:val="0"/>
              <w:widowControl w:val="0"/>
              <w:kinsoku/>
              <w:wordWrap/>
              <w:overflowPunct/>
              <w:topLinePunct w:val="0"/>
              <w:bidi w:val="0"/>
              <w:adjustRightInd w:val="0"/>
              <w:snapToGrid w:val="0"/>
              <w:spacing w:before="16" w:line="240" w:lineRule="auto"/>
              <w:ind w:firstLine="210" w:firstLineChars="1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2CBE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8847" w:type="dxa"/>
            <w:gridSpan w:val="3"/>
            <w:shd w:val="clear" w:color="auto" w:fill="auto"/>
            <w:noWrap/>
            <w:vAlign w:val="center"/>
          </w:tcPr>
          <w:p w14:paraId="49C577CE">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合计100分，投标人总得分=报价部分得分+商务</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得分+技术</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w:t>
            </w:r>
          </w:p>
          <w:p w14:paraId="262298AA">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注：1.评分计算结果保留两位小数，第</w:t>
            </w:r>
            <w:r>
              <w:rPr>
                <w:rFonts w:hint="eastAsia" w:ascii="仿宋" w:hAnsi="仿宋" w:eastAsia="仿宋" w:cs="仿宋"/>
                <w:color w:val="auto"/>
                <w:sz w:val="21"/>
                <w:szCs w:val="21"/>
                <w:highlight w:val="none"/>
                <w:lang w:val="zh-CN" w:bidi="zh-CN"/>
              </w:rPr>
              <w:t>三位小数四舍五入。</w:t>
            </w:r>
          </w:p>
          <w:p w14:paraId="7AFA97C0">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2.</w:t>
            </w:r>
            <w:r>
              <w:rPr>
                <w:rFonts w:hint="eastAsia" w:ascii="仿宋" w:hAnsi="仿宋" w:eastAsia="仿宋" w:cs="仿宋"/>
                <w:color w:val="auto"/>
                <w:sz w:val="21"/>
                <w:szCs w:val="21"/>
                <w:highlight w:val="none"/>
                <w:lang w:val="zh-CN" w:bidi="zh-CN"/>
              </w:rPr>
              <w:t>评标过程中，不得去掉报价中的最高报价和最低报价。</w:t>
            </w:r>
          </w:p>
          <w:p w14:paraId="1E1A8BB3">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zh-CN"/>
              </w:rPr>
              <w:t>3.详细评审分值为所有评委评分之和的平均值，详细评审分值不得去掉最高评分和最低评分。</w:t>
            </w:r>
          </w:p>
        </w:tc>
      </w:tr>
    </w:tbl>
    <w:p w14:paraId="713683DA">
      <w:pPr>
        <w:keepNext w:val="0"/>
        <w:keepLines w:val="0"/>
        <w:pageBreakBefore/>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《详细评审》</w:t>
      </w:r>
      <w:r>
        <w:rPr>
          <w:rFonts w:hint="eastAsia" w:ascii="仿宋" w:hAnsi="仿宋" w:eastAsia="仿宋"/>
          <w:b/>
          <w:bCs/>
          <w:sz w:val="28"/>
          <w:szCs w:val="28"/>
          <w:highlight w:val="none"/>
          <w:lang w:eastAsia="zh-CN"/>
        </w:rPr>
        <w:t>（标项</w:t>
      </w: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lang w:eastAsia="zh-CN"/>
        </w:rPr>
        <w:t>适用）</w:t>
      </w:r>
    </w:p>
    <w:tbl>
      <w:tblPr>
        <w:tblStyle w:val="19"/>
        <w:tblpPr w:leftFromText="180" w:rightFromText="180" w:vertAnchor="text" w:horzAnchor="page" w:tblpX="1817" w:tblpY="289"/>
        <w:tblOverlap w:val="never"/>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41"/>
        <w:gridCol w:w="1148"/>
        <w:gridCol w:w="7153"/>
      </w:tblGrid>
      <w:tr w14:paraId="25AA7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41" w:type="dxa"/>
            <w:shd w:val="clear" w:color="auto" w:fill="auto"/>
            <w:noWrap/>
            <w:vAlign w:val="center"/>
          </w:tcPr>
          <w:p w14:paraId="2A9E9C2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评标</w:t>
            </w:r>
          </w:p>
          <w:p w14:paraId="7D8A76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p>
        </w:tc>
        <w:tc>
          <w:tcPr>
            <w:tcW w:w="1148" w:type="dxa"/>
            <w:shd w:val="clear" w:color="auto" w:fill="auto"/>
            <w:noWrap/>
            <w:vAlign w:val="center"/>
          </w:tcPr>
          <w:p w14:paraId="5F8A490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评审内容</w:t>
            </w:r>
          </w:p>
        </w:tc>
        <w:tc>
          <w:tcPr>
            <w:tcW w:w="7153" w:type="dxa"/>
            <w:shd w:val="clear" w:color="auto" w:fill="auto"/>
            <w:noWrap/>
            <w:vAlign w:val="center"/>
          </w:tcPr>
          <w:p w14:paraId="52BCA533">
            <w:pPr>
              <w:keepNext w:val="0"/>
              <w:keepLines w:val="0"/>
              <w:pageBreakBefore w:val="0"/>
              <w:widowControl w:val="0"/>
              <w:kinsoku/>
              <w:wordWrap/>
              <w:overflowPunct/>
              <w:topLinePunct w:val="0"/>
              <w:autoSpaceDE w:val="0"/>
              <w:autoSpaceDN w:val="0"/>
              <w:bidi w:val="0"/>
              <w:adjustRightInd w:val="0"/>
              <w:snapToGrid w:val="0"/>
              <w:spacing w:line="240" w:lineRule="auto"/>
              <w:ind w:left="2461" w:right="2333"/>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评分标准</w:t>
            </w:r>
          </w:p>
        </w:tc>
      </w:tr>
      <w:tr w14:paraId="70A9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8" w:hRule="atLeast"/>
        </w:trPr>
        <w:tc>
          <w:tcPr>
            <w:tcW w:w="641" w:type="dxa"/>
            <w:shd w:val="clear" w:color="auto" w:fill="auto"/>
            <w:noWrap/>
            <w:vAlign w:val="center"/>
          </w:tcPr>
          <w:p w14:paraId="52CCBF46">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报价</w:t>
            </w:r>
          </w:p>
          <w:p w14:paraId="21644B66">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部分</w:t>
            </w:r>
          </w:p>
          <w:p w14:paraId="712030E9">
            <w:pPr>
              <w:pStyle w:val="51"/>
              <w:shd w:val="clear"/>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bidi="ar-SA"/>
              </w:rPr>
              <w:t>（30分）</w:t>
            </w:r>
          </w:p>
        </w:tc>
        <w:tc>
          <w:tcPr>
            <w:tcW w:w="1148" w:type="dxa"/>
            <w:shd w:val="clear" w:color="auto" w:fill="auto"/>
            <w:noWrap/>
            <w:vAlign w:val="center"/>
          </w:tcPr>
          <w:p w14:paraId="2FFFEE9D">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p>
          <w:p w14:paraId="039D9C4F">
            <w:pPr>
              <w:keepNext w:val="0"/>
              <w:keepLines w:val="0"/>
              <w:pageBreakBefore w:val="0"/>
              <w:widowControl w:val="0"/>
              <w:kinsoku/>
              <w:wordWrap/>
              <w:overflowPunct/>
              <w:topLinePunct w:val="0"/>
              <w:bidi w:val="0"/>
              <w:adjustRightInd w:val="0"/>
              <w:snapToGrid w:val="0"/>
              <w:spacing w:before="189"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7153" w:type="dxa"/>
            <w:shd w:val="clear" w:color="auto" w:fill="auto"/>
            <w:noWrap/>
            <w:vAlign w:val="center"/>
          </w:tcPr>
          <w:p w14:paraId="1627E96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评标基准价即满足采购文件要求且投标价格最低的投标报价，</w:t>
            </w:r>
            <w:r>
              <w:rPr>
                <w:rFonts w:hint="eastAsia" w:ascii="仿宋" w:hAnsi="仿宋" w:eastAsia="仿宋" w:cs="仿宋"/>
                <w:sz w:val="21"/>
                <w:szCs w:val="21"/>
                <w:highlight w:val="none"/>
              </w:rPr>
              <w:t>其价格分为满分</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p w14:paraId="40BF7AFC">
            <w:pPr>
              <w:keepNext w:val="0"/>
              <w:keepLines w:val="0"/>
              <w:pageBreakBefore w:val="0"/>
              <w:widowControl w:val="0"/>
              <w:shd w:val="clear"/>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的价格得分按照下列公式计算：投标报价得分＝（评标基准价/</w:t>
            </w:r>
            <w:r>
              <w:rPr>
                <w:rFonts w:hint="eastAsia" w:ascii="仿宋" w:hAnsi="仿宋" w:eastAsia="仿宋" w:cs="仿宋"/>
                <w:sz w:val="21"/>
                <w:szCs w:val="21"/>
                <w:highlight w:val="none"/>
                <w:lang w:val="zh-CN" w:bidi="zh-CN"/>
              </w:rPr>
              <w:t>投标</w:t>
            </w:r>
            <w:r>
              <w:rPr>
                <w:rFonts w:hint="eastAsia" w:ascii="仿宋" w:hAnsi="仿宋" w:eastAsia="仿宋" w:cs="仿宋"/>
                <w:sz w:val="21"/>
                <w:szCs w:val="21"/>
                <w:highlight w:val="none"/>
              </w:rPr>
              <w:t>报价）×</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100</w:t>
            </w:r>
          </w:p>
          <w:p w14:paraId="31EE1EDA">
            <w:pPr>
              <w:keepNext w:val="0"/>
              <w:keepLines w:val="0"/>
              <w:pageBreakBefore w:val="0"/>
              <w:widowControl w:val="0"/>
              <w:shd w:val="clear"/>
              <w:kinsoku/>
              <w:wordWrap/>
              <w:overflowPunct/>
              <w:topLinePunct w:val="0"/>
              <w:bidi w:val="0"/>
              <w:adjustRightInd w:val="0"/>
              <w:snapToGrid w:val="0"/>
              <w:spacing w:before="1" w:line="240" w:lineRule="auto"/>
              <w:ind w:firstLine="422"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rPr>
              <w:t>备注：本项目</w:t>
            </w:r>
            <w:r>
              <w:rPr>
                <w:rFonts w:hint="eastAsia" w:ascii="仿宋" w:hAnsi="仿宋" w:eastAsia="仿宋" w:cs="仿宋"/>
                <w:b/>
                <w:bCs/>
                <w:sz w:val="21"/>
                <w:szCs w:val="21"/>
                <w:highlight w:val="none"/>
                <w:lang w:val="en-US" w:eastAsia="zh-CN"/>
              </w:rPr>
              <w:t>为</w:t>
            </w:r>
            <w:r>
              <w:rPr>
                <w:rFonts w:hint="eastAsia" w:ascii="仿宋" w:hAnsi="仿宋" w:eastAsia="仿宋" w:cs="仿宋"/>
                <w:b/>
                <w:bCs/>
                <w:sz w:val="21"/>
                <w:szCs w:val="21"/>
                <w:highlight w:val="none"/>
              </w:rPr>
              <w:t>专门面向小</w:t>
            </w:r>
            <w:r>
              <w:rPr>
                <w:rFonts w:hint="eastAsia" w:ascii="仿宋" w:hAnsi="仿宋" w:eastAsia="仿宋" w:cs="仿宋"/>
                <w:b/>
                <w:bCs/>
                <w:sz w:val="21"/>
                <w:szCs w:val="21"/>
                <w:highlight w:val="none"/>
                <w:lang w:val="en-US" w:eastAsia="zh-CN"/>
              </w:rPr>
              <w:t>微</w:t>
            </w:r>
            <w:r>
              <w:rPr>
                <w:rFonts w:hint="eastAsia" w:ascii="仿宋" w:hAnsi="仿宋" w:eastAsia="仿宋" w:cs="仿宋"/>
                <w:b/>
                <w:bCs/>
                <w:sz w:val="21"/>
                <w:szCs w:val="21"/>
                <w:highlight w:val="none"/>
              </w:rPr>
              <w:t>企业（小型、微型企业）采购项目</w:t>
            </w:r>
            <w:r>
              <w:rPr>
                <w:rFonts w:hint="eastAsia" w:ascii="仿宋" w:hAnsi="仿宋" w:eastAsia="仿宋" w:cs="仿宋"/>
                <w:b/>
                <w:bCs/>
                <w:sz w:val="21"/>
                <w:szCs w:val="21"/>
                <w:highlight w:val="none"/>
                <w:lang w:val="en-US" w:eastAsia="zh-CN"/>
              </w:rPr>
              <w:t>。</w:t>
            </w:r>
          </w:p>
        </w:tc>
      </w:tr>
      <w:tr w14:paraId="1162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641" w:type="dxa"/>
            <w:vMerge w:val="restart"/>
            <w:shd w:val="clear" w:color="auto" w:fill="auto"/>
            <w:noWrap/>
            <w:vAlign w:val="center"/>
          </w:tcPr>
          <w:p w14:paraId="7F6C574E">
            <w:pPr>
              <w:keepNext w:val="0"/>
              <w:keepLines w:val="0"/>
              <w:pageBreakBefore w:val="0"/>
              <w:widowControl w:val="0"/>
              <w:kinsoku/>
              <w:wordWrap/>
              <w:overflowPunct/>
              <w:topLinePunct w:val="0"/>
              <w:bidi w:val="0"/>
              <w:adjustRightInd w:val="0"/>
              <w:snapToGrid w:val="0"/>
              <w:spacing w:before="12" w:line="240" w:lineRule="auto"/>
              <w:ind w:left="106"/>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lang w:val="zh-CN"/>
              </w:rPr>
              <w:t>技术部分（</w:t>
            </w:r>
            <w:r>
              <w:rPr>
                <w:rFonts w:hint="eastAsia" w:ascii="仿宋" w:hAnsi="仿宋" w:eastAsia="仿宋" w:cs="仿宋"/>
                <w:color w:val="auto"/>
                <w:sz w:val="21"/>
                <w:szCs w:val="21"/>
                <w:highlight w:val="none"/>
                <w:lang w:val="en-US" w:eastAsia="zh-CN"/>
              </w:rPr>
              <w:t>70分</w:t>
            </w:r>
            <w:r>
              <w:rPr>
                <w:rFonts w:hint="eastAsia" w:ascii="仿宋" w:hAnsi="仿宋" w:eastAsia="仿宋" w:cs="仿宋"/>
                <w:color w:val="auto"/>
                <w:sz w:val="21"/>
                <w:szCs w:val="21"/>
                <w:highlight w:val="none"/>
                <w:lang w:val="zh-CN"/>
              </w:rPr>
              <w:t>）</w:t>
            </w:r>
          </w:p>
        </w:tc>
        <w:tc>
          <w:tcPr>
            <w:tcW w:w="1148" w:type="dxa"/>
            <w:shd w:val="clear" w:color="auto" w:fill="auto"/>
            <w:noWrap/>
            <w:vAlign w:val="center"/>
          </w:tcPr>
          <w:p w14:paraId="5B2567FA">
            <w:pPr>
              <w:pStyle w:val="51"/>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企业业绩</w:t>
            </w:r>
          </w:p>
          <w:p w14:paraId="507DB8D2">
            <w:pPr>
              <w:pStyle w:val="51"/>
              <w:shd w:val="clea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（11分）</w:t>
            </w:r>
          </w:p>
        </w:tc>
        <w:tc>
          <w:tcPr>
            <w:tcW w:w="7153" w:type="dxa"/>
            <w:shd w:val="clear" w:color="auto" w:fill="auto"/>
            <w:noWrap/>
            <w:vAlign w:val="center"/>
          </w:tcPr>
          <w:p w14:paraId="0FB1819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投标人提供的2023年1月1日至今类似项目业绩，提供三项业绩得基本分5分，每增加1项业绩得3分，本项满分11分。【业绩证明材料为中标（成交）通知书或合同】</w:t>
            </w:r>
          </w:p>
        </w:tc>
      </w:tr>
      <w:tr w14:paraId="4D971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1" w:hRule="atLeast"/>
        </w:trPr>
        <w:tc>
          <w:tcPr>
            <w:tcW w:w="641" w:type="dxa"/>
            <w:vMerge w:val="continue"/>
            <w:shd w:val="clear" w:color="auto" w:fill="auto"/>
            <w:noWrap/>
            <w:vAlign w:val="center"/>
          </w:tcPr>
          <w:p w14:paraId="36875F36">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1EB55948">
            <w:pPr>
              <w:pStyle w:val="51"/>
              <w:shd w:val="clear"/>
              <w:jc w:val="center"/>
              <w:rPr>
                <w:rFonts w:hint="eastAsia" w:ascii="仿宋" w:hAnsi="仿宋" w:eastAsia="仿宋" w:cs="仿宋"/>
                <w:color w:val="auto"/>
                <w:sz w:val="21"/>
                <w:szCs w:val="21"/>
                <w:highlight w:val="none"/>
                <w:lang w:val="zh-CN" w:eastAsia="zh-CN" w:bidi="ar-SA"/>
              </w:rPr>
            </w:pPr>
            <w:r>
              <w:rPr>
                <w:rFonts w:hint="eastAsia" w:ascii="仿宋" w:hAnsi="仿宋" w:eastAsia="仿宋" w:cs="仿宋"/>
                <w:color w:val="auto"/>
                <w:sz w:val="21"/>
                <w:szCs w:val="21"/>
                <w:highlight w:val="none"/>
                <w:lang w:val="zh-CN" w:eastAsia="zh-CN" w:bidi="ar-SA"/>
              </w:rPr>
              <w:t>技术指标</w:t>
            </w:r>
          </w:p>
          <w:p w14:paraId="60DC1D74">
            <w:pPr>
              <w:pStyle w:val="51"/>
              <w:shd w:val="clear"/>
              <w:jc w:val="center"/>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ar-SA"/>
              </w:rPr>
              <w:t>（</w:t>
            </w:r>
            <w:r>
              <w:rPr>
                <w:rFonts w:hint="eastAsia" w:ascii="仿宋" w:hAnsi="仿宋" w:eastAsia="仿宋" w:cs="仿宋"/>
                <w:color w:val="auto"/>
                <w:sz w:val="21"/>
                <w:szCs w:val="21"/>
                <w:highlight w:val="none"/>
                <w:lang w:val="en-US" w:eastAsia="zh-CN" w:bidi="ar-SA"/>
              </w:rPr>
              <w:t>20分</w:t>
            </w:r>
            <w:r>
              <w:rPr>
                <w:rFonts w:hint="eastAsia" w:ascii="仿宋" w:hAnsi="仿宋" w:eastAsia="仿宋" w:cs="仿宋"/>
                <w:color w:val="auto"/>
                <w:sz w:val="21"/>
                <w:szCs w:val="21"/>
                <w:highlight w:val="none"/>
                <w:lang w:val="zh-CN" w:eastAsia="zh-CN" w:bidi="ar-SA"/>
              </w:rPr>
              <w:t>）</w:t>
            </w:r>
          </w:p>
        </w:tc>
        <w:tc>
          <w:tcPr>
            <w:tcW w:w="7153" w:type="dxa"/>
            <w:tcBorders>
              <w:bottom w:val="single" w:color="auto" w:sz="4" w:space="0"/>
            </w:tcBorders>
            <w:shd w:val="clear" w:color="auto" w:fill="auto"/>
            <w:noWrap/>
            <w:vAlign w:val="center"/>
          </w:tcPr>
          <w:p w14:paraId="376B14F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所投产品参数技术要求中所有条款逐条响应（附详细的响应技术方案及证明材料）完全符合采购文件要求的</w:t>
            </w:r>
          </w:p>
          <w:p w14:paraId="479B74FA">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满足所有技术参数指标得</w:t>
            </w:r>
            <w:r>
              <w:rPr>
                <w:rFonts w:hint="eastAsia" w:ascii="仿宋" w:hAnsi="仿宋" w:eastAsia="仿宋" w:cs="仿宋"/>
                <w:sz w:val="21"/>
                <w:szCs w:val="21"/>
                <w:highlight w:val="none"/>
                <w:lang w:val="en-US" w:eastAsia="zh-CN"/>
              </w:rPr>
              <w:t>满分20</w:t>
            </w:r>
            <w:r>
              <w:rPr>
                <w:rFonts w:hint="eastAsia" w:ascii="仿宋" w:hAnsi="仿宋" w:eastAsia="仿宋" w:cs="仿宋"/>
                <w:sz w:val="21"/>
                <w:szCs w:val="21"/>
                <w:highlight w:val="none"/>
                <w:lang w:val="zh-CN" w:eastAsia="zh-CN"/>
              </w:rPr>
              <w:t>分；</w:t>
            </w:r>
          </w:p>
          <w:p w14:paraId="56348165">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技术指标中</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项为重要指标，每条</w:t>
            </w:r>
            <w:r>
              <w:rPr>
                <w:rFonts w:hint="eastAsia" w:ascii="仿宋" w:hAnsi="仿宋" w:eastAsia="仿宋" w:cs="仿宋"/>
                <w:sz w:val="21"/>
                <w:szCs w:val="21"/>
                <w:highlight w:val="none"/>
                <w:lang w:val="zh-CN" w:eastAsia="en-US"/>
              </w:rPr>
              <w:t>▲</w:t>
            </w:r>
            <w:r>
              <w:rPr>
                <w:rFonts w:hint="eastAsia" w:ascii="仿宋" w:hAnsi="仿宋" w:eastAsia="仿宋" w:cs="仿宋"/>
                <w:sz w:val="21"/>
                <w:szCs w:val="21"/>
                <w:highlight w:val="none"/>
                <w:lang w:val="zh-CN" w:eastAsia="zh-CN"/>
              </w:rPr>
              <w:t>项指标出现负偏离扣</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共有5条</w:t>
            </w:r>
            <w:bookmarkStart w:id="52" w:name="OLE_LINK8"/>
            <w:r>
              <w:rPr>
                <w:rFonts w:hint="eastAsia" w:ascii="仿宋" w:hAnsi="仿宋" w:eastAsia="仿宋" w:cs="仿宋"/>
                <w:sz w:val="21"/>
                <w:szCs w:val="21"/>
                <w:highlight w:val="none"/>
                <w:lang w:val="zh-CN" w:eastAsia="en-US"/>
              </w:rPr>
              <w:t>▲</w:t>
            </w:r>
            <w:bookmarkEnd w:id="52"/>
            <w:r>
              <w:rPr>
                <w:rFonts w:hint="eastAsia" w:ascii="仿宋" w:hAnsi="仿宋" w:eastAsia="仿宋" w:cs="仿宋"/>
                <w:sz w:val="21"/>
                <w:szCs w:val="21"/>
                <w:highlight w:val="none"/>
                <w:lang w:val="en-US" w:eastAsia="zh-CN"/>
              </w:rPr>
              <w:t>项重要指标，</w:t>
            </w:r>
            <w:r>
              <w:rPr>
                <w:rFonts w:hint="eastAsia" w:ascii="仿宋" w:hAnsi="仿宋" w:eastAsia="仿宋" w:cs="仿宋"/>
                <w:sz w:val="21"/>
                <w:szCs w:val="21"/>
                <w:highlight w:val="none"/>
                <w:lang w:val="zh-CN" w:eastAsia="zh-CN"/>
              </w:rPr>
              <w:t>扣完为止；</w:t>
            </w:r>
          </w:p>
          <w:p w14:paraId="4F909E8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（提供检测报告或截图或产品说明书等相关证明材料）</w:t>
            </w:r>
          </w:p>
          <w:p w14:paraId="6652B5AF">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注：负偏离是指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w:t>
            </w:r>
          </w:p>
          <w:p w14:paraId="4AF42F4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①所提供技术参数（指标要求）低于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lang w:val="zh-CN" w:eastAsia="zh-CN"/>
              </w:rPr>
              <w:t>文件要求的，视为负偏离；</w:t>
            </w:r>
          </w:p>
          <w:p w14:paraId="17CD4B73">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②技术参数响应条款（以投标文件内技术偏离表为准）与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lang w:val="zh-CN" w:eastAsia="zh-CN"/>
              </w:rPr>
              <w:t>文件对比有缺项、漏项的，视为负偏离；</w:t>
            </w:r>
          </w:p>
          <w:p w14:paraId="3AE68BC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③投标人提供的投标文件中采购需求偏离表、产品技术规格书和产品检测报告、产品功能截图、产品说明内描述的同一产品技术参数响应值不一致的，视为负偏离。</w:t>
            </w:r>
          </w:p>
        </w:tc>
      </w:tr>
      <w:tr w14:paraId="62EA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3" w:hRule="atLeast"/>
        </w:trPr>
        <w:tc>
          <w:tcPr>
            <w:tcW w:w="641" w:type="dxa"/>
            <w:vMerge w:val="continue"/>
            <w:shd w:val="clear" w:color="auto" w:fill="auto"/>
            <w:noWrap/>
            <w:vAlign w:val="center"/>
          </w:tcPr>
          <w:p w14:paraId="3ED93185">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06591D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项目实施</w:t>
            </w:r>
          </w:p>
          <w:p w14:paraId="04A5CF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方案</w:t>
            </w:r>
          </w:p>
          <w:p w14:paraId="3F80E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674C4096">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所投产品详细的产品、运送、安装调试计划及实施各阶段的人员配备情况、重点，难点及展示亮点进行准确挖掘。</w:t>
            </w:r>
          </w:p>
          <w:p w14:paraId="219F84D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en-US" w:eastAsia="zh-CN"/>
              </w:rPr>
              <w:t>内容包含但不限于</w:t>
            </w:r>
            <w:r>
              <w:rPr>
                <w:rFonts w:hint="eastAsia" w:ascii="仿宋" w:hAnsi="仿宋" w:eastAsia="仿宋" w:cs="仿宋"/>
                <w:sz w:val="21"/>
                <w:szCs w:val="21"/>
                <w:highlight w:val="none"/>
                <w:lang w:val="zh-CN" w:eastAsia="zh-CN"/>
              </w:rPr>
              <w:t>：</w:t>
            </w:r>
          </w:p>
          <w:p w14:paraId="684537C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①供货流程安排；</w:t>
            </w:r>
          </w:p>
          <w:p w14:paraId="78B87654">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②供货时间安排；</w:t>
            </w:r>
          </w:p>
          <w:p w14:paraId="4453EF1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③供货渠道、退换货方案；</w:t>
            </w:r>
          </w:p>
          <w:p w14:paraId="3AC9A0A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④验收方案。</w:t>
            </w:r>
          </w:p>
          <w:p w14:paraId="4D28C67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根据所提供内容进行评分，</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提供上述一项内容得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w:t>
            </w:r>
            <w:r>
              <w:rPr>
                <w:rFonts w:hint="eastAsia" w:ascii="仿宋" w:hAnsi="仿宋" w:eastAsia="仿宋" w:cs="仿宋"/>
                <w:sz w:val="21"/>
                <w:szCs w:val="21"/>
                <w:highlight w:val="none"/>
                <w:lang w:val="zh-CN" w:eastAsia="zh-CN"/>
              </w:rPr>
              <w:t>，提供的内容</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有一处存在缺陷的扣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未提供不得分。</w:t>
            </w:r>
          </w:p>
          <w:p w14:paraId="6E045822">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zh-CN" w:eastAsia="zh-CN"/>
              </w:rPr>
              <w:t>（缺陷是指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6CC9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5" w:hRule="atLeast"/>
        </w:trPr>
        <w:tc>
          <w:tcPr>
            <w:tcW w:w="641" w:type="dxa"/>
            <w:vMerge w:val="continue"/>
            <w:shd w:val="clear" w:color="auto" w:fill="auto"/>
            <w:noWrap/>
            <w:vAlign w:val="center"/>
          </w:tcPr>
          <w:p w14:paraId="6F083BCC">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6014327B">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质量保证</w:t>
            </w:r>
          </w:p>
          <w:p w14:paraId="2B0466E4">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（8分）</w:t>
            </w:r>
          </w:p>
        </w:tc>
        <w:tc>
          <w:tcPr>
            <w:tcW w:w="7153" w:type="dxa"/>
            <w:tcBorders>
              <w:bottom w:val="single" w:color="auto" w:sz="4" w:space="0"/>
            </w:tcBorders>
            <w:shd w:val="clear" w:color="auto" w:fill="auto"/>
            <w:noWrap/>
            <w:vAlign w:val="center"/>
          </w:tcPr>
          <w:p w14:paraId="13CA9AB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en-US" w:eastAsia="zh-CN"/>
              </w:rPr>
              <w:t>提供的</w:t>
            </w:r>
            <w:r>
              <w:rPr>
                <w:rFonts w:hint="eastAsia" w:ascii="仿宋" w:hAnsi="仿宋" w:eastAsia="仿宋" w:cs="仿宋"/>
                <w:sz w:val="21"/>
                <w:szCs w:val="21"/>
                <w:highlight w:val="none"/>
                <w:lang w:val="zh-CN" w:eastAsia="zh-CN"/>
              </w:rPr>
              <w:t>质量保证措施方案</w:t>
            </w:r>
            <w:r>
              <w:rPr>
                <w:rFonts w:hint="eastAsia" w:ascii="仿宋" w:hAnsi="仿宋" w:eastAsia="仿宋" w:cs="仿宋"/>
                <w:sz w:val="21"/>
                <w:szCs w:val="21"/>
                <w:highlight w:val="none"/>
                <w:lang w:val="en-US" w:eastAsia="zh-CN"/>
              </w:rPr>
              <w:t>内容包含但不限于</w:t>
            </w:r>
            <w:r>
              <w:rPr>
                <w:rFonts w:hint="eastAsia" w:ascii="仿宋" w:hAnsi="仿宋" w:eastAsia="仿宋" w:cs="仿宋"/>
                <w:sz w:val="21"/>
                <w:szCs w:val="21"/>
                <w:highlight w:val="none"/>
                <w:lang w:val="zh-CN" w:eastAsia="zh-CN"/>
              </w:rPr>
              <w:t>：</w:t>
            </w:r>
          </w:p>
          <w:p w14:paraId="3D5C986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①质量保证的标准；</w:t>
            </w:r>
          </w:p>
          <w:p w14:paraId="1331B2C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②质量管理方法；</w:t>
            </w:r>
          </w:p>
          <w:p w14:paraId="75DB21F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③质量保障措施；</w:t>
            </w:r>
          </w:p>
          <w:p w14:paraId="137DF0A9">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④质量管理程序制度。</w:t>
            </w:r>
          </w:p>
          <w:p w14:paraId="430172FB">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提供一项内容得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eastAsia="zh-CN"/>
              </w:rPr>
              <w:t>分，本项满分</w:t>
            </w:r>
            <w:r>
              <w:rPr>
                <w:rFonts w:hint="eastAsia" w:ascii="仿宋" w:hAnsi="仿宋" w:eastAsia="仿宋" w:cs="仿宋"/>
                <w:sz w:val="21"/>
                <w:szCs w:val="21"/>
                <w:highlight w:val="none"/>
                <w:lang w:val="en-US" w:eastAsia="zh-CN"/>
              </w:rPr>
              <w:t>8分</w:t>
            </w:r>
            <w:r>
              <w:rPr>
                <w:rFonts w:hint="eastAsia" w:ascii="仿宋" w:hAnsi="仿宋" w:eastAsia="仿宋" w:cs="仿宋"/>
                <w:sz w:val="21"/>
                <w:szCs w:val="21"/>
                <w:highlight w:val="none"/>
                <w:lang w:val="zh-CN" w:eastAsia="zh-CN"/>
              </w:rPr>
              <w:t>，提供的内容</w:t>
            </w:r>
            <w:r>
              <w:rPr>
                <w:rFonts w:hint="eastAsia" w:ascii="仿宋" w:hAnsi="仿宋" w:eastAsia="仿宋" w:cs="仿宋"/>
                <w:sz w:val="21"/>
                <w:szCs w:val="21"/>
                <w:highlight w:val="none"/>
                <w:lang w:val="en-US" w:eastAsia="zh-CN"/>
              </w:rPr>
              <w:t>每</w:t>
            </w:r>
            <w:r>
              <w:rPr>
                <w:rFonts w:hint="eastAsia" w:ascii="仿宋" w:hAnsi="仿宋" w:eastAsia="仿宋" w:cs="仿宋"/>
                <w:sz w:val="21"/>
                <w:szCs w:val="21"/>
                <w:highlight w:val="none"/>
                <w:lang w:val="zh-CN" w:eastAsia="zh-CN"/>
              </w:rPr>
              <w:t>存在一处缺陷的扣</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eastAsia="zh-CN"/>
              </w:rPr>
              <w:t>分</w:t>
            </w:r>
            <w:r>
              <w:rPr>
                <w:rFonts w:hint="eastAsia" w:ascii="仿宋" w:hAnsi="仿宋" w:eastAsia="仿宋" w:cs="仿宋"/>
                <w:sz w:val="21"/>
                <w:szCs w:val="21"/>
                <w:highlight w:val="none"/>
                <w:lang w:val="en-US" w:eastAsia="zh-CN"/>
              </w:rPr>
              <w:t>，扣完为止，</w:t>
            </w:r>
            <w:r>
              <w:rPr>
                <w:rFonts w:hint="eastAsia" w:ascii="仿宋" w:hAnsi="仿宋" w:eastAsia="仿宋" w:cs="仿宋"/>
                <w:sz w:val="21"/>
                <w:szCs w:val="21"/>
                <w:highlight w:val="none"/>
                <w:lang w:val="zh-CN" w:eastAsia="zh-CN"/>
              </w:rPr>
              <w:t>未提供不得分。（缺陷是指</w:t>
            </w:r>
            <w:r>
              <w:rPr>
                <w:rFonts w:hint="eastAsia" w:ascii="仿宋" w:hAnsi="仿宋" w:eastAsia="仿宋" w:cs="仿宋"/>
                <w:sz w:val="21"/>
                <w:szCs w:val="21"/>
                <w:highlight w:val="none"/>
                <w:lang w:val="en-US" w:eastAsia="zh-CN"/>
              </w:rPr>
              <w:t>以下任一情形</w:t>
            </w:r>
            <w:r>
              <w:rPr>
                <w:rFonts w:hint="eastAsia" w:ascii="仿宋" w:hAnsi="仿宋" w:eastAsia="仿宋" w:cs="仿宋"/>
                <w:sz w:val="21"/>
                <w:szCs w:val="21"/>
                <w:highlight w:val="none"/>
                <w:lang w:val="zh-CN"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A205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2" w:hRule="atLeast"/>
        </w:trPr>
        <w:tc>
          <w:tcPr>
            <w:tcW w:w="641" w:type="dxa"/>
            <w:vMerge w:val="continue"/>
            <w:shd w:val="clear" w:color="auto" w:fill="auto"/>
            <w:noWrap/>
            <w:vAlign w:val="center"/>
          </w:tcPr>
          <w:p w14:paraId="740AC4DF">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362A7D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培训方案</w:t>
            </w:r>
          </w:p>
          <w:p w14:paraId="736E64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4分</w:t>
            </w:r>
            <w:r>
              <w:rPr>
                <w:rFonts w:hint="eastAsia" w:ascii="仿宋" w:hAnsi="仿宋" w:eastAsia="仿宋" w:cs="仿宋"/>
                <w:color w:val="auto"/>
                <w:sz w:val="21"/>
                <w:szCs w:val="21"/>
                <w:highlight w:val="none"/>
                <w:lang w:eastAsia="zh-CN"/>
              </w:rPr>
              <w:t>）</w:t>
            </w:r>
          </w:p>
        </w:tc>
        <w:tc>
          <w:tcPr>
            <w:tcW w:w="7153" w:type="dxa"/>
            <w:tcBorders>
              <w:bottom w:val="single" w:color="auto" w:sz="4" w:space="0"/>
            </w:tcBorders>
            <w:shd w:val="clear" w:color="auto" w:fill="auto"/>
            <w:noWrap/>
            <w:vAlign w:val="center"/>
          </w:tcPr>
          <w:p w14:paraId="2DFD7B5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提供的培训方案内容包含但不限于：</w:t>
            </w:r>
          </w:p>
          <w:p w14:paraId="42D0DA9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①培训计划；</w:t>
            </w:r>
          </w:p>
          <w:p w14:paraId="37EDA97C">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②培训目标。</w:t>
            </w:r>
          </w:p>
          <w:p w14:paraId="59A2955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每提供上述一项内容的得2分，本项满分4分，提供的内容每有一处存在缺陷的扣1分，扣完为止，未提供不得分。(内容存在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390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trPr>
        <w:tc>
          <w:tcPr>
            <w:tcW w:w="641" w:type="dxa"/>
            <w:vMerge w:val="continue"/>
            <w:shd w:val="clear" w:color="auto" w:fill="auto"/>
            <w:noWrap/>
            <w:vAlign w:val="center"/>
          </w:tcPr>
          <w:p w14:paraId="0B952B67">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3EE10C70">
            <w:pPr>
              <w:pStyle w:val="51"/>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应急服务</w:t>
            </w:r>
          </w:p>
          <w:p w14:paraId="45D4D448">
            <w:pPr>
              <w:pStyle w:val="51"/>
              <w:jc w:val="center"/>
              <w:rPr>
                <w:rFonts w:hint="eastAsia" w:ascii="仿宋" w:hAnsi="仿宋" w:eastAsia="仿宋" w:cs="仿宋"/>
                <w:color w:val="auto"/>
                <w:sz w:val="21"/>
                <w:szCs w:val="21"/>
                <w:highlight w:val="none"/>
                <w:lang w:val="en-US" w:eastAsia="zh-CN" w:bidi="zh-CN"/>
              </w:rPr>
            </w:pPr>
            <w:r>
              <w:rPr>
                <w:rFonts w:hint="eastAsia" w:ascii="仿宋" w:hAnsi="仿宋" w:eastAsia="仿宋" w:cs="仿宋"/>
                <w:color w:val="auto"/>
                <w:kern w:val="0"/>
                <w:sz w:val="21"/>
                <w:szCs w:val="21"/>
                <w:highlight w:val="none"/>
                <w:lang w:val="en-US" w:eastAsia="zh-CN" w:bidi="ar-SA"/>
              </w:rPr>
              <w:t>（9分）</w:t>
            </w:r>
          </w:p>
        </w:tc>
        <w:tc>
          <w:tcPr>
            <w:tcW w:w="7153" w:type="dxa"/>
            <w:shd w:val="clear" w:color="auto" w:fill="auto"/>
            <w:noWrap/>
            <w:vAlign w:val="center"/>
          </w:tcPr>
          <w:p w14:paraId="6D0E95E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提供的应急服务方案内容包含但不限于：</w:t>
            </w:r>
          </w:p>
          <w:p w14:paraId="39B6F86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①故障处理；</w:t>
            </w:r>
          </w:p>
          <w:p w14:paraId="676C7BB7">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②应急程序；</w:t>
            </w:r>
          </w:p>
          <w:p w14:paraId="540D90B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③安全保障。</w:t>
            </w:r>
          </w:p>
          <w:p w14:paraId="5250EE6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方案内容进行评分，每提供上述一项内容得3分，本项满分9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704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3" w:hRule="atLeast"/>
        </w:trPr>
        <w:tc>
          <w:tcPr>
            <w:tcW w:w="641" w:type="dxa"/>
            <w:vMerge w:val="continue"/>
            <w:shd w:val="clear" w:color="auto" w:fill="auto"/>
            <w:noWrap/>
            <w:vAlign w:val="center"/>
          </w:tcPr>
          <w:p w14:paraId="236C846A">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p>
        </w:tc>
        <w:tc>
          <w:tcPr>
            <w:tcW w:w="1148" w:type="dxa"/>
            <w:shd w:val="clear" w:color="auto" w:fill="auto"/>
            <w:noWrap/>
            <w:vAlign w:val="center"/>
          </w:tcPr>
          <w:p w14:paraId="12ACFABB">
            <w:pPr>
              <w:numPr>
                <w:ilvl w:val="0"/>
                <w:numId w:val="0"/>
              </w:numPr>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售后服务</w:t>
            </w:r>
          </w:p>
          <w:p w14:paraId="4DBA695C">
            <w:pPr>
              <w:numPr>
                <w:ilvl w:val="0"/>
                <w:numId w:val="0"/>
              </w:numPr>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（10分）</w:t>
            </w:r>
          </w:p>
        </w:tc>
        <w:tc>
          <w:tcPr>
            <w:tcW w:w="7153" w:type="dxa"/>
            <w:shd w:val="clear" w:color="auto" w:fill="auto"/>
            <w:noWrap/>
            <w:vAlign w:val="center"/>
          </w:tcPr>
          <w:p w14:paraId="43241B0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bookmarkStart w:id="389" w:name="_GoBack"/>
            <w:r>
              <w:rPr>
                <w:rFonts w:hint="eastAsia" w:ascii="仿宋" w:hAnsi="仿宋" w:eastAsia="仿宋" w:cs="仿宋"/>
                <w:sz w:val="21"/>
                <w:szCs w:val="21"/>
                <w:highlight w:val="none"/>
                <w:lang w:val="en-US" w:eastAsia="zh-CN"/>
              </w:rPr>
              <w:t>根据投标人提供的售后服务方案内容进行综合评审。售后服务方案内容包含但不限于：</w:t>
            </w:r>
          </w:p>
          <w:p w14:paraId="26589251">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①售后服务方案及承诺；</w:t>
            </w:r>
          </w:p>
          <w:p w14:paraId="127873F0">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②响应及处理完毕时间；</w:t>
            </w:r>
          </w:p>
          <w:p w14:paraId="40F0BA3D">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③售后服务流程（包括故障处理、上门维护、紧急维护、重要服务、电话回访维护等）；</w:t>
            </w:r>
          </w:p>
          <w:p w14:paraId="0D24CE9E">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④售后应急预案（包括人员安排、车辆安排等）；</w:t>
            </w:r>
          </w:p>
          <w:p w14:paraId="231FB308">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⑤售后服务记录（包括服务报告、质量考核评估、满意度调查、电话回访记录）。</w:t>
            </w:r>
          </w:p>
          <w:p w14:paraId="6130243F">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sz w:val="21"/>
                <w:szCs w:val="21"/>
                <w:highlight w:val="none"/>
                <w:lang w:val="en-US" w:eastAsia="zh-CN"/>
              </w:rPr>
              <w:t>每提供上述一项内容得2分，本项满分10分，提供的内容每有一处存在缺陷的扣1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bookmarkEnd w:id="389"/>
            <w:r>
              <w:rPr>
                <w:rFonts w:hint="eastAsia" w:ascii="仿宋" w:hAnsi="仿宋" w:eastAsia="仿宋" w:cs="仿宋"/>
                <w:sz w:val="21"/>
                <w:szCs w:val="21"/>
                <w:highlight w:val="none"/>
                <w:lang w:val="en-US" w:eastAsia="zh-CN"/>
              </w:rPr>
              <w:t>）</w:t>
            </w:r>
          </w:p>
        </w:tc>
      </w:tr>
      <w:tr w14:paraId="16C1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2" w:hRule="atLeast"/>
        </w:trPr>
        <w:tc>
          <w:tcPr>
            <w:tcW w:w="641" w:type="dxa"/>
            <w:vMerge w:val="continue"/>
            <w:shd w:val="clear" w:color="auto" w:fill="auto"/>
            <w:noWrap/>
            <w:vAlign w:val="center"/>
          </w:tcPr>
          <w:p w14:paraId="750DEA20">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148" w:type="dxa"/>
            <w:shd w:val="clear" w:color="auto" w:fill="auto"/>
            <w:noWrap/>
            <w:vAlign w:val="center"/>
          </w:tcPr>
          <w:p w14:paraId="77597C0B">
            <w:pPr>
              <w:pStyle w:val="29"/>
              <w:keepNext w:val="0"/>
              <w:keepLines w:val="0"/>
              <w:pageBreakBefore w:val="0"/>
              <w:widowControl w:val="0"/>
              <w:kinsoku/>
              <w:wordWrap/>
              <w:overflowPunct/>
              <w:topLinePunct w:val="0"/>
              <w:bidi w:val="0"/>
              <w:adjustRightInd w:val="0"/>
              <w:snapToGrid w:val="0"/>
              <w:spacing w:before="16"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7153" w:type="dxa"/>
            <w:shd w:val="clear" w:color="auto" w:fill="auto"/>
            <w:noWrap/>
            <w:vAlign w:val="center"/>
          </w:tcPr>
          <w:p w14:paraId="7FD2DD4B">
            <w:pPr>
              <w:pStyle w:val="29"/>
              <w:keepNext w:val="0"/>
              <w:keepLines w:val="0"/>
              <w:pageBreakBefore w:val="0"/>
              <w:widowControl w:val="0"/>
              <w:kinsoku/>
              <w:wordWrap/>
              <w:overflowPunct/>
              <w:topLinePunct w:val="0"/>
              <w:bidi w:val="0"/>
              <w:adjustRightInd w:val="0"/>
              <w:snapToGrid w:val="0"/>
              <w:spacing w:before="16" w:line="240" w:lineRule="auto"/>
              <w:ind w:firstLine="210" w:firstLineChars="1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100分</w:t>
            </w:r>
          </w:p>
        </w:tc>
      </w:tr>
      <w:tr w14:paraId="707BC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1" w:hRule="atLeast"/>
        </w:trPr>
        <w:tc>
          <w:tcPr>
            <w:tcW w:w="8942" w:type="dxa"/>
            <w:gridSpan w:val="3"/>
            <w:shd w:val="clear" w:color="auto" w:fill="auto"/>
            <w:noWrap/>
            <w:vAlign w:val="center"/>
          </w:tcPr>
          <w:p w14:paraId="48ACC866">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合计100分，投标人总得分=报价部分得分+商务</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得分+技术</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w:t>
            </w:r>
          </w:p>
          <w:p w14:paraId="405BCD50">
            <w:pPr>
              <w:keepNext w:val="0"/>
              <w:keepLines w:val="0"/>
              <w:pageBreakBefore w:val="0"/>
              <w:widowControl w:val="0"/>
              <w:kinsoku/>
              <w:wordWrap/>
              <w:overflowPunct/>
              <w:topLinePunct w:val="0"/>
              <w:bidi w:val="0"/>
              <w:adjustRightInd w:val="0"/>
              <w:snapToGrid w:val="0"/>
              <w:spacing w:before="1" w:line="240" w:lineRule="auto"/>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注：1.评分计算结果保留两位小数，第</w:t>
            </w:r>
            <w:r>
              <w:rPr>
                <w:rFonts w:hint="eastAsia" w:ascii="仿宋" w:hAnsi="仿宋" w:eastAsia="仿宋" w:cs="仿宋"/>
                <w:color w:val="auto"/>
                <w:sz w:val="21"/>
                <w:szCs w:val="21"/>
                <w:highlight w:val="none"/>
                <w:lang w:val="zh-CN" w:bidi="zh-CN"/>
              </w:rPr>
              <w:t>三位小数四舍五入。</w:t>
            </w:r>
          </w:p>
          <w:p w14:paraId="3397CBE5">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2.</w:t>
            </w:r>
            <w:r>
              <w:rPr>
                <w:rFonts w:hint="eastAsia" w:ascii="仿宋" w:hAnsi="仿宋" w:eastAsia="仿宋" w:cs="仿宋"/>
                <w:color w:val="auto"/>
                <w:sz w:val="21"/>
                <w:szCs w:val="21"/>
                <w:highlight w:val="none"/>
                <w:lang w:val="zh-CN" w:bidi="zh-CN"/>
              </w:rPr>
              <w:t>评标过程中，不得去掉报价中的最高报价和最低报价。</w:t>
            </w:r>
          </w:p>
          <w:p w14:paraId="7C0F9799">
            <w:pPr>
              <w:keepNext w:val="0"/>
              <w:keepLines w:val="0"/>
              <w:pageBreakBefore w:val="0"/>
              <w:widowControl w:val="0"/>
              <w:kinsoku/>
              <w:wordWrap/>
              <w:overflowPunct/>
              <w:topLinePunct w:val="0"/>
              <w:bidi w:val="0"/>
              <w:adjustRightInd w:val="0"/>
              <w:snapToGrid w:val="0"/>
              <w:spacing w:before="1" w:line="24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zh-CN"/>
              </w:rPr>
              <w:t>3.详细评审分值为所有评委评分之和的平均值，详细评审分值不得去掉最高评分和最低评分。</w:t>
            </w:r>
          </w:p>
        </w:tc>
      </w:tr>
    </w:tbl>
    <w:p w14:paraId="177248FA">
      <w:pPr>
        <w:pStyle w:val="32"/>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1.</w:t>
      </w:r>
      <w:r>
        <w:rPr>
          <w:rFonts w:hint="eastAsia" w:ascii="仿宋" w:hAnsi="仿宋" w:eastAsia="仿宋" w:cs="仿宋"/>
          <w:b/>
          <w:bCs/>
          <w:highlight w:val="none"/>
          <w:lang w:val="zh-CN"/>
        </w:rPr>
        <w:t>供应商的最终得分为</w:t>
      </w:r>
      <w:r>
        <w:rPr>
          <w:rFonts w:hint="eastAsia" w:ascii="仿宋" w:hAnsi="仿宋" w:eastAsia="仿宋" w:cs="仿宋"/>
          <w:b/>
          <w:bCs/>
          <w:highlight w:val="none"/>
        </w:rPr>
        <w:t>报价</w:t>
      </w:r>
      <w:r>
        <w:rPr>
          <w:rFonts w:hint="eastAsia" w:ascii="仿宋" w:hAnsi="仿宋" w:eastAsia="仿宋" w:cs="仿宋"/>
          <w:b/>
          <w:bCs/>
          <w:highlight w:val="none"/>
          <w:lang w:val="zh-CN"/>
        </w:rPr>
        <w:t>、商务、技术标得分之和。</w:t>
      </w:r>
    </w:p>
    <w:p w14:paraId="240C7090">
      <w:pPr>
        <w:pStyle w:val="32"/>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2.</w:t>
      </w:r>
      <w:r>
        <w:rPr>
          <w:rFonts w:hint="eastAsia" w:ascii="仿宋" w:hAnsi="仿宋" w:eastAsia="仿宋" w:cs="仿宋"/>
          <w:b/>
          <w:bCs/>
          <w:highlight w:val="none"/>
          <w:lang w:val="zh-CN"/>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D567E17">
      <w:pPr>
        <w:pStyle w:val="32"/>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b/>
          <w:bCs/>
          <w:highlight w:val="none"/>
          <w:lang w:val="zh-CN"/>
        </w:rPr>
      </w:pPr>
      <w:r>
        <w:rPr>
          <w:rFonts w:hint="eastAsia" w:ascii="仿宋" w:hAnsi="仿宋" w:eastAsia="仿宋" w:cs="仿宋"/>
          <w:b/>
          <w:bCs/>
          <w:highlight w:val="none"/>
          <w:lang w:val="en-US" w:eastAsia="zh-CN"/>
        </w:rPr>
        <w:t>3.</w:t>
      </w:r>
      <w:r>
        <w:rPr>
          <w:rFonts w:hint="eastAsia" w:ascii="仿宋" w:hAnsi="仿宋" w:eastAsia="仿宋" w:cs="仿宋"/>
          <w:b/>
          <w:bCs/>
          <w:highlight w:val="none"/>
          <w:lang w:val="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3D2F008">
      <w:pPr>
        <w:pStyle w:val="32"/>
        <w:keepNext w:val="0"/>
        <w:keepLines w:val="0"/>
        <w:pageBreakBefore w:val="0"/>
        <w:widowControl w:val="0"/>
        <w:kinsoku/>
        <w:wordWrap/>
        <w:overflowPunct/>
        <w:topLinePunct w:val="0"/>
        <w:autoSpaceDE w:val="0"/>
        <w:autoSpaceDN w:val="0"/>
        <w:bidi w:val="0"/>
        <w:adjustRightInd w:val="0"/>
        <w:snapToGrid/>
        <w:spacing w:line="420" w:lineRule="exact"/>
        <w:ind w:firstLine="420"/>
        <w:textAlignment w:val="auto"/>
        <w:rPr>
          <w:rFonts w:hint="eastAsia" w:ascii="仿宋" w:hAnsi="仿宋" w:eastAsia="仿宋" w:cs="仿宋"/>
          <w:highlight w:val="none"/>
          <w:lang w:val="zh-CN"/>
        </w:rPr>
      </w:pPr>
      <w:r>
        <w:rPr>
          <w:rFonts w:hint="eastAsia" w:ascii="仿宋" w:hAnsi="仿宋" w:eastAsia="仿宋" w:cs="仿宋"/>
          <w:b/>
          <w:bCs/>
          <w:highlight w:val="none"/>
          <w:lang w:val="en-US" w:eastAsia="zh-CN"/>
        </w:rPr>
        <w:t>4.</w:t>
      </w:r>
      <w:r>
        <w:rPr>
          <w:rFonts w:hint="eastAsia" w:ascii="仿宋" w:hAnsi="仿宋" w:eastAsia="仿宋" w:cs="仿宋"/>
          <w:b/>
          <w:bCs/>
          <w:highlight w:val="none"/>
          <w:lang w:val="zh-CN"/>
        </w:rPr>
        <w:t>在任何评标环节中，需评标委员会就某项评审结论做出表决的，由评标委员会全体成员按照少数服从多数的原则，以记名投票方式表决。</w:t>
      </w:r>
    </w:p>
    <w:p w14:paraId="7E3A3F5D">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rPr>
      </w:pPr>
      <w:bookmarkStart w:id="53" w:name="_Toc14983"/>
      <w:bookmarkStart w:id="54" w:name="_Toc9283"/>
      <w:bookmarkStart w:id="55" w:name="_Toc17037"/>
      <w:bookmarkStart w:id="56" w:name="_Toc17124"/>
      <w:bookmarkStart w:id="57" w:name="_Toc23862"/>
      <w:bookmarkStart w:id="58" w:name="_Toc11960"/>
      <w:bookmarkStart w:id="59" w:name="_Toc20107"/>
      <w:bookmarkStart w:id="60" w:name="_Toc7101"/>
      <w:bookmarkStart w:id="61" w:name="_Toc16345"/>
      <w:bookmarkStart w:id="62" w:name="_Toc23123"/>
      <w:r>
        <w:rPr>
          <w:rFonts w:hint="eastAsia" w:ascii="仿宋" w:hAnsi="仿宋" w:eastAsia="仿宋" w:cs="仿宋"/>
          <w:b/>
          <w:bCs/>
          <w:sz w:val="32"/>
          <w:szCs w:val="32"/>
          <w:highlight w:val="none"/>
          <w:lang w:val="zh-CN"/>
        </w:rPr>
        <w:t>第四章</w:t>
      </w:r>
      <w:bookmarkEnd w:id="29"/>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53"/>
      <w:bookmarkEnd w:id="54"/>
      <w:bookmarkEnd w:id="55"/>
      <w:bookmarkEnd w:id="56"/>
      <w:bookmarkEnd w:id="57"/>
      <w:bookmarkEnd w:id="58"/>
      <w:bookmarkEnd w:id="59"/>
      <w:bookmarkEnd w:id="60"/>
      <w:bookmarkEnd w:id="61"/>
      <w:bookmarkEnd w:id="62"/>
    </w:p>
    <w:tbl>
      <w:tblPr>
        <w:tblStyle w:val="19"/>
        <w:tblW w:w="8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4197"/>
        <w:gridCol w:w="1012"/>
        <w:gridCol w:w="1200"/>
        <w:gridCol w:w="1073"/>
      </w:tblGrid>
      <w:tr w14:paraId="0E11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D3A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85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A63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数量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05C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0C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所属标段</w:t>
            </w:r>
          </w:p>
        </w:tc>
      </w:tr>
      <w:tr w14:paraId="3C70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0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4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电渗析/双极膜小试设备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F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FD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restart"/>
            <w:tcBorders>
              <w:top w:val="single" w:color="000000" w:sz="4" w:space="0"/>
              <w:left w:val="single" w:color="000000" w:sz="4" w:space="0"/>
              <w:right w:val="single" w:color="000000" w:sz="4" w:space="0"/>
            </w:tcBorders>
            <w:shd w:val="clear" w:color="auto" w:fill="auto"/>
            <w:noWrap/>
            <w:vAlign w:val="center"/>
          </w:tcPr>
          <w:p w14:paraId="122685A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标项</w:t>
            </w:r>
            <w:r>
              <w:rPr>
                <w:rFonts w:hint="eastAsia" w:ascii="仿宋" w:hAnsi="仿宋" w:eastAsia="仿宋" w:cs="仿宋"/>
                <w:i w:val="0"/>
                <w:iCs w:val="0"/>
                <w:color w:val="000000"/>
                <w:sz w:val="21"/>
                <w:szCs w:val="21"/>
                <w:u w:val="none"/>
                <w:lang w:val="en-US" w:eastAsia="zh-CN"/>
              </w:rPr>
              <w:t>1</w:t>
            </w:r>
          </w:p>
        </w:tc>
      </w:tr>
      <w:tr w14:paraId="0F5A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1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7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连续离子交换及色谱分离实验设备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0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9C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7AFD1C5A">
            <w:pPr>
              <w:jc w:val="center"/>
              <w:rPr>
                <w:rFonts w:hint="eastAsia" w:ascii="仿宋" w:hAnsi="仿宋" w:eastAsia="仿宋" w:cs="仿宋"/>
                <w:i w:val="0"/>
                <w:iCs w:val="0"/>
                <w:color w:val="000000"/>
                <w:sz w:val="21"/>
                <w:szCs w:val="21"/>
                <w:u w:val="none"/>
              </w:rPr>
            </w:pPr>
          </w:p>
        </w:tc>
      </w:tr>
      <w:tr w14:paraId="1449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F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多功能卷式膜小试设备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5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5B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1B829BBD">
            <w:pPr>
              <w:jc w:val="center"/>
              <w:rPr>
                <w:rFonts w:hint="eastAsia" w:ascii="仿宋" w:hAnsi="仿宋" w:eastAsia="仿宋" w:cs="仿宋"/>
                <w:i w:val="0"/>
                <w:iCs w:val="0"/>
                <w:color w:val="000000"/>
                <w:sz w:val="21"/>
                <w:szCs w:val="21"/>
                <w:u w:val="none"/>
              </w:rPr>
            </w:pPr>
          </w:p>
        </w:tc>
      </w:tr>
      <w:tr w14:paraId="01D2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8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D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多功能膜实验设备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0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8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4DD0FDB2">
            <w:pPr>
              <w:jc w:val="center"/>
              <w:rPr>
                <w:rFonts w:hint="eastAsia" w:ascii="仿宋" w:hAnsi="仿宋" w:eastAsia="仿宋" w:cs="仿宋"/>
                <w:i w:val="0"/>
                <w:iCs w:val="0"/>
                <w:color w:val="000000"/>
                <w:sz w:val="21"/>
                <w:szCs w:val="21"/>
                <w:u w:val="none"/>
              </w:rPr>
            </w:pPr>
          </w:p>
        </w:tc>
      </w:tr>
      <w:tr w14:paraId="3AB5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3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B1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均质机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3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6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14066898">
            <w:pPr>
              <w:jc w:val="center"/>
              <w:rPr>
                <w:rFonts w:hint="eastAsia" w:ascii="仿宋" w:hAnsi="仿宋" w:eastAsia="仿宋" w:cs="仿宋"/>
                <w:i w:val="0"/>
                <w:iCs w:val="0"/>
                <w:color w:val="000000"/>
                <w:sz w:val="21"/>
                <w:szCs w:val="21"/>
                <w:u w:val="none"/>
              </w:rPr>
            </w:pPr>
          </w:p>
        </w:tc>
      </w:tr>
      <w:tr w14:paraId="18A8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E8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9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65"/>
                <w:rFonts w:hint="eastAsia" w:ascii="仿宋" w:hAnsi="仿宋" w:eastAsia="仿宋" w:cs="仿宋"/>
                <w:sz w:val="21"/>
                <w:szCs w:val="21"/>
                <w:lang w:val="en-US" w:eastAsia="zh-CN" w:bidi="ar"/>
              </w:rPr>
              <w:t>激光粒度仪（含</w:t>
            </w:r>
            <w:r>
              <w:rPr>
                <w:rStyle w:val="66"/>
                <w:rFonts w:hint="eastAsia" w:ascii="仿宋" w:hAnsi="仿宋" w:eastAsia="仿宋" w:cs="仿宋"/>
                <w:sz w:val="21"/>
                <w:szCs w:val="21"/>
                <w:lang w:val="en-US" w:eastAsia="zh-CN" w:bidi="ar"/>
              </w:rPr>
              <w:t xml:space="preserve"> Zeta </w:t>
            </w:r>
            <w:r>
              <w:rPr>
                <w:rStyle w:val="65"/>
                <w:rFonts w:hint="eastAsia" w:ascii="仿宋" w:hAnsi="仿宋" w:eastAsia="仿宋" w:cs="仿宋"/>
                <w:sz w:val="21"/>
                <w:szCs w:val="21"/>
                <w:lang w:val="en-US" w:eastAsia="zh-CN" w:bidi="ar"/>
              </w:rPr>
              <w:t>电位）</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68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A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0DAD5085">
            <w:pPr>
              <w:jc w:val="center"/>
              <w:rPr>
                <w:rFonts w:hint="eastAsia" w:ascii="仿宋" w:hAnsi="仿宋" w:eastAsia="仿宋" w:cs="仿宋"/>
                <w:i w:val="0"/>
                <w:iCs w:val="0"/>
                <w:color w:val="000000"/>
                <w:sz w:val="21"/>
                <w:szCs w:val="21"/>
                <w:u w:val="none"/>
              </w:rPr>
            </w:pPr>
          </w:p>
        </w:tc>
      </w:tr>
      <w:tr w14:paraId="2E25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6C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6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加压流体萃取仪</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7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53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09F39385">
            <w:pPr>
              <w:jc w:val="center"/>
              <w:rPr>
                <w:rFonts w:hint="eastAsia" w:ascii="仿宋" w:hAnsi="仿宋" w:eastAsia="仿宋" w:cs="仿宋"/>
                <w:i w:val="0"/>
                <w:iCs w:val="0"/>
                <w:color w:val="000000"/>
                <w:sz w:val="21"/>
                <w:szCs w:val="21"/>
                <w:u w:val="none"/>
              </w:rPr>
            </w:pPr>
          </w:p>
        </w:tc>
      </w:tr>
      <w:tr w14:paraId="004B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4E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8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冷冻离心浓缩仪</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8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5D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6005FA5D">
            <w:pPr>
              <w:jc w:val="center"/>
              <w:rPr>
                <w:rFonts w:hint="eastAsia" w:ascii="仿宋" w:hAnsi="仿宋" w:eastAsia="仿宋" w:cs="仿宋"/>
                <w:i w:val="0"/>
                <w:iCs w:val="0"/>
                <w:color w:val="000000"/>
                <w:sz w:val="21"/>
                <w:szCs w:val="21"/>
                <w:u w:val="none"/>
              </w:rPr>
            </w:pPr>
          </w:p>
        </w:tc>
      </w:tr>
      <w:tr w14:paraId="0DB6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50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2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真空冷冻干燥机（国产）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64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22C9181F">
            <w:pPr>
              <w:jc w:val="center"/>
              <w:rPr>
                <w:rFonts w:hint="eastAsia" w:ascii="仿宋" w:hAnsi="仿宋" w:eastAsia="仿宋" w:cs="仿宋"/>
                <w:i w:val="0"/>
                <w:iCs w:val="0"/>
                <w:color w:val="000000"/>
                <w:sz w:val="21"/>
                <w:szCs w:val="21"/>
                <w:u w:val="none"/>
              </w:rPr>
            </w:pPr>
          </w:p>
        </w:tc>
      </w:tr>
      <w:tr w14:paraId="720D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0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DA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乳成分分析仪（国产）</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4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B5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62DD0EDC">
            <w:pPr>
              <w:jc w:val="center"/>
              <w:rPr>
                <w:rFonts w:hint="eastAsia" w:ascii="仿宋" w:hAnsi="仿宋" w:eastAsia="仿宋" w:cs="仿宋"/>
                <w:i w:val="0"/>
                <w:iCs w:val="0"/>
                <w:color w:val="000000"/>
                <w:sz w:val="21"/>
                <w:szCs w:val="21"/>
                <w:u w:val="none"/>
              </w:rPr>
            </w:pPr>
          </w:p>
        </w:tc>
      </w:tr>
      <w:tr w14:paraId="702B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2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9E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高压均质机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27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A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61572F46">
            <w:pPr>
              <w:jc w:val="center"/>
              <w:rPr>
                <w:rFonts w:hint="eastAsia" w:ascii="仿宋" w:hAnsi="仿宋" w:eastAsia="仿宋" w:cs="仿宋"/>
                <w:i w:val="0"/>
                <w:iCs w:val="0"/>
                <w:color w:val="000000"/>
                <w:sz w:val="21"/>
                <w:szCs w:val="21"/>
                <w:u w:val="none"/>
              </w:rPr>
            </w:pPr>
          </w:p>
        </w:tc>
      </w:tr>
      <w:tr w14:paraId="36CE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86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B5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微波真空干燥机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2E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58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6457AB78">
            <w:pPr>
              <w:jc w:val="center"/>
              <w:rPr>
                <w:rFonts w:hint="eastAsia" w:ascii="仿宋" w:hAnsi="仿宋" w:eastAsia="仿宋" w:cs="仿宋"/>
                <w:i w:val="0"/>
                <w:iCs w:val="0"/>
                <w:color w:val="000000"/>
                <w:sz w:val="21"/>
                <w:szCs w:val="21"/>
                <w:u w:val="none"/>
              </w:rPr>
            </w:pPr>
          </w:p>
        </w:tc>
      </w:tr>
      <w:tr w14:paraId="08E6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A4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8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层析柜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B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81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right w:val="single" w:color="000000" w:sz="4" w:space="0"/>
            </w:tcBorders>
            <w:shd w:val="clear" w:color="auto" w:fill="auto"/>
            <w:noWrap/>
            <w:vAlign w:val="center"/>
          </w:tcPr>
          <w:p w14:paraId="23B775C2">
            <w:pPr>
              <w:jc w:val="center"/>
              <w:rPr>
                <w:rFonts w:hint="eastAsia" w:ascii="仿宋" w:hAnsi="仿宋" w:eastAsia="仿宋" w:cs="仿宋"/>
                <w:i w:val="0"/>
                <w:iCs w:val="0"/>
                <w:color w:val="000000"/>
                <w:sz w:val="21"/>
                <w:szCs w:val="21"/>
                <w:u w:val="none"/>
              </w:rPr>
            </w:pPr>
          </w:p>
        </w:tc>
      </w:tr>
      <w:tr w14:paraId="67D1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05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4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7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手持式匀浆机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59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8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vMerge w:val="continue"/>
            <w:tcBorders>
              <w:left w:val="single" w:color="000000" w:sz="4" w:space="0"/>
              <w:bottom w:val="single" w:color="000000" w:sz="4" w:space="0"/>
              <w:right w:val="single" w:color="000000" w:sz="4" w:space="0"/>
            </w:tcBorders>
            <w:shd w:val="clear" w:color="auto" w:fill="auto"/>
            <w:noWrap/>
            <w:vAlign w:val="center"/>
          </w:tcPr>
          <w:p w14:paraId="2BE4BEEB">
            <w:pPr>
              <w:jc w:val="center"/>
              <w:rPr>
                <w:rFonts w:hint="eastAsia" w:ascii="仿宋" w:hAnsi="仿宋" w:eastAsia="仿宋" w:cs="仿宋"/>
                <w:i w:val="0"/>
                <w:iCs w:val="0"/>
                <w:color w:val="000000"/>
                <w:sz w:val="21"/>
                <w:szCs w:val="21"/>
                <w:u w:val="none"/>
              </w:rPr>
            </w:pPr>
          </w:p>
        </w:tc>
      </w:tr>
      <w:tr w14:paraId="231D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2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2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小型高水分双螺杆膨化挤压设备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13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6C3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标项2</w:t>
            </w:r>
          </w:p>
        </w:tc>
      </w:tr>
    </w:tbl>
    <w:p w14:paraId="133DB3ED">
      <w:pPr>
        <w:rPr>
          <w:rFonts w:hint="eastAsia" w:ascii="仿宋" w:hAnsi="仿宋" w:eastAsia="仿宋" w:cs="仿宋"/>
        </w:rPr>
      </w:pPr>
    </w:p>
    <w:p w14:paraId="43D6A7A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品目1</w:t>
      </w:r>
      <w:r>
        <w:rPr>
          <w:rFonts w:hint="eastAsia" w:ascii="仿宋" w:hAnsi="仿宋" w:eastAsia="仿宋" w:cs="仿宋"/>
          <w:b/>
          <w:bCs/>
        </w:rPr>
        <w:tab/>
      </w:r>
      <w:r>
        <w:rPr>
          <w:rFonts w:hint="eastAsia" w:ascii="仿宋" w:hAnsi="仿宋" w:eastAsia="仿宋" w:cs="仿宋"/>
          <w:b/>
          <w:bCs/>
        </w:rPr>
        <w:t>电渗析/双极膜小试设备</w:t>
      </w:r>
    </w:p>
    <w:p w14:paraId="6F791A9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3D2FF75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电源电压：单相220V ± 5%</w:t>
      </w:r>
    </w:p>
    <w:p w14:paraId="6CCFF11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48E3998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08C95BB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3290709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单片膜面积(cm</w:t>
      </w:r>
      <w:r>
        <w:rPr>
          <w:rFonts w:hint="eastAsia" w:ascii="仿宋" w:hAnsi="仿宋" w:eastAsia="仿宋" w:cs="仿宋"/>
          <w:vertAlign w:val="superscript"/>
        </w:rPr>
        <w:t>2</w:t>
      </w:r>
      <w:r>
        <w:rPr>
          <w:rFonts w:hint="eastAsia" w:ascii="仿宋" w:hAnsi="仿宋" w:eastAsia="仿宋" w:cs="仿宋"/>
        </w:rPr>
        <w:t>):120cm</w:t>
      </w:r>
      <w:r>
        <w:rPr>
          <w:rFonts w:hint="eastAsia" w:ascii="仿宋" w:hAnsi="仿宋" w:eastAsia="仿宋" w:cs="仿宋"/>
          <w:vertAlign w:val="superscript"/>
        </w:rPr>
        <w:t>2</w:t>
      </w:r>
      <w:r>
        <w:rPr>
          <w:rFonts w:hint="eastAsia" w:ascii="仿宋" w:hAnsi="仿宋" w:eastAsia="仿宋" w:cs="仿宋"/>
        </w:rPr>
        <w:t>；</w:t>
      </w:r>
    </w:p>
    <w:p w14:paraId="42F0EC9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膜片数量(对):10对(可定制20对膜包)；</w:t>
      </w:r>
    </w:p>
    <w:p w14:paraId="5F2E7FC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总有效膜面积(cm2):1200 cm2(即0.12m</w:t>
      </w:r>
      <w:r>
        <w:rPr>
          <w:rFonts w:hint="eastAsia" w:ascii="仿宋" w:hAnsi="仿宋" w:eastAsia="仿宋" w:cs="仿宋"/>
          <w:vertAlign w:val="superscript"/>
        </w:rPr>
        <w:t>2</w:t>
      </w:r>
      <w:r>
        <w:rPr>
          <w:rFonts w:hint="eastAsia" w:ascii="仿宋" w:hAnsi="仿宋" w:eastAsia="仿宋" w:cs="仿宋"/>
          <w:vertAlign w:val="baseline"/>
          <w:lang w:val="en-US" w:eastAsia="zh-CN"/>
        </w:rPr>
        <w:t>)</w:t>
      </w:r>
      <w:r>
        <w:rPr>
          <w:rFonts w:hint="eastAsia" w:ascii="仿宋" w:hAnsi="仿宋" w:eastAsia="仿宋" w:cs="仿宋"/>
        </w:rPr>
        <w:t>；</w:t>
      </w:r>
    </w:p>
    <w:p w14:paraId="19C1F9F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处理能力(L/Hr):0.2-2.0(视料液浓度)；</w:t>
      </w:r>
    </w:p>
    <w:p w14:paraId="57F2048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电极电压(V):0-25.0可调；电极电流(A):0-16.0A；</w:t>
      </w:r>
    </w:p>
    <w:p w14:paraId="16392DF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原料罐体积(L):2x4个；</w:t>
      </w:r>
    </w:p>
    <w:p w14:paraId="604E1EF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冷却方式:内置制冷器冷却；</w:t>
      </w:r>
    </w:p>
    <w:p w14:paraId="037C3E0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电源/功率(V/Kw):220V/Max.1.0Kw；</w:t>
      </w:r>
    </w:p>
    <w:p w14:paraId="4D2719B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2FBE959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控制方式：触摸屏，物联网功能，可用手机、电脑远程操作实验，可数据导出。</w:t>
      </w:r>
    </w:p>
    <w:p w14:paraId="373B310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运行方式：自动/手动</w:t>
      </w:r>
    </w:p>
    <w:p w14:paraId="3AB14EA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仪表集成：物料/酸碱在线电导率仪、物料在线温度计</w:t>
      </w:r>
    </w:p>
    <w:p w14:paraId="01B3CC2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3.4</w:t>
      </w:r>
      <w:r>
        <w:rPr>
          <w:rFonts w:hint="eastAsia" w:ascii="仿宋" w:hAnsi="仿宋" w:eastAsia="仿宋" w:cs="仿宋"/>
        </w:rPr>
        <w:t>电源控制：集成电源控制</w:t>
      </w:r>
    </w:p>
    <w:p w14:paraId="3CC9194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3.5</w:t>
      </w:r>
      <w:r>
        <w:rPr>
          <w:rFonts w:hint="eastAsia" w:ascii="仿宋" w:hAnsi="仿宋" w:eastAsia="仿宋" w:cs="仿宋"/>
        </w:rPr>
        <w:t>数据统计：电流、电压、电导率、温度、电量、能耗、运行时间</w:t>
      </w:r>
    </w:p>
    <w:p w14:paraId="1D07A1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3.6</w:t>
      </w:r>
      <w:r>
        <w:rPr>
          <w:rFonts w:hint="eastAsia" w:ascii="仿宋" w:hAnsi="仿宋" w:eastAsia="仿宋" w:cs="仿宋"/>
        </w:rPr>
        <w:t>设备功能：一键启动/关闭、定时停机、定电导停机</w:t>
      </w:r>
    </w:p>
    <w:p w14:paraId="69D3471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3.7</w:t>
      </w:r>
      <w:r>
        <w:rPr>
          <w:rFonts w:hint="eastAsia" w:ascii="仿宋" w:hAnsi="仿宋" w:eastAsia="仿宋" w:cs="仿宋"/>
        </w:rPr>
        <w:t>设备保护：电流电压过载保护、短路保护、温度过高保护</w:t>
      </w:r>
    </w:p>
    <w:p w14:paraId="7776A7C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3.8</w:t>
      </w:r>
      <w:r>
        <w:rPr>
          <w:rFonts w:hint="eastAsia" w:ascii="仿宋" w:hAnsi="仿宋" w:eastAsia="仿宋" w:cs="仿宋"/>
        </w:rPr>
        <w:t>配    件：使用说明书、电源线、工具盒、洗耳球、液槽、软管1批</w:t>
      </w:r>
    </w:p>
    <w:p w14:paraId="2D61407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3.9</w:t>
      </w:r>
      <w:r>
        <w:rPr>
          <w:rFonts w:hint="eastAsia" w:ascii="仿宋" w:hAnsi="仿宋" w:eastAsia="仿宋" w:cs="仿宋"/>
        </w:rPr>
        <w:t>电极类型： 钛涂钽铱  1套</w:t>
      </w:r>
    </w:p>
    <w:p w14:paraId="125E15F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3.10</w:t>
      </w:r>
      <w:r>
        <w:rPr>
          <w:rFonts w:hint="eastAsia" w:ascii="仿宋" w:hAnsi="仿宋" w:eastAsia="仿宋" w:cs="仿宋"/>
        </w:rPr>
        <w:t>膜堆类型：电渗析膜  1个</w:t>
      </w:r>
    </w:p>
    <w:p w14:paraId="03D3540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3.11</w:t>
      </w:r>
      <w:r>
        <w:rPr>
          <w:rFonts w:hint="eastAsia" w:ascii="仿宋" w:hAnsi="仿宋" w:eastAsia="仿宋" w:cs="仿宋"/>
        </w:rPr>
        <w:t>电气/自控柜：开关电源300W，触摸屏程序全自动化，PLC自动化控制，输入电压：220V，设备整体重量25Kg  1套</w:t>
      </w:r>
    </w:p>
    <w:p w14:paraId="46315F6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3.12</w:t>
      </w:r>
      <w:r>
        <w:rPr>
          <w:rFonts w:hint="eastAsia" w:ascii="仿宋" w:hAnsi="仿宋" w:eastAsia="仿宋" w:cs="仿宋"/>
        </w:rPr>
        <w:t>储罐：盐水罐/酸水罐/碱水罐/极水罐 1.5L各  1个</w:t>
      </w:r>
    </w:p>
    <w:p w14:paraId="5EBBE5E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3.13</w:t>
      </w:r>
      <w:r>
        <w:rPr>
          <w:rFonts w:hint="eastAsia" w:ascii="仿宋" w:hAnsi="仿宋" w:eastAsia="仿宋" w:cs="仿宋"/>
        </w:rPr>
        <w:t>泵：盐室泵(淡水泵)/酸室泵(浓水泵)/碱室泵/极水泵各1台</w:t>
      </w:r>
    </w:p>
    <w:p w14:paraId="62F2C35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3.14</w:t>
      </w:r>
      <w:r>
        <w:rPr>
          <w:rFonts w:hint="eastAsia" w:ascii="仿宋" w:hAnsi="仿宋" w:eastAsia="仿宋" w:cs="仿宋"/>
        </w:rPr>
        <w:t>导率仪：量程0~400ms/cm  4台</w:t>
      </w:r>
    </w:p>
    <w:p w14:paraId="03F028F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3.15</w:t>
      </w:r>
      <w:r>
        <w:rPr>
          <w:rFonts w:hint="eastAsia" w:ascii="仿宋" w:hAnsi="仿宋" w:eastAsia="仿宋" w:cs="仿宋"/>
        </w:rPr>
        <w:t>温度变送器：0-60° 4台</w:t>
      </w:r>
    </w:p>
    <w:p w14:paraId="5DF80D9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3.16</w:t>
      </w:r>
      <w:r>
        <w:rPr>
          <w:rFonts w:hint="eastAsia" w:ascii="仿宋" w:hAnsi="仿宋" w:eastAsia="仿宋" w:cs="仿宋"/>
        </w:rPr>
        <w:t>管阀件电气：1套</w:t>
      </w:r>
    </w:p>
    <w:p w14:paraId="26227F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3.17</w:t>
      </w:r>
      <w:r>
        <w:rPr>
          <w:rFonts w:hint="eastAsia" w:ascii="仿宋" w:hAnsi="仿宋" w:eastAsia="仿宋" w:cs="仿宋"/>
        </w:rPr>
        <w:t xml:space="preserve">配件：工具包    1套  </w:t>
      </w:r>
    </w:p>
    <w:p w14:paraId="6EFA8F9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607D716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w:t>
      </w:r>
      <w:r>
        <w:rPr>
          <w:rFonts w:hint="eastAsia" w:ascii="仿宋" w:hAnsi="仿宋" w:eastAsia="仿宋" w:cs="仿宋"/>
          <w:highlight w:val="none"/>
        </w:rPr>
        <w:t>供应商</w:t>
      </w:r>
      <w:r>
        <w:rPr>
          <w:rFonts w:hint="eastAsia" w:ascii="仿宋" w:hAnsi="仿宋" w:eastAsia="仿宋" w:cs="仿宋"/>
        </w:rPr>
        <w:t>负责免费到现场安装调试，定期维护。</w:t>
      </w:r>
    </w:p>
    <w:p w14:paraId="3DA7A51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130F580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067132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5F6A257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11FBC52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3D29A08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eastAsia="zh-CN"/>
        </w:rPr>
      </w:pPr>
      <w:r>
        <w:rPr>
          <w:rFonts w:hint="eastAsia" w:ascii="仿宋" w:hAnsi="仿宋" w:eastAsia="仿宋" w:cs="仿宋"/>
        </w:rPr>
        <w:t xml:space="preserve">7 </w:t>
      </w:r>
      <w:r>
        <w:rPr>
          <w:rFonts w:hint="eastAsia" w:ascii="仿宋" w:hAnsi="仿宋" w:eastAsia="仿宋" w:cs="仿宋"/>
          <w:highlight w:val="none"/>
          <w:lang w:eastAsia="zh-CN"/>
        </w:rPr>
        <w:t>送货地址</w:t>
      </w:r>
    </w:p>
    <w:p w14:paraId="1075BCA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0F9C01F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4F24762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highlight w:val="none"/>
        </w:rPr>
      </w:pPr>
      <w:r>
        <w:rPr>
          <w:rFonts w:hint="eastAsia" w:ascii="仿宋" w:hAnsi="仿宋" w:eastAsia="仿宋" w:cs="仿宋"/>
          <w:b/>
          <w:bCs/>
          <w:highlight w:val="none"/>
        </w:rPr>
        <w:t>品目2</w:t>
      </w:r>
      <w:r>
        <w:rPr>
          <w:rFonts w:hint="eastAsia" w:ascii="仿宋" w:hAnsi="仿宋" w:eastAsia="仿宋" w:cs="仿宋"/>
          <w:b/>
          <w:bCs/>
          <w:highlight w:val="none"/>
        </w:rPr>
        <w:tab/>
      </w:r>
      <w:r>
        <w:rPr>
          <w:rFonts w:hint="eastAsia" w:ascii="仿宋" w:hAnsi="仿宋" w:eastAsia="仿宋" w:cs="仿宋"/>
          <w:b/>
          <w:bCs/>
          <w:highlight w:val="none"/>
        </w:rPr>
        <w:t>连续离子交换及色谱分离实验设备</w:t>
      </w:r>
    </w:p>
    <w:p w14:paraId="3F6A784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40CC8BD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电源电压：单相220V ± 5%</w:t>
      </w:r>
    </w:p>
    <w:p w14:paraId="5E36F52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6EE59D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74CFD69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44E7861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进出阀口数量(对):20/30(可定制数量)；</w:t>
      </w:r>
    </w:p>
    <w:p w14:paraId="7D6995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阀口通径(mm):DN4.0(可定制口径DN2.5)；</w:t>
      </w:r>
    </w:p>
    <w:p w14:paraId="3F0D20A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柱数量(个):20/30(与阀口数量一致)；</w:t>
      </w:r>
    </w:p>
    <w:p w14:paraId="546018A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柱体材质PVC:(可定制PP、不锈钢、钛)</w:t>
      </w:r>
    </w:p>
    <w:p w14:paraId="18B9486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标准柱尺寸(mm):有效032*500(可定制尺寸)；</w:t>
      </w:r>
    </w:p>
    <w:p w14:paraId="3CF3727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分离介质装填量(L):5.0-9.0/7.5-13.5；</w:t>
      </w:r>
    </w:p>
    <w:p w14:paraId="38DD6C9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泵头数量(台):9(可定制数量)；</w:t>
      </w:r>
    </w:p>
    <w:p w14:paraId="19193F2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单泵流量(L/Hr):0-12(可定制)；</w:t>
      </w:r>
    </w:p>
    <w:p w14:paraId="068D73A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2.9</w:t>
      </w:r>
      <w:r>
        <w:rPr>
          <w:rFonts w:hint="eastAsia" w:ascii="仿宋" w:hAnsi="仿宋" w:eastAsia="仿宋" w:cs="仿宋"/>
        </w:rPr>
        <w:t>工作压力(MPa):≤0.8(可定制压力等级)</w:t>
      </w:r>
    </w:p>
    <w:p w14:paraId="46F8CFE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2.10</w:t>
      </w:r>
      <w:r>
        <w:rPr>
          <w:rFonts w:hint="eastAsia" w:ascii="仿宋" w:hAnsi="仿宋" w:eastAsia="仿宋" w:cs="仿宋"/>
        </w:rPr>
        <w:t>处理能力(L/H):0.5-50(视不同工艺)</w:t>
      </w:r>
    </w:p>
    <w:p w14:paraId="451B6B0F">
      <w:pPr>
        <w:keepNext w:val="0"/>
        <w:keepLines w:val="0"/>
        <w:pageBreakBefore w:val="0"/>
        <w:widowControl w:val="0"/>
        <w:numPr>
          <w:ilvl w:val="0"/>
          <w:numId w:val="3"/>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配置清单</w:t>
      </w:r>
    </w:p>
    <w:p w14:paraId="18F9DE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树脂柱：DN32*300MM,含液流分布器、滤网 PVC材质 30套；</w:t>
      </w:r>
    </w:p>
    <w:p w14:paraId="07C571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中心阀体：DN4.0/30对阀口，材质PTFE、PP耐磨聚合物 1套；</w:t>
      </w:r>
    </w:p>
    <w:p w14:paraId="7DBD4A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设备支架、箱体、配套部件：SUS304  1套；</w:t>
      </w:r>
    </w:p>
    <w:p w14:paraId="52C35E3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3.4</w:t>
      </w:r>
      <w:r>
        <w:rPr>
          <w:rFonts w:hint="eastAsia" w:ascii="仿宋" w:hAnsi="仿宋" w:eastAsia="仿宋" w:cs="仿宋"/>
        </w:rPr>
        <w:t>传动机构：链传动机构 光电位置传感器分度定位机构1套</w:t>
      </w:r>
    </w:p>
    <w:p w14:paraId="48AC83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3.5</w:t>
      </w:r>
      <w:r>
        <w:rPr>
          <w:rFonts w:hint="eastAsia" w:ascii="仿宋" w:hAnsi="仿宋" w:eastAsia="仿宋" w:cs="仿宋"/>
        </w:rPr>
        <w:t>伺服电机：ECMA-C20604/400W 1套</w:t>
      </w:r>
    </w:p>
    <w:p w14:paraId="236C1B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3.6</w:t>
      </w:r>
      <w:r>
        <w:rPr>
          <w:rFonts w:hint="eastAsia" w:ascii="仿宋" w:hAnsi="仿宋" w:eastAsia="仿宋" w:cs="仿宋"/>
        </w:rPr>
        <w:t>减速机：PF80L3  1套</w:t>
      </w:r>
    </w:p>
    <w:p w14:paraId="7D1903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3.7</w:t>
      </w:r>
      <w:r>
        <w:rPr>
          <w:rFonts w:hint="eastAsia" w:ascii="仿宋" w:hAnsi="仿宋" w:eastAsia="仿宋" w:cs="仿宋"/>
        </w:rPr>
        <w:t>触摸屏PLC及扩展模块  1套</w:t>
      </w:r>
    </w:p>
    <w:p w14:paraId="25EA62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3.8</w:t>
      </w:r>
      <w:r>
        <w:rPr>
          <w:rFonts w:hint="eastAsia" w:ascii="仿宋" w:hAnsi="仿宋" w:eastAsia="仿宋" w:cs="仿宋"/>
        </w:rPr>
        <w:t>蠕动泵：流量1-300ml/min 12套</w:t>
      </w:r>
    </w:p>
    <w:p w14:paraId="072EFF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3.9</w:t>
      </w:r>
      <w:r>
        <w:rPr>
          <w:rFonts w:hint="eastAsia" w:ascii="仿宋" w:hAnsi="仿宋" w:eastAsia="仿宋" w:cs="仿宋"/>
        </w:rPr>
        <w:t>管线接头：1/8NPT*φ6.0含直接、弯头 340套</w:t>
      </w:r>
    </w:p>
    <w:p w14:paraId="42538C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3.10</w:t>
      </w:r>
      <w:r>
        <w:rPr>
          <w:rFonts w:hint="eastAsia" w:ascii="仿宋" w:hAnsi="仿宋" w:eastAsia="仿宋" w:cs="仿宋"/>
        </w:rPr>
        <w:t>压力表：2.5英尺/1.0MPa  12个</w:t>
      </w:r>
    </w:p>
    <w:p w14:paraId="7FB073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3.11</w:t>
      </w:r>
      <w:r>
        <w:rPr>
          <w:rFonts w:hint="eastAsia" w:ascii="仿宋" w:hAnsi="仿宋" w:eastAsia="仿宋" w:cs="仿宋"/>
        </w:rPr>
        <w:t>柱箱恒温控制系统：3.0KW 带温感  1套</w:t>
      </w:r>
    </w:p>
    <w:p w14:paraId="32B447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3.12</w:t>
      </w:r>
      <w:r>
        <w:rPr>
          <w:rFonts w:hint="eastAsia" w:ascii="仿宋" w:hAnsi="仿宋" w:eastAsia="仿宋" w:cs="仿宋"/>
        </w:rPr>
        <w:t>配件：软管/软管弯头/软管直接头/软管三通接头1批 树脂柱1支 说明书1套</w:t>
      </w:r>
    </w:p>
    <w:p w14:paraId="1B38A35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lang w:val="en-US" w:eastAsia="zh-CN"/>
        </w:rPr>
        <w:t>.</w:t>
      </w:r>
      <w:r>
        <w:rPr>
          <w:rFonts w:hint="eastAsia" w:ascii="仿宋" w:hAnsi="仿宋" w:eastAsia="仿宋" w:cs="仿宋"/>
        </w:rPr>
        <w:t>销售及售后服务</w:t>
      </w:r>
    </w:p>
    <w:p w14:paraId="450EC87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5D90520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3977728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5C3BC76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0214604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0174AD3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4E3F214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68FC163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40C677F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465F937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品目3</w:t>
      </w:r>
      <w:r>
        <w:rPr>
          <w:rFonts w:hint="eastAsia" w:ascii="仿宋" w:hAnsi="仿宋" w:eastAsia="仿宋" w:cs="仿宋"/>
          <w:b/>
          <w:bCs/>
        </w:rPr>
        <w:tab/>
      </w:r>
      <w:r>
        <w:rPr>
          <w:rFonts w:hint="eastAsia" w:ascii="仿宋" w:hAnsi="仿宋" w:eastAsia="仿宋" w:cs="仿宋"/>
          <w:b/>
          <w:bCs/>
        </w:rPr>
        <w:t>多功能卷式膜小试设备</w:t>
      </w:r>
    </w:p>
    <w:p w14:paraId="54BC1FB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0E5EF16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电源电压：单相220V ± 5%</w:t>
      </w:r>
    </w:p>
    <w:p w14:paraId="56F7859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1A1E795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77FA62F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0F7BED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过滤压力Mpa：0-4.0(可定制0-7.0Mpa）；</w:t>
      </w:r>
    </w:p>
    <w:p w14:paraId="7423AF4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过滤温度(C)5-55℃；</w:t>
      </w:r>
    </w:p>
    <w:p w14:paraId="45D1511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PH范围2-12；</w:t>
      </w:r>
    </w:p>
    <w:p w14:paraId="3DED69C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过滤能力(L/Hr)：5-30；</w:t>
      </w:r>
    </w:p>
    <w:p w14:paraId="417D6D3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最小循环体积(L)：0.8；</w:t>
      </w:r>
    </w:p>
    <w:p w14:paraId="5B870AB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管路材料316；</w:t>
      </w:r>
    </w:p>
    <w:p w14:paraId="260A40E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带夹套原料罐体积L：12；</w:t>
      </w:r>
    </w:p>
    <w:p w14:paraId="2436802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冷却方式：夹套</w:t>
      </w:r>
    </w:p>
    <w:p w14:paraId="41CF52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配置清单</w:t>
      </w:r>
    </w:p>
    <w:p w14:paraId="26239D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泵：高压柱塞隔膜泵316L 7.0Mpa  1台</w:t>
      </w:r>
    </w:p>
    <w:p w14:paraId="6054EC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变频及控制系统：S1/1.5kw/220V   1套</w:t>
      </w:r>
    </w:p>
    <w:p w14:paraId="6888B8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精密安全阀：1/4" /10MPa          1套</w:t>
      </w:r>
    </w:p>
    <w:p w14:paraId="0809BA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3.4</w:t>
      </w:r>
      <w:r>
        <w:rPr>
          <w:rFonts w:hint="eastAsia" w:ascii="仿宋" w:hAnsi="仿宋" w:eastAsia="仿宋" w:cs="仿宋"/>
        </w:rPr>
        <w:t>高压截止阀：1/4" /10MPa         1套</w:t>
      </w:r>
    </w:p>
    <w:p w14:paraId="49CC98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3.5</w:t>
      </w:r>
      <w:r>
        <w:rPr>
          <w:rFonts w:hint="eastAsia" w:ascii="仿宋" w:hAnsi="仿宋" w:eastAsia="仿宋" w:cs="仿宋"/>
        </w:rPr>
        <w:t>高压膜壳：S-1812 /耐压7.0MPa    1套</w:t>
      </w:r>
    </w:p>
    <w:p w14:paraId="048D19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3.6</w:t>
      </w:r>
      <w:r>
        <w:rPr>
          <w:rFonts w:hint="eastAsia" w:ascii="仿宋" w:hAnsi="仿宋" w:eastAsia="仿宋" w:cs="仿宋"/>
        </w:rPr>
        <w:t>减震蓄能器：JZ-100-2 /10MPa      1套</w:t>
      </w:r>
    </w:p>
    <w:p w14:paraId="13B9C1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3.7</w:t>
      </w:r>
      <w:r>
        <w:rPr>
          <w:rFonts w:hint="eastAsia" w:ascii="仿宋" w:hAnsi="仿宋" w:eastAsia="仿宋" w:cs="仿宋"/>
        </w:rPr>
        <w:t>管路及接头：φ12 /10MPa 316L     1套</w:t>
      </w:r>
    </w:p>
    <w:p w14:paraId="5EAC67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3.8</w:t>
      </w:r>
      <w:r>
        <w:rPr>
          <w:rFonts w:hint="eastAsia" w:ascii="仿宋" w:hAnsi="仿宋" w:eastAsia="仿宋" w:cs="仿宋"/>
        </w:rPr>
        <w:t>机箱及配套系统：316L材质</w:t>
      </w:r>
      <w:r>
        <w:rPr>
          <w:rFonts w:hint="eastAsia" w:ascii="仿宋" w:hAnsi="仿宋" w:eastAsia="仿宋" w:cs="仿宋"/>
        </w:rPr>
        <w:tab/>
      </w:r>
      <w:r>
        <w:rPr>
          <w:rFonts w:hint="eastAsia" w:ascii="仿宋" w:hAnsi="仿宋" w:eastAsia="仿宋" w:cs="仿宋"/>
        </w:rPr>
        <w:t xml:space="preserve">      1套</w:t>
      </w:r>
    </w:p>
    <w:p w14:paraId="73C2F6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3.9</w:t>
      </w:r>
      <w:r>
        <w:rPr>
          <w:rFonts w:hint="eastAsia" w:ascii="仿宋" w:hAnsi="仿宋" w:eastAsia="仿宋" w:cs="仿宋"/>
        </w:rPr>
        <w:t>循环料罐：12L 不锈钢夹套</w:t>
      </w:r>
      <w:r>
        <w:rPr>
          <w:rFonts w:hint="eastAsia" w:ascii="仿宋" w:hAnsi="仿宋" w:eastAsia="仿宋" w:cs="仿宋"/>
        </w:rPr>
        <w:tab/>
      </w:r>
      <w:r>
        <w:rPr>
          <w:rFonts w:hint="eastAsia" w:ascii="仿宋" w:hAnsi="仿宋" w:eastAsia="仿宋" w:cs="仿宋"/>
        </w:rPr>
        <w:t xml:space="preserve">     1套</w:t>
      </w:r>
    </w:p>
    <w:p w14:paraId="1D9CEE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3.10</w:t>
      </w:r>
      <w:r>
        <w:rPr>
          <w:rFonts w:hint="eastAsia" w:ascii="仿宋" w:hAnsi="仿宋" w:eastAsia="仿宋" w:cs="仿宋"/>
        </w:rPr>
        <w:t>压力表：2.5英尺/7.0MPa         1套</w:t>
      </w:r>
    </w:p>
    <w:p w14:paraId="176F8A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3.11</w:t>
      </w:r>
      <w:r>
        <w:rPr>
          <w:rFonts w:hint="eastAsia" w:ascii="仿宋" w:hAnsi="仿宋" w:eastAsia="仿宋" w:cs="仿宋"/>
        </w:rPr>
        <w:t>温度表：0-100℃                1套</w:t>
      </w:r>
    </w:p>
    <w:p w14:paraId="3CB855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3.12</w:t>
      </w:r>
      <w:r>
        <w:rPr>
          <w:rFonts w:hint="eastAsia" w:ascii="仿宋" w:hAnsi="仿宋" w:eastAsia="仿宋" w:cs="仿宋"/>
        </w:rPr>
        <w:t>膜元件：                       6套</w:t>
      </w:r>
    </w:p>
    <w:p w14:paraId="780F58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3.13</w:t>
      </w:r>
      <w:r>
        <w:rPr>
          <w:rFonts w:hint="eastAsia" w:ascii="仿宋" w:hAnsi="仿宋" w:eastAsia="仿宋" w:cs="仿宋"/>
        </w:rPr>
        <w:t xml:space="preserve">配件：工具包                  1套  </w:t>
      </w:r>
    </w:p>
    <w:p w14:paraId="7C4CD21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w:t>
      </w:r>
      <w:r>
        <w:rPr>
          <w:rFonts w:hint="eastAsia" w:ascii="仿宋" w:hAnsi="仿宋" w:eastAsia="仿宋" w:cs="仿宋"/>
        </w:rPr>
        <w:t xml:space="preserve"> 销售及售后服务</w:t>
      </w:r>
    </w:p>
    <w:p w14:paraId="0AFD380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039AD25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5B069CC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088BD54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1140EEC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3E6663A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255342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437C3F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52D5019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4DD112B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品目4</w:t>
      </w:r>
      <w:r>
        <w:rPr>
          <w:rFonts w:hint="eastAsia" w:ascii="仿宋" w:hAnsi="仿宋" w:eastAsia="仿宋" w:cs="仿宋"/>
          <w:b/>
          <w:bCs/>
        </w:rPr>
        <w:tab/>
      </w:r>
      <w:r>
        <w:rPr>
          <w:rFonts w:hint="eastAsia" w:ascii="仿宋" w:hAnsi="仿宋" w:eastAsia="仿宋" w:cs="仿宋"/>
          <w:b/>
          <w:bCs/>
        </w:rPr>
        <w:t>多功能膜实验设备</w:t>
      </w:r>
    </w:p>
    <w:p w14:paraId="3F307CE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bookmarkStart w:id="63" w:name="OLE_LINK1"/>
      <w:r>
        <w:rPr>
          <w:rFonts w:hint="eastAsia" w:ascii="仿宋" w:hAnsi="仿宋" w:eastAsia="仿宋" w:cs="仿宋"/>
        </w:rPr>
        <w:t xml:space="preserve">1. 工作环境 </w:t>
      </w:r>
    </w:p>
    <w:p w14:paraId="5137332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电源电压：单相220V ± 5%</w:t>
      </w:r>
    </w:p>
    <w:p w14:paraId="71C3D3F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7F2CB71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4A3555E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bookmarkEnd w:id="63"/>
    <w:p w14:paraId="252A114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膜池材料 316 不锈钢；</w:t>
      </w:r>
    </w:p>
    <w:p w14:paraId="6890BEB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有效膜面积 中空膜0.2平米、平板膜Φ80mm、陶瓷膜Φ30*250mm ；</w:t>
      </w:r>
    </w:p>
    <w:p w14:paraId="1581DF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最小循环体积 (ml) 150 ；</w:t>
      </w:r>
    </w:p>
    <w:p w14:paraId="72E910E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 xml:space="preserve">过滤压力 (MPa) 0-0.8 ； </w:t>
      </w:r>
    </w:p>
    <w:p w14:paraId="2C35AF4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 xml:space="preserve">过滤温度 (℃ ) 5-55℃ </w:t>
      </w:r>
      <w:bookmarkStart w:id="64" w:name="OLE_LINK2"/>
      <w:r>
        <w:rPr>
          <w:rFonts w:hint="eastAsia" w:ascii="仿宋" w:hAnsi="仿宋" w:eastAsia="仿宋" w:cs="仿宋"/>
        </w:rPr>
        <w:t>；</w:t>
      </w:r>
      <w:bookmarkEnd w:id="64"/>
    </w:p>
    <w:p w14:paraId="5C96048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 xml:space="preserve">2.6 </w:t>
      </w:r>
      <w:r>
        <w:rPr>
          <w:rFonts w:hint="eastAsia" w:ascii="仿宋" w:hAnsi="仿宋" w:eastAsia="仿宋" w:cs="仿宋"/>
        </w:rPr>
        <w:t>PH 范围 2-12 ；</w:t>
      </w:r>
    </w:p>
    <w:p w14:paraId="5335F1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 xml:space="preserve">2.7 </w:t>
      </w:r>
      <w:r>
        <w:rPr>
          <w:rFonts w:hint="eastAsia" w:ascii="仿宋" w:hAnsi="仿宋" w:eastAsia="仿宋" w:cs="仿宋"/>
        </w:rPr>
        <w:t>过滤能力（L/Hr） 0.3-1</w:t>
      </w:r>
    </w:p>
    <w:p w14:paraId="01F5BA6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bookmarkStart w:id="65" w:name="OLE_LINK6"/>
      <w:bookmarkStart w:id="66" w:name="OLE_LINK7"/>
      <w:r>
        <w:rPr>
          <w:rFonts w:hint="eastAsia" w:ascii="仿宋" w:hAnsi="仿宋" w:eastAsia="仿宋" w:cs="仿宋"/>
        </w:rPr>
        <w:t>3.配置清单</w:t>
      </w:r>
    </w:p>
    <w:bookmarkEnd w:id="65"/>
    <w:p w14:paraId="7ADEA11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膜组件2个：中空膜0.2平米1套  陶瓷膜组件Φ30*250mm  1套</w:t>
      </w:r>
    </w:p>
    <w:p w14:paraId="02A0B83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泵：高压柱塞泵&gt;2.0LPM、1.0MPa 316材质    1台</w:t>
      </w:r>
    </w:p>
    <w:p w14:paraId="734779C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直流调速器：24V/120W    1套</w:t>
      </w:r>
    </w:p>
    <w:p w14:paraId="7DCE35E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3.4</w:t>
      </w:r>
      <w:r>
        <w:rPr>
          <w:rFonts w:hint="eastAsia" w:ascii="仿宋" w:hAnsi="仿宋" w:eastAsia="仿宋" w:cs="仿宋"/>
        </w:rPr>
        <w:t>减震蓄能器 ：JZ-500-1 /7.0MPa   1套</w:t>
      </w:r>
    </w:p>
    <w:p w14:paraId="0343FA3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3.5</w:t>
      </w:r>
      <w:r>
        <w:rPr>
          <w:rFonts w:hint="eastAsia" w:ascii="仿宋" w:hAnsi="仿宋" w:eastAsia="仿宋" w:cs="仿宋"/>
        </w:rPr>
        <w:t>压力调节阀： 1/4" /4.0MPa     1套</w:t>
      </w:r>
    </w:p>
    <w:p w14:paraId="1397BA3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3.6</w:t>
      </w:r>
      <w:r>
        <w:rPr>
          <w:rFonts w:hint="eastAsia" w:ascii="仿宋" w:hAnsi="仿宋" w:eastAsia="仿宋" w:cs="仿宋"/>
        </w:rPr>
        <w:t>机箱及配套系统：不锈钢烤漆 1套</w:t>
      </w:r>
    </w:p>
    <w:p w14:paraId="61E69A5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3.7</w:t>
      </w:r>
      <w:r>
        <w:rPr>
          <w:rFonts w:hint="eastAsia" w:ascii="仿宋" w:hAnsi="仿宋" w:eastAsia="仿宋" w:cs="仿宋"/>
        </w:rPr>
        <w:t xml:space="preserve">配件：工具包                1套  </w:t>
      </w:r>
    </w:p>
    <w:p w14:paraId="5C3E6D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w:t>
      </w:r>
      <w:r>
        <w:rPr>
          <w:rFonts w:hint="eastAsia" w:ascii="仿宋" w:hAnsi="仿宋" w:eastAsia="仿宋" w:cs="仿宋"/>
        </w:rPr>
        <w:t>销售及售后服务</w:t>
      </w:r>
    </w:p>
    <w:p w14:paraId="39FE464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0E0D02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440BD43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4478D1C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287BC40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55E37CB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1406D9E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2049118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bookmarkEnd w:id="66"/>
    <w:p w14:paraId="0963CB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36F6BF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品目5</w:t>
      </w:r>
      <w:r>
        <w:rPr>
          <w:rFonts w:hint="eastAsia" w:ascii="仿宋" w:hAnsi="仿宋" w:eastAsia="仿宋" w:cs="仿宋"/>
          <w:b/>
          <w:bCs/>
        </w:rPr>
        <w:tab/>
      </w:r>
      <w:r>
        <w:rPr>
          <w:rFonts w:hint="eastAsia" w:ascii="仿宋" w:hAnsi="仿宋" w:eastAsia="仿宋" w:cs="仿宋"/>
          <w:b/>
          <w:bCs/>
        </w:rPr>
        <w:t>均质机</w:t>
      </w:r>
    </w:p>
    <w:p w14:paraId="723B0BB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0FADC36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07AAC01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7EBA173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4FE7BD7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708CE89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2.1产品粘度：1,000CP</w:t>
      </w:r>
      <w:r>
        <w:rPr>
          <w:rFonts w:hint="eastAsia" w:ascii="仿宋" w:hAnsi="仿宋" w:eastAsia="仿宋" w:cs="仿宋"/>
        </w:rPr>
        <w:t>；</w:t>
      </w:r>
    </w:p>
    <w:p w14:paraId="2607494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2.2最大产品粒径：小于等于500微米</w:t>
      </w:r>
      <w:bookmarkStart w:id="67" w:name="OLE_LINK3"/>
      <w:r>
        <w:rPr>
          <w:rFonts w:hint="eastAsia" w:ascii="仿宋" w:hAnsi="仿宋" w:eastAsia="仿宋" w:cs="仿宋"/>
          <w:lang w:val="en-US" w:eastAsia="zh-CN"/>
        </w:rPr>
        <w:t>；</w:t>
      </w:r>
      <w:bookmarkEnd w:id="67"/>
    </w:p>
    <w:p w14:paraId="3EAD3A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▲2.3生产能力:30L/h；</w:t>
      </w:r>
    </w:p>
    <w:p w14:paraId="01DBA3F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2.4最大工作压力:600 bar</w:t>
      </w:r>
      <w:bookmarkStart w:id="68" w:name="OLE_LINK4"/>
      <w:r>
        <w:rPr>
          <w:rFonts w:hint="eastAsia" w:ascii="仿宋" w:hAnsi="仿宋" w:eastAsia="仿宋" w:cs="仿宋"/>
          <w:lang w:val="en-US" w:eastAsia="zh-CN"/>
        </w:rPr>
        <w:t>；</w:t>
      </w:r>
      <w:bookmarkEnd w:id="68"/>
    </w:p>
    <w:p w14:paraId="30A897B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2.5清洗温度:＜90℃；</w:t>
      </w:r>
    </w:p>
    <w:p w14:paraId="06A0DE7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2.6清洗时间：30min</w:t>
      </w:r>
      <w:bookmarkStart w:id="69" w:name="OLE_LINK5"/>
      <w:r>
        <w:rPr>
          <w:rFonts w:hint="eastAsia" w:ascii="仿宋" w:hAnsi="仿宋" w:eastAsia="仿宋" w:cs="仿宋"/>
          <w:lang w:val="en-US" w:eastAsia="zh-CN"/>
        </w:rPr>
        <w:t>；</w:t>
      </w:r>
      <w:bookmarkEnd w:id="69"/>
    </w:p>
    <w:p w14:paraId="415F843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2.7杀菌温度:140℃；</w:t>
      </w:r>
    </w:p>
    <w:p w14:paraId="2B4C26D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▲2.8杀菌时间:30min；</w:t>
      </w:r>
    </w:p>
    <w:p w14:paraId="33727936">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配置清单</w:t>
      </w:r>
    </w:p>
    <w:p w14:paraId="2124E63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3.1均质机主机1台</w:t>
      </w:r>
    </w:p>
    <w:p w14:paraId="63E5F704">
      <w:pPr>
        <w:keepNext w:val="0"/>
        <w:keepLines w:val="0"/>
        <w:pageBreakBefore w:val="0"/>
        <w:widowControl w:val="0"/>
        <w:numPr>
          <w:ilvl w:val="1"/>
          <w:numId w:val="4"/>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一</w:t>
      </w:r>
      <w:r>
        <w:rPr>
          <w:rFonts w:hint="eastAsia" w:ascii="仿宋" w:hAnsi="仿宋" w:eastAsia="仿宋" w:cs="仿宋"/>
        </w:rPr>
        <w:t>套专用工具和操作手册</w:t>
      </w:r>
    </w:p>
    <w:p w14:paraId="184E467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2C51A20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261D35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11A0EEB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0FB961F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60CF333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125BA52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4345FCE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eastAsia="zh-CN"/>
        </w:rPr>
      </w:pPr>
      <w:r>
        <w:rPr>
          <w:rFonts w:hint="eastAsia" w:ascii="仿宋" w:hAnsi="仿宋" w:eastAsia="仿宋" w:cs="仿宋"/>
        </w:rPr>
        <w:t xml:space="preserve">7 </w:t>
      </w:r>
      <w:r>
        <w:rPr>
          <w:rFonts w:hint="eastAsia" w:ascii="仿宋" w:hAnsi="仿宋" w:eastAsia="仿宋" w:cs="仿宋"/>
          <w:lang w:eastAsia="zh-CN"/>
        </w:rPr>
        <w:t>送货地址</w:t>
      </w:r>
    </w:p>
    <w:p w14:paraId="21CCAB3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2CEB52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lang w:val="en-US" w:eastAsia="zh-CN"/>
        </w:rPr>
      </w:pPr>
    </w:p>
    <w:p w14:paraId="78F0DEB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品目6</w:t>
      </w:r>
      <w:r>
        <w:rPr>
          <w:rFonts w:hint="eastAsia" w:ascii="仿宋" w:hAnsi="仿宋" w:eastAsia="仿宋" w:cs="仿宋"/>
          <w:b/>
          <w:bCs/>
        </w:rPr>
        <w:tab/>
      </w:r>
      <w:r>
        <w:rPr>
          <w:rFonts w:hint="eastAsia" w:ascii="仿宋" w:hAnsi="仿宋" w:eastAsia="仿宋" w:cs="仿宋"/>
          <w:b/>
          <w:bCs/>
        </w:rPr>
        <w:t>激光粒度仪（含 Zeta 电位）</w:t>
      </w:r>
    </w:p>
    <w:p w14:paraId="339D849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11F941D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5F94B0B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0CD809B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3435BCA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3AB401E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系统</w:t>
      </w:r>
    </w:p>
    <w:p w14:paraId="204D5E7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sz w:val="21"/>
          <w:szCs w:val="21"/>
          <w:highlight w:val="none"/>
          <w:lang w:val="zh-CN" w:eastAsia="zh-CN"/>
        </w:rPr>
        <w:t>★</w:t>
      </w:r>
      <w:r>
        <w:rPr>
          <w:rFonts w:hint="eastAsia" w:ascii="仿宋" w:hAnsi="仿宋" w:eastAsia="仿宋" w:cs="仿宋"/>
          <w:lang w:val="en-US" w:eastAsia="zh-CN"/>
        </w:rPr>
        <w:t>2.</w:t>
      </w:r>
      <w:r>
        <w:rPr>
          <w:rFonts w:hint="eastAsia" w:ascii="仿宋" w:hAnsi="仿宋" w:eastAsia="仿宋" w:cs="仿宋"/>
        </w:rPr>
        <w:t>1高稳定性He-Ne激光器, 10mW</w:t>
      </w:r>
    </w:p>
    <w:p w14:paraId="3E27985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w:t>
      </w:r>
      <w:r>
        <w:rPr>
          <w:rFonts w:hint="eastAsia" w:ascii="仿宋" w:hAnsi="仿宋" w:eastAsia="仿宋" w:cs="仿宋"/>
        </w:rPr>
        <w:t>激光器发热少，不影响控温精度</w:t>
      </w:r>
    </w:p>
    <w:p w14:paraId="13E2988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激光能量调整：自动，调节范围：100%-0.0003%</w:t>
      </w:r>
    </w:p>
    <w:p w14:paraId="3DE7102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采用APD检测器，超高灵敏度，量子效率QE高于60%；</w:t>
      </w:r>
    </w:p>
    <w:p w14:paraId="481F7C0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温度控制范围：0 - 120度，精度+/- 0.1度；</w:t>
      </w:r>
    </w:p>
    <w:p w14:paraId="4938791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主机具有气体接入端口，可以通过连接压缩空气或者压缩氮气控制冷凝；</w:t>
      </w:r>
    </w:p>
    <w:p w14:paraId="3D55BD3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采用自适应相关器技术，通常样品检测时间24S;</w:t>
      </w:r>
    </w:p>
    <w:p w14:paraId="7FCA0D6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粒度</w:t>
      </w:r>
    </w:p>
    <w:p w14:paraId="0E623F8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检测角度：173° + 13°+90°</w:t>
      </w:r>
    </w:p>
    <w:p w14:paraId="7224C93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9</w:t>
      </w:r>
      <w:r>
        <w:rPr>
          <w:rFonts w:hint="eastAsia" w:ascii="仿宋" w:hAnsi="仿宋" w:eastAsia="仿宋" w:cs="仿宋"/>
        </w:rPr>
        <w:t xml:space="preserve">检测范围： 0.01 – 3500 µm </w:t>
      </w:r>
    </w:p>
    <w:p w14:paraId="4598704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▲2.10</w:t>
      </w:r>
      <w:r>
        <w:rPr>
          <w:rFonts w:hint="eastAsia" w:ascii="仿宋" w:hAnsi="仿宋" w:eastAsia="仿宋" w:cs="仿宋"/>
        </w:rPr>
        <w:t>高速数字相关器：&gt;4000物理通道，线性范围 &gt; 1011</w:t>
      </w:r>
    </w:p>
    <w:p w14:paraId="474E0B6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▲2.11</w:t>
      </w:r>
      <w:r>
        <w:rPr>
          <w:rFonts w:hint="eastAsia" w:ascii="仿宋" w:hAnsi="仿宋" w:eastAsia="仿宋" w:cs="仿宋"/>
        </w:rPr>
        <w:t>检测位置可自动连续移动</w:t>
      </w:r>
    </w:p>
    <w:p w14:paraId="1388F29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▲2.12</w:t>
      </w:r>
      <w:r>
        <w:rPr>
          <w:rFonts w:hint="eastAsia" w:ascii="仿宋" w:hAnsi="仿宋" w:eastAsia="仿宋" w:cs="仿宋"/>
        </w:rPr>
        <w:t>最大样品浓度：40%w/v；</w:t>
      </w:r>
    </w:p>
    <w:p w14:paraId="78F3CD3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2.13</w:t>
      </w:r>
      <w:r>
        <w:rPr>
          <w:rFonts w:hint="eastAsia" w:ascii="仿宋" w:hAnsi="仿宋" w:eastAsia="仿宋" w:cs="仿宋"/>
        </w:rPr>
        <w:t>毛细管粒径样品池，最小样品量 3μL</w:t>
      </w:r>
    </w:p>
    <w:p w14:paraId="2FA5D9E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▲2.14</w:t>
      </w:r>
      <w:r>
        <w:rPr>
          <w:rFonts w:hint="eastAsia" w:ascii="仿宋" w:hAnsi="仿宋" w:eastAsia="仿宋" w:cs="仿宋"/>
        </w:rPr>
        <w:t>完全符合国际标准 ISO22412 和 ISO13321，有效消除多重光散射</w:t>
      </w:r>
    </w:p>
    <w:p w14:paraId="24E66B2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2.15</w:t>
      </w:r>
      <w:r>
        <w:rPr>
          <w:rFonts w:hint="eastAsia" w:ascii="仿宋" w:hAnsi="仿宋" w:eastAsia="仿宋" w:cs="仿宋"/>
        </w:rPr>
        <w:t>具有三种以上粒径分布计算模式（标准: General Purpose, Multiple narrow mode, Discrete Exponentials ）</w:t>
      </w:r>
    </w:p>
    <w:p w14:paraId="4F8D036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6B3D41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ZETA电位：</w:t>
      </w:r>
    </w:p>
    <w:p w14:paraId="5977ED0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2.16</w:t>
      </w:r>
      <w:r>
        <w:rPr>
          <w:rFonts w:hint="eastAsia" w:ascii="仿宋" w:hAnsi="仿宋" w:eastAsia="仿宋" w:cs="仿宋"/>
        </w:rPr>
        <w:t>zeta适合检测粒度范围：3.8nm-100um</w:t>
      </w:r>
    </w:p>
    <w:p w14:paraId="57B4B5C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2.17</w:t>
      </w:r>
      <w:r>
        <w:rPr>
          <w:rFonts w:hint="eastAsia" w:ascii="仿宋" w:hAnsi="仿宋" w:eastAsia="仿宋" w:cs="仿宋"/>
        </w:rPr>
        <w:t>*zeta电位范围：无有效限制</w:t>
      </w:r>
    </w:p>
    <w:p w14:paraId="50CF789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2.18</w:t>
      </w:r>
      <w:r>
        <w:rPr>
          <w:rFonts w:hint="eastAsia" w:ascii="仿宋" w:hAnsi="仿宋" w:eastAsia="仿宋" w:cs="仿宋"/>
        </w:rPr>
        <w:t>迁移率：&gt; ± 20 μ.cm/V.s；</w:t>
      </w:r>
    </w:p>
    <w:p w14:paraId="3477AB4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▲2.19</w:t>
      </w:r>
      <w:r>
        <w:rPr>
          <w:rFonts w:hint="eastAsia" w:ascii="仿宋" w:hAnsi="仿宋" w:eastAsia="仿宋" w:cs="仿宋"/>
        </w:rPr>
        <w:t>采用高频快场+低频慢场测量技术，无需校准样品池，克服电渗影响；</w:t>
      </w:r>
    </w:p>
    <w:p w14:paraId="1265B21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2.20</w:t>
      </w:r>
      <w:r>
        <w:rPr>
          <w:rFonts w:hint="eastAsia" w:ascii="仿宋" w:hAnsi="仿宋" w:eastAsia="仿宋" w:cs="仿宋"/>
        </w:rPr>
        <w:t>采用最新PALS相位分析技术，可检测高盐低盐浓度；</w:t>
      </w:r>
    </w:p>
    <w:p w14:paraId="7CBB97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▲2.21</w:t>
      </w:r>
      <w:r>
        <w:rPr>
          <w:rFonts w:hint="eastAsia" w:ascii="仿宋" w:hAnsi="仿宋" w:eastAsia="仿宋" w:cs="仿宋"/>
        </w:rPr>
        <w:t>采用弯曲式毛细管流动池，避免交叉污染；</w:t>
      </w:r>
    </w:p>
    <w:p w14:paraId="54D44E5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2.22</w:t>
      </w:r>
      <w:r>
        <w:rPr>
          <w:rFonts w:hint="eastAsia" w:ascii="仿宋" w:hAnsi="仿宋" w:eastAsia="仿宋" w:cs="仿宋"/>
        </w:rPr>
        <w:t>最小样品量 20 μL</w:t>
      </w:r>
    </w:p>
    <w:p w14:paraId="0553855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2.23</w:t>
      </w:r>
      <w:r>
        <w:rPr>
          <w:rFonts w:hint="eastAsia" w:ascii="仿宋" w:hAnsi="仿宋" w:eastAsia="仿宋" w:cs="仿宋"/>
        </w:rPr>
        <w:t>电导率范围： 0 - 260 mS/cm；</w:t>
      </w:r>
    </w:p>
    <w:p w14:paraId="0540770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2.24</w:t>
      </w:r>
      <w:r>
        <w:rPr>
          <w:rFonts w:hint="eastAsia" w:ascii="仿宋" w:hAnsi="仿宋" w:eastAsia="仿宋" w:cs="仿宋"/>
        </w:rPr>
        <w:t>最大浓度范围 40% w/v</w:t>
      </w:r>
    </w:p>
    <w:p w14:paraId="4E5033E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0FB447F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样品浓度检测</w:t>
      </w:r>
    </w:p>
    <w:p w14:paraId="732F003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▲2.25</w:t>
      </w:r>
      <w:r>
        <w:rPr>
          <w:rFonts w:hint="eastAsia" w:ascii="仿宋" w:hAnsi="仿宋" w:eastAsia="仿宋" w:cs="仿宋"/>
        </w:rPr>
        <w:t>检测原理：多角度光散射+米氏理论</w:t>
      </w:r>
    </w:p>
    <w:p w14:paraId="47329B9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26</w:t>
      </w:r>
      <w:r>
        <w:rPr>
          <w:rFonts w:hint="eastAsia" w:ascii="仿宋" w:hAnsi="仿宋" w:eastAsia="仿宋" w:cs="仿宋"/>
        </w:rPr>
        <w:t xml:space="preserve">浓度范围：1 x 108 – 1 x 1012 个/ml </w:t>
      </w:r>
    </w:p>
    <w:p w14:paraId="60EC283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6581AAD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 纳米粒度及ZETA电位测定仪 1台</w:t>
      </w:r>
    </w:p>
    <w:p w14:paraId="1796EF2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2 粒径样品池1盒（100个/盒）</w:t>
      </w:r>
    </w:p>
    <w:p w14:paraId="34FAD25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3 电位样品池1盒（10个/盒）</w:t>
      </w:r>
    </w:p>
    <w:p w14:paraId="68A81C6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4 随机电位标样1瓶</w:t>
      </w:r>
    </w:p>
    <w:p w14:paraId="75F1CF8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5 玻璃粒径样品池1个</w:t>
      </w:r>
    </w:p>
    <w:p w14:paraId="6559777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6仪器设备显示、操作端一套；</w:t>
      </w:r>
    </w:p>
    <w:p w14:paraId="6E8DB00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2C58EB7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AC7783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0108C4E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0F3F176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3E7955D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55FBC78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1E4CDA1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3874531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2F870F9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72CEE09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品目7</w:t>
      </w:r>
      <w:r>
        <w:rPr>
          <w:rFonts w:hint="eastAsia" w:ascii="仿宋" w:hAnsi="仿宋" w:eastAsia="仿宋" w:cs="仿宋"/>
          <w:b/>
          <w:bCs/>
        </w:rPr>
        <w:tab/>
      </w:r>
      <w:r>
        <w:rPr>
          <w:rFonts w:hint="eastAsia" w:ascii="仿宋" w:hAnsi="仿宋" w:eastAsia="仿宋" w:cs="仿宋"/>
          <w:b/>
          <w:bCs/>
        </w:rPr>
        <w:t>加压流体萃取仪</w:t>
      </w:r>
    </w:p>
    <w:p w14:paraId="2D20F5C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5E0C34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1764E7B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051E2B7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10966DB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22968C3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 流量泵压力：常压-20 Mpa。</w:t>
      </w:r>
    </w:p>
    <w:p w14:paraId="10B7EB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2.2 溶剂控制系统：4种溶剂以任意比例混合；具有溶剂混合系统，确保不同溶剂根据需求混合。</w:t>
      </w:r>
    </w:p>
    <w:p w14:paraId="364EB32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2.3 泵：采购并行高精度流量泵，流速0~100mL/min；可根据萃取池的不同体积自动调节泵速，缩短加液时间并且有效降低过压情况，提高了系统运行的稳定性</w:t>
      </w:r>
    </w:p>
    <w:p w14:paraId="659AC59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2.4 可同时处理6个样品，同步完成6个样品的溶剂添加、加压、升温、静态萃取、溶剂收集、清洗全过程，可与浓缩模块兼容使用。</w:t>
      </w:r>
    </w:p>
    <w:p w14:paraId="5280B09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2.5 独立通道：每个萃取池的出入口都具有单独的阀，出口阀可以选择收集或者排到废液。当处理一个样品时，其他样品位不进液体，无需摆放空管，不仅降低交叉污染的风险而且节约成本。</w:t>
      </w:r>
    </w:p>
    <w:p w14:paraId="662390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2.6 萃取池：自动密封，萃取池装载完样品后可直接放入仪器，由仪器以机械形式完成萃取池的密封操作，无手动旋紧固定操作，操作便捷。</w:t>
      </w:r>
    </w:p>
    <w:p w14:paraId="769C708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2.7  反应釜：11mL，22mL，34mL，66mL反应釜规格，满足不同方法中快速溶剂萃取体积的需求，</w:t>
      </w:r>
    </w:p>
    <w:p w14:paraId="40959E0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2.8  收集模块：具备80 ~300mL带定容尾管试管。</w:t>
      </w:r>
    </w:p>
    <w:p w14:paraId="066B750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2.9  温控范围：室温~200℃，控温精度±1℃。</w:t>
      </w:r>
    </w:p>
    <w:p w14:paraId="796F9A2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2.10 加热方式：环抱式加热，升温快；安全模块，具备压力控制单元和过压过温保护功能，自适应压力调节，平衡式控压，确保萃取压力的稳定性，在压力或温度过高时会被激活，自动泄压保证实验室人员安全。</w:t>
      </w:r>
    </w:p>
    <w:p w14:paraId="0746BD4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2.11 萃取池密封圈具备使用计次功能，当密封圈使用超过一定次数，仪器自动提醒进行密封圈更换。具有溶剂管理系统，溶剂不足，自动报警提醒方可运行。</w:t>
      </w:r>
    </w:p>
    <w:p w14:paraId="6567076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2.12 具有氮气自动吹扫功能，避免样品在反应釜中的转移不完全。</w:t>
      </w:r>
    </w:p>
    <w:p w14:paraId="70198F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2.13 固定式触摸屏控制，无需外置控制端，有效的节省了实验室空间，操作便捷，工作站软件可对仪器各部分进行实时反控。</w:t>
      </w:r>
    </w:p>
    <w:p w14:paraId="7E98C21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2.14 操作软件：人性化交互界面，方法编辑与运行简单快捷。</w:t>
      </w:r>
    </w:p>
    <w:p w14:paraId="2FC814E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2.15 具有方法编辑错误智能提醒功能，方便用户操作使用。</w:t>
      </w:r>
    </w:p>
    <w:p w14:paraId="35B2A08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2.16 全方位日志，全程可追溯。</w:t>
      </w:r>
    </w:p>
    <w:p w14:paraId="3379175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1B0D09F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2AFC91B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3.1加压流体萃取主机1台</w:t>
      </w:r>
    </w:p>
    <w:p w14:paraId="1B6AB43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3.2 34mL萃取釜反应釜套件6个</w:t>
      </w:r>
    </w:p>
    <w:p w14:paraId="43DEC2D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3.3上部密封圈6片</w:t>
      </w:r>
    </w:p>
    <w:p w14:paraId="50AB13D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3.4下部密封圈6片</w:t>
      </w:r>
    </w:p>
    <w:p w14:paraId="4C04349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3.5 1000mL溶剂瓶4只</w:t>
      </w:r>
    </w:p>
    <w:p w14:paraId="226CE54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3.6 300ml收集管12只</w:t>
      </w:r>
    </w:p>
    <w:p w14:paraId="5245F9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3.7 滤纸200张</w:t>
      </w:r>
    </w:p>
    <w:p w14:paraId="03A392C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3.8 维护工具包1套</w:t>
      </w:r>
    </w:p>
    <w:p w14:paraId="6990192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3.9收集管搁置架1个</w:t>
      </w:r>
    </w:p>
    <w:p w14:paraId="01F6630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3.10萃取釜搁置架1个</w:t>
      </w:r>
    </w:p>
    <w:p w14:paraId="52F9965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3.11 冷凝系统1套</w:t>
      </w:r>
    </w:p>
    <w:p w14:paraId="1EBF22D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3.12加压系统 1套</w:t>
      </w:r>
    </w:p>
    <w:p w14:paraId="0E19633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3.13用户手册 1本</w:t>
      </w:r>
    </w:p>
    <w:p w14:paraId="252A7E1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628994D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20D39B9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0002DE1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28C0CAD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27464EC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77EBE6E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2952C64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6F2DB8E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1F3221C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347A072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7CDE9EE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品目8</w:t>
      </w:r>
      <w:r>
        <w:rPr>
          <w:rFonts w:hint="eastAsia" w:ascii="仿宋" w:hAnsi="仿宋" w:eastAsia="仿宋" w:cs="仿宋"/>
          <w:b/>
          <w:bCs/>
        </w:rPr>
        <w:tab/>
      </w:r>
      <w:r>
        <w:rPr>
          <w:rFonts w:hint="eastAsia" w:ascii="仿宋" w:hAnsi="仿宋" w:eastAsia="仿宋" w:cs="仿宋"/>
          <w:b/>
          <w:bCs/>
        </w:rPr>
        <w:t>冷冻离心浓缩仪</w:t>
      </w:r>
    </w:p>
    <w:p w14:paraId="2C0ED1D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60A5E06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443F145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7ABBDDF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36C9429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075D32A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要求仪器具有人性化设计：10寸液晶屏幕，触屏一键操作，安全便捷，操作面板可以设定离心速度、运行时间、加热温度，可以实时显示真空值等参数。</w:t>
      </w:r>
    </w:p>
    <w:p w14:paraId="4526AB6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为确保样品的损失少、无交叉污染。要求：仪器的真空孔被设计在离心腔中部，抽气气流不会导致液体飞出，避免污染和样品损失。</w:t>
      </w:r>
    </w:p>
    <w:p w14:paraId="0E0D39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为了能够实现在不停机的情况下观察样品浓缩情况，要求仪器不停机的情况下具有离心成像功能。</w:t>
      </w:r>
    </w:p>
    <w:p w14:paraId="4418E49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压铸一体式腔体，腔体强度高，导热效能更好。</w:t>
      </w:r>
    </w:p>
    <w:p w14:paraId="4905C95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2.5</w:t>
      </w:r>
      <w:r>
        <w:rPr>
          <w:rFonts w:hint="eastAsia" w:ascii="仿宋" w:hAnsi="仿宋" w:eastAsia="仿宋" w:cs="仿宋"/>
        </w:rPr>
        <w:t>转子：1.5mL</w:t>
      </w:r>
      <w:r>
        <w:rPr>
          <w:rFonts w:hint="eastAsia" w:ascii="仿宋" w:hAnsi="仿宋" w:eastAsia="仿宋" w:cs="仿宋"/>
          <w:lang w:val="en-US" w:eastAsia="zh-CN"/>
        </w:rPr>
        <w:t>/2ml</w:t>
      </w:r>
      <w:r>
        <w:rPr>
          <w:rFonts w:hint="eastAsia" w:ascii="仿宋" w:hAnsi="仿宋" w:eastAsia="仿宋" w:cs="仿宋"/>
        </w:rPr>
        <w:t>*</w:t>
      </w:r>
      <w:r>
        <w:rPr>
          <w:rFonts w:hint="eastAsia" w:ascii="仿宋" w:hAnsi="仿宋" w:eastAsia="仿宋" w:cs="仿宋"/>
          <w:lang w:val="en-US" w:eastAsia="zh-CN"/>
        </w:rPr>
        <w:t>132</w:t>
      </w:r>
      <w:r>
        <w:rPr>
          <w:rFonts w:hint="eastAsia" w:ascii="仿宋" w:hAnsi="仿宋" w:eastAsia="仿宋" w:cs="仿宋"/>
        </w:rPr>
        <w:t>、5mL*72、</w:t>
      </w:r>
      <w:r>
        <w:rPr>
          <w:rFonts w:hint="eastAsia" w:ascii="仿宋" w:hAnsi="仿宋" w:eastAsia="仿宋" w:cs="仿宋"/>
          <w:lang w:val="en-US" w:eastAsia="zh-CN"/>
        </w:rPr>
        <w:t>10-</w:t>
      </w:r>
      <w:r>
        <w:rPr>
          <w:rFonts w:hint="eastAsia" w:ascii="仿宋" w:hAnsi="仿宋" w:eastAsia="仿宋" w:cs="仿宋"/>
        </w:rPr>
        <w:t>15mL*</w:t>
      </w:r>
      <w:r>
        <w:rPr>
          <w:rFonts w:hint="eastAsia" w:ascii="仿宋" w:hAnsi="仿宋" w:eastAsia="仿宋" w:cs="仿宋"/>
          <w:lang w:val="en-US" w:eastAsia="zh-CN"/>
        </w:rPr>
        <w:t>28</w:t>
      </w:r>
      <w:r>
        <w:rPr>
          <w:rFonts w:hint="eastAsia" w:ascii="仿宋" w:hAnsi="仿宋" w:eastAsia="仿宋" w:cs="仿宋"/>
        </w:rPr>
        <w:t>、50mL*</w:t>
      </w:r>
      <w:r>
        <w:rPr>
          <w:rFonts w:hint="eastAsia" w:ascii="仿宋" w:hAnsi="仿宋" w:eastAsia="仿宋" w:cs="仿宋"/>
          <w:lang w:val="en-US" w:eastAsia="zh-CN"/>
        </w:rPr>
        <w:t>8+10ml*8</w:t>
      </w:r>
      <w:r>
        <w:rPr>
          <w:rFonts w:hint="eastAsia" w:ascii="仿宋" w:hAnsi="仿宋" w:eastAsia="仿宋" w:cs="仿宋"/>
        </w:rPr>
        <w:t>、</w:t>
      </w:r>
      <w:r>
        <w:rPr>
          <w:rFonts w:hint="eastAsia" w:ascii="仿宋" w:hAnsi="仿宋" w:eastAsia="仿宋" w:cs="仿宋"/>
          <w:lang w:val="en-US" w:eastAsia="zh-CN"/>
        </w:rPr>
        <w:t>100ml*8、微孔板*2*/H、4ml*60进样瓶、8ml*32进样瓶、2ml*90*2双层转子、250ml*4可供选择。</w:t>
      </w:r>
    </w:p>
    <w:p w14:paraId="5F08FDB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转速：100-2000r/min，最大离心力；≤550g</w:t>
      </w:r>
    </w:p>
    <w:p w14:paraId="5174FED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定时范围：0-9999h59min</w:t>
      </w:r>
    </w:p>
    <w:p w14:paraId="2330A2A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2.8</w:t>
      </w:r>
      <w:r>
        <w:rPr>
          <w:rFonts w:hint="eastAsia" w:ascii="仿宋" w:hAnsi="仿宋" w:eastAsia="仿宋" w:cs="仿宋"/>
        </w:rPr>
        <w:t>样品腔温控范围：</w:t>
      </w:r>
      <w:r>
        <w:rPr>
          <w:rFonts w:hint="eastAsia" w:ascii="仿宋" w:hAnsi="仿宋" w:eastAsia="仿宋" w:cs="仿宋"/>
          <w:lang w:val="en-US" w:eastAsia="zh-CN"/>
        </w:rPr>
        <w:t>﹣10</w:t>
      </w:r>
      <w:r>
        <w:rPr>
          <w:rFonts w:hint="eastAsia" w:ascii="仿宋" w:hAnsi="仿宋" w:eastAsia="仿宋" w:cs="仿宋"/>
        </w:rPr>
        <w:t>℃~100℃</w:t>
      </w:r>
      <w:r>
        <w:rPr>
          <w:rFonts w:hint="eastAsia" w:ascii="仿宋" w:hAnsi="仿宋" w:eastAsia="仿宋" w:cs="仿宋"/>
          <w:lang w:eastAsia="zh-CN"/>
        </w:rPr>
        <w:t>，</w:t>
      </w:r>
      <w:r>
        <w:rPr>
          <w:rFonts w:hint="eastAsia" w:ascii="仿宋" w:hAnsi="仿宋" w:eastAsia="仿宋" w:cs="仿宋"/>
          <w:lang w:val="en-US" w:eastAsia="zh-CN"/>
        </w:rPr>
        <w:t>离心浓缩仪主机低温可以保护样品活性，进而在浓缩过程中样品不会变形</w:t>
      </w:r>
    </w:p>
    <w:p w14:paraId="06C7CE3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2.9</w:t>
      </w:r>
      <w:r>
        <w:rPr>
          <w:rFonts w:hint="eastAsia" w:ascii="仿宋" w:hAnsi="仿宋" w:eastAsia="仿宋" w:cs="仿宋"/>
        </w:rPr>
        <w:t>内置式真空延迟功能，在转速达到预设值后抽真空。</w:t>
      </w:r>
    </w:p>
    <w:p w14:paraId="108A6CD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2.10</w:t>
      </w:r>
      <w:r>
        <w:rPr>
          <w:rFonts w:hint="eastAsia" w:ascii="仿宋" w:hAnsi="仿宋" w:eastAsia="仿宋" w:cs="仿宋"/>
        </w:rPr>
        <w:t>加热方式：电加热，可整体提升浓缩效率。</w:t>
      </w:r>
    </w:p>
    <w:p w14:paraId="15279EC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2.11</w:t>
      </w:r>
      <w:r>
        <w:rPr>
          <w:rFonts w:hint="eastAsia" w:ascii="仿宋" w:hAnsi="仿宋" w:eastAsia="仿宋" w:cs="仿宋"/>
        </w:rPr>
        <w:t>采用进口IBIDI大功率磁悬浮电磁驱动离心、噪音小、免维护采用</w:t>
      </w:r>
      <w:r>
        <w:rPr>
          <w:rFonts w:hint="eastAsia" w:ascii="仿宋" w:hAnsi="仿宋" w:eastAsia="仿宋" w:cs="仿宋"/>
          <w:lang w:eastAsia="zh-CN"/>
        </w:rPr>
        <w:t>（</w:t>
      </w:r>
      <w:r>
        <w:rPr>
          <w:rFonts w:hint="eastAsia" w:ascii="仿宋" w:hAnsi="仿宋" w:eastAsia="仿宋" w:cs="仿宋"/>
          <w:lang w:val="en-US" w:eastAsia="zh-CN"/>
        </w:rPr>
        <w:t>提供证明材料</w:t>
      </w:r>
      <w:r>
        <w:rPr>
          <w:rFonts w:hint="eastAsia" w:ascii="仿宋" w:hAnsi="仿宋" w:eastAsia="仿宋" w:cs="仿宋"/>
          <w:lang w:eastAsia="zh-CN"/>
        </w:rPr>
        <w:t>）</w:t>
      </w:r>
      <w:r>
        <w:rPr>
          <w:rFonts w:hint="eastAsia" w:ascii="仿宋" w:hAnsi="仿宋" w:eastAsia="仿宋" w:cs="仿宋"/>
        </w:rPr>
        <w:t>。</w:t>
      </w:r>
    </w:p>
    <w:p w14:paraId="1EB4AAF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2.12</w:t>
      </w:r>
      <w:r>
        <w:rPr>
          <w:rFonts w:hint="eastAsia" w:ascii="仿宋" w:hAnsi="仿宋" w:eastAsia="仿宋" w:cs="仿宋"/>
        </w:rPr>
        <w:t>安全设计；断电自动泄真空，保护样品安全。</w:t>
      </w:r>
    </w:p>
    <w:p w14:paraId="159E5DD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2.13</w:t>
      </w:r>
      <w:r>
        <w:rPr>
          <w:rFonts w:hint="eastAsia" w:ascii="仿宋" w:hAnsi="仿宋" w:eastAsia="仿宋" w:cs="仿宋"/>
        </w:rPr>
        <w:t>定制开模双层耐腐蚀密封圈，超长使用寿命。</w:t>
      </w:r>
    </w:p>
    <w:p w14:paraId="6298D13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▲2.14极限真空度：≤0.03mbar</w:t>
      </w:r>
    </w:p>
    <w:p w14:paraId="56AAF4C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▲2.15冷阱温度：﹣65</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lang w:val="en-US" w:eastAsia="zh-CN"/>
        </w:rPr>
        <w:t>真空泵：配备高端真空油泵</w:t>
      </w:r>
    </w:p>
    <w:p w14:paraId="50B7235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2.16储存参数：64组（8个梯度程序）</w:t>
      </w:r>
    </w:p>
    <w:p w14:paraId="4100DCA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456B2D3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主机一台</w:t>
      </w:r>
    </w:p>
    <w:p w14:paraId="3988682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转子2套任选</w:t>
      </w:r>
    </w:p>
    <w:p w14:paraId="16BD64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﹣65℃冷阱一台</w:t>
      </w:r>
    </w:p>
    <w:p w14:paraId="5FB83D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textAlignment w:val="auto"/>
        <w:rPr>
          <w:rFonts w:hint="eastAsia" w:ascii="仿宋" w:hAnsi="仿宋" w:eastAsia="仿宋" w:cs="仿宋"/>
        </w:rPr>
      </w:pPr>
      <w:r>
        <w:rPr>
          <w:rFonts w:hint="eastAsia" w:ascii="仿宋" w:hAnsi="仿宋" w:eastAsia="仿宋" w:cs="仿宋"/>
          <w:lang w:val="en-US" w:eastAsia="zh-CN"/>
        </w:rPr>
        <w:t>3.4</w:t>
      </w:r>
      <w:r>
        <w:rPr>
          <w:rFonts w:hint="eastAsia" w:ascii="仿宋" w:hAnsi="仿宋" w:eastAsia="仿宋" w:cs="仿宋"/>
        </w:rPr>
        <w:t>高端真空油泵一台</w:t>
      </w:r>
    </w:p>
    <w:p w14:paraId="68F75A4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457FF33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09CD57B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7E9B9AB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02249E2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75B22B7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7DDE850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443B9CE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6C5C846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43A4161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4C9C13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品目9</w:t>
      </w:r>
      <w:r>
        <w:rPr>
          <w:rFonts w:hint="eastAsia" w:ascii="仿宋" w:hAnsi="仿宋" w:eastAsia="仿宋" w:cs="仿宋"/>
          <w:b/>
          <w:bCs/>
        </w:rPr>
        <w:tab/>
      </w:r>
      <w:r>
        <w:rPr>
          <w:rFonts w:hint="eastAsia" w:ascii="仿宋" w:hAnsi="仿宋" w:eastAsia="仿宋" w:cs="仿宋"/>
          <w:b/>
          <w:bCs/>
        </w:rPr>
        <w:t>真空冷冻干燥机（国产）</w:t>
      </w:r>
    </w:p>
    <w:p w14:paraId="5EA0BF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02E015D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62ED1F9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0CD0A8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5F64880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41B2255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最大冻干面积</w:t>
      </w:r>
      <w:r>
        <w:rPr>
          <w:rFonts w:hint="eastAsia" w:ascii="仿宋" w:hAnsi="仿宋" w:eastAsia="仿宋" w:cs="仿宋"/>
          <w:lang w:eastAsia="zh-CN"/>
        </w:rPr>
        <w:t>：</w:t>
      </w:r>
      <w:r>
        <w:rPr>
          <w:rFonts w:hint="eastAsia" w:ascii="仿宋" w:hAnsi="仿宋" w:eastAsia="仿宋" w:cs="仿宋"/>
        </w:rPr>
        <w:t xml:space="preserve"> 0.2㎡</w:t>
      </w:r>
    </w:p>
    <w:p w14:paraId="0E2855E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真空度（空载）</w:t>
      </w:r>
      <w:r>
        <w:rPr>
          <w:rFonts w:hint="eastAsia" w:ascii="仿宋" w:hAnsi="仿宋" w:eastAsia="仿宋" w:cs="仿宋"/>
          <w:lang w:eastAsia="zh-CN"/>
        </w:rPr>
        <w:t>：</w:t>
      </w:r>
      <w:r>
        <w:rPr>
          <w:rFonts w:hint="eastAsia" w:ascii="仿宋" w:hAnsi="仿宋" w:eastAsia="仿宋" w:cs="仿宋"/>
        </w:rPr>
        <w:t xml:space="preserve"> ＜1Pa</w:t>
      </w:r>
    </w:p>
    <w:p w14:paraId="5818C6A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冷阱温度（空载）</w:t>
      </w:r>
      <w:r>
        <w:rPr>
          <w:rFonts w:hint="eastAsia" w:ascii="仿宋" w:hAnsi="仿宋" w:eastAsia="仿宋" w:cs="仿宋"/>
          <w:lang w:eastAsia="zh-CN"/>
        </w:rPr>
        <w:t>：</w:t>
      </w:r>
      <w:r>
        <w:rPr>
          <w:rFonts w:hint="eastAsia" w:ascii="仿宋" w:hAnsi="仿宋" w:eastAsia="仿宋" w:cs="仿宋"/>
        </w:rPr>
        <w:t xml:space="preserve"> -85℃</w:t>
      </w:r>
    </w:p>
    <w:p w14:paraId="5AC4B3E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板层温度（空载）</w:t>
      </w:r>
      <w:r>
        <w:rPr>
          <w:rFonts w:hint="eastAsia" w:ascii="仿宋" w:hAnsi="仿宋" w:eastAsia="仿宋" w:cs="仿宋"/>
          <w:lang w:eastAsia="zh-CN"/>
        </w:rPr>
        <w:t>：</w:t>
      </w:r>
      <w:r>
        <w:rPr>
          <w:rFonts w:hint="eastAsia" w:ascii="仿宋" w:hAnsi="仿宋" w:eastAsia="仿宋" w:cs="仿宋"/>
        </w:rPr>
        <w:t xml:space="preserve"> -55℃</w:t>
      </w:r>
    </w:p>
    <w:p w14:paraId="41A6B96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板层尺寸</w:t>
      </w:r>
      <w:r>
        <w:rPr>
          <w:rFonts w:hint="eastAsia" w:ascii="仿宋" w:hAnsi="仿宋" w:eastAsia="仿宋" w:cs="仿宋"/>
          <w:lang w:eastAsia="zh-CN"/>
        </w:rPr>
        <w:t>：</w:t>
      </w:r>
      <w:r>
        <w:rPr>
          <w:rFonts w:hint="eastAsia" w:ascii="仿宋" w:hAnsi="仿宋" w:eastAsia="仿宋" w:cs="仿宋"/>
        </w:rPr>
        <w:t xml:space="preserve"> 270x376mm</w:t>
      </w:r>
    </w:p>
    <w:p w14:paraId="7901ED1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2.6</w:t>
      </w:r>
      <w:r>
        <w:rPr>
          <w:rFonts w:hint="eastAsia" w:ascii="仿宋" w:hAnsi="仿宋" w:eastAsia="仿宋" w:cs="仿宋"/>
        </w:rPr>
        <w:t>板层间距</w:t>
      </w:r>
      <w:r>
        <w:rPr>
          <w:rFonts w:hint="eastAsia" w:ascii="仿宋" w:hAnsi="仿宋" w:eastAsia="仿宋" w:cs="仿宋"/>
          <w:lang w:eastAsia="zh-CN"/>
        </w:rPr>
        <w:t>：</w:t>
      </w:r>
      <w:r>
        <w:rPr>
          <w:rFonts w:hint="eastAsia" w:ascii="仿宋" w:hAnsi="仿宋" w:eastAsia="仿宋" w:cs="仿宋"/>
        </w:rPr>
        <w:t xml:space="preserve"> 77mm</w:t>
      </w:r>
    </w:p>
    <w:p w14:paraId="176ACA8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捕水能力</w:t>
      </w:r>
      <w:r>
        <w:rPr>
          <w:rFonts w:hint="eastAsia" w:ascii="仿宋" w:hAnsi="仿宋" w:eastAsia="仿宋" w:cs="仿宋"/>
          <w:lang w:eastAsia="zh-CN"/>
        </w:rPr>
        <w:t>：</w:t>
      </w:r>
      <w:r>
        <w:rPr>
          <w:rFonts w:hint="eastAsia" w:ascii="仿宋" w:hAnsi="仿宋" w:eastAsia="仿宋" w:cs="仿宋"/>
        </w:rPr>
        <w:t xml:space="preserve"> 4L</w:t>
      </w:r>
    </w:p>
    <w:p w14:paraId="51DB0D2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 xml:space="preserve">冻干效率 </w:t>
      </w:r>
      <w:r>
        <w:rPr>
          <w:rFonts w:hint="eastAsia" w:ascii="仿宋" w:hAnsi="仿宋" w:eastAsia="仿宋" w:cs="仿宋"/>
          <w:lang w:eastAsia="zh-CN"/>
        </w:rPr>
        <w:t>：</w:t>
      </w:r>
      <w:r>
        <w:rPr>
          <w:rFonts w:hint="eastAsia" w:ascii="仿宋" w:hAnsi="仿宋" w:eastAsia="仿宋" w:cs="仿宋"/>
        </w:rPr>
        <w:t>2L/24H</w:t>
      </w:r>
    </w:p>
    <w:p w14:paraId="2D6F0F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2.9</w:t>
      </w:r>
      <w:r>
        <w:rPr>
          <w:rFonts w:hint="eastAsia" w:ascii="仿宋" w:hAnsi="仿宋" w:eastAsia="仿宋" w:cs="仿宋"/>
        </w:rPr>
        <w:t xml:space="preserve">真空泵效率 </w:t>
      </w:r>
      <w:r>
        <w:rPr>
          <w:rFonts w:hint="eastAsia" w:ascii="仿宋" w:hAnsi="仿宋" w:eastAsia="仿宋" w:cs="仿宋"/>
          <w:lang w:eastAsia="zh-CN"/>
        </w:rPr>
        <w:t>：</w:t>
      </w:r>
      <w:r>
        <w:rPr>
          <w:rFonts w:hint="eastAsia" w:ascii="仿宋" w:hAnsi="仿宋" w:eastAsia="仿宋" w:cs="仿宋"/>
        </w:rPr>
        <w:t>4L/S</w:t>
      </w:r>
    </w:p>
    <w:p w14:paraId="2C3BCDF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2.10</w:t>
      </w:r>
      <w:r>
        <w:rPr>
          <w:rFonts w:hint="eastAsia" w:ascii="仿宋" w:hAnsi="仿宋" w:eastAsia="仿宋" w:cs="仿宋"/>
        </w:rPr>
        <w:t>控制方式</w:t>
      </w:r>
      <w:r>
        <w:rPr>
          <w:rFonts w:hint="eastAsia" w:ascii="仿宋" w:hAnsi="仿宋" w:eastAsia="仿宋" w:cs="仿宋"/>
          <w:lang w:eastAsia="zh-CN"/>
        </w:rPr>
        <w:t>：</w:t>
      </w:r>
      <w:r>
        <w:rPr>
          <w:rFonts w:hint="eastAsia" w:ascii="仿宋" w:hAnsi="仿宋" w:eastAsia="仿宋" w:cs="仿宋"/>
        </w:rPr>
        <w:t xml:space="preserve"> PLC</w:t>
      </w:r>
    </w:p>
    <w:p w14:paraId="2566C66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2.11</w:t>
      </w:r>
      <w:r>
        <w:rPr>
          <w:rFonts w:hint="eastAsia" w:ascii="仿宋" w:hAnsi="仿宋" w:eastAsia="仿宋" w:cs="仿宋"/>
        </w:rPr>
        <w:t xml:space="preserve">复压自动 </w:t>
      </w:r>
      <w:r>
        <w:rPr>
          <w:rFonts w:hint="eastAsia" w:ascii="仿宋" w:hAnsi="仿宋" w:eastAsia="仿宋" w:cs="仿宋"/>
          <w:lang w:eastAsia="zh-CN"/>
        </w:rPr>
        <w:t>：</w:t>
      </w:r>
      <w:r>
        <w:rPr>
          <w:rFonts w:hint="eastAsia" w:ascii="仿宋" w:hAnsi="仿宋" w:eastAsia="仿宋" w:cs="仿宋"/>
        </w:rPr>
        <w:t>复压</w:t>
      </w:r>
    </w:p>
    <w:p w14:paraId="5DBA817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2.12</w:t>
      </w:r>
      <w:r>
        <w:rPr>
          <w:rFonts w:hint="eastAsia" w:ascii="仿宋" w:hAnsi="仿宋" w:eastAsia="仿宋" w:cs="仿宋"/>
        </w:rPr>
        <w:t xml:space="preserve">压缩机功率 </w:t>
      </w:r>
      <w:r>
        <w:rPr>
          <w:rFonts w:hint="eastAsia" w:ascii="仿宋" w:hAnsi="仿宋" w:eastAsia="仿宋" w:cs="仿宋"/>
          <w:lang w:eastAsia="zh-CN"/>
        </w:rPr>
        <w:t>：</w:t>
      </w:r>
      <w:r>
        <w:rPr>
          <w:rFonts w:hint="eastAsia" w:ascii="仿宋" w:hAnsi="仿宋" w:eastAsia="仿宋" w:cs="仿宋"/>
        </w:rPr>
        <w:t>7/8HP*2</w:t>
      </w:r>
    </w:p>
    <w:p w14:paraId="6DCF07C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687AA3B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w:t>
      </w:r>
      <w:r>
        <w:rPr>
          <w:rFonts w:hint="eastAsia" w:ascii="仿宋" w:hAnsi="仿宋" w:eastAsia="仿宋" w:cs="仿宋"/>
        </w:rPr>
        <w:tab/>
      </w:r>
      <w:r>
        <w:rPr>
          <w:rFonts w:hint="eastAsia" w:ascii="仿宋" w:hAnsi="仿宋" w:eastAsia="仿宋" w:cs="仿宋"/>
        </w:rPr>
        <w:t>主机</w:t>
      </w:r>
      <w:r>
        <w:rPr>
          <w:rFonts w:hint="eastAsia" w:ascii="仿宋" w:hAnsi="仿宋" w:eastAsia="仿宋" w:cs="仿宋"/>
        </w:rPr>
        <w:tab/>
      </w:r>
      <w:r>
        <w:rPr>
          <w:rFonts w:hint="eastAsia" w:ascii="仿宋" w:hAnsi="仿宋" w:eastAsia="仿宋" w:cs="仿宋"/>
        </w:rPr>
        <w:t>1台</w:t>
      </w:r>
    </w:p>
    <w:p w14:paraId="539E04C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物料盘</w:t>
      </w:r>
      <w:r>
        <w:rPr>
          <w:rFonts w:hint="eastAsia" w:ascii="仿宋" w:hAnsi="仿宋" w:eastAsia="仿宋" w:cs="仿宋"/>
        </w:rPr>
        <w:tab/>
      </w:r>
      <w:r>
        <w:rPr>
          <w:rFonts w:hint="eastAsia" w:ascii="仿宋" w:hAnsi="仿宋" w:eastAsia="仿宋" w:cs="仿宋"/>
        </w:rPr>
        <w:t>2个</w:t>
      </w:r>
    </w:p>
    <w:p w14:paraId="7269F0E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电源线</w:t>
      </w:r>
      <w:r>
        <w:rPr>
          <w:rFonts w:hint="eastAsia" w:ascii="仿宋" w:hAnsi="仿宋" w:eastAsia="仿宋" w:cs="仿宋"/>
        </w:rPr>
        <w:tab/>
      </w:r>
      <w:r>
        <w:rPr>
          <w:rFonts w:hint="eastAsia" w:ascii="仿宋" w:hAnsi="仿宋" w:eastAsia="仿宋" w:cs="仿宋"/>
        </w:rPr>
        <w:t>1条</w:t>
      </w:r>
    </w:p>
    <w:p w14:paraId="7B5F2B7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卡箍</w:t>
      </w:r>
      <w:r>
        <w:rPr>
          <w:rFonts w:hint="eastAsia" w:ascii="仿宋" w:hAnsi="仿宋" w:eastAsia="仿宋" w:cs="仿宋"/>
        </w:rPr>
        <w:tab/>
      </w:r>
      <w:r>
        <w:rPr>
          <w:rFonts w:hint="eastAsia" w:ascii="仿宋" w:hAnsi="仿宋" w:eastAsia="仿宋" w:cs="仿宋"/>
        </w:rPr>
        <w:t>3个</w:t>
      </w:r>
    </w:p>
    <w:p w14:paraId="021BA47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5</w:t>
      </w:r>
      <w:r>
        <w:rPr>
          <w:rFonts w:hint="eastAsia" w:ascii="仿宋" w:hAnsi="仿宋" w:eastAsia="仿宋" w:cs="仿宋"/>
        </w:rPr>
        <w:tab/>
      </w:r>
      <w:r>
        <w:rPr>
          <w:rFonts w:hint="eastAsia" w:ascii="仿宋" w:hAnsi="仿宋" w:eastAsia="仿宋" w:cs="仿宋"/>
        </w:rPr>
        <w:t>放水阀芯</w:t>
      </w:r>
      <w:r>
        <w:rPr>
          <w:rFonts w:hint="eastAsia" w:ascii="仿宋" w:hAnsi="仿宋" w:eastAsia="仿宋" w:cs="仿宋"/>
        </w:rPr>
        <w:tab/>
      </w:r>
      <w:r>
        <w:rPr>
          <w:rFonts w:hint="eastAsia" w:ascii="仿宋" w:hAnsi="仿宋" w:eastAsia="仿宋" w:cs="仿宋"/>
        </w:rPr>
        <w:t>1个</w:t>
      </w:r>
    </w:p>
    <w:p w14:paraId="38A9859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6</w:t>
      </w:r>
      <w:r>
        <w:rPr>
          <w:rFonts w:hint="eastAsia" w:ascii="仿宋" w:hAnsi="仿宋" w:eastAsia="仿宋" w:cs="仿宋"/>
        </w:rPr>
        <w:tab/>
      </w:r>
      <w:r>
        <w:rPr>
          <w:rFonts w:hint="eastAsia" w:ascii="仿宋" w:hAnsi="仿宋" w:eastAsia="仿宋" w:cs="仿宋"/>
        </w:rPr>
        <w:t>真空泵</w:t>
      </w:r>
      <w:r>
        <w:rPr>
          <w:rFonts w:hint="eastAsia" w:ascii="仿宋" w:hAnsi="仿宋" w:eastAsia="仿宋" w:cs="仿宋"/>
        </w:rPr>
        <w:tab/>
      </w:r>
      <w:r>
        <w:rPr>
          <w:rFonts w:hint="eastAsia" w:ascii="仿宋" w:hAnsi="仿宋" w:eastAsia="仿宋" w:cs="仿宋"/>
        </w:rPr>
        <w:t>1台</w:t>
      </w:r>
    </w:p>
    <w:p w14:paraId="38368DA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7</w:t>
      </w:r>
      <w:r>
        <w:rPr>
          <w:rFonts w:hint="eastAsia" w:ascii="仿宋" w:hAnsi="仿宋" w:eastAsia="仿宋" w:cs="仿宋"/>
        </w:rPr>
        <w:tab/>
      </w:r>
      <w:r>
        <w:rPr>
          <w:rFonts w:hint="eastAsia" w:ascii="仿宋" w:hAnsi="仿宋" w:eastAsia="仿宋" w:cs="仿宋"/>
        </w:rPr>
        <w:t>真空管</w:t>
      </w:r>
      <w:r>
        <w:rPr>
          <w:rFonts w:hint="eastAsia" w:ascii="仿宋" w:hAnsi="仿宋" w:eastAsia="仿宋" w:cs="仿宋"/>
        </w:rPr>
        <w:tab/>
      </w:r>
      <w:r>
        <w:rPr>
          <w:rFonts w:hint="eastAsia" w:ascii="仿宋" w:hAnsi="仿宋" w:eastAsia="仿宋" w:cs="仿宋"/>
        </w:rPr>
        <w:t>1套</w:t>
      </w:r>
    </w:p>
    <w:p w14:paraId="1EAE488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8</w:t>
      </w:r>
      <w:r>
        <w:rPr>
          <w:rFonts w:hint="eastAsia" w:ascii="仿宋" w:hAnsi="仿宋" w:eastAsia="仿宋" w:cs="仿宋"/>
        </w:rPr>
        <w:tab/>
      </w:r>
      <w:r>
        <w:rPr>
          <w:rFonts w:hint="eastAsia" w:ascii="仿宋" w:hAnsi="仿宋" w:eastAsia="仿宋" w:cs="仿宋"/>
        </w:rPr>
        <w:t>油雾过滤器</w:t>
      </w:r>
      <w:r>
        <w:rPr>
          <w:rFonts w:hint="eastAsia" w:ascii="仿宋" w:hAnsi="仿宋" w:eastAsia="仿宋" w:cs="仿宋"/>
        </w:rPr>
        <w:tab/>
      </w:r>
      <w:r>
        <w:rPr>
          <w:rFonts w:hint="eastAsia" w:ascii="仿宋" w:hAnsi="仿宋" w:eastAsia="仿宋" w:cs="仿宋"/>
        </w:rPr>
        <w:t>1个</w:t>
      </w:r>
    </w:p>
    <w:p w14:paraId="64806B7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9</w:t>
      </w:r>
      <w:r>
        <w:rPr>
          <w:rFonts w:hint="eastAsia" w:ascii="仿宋" w:hAnsi="仿宋" w:eastAsia="仿宋" w:cs="仿宋"/>
        </w:rPr>
        <w:tab/>
      </w:r>
      <w:r>
        <w:rPr>
          <w:rFonts w:hint="eastAsia" w:ascii="仿宋" w:hAnsi="仿宋" w:eastAsia="仿宋" w:cs="仿宋"/>
        </w:rPr>
        <w:t>说明书</w:t>
      </w:r>
      <w:r>
        <w:rPr>
          <w:rFonts w:hint="eastAsia" w:ascii="仿宋" w:hAnsi="仿宋" w:eastAsia="仿宋" w:cs="仿宋"/>
        </w:rPr>
        <w:tab/>
      </w:r>
      <w:r>
        <w:rPr>
          <w:rFonts w:hint="eastAsia" w:ascii="仿宋" w:hAnsi="仿宋" w:eastAsia="仿宋" w:cs="仿宋"/>
        </w:rPr>
        <w:t>1本</w:t>
      </w:r>
    </w:p>
    <w:p w14:paraId="3AE2761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10</w:t>
      </w:r>
      <w:r>
        <w:rPr>
          <w:rFonts w:hint="eastAsia" w:ascii="仿宋" w:hAnsi="仿宋" w:eastAsia="仿宋" w:cs="仿宋"/>
        </w:rPr>
        <w:tab/>
      </w:r>
      <w:r>
        <w:rPr>
          <w:rFonts w:hint="eastAsia" w:ascii="仿宋" w:hAnsi="仿宋" w:eastAsia="仿宋" w:cs="仿宋"/>
        </w:rPr>
        <w:t>钥匙</w:t>
      </w:r>
      <w:r>
        <w:rPr>
          <w:rFonts w:hint="eastAsia" w:ascii="仿宋" w:hAnsi="仿宋" w:eastAsia="仿宋" w:cs="仿宋"/>
        </w:rPr>
        <w:tab/>
      </w:r>
      <w:r>
        <w:rPr>
          <w:rFonts w:hint="eastAsia" w:ascii="仿宋" w:hAnsi="仿宋" w:eastAsia="仿宋" w:cs="仿宋"/>
        </w:rPr>
        <w:t>2把</w:t>
      </w:r>
    </w:p>
    <w:p w14:paraId="7A29DCC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11</w:t>
      </w:r>
      <w:r>
        <w:rPr>
          <w:rFonts w:hint="eastAsia" w:ascii="仿宋" w:hAnsi="仿宋" w:eastAsia="仿宋" w:cs="仿宋"/>
        </w:rPr>
        <w:tab/>
      </w:r>
      <w:r>
        <w:rPr>
          <w:rFonts w:hint="eastAsia" w:ascii="仿宋" w:hAnsi="仿宋" w:eastAsia="仿宋" w:cs="仿宋"/>
        </w:rPr>
        <w:t>扳手</w:t>
      </w:r>
      <w:r>
        <w:rPr>
          <w:rFonts w:hint="eastAsia" w:ascii="仿宋" w:hAnsi="仿宋" w:eastAsia="仿宋" w:cs="仿宋"/>
        </w:rPr>
        <w:tab/>
      </w:r>
      <w:r>
        <w:rPr>
          <w:rFonts w:hint="eastAsia" w:ascii="仿宋" w:hAnsi="仿宋" w:eastAsia="仿宋" w:cs="仿宋"/>
        </w:rPr>
        <w:t>1个</w:t>
      </w:r>
    </w:p>
    <w:p w14:paraId="6EE9F6B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68A32DE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0A0ECF8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78A15A6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2D53A79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5C81697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5A046A2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6AA725D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310FCB8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7C9A3AE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75F848F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品目1</w:t>
      </w:r>
      <w:r>
        <w:rPr>
          <w:rFonts w:hint="eastAsia" w:ascii="仿宋" w:hAnsi="仿宋" w:eastAsia="仿宋" w:cs="仿宋"/>
          <w:b/>
          <w:bCs/>
          <w:lang w:val="en-US" w:eastAsia="zh-CN"/>
        </w:rPr>
        <w:t>0</w:t>
      </w:r>
      <w:r>
        <w:rPr>
          <w:rFonts w:hint="eastAsia" w:ascii="仿宋" w:hAnsi="仿宋" w:eastAsia="仿宋" w:cs="仿宋"/>
          <w:b/>
          <w:bCs/>
        </w:rPr>
        <w:tab/>
      </w:r>
      <w:r>
        <w:rPr>
          <w:rFonts w:hint="eastAsia" w:ascii="仿宋" w:hAnsi="仿宋" w:eastAsia="仿宋" w:cs="仿宋"/>
          <w:b/>
          <w:bCs/>
        </w:rPr>
        <w:t>乳成分分析仪（国产）</w:t>
      </w:r>
    </w:p>
    <w:p w14:paraId="7FF32BC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7369B83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2BB2BBB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2EE196E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7BB1641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397FFED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2.1脂肪：</w:t>
      </w:r>
      <w:r>
        <w:rPr>
          <w:rFonts w:hint="eastAsia" w:ascii="仿宋" w:hAnsi="仿宋" w:eastAsia="仿宋" w:cs="仿宋"/>
        </w:rPr>
        <w:tab/>
      </w:r>
      <w:r>
        <w:rPr>
          <w:rFonts w:hint="eastAsia" w:ascii="仿宋" w:hAnsi="仿宋" w:eastAsia="仿宋" w:cs="仿宋"/>
        </w:rPr>
        <w:t>0.5-12%（±0.1%）</w:t>
      </w:r>
    </w:p>
    <w:p w14:paraId="45006D5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2.2非脂乳固体：</w:t>
      </w:r>
      <w:r>
        <w:rPr>
          <w:rFonts w:hint="eastAsia" w:ascii="仿宋" w:hAnsi="仿宋" w:eastAsia="仿宋" w:cs="仿宋"/>
        </w:rPr>
        <w:tab/>
      </w:r>
      <w:r>
        <w:rPr>
          <w:rFonts w:hint="eastAsia" w:ascii="仿宋" w:hAnsi="仿宋" w:eastAsia="仿宋" w:cs="仿宋"/>
        </w:rPr>
        <w:t>6-12%（±0.2%）</w:t>
      </w:r>
    </w:p>
    <w:p w14:paraId="77C98E5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2.3密度：</w:t>
      </w:r>
      <w:r>
        <w:rPr>
          <w:rFonts w:hint="eastAsia" w:ascii="仿宋" w:hAnsi="仿宋" w:eastAsia="仿宋" w:cs="仿宋"/>
        </w:rPr>
        <w:tab/>
      </w:r>
      <w:r>
        <w:rPr>
          <w:rFonts w:hint="eastAsia" w:ascii="仿宋" w:hAnsi="仿宋" w:eastAsia="仿宋" w:cs="仿宋"/>
        </w:rPr>
        <w:t>1.0260-1.0330g/cm³(±0.0005g/c m³)</w:t>
      </w:r>
    </w:p>
    <w:p w14:paraId="0A6B60F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▲2.4蛋白：</w:t>
      </w:r>
      <w:r>
        <w:rPr>
          <w:rFonts w:hint="eastAsia" w:ascii="仿宋" w:hAnsi="仿宋" w:eastAsia="仿宋" w:cs="仿宋"/>
        </w:rPr>
        <w:tab/>
      </w:r>
      <w:r>
        <w:rPr>
          <w:rFonts w:hint="eastAsia" w:ascii="仿宋" w:hAnsi="仿宋" w:eastAsia="仿宋" w:cs="仿宋"/>
        </w:rPr>
        <w:t>2.0-6.0%（±0.2%）</w:t>
      </w:r>
    </w:p>
    <w:p w14:paraId="5A87666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2.5冰点：</w:t>
      </w:r>
      <w:r>
        <w:rPr>
          <w:rFonts w:hint="eastAsia" w:ascii="仿宋" w:hAnsi="仿宋" w:eastAsia="仿宋" w:cs="仿宋"/>
        </w:rPr>
        <w:tab/>
      </w:r>
      <w:r>
        <w:rPr>
          <w:rFonts w:hint="eastAsia" w:ascii="仿宋" w:hAnsi="仿宋" w:eastAsia="仿宋" w:cs="仿宋"/>
        </w:rPr>
        <w:t>0-(-1.000℃)(±0.015℃)</w:t>
      </w:r>
    </w:p>
    <w:p w14:paraId="3CDFCAE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2.6掺水量：0-60%（±5%）</w:t>
      </w:r>
    </w:p>
    <w:p w14:paraId="49ECB3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2.7乳糖：</w:t>
      </w:r>
      <w:r>
        <w:rPr>
          <w:rFonts w:hint="eastAsia" w:ascii="仿宋" w:hAnsi="仿宋" w:eastAsia="仿宋" w:cs="仿宋"/>
        </w:rPr>
        <w:tab/>
      </w:r>
      <w:r>
        <w:rPr>
          <w:rFonts w:hint="eastAsia" w:ascii="仿宋" w:hAnsi="仿宋" w:eastAsia="仿宋" w:cs="仿宋"/>
        </w:rPr>
        <w:t>0.5-7%（±2%）</w:t>
      </w:r>
    </w:p>
    <w:p w14:paraId="28BBFB9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2.8电导率：</w:t>
      </w:r>
      <w:r>
        <w:rPr>
          <w:rFonts w:hint="eastAsia" w:ascii="仿宋" w:hAnsi="仿宋" w:eastAsia="仿宋" w:cs="仿宋"/>
        </w:rPr>
        <w:tab/>
      </w:r>
      <w:r>
        <w:rPr>
          <w:rFonts w:hint="eastAsia" w:ascii="仿宋" w:hAnsi="仿宋" w:eastAsia="仿宋" w:cs="仿宋"/>
        </w:rPr>
        <w:t>2-20mS/cm(±1%)(18℃)</w:t>
      </w:r>
    </w:p>
    <w:p w14:paraId="327954E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2.9PH：</w:t>
      </w:r>
      <w:r>
        <w:rPr>
          <w:rFonts w:hint="eastAsia" w:ascii="仿宋" w:hAnsi="仿宋" w:eastAsia="仿宋" w:cs="仿宋"/>
        </w:rPr>
        <w:tab/>
      </w:r>
      <w:r>
        <w:rPr>
          <w:rFonts w:hint="eastAsia" w:ascii="仿宋" w:hAnsi="仿宋" w:eastAsia="仿宋" w:cs="仿宋"/>
        </w:rPr>
        <w:t>0.00-14（±2%）</w:t>
      </w:r>
    </w:p>
    <w:p w14:paraId="0570FFF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2.10温度：</w:t>
      </w:r>
      <w:r>
        <w:rPr>
          <w:rFonts w:hint="eastAsia" w:ascii="仿宋" w:hAnsi="仿宋" w:eastAsia="仿宋" w:cs="仿宋"/>
        </w:rPr>
        <w:tab/>
      </w:r>
      <w:r>
        <w:rPr>
          <w:rFonts w:hint="eastAsia" w:ascii="仿宋" w:hAnsi="仿宋" w:eastAsia="仿宋" w:cs="仿宋"/>
        </w:rPr>
        <w:t>0-50℃-（±0.1%）</w:t>
      </w:r>
    </w:p>
    <w:p w14:paraId="13A3A22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2.11°SH：</w:t>
      </w:r>
      <w:r>
        <w:rPr>
          <w:rFonts w:hint="eastAsia" w:ascii="仿宋" w:hAnsi="仿宋" w:eastAsia="仿宋" w:cs="仿宋"/>
        </w:rPr>
        <w:tab/>
      </w:r>
      <w:r>
        <w:rPr>
          <w:rFonts w:hint="eastAsia" w:ascii="仿宋" w:hAnsi="仿宋" w:eastAsia="仿宋" w:cs="仿宋"/>
        </w:rPr>
        <w:t>4-7.5°SH-（±0.5%）7.6-12°SH*-（±0.8%）</w:t>
      </w:r>
    </w:p>
    <w:p w14:paraId="50C4D8A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2.12测量时间（s）：</w:t>
      </w:r>
      <w:r>
        <w:rPr>
          <w:rFonts w:hint="eastAsia" w:ascii="仿宋" w:hAnsi="仿宋" w:eastAsia="仿宋" w:cs="仿宋"/>
        </w:rPr>
        <w:tab/>
      </w:r>
      <w:r>
        <w:rPr>
          <w:rFonts w:hint="eastAsia" w:ascii="仿宋" w:hAnsi="仿宋" w:eastAsia="仿宋" w:cs="仿宋"/>
        </w:rPr>
        <w:t>45</w:t>
      </w:r>
    </w:p>
    <w:p w14:paraId="463A6A2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2.13乳品种类：</w:t>
      </w:r>
      <w:r>
        <w:rPr>
          <w:rFonts w:hint="eastAsia" w:ascii="仿宋" w:hAnsi="仿宋" w:eastAsia="仿宋" w:cs="仿宋"/>
        </w:rPr>
        <w:tab/>
      </w:r>
      <w:r>
        <w:rPr>
          <w:rFonts w:hint="eastAsia" w:ascii="仿宋" w:hAnsi="仿宋" w:eastAsia="仿宋" w:cs="仿宋"/>
        </w:rPr>
        <w:t>牛奶/羊奶/山羊奶</w:t>
      </w:r>
    </w:p>
    <w:p w14:paraId="34E1EDF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0C836B8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主机1台</w:t>
      </w:r>
    </w:p>
    <w:p w14:paraId="5E77838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车载电源RS232线缆USB线缆</w:t>
      </w:r>
    </w:p>
    <w:p w14:paraId="55ACFBA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清洗液1套</w:t>
      </w:r>
    </w:p>
    <w:p w14:paraId="10F5A76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电导率溶液1瓶</w:t>
      </w:r>
    </w:p>
    <w:p w14:paraId="2200B6E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酸性溶液1瓶</w:t>
      </w:r>
    </w:p>
    <w:p w14:paraId="79DB864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量杯2只</w:t>
      </w:r>
    </w:p>
    <w:p w14:paraId="7140EC8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5712F18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187F491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FD9679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38B7A27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24E9A9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47DE3B7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37F70ED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06A531B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1B6B965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0737761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71DBE4B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品目1</w:t>
      </w:r>
      <w:r>
        <w:rPr>
          <w:rFonts w:hint="eastAsia" w:ascii="仿宋" w:hAnsi="仿宋" w:eastAsia="仿宋" w:cs="仿宋"/>
          <w:b/>
          <w:bCs/>
          <w:lang w:val="en-US" w:eastAsia="zh-CN"/>
        </w:rPr>
        <w:t>1</w:t>
      </w:r>
      <w:r>
        <w:rPr>
          <w:rFonts w:hint="eastAsia" w:ascii="仿宋" w:hAnsi="仿宋" w:eastAsia="仿宋" w:cs="仿宋"/>
          <w:b/>
          <w:bCs/>
        </w:rPr>
        <w:tab/>
      </w:r>
      <w:r>
        <w:rPr>
          <w:rFonts w:hint="eastAsia" w:ascii="仿宋" w:hAnsi="仿宋" w:eastAsia="仿宋" w:cs="仿宋"/>
          <w:b/>
          <w:bCs/>
        </w:rPr>
        <w:t>高压均质机</w:t>
      </w:r>
    </w:p>
    <w:p w14:paraId="52E3DB7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3D3BC05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31C1C1B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21C363E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13694B8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70DCAE6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1 最高压力:70MPA</w:t>
      </w:r>
    </w:p>
    <w:p w14:paraId="78C46A0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 xml:space="preserve">2.额定压力:60MPA </w:t>
      </w:r>
    </w:p>
    <w:p w14:paraId="0FB9876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3.流量： 60 L/h                                                                                                                                                                  ▲</w:t>
      </w:r>
      <w:r>
        <w:rPr>
          <w:rFonts w:hint="eastAsia" w:ascii="仿宋" w:hAnsi="仿宋" w:eastAsia="仿宋" w:cs="仿宋"/>
          <w:lang w:val="en-US" w:eastAsia="zh-CN"/>
        </w:rPr>
        <w:t>2.</w:t>
      </w:r>
      <w:r>
        <w:rPr>
          <w:rFonts w:hint="eastAsia" w:ascii="仿宋" w:hAnsi="仿宋" w:eastAsia="仿宋" w:cs="仿宋"/>
        </w:rPr>
        <w:t>4.最小处理量 200ml</w:t>
      </w:r>
    </w:p>
    <w:p w14:paraId="6C503D4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08FE664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3.1高压均质机主机一台</w:t>
      </w:r>
    </w:p>
    <w:p w14:paraId="7DD8C2D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3.2随机工具一套</w:t>
      </w:r>
    </w:p>
    <w:p w14:paraId="1881D51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2B5BC99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4AF6DF9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0E0383E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361232D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4825CE0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1AD78F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727861B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38F2BCE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7CA0EA3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1D2A4D9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rPr>
        <w:t>品目1</w:t>
      </w:r>
      <w:r>
        <w:rPr>
          <w:rFonts w:hint="eastAsia" w:ascii="仿宋" w:hAnsi="仿宋" w:eastAsia="仿宋" w:cs="仿宋"/>
          <w:b/>
          <w:bCs/>
          <w:lang w:val="en-US" w:eastAsia="zh-CN"/>
        </w:rPr>
        <w:t>2</w:t>
      </w:r>
      <w:r>
        <w:rPr>
          <w:rFonts w:hint="eastAsia" w:ascii="仿宋" w:hAnsi="仿宋" w:eastAsia="仿宋" w:cs="仿宋"/>
          <w:b/>
          <w:bCs/>
        </w:rPr>
        <w:tab/>
      </w:r>
      <w:r>
        <w:rPr>
          <w:rFonts w:hint="eastAsia" w:ascii="仿宋" w:hAnsi="仿宋" w:eastAsia="仿宋" w:cs="仿宋"/>
          <w:b/>
          <w:bCs/>
        </w:rPr>
        <w:t>微波真空干燥机</w:t>
      </w:r>
      <w:r>
        <w:rPr>
          <w:rFonts w:hint="eastAsia" w:ascii="仿宋" w:hAnsi="仿宋" w:eastAsia="仿宋" w:cs="仿宋"/>
        </w:rPr>
        <w:t xml:space="preserve"> </w:t>
      </w:r>
    </w:p>
    <w:p w14:paraId="53B0BAA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736E0A1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1A1274D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31C9BBB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0719204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12429AA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1.电源配置：220V/50Hz</w:t>
      </w:r>
    </w:p>
    <w:p w14:paraId="784B7E4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2</w:t>
      </w:r>
      <w:r>
        <w:rPr>
          <w:rFonts w:hint="eastAsia" w:ascii="仿宋" w:hAnsi="仿宋" w:eastAsia="仿宋" w:cs="仿宋"/>
        </w:rPr>
        <w:t xml:space="preserve"> 测温方式：士0.2°C进口红外线测温°C</w:t>
      </w:r>
    </w:p>
    <w:p w14:paraId="6D80AC2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 xml:space="preserve"> 微波频率：2450MHz</w:t>
      </w:r>
    </w:p>
    <w:p w14:paraId="405411B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 xml:space="preserve">▲2.4 </w:t>
      </w:r>
      <w:r>
        <w:rPr>
          <w:rFonts w:hint="eastAsia" w:ascii="仿宋" w:hAnsi="仿宋" w:eastAsia="仿宋" w:cs="仿宋"/>
        </w:rPr>
        <w:t>微波功率：3KM功率（连续可调）</w:t>
      </w:r>
    </w:p>
    <w:p w14:paraId="75D312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 xml:space="preserve">2.5 </w:t>
      </w:r>
      <w:r>
        <w:rPr>
          <w:rFonts w:hint="eastAsia" w:ascii="仿宋" w:hAnsi="仿宋" w:eastAsia="仿宋" w:cs="仿宋"/>
        </w:rPr>
        <w:t>内外材质：304不锈钢符合GMP认证</w:t>
      </w:r>
    </w:p>
    <w:p w14:paraId="39D116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 xml:space="preserve">▲2.6 </w:t>
      </w:r>
      <w:r>
        <w:rPr>
          <w:rFonts w:hint="eastAsia" w:ascii="仿宋" w:hAnsi="仿宋" w:eastAsia="仿宋" w:cs="仿宋"/>
        </w:rPr>
        <w:t>真空泵类型：干式泵</w:t>
      </w:r>
    </w:p>
    <w:p w14:paraId="779FCFA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▲2.7</w:t>
      </w:r>
      <w:r>
        <w:rPr>
          <w:rFonts w:hint="eastAsia" w:ascii="仿宋" w:hAnsi="仿宋" w:eastAsia="仿宋" w:cs="仿宋"/>
        </w:rPr>
        <w:t xml:space="preserve"> 极限真空度：-0.098Mpa</w:t>
      </w:r>
    </w:p>
    <w:p w14:paraId="25D3D4F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2.8</w:t>
      </w:r>
      <w:r>
        <w:rPr>
          <w:rFonts w:hint="eastAsia" w:ascii="仿宋" w:hAnsi="仿宋" w:eastAsia="仿宋" w:cs="仿宋"/>
        </w:rPr>
        <w:t xml:space="preserve"> 料盘材质：PP材料，料盘数量：4个</w:t>
      </w:r>
    </w:p>
    <w:p w14:paraId="3D6B5A5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▲2.9</w:t>
      </w:r>
      <w:r>
        <w:rPr>
          <w:rFonts w:hint="eastAsia" w:ascii="仿宋" w:hAnsi="仿宋" w:eastAsia="仿宋" w:cs="仿宋"/>
        </w:rPr>
        <w:t xml:space="preserve"> 温度均匀性：土2°C </w:t>
      </w:r>
    </w:p>
    <w:p w14:paraId="44E1F93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rPr>
      </w:pPr>
      <w:r>
        <w:rPr>
          <w:rFonts w:hint="eastAsia" w:ascii="仿宋" w:hAnsi="仿宋" w:eastAsia="仿宋" w:cs="仿宋"/>
          <w:lang w:val="en-US" w:eastAsia="zh-CN"/>
        </w:rPr>
        <w:t xml:space="preserve">▲2.10 </w:t>
      </w:r>
      <w:r>
        <w:rPr>
          <w:rFonts w:hint="eastAsia" w:ascii="仿宋" w:hAnsi="仿宋" w:eastAsia="仿宋" w:cs="仿宋"/>
        </w:rPr>
        <w:t xml:space="preserve">温控范围：室温-150°C                                                      </w:t>
      </w:r>
      <w:r>
        <w:rPr>
          <w:rFonts w:hint="eastAsia" w:ascii="仿宋" w:hAnsi="仿宋" w:eastAsia="仿宋" w:cs="仿宋"/>
          <w:lang w:val="en-US" w:eastAsia="zh-CN"/>
        </w:rPr>
        <w:t xml:space="preserve">2.11 </w:t>
      </w:r>
      <w:r>
        <w:rPr>
          <w:rFonts w:hint="eastAsia" w:ascii="仿宋" w:hAnsi="仿宋" w:eastAsia="仿宋" w:cs="仿宋"/>
        </w:rPr>
        <w:t xml:space="preserve">水平转盘                                                                    </w:t>
      </w:r>
      <w:r>
        <w:rPr>
          <w:rFonts w:hint="eastAsia" w:ascii="仿宋" w:hAnsi="仿宋" w:eastAsia="仿宋" w:cs="仿宋"/>
          <w:lang w:val="en-US" w:eastAsia="zh-CN"/>
        </w:rPr>
        <w:t xml:space="preserve">2.12 </w:t>
      </w:r>
      <w:r>
        <w:rPr>
          <w:rFonts w:hint="eastAsia" w:ascii="仿宋" w:hAnsi="仿宋" w:eastAsia="仿宋" w:cs="仿宋"/>
        </w:rPr>
        <w:t xml:space="preserve">转速 2r/min                                                                </w:t>
      </w:r>
      <w:r>
        <w:rPr>
          <w:rFonts w:hint="eastAsia" w:ascii="仿宋" w:hAnsi="仿宋" w:eastAsia="仿宋" w:cs="仿宋"/>
          <w:lang w:val="en-US" w:eastAsia="zh-CN"/>
        </w:rPr>
        <w:t>2.13</w:t>
      </w:r>
      <w:r>
        <w:rPr>
          <w:rFonts w:hint="eastAsia" w:ascii="仿宋" w:hAnsi="仿宋" w:eastAsia="仿宋" w:cs="仿宋"/>
        </w:rPr>
        <w:t xml:space="preserve"> 水份蒸发量≥0.8kg/小时</w:t>
      </w:r>
    </w:p>
    <w:p w14:paraId="48066E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209DC19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396A13B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 微波真空干燥室  1套</w:t>
      </w:r>
    </w:p>
    <w:p w14:paraId="604FFE0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2 匹配模制馈能波导  1只</w:t>
      </w:r>
    </w:p>
    <w:p w14:paraId="547F3E4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3 源创波前分布系统  1只</w:t>
      </w:r>
    </w:p>
    <w:p w14:paraId="3FF306F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4 烘盘  1套</w:t>
      </w:r>
    </w:p>
    <w:p w14:paraId="3C142F3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5 真空泵（干泵） 1台  1.5KW</w:t>
      </w:r>
    </w:p>
    <w:p w14:paraId="73648DE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4E4839B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6A6817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11E5DE8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4E435F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1527312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6EE6616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4FA27E0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36030DC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0E8A547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161101D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品目1</w:t>
      </w:r>
      <w:r>
        <w:rPr>
          <w:rFonts w:hint="eastAsia" w:ascii="仿宋" w:hAnsi="仿宋" w:eastAsia="仿宋" w:cs="仿宋"/>
          <w:b/>
          <w:bCs/>
          <w:lang w:val="en-US" w:eastAsia="zh-CN"/>
        </w:rPr>
        <w:t>3</w:t>
      </w:r>
      <w:r>
        <w:rPr>
          <w:rFonts w:hint="eastAsia" w:ascii="仿宋" w:hAnsi="仿宋" w:eastAsia="仿宋" w:cs="仿宋"/>
          <w:b/>
          <w:bCs/>
        </w:rPr>
        <w:tab/>
      </w:r>
      <w:r>
        <w:rPr>
          <w:rFonts w:hint="eastAsia" w:ascii="仿宋" w:hAnsi="仿宋" w:eastAsia="仿宋" w:cs="仿宋"/>
          <w:b/>
          <w:bCs/>
        </w:rPr>
        <w:t>层析柜</w:t>
      </w:r>
    </w:p>
    <w:p w14:paraId="5266C4C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6280ED3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0D39B18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6726820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1D2FC10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14E91C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1 温度范围：1-10℃</w:t>
      </w:r>
    </w:p>
    <w:p w14:paraId="043C1CC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 xml:space="preserve"> 控温精度：±（0.5-2）℃</w:t>
      </w:r>
    </w:p>
    <w:p w14:paraId="1CECB5F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 xml:space="preserve"> 内容积：1414L</w:t>
      </w:r>
    </w:p>
    <w:p w14:paraId="265F194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箱体材料：优质304不锈钢,整体发泡保温</w:t>
      </w:r>
    </w:p>
    <w:p w14:paraId="03A6C80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配置清单</w:t>
      </w:r>
    </w:p>
    <w:p w14:paraId="6FC4B1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3.1</w:t>
      </w:r>
      <w:r>
        <w:rPr>
          <w:rFonts w:hint="eastAsia" w:ascii="仿宋" w:hAnsi="仿宋" w:eastAsia="仿宋" w:cs="仿宋"/>
        </w:rPr>
        <w:t>层析柜1台</w:t>
      </w:r>
    </w:p>
    <w:p w14:paraId="4CCF7AF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3.2</w:t>
      </w:r>
      <w:r>
        <w:rPr>
          <w:rFonts w:hint="eastAsia" w:ascii="仿宋" w:hAnsi="仿宋" w:eastAsia="仿宋" w:cs="仿宋"/>
        </w:rPr>
        <w:t>不锈钢层板3个</w:t>
      </w:r>
    </w:p>
    <w:p w14:paraId="2EB534B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3.3</w:t>
      </w:r>
      <w:r>
        <w:rPr>
          <w:rFonts w:hint="eastAsia" w:ascii="仿宋" w:hAnsi="仿宋" w:eastAsia="仿宋" w:cs="仿宋"/>
        </w:rPr>
        <w:t>除湿器1个</w:t>
      </w:r>
    </w:p>
    <w:p w14:paraId="664B66A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35CF548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 xml:space="preserve"> 销售及售后服务</w:t>
      </w:r>
    </w:p>
    <w:p w14:paraId="398E751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4E25C65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0FBDA78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1706AC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1B82C51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1DCFF9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5BAE64F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6A22C19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38B1765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p>
    <w:p w14:paraId="6D2480C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b/>
          <w:bCs/>
        </w:rPr>
        <w:t>品目1</w:t>
      </w:r>
      <w:r>
        <w:rPr>
          <w:rFonts w:hint="eastAsia" w:ascii="仿宋" w:hAnsi="仿宋" w:eastAsia="仿宋" w:cs="仿宋"/>
          <w:b/>
          <w:bCs/>
          <w:lang w:val="en-US" w:eastAsia="zh-CN"/>
        </w:rPr>
        <w:t>4</w:t>
      </w:r>
      <w:r>
        <w:rPr>
          <w:rFonts w:hint="eastAsia" w:ascii="仿宋" w:hAnsi="仿宋" w:eastAsia="仿宋" w:cs="仿宋"/>
          <w:b/>
          <w:bCs/>
        </w:rPr>
        <w:tab/>
      </w:r>
      <w:r>
        <w:rPr>
          <w:rFonts w:hint="eastAsia" w:ascii="仿宋" w:hAnsi="仿宋" w:eastAsia="仿宋" w:cs="仿宋"/>
          <w:b/>
          <w:bCs/>
        </w:rPr>
        <w:t>手持式匀浆机</w:t>
      </w:r>
      <w:r>
        <w:rPr>
          <w:rFonts w:hint="eastAsia" w:ascii="仿宋" w:hAnsi="仿宋" w:eastAsia="仿宋" w:cs="仿宋"/>
        </w:rPr>
        <w:t xml:space="preserve"> </w:t>
      </w:r>
    </w:p>
    <w:p w14:paraId="408D079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65B18E4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1.1 电源电压：3ph/380V/50Hz</w:t>
      </w:r>
    </w:p>
    <w:p w14:paraId="16EBE2E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319B3C0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5625DF5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712CB14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转速范围 1000-32000r/min</w:t>
      </w:r>
    </w:p>
    <w:p w14:paraId="7AD5760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▲2.2</w:t>
      </w:r>
      <w:r>
        <w:rPr>
          <w:rFonts w:hint="eastAsia" w:ascii="仿宋" w:hAnsi="仿宋" w:eastAsia="仿宋" w:cs="仿宋"/>
        </w:rPr>
        <w:t>处理量 0.2-150ml (H</w:t>
      </w:r>
      <w:r>
        <w:rPr>
          <w:rFonts w:hint="eastAsia" w:ascii="仿宋" w:hAnsi="仿宋" w:eastAsia="仿宋" w:cs="仿宋"/>
          <w:vertAlign w:val="subscript"/>
        </w:rPr>
        <w:t>2</w:t>
      </w:r>
      <w:r>
        <w:rPr>
          <w:rFonts w:hint="eastAsia" w:ascii="仿宋" w:hAnsi="仿宋" w:eastAsia="仿宋" w:cs="仿宋"/>
        </w:rPr>
        <w:t>O)</w:t>
      </w:r>
    </w:p>
    <w:p w14:paraId="6069165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2.3</w:t>
      </w:r>
      <w:r>
        <w:rPr>
          <w:rFonts w:hint="eastAsia" w:ascii="仿宋" w:hAnsi="仿宋" w:eastAsia="仿宋" w:cs="仿宋"/>
        </w:rPr>
        <w:t>处理粘度 2000mpas</w:t>
      </w:r>
    </w:p>
    <w:p w14:paraId="107FE24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 xml:space="preserve"> 功率 120W</w:t>
      </w:r>
    </w:p>
    <w:p w14:paraId="0701D3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lang w:val="en-US" w:eastAsia="zh-CN"/>
        </w:rPr>
        <w:t>2.5</w:t>
      </w:r>
      <w:r>
        <w:rPr>
          <w:rFonts w:hint="eastAsia" w:ascii="仿宋" w:hAnsi="仿宋" w:eastAsia="仿宋" w:cs="仿宋"/>
        </w:rPr>
        <w:t>转速控制 可调6档速</w:t>
      </w:r>
    </w:p>
    <w:p w14:paraId="389CBC4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48F620F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w:t>
      </w:r>
      <w:r>
        <w:rPr>
          <w:rFonts w:hint="eastAsia" w:ascii="仿宋" w:hAnsi="仿宋" w:eastAsia="仿宋" w:cs="仿宋"/>
        </w:rPr>
        <w:t>手持式匀浆机</w:t>
      </w:r>
      <w:r>
        <w:rPr>
          <w:rFonts w:hint="eastAsia" w:ascii="仿宋" w:hAnsi="仿宋" w:eastAsia="仿宋" w:cs="仿宋"/>
          <w:lang w:val="en-US" w:eastAsia="zh-CN"/>
        </w:rPr>
        <w:t>1台</w:t>
      </w:r>
    </w:p>
    <w:p w14:paraId="5A77FC1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3.1主机</w:t>
      </w:r>
      <w:r>
        <w:rPr>
          <w:rFonts w:hint="eastAsia" w:ascii="仿宋" w:hAnsi="仿宋" w:eastAsia="仿宋" w:cs="仿宋"/>
          <w:lang w:val="en-US" w:eastAsia="zh-CN"/>
        </w:rPr>
        <w:tab/>
      </w:r>
      <w:r>
        <w:rPr>
          <w:rFonts w:hint="eastAsia" w:ascii="仿宋" w:hAnsi="仿宋" w:eastAsia="仿宋" w:cs="仿宋"/>
          <w:lang w:val="en-US" w:eastAsia="zh-CN"/>
        </w:rPr>
        <w:t>1台</w:t>
      </w:r>
    </w:p>
    <w:p w14:paraId="061BC7D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3.2刀头</w:t>
      </w:r>
      <w:r>
        <w:rPr>
          <w:rFonts w:hint="eastAsia" w:ascii="仿宋" w:hAnsi="仿宋" w:eastAsia="仿宋" w:cs="仿宋"/>
          <w:lang w:val="en-US" w:eastAsia="zh-CN"/>
        </w:rPr>
        <w:tab/>
      </w:r>
      <w:r>
        <w:rPr>
          <w:rFonts w:hint="eastAsia" w:ascii="仿宋" w:hAnsi="仿宋" w:eastAsia="仿宋" w:cs="仿宋"/>
          <w:lang w:val="en-US" w:eastAsia="zh-CN"/>
        </w:rPr>
        <w:t>1个</w:t>
      </w:r>
    </w:p>
    <w:p w14:paraId="6249316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3.3保修卡(含合格证)</w:t>
      </w:r>
      <w:r>
        <w:rPr>
          <w:rFonts w:hint="eastAsia" w:ascii="仿宋" w:hAnsi="仿宋" w:eastAsia="仿宋" w:cs="仿宋"/>
          <w:lang w:val="en-US" w:eastAsia="zh-CN"/>
        </w:rPr>
        <w:tab/>
      </w:r>
      <w:r>
        <w:rPr>
          <w:rFonts w:hint="eastAsia" w:ascii="仿宋" w:hAnsi="仿宋" w:eastAsia="仿宋" w:cs="仿宋"/>
          <w:lang w:val="en-US" w:eastAsia="zh-CN"/>
        </w:rPr>
        <w:t>1份</w:t>
      </w:r>
    </w:p>
    <w:p w14:paraId="6A939AD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3.4使用说明书</w:t>
      </w:r>
      <w:r>
        <w:rPr>
          <w:rFonts w:hint="eastAsia" w:ascii="仿宋" w:hAnsi="仿宋" w:eastAsia="仿宋" w:cs="仿宋"/>
          <w:lang w:val="en-US" w:eastAsia="zh-CN"/>
        </w:rPr>
        <w:tab/>
      </w:r>
      <w:r>
        <w:rPr>
          <w:rFonts w:hint="eastAsia" w:ascii="仿宋" w:hAnsi="仿宋" w:eastAsia="仿宋" w:cs="仿宋"/>
          <w:lang w:val="en-US" w:eastAsia="zh-CN"/>
        </w:rPr>
        <w:t>1份</w:t>
      </w:r>
    </w:p>
    <w:p w14:paraId="6177289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3.5单立柱支架</w:t>
      </w:r>
      <w:r>
        <w:rPr>
          <w:rFonts w:hint="eastAsia" w:ascii="仿宋" w:hAnsi="仿宋" w:eastAsia="仿宋" w:cs="仿宋"/>
          <w:lang w:val="en-US" w:eastAsia="zh-CN"/>
        </w:rPr>
        <w:tab/>
      </w:r>
      <w:r>
        <w:rPr>
          <w:rFonts w:hint="eastAsia" w:ascii="仿宋" w:hAnsi="仿宋" w:eastAsia="仿宋" w:cs="仿宋"/>
          <w:lang w:val="en-US" w:eastAsia="zh-CN"/>
        </w:rPr>
        <w:t>1套</w:t>
      </w:r>
    </w:p>
    <w:p w14:paraId="688EFB9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lang w:val="en-US" w:eastAsia="zh-CN"/>
        </w:rPr>
        <w:t>.</w:t>
      </w:r>
      <w:r>
        <w:rPr>
          <w:rFonts w:hint="eastAsia" w:ascii="仿宋" w:hAnsi="仿宋" w:eastAsia="仿宋" w:cs="仿宋"/>
        </w:rPr>
        <w:t>销售及售后服务</w:t>
      </w:r>
    </w:p>
    <w:p w14:paraId="25D39DE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236D14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5D53F95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1ABFD84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6198CA3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 提供产品出厂质量检验相关文件</w:t>
      </w:r>
    </w:p>
    <w:p w14:paraId="6E58030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1B2439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5FEA60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5AEA68E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p>
    <w:p w14:paraId="3DFD0FB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b/>
          <w:bCs/>
        </w:rPr>
      </w:pPr>
      <w:r>
        <w:rPr>
          <w:rFonts w:hint="eastAsia" w:ascii="仿宋" w:hAnsi="仿宋" w:eastAsia="仿宋" w:cs="仿宋"/>
          <w:b/>
          <w:bCs/>
        </w:rPr>
        <w:t>品目</w:t>
      </w:r>
      <w:r>
        <w:rPr>
          <w:rFonts w:hint="eastAsia" w:ascii="仿宋" w:hAnsi="仿宋" w:eastAsia="仿宋" w:cs="仿宋"/>
          <w:b/>
          <w:bCs/>
          <w:lang w:val="en-US" w:eastAsia="zh-CN"/>
        </w:rPr>
        <w:t>15</w:t>
      </w:r>
      <w:r>
        <w:rPr>
          <w:rFonts w:hint="eastAsia" w:ascii="仿宋" w:hAnsi="仿宋" w:eastAsia="仿宋" w:cs="仿宋"/>
          <w:b/>
          <w:bCs/>
        </w:rPr>
        <w:tab/>
      </w:r>
      <w:r>
        <w:rPr>
          <w:rFonts w:hint="eastAsia" w:ascii="仿宋" w:hAnsi="仿宋" w:eastAsia="仿宋" w:cs="仿宋"/>
          <w:b/>
          <w:bCs/>
        </w:rPr>
        <w:t>小型高水分双螺杆膨化挤压设备</w:t>
      </w:r>
    </w:p>
    <w:p w14:paraId="3E42A6B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 xml:space="preserve">1. 工作环境 </w:t>
      </w:r>
    </w:p>
    <w:p w14:paraId="6CC3EDE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rPr>
      </w:pPr>
      <w:r>
        <w:rPr>
          <w:rFonts w:hint="eastAsia" w:ascii="仿宋" w:hAnsi="仿宋" w:eastAsia="仿宋" w:cs="仿宋"/>
        </w:rPr>
        <w:t>1.1 电源电压：单相380V ± 5%大约16kW</w:t>
      </w:r>
    </w:p>
    <w:p w14:paraId="33C2C91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1.2 环境温度：15-31℃</w:t>
      </w:r>
    </w:p>
    <w:p w14:paraId="206F8CA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1.3 相对湿度：40-80%</w:t>
      </w:r>
    </w:p>
    <w:p w14:paraId="4ECBF31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2．技术性能指标</w:t>
      </w:r>
    </w:p>
    <w:p w14:paraId="3133EA5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▲2.1螺杆直径：</w:t>
      </w:r>
      <w:r>
        <w:rPr>
          <w:rFonts w:hint="eastAsia" w:ascii="仿宋" w:hAnsi="仿宋" w:eastAsia="仿宋" w:cs="仿宋"/>
        </w:rPr>
        <w:tab/>
      </w:r>
      <w:r>
        <w:rPr>
          <w:rFonts w:hint="eastAsia" w:ascii="仿宋" w:hAnsi="仿宋" w:eastAsia="仿宋" w:cs="仿宋"/>
        </w:rPr>
        <w:t>≧22mm</w:t>
      </w:r>
    </w:p>
    <w:p w14:paraId="79572DA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2.2螺杆长径比：</w:t>
      </w:r>
      <w:r>
        <w:rPr>
          <w:rFonts w:hint="eastAsia" w:ascii="仿宋" w:hAnsi="仿宋" w:eastAsia="仿宋" w:cs="仿宋"/>
        </w:rPr>
        <w:tab/>
      </w:r>
      <w:r>
        <w:rPr>
          <w:rFonts w:hint="eastAsia" w:ascii="仿宋" w:hAnsi="仿宋" w:eastAsia="仿宋" w:cs="仿宋"/>
        </w:rPr>
        <w:t>≧32D</w:t>
      </w:r>
    </w:p>
    <w:p w14:paraId="71FB7F7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2.3主电机功率：</w:t>
      </w:r>
      <w:r>
        <w:rPr>
          <w:rFonts w:hint="eastAsia" w:ascii="仿宋" w:hAnsi="仿宋" w:eastAsia="仿宋" w:cs="仿宋"/>
        </w:rPr>
        <w:tab/>
      </w:r>
      <w:r>
        <w:rPr>
          <w:rFonts w:hint="eastAsia" w:ascii="仿宋" w:hAnsi="仿宋" w:eastAsia="仿宋" w:cs="仿宋"/>
        </w:rPr>
        <w:t>4KW</w:t>
      </w:r>
    </w:p>
    <w:p w14:paraId="62722E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2.4螺杆转速：</w:t>
      </w:r>
      <w:r>
        <w:rPr>
          <w:rFonts w:hint="eastAsia" w:ascii="仿宋" w:hAnsi="仿宋" w:eastAsia="仿宋" w:cs="仿宋"/>
        </w:rPr>
        <w:tab/>
      </w:r>
      <w:r>
        <w:rPr>
          <w:rFonts w:hint="eastAsia" w:ascii="仿宋" w:hAnsi="仿宋" w:eastAsia="仿宋" w:cs="仿宋"/>
        </w:rPr>
        <w:t>600r/min</w:t>
      </w:r>
    </w:p>
    <w:p w14:paraId="5CAF333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▲2.5筒体温度：</w:t>
      </w:r>
      <w:r>
        <w:rPr>
          <w:rFonts w:hint="eastAsia" w:ascii="仿宋" w:hAnsi="仿宋" w:eastAsia="仿宋" w:cs="仿宋"/>
        </w:rPr>
        <w:tab/>
      </w:r>
      <w:r>
        <w:rPr>
          <w:rFonts w:hint="eastAsia" w:ascii="仿宋" w:hAnsi="仿宋" w:eastAsia="仿宋" w:cs="仿宋"/>
        </w:rPr>
        <w:t>-20 - 300℃</w:t>
      </w:r>
    </w:p>
    <w:p w14:paraId="15B9563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2.6模头压力：</w:t>
      </w:r>
      <w:r>
        <w:rPr>
          <w:rFonts w:hint="eastAsia" w:ascii="仿宋" w:hAnsi="仿宋" w:eastAsia="仿宋" w:cs="仿宋"/>
        </w:rPr>
        <w:tab/>
      </w:r>
      <w:r>
        <w:rPr>
          <w:rFonts w:hint="eastAsia" w:ascii="仿宋" w:hAnsi="仿宋" w:eastAsia="仿宋" w:cs="仿宋"/>
        </w:rPr>
        <w:t>0 - 25MPa</w:t>
      </w:r>
    </w:p>
    <w:p w14:paraId="4BB76F2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2.7加热方式：</w:t>
      </w:r>
      <w:r>
        <w:rPr>
          <w:rFonts w:hint="eastAsia" w:ascii="仿宋" w:hAnsi="仿宋" w:eastAsia="仿宋" w:cs="仿宋"/>
        </w:rPr>
        <w:tab/>
      </w:r>
      <w:r>
        <w:rPr>
          <w:rFonts w:hint="eastAsia" w:ascii="仿宋" w:hAnsi="仿宋" w:eastAsia="仿宋" w:cs="仿宋"/>
        </w:rPr>
        <w:t>电加热</w:t>
      </w:r>
    </w:p>
    <w:p w14:paraId="4CE0D79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▲2.8加热功率：</w:t>
      </w:r>
      <w:r>
        <w:rPr>
          <w:rFonts w:hint="eastAsia" w:ascii="仿宋" w:hAnsi="仿宋" w:eastAsia="仿宋" w:cs="仿宋"/>
        </w:rPr>
        <w:tab/>
      </w:r>
      <w:r>
        <w:rPr>
          <w:rFonts w:hint="eastAsia" w:ascii="仿宋" w:hAnsi="仿宋" w:eastAsia="仿宋" w:cs="仿宋"/>
        </w:rPr>
        <w:t>2.5kw</w:t>
      </w:r>
    </w:p>
    <w:p w14:paraId="00C5A10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▲2.9冷却方式：</w:t>
      </w:r>
      <w:r>
        <w:rPr>
          <w:rFonts w:hint="eastAsia" w:ascii="仿宋" w:hAnsi="仿宋" w:eastAsia="仿宋" w:cs="仿宋"/>
        </w:rPr>
        <w:tab/>
      </w:r>
      <w:r>
        <w:rPr>
          <w:rFonts w:hint="eastAsia" w:ascii="仿宋" w:hAnsi="仿宋" w:eastAsia="仿宋" w:cs="仿宋"/>
        </w:rPr>
        <w:t>水冷（进水温度≤40℃,0.2 - 0.4MPa)</w:t>
      </w:r>
    </w:p>
    <w:p w14:paraId="43BD2BD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▲2.10设备产能：</w:t>
      </w:r>
      <w:r>
        <w:rPr>
          <w:rFonts w:hint="eastAsia" w:ascii="仿宋" w:hAnsi="仿宋" w:eastAsia="仿宋" w:cs="仿宋"/>
        </w:rPr>
        <w:tab/>
      </w:r>
      <w:r>
        <w:rPr>
          <w:rFonts w:hint="eastAsia" w:ascii="仿宋" w:hAnsi="仿宋" w:eastAsia="仿宋" w:cs="仿宋"/>
        </w:rPr>
        <w:t>1 - 5kg/h</w:t>
      </w:r>
    </w:p>
    <w:p w14:paraId="7CD22E0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2.11机座材质：</w:t>
      </w:r>
      <w:r>
        <w:rPr>
          <w:rFonts w:hint="eastAsia" w:ascii="仿宋" w:hAnsi="仿宋" w:eastAsia="仿宋" w:cs="仿宋"/>
        </w:rPr>
        <w:tab/>
      </w:r>
      <w:r>
        <w:rPr>
          <w:rFonts w:hint="eastAsia" w:ascii="仿宋" w:hAnsi="仿宋" w:eastAsia="仿宋" w:cs="仿宋"/>
        </w:rPr>
        <w:t>机座是整体不锈钢结构，表面喷砂处理</w:t>
      </w:r>
    </w:p>
    <w:p w14:paraId="380BB0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2.12挤压机筒体数量：</w:t>
      </w:r>
      <w:r>
        <w:rPr>
          <w:rFonts w:hint="eastAsia" w:ascii="仿宋" w:hAnsi="仿宋" w:eastAsia="仿宋" w:cs="仿宋"/>
        </w:rPr>
        <w:tab/>
      </w:r>
      <w:r>
        <w:rPr>
          <w:rFonts w:hint="eastAsia" w:ascii="仿宋" w:hAnsi="仿宋" w:eastAsia="仿宋" w:cs="仿宋"/>
        </w:rPr>
        <w:t>共计8节腔体，7节独立的挤压机筒体</w:t>
      </w:r>
    </w:p>
    <w:p w14:paraId="09D5406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2.13腔体温控方式：</w:t>
      </w:r>
      <w:r>
        <w:rPr>
          <w:rFonts w:hint="eastAsia" w:ascii="仿宋" w:hAnsi="仿宋" w:eastAsia="仿宋" w:cs="仿宋"/>
        </w:rPr>
        <w:tab/>
      </w:r>
      <w:r>
        <w:rPr>
          <w:rFonts w:hint="eastAsia" w:ascii="仿宋" w:hAnsi="仿宋" w:eastAsia="仿宋" w:cs="仿宋"/>
        </w:rPr>
        <w:t>各自独立的温度控制系统，各腔体的温度可独立控制</w:t>
      </w:r>
    </w:p>
    <w:p w14:paraId="0542F8D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2.14冷却水：</w:t>
      </w:r>
      <w:r>
        <w:rPr>
          <w:rFonts w:hint="eastAsia" w:ascii="仿宋" w:hAnsi="仿宋" w:eastAsia="仿宋" w:cs="仿宋"/>
        </w:rPr>
        <w:tab/>
      </w:r>
      <w:r>
        <w:rPr>
          <w:rFonts w:hint="eastAsia" w:ascii="仿宋" w:hAnsi="仿宋" w:eastAsia="仿宋" w:cs="仿宋"/>
        </w:rPr>
        <w:t>冷却水的控制采用进口的电磁阀执行机构，PLC控制，温度传感器自动在线检测</w:t>
      </w:r>
    </w:p>
    <w:p w14:paraId="0404B2D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2.15温度控制：</w:t>
      </w:r>
      <w:r>
        <w:rPr>
          <w:rFonts w:hint="eastAsia" w:ascii="仿宋" w:hAnsi="仿宋" w:eastAsia="仿宋" w:cs="仿宋"/>
        </w:rPr>
        <w:tab/>
      </w:r>
      <w:r>
        <w:rPr>
          <w:rFonts w:hint="eastAsia" w:ascii="仿宋" w:hAnsi="仿宋" w:eastAsia="仿宋" w:cs="仿宋"/>
        </w:rPr>
        <w:t>温度控制：0 - 300℃，控制精度 ±1℃</w:t>
      </w:r>
    </w:p>
    <w:p w14:paraId="6A92794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2.16压力控制：</w:t>
      </w:r>
      <w:r>
        <w:rPr>
          <w:rFonts w:hint="eastAsia" w:ascii="仿宋" w:hAnsi="仿宋" w:eastAsia="仿宋" w:cs="仿宋"/>
        </w:rPr>
        <w:tab/>
      </w:r>
      <w:r>
        <w:rPr>
          <w:rFonts w:hint="eastAsia" w:ascii="仿宋" w:hAnsi="仿宋" w:eastAsia="仿宋" w:cs="仿宋"/>
        </w:rPr>
        <w:t>压力控制0 - 25Mpa，精度0.01Mpa</w:t>
      </w:r>
    </w:p>
    <w:p w14:paraId="47CEC2D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2.17喂料量：</w:t>
      </w:r>
      <w:r>
        <w:rPr>
          <w:rFonts w:hint="eastAsia" w:ascii="仿宋" w:hAnsi="仿宋" w:eastAsia="仿宋" w:cs="仿宋"/>
        </w:rPr>
        <w:tab/>
      </w:r>
      <w:r>
        <w:rPr>
          <w:rFonts w:hint="eastAsia" w:ascii="仿宋" w:hAnsi="仿宋" w:eastAsia="仿宋" w:cs="仿宋"/>
        </w:rPr>
        <w:t>液体喂料量从5% - 100%</w:t>
      </w:r>
    </w:p>
    <w:p w14:paraId="23F28E2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2.18系统配方：</w:t>
      </w:r>
      <w:r>
        <w:rPr>
          <w:rFonts w:hint="eastAsia" w:ascii="仿宋" w:hAnsi="仿宋" w:eastAsia="仿宋" w:cs="仿宋"/>
        </w:rPr>
        <w:tab/>
      </w:r>
      <w:r>
        <w:rPr>
          <w:rFonts w:hint="eastAsia" w:ascii="仿宋" w:hAnsi="仿宋" w:eastAsia="仿宋" w:cs="仿宋"/>
        </w:rPr>
        <w:t>系统有当前配方和配方数据库，系统可以保存100个工艺配方；您可以根据需要对配方进行编辑和保存，使用随即调出，无需重复编辑</w:t>
      </w:r>
    </w:p>
    <w:p w14:paraId="57D5EBE1">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2.19系统保护：</w:t>
      </w:r>
      <w:r>
        <w:rPr>
          <w:rFonts w:hint="eastAsia" w:ascii="仿宋" w:hAnsi="仿宋" w:eastAsia="仿宋" w:cs="仿宋"/>
        </w:rPr>
        <w:tab/>
      </w:r>
      <w:r>
        <w:rPr>
          <w:rFonts w:hint="eastAsia" w:ascii="仿宋" w:hAnsi="仿宋" w:eastAsia="仿宋" w:cs="仿宋"/>
        </w:rPr>
        <w:t>具有系统报警的处理、报警数据的查看、报警停机保护功能，如普通故障停机、特殊故障紧急停机，能更好的保护设备及简化停机程序；系统有超扭矩报警停机、超温报警停机、超压力报警停机保护功能；所有报警信息可随时查看，方便维护</w:t>
      </w:r>
    </w:p>
    <w:p w14:paraId="37239EE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2.20控制模式：</w:t>
      </w:r>
      <w:r>
        <w:rPr>
          <w:rFonts w:hint="eastAsia" w:ascii="仿宋" w:hAnsi="仿宋" w:eastAsia="仿宋" w:cs="仿宋"/>
        </w:rPr>
        <w:tab/>
      </w:r>
      <w:r>
        <w:rPr>
          <w:rFonts w:hint="eastAsia" w:ascii="仿宋" w:hAnsi="仿宋" w:eastAsia="仿宋" w:cs="仿宋"/>
        </w:rPr>
        <w:t>可以采用手动状态，手动开启各种控制单元，适时调整各个参数进行实验观察；可以采用自动状态，在实验前设定启动阶段、生产稳定阶段、停机阶段的各种工艺参数，可以根据设置的参数自动完成实验</w:t>
      </w:r>
    </w:p>
    <w:p w14:paraId="77C4B89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2.21数据记录：</w:t>
      </w:r>
      <w:r>
        <w:rPr>
          <w:rFonts w:hint="eastAsia" w:ascii="仿宋" w:hAnsi="仿宋" w:eastAsia="仿宋" w:cs="仿宋"/>
        </w:rPr>
        <w:tab/>
      </w:r>
      <w:r>
        <w:rPr>
          <w:rFonts w:hint="eastAsia" w:ascii="仿宋" w:hAnsi="仿宋" w:eastAsia="仿宋" w:cs="仿宋"/>
        </w:rPr>
        <w:t>具有强大的数据记录功能，固体喂料量、液体喂料量、辅料喂料量、螺杆转速、螺杆扭矩、扭矩百分比、各腔体温度、模头压力、模头温度、切割机电流等所有参数均可记录。对参数的记录频率，系统每10S记录一次，有效监控运行数据变化，有利于数据分析产品的变化系统存储实验数据，并可U盘导出，生成Excel表格数据并在PC上重新生成直观的曲线图，可十分方便进行数据处理</w:t>
      </w:r>
    </w:p>
    <w:p w14:paraId="4E85608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3.配置清单</w:t>
      </w:r>
    </w:p>
    <w:p w14:paraId="0BE2A64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3.1高速混合机：</w:t>
      </w:r>
      <w:r>
        <w:rPr>
          <w:rFonts w:hint="eastAsia" w:ascii="仿宋" w:hAnsi="仿宋" w:eastAsia="仿宋" w:cs="仿宋"/>
        </w:rPr>
        <w:tab/>
      </w:r>
      <w:r>
        <w:rPr>
          <w:rFonts w:hint="eastAsia" w:ascii="仿宋" w:hAnsi="仿宋" w:eastAsia="仿宋" w:cs="仿宋"/>
        </w:rPr>
        <w:t>混合机密封盖带密封装置，并且有锁紧装置；带安全保护开关，密封盖没有关紧或打开，主电机不会运行；外表面喷砂处理，不能有毛刺、锐角倒钝;主电机西门子/皖南电机；品牌功率：1.1KW；接触物料304材质；机架均采用304材质；体容积：50L</w:t>
      </w:r>
    </w:p>
    <w:p w14:paraId="43A0328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3.2容积式螺杆定量喂料器（固体喂料器）：</w:t>
      </w:r>
      <w:r>
        <w:rPr>
          <w:rFonts w:hint="eastAsia" w:ascii="仿宋" w:hAnsi="仿宋" w:eastAsia="仿宋" w:cs="仿宋"/>
        </w:rPr>
        <w:tab/>
      </w:r>
      <w:r>
        <w:rPr>
          <w:rFonts w:hint="eastAsia" w:ascii="仿宋" w:hAnsi="仿宋" w:eastAsia="仿宋" w:cs="仿宋"/>
        </w:rPr>
        <w:t>喂料方式：螺杆定量喂料；螺杆直径：23mm；主电机功率：0.37KW；搅拌电机功率：0.04KW；料斗容量：10L；固体喂料器料仓底部采用球形结构、并设有防结拱搅拌器；料仓有专用的搅拌器，并安装可观察窗；喂料采用双螺杆，喂料准确，防止物料因滑动、不连续，导致计量不准；材质：与物料接触部分304不锈钢</w:t>
      </w:r>
    </w:p>
    <w:p w14:paraId="6EE1B82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3.3液体物料在线喂料器：</w:t>
      </w:r>
      <w:r>
        <w:rPr>
          <w:rFonts w:hint="eastAsia" w:ascii="仿宋" w:hAnsi="仿宋" w:eastAsia="仿宋" w:cs="仿宋"/>
        </w:rPr>
        <w:tab/>
      </w:r>
      <w:r>
        <w:rPr>
          <w:rFonts w:hint="eastAsia" w:ascii="仿宋" w:hAnsi="仿宋" w:eastAsia="仿宋" w:cs="仿宋"/>
        </w:rPr>
        <w:t>电机功率：0.25KW；添加介质：水；水箱容积：12L；流量范围：0.1 - 4.5L/h；液体物料贮罐材质为304不锈钢，贮罐容积12升；选用隔膜计量泵，材质为304不锈钢；液体喂料器使用PLC在线控制计量泵在线加水，并设备阻尼器，有效控制液体喂料精准度；液体喂料装置同时增加背压阀，确保液体流量均衡</w:t>
      </w:r>
    </w:p>
    <w:p w14:paraId="44BDC2B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3.4取螺杆装置：</w:t>
      </w:r>
      <w:r>
        <w:rPr>
          <w:rFonts w:hint="eastAsia" w:ascii="仿宋" w:hAnsi="仿宋" w:eastAsia="仿宋" w:cs="仿宋"/>
        </w:rPr>
        <w:tab/>
      </w:r>
      <w:r>
        <w:rPr>
          <w:rFonts w:hint="eastAsia" w:ascii="仿宋" w:hAnsi="仿宋" w:eastAsia="仿宋" w:cs="仿宋"/>
        </w:rPr>
        <w:t>丝杆1根；支架一个；固定架一套；螺杆连接装一套</w:t>
      </w:r>
    </w:p>
    <w:p w14:paraId="432B9E6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3.5模具：再造米模具一个；直接膨化模具一个；面条模具一个;湿法蛋白模具一套;干法蛋白模具一个；自选模具两个；</w:t>
      </w:r>
    </w:p>
    <w:p w14:paraId="1312977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 销售及售后服务</w:t>
      </w:r>
    </w:p>
    <w:p w14:paraId="7F4427A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4.1 自仪器验收合格之日起， 设备免费保修1年，在保修期内，属产品质量问题所发生的一切费用由卖方承担。由供应商负责免费到现场安装调试，定期维护。</w:t>
      </w:r>
    </w:p>
    <w:p w14:paraId="24D1A77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4.2 卖方应提供技术支持，在接到买方仪器报修通知后，在2小时内予以应答，并在8小时内进行维修，保证仪器的正常工作。</w:t>
      </w:r>
    </w:p>
    <w:p w14:paraId="722ED81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 产品质量标准</w:t>
      </w:r>
    </w:p>
    <w:p w14:paraId="592DC67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5.1 提供产品的合格证</w:t>
      </w:r>
    </w:p>
    <w:p w14:paraId="426C1B8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5.2</w:t>
      </w:r>
      <w:r>
        <w:rPr>
          <w:rFonts w:hint="eastAsia" w:ascii="仿宋" w:hAnsi="仿宋" w:eastAsia="仿宋" w:cs="仿宋"/>
          <w:lang w:val="en-US" w:eastAsia="zh-CN"/>
        </w:rPr>
        <w:t xml:space="preserve"> </w:t>
      </w:r>
      <w:r>
        <w:rPr>
          <w:rFonts w:hint="eastAsia" w:ascii="仿宋" w:hAnsi="仿宋" w:eastAsia="仿宋" w:cs="仿宋"/>
        </w:rPr>
        <w:t>提供产品出厂质量检验相关文件</w:t>
      </w:r>
    </w:p>
    <w:p w14:paraId="079A51D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6 总订货数量： 1台</w:t>
      </w:r>
    </w:p>
    <w:p w14:paraId="2D8E406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highlight w:val="none"/>
          <w:lang w:eastAsia="zh-CN"/>
        </w:rPr>
      </w:pPr>
      <w:r>
        <w:rPr>
          <w:rFonts w:hint="eastAsia" w:ascii="仿宋" w:hAnsi="仿宋" w:eastAsia="仿宋" w:cs="仿宋"/>
          <w:highlight w:val="none"/>
        </w:rPr>
        <w:t xml:space="preserve">7 </w:t>
      </w:r>
      <w:r>
        <w:rPr>
          <w:rFonts w:hint="eastAsia" w:ascii="仿宋" w:hAnsi="仿宋" w:eastAsia="仿宋" w:cs="仿宋"/>
          <w:highlight w:val="none"/>
          <w:lang w:eastAsia="zh-CN"/>
        </w:rPr>
        <w:t>送货地址</w:t>
      </w:r>
    </w:p>
    <w:p w14:paraId="36C52D1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t>7.1 中国新疆乌鲁木齐新疆农业大学</w:t>
      </w:r>
    </w:p>
    <w:p w14:paraId="24C2CE67">
      <w:pPr>
        <w:rPr>
          <w:rFonts w:hint="eastAsia"/>
        </w:rPr>
      </w:pPr>
    </w:p>
    <w:p w14:paraId="4FAE7B0B">
      <w:pPr>
        <w:rPr>
          <w:rFonts w:hint="eastAsia" w:ascii="仿宋" w:hAnsi="仿宋" w:eastAsia="仿宋" w:cs="仿宋"/>
        </w:rPr>
      </w:pPr>
    </w:p>
    <w:p w14:paraId="06BC48C4">
      <w:pPr>
        <w:pStyle w:val="9"/>
        <w:jc w:val="center"/>
        <w:rPr>
          <w:rFonts w:hint="eastAsia" w:ascii="仿宋" w:hAnsi="仿宋" w:eastAsia="仿宋" w:cs="仿宋"/>
          <w:b/>
          <w:bCs/>
          <w:color w:val="000000"/>
          <w:kern w:val="0"/>
          <w:sz w:val="24"/>
          <w:szCs w:val="24"/>
          <w:highlight w:val="none"/>
          <w:lang w:val="en-US" w:eastAsia="zh-CN" w:bidi="ar"/>
        </w:rPr>
      </w:pPr>
    </w:p>
    <w:p w14:paraId="15778D22">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70" w:name="_Toc45033360"/>
      <w:bookmarkStart w:id="71" w:name="_Toc22502"/>
      <w:bookmarkStart w:id="72" w:name="_Toc14754"/>
      <w:bookmarkStart w:id="73" w:name="_Toc6866"/>
      <w:bookmarkStart w:id="74" w:name="_Toc22316"/>
      <w:bookmarkStart w:id="75" w:name="_Toc15925"/>
      <w:bookmarkStart w:id="76" w:name="_Toc18729"/>
      <w:bookmarkStart w:id="77" w:name="_Toc20388"/>
      <w:bookmarkStart w:id="78" w:name="_Toc11951"/>
      <w:bookmarkStart w:id="79" w:name="_Toc5391"/>
      <w:bookmarkStart w:id="80" w:name="_Toc5720"/>
      <w:r>
        <w:rPr>
          <w:rFonts w:hint="eastAsia" w:ascii="仿宋" w:hAnsi="仿宋" w:eastAsia="仿宋" w:cs="仿宋"/>
          <w:b/>
          <w:bCs/>
          <w:sz w:val="32"/>
          <w:szCs w:val="32"/>
          <w:highlight w:val="none"/>
          <w:lang w:val="zh-CN"/>
        </w:rPr>
        <w:t>第五章 合同条款</w:t>
      </w:r>
      <w:bookmarkEnd w:id="70"/>
      <w:bookmarkEnd w:id="71"/>
      <w:bookmarkEnd w:id="72"/>
      <w:bookmarkEnd w:id="73"/>
      <w:bookmarkEnd w:id="74"/>
      <w:bookmarkEnd w:id="75"/>
      <w:bookmarkEnd w:id="76"/>
      <w:bookmarkEnd w:id="77"/>
      <w:bookmarkEnd w:id="78"/>
      <w:bookmarkEnd w:id="79"/>
      <w:bookmarkEnd w:id="80"/>
    </w:p>
    <w:p w14:paraId="146D375B">
      <w:pPr>
        <w:autoSpaceDE/>
        <w:autoSpaceDN/>
        <w:adjustRightInd/>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（本合同仅供参考，具体以实际签订的为准）</w:t>
      </w:r>
    </w:p>
    <w:p w14:paraId="35B7E3E6">
      <w:pPr>
        <w:pStyle w:val="8"/>
        <w:jc w:val="center"/>
        <w:rPr>
          <w:rFonts w:hint="eastAsia" w:ascii="仿宋" w:hAnsi="仿宋" w:eastAsia="仿宋" w:cs="仿宋"/>
          <w:b/>
          <w:bCs/>
          <w:spacing w:val="-20"/>
          <w:kern w:val="44"/>
          <w:sz w:val="32"/>
          <w:szCs w:val="32"/>
          <w:highlight w:val="none"/>
        </w:rPr>
      </w:pPr>
    </w:p>
    <w:p w14:paraId="428B6473">
      <w:pPr>
        <w:pStyle w:val="8"/>
        <w:jc w:val="center"/>
        <w:rPr>
          <w:rFonts w:hint="eastAsia" w:ascii="仿宋" w:hAnsi="仿宋" w:eastAsia="仿宋" w:cs="仿宋"/>
          <w:b/>
          <w:bCs/>
          <w:spacing w:val="-20"/>
          <w:kern w:val="44"/>
          <w:sz w:val="32"/>
          <w:szCs w:val="32"/>
          <w:highlight w:val="none"/>
        </w:rPr>
      </w:pPr>
    </w:p>
    <w:p w14:paraId="1A83C9EE">
      <w:pPr>
        <w:pStyle w:val="8"/>
        <w:jc w:val="center"/>
        <w:rPr>
          <w:rFonts w:hint="eastAsia" w:ascii="仿宋" w:hAnsi="仿宋" w:eastAsia="仿宋" w:cs="仿宋"/>
          <w:b/>
          <w:bCs/>
          <w:spacing w:val="-20"/>
          <w:kern w:val="44"/>
          <w:sz w:val="32"/>
          <w:szCs w:val="32"/>
          <w:highlight w:val="none"/>
        </w:rPr>
      </w:pPr>
    </w:p>
    <w:p w14:paraId="4481A765">
      <w:pPr>
        <w:pStyle w:val="8"/>
        <w:jc w:val="center"/>
        <w:rPr>
          <w:rFonts w:hint="eastAsia" w:ascii="仿宋" w:hAnsi="仿宋" w:eastAsia="仿宋" w:cs="仿宋"/>
          <w:b/>
          <w:bCs/>
          <w:spacing w:val="-20"/>
          <w:kern w:val="44"/>
          <w:sz w:val="32"/>
          <w:szCs w:val="32"/>
          <w:highlight w:val="none"/>
        </w:rPr>
      </w:pPr>
    </w:p>
    <w:p w14:paraId="250824B7">
      <w:pPr>
        <w:pStyle w:val="8"/>
        <w:jc w:val="center"/>
        <w:rPr>
          <w:rFonts w:hint="eastAsia" w:ascii="仿宋" w:hAnsi="仿宋" w:eastAsia="仿宋" w:cs="仿宋"/>
          <w:b/>
          <w:bCs/>
          <w:spacing w:val="-20"/>
          <w:kern w:val="44"/>
          <w:sz w:val="32"/>
          <w:szCs w:val="32"/>
          <w:highlight w:val="none"/>
        </w:rPr>
      </w:pPr>
      <w:r>
        <w:rPr>
          <w:rFonts w:hint="eastAsia" w:ascii="仿宋" w:hAnsi="仿宋" w:eastAsia="仿宋" w:cs="仿宋"/>
          <w:b/>
          <w:bCs/>
          <w:spacing w:val="-20"/>
          <w:kern w:val="44"/>
          <w:sz w:val="32"/>
          <w:szCs w:val="32"/>
          <w:highlight w:val="none"/>
        </w:rPr>
        <w:t>政府采购货物买卖合同</w:t>
      </w:r>
    </w:p>
    <w:p w14:paraId="68C73426">
      <w:pPr>
        <w:pStyle w:val="8"/>
        <w:jc w:val="center"/>
        <w:rPr>
          <w:rFonts w:hint="eastAsia" w:ascii="仿宋" w:hAnsi="仿宋" w:eastAsia="仿宋" w:cs="仿宋"/>
          <w:b/>
          <w:bCs/>
          <w:spacing w:val="-20"/>
          <w:kern w:val="44"/>
          <w:sz w:val="48"/>
          <w:szCs w:val="48"/>
          <w:highlight w:val="none"/>
        </w:rPr>
      </w:pPr>
    </w:p>
    <w:p w14:paraId="08A70C09">
      <w:pPr>
        <w:rPr>
          <w:rFonts w:hint="eastAsia" w:ascii="仿宋" w:hAnsi="仿宋" w:eastAsia="仿宋" w:cs="仿宋"/>
          <w:b/>
          <w:bCs/>
          <w:spacing w:val="-20"/>
          <w:kern w:val="44"/>
          <w:sz w:val="40"/>
          <w:szCs w:val="40"/>
          <w:highlight w:val="none"/>
        </w:rPr>
      </w:pPr>
    </w:p>
    <w:p w14:paraId="5C7224C8">
      <w:pPr>
        <w:rPr>
          <w:rFonts w:hint="eastAsia" w:ascii="仿宋" w:hAnsi="仿宋" w:eastAsia="仿宋" w:cs="仿宋"/>
          <w:b/>
          <w:bCs/>
          <w:spacing w:val="-20"/>
          <w:kern w:val="44"/>
          <w:sz w:val="40"/>
          <w:szCs w:val="40"/>
          <w:highlight w:val="none"/>
        </w:rPr>
      </w:pPr>
    </w:p>
    <w:p w14:paraId="226259B8">
      <w:pPr>
        <w:rPr>
          <w:rFonts w:hint="eastAsia" w:ascii="仿宋" w:hAnsi="仿宋" w:eastAsia="仿宋" w:cs="仿宋"/>
          <w:b/>
          <w:bCs/>
          <w:spacing w:val="-20"/>
          <w:kern w:val="44"/>
          <w:sz w:val="40"/>
          <w:szCs w:val="40"/>
          <w:highlight w:val="none"/>
        </w:rPr>
      </w:pPr>
    </w:p>
    <w:p w14:paraId="02DC8A1E">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z w:val="24"/>
          <w:szCs w:val="24"/>
          <w:highlight w:val="none"/>
          <w:u w:val="single"/>
        </w:rPr>
        <w:t xml:space="preserve">                             </w:t>
      </w:r>
    </w:p>
    <w:p w14:paraId="0306BCF8">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合同编号：</w:t>
      </w:r>
      <w:r>
        <w:rPr>
          <w:rFonts w:hint="eastAsia" w:ascii="仿宋" w:hAnsi="仿宋" w:eastAsia="仿宋" w:cs="仿宋"/>
          <w:sz w:val="24"/>
          <w:szCs w:val="24"/>
          <w:highlight w:val="none"/>
          <w:u w:val="single"/>
        </w:rPr>
        <w:t xml:space="preserve">                             </w:t>
      </w:r>
    </w:p>
    <w:p w14:paraId="152E0EFF">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甲    方：</w:t>
      </w:r>
      <w:r>
        <w:rPr>
          <w:rFonts w:hint="eastAsia" w:ascii="仿宋" w:hAnsi="仿宋" w:eastAsia="仿宋" w:cs="仿宋"/>
          <w:sz w:val="24"/>
          <w:szCs w:val="24"/>
          <w:highlight w:val="none"/>
          <w:u w:val="single"/>
        </w:rPr>
        <w:t xml:space="preserve">                             </w:t>
      </w:r>
    </w:p>
    <w:p w14:paraId="127E7611">
      <w:pPr>
        <w:spacing w:line="360" w:lineRule="auto"/>
        <w:ind w:left="480" w:left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    方：</w:t>
      </w:r>
      <w:r>
        <w:rPr>
          <w:rFonts w:hint="eastAsia" w:ascii="仿宋" w:hAnsi="仿宋" w:eastAsia="仿宋" w:cs="仿宋"/>
          <w:sz w:val="24"/>
          <w:szCs w:val="24"/>
          <w:highlight w:val="none"/>
          <w:u w:val="single"/>
        </w:rPr>
        <w:t xml:space="preserve">                             </w:t>
      </w:r>
    </w:p>
    <w:p w14:paraId="7FF11D20">
      <w:pPr>
        <w:spacing w:line="360" w:lineRule="auto"/>
        <w:ind w:left="480" w:left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r>
        <w:rPr>
          <w:rFonts w:hint="eastAsia" w:ascii="仿宋" w:hAnsi="仿宋" w:eastAsia="仿宋" w:cs="仿宋"/>
          <w:sz w:val="24"/>
          <w:szCs w:val="24"/>
          <w:highlight w:val="none"/>
          <w:u w:val="single"/>
        </w:rPr>
        <w:t xml:space="preserve">                             </w:t>
      </w:r>
    </w:p>
    <w:p w14:paraId="28F6D117">
      <w:pPr>
        <w:rPr>
          <w:rFonts w:hint="eastAsia" w:ascii="仿宋" w:hAnsi="仿宋" w:eastAsia="仿宋" w:cs="仿宋"/>
          <w:sz w:val="24"/>
          <w:szCs w:val="24"/>
          <w:highlight w:val="none"/>
        </w:rPr>
      </w:pPr>
    </w:p>
    <w:p w14:paraId="46C9184E">
      <w:pPr>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r>
        <w:rPr>
          <w:rFonts w:hint="eastAsia" w:ascii="仿宋" w:hAnsi="仿宋" w:eastAsia="仿宋" w:cs="仿宋"/>
          <w:sz w:val="24"/>
          <w:szCs w:val="24"/>
          <w:highlight w:val="none"/>
        </w:rPr>
        <w:t>使 用 说 明</w:t>
      </w:r>
    </w:p>
    <w:p w14:paraId="12BB1ED3">
      <w:pPr>
        <w:ind w:firstLine="640" w:firstLineChars="200"/>
        <w:rPr>
          <w:rFonts w:hint="eastAsia" w:ascii="仿宋" w:hAnsi="仿宋" w:eastAsia="仿宋" w:cs="仿宋"/>
          <w:sz w:val="32"/>
          <w:szCs w:val="32"/>
          <w:highlight w:val="none"/>
        </w:rPr>
      </w:pPr>
    </w:p>
    <w:p w14:paraId="720B06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1.本合同标准文本适用于购买现成货物的采购项目，不包括需要供应商定制开发、创新研发的货物采购项目。</w:t>
      </w:r>
    </w:p>
    <w:p w14:paraId="3DC0F37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2.本合同标准文本为政府采购货物买卖合同编制提供参考，可以结合采购项目具体情况，对文本作必要的调整修订后使用。</w:t>
      </w:r>
    </w:p>
    <w:p w14:paraId="7051BC1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3.本合同标准文本各条款中，如涉及填写多家供应商、制造商，多种采购标的、分包主要内容等信息的，可根据采购项目具体情况添加信息项。</w:t>
      </w:r>
    </w:p>
    <w:p w14:paraId="6B9D4215">
      <w:pPr>
        <w:ind w:firstLine="480" w:firstLineChars="200"/>
        <w:rPr>
          <w:rFonts w:hint="eastAsia" w:ascii="仿宋" w:hAnsi="仿宋" w:eastAsia="仿宋" w:cs="仿宋"/>
          <w:sz w:val="24"/>
          <w:szCs w:val="2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57862B4">
      <w:pPr>
        <w:pStyle w:val="4"/>
        <w:tabs>
          <w:tab w:val="left" w:pos="0"/>
          <w:tab w:val="left" w:pos="420"/>
          <w:tab w:val="left" w:pos="1152"/>
        </w:tabs>
        <w:adjustRightInd w:val="0"/>
        <w:snapToGrid w:val="0"/>
        <w:spacing w:line="400" w:lineRule="exact"/>
        <w:jc w:val="center"/>
        <w:rPr>
          <w:rFonts w:hint="eastAsia" w:ascii="仿宋" w:hAnsi="仿宋" w:eastAsia="仿宋" w:cs="仿宋"/>
          <w:b w:val="0"/>
          <w:sz w:val="24"/>
          <w:szCs w:val="24"/>
          <w:highlight w:val="none"/>
        </w:rPr>
      </w:pPr>
      <w:bookmarkStart w:id="81" w:name="_Toc22209"/>
      <w:bookmarkStart w:id="82" w:name="_Toc28872"/>
      <w:r>
        <w:rPr>
          <w:rFonts w:hint="eastAsia" w:ascii="仿宋" w:hAnsi="仿宋" w:eastAsia="仿宋" w:cs="仿宋"/>
          <w:b w:val="0"/>
          <w:sz w:val="24"/>
          <w:szCs w:val="24"/>
          <w:highlight w:val="none"/>
        </w:rPr>
        <w:t>第一节 政府采购合同协议书</w:t>
      </w:r>
      <w:bookmarkEnd w:id="81"/>
      <w:bookmarkEnd w:id="82"/>
    </w:p>
    <w:p w14:paraId="709B095E">
      <w:pPr>
        <w:pStyle w:val="4"/>
        <w:tabs>
          <w:tab w:val="left" w:pos="0"/>
          <w:tab w:val="left" w:pos="420"/>
          <w:tab w:val="left" w:pos="1152"/>
        </w:tabs>
        <w:adjustRightInd w:val="0"/>
        <w:snapToGrid w:val="0"/>
        <w:spacing w:line="400" w:lineRule="exact"/>
        <w:jc w:val="center"/>
        <w:rPr>
          <w:rFonts w:hint="eastAsia" w:ascii="仿宋" w:hAnsi="仿宋" w:eastAsia="仿宋" w:cs="仿宋"/>
          <w:b w:val="0"/>
          <w:sz w:val="24"/>
          <w:szCs w:val="24"/>
          <w:highlight w:val="none"/>
        </w:rPr>
      </w:pPr>
    </w:p>
    <w:p w14:paraId="6D293066">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（采购人、受采购人委托签订合同的单位或采购</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文件约定的合同甲方）</w:t>
      </w:r>
    </w:p>
    <w:p w14:paraId="2BBEF65E">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乙方（全称）：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w:t>
      </w:r>
    </w:p>
    <w:p w14:paraId="16F328EA">
      <w:pPr>
        <w:pStyle w:val="9"/>
        <w:keepNext w:val="0"/>
        <w:keepLines w:val="0"/>
        <w:pageBreakBefore w:val="0"/>
        <w:kinsoku/>
        <w:wordWrap/>
        <w:overflowPunct/>
        <w:topLinePunct w:val="0"/>
        <w:bidi w:val="0"/>
        <w:adjustRightInd w:val="0"/>
        <w:snapToGrid w:val="0"/>
        <w:spacing w:line="360" w:lineRule="auto"/>
        <w:ind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A0FB609">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项目信息</w:t>
      </w:r>
    </w:p>
    <w:p w14:paraId="49C88B58">
      <w:pPr>
        <w:pStyle w:val="9"/>
        <w:keepNext w:val="0"/>
        <w:keepLines w:val="0"/>
        <w:pageBreakBefore w:val="0"/>
        <w:numPr>
          <w:ilvl w:val="0"/>
          <w:numId w:val="6"/>
        </w:numPr>
        <w:kinsoku/>
        <w:wordWrap/>
        <w:overflowPunct/>
        <w:topLinePunct w:val="0"/>
        <w:bidi w:val="0"/>
        <w:adjustRightInd w:val="0"/>
        <w:snapToGrid w:val="0"/>
        <w:spacing w:line="360" w:lineRule="auto"/>
        <w:ind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single"/>
        </w:rPr>
        <w:t xml:space="preserve">                                          </w:t>
      </w:r>
    </w:p>
    <w:p w14:paraId="092BCE78">
      <w:pPr>
        <w:pStyle w:val="9"/>
        <w:keepNext w:val="0"/>
        <w:keepLines w:val="0"/>
        <w:pageBreakBefore w:val="0"/>
        <w:tabs>
          <w:tab w:val="left" w:pos="999"/>
        </w:tabs>
        <w:kinsoku/>
        <w:wordWrap/>
        <w:overflowPunct/>
        <w:topLinePunct w:val="0"/>
        <w:bidi w:val="0"/>
        <w:adjustRightInd w:val="0"/>
        <w:snapToGrid w:val="0"/>
        <w:spacing w:line="360" w:lineRule="auto"/>
        <w:ind w:firstLine="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采购项目编号：</w:t>
      </w:r>
      <w:r>
        <w:rPr>
          <w:rFonts w:hint="eastAsia" w:ascii="仿宋" w:hAnsi="仿宋" w:eastAsia="仿宋" w:cs="仿宋"/>
          <w:sz w:val="24"/>
          <w:szCs w:val="24"/>
          <w:highlight w:val="none"/>
          <w:u w:val="single"/>
        </w:rPr>
        <w:t xml:space="preserve">                                          </w:t>
      </w:r>
    </w:p>
    <w:p w14:paraId="4E07529E">
      <w:pPr>
        <w:pStyle w:val="9"/>
        <w:keepNext w:val="0"/>
        <w:keepLines w:val="0"/>
        <w:pageBreakBefore w:val="0"/>
        <w:kinsoku/>
        <w:wordWrap/>
        <w:overflowPunct/>
        <w:topLinePunct w:val="0"/>
        <w:bidi w:val="0"/>
        <w:adjustRightInd w:val="0"/>
        <w:snapToGrid w:val="0"/>
        <w:spacing w:line="360" w:lineRule="auto"/>
        <w:ind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（2）采购计划编号：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CC4A65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（3）项目内容：</w:t>
      </w:r>
    </w:p>
    <w:p w14:paraId="217B996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采购标的及数量（台/套</w:t>
      </w:r>
      <w:r>
        <w:rPr>
          <w:rFonts w:hint="eastAsia" w:ascii="仿宋" w:hAnsi="仿宋" w:eastAsia="仿宋" w:cs="仿宋"/>
          <w:sz w:val="24"/>
          <w:szCs w:val="24"/>
          <w:highlight w:val="none"/>
          <w:lang w:val="en"/>
        </w:rPr>
        <w:t>/个/架/组等</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35FA26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en"/>
        </w:rPr>
      </w:pP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en"/>
        </w:rPr>
        <w:t xml:space="preserve">     </w:t>
      </w:r>
      <w:r>
        <w:rPr>
          <w:rFonts w:hint="eastAsia" w:ascii="仿宋" w:hAnsi="仿宋" w:eastAsia="仿宋" w:cs="仿宋"/>
          <w:sz w:val="24"/>
          <w:szCs w:val="24"/>
          <w:highlight w:val="none"/>
        </w:rPr>
        <w:t>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
        </w:rPr>
        <w:t xml:space="preserve">   </w:t>
      </w:r>
    </w:p>
    <w:p w14:paraId="1506F07E">
      <w:pPr>
        <w:keepNext w:val="0"/>
        <w:keepLines w:val="0"/>
        <w:pageBreakBefore w:val="0"/>
        <w:kinsoku/>
        <w:wordWrap/>
        <w:overflowPunct/>
        <w:topLinePunct w:val="0"/>
        <w:bidi w:val="0"/>
        <w:adjustRightInd w:val="0"/>
        <w:snapToGrid w:val="0"/>
        <w:spacing w:line="360" w:lineRule="auto"/>
        <w:ind w:firstLine="1080" w:firstLineChars="45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采购标的的技术要求、商务要求具体见附件。</w:t>
      </w:r>
    </w:p>
    <w:p w14:paraId="0DEDB949">
      <w:pPr>
        <w:keepNext w:val="0"/>
        <w:keepLines w:val="0"/>
        <w:pageBreakBefore w:val="0"/>
        <w:kinsoku/>
        <w:wordWrap/>
        <w:overflowPunct/>
        <w:topLinePunct w:val="0"/>
        <w:bidi w:val="0"/>
        <w:adjustRightInd w:val="0"/>
        <w:snapToGrid w:val="0"/>
        <w:spacing w:line="360" w:lineRule="auto"/>
        <w:ind w:firstLine="1080" w:firstLineChars="4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①涉及信息类产品，请填写该产品关键部件的品牌、型号：</w:t>
      </w:r>
    </w:p>
    <w:p w14:paraId="4DBCED0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kern w:val="0"/>
          <w:sz w:val="24"/>
          <w:szCs w:val="24"/>
          <w:highlight w:val="none"/>
          <w:u w:val="single"/>
        </w:rPr>
      </w:pPr>
      <w:r>
        <w:rPr>
          <w:rFonts w:hint="eastAsia" w:ascii="仿宋" w:hAnsi="仿宋" w:eastAsia="仿宋" w:cs="仿宋"/>
          <w:sz w:val="24"/>
          <w:szCs w:val="24"/>
          <w:highlight w:val="none"/>
        </w:rPr>
        <w:t xml:space="preserve">     标的名称：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
        </w:rPr>
        <w:t xml:space="preserve">               </w:t>
      </w:r>
      <w:r>
        <w:rPr>
          <w:rFonts w:hint="eastAsia" w:ascii="仿宋" w:hAnsi="仿宋" w:eastAsia="仿宋" w:cs="仿宋"/>
          <w:kern w:val="0"/>
          <w:sz w:val="24"/>
          <w:szCs w:val="24"/>
          <w:highlight w:val="none"/>
          <w:u w:val="single"/>
        </w:rPr>
        <w:t xml:space="preserve">    </w:t>
      </w:r>
    </w:p>
    <w:p w14:paraId="5D9F5DA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2868053">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关键部件</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40B1CAC">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关键部件：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型号：</w:t>
      </w:r>
      <w:r>
        <w:rPr>
          <w:rFonts w:hint="eastAsia" w:ascii="仿宋" w:hAnsi="仿宋" w:eastAsia="仿宋" w:cs="仿宋"/>
          <w:sz w:val="24"/>
          <w:szCs w:val="24"/>
          <w:highlight w:val="none"/>
          <w:u w:val="single"/>
        </w:rPr>
        <w:t xml:space="preserve">       </w:t>
      </w:r>
    </w:p>
    <w:p w14:paraId="31CDAB99">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A06CB3F">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②涉及车辆采购，请填写是否属于新能源汽车：</w:t>
      </w:r>
    </w:p>
    <w:p w14:paraId="6359E946">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数量：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9EC7E96">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7B6C038C">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4</w:t>
      </w:r>
      <w:r>
        <w:rPr>
          <w:rFonts w:hint="eastAsia" w:ascii="仿宋" w:hAnsi="仿宋" w:eastAsia="仿宋" w:cs="仿宋"/>
          <w:sz w:val="24"/>
          <w:szCs w:val="24"/>
          <w:highlight w:val="none"/>
        </w:rPr>
        <w:t>）政府采购组织形式：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政府集中采购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部门集中采购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分散采购</w:t>
      </w:r>
    </w:p>
    <w:p w14:paraId="758A9862">
      <w:pPr>
        <w:pStyle w:val="62"/>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5</w:t>
      </w:r>
      <w:r>
        <w:rPr>
          <w:rFonts w:hint="eastAsia" w:ascii="仿宋" w:hAnsi="仿宋" w:eastAsia="仿宋" w:cs="仿宋"/>
          <w:sz w:val="24"/>
          <w:szCs w:val="24"/>
          <w:highlight w:val="none"/>
        </w:rPr>
        <w:t>）政府采购方式：</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公开招标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邀请招标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竞争性谈判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竞争性磋商</w:t>
      </w:r>
    </w:p>
    <w:p w14:paraId="33E2F67F">
      <w:pPr>
        <w:pStyle w:val="62"/>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询价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单一来源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框架协议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其他：</w:t>
      </w:r>
      <w:r>
        <w:rPr>
          <w:rFonts w:hint="eastAsia" w:ascii="仿宋" w:hAnsi="仿宋" w:eastAsia="仿宋" w:cs="仿宋"/>
          <w:sz w:val="24"/>
          <w:szCs w:val="24"/>
          <w:highlight w:val="none"/>
          <w:u w:val="single"/>
        </w:rPr>
        <w:t xml:space="preserve">          </w:t>
      </w:r>
    </w:p>
    <w:p w14:paraId="42EE16C4">
      <w:pPr>
        <w:pStyle w:val="62"/>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（注：在框架协议采购的第二阶段，可选择使用该合同文本）</w:t>
      </w:r>
    </w:p>
    <w:p w14:paraId="14B7EE47">
      <w:pPr>
        <w:pStyle w:val="62"/>
        <w:keepNext w:val="0"/>
        <w:keepLines w:val="0"/>
        <w:pageBreakBefore w:val="0"/>
        <w:kinsoku/>
        <w:wordWrap/>
        <w:overflowPunct/>
        <w:topLinePunct w:val="0"/>
        <w:bidi w:val="0"/>
        <w:adjustRightInd w:val="0"/>
        <w:snapToGrid w:val="0"/>
        <w:spacing w:line="360" w:lineRule="auto"/>
        <w:ind w:firstLine="240" w:firstLineChars="100"/>
        <w:textAlignment w:val="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6</w:t>
      </w: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中标（成交）采购标的制造商是否为中小企业：</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 xml:space="preserve">是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268747BA">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本合同是否为专门面向中小企业的采购合同（中小企业预留合同）：</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39DF50B">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若本项目不专门面向中小企业采购，是否给予小微企业评审优惠：</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543129E7">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中标（成交）采购标的制造商是否为残疾人福利性单位：</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7328C704">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中标（成交）采购标的制造商是否为监狱企业：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47EFA09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7</w:t>
      </w:r>
      <w:r>
        <w:rPr>
          <w:rFonts w:hint="eastAsia" w:ascii="仿宋" w:hAnsi="仿宋" w:eastAsia="仿宋" w:cs="仿宋"/>
          <w:sz w:val="24"/>
          <w:szCs w:val="24"/>
          <w:highlight w:val="none"/>
        </w:rPr>
        <w:t>）合同是否分包：</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737535C0">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分包主要内容：</w:t>
      </w:r>
      <w:r>
        <w:rPr>
          <w:rFonts w:hint="eastAsia" w:ascii="仿宋" w:hAnsi="仿宋" w:eastAsia="仿宋" w:cs="仿宋"/>
          <w:sz w:val="24"/>
          <w:szCs w:val="24"/>
          <w:highlight w:val="none"/>
          <w:u w:val="single"/>
        </w:rPr>
        <w:t xml:space="preserve">                                            </w:t>
      </w:r>
    </w:p>
    <w:p w14:paraId="2B38A9E8">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分包供应商/制造商名称（如供应商和制造商不同，请分别填写）：</w:t>
      </w:r>
    </w:p>
    <w:p w14:paraId="01E12A4C">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p>
    <w:p w14:paraId="5B35C9CD">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分包供应商/制造商类型（如果供应商和制造商不同，只填写制造商类型）：</w:t>
      </w:r>
    </w:p>
    <w:p w14:paraId="44F9FC43">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大型企业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中型企业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小微型企业  </w:t>
      </w:r>
    </w:p>
    <w:p w14:paraId="4EC8CF5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残疾人福利性单位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监狱企业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p>
    <w:p w14:paraId="5C4D1AC8">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
        </w:rPr>
        <w:t>8</w:t>
      </w:r>
      <w:r>
        <w:rPr>
          <w:rFonts w:hint="eastAsia" w:ascii="仿宋" w:hAnsi="仿宋" w:eastAsia="仿宋" w:cs="仿宋"/>
          <w:sz w:val="24"/>
          <w:szCs w:val="24"/>
          <w:highlight w:val="none"/>
        </w:rPr>
        <w:t>）中标（成交）供应商是否为外商投资企业：</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是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否</w:t>
      </w:r>
    </w:p>
    <w:p w14:paraId="09531CB8">
      <w:pPr>
        <w:pStyle w:val="62"/>
        <w:keepNext w:val="0"/>
        <w:keepLines w:val="0"/>
        <w:pageBreakBefore w:val="0"/>
        <w:tabs>
          <w:tab w:val="left" w:pos="1340"/>
        </w:tabs>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外商投资企业类型：</w:t>
      </w:r>
      <w:r>
        <w:rPr>
          <w:rFonts w:hint="eastAsia" w:ascii="仿宋" w:hAnsi="仿宋" w:eastAsia="仿宋" w:cs="仿宋"/>
          <w:iCs/>
          <w:sz w:val="24"/>
          <w:szCs w:val="24"/>
          <w:highlight w:val="none"/>
        </w:rPr>
        <w:sym w:font="Wingdings" w:char="00A8"/>
      </w:r>
      <w:r>
        <w:rPr>
          <w:rFonts w:hint="eastAsia" w:ascii="仿宋" w:hAnsi="仿宋" w:eastAsia="仿宋" w:cs="仿宋"/>
          <w:sz w:val="24"/>
          <w:szCs w:val="24"/>
          <w:highlight w:val="none"/>
        </w:rPr>
        <w:t xml:space="preserve">全部由外国投资者投资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部分由外国投资者投资</w:t>
      </w:r>
    </w:p>
    <w:p w14:paraId="24724D8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
        </w:rPr>
        <w:t>9</w:t>
      </w:r>
      <w:r>
        <w:rPr>
          <w:rFonts w:hint="eastAsia" w:ascii="仿宋" w:hAnsi="仿宋" w:eastAsia="仿宋" w:cs="仿宋"/>
          <w:sz w:val="24"/>
          <w:szCs w:val="24"/>
          <w:highlight w:val="none"/>
        </w:rPr>
        <w:t>）是否涉及进口产品：</w:t>
      </w:r>
    </w:p>
    <w:p w14:paraId="0BD29DDE">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是，《政府采购品目分类目录》底级品目名称：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金额：</w:t>
      </w:r>
      <w:r>
        <w:rPr>
          <w:rFonts w:hint="eastAsia" w:ascii="仿宋" w:hAnsi="仿宋" w:eastAsia="仿宋" w:cs="仿宋"/>
          <w:sz w:val="24"/>
          <w:szCs w:val="24"/>
          <w:highlight w:val="none"/>
          <w:u w:val="single"/>
        </w:rPr>
        <w:t xml:space="preserve">        </w:t>
      </w:r>
    </w:p>
    <w:p w14:paraId="573D4F7E">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国别：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品牌：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规格型号：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94B7326">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6E738396">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0</w:t>
      </w:r>
      <w:r>
        <w:rPr>
          <w:rFonts w:hint="eastAsia" w:ascii="仿宋" w:hAnsi="仿宋" w:eastAsia="仿宋" w:cs="仿宋"/>
          <w:sz w:val="24"/>
          <w:szCs w:val="24"/>
          <w:highlight w:val="none"/>
        </w:rPr>
        <w:t>）是否涉及节能产品：</w:t>
      </w:r>
    </w:p>
    <w:p w14:paraId="25109CB3">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是，《节能产品政府采购品目清单》的底级品目名称：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1F323824">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1EBBE6CC">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0518CFC4">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是否涉及环境标志产品：</w:t>
      </w:r>
    </w:p>
    <w:p w14:paraId="1BE5D932">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是，《环境标志产品政府采购品目清单》的底级品目名称：</w:t>
      </w:r>
      <w:r>
        <w:rPr>
          <w:rFonts w:hint="eastAsia" w:ascii="仿宋" w:hAnsi="仿宋" w:eastAsia="仿宋" w:cs="仿宋"/>
          <w:sz w:val="24"/>
          <w:szCs w:val="24"/>
          <w:highlight w:val="none"/>
          <w:u w:val="single"/>
        </w:rPr>
        <w:t xml:space="preserve">         </w:t>
      </w:r>
      <w:r>
        <w:rPr>
          <w:rFonts w:hint="eastAsia" w:ascii="仿宋" w:hAnsi="仿宋" w:eastAsia="仿宋" w:cs="仿宋"/>
          <w:iCs/>
          <w:sz w:val="24"/>
          <w:szCs w:val="24"/>
          <w:highlight w:val="none"/>
        </w:rPr>
        <w:t xml:space="preserve"> </w:t>
      </w:r>
    </w:p>
    <w:p w14:paraId="1B0B3222">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13B7DAEA">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4A49920E">
      <w:pPr>
        <w:pStyle w:val="62"/>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是否涉及绿色产品： </w:t>
      </w:r>
    </w:p>
    <w:p w14:paraId="6D7CE727">
      <w:pPr>
        <w:pStyle w:val="62"/>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仿宋" w:hAnsi="仿宋" w:eastAsia="仿宋" w:cs="仿宋"/>
          <w:sz w:val="24"/>
          <w:szCs w:val="24"/>
          <w:highlight w:val="none"/>
          <w:u w:val="singl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是，绿色产品政府采购相关政策确定的底级品目名称：</w:t>
      </w:r>
      <w:r>
        <w:rPr>
          <w:rFonts w:hint="eastAsia" w:ascii="仿宋" w:hAnsi="仿宋" w:eastAsia="仿宋" w:cs="仿宋"/>
          <w:sz w:val="24"/>
          <w:szCs w:val="24"/>
          <w:highlight w:val="none"/>
          <w:u w:val="single"/>
        </w:rPr>
        <w:t xml:space="preserve">         </w:t>
      </w:r>
    </w:p>
    <w:p w14:paraId="05882AD3">
      <w:pPr>
        <w:keepNext w:val="0"/>
        <w:keepLines w:val="0"/>
        <w:pageBreakBefore w:val="0"/>
        <w:tabs>
          <w:tab w:val="left" w:pos="740"/>
        </w:tabs>
        <w:kinsoku/>
        <w:wordWrap/>
        <w:overflowPunct/>
        <w:topLinePunct w:val="0"/>
        <w:bidi w:val="0"/>
        <w:adjustRightInd w:val="0"/>
        <w:snapToGrid w:val="0"/>
        <w:spacing w:line="360" w:lineRule="auto"/>
        <w:textAlignment w:val="auto"/>
        <w:rPr>
          <w:rFonts w:hint="eastAsia" w:ascii="仿宋" w:hAnsi="仿宋" w:eastAsia="仿宋" w:cs="仿宋"/>
          <w:iCs/>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强制采购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优先采购    </w:t>
      </w:r>
    </w:p>
    <w:p w14:paraId="6C38063D">
      <w:pPr>
        <w:pStyle w:val="62"/>
        <w:keepNext w:val="0"/>
        <w:keepLines w:val="0"/>
        <w:pageBreakBefore w:val="0"/>
        <w:kinsoku/>
        <w:wordWrap/>
        <w:overflowPunct/>
        <w:topLinePunct w:val="0"/>
        <w:bidi w:val="0"/>
        <w:adjustRightInd w:val="0"/>
        <w:snapToGrid w:val="0"/>
        <w:spacing w:line="360" w:lineRule="auto"/>
        <w:ind w:firstLine="420" w:firstLineChars="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sym w:font="Wingdings" w:char="00A8"/>
      </w:r>
      <w:r>
        <w:rPr>
          <w:rFonts w:hint="eastAsia" w:ascii="仿宋" w:hAnsi="仿宋" w:eastAsia="仿宋" w:cs="仿宋"/>
          <w:kern w:val="2"/>
          <w:sz w:val="24"/>
          <w:szCs w:val="24"/>
          <w:highlight w:val="none"/>
        </w:rPr>
        <w:t>否</w:t>
      </w:r>
    </w:p>
    <w:p w14:paraId="5904CDCC">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r>
        <w:rPr>
          <w:rFonts w:hint="eastAsia" w:ascii="仿宋" w:hAnsi="仿宋" w:eastAsia="仿宋" w:cs="仿宋"/>
          <w:sz w:val="24"/>
          <w:szCs w:val="24"/>
          <w:highlight w:val="none"/>
          <w:lang w:val="en"/>
        </w:rPr>
        <w:t>1</w:t>
      </w:r>
      <w:r>
        <w:rPr>
          <w:rFonts w:hint="eastAsia" w:ascii="仿宋" w:hAnsi="仿宋" w:eastAsia="仿宋" w:cs="仿宋"/>
          <w:sz w:val="24"/>
          <w:szCs w:val="24"/>
          <w:highlight w:val="none"/>
        </w:rPr>
        <w:t>）涉及商品包装和快递包装的，是否参考《商品包装政府采购需求标准（试行）》、《快递包装政府采购需求标准（试行）》明确产品及相关快递服务的具体包装要求：</w:t>
      </w:r>
    </w:p>
    <w:p w14:paraId="1FAA05FD">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否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不涉及</w:t>
      </w:r>
    </w:p>
    <w:p w14:paraId="59AA0E94">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6A8CA68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（1）合同金额小写：</w:t>
      </w:r>
      <w:r>
        <w:rPr>
          <w:rFonts w:hint="eastAsia" w:ascii="仿宋" w:hAnsi="仿宋" w:eastAsia="仿宋" w:cs="仿宋"/>
          <w:sz w:val="24"/>
          <w:szCs w:val="24"/>
          <w:highlight w:val="none"/>
          <w:u w:val="single"/>
        </w:rPr>
        <w:t xml:space="preserve">                           </w:t>
      </w:r>
    </w:p>
    <w:p w14:paraId="33B08A96">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02970252">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分包金额（如有）小写：</w:t>
      </w:r>
      <w:r>
        <w:rPr>
          <w:rFonts w:hint="eastAsia" w:ascii="仿宋" w:hAnsi="仿宋" w:eastAsia="仿宋" w:cs="仿宋"/>
          <w:sz w:val="24"/>
          <w:szCs w:val="24"/>
          <w:highlight w:val="none"/>
          <w:u w:val="single"/>
        </w:rPr>
        <w:t xml:space="preserve">                   </w:t>
      </w:r>
    </w:p>
    <w:p w14:paraId="4A385809">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大写：</w:t>
      </w:r>
      <w:r>
        <w:rPr>
          <w:rFonts w:hint="eastAsia" w:ascii="仿宋" w:hAnsi="仿宋" w:eastAsia="仿宋" w:cs="仿宋"/>
          <w:sz w:val="24"/>
          <w:szCs w:val="24"/>
          <w:highlight w:val="none"/>
          <w:u w:val="single"/>
        </w:rPr>
        <w:t xml:space="preserve">                       </w:t>
      </w:r>
    </w:p>
    <w:p w14:paraId="06A95ECB">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（注：固定单价合同应填写单价和最高限价）</w:t>
      </w:r>
    </w:p>
    <w:p w14:paraId="34509E2A">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（2）合同定价方式（采用组合定价方式的，可以勾选多项）：</w:t>
      </w:r>
    </w:p>
    <w:p w14:paraId="20A3892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iCs/>
          <w:sz w:val="24"/>
          <w:szCs w:val="24"/>
          <w:highlight w:val="none"/>
        </w:rPr>
        <w:t xml:space="preserve">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固定总价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固定单价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固定费率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成本补偿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 xml:space="preserve">绩效激励 </w:t>
      </w:r>
      <w:r>
        <w:rPr>
          <w:rFonts w:hint="eastAsia" w:ascii="仿宋" w:hAnsi="仿宋" w:eastAsia="仿宋" w:cs="仿宋"/>
          <w:iCs/>
          <w:sz w:val="24"/>
          <w:szCs w:val="24"/>
          <w:highlight w:val="none"/>
        </w:rPr>
        <w:sym w:font="Wingdings" w:char="00A8"/>
      </w:r>
      <w:r>
        <w:rPr>
          <w:rFonts w:hint="eastAsia" w:ascii="仿宋" w:hAnsi="仿宋" w:eastAsia="仿宋" w:cs="仿宋"/>
          <w:iCs/>
          <w:sz w:val="24"/>
          <w:szCs w:val="24"/>
          <w:highlight w:val="none"/>
        </w:rPr>
        <w:t>其他</w:t>
      </w:r>
      <w:r>
        <w:rPr>
          <w:rFonts w:hint="eastAsia" w:ascii="仿宋" w:hAnsi="仿宋" w:eastAsia="仿宋" w:cs="仿宋"/>
          <w:sz w:val="24"/>
          <w:szCs w:val="24"/>
          <w:highlight w:val="none"/>
          <w:u w:val="single"/>
        </w:rPr>
        <w:t xml:space="preserve">       </w:t>
      </w:r>
    </w:p>
    <w:p w14:paraId="4CF930A1">
      <w:pPr>
        <w:pStyle w:val="63"/>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（3）付款方式（按项目实际勾选填写）：</w:t>
      </w:r>
    </w:p>
    <w:p w14:paraId="0305B212">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全额付款：</w:t>
      </w:r>
      <w:r>
        <w:rPr>
          <w:rFonts w:hint="eastAsia" w:ascii="仿宋" w:hAnsi="仿宋" w:eastAsia="仿宋" w:cs="仿宋"/>
          <w:sz w:val="24"/>
          <w:szCs w:val="24"/>
          <w:highlight w:val="none"/>
          <w:u w:val="single"/>
        </w:rPr>
        <w:t xml:space="preserve">     （应明确一次性支付合同款项的条件）                    </w:t>
      </w:r>
    </w:p>
    <w:p w14:paraId="0C11B838">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分期付款：</w:t>
      </w:r>
      <w:r>
        <w:rPr>
          <w:rFonts w:hint="eastAsia" w:ascii="仿宋" w:hAnsi="仿宋" w:eastAsia="仿宋" w:cs="仿宋"/>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sz w:val="24"/>
          <w:szCs w:val="24"/>
          <w:highlight w:val="none"/>
        </w:rPr>
        <w:t>，其中涉及预付款的：</w:t>
      </w:r>
      <w:r>
        <w:rPr>
          <w:rFonts w:hint="eastAsia" w:ascii="仿宋" w:hAnsi="仿宋" w:eastAsia="仿宋" w:cs="仿宋"/>
          <w:sz w:val="24"/>
          <w:szCs w:val="24"/>
          <w:highlight w:val="none"/>
          <w:u w:val="single"/>
        </w:rPr>
        <w:t xml:space="preserve"> （应明确预付款的支付比例和支付条件） </w:t>
      </w:r>
    </w:p>
    <w:p w14:paraId="43FF5F79">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成本补偿：</w:t>
      </w:r>
      <w:r>
        <w:rPr>
          <w:rFonts w:hint="eastAsia" w:ascii="仿宋" w:hAnsi="仿宋" w:eastAsia="仿宋" w:cs="仿宋"/>
          <w:sz w:val="24"/>
          <w:szCs w:val="24"/>
          <w:highlight w:val="none"/>
          <w:u w:val="single"/>
        </w:rPr>
        <w:t xml:space="preserve">      （应明确按照成本补偿方式的支付方式和支付条件）   </w:t>
      </w:r>
    </w:p>
    <w:p w14:paraId="4CE96820">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绩效激励：</w:t>
      </w:r>
      <w:r>
        <w:rPr>
          <w:rFonts w:hint="eastAsia" w:ascii="仿宋" w:hAnsi="仿宋" w:eastAsia="仿宋" w:cs="仿宋"/>
          <w:sz w:val="24"/>
          <w:szCs w:val="24"/>
          <w:highlight w:val="none"/>
          <w:u w:val="single"/>
        </w:rPr>
        <w:t xml:space="preserve">      （应明确按照绩效激励方式的支付方式和支付条件）   </w:t>
      </w:r>
    </w:p>
    <w:p w14:paraId="7D7CAC2C">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u w:val="single"/>
        </w:rPr>
      </w:pPr>
      <w:r>
        <w:rPr>
          <w:rFonts w:hint="eastAsia" w:ascii="仿宋" w:hAnsi="仿宋" w:eastAsia="仿宋" w:cs="仿宋"/>
          <w:b/>
          <w:sz w:val="24"/>
          <w:szCs w:val="24"/>
          <w:highlight w:val="none"/>
        </w:rPr>
        <w:t>合同履行</w:t>
      </w:r>
    </w:p>
    <w:p w14:paraId="07A606B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（1）起始日期：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日，完成日期：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EC5352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（2）履约地点</w:t>
      </w:r>
      <w:r>
        <w:rPr>
          <w:rFonts w:hint="eastAsia" w:ascii="仿宋" w:hAnsi="仿宋" w:eastAsia="仿宋" w:cs="仿宋"/>
          <w:bCs/>
          <w:sz w:val="24"/>
          <w:szCs w:val="24"/>
          <w:highlight w:val="none"/>
        </w:rPr>
        <w:t>：</w:t>
      </w:r>
      <w:r>
        <w:rPr>
          <w:rFonts w:hint="eastAsia" w:ascii="仿宋" w:hAnsi="仿宋" w:eastAsia="仿宋" w:cs="仿宋"/>
          <w:sz w:val="24"/>
          <w:szCs w:val="24"/>
          <w:highlight w:val="none"/>
          <w:u w:val="single"/>
        </w:rPr>
        <w:t xml:space="preserve">                             </w:t>
      </w:r>
    </w:p>
    <w:p w14:paraId="188BF58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（3）履约担保：</w:t>
      </w:r>
      <w:r>
        <w:rPr>
          <w:rFonts w:hint="eastAsia" w:ascii="仿宋" w:hAnsi="仿宋" w:eastAsia="仿宋" w:cs="仿宋"/>
          <w:sz w:val="24"/>
          <w:szCs w:val="24"/>
          <w:highlight w:val="none"/>
        </w:rPr>
        <w:t>是否收取履约保证金：</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否</w:t>
      </w:r>
    </w:p>
    <w:p w14:paraId="75B6DBFD">
      <w:pPr>
        <w:pStyle w:val="62"/>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 xml:space="preserve">  收取履约保证金形式：</w:t>
      </w:r>
      <w:r>
        <w:rPr>
          <w:rFonts w:hint="eastAsia" w:ascii="仿宋" w:hAnsi="仿宋" w:eastAsia="仿宋" w:cs="仿宋"/>
          <w:bCs/>
          <w:sz w:val="24"/>
          <w:szCs w:val="24"/>
          <w:highlight w:val="none"/>
          <w:u w:val="single"/>
        </w:rPr>
        <w:t xml:space="preserve">                            </w:t>
      </w:r>
    </w:p>
    <w:p w14:paraId="62988870">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收取履约保证金金额：</w:t>
      </w:r>
      <w:r>
        <w:rPr>
          <w:rFonts w:hint="eastAsia" w:ascii="仿宋" w:hAnsi="仿宋" w:eastAsia="仿宋" w:cs="仿宋"/>
          <w:bCs/>
          <w:sz w:val="24"/>
          <w:szCs w:val="24"/>
          <w:highlight w:val="none"/>
          <w:u w:val="single"/>
        </w:rPr>
        <w:t xml:space="preserve">                            </w:t>
      </w:r>
    </w:p>
    <w:p w14:paraId="478DDD3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履约担保期限：</w:t>
      </w:r>
      <w:r>
        <w:rPr>
          <w:rFonts w:hint="eastAsia" w:ascii="仿宋" w:hAnsi="仿宋" w:eastAsia="仿宋" w:cs="仿宋"/>
          <w:bCs/>
          <w:sz w:val="24"/>
          <w:szCs w:val="24"/>
          <w:highlight w:val="none"/>
          <w:u w:val="single"/>
        </w:rPr>
        <w:t xml:space="preserve">                                  </w:t>
      </w:r>
    </w:p>
    <w:p w14:paraId="53D45E6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（4）分期履行要求：</w:t>
      </w:r>
      <w:r>
        <w:rPr>
          <w:rFonts w:hint="eastAsia" w:ascii="仿宋" w:hAnsi="仿宋" w:eastAsia="仿宋" w:cs="仿宋"/>
          <w:bCs/>
          <w:sz w:val="24"/>
          <w:szCs w:val="24"/>
          <w:highlight w:val="none"/>
          <w:u w:val="single"/>
        </w:rPr>
        <w:t xml:space="preserve">                                 </w:t>
      </w:r>
    </w:p>
    <w:p w14:paraId="415F781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bCs/>
          <w:sz w:val="24"/>
          <w:szCs w:val="24"/>
          <w:highlight w:val="none"/>
        </w:rPr>
        <w:t>（5）风险处置措施和替代方案：</w:t>
      </w:r>
      <w:r>
        <w:rPr>
          <w:rFonts w:hint="eastAsia" w:ascii="仿宋" w:hAnsi="仿宋" w:eastAsia="仿宋" w:cs="仿宋"/>
          <w:color w:val="0000FF"/>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rPr>
        <w:t xml:space="preserve">        </w:t>
      </w:r>
    </w:p>
    <w:p w14:paraId="483F817D">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合同验收</w:t>
      </w:r>
    </w:p>
    <w:p w14:paraId="7506D6C3">
      <w:pPr>
        <w:keepNext w:val="0"/>
        <w:keepLines w:val="0"/>
        <w:pageBreakBefore w:val="0"/>
        <w:numPr>
          <w:ilvl w:val="0"/>
          <w:numId w:val="7"/>
        </w:numPr>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验收组织方式：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自行组织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委托第三方组织</w:t>
      </w:r>
    </w:p>
    <w:p w14:paraId="6BC05873">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验收主体：</w:t>
      </w:r>
      <w:r>
        <w:rPr>
          <w:rFonts w:hint="eastAsia" w:ascii="仿宋" w:hAnsi="仿宋" w:eastAsia="仿宋" w:cs="仿宋"/>
          <w:bCs/>
          <w:sz w:val="24"/>
          <w:szCs w:val="24"/>
          <w:highlight w:val="none"/>
          <w:u w:val="single"/>
        </w:rPr>
        <w:t xml:space="preserve">                  </w:t>
      </w:r>
    </w:p>
    <w:p w14:paraId="72299C61">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是否邀请本项目的其他供应商参加验收：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B1752A6">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是否邀请专家参加验收：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26D03967">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是否邀请服务对象参加验收：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1308CB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是否邀请第三方检测机构参加验收：</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140E6A72">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是否进行抽查检测：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是，抽查比例：</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4A44373">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是否存在破坏性检测：</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是，</w:t>
      </w:r>
      <w:r>
        <w:rPr>
          <w:rFonts w:hint="eastAsia" w:ascii="仿宋" w:hAnsi="仿宋" w:eastAsia="仿宋" w:cs="仿宋"/>
          <w:bCs/>
          <w:sz w:val="24"/>
          <w:szCs w:val="24"/>
          <w:highlight w:val="none"/>
          <w:u w:val="single"/>
        </w:rPr>
        <w:t>（应明确对被破坏的检测产品的处理方式）</w:t>
      </w:r>
    </w:p>
    <w:p w14:paraId="7EEEDD27">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7923B440">
      <w:pPr>
        <w:keepNext w:val="0"/>
        <w:keepLines w:val="0"/>
        <w:pageBreakBefore w:val="0"/>
        <w:kinsoku/>
        <w:wordWrap/>
        <w:overflowPunct/>
        <w:topLinePunct w:val="0"/>
        <w:bidi w:val="0"/>
        <w:adjustRightInd w:val="0"/>
        <w:snapToGrid w:val="0"/>
        <w:spacing w:line="360" w:lineRule="auto"/>
        <w:ind w:firstLine="960" w:firstLineChars="4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验收组织的其他事项：</w:t>
      </w:r>
      <w:r>
        <w:rPr>
          <w:rFonts w:hint="eastAsia" w:ascii="仿宋" w:hAnsi="仿宋" w:eastAsia="仿宋" w:cs="仿宋"/>
          <w:bCs/>
          <w:sz w:val="24"/>
          <w:szCs w:val="24"/>
          <w:highlight w:val="none"/>
          <w:u w:val="single"/>
        </w:rPr>
        <w:t xml:space="preserve">                </w:t>
      </w:r>
    </w:p>
    <w:p w14:paraId="252F723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（2）履约验收时间：</w:t>
      </w:r>
      <w:r>
        <w:rPr>
          <w:rFonts w:hint="eastAsia" w:ascii="仿宋" w:hAnsi="仿宋" w:eastAsia="仿宋" w:cs="仿宋"/>
          <w:bCs/>
          <w:sz w:val="24"/>
          <w:szCs w:val="24"/>
          <w:highlight w:val="none"/>
          <w:u w:val="single"/>
        </w:rPr>
        <w:t xml:space="preserve">（计划于何时验收/供应商提出验收申请之日起   日内组织验收） </w:t>
      </w:r>
    </w:p>
    <w:p w14:paraId="42E881E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（3）履约验收方式：</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一次性验收         </w:t>
      </w:r>
    </w:p>
    <w:p w14:paraId="2EC7A106">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分期/分项验收：</w:t>
      </w:r>
      <w:r>
        <w:rPr>
          <w:rFonts w:hint="eastAsia" w:ascii="仿宋" w:hAnsi="仿宋" w:eastAsia="仿宋" w:cs="仿宋"/>
          <w:bCs/>
          <w:sz w:val="24"/>
          <w:szCs w:val="24"/>
          <w:highlight w:val="none"/>
          <w:u w:val="single"/>
        </w:rPr>
        <w:t xml:space="preserve"> （应明确分期</w:t>
      </w:r>
      <w:r>
        <w:rPr>
          <w:rFonts w:hint="eastAsia" w:ascii="仿宋" w:hAnsi="仿宋" w:eastAsia="仿宋" w:cs="仿宋"/>
          <w:bCs/>
          <w:sz w:val="24"/>
          <w:szCs w:val="24"/>
          <w:highlight w:val="none"/>
          <w:u w:val="single"/>
          <w:lang w:val="en"/>
        </w:rPr>
        <w:t>/分项验收的工作安排</w:t>
      </w:r>
      <w:r>
        <w:rPr>
          <w:rFonts w:hint="eastAsia" w:ascii="仿宋" w:hAnsi="仿宋" w:eastAsia="仿宋" w:cs="仿宋"/>
          <w:bCs/>
          <w:sz w:val="24"/>
          <w:szCs w:val="24"/>
          <w:highlight w:val="none"/>
          <w:u w:val="single"/>
        </w:rPr>
        <w:t xml:space="preserve">）  </w:t>
      </w:r>
    </w:p>
    <w:p w14:paraId="45C1CF8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（4）履约验收程序：</w:t>
      </w:r>
      <w:r>
        <w:rPr>
          <w:rFonts w:hint="eastAsia" w:ascii="仿宋" w:hAnsi="仿宋" w:eastAsia="仿宋" w:cs="仿宋"/>
          <w:bCs/>
          <w:sz w:val="24"/>
          <w:szCs w:val="24"/>
          <w:highlight w:val="none"/>
          <w:u w:val="single"/>
        </w:rPr>
        <w:t xml:space="preserve">                                         </w:t>
      </w:r>
    </w:p>
    <w:p w14:paraId="2686A64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（5）履约验收的内容：</w:t>
      </w:r>
      <w:r>
        <w:rPr>
          <w:rFonts w:hint="eastAsia" w:ascii="仿宋" w:hAnsi="仿宋" w:eastAsia="仿宋" w:cs="仿宋"/>
          <w:bCs/>
          <w:sz w:val="24"/>
          <w:szCs w:val="24"/>
          <w:highlight w:val="none"/>
          <w:u w:val="single"/>
        </w:rPr>
        <w:t xml:space="preserve"> （应当包括每一项技术和商务要求的履约情况，特别是落实政府采购扶持中小企业，支持绿色发展和乡村振兴等政策情况）                                      </w:t>
      </w:r>
    </w:p>
    <w:p w14:paraId="0412DC6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（6）履约验收标准：</w:t>
      </w:r>
      <w:r>
        <w:rPr>
          <w:rFonts w:hint="eastAsia" w:ascii="仿宋" w:hAnsi="仿宋" w:eastAsia="仿宋" w:cs="仿宋"/>
          <w:bCs/>
          <w:sz w:val="24"/>
          <w:szCs w:val="24"/>
          <w:highlight w:val="none"/>
          <w:u w:val="single"/>
        </w:rPr>
        <w:t xml:space="preserve">                                         </w:t>
      </w:r>
    </w:p>
    <w:p w14:paraId="21A9959F">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（7）是否以采购活动中供应商提供的样品作为参考：</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 xml:space="preserve">是  </w:t>
      </w:r>
      <w:r>
        <w:rPr>
          <w:rFonts w:hint="eastAsia" w:ascii="仿宋" w:hAnsi="仿宋" w:eastAsia="仿宋" w:cs="仿宋"/>
          <w:sz w:val="24"/>
          <w:szCs w:val="24"/>
          <w:highlight w:val="none"/>
        </w:rPr>
        <w:sym w:font="Wingdings" w:char="00A8"/>
      </w:r>
      <w:r>
        <w:rPr>
          <w:rFonts w:hint="eastAsia" w:ascii="仿宋" w:hAnsi="仿宋" w:eastAsia="仿宋" w:cs="仿宋"/>
          <w:bCs/>
          <w:sz w:val="24"/>
          <w:szCs w:val="24"/>
          <w:highlight w:val="none"/>
        </w:rPr>
        <w:t>否</w:t>
      </w:r>
    </w:p>
    <w:p w14:paraId="5109B65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（8）履约验收其他事项：</w:t>
      </w:r>
      <w:r>
        <w:rPr>
          <w:rFonts w:hint="eastAsia" w:ascii="仿宋" w:hAnsi="仿宋" w:eastAsia="仿宋" w:cs="仿宋"/>
          <w:bCs/>
          <w:sz w:val="24"/>
          <w:szCs w:val="24"/>
          <w:highlight w:val="none"/>
          <w:u w:val="single"/>
        </w:rPr>
        <w:t xml:space="preserve">      （产权过户登记等）          </w:t>
      </w:r>
    </w:p>
    <w:p w14:paraId="61E9DB14">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组成合同的文件</w:t>
      </w:r>
    </w:p>
    <w:p w14:paraId="2F1A44B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本协议书与下列文件一起构成合同文件，如下述文件之间有任何抵触、矛盾或歧义，应按以下顺序解释：</w:t>
      </w:r>
    </w:p>
    <w:p w14:paraId="4E59532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（1）政府采购合同协议书及其变更、补充协议</w:t>
      </w:r>
    </w:p>
    <w:p w14:paraId="376BAD55">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（2）政府采购合同专用条款</w:t>
      </w:r>
    </w:p>
    <w:p w14:paraId="5402C30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（3）政府采购合同通用条款</w:t>
      </w:r>
    </w:p>
    <w:p w14:paraId="2EDCFAB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（4）中标（成交）通知书</w:t>
      </w:r>
    </w:p>
    <w:p w14:paraId="4D269ED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（5）投标（响应）文件</w:t>
      </w:r>
    </w:p>
    <w:p w14:paraId="33D5F24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（6）采购文件</w:t>
      </w:r>
    </w:p>
    <w:p w14:paraId="7FD6717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（7）有关技术文件，图纸</w:t>
      </w:r>
    </w:p>
    <w:p w14:paraId="4C1ADE96">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（8）</w:t>
      </w:r>
      <w:r>
        <w:rPr>
          <w:rFonts w:hint="eastAsia" w:ascii="仿宋" w:hAnsi="仿宋" w:eastAsia="仿宋" w:cs="仿宋"/>
          <w:color w:val="000000"/>
          <w:kern w:val="2"/>
          <w:sz w:val="24"/>
          <w:szCs w:val="24"/>
          <w:highlight w:val="none"/>
        </w:rPr>
        <w:t>国家法律、行政法规和规章制度规定或合同约定的作为合同组成部分的其他文件</w:t>
      </w:r>
    </w:p>
    <w:p w14:paraId="66D26CB8">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合同生效</w:t>
      </w:r>
    </w:p>
    <w:p w14:paraId="2C020C7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生效。</w:t>
      </w:r>
    </w:p>
    <w:p w14:paraId="1CBFB803">
      <w:pPr>
        <w:keepNext w:val="0"/>
        <w:keepLines w:val="0"/>
        <w:pageBreakBefore w:val="0"/>
        <w:numPr>
          <w:ilvl w:val="0"/>
          <w:numId w:val="5"/>
        </w:numPr>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合同份数</w:t>
      </w:r>
    </w:p>
    <w:p w14:paraId="35F1BA8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份，均具有同等法律效力。</w:t>
      </w:r>
    </w:p>
    <w:p w14:paraId="05D9F55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合同订立时间：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20E000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合同订立地点：</w:t>
      </w:r>
      <w:r>
        <w:rPr>
          <w:rFonts w:hint="eastAsia" w:ascii="仿宋" w:hAnsi="仿宋" w:eastAsia="仿宋" w:cs="仿宋"/>
          <w:sz w:val="24"/>
          <w:szCs w:val="24"/>
          <w:highlight w:val="none"/>
          <w:u w:val="single"/>
        </w:rPr>
        <w:t xml:space="preserve">                           </w:t>
      </w:r>
    </w:p>
    <w:p w14:paraId="5D41A75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附件：具体标的及其技术要求和商务要求、联合协议、分包意向协议等。</w:t>
      </w:r>
    </w:p>
    <w:p w14:paraId="72C162E7">
      <w:pPr>
        <w:pStyle w:val="63"/>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p>
    <w:p w14:paraId="3302009D">
      <w:pPr>
        <w:pStyle w:val="4"/>
        <w:keepNext w:val="0"/>
        <w:keepLines w:val="0"/>
        <w:pageBreakBefore w:val="0"/>
        <w:tabs>
          <w:tab w:val="left" w:pos="0"/>
          <w:tab w:val="left" w:pos="420"/>
          <w:tab w:val="left" w:pos="1152"/>
        </w:tabs>
        <w:kinsoku/>
        <w:wordWrap/>
        <w:overflowPunct/>
        <w:topLinePunct w:val="0"/>
        <w:bidi w:val="0"/>
        <w:adjustRightInd w:val="0"/>
        <w:snapToGrid w:val="0"/>
        <w:spacing w:line="360" w:lineRule="auto"/>
        <w:textAlignment w:val="auto"/>
        <w:rPr>
          <w:rFonts w:hint="eastAsia" w:ascii="仿宋" w:hAnsi="仿宋" w:eastAsia="仿宋" w:cs="仿宋"/>
          <w:b w:val="0"/>
          <w:sz w:val="24"/>
          <w:szCs w:val="24"/>
          <w:highlight w:val="none"/>
        </w:rPr>
      </w:pPr>
      <w:r>
        <w:rPr>
          <w:rFonts w:hint="eastAsia" w:ascii="仿宋" w:hAnsi="仿宋" w:eastAsia="仿宋" w:cs="仿宋"/>
          <w:sz w:val="24"/>
          <w:szCs w:val="24"/>
          <w:highlight w:val="none"/>
          <w:lang w:val="en"/>
        </w:rPr>
        <w:t xml:space="preserve">   </w:t>
      </w:r>
    </w:p>
    <w:p w14:paraId="39A4DE56">
      <w:pPr>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3500436C">
      <w:pPr>
        <w:pStyle w:val="63"/>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38"/>
        <w:gridCol w:w="2604"/>
        <w:gridCol w:w="2132"/>
        <w:gridCol w:w="2285"/>
      </w:tblGrid>
      <w:tr w14:paraId="3A7306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42" w:type="dxa"/>
            <w:gridSpan w:val="2"/>
            <w:tcBorders>
              <w:bottom w:val="single" w:color="auto" w:sz="2" w:space="0"/>
              <w:right w:val="single" w:color="auto" w:sz="2" w:space="0"/>
            </w:tcBorders>
            <w:noWrap w:val="0"/>
            <w:vAlign w:val="center"/>
          </w:tcPr>
          <w:p w14:paraId="1E15210B">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甲方（采购人、受采购人委托签订合同的单位或采购文件约定的合同甲方）</w:t>
            </w:r>
          </w:p>
        </w:tc>
        <w:tc>
          <w:tcPr>
            <w:tcW w:w="4417" w:type="dxa"/>
            <w:gridSpan w:val="2"/>
            <w:tcBorders>
              <w:left w:val="single" w:color="auto" w:sz="2" w:space="0"/>
              <w:bottom w:val="single" w:color="auto" w:sz="2" w:space="0"/>
            </w:tcBorders>
            <w:noWrap w:val="0"/>
            <w:vAlign w:val="center"/>
          </w:tcPr>
          <w:p w14:paraId="05356A9D">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乙方（供应商）</w:t>
            </w:r>
          </w:p>
        </w:tc>
      </w:tr>
      <w:tr w14:paraId="05FB70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38" w:type="dxa"/>
            <w:tcBorders>
              <w:top w:val="single" w:color="auto" w:sz="2" w:space="0"/>
              <w:bottom w:val="single" w:color="auto" w:sz="2" w:space="0"/>
              <w:right w:val="single" w:color="auto" w:sz="2" w:space="0"/>
            </w:tcBorders>
            <w:noWrap w:val="0"/>
            <w:vAlign w:val="center"/>
          </w:tcPr>
          <w:p w14:paraId="309FE954">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7C02B72B">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6B3BE59F">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单位名称（公章或合同章）</w:t>
            </w:r>
          </w:p>
        </w:tc>
        <w:tc>
          <w:tcPr>
            <w:tcW w:w="2285" w:type="dxa"/>
            <w:tcBorders>
              <w:top w:val="single" w:color="auto" w:sz="2" w:space="0"/>
              <w:left w:val="single" w:color="auto" w:sz="2" w:space="0"/>
              <w:bottom w:val="single" w:color="auto" w:sz="2" w:space="0"/>
            </w:tcBorders>
            <w:noWrap w:val="0"/>
            <w:vAlign w:val="center"/>
          </w:tcPr>
          <w:p w14:paraId="0488E8D9">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53DF8D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38" w:type="dxa"/>
            <w:vMerge w:val="restart"/>
            <w:tcBorders>
              <w:top w:val="single" w:color="auto" w:sz="2" w:space="0"/>
              <w:right w:val="single" w:color="auto" w:sz="2" w:space="0"/>
            </w:tcBorders>
            <w:noWrap w:val="0"/>
            <w:vAlign w:val="center"/>
          </w:tcPr>
          <w:p w14:paraId="7058F615">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64738BF8">
            <w:pPr>
              <w:keepNext w:val="0"/>
              <w:keepLines w:val="0"/>
              <w:pageBreakBefore w:val="0"/>
              <w:kinsoku/>
              <w:wordWrap/>
              <w:overflowPunct/>
              <w:topLinePunct w:val="0"/>
              <w:bidi w:val="0"/>
              <w:adjustRightInd w:val="0"/>
              <w:snapToGrid w:val="0"/>
              <w:spacing w:line="360" w:lineRule="auto"/>
              <w:ind w:firstLine="115" w:firstLineChars="48"/>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2604" w:type="dxa"/>
            <w:vMerge w:val="restart"/>
            <w:tcBorders>
              <w:top w:val="single" w:color="auto" w:sz="2" w:space="0"/>
              <w:left w:val="single" w:color="auto" w:sz="2" w:space="0"/>
              <w:right w:val="single" w:color="auto" w:sz="2" w:space="0"/>
            </w:tcBorders>
            <w:noWrap w:val="0"/>
            <w:vAlign w:val="center"/>
          </w:tcPr>
          <w:p w14:paraId="18BC731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right w:val="single" w:color="auto" w:sz="2" w:space="0"/>
            </w:tcBorders>
            <w:noWrap w:val="0"/>
            <w:vAlign w:val="center"/>
          </w:tcPr>
          <w:p w14:paraId="33DDD48F">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7D76E062">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或其委托代理人（签章）</w:t>
            </w:r>
          </w:p>
        </w:tc>
        <w:tc>
          <w:tcPr>
            <w:tcW w:w="2285" w:type="dxa"/>
            <w:tcBorders>
              <w:top w:val="single" w:color="auto" w:sz="2" w:space="0"/>
              <w:left w:val="single" w:color="auto" w:sz="2" w:space="0"/>
              <w:bottom w:val="single" w:color="auto" w:sz="2" w:space="0"/>
            </w:tcBorders>
            <w:noWrap w:val="0"/>
            <w:vAlign w:val="center"/>
          </w:tcPr>
          <w:p w14:paraId="138ADD26">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r>
      <w:tr w14:paraId="2AF94C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vMerge w:val="continue"/>
            <w:tcBorders>
              <w:bottom w:val="single" w:color="auto" w:sz="2" w:space="0"/>
              <w:right w:val="single" w:color="auto" w:sz="2" w:space="0"/>
            </w:tcBorders>
            <w:noWrap w:val="0"/>
            <w:vAlign w:val="center"/>
          </w:tcPr>
          <w:p w14:paraId="46F4F36F">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604" w:type="dxa"/>
            <w:vMerge w:val="continue"/>
            <w:tcBorders>
              <w:left w:val="single" w:color="auto" w:sz="2" w:space="0"/>
              <w:bottom w:val="single" w:color="auto" w:sz="2" w:space="0"/>
              <w:right w:val="single" w:color="auto" w:sz="2" w:space="0"/>
            </w:tcBorders>
            <w:noWrap w:val="0"/>
            <w:vAlign w:val="center"/>
          </w:tcPr>
          <w:p w14:paraId="7C01890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48910B8">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拥有者性别</w:t>
            </w:r>
          </w:p>
        </w:tc>
        <w:tc>
          <w:tcPr>
            <w:tcW w:w="2285" w:type="dxa"/>
            <w:tcBorders>
              <w:top w:val="single" w:color="auto" w:sz="2" w:space="0"/>
              <w:left w:val="single" w:color="auto" w:sz="2" w:space="0"/>
              <w:bottom w:val="single" w:color="auto" w:sz="2" w:space="0"/>
            </w:tcBorders>
            <w:noWrap w:val="0"/>
            <w:vAlign w:val="center"/>
          </w:tcPr>
          <w:p w14:paraId="3C23F8D3">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0BD8C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01BC4872">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E16AF2A">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93BFA6E">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住  所</w:t>
            </w:r>
          </w:p>
        </w:tc>
        <w:tc>
          <w:tcPr>
            <w:tcW w:w="2285" w:type="dxa"/>
            <w:tcBorders>
              <w:top w:val="single" w:color="auto" w:sz="2" w:space="0"/>
              <w:left w:val="single" w:color="auto" w:sz="2" w:space="0"/>
              <w:bottom w:val="single" w:color="auto" w:sz="2" w:space="0"/>
            </w:tcBorders>
            <w:noWrap w:val="0"/>
            <w:vAlign w:val="center"/>
          </w:tcPr>
          <w:p w14:paraId="2754877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564753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28323A9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DA9D1B1">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381B2AB5">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285" w:type="dxa"/>
            <w:tcBorders>
              <w:top w:val="single" w:color="auto" w:sz="2" w:space="0"/>
              <w:left w:val="single" w:color="auto" w:sz="2" w:space="0"/>
              <w:bottom w:val="single" w:color="auto" w:sz="2" w:space="0"/>
            </w:tcBorders>
            <w:noWrap w:val="0"/>
            <w:vAlign w:val="center"/>
          </w:tcPr>
          <w:p w14:paraId="042A7528">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6E204F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6A0B48F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76EA5D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E6CEA2A">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85" w:type="dxa"/>
            <w:tcBorders>
              <w:top w:val="single" w:color="auto" w:sz="2" w:space="0"/>
              <w:left w:val="single" w:color="auto" w:sz="2" w:space="0"/>
              <w:bottom w:val="single" w:color="auto" w:sz="2" w:space="0"/>
            </w:tcBorders>
            <w:noWrap w:val="0"/>
            <w:vAlign w:val="center"/>
          </w:tcPr>
          <w:p w14:paraId="00F81374">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521CD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5C30EDBE">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04B991BF">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7C34BAC9">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p>
        </w:tc>
        <w:tc>
          <w:tcPr>
            <w:tcW w:w="2285" w:type="dxa"/>
            <w:tcBorders>
              <w:top w:val="single" w:color="auto" w:sz="2" w:space="0"/>
              <w:left w:val="single" w:color="auto" w:sz="2" w:space="0"/>
              <w:bottom w:val="single" w:color="auto" w:sz="2" w:space="0"/>
            </w:tcBorders>
            <w:noWrap w:val="0"/>
            <w:vAlign w:val="center"/>
          </w:tcPr>
          <w:p w14:paraId="54E9F475">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3AA223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6A1C07E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2671CAA5">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61B3B8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285" w:type="dxa"/>
            <w:tcBorders>
              <w:top w:val="single" w:color="auto" w:sz="2" w:space="0"/>
              <w:left w:val="single" w:color="auto" w:sz="2" w:space="0"/>
              <w:bottom w:val="single" w:color="auto" w:sz="2" w:space="0"/>
            </w:tcBorders>
            <w:noWrap w:val="0"/>
            <w:vAlign w:val="center"/>
          </w:tcPr>
          <w:p w14:paraId="37177632">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22525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7ADB096A">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3036CD3A">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1BF4ACA1">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285" w:type="dxa"/>
            <w:tcBorders>
              <w:top w:val="single" w:color="auto" w:sz="2" w:space="0"/>
              <w:left w:val="single" w:color="auto" w:sz="2" w:space="0"/>
              <w:bottom w:val="single" w:color="auto" w:sz="2" w:space="0"/>
            </w:tcBorders>
            <w:noWrap w:val="0"/>
            <w:vAlign w:val="center"/>
          </w:tcPr>
          <w:p w14:paraId="567C624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54D8FE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45765029">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91BE83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464D4B1E">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2285" w:type="dxa"/>
            <w:tcBorders>
              <w:top w:val="single" w:color="auto" w:sz="2" w:space="0"/>
              <w:left w:val="single" w:color="auto" w:sz="2" w:space="0"/>
              <w:bottom w:val="single" w:color="auto" w:sz="2" w:space="0"/>
            </w:tcBorders>
            <w:noWrap w:val="0"/>
            <w:vAlign w:val="center"/>
          </w:tcPr>
          <w:p w14:paraId="0700C658">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017927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59D48395">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54D1D62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039FF129">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开户名称</w:t>
            </w:r>
          </w:p>
        </w:tc>
        <w:tc>
          <w:tcPr>
            <w:tcW w:w="2285" w:type="dxa"/>
            <w:tcBorders>
              <w:top w:val="single" w:color="auto" w:sz="2" w:space="0"/>
              <w:left w:val="single" w:color="auto" w:sz="2" w:space="0"/>
              <w:bottom w:val="single" w:color="auto" w:sz="2" w:space="0"/>
            </w:tcBorders>
            <w:noWrap w:val="0"/>
            <w:vAlign w:val="center"/>
          </w:tcPr>
          <w:p w14:paraId="7E44E7A8">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7DDBDA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26B51620">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03FB56D6">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DEF90F7">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285" w:type="dxa"/>
            <w:tcBorders>
              <w:top w:val="single" w:color="auto" w:sz="2" w:space="0"/>
              <w:left w:val="single" w:color="auto" w:sz="2" w:space="0"/>
              <w:bottom w:val="single" w:color="auto" w:sz="2" w:space="0"/>
            </w:tcBorders>
            <w:noWrap w:val="0"/>
            <w:vAlign w:val="center"/>
          </w:tcPr>
          <w:p w14:paraId="0E8C945D">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3FD344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38" w:type="dxa"/>
            <w:tcBorders>
              <w:top w:val="single" w:color="auto" w:sz="2" w:space="0"/>
              <w:bottom w:val="single" w:color="auto" w:sz="2" w:space="0"/>
              <w:right w:val="single" w:color="auto" w:sz="2" w:space="0"/>
            </w:tcBorders>
            <w:noWrap w:val="0"/>
            <w:vAlign w:val="center"/>
          </w:tcPr>
          <w:p w14:paraId="1D8D7BB1">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604" w:type="dxa"/>
            <w:tcBorders>
              <w:top w:val="single" w:color="auto" w:sz="2" w:space="0"/>
              <w:left w:val="single" w:color="auto" w:sz="2" w:space="0"/>
              <w:bottom w:val="single" w:color="auto" w:sz="2" w:space="0"/>
              <w:right w:val="single" w:color="auto" w:sz="2" w:space="0"/>
            </w:tcBorders>
            <w:noWrap w:val="0"/>
            <w:vAlign w:val="center"/>
          </w:tcPr>
          <w:p w14:paraId="604A7276">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p>
        </w:tc>
        <w:tc>
          <w:tcPr>
            <w:tcW w:w="2132" w:type="dxa"/>
            <w:tcBorders>
              <w:top w:val="single" w:color="auto" w:sz="2" w:space="0"/>
              <w:left w:val="single" w:color="auto" w:sz="2" w:space="0"/>
              <w:bottom w:val="single" w:color="auto" w:sz="2" w:space="0"/>
              <w:right w:val="single" w:color="auto" w:sz="2" w:space="0"/>
            </w:tcBorders>
            <w:noWrap w:val="0"/>
            <w:vAlign w:val="center"/>
          </w:tcPr>
          <w:p w14:paraId="25E3620F">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银行账号</w:t>
            </w:r>
          </w:p>
        </w:tc>
        <w:tc>
          <w:tcPr>
            <w:tcW w:w="2285" w:type="dxa"/>
            <w:tcBorders>
              <w:top w:val="single" w:color="auto" w:sz="2" w:space="0"/>
              <w:left w:val="single" w:color="auto" w:sz="2" w:space="0"/>
              <w:bottom w:val="single" w:color="auto" w:sz="2" w:space="0"/>
            </w:tcBorders>
            <w:noWrap w:val="0"/>
            <w:vAlign w:val="center"/>
          </w:tcPr>
          <w:p w14:paraId="3C5C96BC">
            <w:pPr>
              <w:keepNext w:val="0"/>
              <w:keepLines w:val="0"/>
              <w:pageBreakBefore w:val="0"/>
              <w:kinsoku/>
              <w:wordWrap/>
              <w:overflowPunct/>
              <w:topLinePunct w:val="0"/>
              <w:bidi w:val="0"/>
              <w:adjustRightInd w:val="0"/>
              <w:snapToGrid w:val="0"/>
              <w:spacing w:line="360" w:lineRule="auto"/>
              <w:jc w:val="center"/>
              <w:textAlignment w:val="auto"/>
              <w:rPr>
                <w:rFonts w:hint="eastAsia" w:ascii="仿宋" w:hAnsi="仿宋" w:eastAsia="仿宋" w:cs="仿宋"/>
                <w:spacing w:val="20"/>
                <w:sz w:val="24"/>
                <w:szCs w:val="24"/>
                <w:highlight w:val="none"/>
              </w:rPr>
            </w:pPr>
          </w:p>
        </w:tc>
      </w:tr>
      <w:tr w14:paraId="3432F0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059" w:type="dxa"/>
            <w:gridSpan w:val="4"/>
            <w:tcBorders>
              <w:top w:val="single" w:color="auto" w:sz="2" w:space="0"/>
            </w:tcBorders>
            <w:noWrap w:val="0"/>
            <w:vAlign w:val="center"/>
          </w:tcPr>
          <w:p w14:paraId="545697CD">
            <w:pPr>
              <w:pStyle w:val="9"/>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注：涉及联合体或其他合同主体的信息应按上表格式加列。</w:t>
            </w:r>
          </w:p>
        </w:tc>
      </w:tr>
    </w:tbl>
    <w:p w14:paraId="0C11ADB6">
      <w:pPr>
        <w:pStyle w:val="4"/>
        <w:keepNext w:val="0"/>
        <w:keepLines w:val="0"/>
        <w:pageBreakBefore w:val="0"/>
        <w:tabs>
          <w:tab w:val="left" w:pos="0"/>
          <w:tab w:val="left" w:pos="420"/>
          <w:tab w:val="left" w:pos="1152"/>
        </w:tabs>
        <w:kinsoku/>
        <w:wordWrap/>
        <w:overflowPunct/>
        <w:topLinePunct w:val="0"/>
        <w:bidi w:val="0"/>
        <w:adjustRightInd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br w:type="page"/>
      </w:r>
      <w:bookmarkStart w:id="83" w:name="_Toc27624"/>
      <w:bookmarkStart w:id="84" w:name="_Toc10176"/>
      <w:r>
        <w:rPr>
          <w:rFonts w:hint="eastAsia" w:ascii="仿宋" w:hAnsi="仿宋" w:eastAsia="仿宋" w:cs="仿宋"/>
          <w:b w:val="0"/>
          <w:sz w:val="24"/>
          <w:szCs w:val="24"/>
          <w:highlight w:val="none"/>
        </w:rPr>
        <w:t>第二节 政府采购合同通用条款</w:t>
      </w:r>
      <w:bookmarkEnd w:id="83"/>
      <w:bookmarkEnd w:id="84"/>
    </w:p>
    <w:p w14:paraId="6E614EB0">
      <w:pPr>
        <w:keepNext w:val="0"/>
        <w:keepLines w:val="0"/>
        <w:pageBreakBefore w:val="0"/>
        <w:tabs>
          <w:tab w:val="left" w:pos="8820"/>
          <w:tab w:val="left" w:pos="9345"/>
          <w:tab w:val="left" w:pos="9765"/>
        </w:tabs>
        <w:kinsoku/>
        <w:wordWrap/>
        <w:overflowPunct/>
        <w:topLinePunct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sz w:val="24"/>
          <w:szCs w:val="24"/>
          <w:highlight w:val="none"/>
        </w:rPr>
        <w:t xml:space="preserve">1. </w:t>
      </w:r>
      <w:r>
        <w:rPr>
          <w:rFonts w:hint="eastAsia" w:ascii="仿宋" w:hAnsi="仿宋" w:eastAsia="仿宋" w:cs="仿宋"/>
          <w:b/>
          <w:bCs/>
          <w:sz w:val="24"/>
          <w:szCs w:val="24"/>
          <w:highlight w:val="none"/>
        </w:rPr>
        <w:t>定义</w:t>
      </w:r>
    </w:p>
    <w:p w14:paraId="6419182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1.1合同当事人</w:t>
      </w:r>
    </w:p>
    <w:p w14:paraId="6564187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（1）采购人（以下称甲方）是指使用财政性资金，通过政府采购方式向供应商购买货物及其相关服务的国家机关、事业单位、团体组织。</w:t>
      </w:r>
    </w:p>
    <w:p w14:paraId="0442E8C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（2）供应商（以下称乙方）是指参加政府采购活动并且中标（成交），向采购人提供合同约定的货物及其相关服务的法人、非法人组织或者自然人。</w:t>
      </w:r>
    </w:p>
    <w:p w14:paraId="327E04F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（3）其他合同主体是指除采购人和供应商以外，</w:t>
      </w:r>
      <w:r>
        <w:rPr>
          <w:rFonts w:hint="eastAsia" w:ascii="仿宋" w:hAnsi="仿宋" w:eastAsia="仿宋" w:cs="仿宋"/>
          <w:bCs/>
          <w:color w:val="000000"/>
          <w:sz w:val="24"/>
          <w:szCs w:val="24"/>
          <w:highlight w:val="none"/>
        </w:rPr>
        <w:t>依法参与合同缔结或履行，享有权利、承担义务的合同当事人</w:t>
      </w:r>
      <w:r>
        <w:rPr>
          <w:rFonts w:hint="eastAsia" w:ascii="仿宋" w:hAnsi="仿宋" w:eastAsia="仿宋" w:cs="仿宋"/>
          <w:sz w:val="24"/>
          <w:szCs w:val="24"/>
          <w:highlight w:val="none"/>
        </w:rPr>
        <w:t>。</w:t>
      </w:r>
    </w:p>
    <w:p w14:paraId="232BDD86">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1.2本合同下列术语应解释为：</w:t>
      </w:r>
    </w:p>
    <w:p w14:paraId="6624DDE4">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（1）“合同”系指</w:t>
      </w:r>
      <w:r>
        <w:rPr>
          <w:rFonts w:hint="eastAsia" w:ascii="仿宋" w:hAnsi="仿宋" w:eastAsia="仿宋" w:cs="仿宋"/>
          <w:bCs/>
          <w:color w:val="000000"/>
          <w:sz w:val="24"/>
          <w:szCs w:val="24"/>
          <w:highlight w:val="none"/>
        </w:rPr>
        <w:t>合同当事人意思表示达成一致的任何协议，包括签署的</w:t>
      </w:r>
      <w:r>
        <w:rPr>
          <w:rFonts w:hint="eastAsia" w:ascii="仿宋" w:hAnsi="仿宋" w:eastAsia="仿宋" w:cs="仿宋"/>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 w:val="24"/>
          <w:szCs w:val="24"/>
          <w:highlight w:val="none"/>
        </w:rPr>
        <w:t>国家法律、行政法规和规章制度规定或合同约定的作为合同组成部分的其他文件</w:t>
      </w:r>
      <w:r>
        <w:rPr>
          <w:rFonts w:hint="eastAsia" w:ascii="仿宋" w:hAnsi="仿宋" w:eastAsia="仿宋" w:cs="仿宋"/>
          <w:sz w:val="24"/>
          <w:szCs w:val="24"/>
          <w:highlight w:val="none"/>
        </w:rPr>
        <w:t>。</w:t>
      </w:r>
    </w:p>
    <w:p w14:paraId="2563FA4A">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（2）“合同价款”系指根据本合同规定乙方在全面履行合同义务后甲方应支付给乙方的价款。</w:t>
      </w:r>
    </w:p>
    <w:p w14:paraId="3E68A054">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（3）“货物”系指乙方根据本合同规定须向甲方提供的各种形态和种类的物品，包括原材料、设备、产品（</w:t>
      </w:r>
      <w:r>
        <w:rPr>
          <w:rFonts w:hint="eastAsia" w:ascii="仿宋" w:hAnsi="仿宋" w:eastAsia="仿宋" w:cs="仿宋"/>
          <w:color w:val="000000"/>
          <w:sz w:val="24"/>
          <w:szCs w:val="24"/>
          <w:highlight w:val="none"/>
        </w:rPr>
        <w:t>包括软件）及相关的其备品备件、工具、手册及</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技术资料和材料等。</w:t>
      </w:r>
    </w:p>
    <w:p w14:paraId="42989BCB">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sz w:val="24"/>
          <w:szCs w:val="24"/>
          <w:highlight w:val="none"/>
        </w:rPr>
        <w:t>相关</w:t>
      </w:r>
      <w:r>
        <w:rPr>
          <w:rFonts w:hint="eastAsia" w:ascii="仿宋" w:hAnsi="仿宋" w:eastAsia="仿宋" w:cs="仿宋"/>
          <w:color w:val="000000"/>
          <w:sz w:val="24"/>
          <w:szCs w:val="24"/>
          <w:highlight w:val="none"/>
        </w:rPr>
        <w:t>服务”系指根据合同规定，乙方应提供的与货物有关的技术、管理和</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义务。</w:t>
      </w:r>
    </w:p>
    <w:p w14:paraId="34CBA8F1">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F109242">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sz w:val="24"/>
          <w:szCs w:val="24"/>
          <w:highlight w:val="none"/>
        </w:rPr>
        <w:t>“联合体”系指由两个以上的自然人、法人或者非法人组织组成，以一个供应商的身份共同参加政府采购的主体</w:t>
      </w:r>
      <w:r>
        <w:rPr>
          <w:rFonts w:hint="eastAsia" w:ascii="仿宋" w:hAnsi="仿宋" w:eastAsia="仿宋" w:cs="仿宋"/>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6AE45153">
      <w:pPr>
        <w:keepNext w:val="0"/>
        <w:keepLines w:val="0"/>
        <w:pageBreakBefore w:val="0"/>
        <w:tabs>
          <w:tab w:val="left" w:pos="570"/>
          <w:tab w:val="left" w:pos="9240"/>
          <w:tab w:val="left" w:pos="9555"/>
        </w:tabs>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（7）其他术语解释，见【</w:t>
      </w:r>
      <w:r>
        <w:rPr>
          <w:rFonts w:hint="eastAsia" w:ascii="仿宋" w:hAnsi="仿宋" w:eastAsia="仿宋" w:cs="仿宋"/>
          <w:b/>
          <w:bCs/>
          <w:color w:val="000000"/>
          <w:sz w:val="24"/>
          <w:szCs w:val="24"/>
          <w:highlight w:val="none"/>
        </w:rPr>
        <w:t>政府采购合同专用条款</w:t>
      </w:r>
      <w:r>
        <w:rPr>
          <w:rFonts w:hint="eastAsia" w:ascii="仿宋" w:hAnsi="仿宋" w:eastAsia="仿宋" w:cs="仿宋"/>
          <w:color w:val="000000"/>
          <w:sz w:val="24"/>
          <w:szCs w:val="24"/>
          <w:highlight w:val="none"/>
        </w:rPr>
        <w:t>】。</w:t>
      </w:r>
    </w:p>
    <w:p w14:paraId="18E167B1">
      <w:pPr>
        <w:keepNext w:val="0"/>
        <w:keepLines w:val="0"/>
        <w:pageBreakBefore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合同标的及金额</w:t>
      </w:r>
    </w:p>
    <w:p w14:paraId="74CCD43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b/>
          <w:bCs/>
          <w:i/>
          <w:iCs/>
          <w:color w:val="000000"/>
          <w:sz w:val="24"/>
          <w:szCs w:val="24"/>
          <w:highlight w:val="none"/>
        </w:rPr>
      </w:pPr>
      <w:r>
        <w:rPr>
          <w:rFonts w:hint="eastAsia" w:ascii="仿宋" w:hAnsi="仿宋" w:eastAsia="仿宋" w:cs="仿宋"/>
          <w:color w:val="000000"/>
          <w:sz w:val="24"/>
          <w:szCs w:val="24"/>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000000"/>
          <w:sz w:val="24"/>
          <w:szCs w:val="24"/>
          <w:highlight w:val="none"/>
          <w:lang w:val="en"/>
        </w:rPr>
        <w:t>其他</w:t>
      </w:r>
      <w:r>
        <w:rPr>
          <w:rFonts w:hint="eastAsia" w:ascii="仿宋" w:hAnsi="仿宋" w:eastAsia="仿宋" w:cs="仿宋"/>
          <w:color w:val="000000"/>
          <w:sz w:val="24"/>
          <w:szCs w:val="24"/>
          <w:highlight w:val="none"/>
        </w:rPr>
        <w:t>任何费用。</w:t>
      </w:r>
    </w:p>
    <w:p w14:paraId="1A681061">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 履行合同的时间、地点和方式</w:t>
      </w:r>
    </w:p>
    <w:p w14:paraId="0729D49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3.1 </w:t>
      </w:r>
      <w:r>
        <w:rPr>
          <w:rFonts w:hint="eastAsia" w:ascii="仿宋" w:hAnsi="仿宋" w:eastAsia="仿宋" w:cs="仿宋"/>
          <w:sz w:val="24"/>
          <w:szCs w:val="24"/>
          <w:highlight w:val="none"/>
        </w:rPr>
        <w:t>乙方应当在约定的时间、地点，按照约定方式履行合同。</w:t>
      </w:r>
    </w:p>
    <w:p w14:paraId="12F3A51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 甲方的权利和义务</w:t>
      </w:r>
    </w:p>
    <w:p w14:paraId="637776B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C03440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DBE42F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 甲方有权要求乙方对缺陷部分予以修复，并按合同约定享有货物保修及其他合同约定的权利。</w:t>
      </w:r>
    </w:p>
    <w:p w14:paraId="3C0B0DB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4.4 甲方应当按照合同约定及时对交付的货物进行验收，</w:t>
      </w:r>
      <w:r>
        <w:rPr>
          <w:rFonts w:hint="eastAsia" w:ascii="仿宋" w:hAnsi="仿宋" w:eastAsia="仿宋" w:cs="仿宋"/>
          <w:sz w:val="24"/>
          <w:szCs w:val="24"/>
          <w:highlight w:val="none"/>
        </w:rPr>
        <w:t>未</w:t>
      </w:r>
      <w:r>
        <w:rPr>
          <w:rFonts w:hint="eastAsia" w:ascii="仿宋" w:hAnsi="仿宋" w:eastAsia="仿宋" w:cs="仿宋"/>
          <w:color w:val="000000"/>
          <w:sz w:val="24"/>
          <w:szCs w:val="24"/>
          <w:highlight w:val="none"/>
        </w:rPr>
        <w:t>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约定的期限内对乙方履约提出任何异议或者向乙方作出任何说明的，</w:t>
      </w:r>
      <w:r>
        <w:rPr>
          <w:rFonts w:hint="eastAsia" w:ascii="仿宋" w:hAnsi="仿宋" w:eastAsia="仿宋" w:cs="仿宋"/>
          <w:color w:val="000000"/>
          <w:sz w:val="24"/>
          <w:szCs w:val="24"/>
          <w:highlight w:val="none"/>
        </w:rPr>
        <w:t>视为验收通过。</w:t>
      </w:r>
    </w:p>
    <w:p w14:paraId="6308E62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 甲方应当根据合同约定及时向乙方支付合同价款，不得以内部人员变更、履行内部付款流程等为由，拒绝或迟延支付。</w:t>
      </w:r>
    </w:p>
    <w:p w14:paraId="073EFF3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 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约定应由甲方承担的其他义务和责任。</w:t>
      </w:r>
    </w:p>
    <w:p w14:paraId="60C915F2">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 乙方的权利和义务</w:t>
      </w:r>
    </w:p>
    <w:p w14:paraId="0BA8020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 签署合同后，乙方应确定项目负责人（或项目联系人），负责与本合同有关的事务。</w:t>
      </w:r>
    </w:p>
    <w:p w14:paraId="05ACF2C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A848A74">
      <w:pPr>
        <w:pStyle w:val="8"/>
        <w:keepNext w:val="0"/>
        <w:keepLines w:val="0"/>
        <w:pageBreakBefore w:val="0"/>
        <w:kinsoku/>
        <w:wordWrap/>
        <w:overflowPunct/>
        <w:topLinePunct w:val="0"/>
        <w:bidi w:val="0"/>
        <w:adjustRightInd w:val="0"/>
        <w:snapToGrid w:val="0"/>
        <w:spacing w:line="360" w:lineRule="auto"/>
        <w:ind w:firstLine="422" w:firstLineChars="176"/>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5.3乙方有权根据合同约定向甲方收取合同价款。</w:t>
      </w:r>
    </w:p>
    <w:p w14:paraId="43A2C7C1">
      <w:pPr>
        <w:pStyle w:val="8"/>
        <w:keepNext w:val="0"/>
        <w:keepLines w:val="0"/>
        <w:pageBreakBefore w:val="0"/>
        <w:kinsoku/>
        <w:wordWrap/>
        <w:overflowPunct/>
        <w:topLinePunct w:val="0"/>
        <w:bidi w:val="0"/>
        <w:adjustRightInd w:val="0"/>
        <w:snapToGrid w:val="0"/>
        <w:spacing w:line="360" w:lineRule="auto"/>
        <w:ind w:firstLine="422" w:firstLineChars="176"/>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5.4国家法律法规规定及</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约定应</w:t>
      </w:r>
      <w:r>
        <w:rPr>
          <w:rFonts w:hint="eastAsia" w:ascii="仿宋" w:hAnsi="仿宋" w:eastAsia="仿宋" w:cs="仿宋"/>
          <w:color w:val="000000"/>
          <w:sz w:val="24"/>
          <w:szCs w:val="24"/>
          <w:highlight w:val="none"/>
        </w:rPr>
        <w:t>由乙方承担的其他义务和责任。</w:t>
      </w:r>
    </w:p>
    <w:p w14:paraId="77115F9F">
      <w:pPr>
        <w:keepNext w:val="0"/>
        <w:keepLines w:val="0"/>
        <w:pageBreakBefore w:val="0"/>
        <w:numPr>
          <w:ilvl w:val="0"/>
          <w:numId w:val="9"/>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合同履行</w:t>
      </w:r>
    </w:p>
    <w:p w14:paraId="6CBFDB7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sz w:val="24"/>
          <w:szCs w:val="24"/>
          <w:highlight w:val="none"/>
        </w:rPr>
        <w:t>约定顺序履行合同义务；如果没有先后顺序的，应当同时履行。</w:t>
      </w:r>
    </w:p>
    <w:p w14:paraId="66F5D46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989E378">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 货物包装、运输、保险和交付要求</w:t>
      </w:r>
    </w:p>
    <w:p w14:paraId="7ED90ED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 本合同</w:t>
      </w:r>
      <w:r>
        <w:rPr>
          <w:rFonts w:hint="eastAsia" w:ascii="仿宋" w:hAnsi="仿宋" w:eastAsia="仿宋" w:cs="仿宋"/>
          <w:bCs/>
          <w:color w:val="000000"/>
          <w:sz w:val="24"/>
          <w:szCs w:val="24"/>
          <w:highlight w:val="none"/>
        </w:rPr>
        <w:t>涉及商品包装、快递包装的，</w:t>
      </w:r>
      <w:r>
        <w:rPr>
          <w:rFonts w:hint="eastAsia" w:ascii="仿宋" w:hAnsi="仿宋" w:eastAsia="仿宋" w:cs="仿宋"/>
          <w:color w:val="000000"/>
          <w:sz w:val="24"/>
          <w:szCs w:val="24"/>
          <w:highlight w:val="none"/>
        </w:rPr>
        <w:t>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包装应适应远距离运输、防潮、防震、防锈和防野蛮装卸等要求，确保货物安全无损地运抵</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约定的</w:t>
      </w:r>
      <w:r>
        <w:rPr>
          <w:rFonts w:hint="eastAsia" w:ascii="仿宋" w:hAnsi="仿宋" w:eastAsia="仿宋" w:cs="仿宋"/>
          <w:color w:val="000000"/>
          <w:sz w:val="24"/>
          <w:szCs w:val="24"/>
          <w:highlight w:val="none"/>
        </w:rPr>
        <w:t>指定现场。</w:t>
      </w:r>
    </w:p>
    <w:p w14:paraId="3DF98EA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 除</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另有约定外，</w:t>
      </w:r>
      <w:r>
        <w:rPr>
          <w:rFonts w:hint="eastAsia" w:ascii="仿宋" w:hAnsi="仿宋" w:eastAsia="仿宋" w:cs="仿宋"/>
          <w:color w:val="000000"/>
          <w:sz w:val="24"/>
          <w:szCs w:val="24"/>
          <w:highlight w:val="none"/>
        </w:rPr>
        <w:t>乙方负责办理将货物运抵本合同规定的交货地点，并装卸、交付至甲方的一切运输事项，相关费用应包含在合同价款中。</w:t>
      </w:r>
    </w:p>
    <w:p w14:paraId="2696F1F2">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 货物保险要求按</w:t>
      </w:r>
      <w:r>
        <w:rPr>
          <w:rFonts w:hint="eastAsia" w:ascii="仿宋" w:hAnsi="仿宋" w:eastAsia="仿宋" w:cs="仿宋"/>
          <w:b/>
          <w:color w:val="000000"/>
          <w:sz w:val="24"/>
          <w:szCs w:val="24"/>
          <w:highlight w:val="none"/>
        </w:rPr>
        <w:t>【政府采购合同专用条款】</w:t>
      </w:r>
      <w:r>
        <w:rPr>
          <w:rFonts w:hint="eastAsia" w:ascii="仿宋" w:hAnsi="仿宋" w:eastAsia="仿宋" w:cs="仿宋"/>
          <w:bCs/>
          <w:color w:val="000000"/>
          <w:sz w:val="24"/>
          <w:szCs w:val="24"/>
          <w:highlight w:val="none"/>
        </w:rPr>
        <w:t>规定执行</w:t>
      </w:r>
      <w:r>
        <w:rPr>
          <w:rFonts w:hint="eastAsia" w:ascii="仿宋" w:hAnsi="仿宋" w:eastAsia="仿宋" w:cs="仿宋"/>
          <w:color w:val="000000"/>
          <w:sz w:val="24"/>
          <w:szCs w:val="24"/>
          <w:highlight w:val="none"/>
        </w:rPr>
        <w:t>。</w:t>
      </w:r>
    </w:p>
    <w:p w14:paraId="6469ECA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51E17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7.5 乙方在运输到达之前应提前通知甲方，并提示货物运输装卸的注意事项，甲方配合乙方做好货物的接收工作。</w:t>
      </w:r>
    </w:p>
    <w:p w14:paraId="7E493F2D">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rPr>
        <w:t>7.6 如因包装、运输问题导致货物损毁、丢失或者品质下降，甲方有权要求降价、换货、拒收部分或整批货物，由此产生的费用和损失，均由乙方承担。</w:t>
      </w:r>
    </w:p>
    <w:p w14:paraId="13DFBB82">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color w:val="000000"/>
          <w:sz w:val="24"/>
          <w:szCs w:val="24"/>
          <w:highlight w:val="none"/>
        </w:rPr>
        <w:t xml:space="preserve">8. </w:t>
      </w:r>
      <w:r>
        <w:rPr>
          <w:rFonts w:hint="eastAsia" w:ascii="仿宋" w:hAnsi="仿宋" w:eastAsia="仿宋" w:cs="仿宋"/>
          <w:b/>
          <w:sz w:val="24"/>
          <w:szCs w:val="24"/>
          <w:highlight w:val="none"/>
        </w:rPr>
        <w:t>质量标准和保证</w:t>
      </w:r>
    </w:p>
    <w:p w14:paraId="007EFAE3">
      <w:pPr>
        <w:pStyle w:val="10"/>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8.1 质量标准</w:t>
      </w:r>
    </w:p>
    <w:p w14:paraId="1F4AF9C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（1）本合同下提供的货物应符合合同</w:t>
      </w:r>
      <w:r>
        <w:rPr>
          <w:rFonts w:hint="eastAsia" w:ascii="仿宋" w:hAnsi="仿宋" w:eastAsia="仿宋" w:cs="仿宋"/>
          <w:color w:val="000000"/>
          <w:sz w:val="24"/>
          <w:szCs w:val="24"/>
          <w:highlight w:val="none"/>
        </w:rPr>
        <w:t>约定的</w:t>
      </w:r>
      <w:r>
        <w:rPr>
          <w:rFonts w:hint="eastAsia" w:ascii="仿宋" w:hAnsi="仿宋" w:eastAsia="仿宋" w:cs="仿宋"/>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13104A2">
      <w:pPr>
        <w:pStyle w:val="10"/>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（2）采用中华人民共和国法定计量单位。</w:t>
      </w:r>
    </w:p>
    <w:p w14:paraId="711E61C6">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（3）乙方所提供的货物应符合国家有关安全、环保、卫生的规定。</w:t>
      </w:r>
    </w:p>
    <w:p w14:paraId="466B7CF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2869BF6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 保证</w:t>
      </w:r>
    </w:p>
    <w:p w14:paraId="0C917A9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规定或乙方书面承诺（两者以较长的为准）的质量保证期内，本保证保持有效。</w:t>
      </w:r>
    </w:p>
    <w:p w14:paraId="3E431AB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（2）在质量保证期内所发现的缺陷，甲方应尽快以书面形式通知乙方。</w:t>
      </w:r>
    </w:p>
    <w:p w14:paraId="0FB9341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（3）乙方收到通知后，应在</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规定的响应时间内以合理的速度免费维修或更换有缺陷的货物或部件。</w:t>
      </w:r>
    </w:p>
    <w:p w14:paraId="6632097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4"/>
          <w:szCs w:val="24"/>
          <w:highlight w:val="none"/>
        </w:rPr>
        <w:t>5</w:t>
      </w:r>
      <w:r>
        <w:rPr>
          <w:rFonts w:hint="eastAsia" w:ascii="仿宋" w:hAnsi="仿宋" w:eastAsia="仿宋" w:cs="仿宋"/>
          <w:sz w:val="24"/>
          <w:szCs w:val="24"/>
          <w:highlight w:val="none"/>
        </w:rPr>
        <w:t>.1条规定以书面形式</w:t>
      </w:r>
      <w:r>
        <w:rPr>
          <w:rFonts w:hint="eastAsia" w:ascii="仿宋" w:hAnsi="仿宋" w:eastAsia="仿宋" w:cs="仿宋"/>
          <w:color w:val="000000"/>
          <w:sz w:val="24"/>
          <w:szCs w:val="24"/>
          <w:highlight w:val="none"/>
        </w:rPr>
        <w:t>追究</w:t>
      </w:r>
      <w:r>
        <w:rPr>
          <w:rFonts w:hint="eastAsia" w:ascii="仿宋" w:hAnsi="仿宋" w:eastAsia="仿宋" w:cs="仿宋"/>
          <w:sz w:val="24"/>
          <w:szCs w:val="24"/>
          <w:highlight w:val="none"/>
        </w:rPr>
        <w:t>乙方</w:t>
      </w:r>
      <w:r>
        <w:rPr>
          <w:rFonts w:hint="eastAsia" w:ascii="仿宋" w:hAnsi="仿宋" w:eastAsia="仿宋" w:cs="仿宋"/>
          <w:color w:val="000000"/>
          <w:sz w:val="24"/>
          <w:szCs w:val="24"/>
          <w:highlight w:val="none"/>
        </w:rPr>
        <w:t>的违约责任</w:t>
      </w:r>
      <w:r>
        <w:rPr>
          <w:rFonts w:hint="eastAsia" w:ascii="仿宋" w:hAnsi="仿宋" w:eastAsia="仿宋" w:cs="仿宋"/>
          <w:sz w:val="24"/>
          <w:szCs w:val="24"/>
          <w:highlight w:val="none"/>
        </w:rPr>
        <w:t>。</w:t>
      </w:r>
    </w:p>
    <w:p w14:paraId="77B1E5E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（5）乙方在约定的时间内未能弥补缺陷，甲方可采取必要的补救措施，但其风险和费用将由乙方承担，甲方根据合同约定对乙方行使的其他权利不受影响。</w:t>
      </w:r>
    </w:p>
    <w:p w14:paraId="23467475">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color w:val="000000"/>
          <w:sz w:val="24"/>
          <w:szCs w:val="24"/>
          <w:highlight w:val="none"/>
        </w:rPr>
        <w:t>9</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rPr>
        <w:t xml:space="preserve"> </w:t>
      </w:r>
      <w:r>
        <w:rPr>
          <w:rFonts w:hint="eastAsia" w:ascii="仿宋" w:hAnsi="仿宋" w:eastAsia="仿宋" w:cs="仿宋"/>
          <w:b/>
          <w:bCs/>
          <w:sz w:val="24"/>
          <w:szCs w:val="24"/>
          <w:highlight w:val="none"/>
        </w:rPr>
        <w:t>权利瑕疵担保</w:t>
      </w:r>
    </w:p>
    <w:p w14:paraId="74F3292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9.1 乙方保证对其出售的货物享有合法的权利。</w:t>
      </w:r>
    </w:p>
    <w:p w14:paraId="0C351FE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9.2 </w:t>
      </w:r>
      <w:r>
        <w:rPr>
          <w:rFonts w:hint="eastAsia" w:ascii="仿宋" w:hAnsi="仿宋" w:eastAsia="仿宋" w:cs="仿宋"/>
          <w:sz w:val="24"/>
          <w:szCs w:val="24"/>
          <w:highlight w:val="none"/>
        </w:rPr>
        <w:t>乙方保证在交付的货物上不存在抵押权等担保物权。</w:t>
      </w:r>
    </w:p>
    <w:p w14:paraId="5A947C1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9.3 如甲方使用上述货物构成对第三人侵权的，则由乙方承担全部责任。</w:t>
      </w:r>
    </w:p>
    <w:p w14:paraId="4C6510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10. 知识产权保护</w:t>
      </w:r>
    </w:p>
    <w:p w14:paraId="6B746A4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 乙方对其所销售的货物应当享有知识产权或经权利人合法授权，保证没有侵犯任</w:t>
      </w:r>
      <w:r>
        <w:rPr>
          <w:rFonts w:hint="eastAsia" w:ascii="仿宋" w:hAnsi="仿宋" w:eastAsia="仿宋" w:cs="仿宋"/>
          <w:sz w:val="24"/>
          <w:szCs w:val="24"/>
          <w:highlight w:val="none"/>
        </w:rPr>
        <w:t>何第三人的知识产权等权利。</w:t>
      </w:r>
      <w:bookmarkStart w:id="85" w:name="_Hlk163047038"/>
      <w:r>
        <w:rPr>
          <w:rFonts w:hint="eastAsia" w:ascii="仿宋" w:hAnsi="仿宋" w:eastAsia="仿宋" w:cs="仿宋"/>
          <w:sz w:val="24"/>
          <w:szCs w:val="24"/>
          <w:highlight w:val="none"/>
        </w:rPr>
        <w:t>因违反前述约定对第三人构成侵权的，应当由乙方向第三人承担法律责任；甲方依法向第三人赔偿后，有权向乙方追偿。甲方有其他损失的，乙方应当赔偿</w:t>
      </w:r>
      <w:bookmarkEnd w:id="85"/>
      <w:r>
        <w:rPr>
          <w:rFonts w:hint="eastAsia" w:ascii="仿宋" w:hAnsi="仿宋" w:eastAsia="仿宋" w:cs="仿宋"/>
          <w:sz w:val="24"/>
          <w:szCs w:val="24"/>
          <w:highlight w:val="none"/>
        </w:rPr>
        <w:t>。</w:t>
      </w:r>
    </w:p>
    <w:p w14:paraId="4E316DAB">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保密义务</w:t>
      </w:r>
    </w:p>
    <w:p w14:paraId="5393EC7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中约定。</w:t>
      </w:r>
    </w:p>
    <w:p w14:paraId="0E094B2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合同价款支付</w:t>
      </w:r>
    </w:p>
    <w:p w14:paraId="655505DC">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 合同价款支付按照国库集中支付制度及财政管理相关规定执行。</w:t>
      </w:r>
    </w:p>
    <w:p w14:paraId="1E8F9B0B">
      <w:pPr>
        <w:pStyle w:val="4"/>
        <w:keepNext w:val="0"/>
        <w:keepLines w:val="0"/>
        <w:pageBreakBefore w:val="0"/>
        <w:tabs>
          <w:tab w:val="left" w:pos="0"/>
          <w:tab w:val="left" w:pos="420"/>
          <w:tab w:val="left" w:pos="1152"/>
        </w:tabs>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bookmarkStart w:id="86" w:name="_Toc16436"/>
      <w:r>
        <w:rPr>
          <w:rFonts w:hint="eastAsia" w:ascii="仿宋" w:hAnsi="仿宋" w:eastAsia="仿宋" w:cs="仿宋"/>
          <w:b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4"/>
          <w:szCs w:val="24"/>
          <w:highlight w:val="none"/>
        </w:rPr>
        <w:t>政府采购合同专用条款</w:t>
      </w:r>
      <w:r>
        <w:rPr>
          <w:rFonts w:hint="eastAsia" w:ascii="仿宋" w:hAnsi="仿宋" w:eastAsia="仿宋" w:cs="仿宋"/>
          <w:b w:val="0"/>
          <w:sz w:val="24"/>
          <w:szCs w:val="24"/>
          <w:highlight w:val="none"/>
        </w:rPr>
        <w:t>】中约定。</w:t>
      </w:r>
      <w:bookmarkEnd w:id="86"/>
    </w:p>
    <w:p w14:paraId="35DA22CE">
      <w:pPr>
        <w:pStyle w:val="8"/>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 履约保证金</w:t>
      </w:r>
    </w:p>
    <w:p w14:paraId="7A8E03E5">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 乙方应当以支票、汇票、本票或者金融机构、担保机构出具的保函等非现金形式提交。</w:t>
      </w:r>
    </w:p>
    <w:p w14:paraId="29F8A12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 如果乙方出现</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C561BE5">
      <w:pPr>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 甲方在项目通过验收后按照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规定的时间内将履约保证金退还乙方；逾期退还的，乙方可要求甲方支付违约金，违约金按照</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规定支付。</w:t>
      </w:r>
    </w:p>
    <w:p w14:paraId="222F8F00">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bCs/>
          <w:sz w:val="24"/>
          <w:szCs w:val="24"/>
          <w:highlight w:val="none"/>
        </w:rPr>
        <w:t xml:space="preserve">14. </w:t>
      </w:r>
      <w:r>
        <w:rPr>
          <w:rFonts w:hint="eastAsia" w:ascii="仿宋" w:hAnsi="仿宋" w:eastAsia="仿宋" w:cs="仿宋"/>
          <w:b/>
          <w:sz w:val="24"/>
          <w:szCs w:val="24"/>
          <w:highlight w:val="none"/>
        </w:rPr>
        <w:t>售后服务</w:t>
      </w:r>
    </w:p>
    <w:p w14:paraId="33616E9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除项目不涉及或采购活动中明确约定无须承担外，乙方还应提供下列服务：</w:t>
      </w:r>
    </w:p>
    <w:p w14:paraId="577EDB7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（1）货物的现场移动、安装、调试、启动监督及技术支持；</w:t>
      </w:r>
    </w:p>
    <w:p w14:paraId="1D8A227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（2）提供货物组装和维修所需的专用工具和辅助材料；</w:t>
      </w:r>
    </w:p>
    <w:p w14:paraId="42C1A41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约定的期限内对所有的货物实施运行监督、维修，但前提条件是该服务并不能免除乙方在质量保证期内所承担的义务；</w:t>
      </w:r>
    </w:p>
    <w:p w14:paraId="2435FA8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（4）在制造商所在地或指定现场就货物的安装、启动、运营、维护、废弃处置等对甲方操作人员进行培训；</w:t>
      </w:r>
    </w:p>
    <w:p w14:paraId="4CBBAB0D">
      <w:pPr>
        <w:pStyle w:val="62"/>
        <w:keepNext w:val="0"/>
        <w:keepLines w:val="0"/>
        <w:pageBreakBefore w:val="0"/>
        <w:kinsoku/>
        <w:wordWrap/>
        <w:overflowPunct/>
        <w:topLinePunct w:val="0"/>
        <w:bidi w:val="0"/>
        <w:adjustRightInd w:val="0"/>
        <w:snapToGri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（5）依照法律、行政法规的规定或者按照</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约定，货物在有效使用年限届满后应予回收的，乙方负有自行或者委托第三人对货物予以回收的义务；</w:t>
      </w:r>
    </w:p>
    <w:p w14:paraId="7E686D8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规定由乙方提供的其他服务。</w:t>
      </w:r>
    </w:p>
    <w:p w14:paraId="0EB4CD4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乙方提供的售后服务的费用已包含在合同价款中，甲方不再另行支付。</w:t>
      </w:r>
    </w:p>
    <w:p w14:paraId="060B3FC0">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违约责任</w:t>
      </w:r>
    </w:p>
    <w:p w14:paraId="5E7D777D">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15.1质量瑕疵的违约责任</w:t>
      </w:r>
    </w:p>
    <w:p w14:paraId="118E86A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乙方提供的产品不符合合同约定的质量标准或存在产品质量缺陷，甲方有权要求乙方根据</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要求</w:t>
      </w:r>
      <w:r>
        <w:rPr>
          <w:rFonts w:hint="eastAsia" w:ascii="仿宋" w:hAnsi="仿宋" w:eastAsia="仿宋" w:cs="仿宋"/>
          <w:sz w:val="24"/>
          <w:szCs w:val="24"/>
          <w:highlight w:val="none"/>
        </w:rPr>
        <w:t>及时修理、重作、更换，并承担由此给甲方造成的损失。</w:t>
      </w:r>
    </w:p>
    <w:p w14:paraId="68CD5E3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15.2 迟延交货的违约责任</w:t>
      </w:r>
    </w:p>
    <w:p w14:paraId="20D1F88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2504F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szCs w:val="24"/>
          <w:highlight w:val="none"/>
        </w:rPr>
        <w:t>【政府采购合同专用条款】</w:t>
      </w:r>
      <w:r>
        <w:rPr>
          <w:rFonts w:hint="eastAsia" w:ascii="仿宋" w:hAnsi="仿宋" w:eastAsia="仿宋" w:cs="仿宋"/>
          <w:sz w:val="24"/>
          <w:szCs w:val="24"/>
          <w:highlight w:val="none"/>
        </w:rPr>
        <w:t>规定执行。如果涉及公共利益，且赔偿金额无法弥补公共利益损失，甲方可要求继续履行或者采取其他补救措施。</w:t>
      </w:r>
    </w:p>
    <w:p w14:paraId="32015C2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 迟延支付的违约责任</w:t>
      </w:r>
    </w:p>
    <w:p w14:paraId="330B28C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甲方存在迟延支付乙方合同款项的，应当承担</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规定的逾期付款利息。</w:t>
      </w:r>
    </w:p>
    <w:p w14:paraId="4F7A34B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15.4其他违约责任根据项目实际需要按</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规定执行。</w:t>
      </w:r>
    </w:p>
    <w:p w14:paraId="0C7D1082">
      <w:pPr>
        <w:keepNext w:val="0"/>
        <w:keepLines w:val="0"/>
        <w:pageBreakBefore w:val="0"/>
        <w:numPr>
          <w:ilvl w:val="0"/>
          <w:numId w:val="10"/>
        </w:numPr>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合同变更、中止与终止</w:t>
      </w:r>
    </w:p>
    <w:p w14:paraId="6CAFF5F2">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16.1合同的变更</w:t>
      </w:r>
    </w:p>
    <w:p w14:paraId="73121D3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政府采购合同履行中，在不改变合同其他条款的前提下，甲方可以在合同价款10%的范围内追加与合同标的相同的货物，并就此与乙方协商一致后签订补充协议。</w:t>
      </w:r>
    </w:p>
    <w:p w14:paraId="5DE88BE9">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16.2合同的中止</w:t>
      </w:r>
    </w:p>
    <w:p w14:paraId="6F39C5C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（1）合同履行过程中因供应商就采购文件、采购过程或结果提起投诉的，甲方认为有必要的，可以中止合同的履行。</w:t>
      </w:r>
    </w:p>
    <w:p w14:paraId="14C099E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23E54B8">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CAC664A">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（4）甲方不得以行政区划调整、政府换届、机构或者职能调整以及相关责任人更替为由中止合同。</w:t>
      </w:r>
    </w:p>
    <w:p w14:paraId="459D340C">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16.3合同的终止</w:t>
      </w:r>
    </w:p>
    <w:p w14:paraId="0B2B5EA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（1）合同因有效期限届满而终止；</w:t>
      </w:r>
    </w:p>
    <w:p w14:paraId="53948C5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（2）乙方未按合同约定履行，构成根本性违约的，甲方有权终止合同，并追究乙方的违约责任。</w:t>
      </w:r>
    </w:p>
    <w:p w14:paraId="3EFD5144">
      <w:pPr>
        <w:pStyle w:val="62"/>
        <w:keepNext w:val="0"/>
        <w:keepLines w:val="0"/>
        <w:pageBreakBefore w:val="0"/>
        <w:kinsoku/>
        <w:wordWrap/>
        <w:overflowPunct/>
        <w:topLinePunct w:val="0"/>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16.4 </w:t>
      </w:r>
      <w:r>
        <w:rPr>
          <w:rFonts w:hint="eastAsia" w:ascii="仿宋" w:hAnsi="仿宋" w:eastAsia="仿宋" w:cs="仿宋"/>
          <w:kern w:val="2"/>
          <w:sz w:val="24"/>
          <w:szCs w:val="24"/>
          <w:highlight w:val="none"/>
        </w:rPr>
        <w:t>涉及国家利益、社会公共利益的情形</w:t>
      </w:r>
    </w:p>
    <w:p w14:paraId="0CB52F18">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50F8CC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 合同分包</w:t>
      </w:r>
    </w:p>
    <w:p w14:paraId="20AD252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 乙方不得将合同转包给其他供应商。涉及合同分包的，乙方应根据采购文件和投标（响应）文件规定进行合同分包。</w:t>
      </w:r>
    </w:p>
    <w:p w14:paraId="151664F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乙方执行政府采购政策向中小企业依法分包的，乙方应当按采购文件和投标（响应）文件签订分包意向协议，分包意向协议属于本合同组成部分。</w:t>
      </w:r>
    </w:p>
    <w:p w14:paraId="6FA85AD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 不可抗力</w:t>
      </w:r>
    </w:p>
    <w:p w14:paraId="6552B2B6">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不可抗力是指合同双方不能预见、不能避免且不能克服的客观情况。</w:t>
      </w:r>
    </w:p>
    <w:p w14:paraId="1A98129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18.2 任何一方对由于不可抗力造成的部分或全部不能履行合同不承担违约责任。但迟延履行后发生不可抗力的，不能免除责任。</w:t>
      </w:r>
    </w:p>
    <w:p w14:paraId="39A2291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D08C3D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 解决争议的方法</w:t>
      </w:r>
    </w:p>
    <w:p w14:paraId="3AC7D633">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BEE37D2">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19.2 选择仲裁的，应在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中明确仲裁机构及仲裁地；通过诉讼方式解决的，可以在</w:t>
      </w:r>
      <w:r>
        <w:rPr>
          <w:rFonts w:hint="eastAsia" w:ascii="仿宋" w:hAnsi="仿宋" w:eastAsia="仿宋" w:cs="仿宋"/>
          <w:b/>
          <w:bCs/>
          <w:sz w:val="24"/>
          <w:szCs w:val="24"/>
          <w:highlight w:val="none"/>
        </w:rPr>
        <w:t>【政府采购合同专用条款】</w:t>
      </w:r>
      <w:r>
        <w:rPr>
          <w:rFonts w:hint="eastAsia" w:ascii="仿宋" w:hAnsi="仿宋" w:eastAsia="仿宋" w:cs="仿宋"/>
          <w:sz w:val="24"/>
          <w:szCs w:val="24"/>
          <w:highlight w:val="none"/>
        </w:rPr>
        <w:t>中进一步约定选择与争议有实际联系的地点的人民法院管辖，但管辖法院的约定不得违反级别管辖和专属管辖的规定。</w:t>
      </w:r>
    </w:p>
    <w:p w14:paraId="05531BE6">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19.3 如甲乙双方有争议的事项不影响合同其他部分的履行，在争议解决期间，合同其他部分应当继续履行。</w:t>
      </w:r>
    </w:p>
    <w:p w14:paraId="7031C7D0">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20. 政府采购政策</w:t>
      </w:r>
    </w:p>
    <w:p w14:paraId="47AE113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20.1 </w:t>
      </w:r>
      <w:r>
        <w:rPr>
          <w:rFonts w:hint="eastAsia" w:ascii="仿宋" w:hAnsi="仿宋" w:eastAsia="仿宋" w:cs="仿宋"/>
          <w:sz w:val="24"/>
          <w:szCs w:val="24"/>
          <w:highlight w:val="none"/>
          <w:lang w:val="en-GB"/>
        </w:rPr>
        <w:t>本合同应当按照规定执行政府采购政策。</w:t>
      </w:r>
    </w:p>
    <w:p w14:paraId="6BEBAF8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 本合同依法执行政府采购政策的方式和内容，属于合同履约验收的范围。甲乙双方</w:t>
      </w:r>
      <w:r>
        <w:rPr>
          <w:rFonts w:hint="eastAsia" w:ascii="仿宋" w:hAnsi="仿宋" w:eastAsia="仿宋" w:cs="仿宋"/>
          <w:sz w:val="24"/>
          <w:szCs w:val="24"/>
          <w:highlight w:val="none"/>
          <w:lang w:val="en-GB"/>
        </w:rPr>
        <w:t>未按规定要求执行政府采购政策造成损失的</w:t>
      </w:r>
      <w:r>
        <w:rPr>
          <w:rFonts w:hint="eastAsia" w:ascii="仿宋" w:hAnsi="仿宋" w:eastAsia="仿宋" w:cs="仿宋"/>
          <w:sz w:val="24"/>
          <w:szCs w:val="24"/>
          <w:highlight w:val="none"/>
        </w:rPr>
        <w:t>，有过错的一方应当承担赔偿责任，双方都有过错的，各自承担相应的责任。</w:t>
      </w:r>
    </w:p>
    <w:p w14:paraId="25C94D9E">
      <w:pPr>
        <w:pStyle w:val="8"/>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9ED0A3">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21. 法律适用</w:t>
      </w:r>
    </w:p>
    <w:p w14:paraId="20D2DC4B">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 本合同的订立、生效、解释、履行及与本合同有关的争议解决，均适用法律、行政法规。</w:t>
      </w:r>
    </w:p>
    <w:p w14:paraId="02DE064F">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21.2 本合同条款与法律、行政法规的强制性规定不一致的，双方当事人应按照法律、行政法规的强制性规定修改本合同的相关条款。</w:t>
      </w:r>
    </w:p>
    <w:p w14:paraId="4D856643">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22. 通知</w:t>
      </w:r>
    </w:p>
    <w:p w14:paraId="6DABA84D">
      <w:pPr>
        <w:pStyle w:val="62"/>
        <w:keepNext w:val="0"/>
        <w:keepLines w:val="0"/>
        <w:pageBreakBefore w:val="0"/>
        <w:kinsoku/>
        <w:wordWrap/>
        <w:overflowPunct/>
        <w:topLinePunct w:val="0"/>
        <w:bidi w:val="0"/>
        <w:adjustRightInd w:val="0"/>
        <w:snapToGrid w:val="0"/>
        <w:spacing w:line="360" w:lineRule="auto"/>
        <w:ind w:firstLine="42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 本合同任何一方向对方发出的通知、信件、数据电文等，应当发送至本合同第一部分《政府采购合同协议书》所约定的通讯地址、联系人、联系电话或电子邮箱。</w:t>
      </w:r>
    </w:p>
    <w:p w14:paraId="2749A2FE">
      <w:pPr>
        <w:pStyle w:val="62"/>
        <w:keepNext w:val="0"/>
        <w:keepLines w:val="0"/>
        <w:pageBreakBefore w:val="0"/>
        <w:kinsoku/>
        <w:wordWrap/>
        <w:overflowPunct/>
        <w:topLinePunct w:val="0"/>
        <w:bidi w:val="0"/>
        <w:adjustRightInd w:val="0"/>
        <w:snapToGrid w:val="0"/>
        <w:spacing w:line="360" w:lineRule="auto"/>
        <w:ind w:firstLine="0"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1B36E00B">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22.3本合同一方给另一方的通知均应采用书面形式，传真或快递送到本合同中规定的对方的地址和办理签收手续。</w:t>
      </w:r>
    </w:p>
    <w:p w14:paraId="58FC39CE">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22.4通知以送达之日或通知书中规定的生效之日起生效，两者中以较迟之日为准。</w:t>
      </w:r>
    </w:p>
    <w:p w14:paraId="2CA8535B">
      <w:pPr>
        <w:keepNext w:val="0"/>
        <w:keepLines w:val="0"/>
        <w:pageBreakBefore w:val="0"/>
        <w:numPr>
          <w:ilvl w:val="0"/>
          <w:numId w:val="11"/>
        </w:numPr>
        <w:kinsoku/>
        <w:wordWrap/>
        <w:overflowPunct/>
        <w:topLinePunct w:val="0"/>
        <w:bidi w:val="0"/>
        <w:adjustRightInd w:val="0"/>
        <w:snapToGrid w:val="0"/>
        <w:spacing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合同未尽事项</w:t>
      </w:r>
    </w:p>
    <w:p w14:paraId="709098D3">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23.1合同未尽事项见</w:t>
      </w:r>
      <w:r>
        <w:rPr>
          <w:rFonts w:hint="eastAsia" w:ascii="仿宋" w:hAnsi="仿宋" w:eastAsia="仿宋" w:cs="仿宋"/>
          <w:b/>
          <w:sz w:val="24"/>
          <w:szCs w:val="24"/>
          <w:highlight w:val="none"/>
        </w:rPr>
        <w:t>【政府采购合同专用条款】</w:t>
      </w:r>
      <w:r>
        <w:rPr>
          <w:rFonts w:hint="eastAsia" w:ascii="仿宋" w:hAnsi="仿宋" w:eastAsia="仿宋" w:cs="仿宋"/>
          <w:bCs/>
          <w:sz w:val="24"/>
          <w:szCs w:val="24"/>
          <w:highlight w:val="none"/>
        </w:rPr>
        <w:t>。</w:t>
      </w:r>
    </w:p>
    <w:p w14:paraId="3F935332">
      <w:pPr>
        <w:keepNext w:val="0"/>
        <w:keepLines w:val="0"/>
        <w:pageBreakBefore w:val="0"/>
        <w:kinsoku/>
        <w:wordWrap/>
        <w:overflowPunct/>
        <w:topLinePunct w:val="0"/>
        <w:bidi w:val="0"/>
        <w:adjustRightInd w:val="0"/>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    23.2 合同附件与合同正文具有同等的法律效力。</w:t>
      </w:r>
      <w:bookmarkStart w:id="87" w:name="_Toc20313"/>
    </w:p>
    <w:p w14:paraId="4B31B4D1">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D015FE6">
      <w:pPr>
        <w:pStyle w:val="4"/>
        <w:tabs>
          <w:tab w:val="left" w:pos="0"/>
          <w:tab w:val="left" w:pos="420"/>
          <w:tab w:val="left" w:pos="1152"/>
        </w:tabs>
        <w:adjustRightInd w:val="0"/>
        <w:snapToGrid w:val="0"/>
        <w:spacing w:line="360" w:lineRule="auto"/>
        <w:jc w:val="center"/>
        <w:rPr>
          <w:rFonts w:hint="eastAsia" w:ascii="仿宋" w:hAnsi="仿宋" w:eastAsia="仿宋" w:cs="仿宋"/>
          <w:b w:val="0"/>
          <w:sz w:val="24"/>
          <w:szCs w:val="24"/>
          <w:highlight w:val="none"/>
        </w:rPr>
      </w:pPr>
      <w:bookmarkStart w:id="88" w:name="_Toc20015"/>
      <w:r>
        <w:rPr>
          <w:rFonts w:hint="eastAsia" w:ascii="仿宋" w:hAnsi="仿宋" w:eastAsia="仿宋" w:cs="仿宋"/>
          <w:b w:val="0"/>
          <w:sz w:val="24"/>
          <w:szCs w:val="24"/>
          <w:highlight w:val="none"/>
        </w:rPr>
        <w:t>第三节 政府采购合同专用条款</w:t>
      </w:r>
      <w:bookmarkEnd w:id="87"/>
      <w:bookmarkEnd w:id="88"/>
    </w:p>
    <w:tbl>
      <w:tblPr>
        <w:tblStyle w:val="19"/>
        <w:tblW w:w="90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852"/>
        <w:gridCol w:w="5499"/>
      </w:tblGrid>
      <w:tr w14:paraId="34D408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815156E">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ED19149">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第1.2（6）项</w:t>
            </w:r>
          </w:p>
        </w:tc>
        <w:tc>
          <w:tcPr>
            <w:tcW w:w="1852" w:type="dxa"/>
            <w:noWrap w:val="0"/>
            <w:vAlign w:val="center"/>
          </w:tcPr>
          <w:p w14:paraId="3FC98ED3">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联合体具体要求</w:t>
            </w:r>
          </w:p>
        </w:tc>
        <w:tc>
          <w:tcPr>
            <w:tcW w:w="5499" w:type="dxa"/>
            <w:noWrap w:val="0"/>
            <w:vAlign w:val="center"/>
          </w:tcPr>
          <w:p w14:paraId="34B32D98">
            <w:pPr>
              <w:adjustRightInd w:val="0"/>
              <w:snapToGrid w:val="0"/>
              <w:spacing w:line="240" w:lineRule="auto"/>
              <w:jc w:val="left"/>
              <w:rPr>
                <w:rFonts w:hint="eastAsia" w:ascii="仿宋" w:hAnsi="仿宋" w:eastAsia="仿宋" w:cs="仿宋"/>
                <w:sz w:val="21"/>
                <w:szCs w:val="21"/>
                <w:highlight w:val="none"/>
              </w:rPr>
            </w:pPr>
          </w:p>
        </w:tc>
      </w:tr>
      <w:tr w14:paraId="12AE2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D7B6A49">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7CE43B5">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第1.2（7）项</w:t>
            </w:r>
          </w:p>
        </w:tc>
        <w:tc>
          <w:tcPr>
            <w:tcW w:w="1852" w:type="dxa"/>
            <w:noWrap w:val="0"/>
            <w:vAlign w:val="center"/>
          </w:tcPr>
          <w:p w14:paraId="3A838D4F">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其他术语解释</w:t>
            </w:r>
          </w:p>
        </w:tc>
        <w:tc>
          <w:tcPr>
            <w:tcW w:w="5499" w:type="dxa"/>
            <w:noWrap w:val="0"/>
            <w:vAlign w:val="center"/>
          </w:tcPr>
          <w:p w14:paraId="393F976C">
            <w:pPr>
              <w:adjustRightInd w:val="0"/>
              <w:snapToGrid w:val="0"/>
              <w:spacing w:line="240" w:lineRule="auto"/>
              <w:jc w:val="left"/>
              <w:rPr>
                <w:rFonts w:hint="eastAsia" w:ascii="仿宋" w:hAnsi="仿宋" w:eastAsia="仿宋" w:cs="仿宋"/>
                <w:sz w:val="21"/>
                <w:szCs w:val="21"/>
                <w:highlight w:val="none"/>
              </w:rPr>
            </w:pPr>
          </w:p>
        </w:tc>
      </w:tr>
      <w:tr w14:paraId="5A8DE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9EE08EF">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7713EB66">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第4.4款</w:t>
            </w:r>
          </w:p>
        </w:tc>
        <w:tc>
          <w:tcPr>
            <w:tcW w:w="1852" w:type="dxa"/>
            <w:noWrap w:val="0"/>
            <w:vAlign w:val="center"/>
          </w:tcPr>
          <w:p w14:paraId="5F6F7AD4">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履约验收中甲方提出异议或作出说明的期限</w:t>
            </w:r>
          </w:p>
        </w:tc>
        <w:tc>
          <w:tcPr>
            <w:tcW w:w="5499" w:type="dxa"/>
            <w:noWrap w:val="0"/>
            <w:vAlign w:val="center"/>
          </w:tcPr>
          <w:p w14:paraId="26251DF1">
            <w:pPr>
              <w:adjustRightInd w:val="0"/>
              <w:snapToGrid w:val="0"/>
              <w:spacing w:line="240" w:lineRule="auto"/>
              <w:jc w:val="left"/>
              <w:rPr>
                <w:rFonts w:hint="eastAsia" w:ascii="仿宋" w:hAnsi="仿宋" w:eastAsia="仿宋" w:cs="仿宋"/>
                <w:sz w:val="21"/>
                <w:szCs w:val="21"/>
                <w:highlight w:val="none"/>
              </w:rPr>
            </w:pPr>
          </w:p>
        </w:tc>
      </w:tr>
      <w:tr w14:paraId="55D9FB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11EB99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92A16D2">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第4.6款</w:t>
            </w:r>
          </w:p>
        </w:tc>
        <w:tc>
          <w:tcPr>
            <w:tcW w:w="1852" w:type="dxa"/>
            <w:noWrap w:val="0"/>
            <w:vAlign w:val="center"/>
          </w:tcPr>
          <w:p w14:paraId="7EEC156C">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约定甲方承担的其他义务和责任</w:t>
            </w:r>
          </w:p>
        </w:tc>
        <w:tc>
          <w:tcPr>
            <w:tcW w:w="5499" w:type="dxa"/>
            <w:noWrap w:val="0"/>
            <w:vAlign w:val="center"/>
          </w:tcPr>
          <w:p w14:paraId="5B09228A">
            <w:pPr>
              <w:adjustRightInd w:val="0"/>
              <w:snapToGrid w:val="0"/>
              <w:spacing w:line="240" w:lineRule="auto"/>
              <w:jc w:val="left"/>
              <w:rPr>
                <w:rFonts w:hint="eastAsia" w:ascii="仿宋" w:hAnsi="仿宋" w:eastAsia="仿宋" w:cs="仿宋"/>
                <w:sz w:val="21"/>
                <w:szCs w:val="21"/>
                <w:highlight w:val="none"/>
              </w:rPr>
            </w:pPr>
          </w:p>
        </w:tc>
      </w:tr>
      <w:tr w14:paraId="03475F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578283F">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D0B63C7">
            <w:pPr>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第5.4款</w:t>
            </w:r>
          </w:p>
        </w:tc>
        <w:tc>
          <w:tcPr>
            <w:tcW w:w="1852" w:type="dxa"/>
            <w:noWrap w:val="0"/>
            <w:vAlign w:val="center"/>
          </w:tcPr>
          <w:p w14:paraId="5BA31F30">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约定乙方承担的其他义务和责任</w:t>
            </w:r>
          </w:p>
        </w:tc>
        <w:tc>
          <w:tcPr>
            <w:tcW w:w="5499" w:type="dxa"/>
            <w:noWrap w:val="0"/>
            <w:vAlign w:val="center"/>
          </w:tcPr>
          <w:p w14:paraId="08085B19">
            <w:pPr>
              <w:adjustRightInd w:val="0"/>
              <w:snapToGrid w:val="0"/>
              <w:spacing w:line="240" w:lineRule="auto"/>
              <w:jc w:val="left"/>
              <w:rPr>
                <w:rFonts w:hint="eastAsia" w:ascii="仿宋" w:hAnsi="仿宋" w:eastAsia="仿宋" w:cs="仿宋"/>
                <w:sz w:val="21"/>
                <w:szCs w:val="21"/>
                <w:highlight w:val="none"/>
              </w:rPr>
            </w:pPr>
          </w:p>
        </w:tc>
      </w:tr>
      <w:tr w14:paraId="55218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DA9BCD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61436FA">
            <w:pPr>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第6.1款</w:t>
            </w:r>
          </w:p>
        </w:tc>
        <w:tc>
          <w:tcPr>
            <w:tcW w:w="1852" w:type="dxa"/>
            <w:noWrap w:val="0"/>
            <w:vAlign w:val="center"/>
          </w:tcPr>
          <w:p w14:paraId="7F4B094A">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履行合同义务的顺序</w:t>
            </w:r>
          </w:p>
        </w:tc>
        <w:tc>
          <w:tcPr>
            <w:tcW w:w="5499" w:type="dxa"/>
            <w:noWrap w:val="0"/>
            <w:vAlign w:val="center"/>
          </w:tcPr>
          <w:p w14:paraId="71CF261F">
            <w:pPr>
              <w:adjustRightInd w:val="0"/>
              <w:snapToGrid w:val="0"/>
              <w:spacing w:line="240" w:lineRule="auto"/>
              <w:jc w:val="left"/>
              <w:rPr>
                <w:rFonts w:hint="eastAsia" w:ascii="仿宋" w:hAnsi="仿宋" w:eastAsia="仿宋" w:cs="仿宋"/>
                <w:sz w:val="21"/>
                <w:szCs w:val="21"/>
                <w:highlight w:val="none"/>
              </w:rPr>
            </w:pPr>
          </w:p>
        </w:tc>
      </w:tr>
      <w:tr w14:paraId="75017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vMerge w:val="restart"/>
            <w:noWrap w:val="0"/>
            <w:vAlign w:val="center"/>
          </w:tcPr>
          <w:p w14:paraId="15BEA0B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731A4FF">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第7.1款</w:t>
            </w:r>
          </w:p>
        </w:tc>
        <w:tc>
          <w:tcPr>
            <w:tcW w:w="1852" w:type="dxa"/>
            <w:noWrap w:val="0"/>
            <w:vAlign w:val="center"/>
          </w:tcPr>
          <w:p w14:paraId="19DABC71">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包装特殊要求</w:t>
            </w:r>
          </w:p>
        </w:tc>
        <w:tc>
          <w:tcPr>
            <w:tcW w:w="5499" w:type="dxa"/>
            <w:noWrap w:val="0"/>
            <w:vAlign w:val="center"/>
          </w:tcPr>
          <w:p w14:paraId="38EFB4FC">
            <w:pPr>
              <w:spacing w:line="240" w:lineRule="auto"/>
              <w:rPr>
                <w:rFonts w:hint="eastAsia" w:ascii="仿宋" w:hAnsi="仿宋" w:eastAsia="仿宋" w:cs="仿宋"/>
                <w:sz w:val="21"/>
                <w:szCs w:val="21"/>
                <w:highlight w:val="none"/>
              </w:rPr>
            </w:pPr>
          </w:p>
        </w:tc>
      </w:tr>
      <w:tr w14:paraId="1DAE8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vMerge w:val="continue"/>
            <w:noWrap w:val="0"/>
            <w:vAlign w:val="center"/>
          </w:tcPr>
          <w:p w14:paraId="2776C34C">
            <w:pPr>
              <w:adjustRightInd w:val="0"/>
              <w:snapToGrid w:val="0"/>
              <w:spacing w:line="240" w:lineRule="auto"/>
              <w:jc w:val="center"/>
              <w:rPr>
                <w:rFonts w:hint="eastAsia" w:ascii="仿宋" w:hAnsi="仿宋" w:eastAsia="仿宋" w:cs="仿宋"/>
                <w:sz w:val="21"/>
                <w:szCs w:val="21"/>
                <w:highlight w:val="none"/>
              </w:rPr>
            </w:pPr>
          </w:p>
        </w:tc>
        <w:tc>
          <w:tcPr>
            <w:tcW w:w="1852" w:type="dxa"/>
            <w:noWrap w:val="0"/>
            <w:vAlign w:val="center"/>
          </w:tcPr>
          <w:p w14:paraId="2A43B0C7">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指定现场</w:t>
            </w:r>
          </w:p>
        </w:tc>
        <w:tc>
          <w:tcPr>
            <w:tcW w:w="5499" w:type="dxa"/>
            <w:noWrap w:val="0"/>
            <w:vAlign w:val="center"/>
          </w:tcPr>
          <w:p w14:paraId="68A0ABD5">
            <w:pPr>
              <w:spacing w:line="240" w:lineRule="auto"/>
              <w:rPr>
                <w:rFonts w:hint="eastAsia" w:ascii="仿宋" w:hAnsi="仿宋" w:eastAsia="仿宋" w:cs="仿宋"/>
                <w:sz w:val="21"/>
                <w:szCs w:val="21"/>
                <w:highlight w:val="none"/>
              </w:rPr>
            </w:pPr>
          </w:p>
        </w:tc>
      </w:tr>
      <w:tr w14:paraId="1AE9AE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4E90C21">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BE6E653">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第7.2款</w:t>
            </w:r>
          </w:p>
        </w:tc>
        <w:tc>
          <w:tcPr>
            <w:tcW w:w="1852" w:type="dxa"/>
            <w:noWrap w:val="0"/>
            <w:vAlign w:val="center"/>
          </w:tcPr>
          <w:p w14:paraId="26B7C88A">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运输特殊要求</w:t>
            </w:r>
          </w:p>
        </w:tc>
        <w:tc>
          <w:tcPr>
            <w:tcW w:w="5499" w:type="dxa"/>
            <w:noWrap w:val="0"/>
            <w:vAlign w:val="center"/>
          </w:tcPr>
          <w:p w14:paraId="2C2998BE">
            <w:pPr>
              <w:spacing w:line="240" w:lineRule="auto"/>
              <w:rPr>
                <w:rFonts w:hint="eastAsia" w:ascii="仿宋" w:hAnsi="仿宋" w:eastAsia="仿宋" w:cs="仿宋"/>
                <w:sz w:val="21"/>
                <w:szCs w:val="21"/>
                <w:highlight w:val="none"/>
              </w:rPr>
            </w:pPr>
          </w:p>
        </w:tc>
      </w:tr>
      <w:tr w14:paraId="45591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9E0582A">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AF8CAF4">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第7.3款</w:t>
            </w:r>
          </w:p>
        </w:tc>
        <w:tc>
          <w:tcPr>
            <w:tcW w:w="1852" w:type="dxa"/>
            <w:noWrap w:val="0"/>
            <w:vAlign w:val="center"/>
          </w:tcPr>
          <w:p w14:paraId="7FA9409C">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保险要求</w:t>
            </w:r>
          </w:p>
        </w:tc>
        <w:tc>
          <w:tcPr>
            <w:tcW w:w="5499" w:type="dxa"/>
            <w:noWrap w:val="0"/>
            <w:vAlign w:val="center"/>
          </w:tcPr>
          <w:p w14:paraId="1E2E2347">
            <w:pPr>
              <w:spacing w:line="240" w:lineRule="auto"/>
              <w:rPr>
                <w:rFonts w:hint="eastAsia" w:ascii="仿宋" w:hAnsi="仿宋" w:eastAsia="仿宋" w:cs="仿宋"/>
                <w:sz w:val="21"/>
                <w:szCs w:val="21"/>
                <w:highlight w:val="none"/>
              </w:rPr>
            </w:pPr>
          </w:p>
        </w:tc>
      </w:tr>
      <w:tr w14:paraId="29262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0B0F684">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58A20B7">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第8.2（1）项</w:t>
            </w:r>
          </w:p>
        </w:tc>
        <w:tc>
          <w:tcPr>
            <w:tcW w:w="1852" w:type="dxa"/>
            <w:noWrap w:val="0"/>
            <w:vAlign w:val="center"/>
          </w:tcPr>
          <w:p w14:paraId="05F3D769">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质量保证期</w:t>
            </w:r>
          </w:p>
        </w:tc>
        <w:tc>
          <w:tcPr>
            <w:tcW w:w="5499" w:type="dxa"/>
            <w:noWrap w:val="0"/>
            <w:vAlign w:val="center"/>
          </w:tcPr>
          <w:p w14:paraId="5AF3F4D0">
            <w:pPr>
              <w:autoSpaceDE w:val="0"/>
              <w:autoSpaceDN w:val="0"/>
              <w:adjustRightInd w:val="0"/>
              <w:snapToGrid w:val="0"/>
              <w:spacing w:line="240" w:lineRule="auto"/>
              <w:jc w:val="left"/>
              <w:rPr>
                <w:rFonts w:hint="eastAsia" w:ascii="仿宋" w:hAnsi="仿宋" w:eastAsia="仿宋" w:cs="仿宋"/>
                <w:sz w:val="21"/>
                <w:szCs w:val="21"/>
                <w:highlight w:val="none"/>
              </w:rPr>
            </w:pPr>
          </w:p>
        </w:tc>
      </w:tr>
      <w:tr w14:paraId="1CE06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1706" w:type="dxa"/>
            <w:noWrap w:val="0"/>
            <w:vAlign w:val="center"/>
          </w:tcPr>
          <w:p w14:paraId="4567624A">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17F53493">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第8.2（3）项</w:t>
            </w:r>
          </w:p>
        </w:tc>
        <w:tc>
          <w:tcPr>
            <w:tcW w:w="1852" w:type="dxa"/>
            <w:noWrap w:val="0"/>
            <w:vAlign w:val="center"/>
          </w:tcPr>
          <w:p w14:paraId="5603F103">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货物质量缺陷</w:t>
            </w:r>
          </w:p>
          <w:p w14:paraId="692F234A">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响应时间</w:t>
            </w:r>
          </w:p>
        </w:tc>
        <w:tc>
          <w:tcPr>
            <w:tcW w:w="5499" w:type="dxa"/>
            <w:noWrap w:val="0"/>
            <w:vAlign w:val="center"/>
          </w:tcPr>
          <w:p w14:paraId="3F86E698">
            <w:pPr>
              <w:adjustRightInd w:val="0"/>
              <w:snapToGrid w:val="0"/>
              <w:spacing w:line="240" w:lineRule="auto"/>
              <w:jc w:val="left"/>
              <w:rPr>
                <w:rFonts w:hint="eastAsia" w:ascii="仿宋" w:hAnsi="仿宋" w:eastAsia="仿宋" w:cs="仿宋"/>
                <w:sz w:val="21"/>
                <w:szCs w:val="21"/>
                <w:highlight w:val="none"/>
              </w:rPr>
            </w:pPr>
          </w:p>
        </w:tc>
      </w:tr>
      <w:tr w14:paraId="60AD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C3B5B5C">
            <w:pPr>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57DCCE3C">
            <w:pPr>
              <w:pStyle w:val="62"/>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第11.1款</w:t>
            </w:r>
          </w:p>
        </w:tc>
        <w:tc>
          <w:tcPr>
            <w:tcW w:w="1852" w:type="dxa"/>
            <w:noWrap w:val="0"/>
            <w:vAlign w:val="center"/>
          </w:tcPr>
          <w:p w14:paraId="239E99DC">
            <w:pPr>
              <w:adjustRightInd w:val="0"/>
              <w:snapToGrid w:val="0"/>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其他应当保密的信息</w:t>
            </w:r>
          </w:p>
        </w:tc>
        <w:tc>
          <w:tcPr>
            <w:tcW w:w="5499" w:type="dxa"/>
            <w:noWrap w:val="0"/>
            <w:vAlign w:val="center"/>
          </w:tcPr>
          <w:p w14:paraId="4131E345">
            <w:pPr>
              <w:adjustRightInd w:val="0"/>
              <w:snapToGrid w:val="0"/>
              <w:spacing w:line="240" w:lineRule="auto"/>
              <w:jc w:val="left"/>
              <w:rPr>
                <w:rFonts w:hint="eastAsia" w:ascii="仿宋" w:hAnsi="仿宋" w:eastAsia="仿宋" w:cs="仿宋"/>
                <w:sz w:val="21"/>
                <w:szCs w:val="21"/>
                <w:highlight w:val="none"/>
              </w:rPr>
            </w:pPr>
          </w:p>
        </w:tc>
      </w:tr>
      <w:tr w14:paraId="02CEB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1706" w:type="dxa"/>
            <w:noWrap w:val="0"/>
            <w:vAlign w:val="center"/>
          </w:tcPr>
          <w:p w14:paraId="2C41DCAE">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7A1152A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第12.2款</w:t>
            </w:r>
          </w:p>
        </w:tc>
        <w:tc>
          <w:tcPr>
            <w:tcW w:w="1852" w:type="dxa"/>
            <w:noWrap w:val="0"/>
            <w:vAlign w:val="center"/>
          </w:tcPr>
          <w:p w14:paraId="7C424975">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合同价款支付时间</w:t>
            </w:r>
          </w:p>
        </w:tc>
        <w:tc>
          <w:tcPr>
            <w:tcW w:w="5499" w:type="dxa"/>
            <w:noWrap w:val="0"/>
            <w:vAlign w:val="center"/>
          </w:tcPr>
          <w:p w14:paraId="010AB454">
            <w:pPr>
              <w:adjustRightInd w:val="0"/>
              <w:snapToGrid w:val="0"/>
              <w:spacing w:line="240" w:lineRule="auto"/>
              <w:jc w:val="left"/>
              <w:rPr>
                <w:rFonts w:hint="eastAsia" w:ascii="仿宋" w:hAnsi="仿宋" w:eastAsia="仿宋" w:cs="仿宋"/>
                <w:sz w:val="21"/>
                <w:szCs w:val="21"/>
                <w:highlight w:val="none"/>
              </w:rPr>
            </w:pPr>
          </w:p>
        </w:tc>
      </w:tr>
      <w:tr w14:paraId="5F497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25CAA65B">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C3FC6ED">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第13.2款</w:t>
            </w:r>
          </w:p>
        </w:tc>
        <w:tc>
          <w:tcPr>
            <w:tcW w:w="1852" w:type="dxa"/>
            <w:noWrap w:val="0"/>
            <w:vAlign w:val="center"/>
          </w:tcPr>
          <w:p w14:paraId="27BEB28F">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履约保证金不予退还的情形</w:t>
            </w:r>
          </w:p>
        </w:tc>
        <w:tc>
          <w:tcPr>
            <w:tcW w:w="5499" w:type="dxa"/>
            <w:noWrap w:val="0"/>
            <w:vAlign w:val="center"/>
          </w:tcPr>
          <w:p w14:paraId="7CE448AD">
            <w:pPr>
              <w:adjustRightInd w:val="0"/>
              <w:snapToGrid w:val="0"/>
              <w:spacing w:line="240" w:lineRule="auto"/>
              <w:jc w:val="left"/>
              <w:rPr>
                <w:rFonts w:hint="eastAsia" w:ascii="仿宋" w:hAnsi="仿宋" w:eastAsia="仿宋" w:cs="仿宋"/>
                <w:sz w:val="21"/>
                <w:szCs w:val="21"/>
                <w:highlight w:val="none"/>
              </w:rPr>
            </w:pPr>
          </w:p>
        </w:tc>
      </w:tr>
      <w:tr w14:paraId="01358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0480BE5">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7E91CE83">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第13.3款</w:t>
            </w:r>
          </w:p>
        </w:tc>
        <w:tc>
          <w:tcPr>
            <w:tcW w:w="1852" w:type="dxa"/>
            <w:noWrap w:val="0"/>
            <w:vAlign w:val="center"/>
          </w:tcPr>
          <w:p w14:paraId="142BDF60">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履约保证金退还时间及逾期退还的违约金</w:t>
            </w:r>
          </w:p>
        </w:tc>
        <w:tc>
          <w:tcPr>
            <w:tcW w:w="5499" w:type="dxa"/>
            <w:noWrap w:val="0"/>
            <w:vAlign w:val="center"/>
          </w:tcPr>
          <w:p w14:paraId="3492B1A4">
            <w:pPr>
              <w:adjustRightInd w:val="0"/>
              <w:snapToGrid w:val="0"/>
              <w:spacing w:line="240" w:lineRule="auto"/>
              <w:jc w:val="left"/>
              <w:rPr>
                <w:rFonts w:hint="eastAsia" w:ascii="仿宋" w:hAnsi="仿宋" w:eastAsia="仿宋" w:cs="仿宋"/>
                <w:sz w:val="21"/>
                <w:szCs w:val="21"/>
                <w:highlight w:val="none"/>
              </w:rPr>
            </w:pPr>
          </w:p>
        </w:tc>
      </w:tr>
      <w:tr w14:paraId="116E1D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39AC480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A048330">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第14.1（3）项</w:t>
            </w:r>
          </w:p>
        </w:tc>
        <w:tc>
          <w:tcPr>
            <w:tcW w:w="1852" w:type="dxa"/>
            <w:noWrap w:val="0"/>
            <w:vAlign w:val="center"/>
          </w:tcPr>
          <w:p w14:paraId="77A2B7E6">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运行监督、维修期限</w:t>
            </w:r>
          </w:p>
        </w:tc>
        <w:tc>
          <w:tcPr>
            <w:tcW w:w="5499" w:type="dxa"/>
            <w:noWrap w:val="0"/>
            <w:vAlign w:val="center"/>
          </w:tcPr>
          <w:p w14:paraId="6D11394C">
            <w:pPr>
              <w:adjustRightInd w:val="0"/>
              <w:snapToGrid w:val="0"/>
              <w:spacing w:line="240" w:lineRule="auto"/>
              <w:jc w:val="left"/>
              <w:rPr>
                <w:rFonts w:hint="eastAsia" w:ascii="仿宋" w:hAnsi="仿宋" w:eastAsia="仿宋" w:cs="仿宋"/>
                <w:sz w:val="21"/>
                <w:szCs w:val="21"/>
                <w:highlight w:val="none"/>
              </w:rPr>
            </w:pPr>
          </w:p>
        </w:tc>
      </w:tr>
      <w:tr w14:paraId="323B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4F0555FC">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D3D8E05">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第14.1（5）项</w:t>
            </w:r>
          </w:p>
        </w:tc>
        <w:tc>
          <w:tcPr>
            <w:tcW w:w="1852" w:type="dxa"/>
            <w:noWrap w:val="0"/>
            <w:vAlign w:val="center"/>
          </w:tcPr>
          <w:p w14:paraId="56354DBA">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货物回收的约定</w:t>
            </w:r>
          </w:p>
        </w:tc>
        <w:tc>
          <w:tcPr>
            <w:tcW w:w="5499" w:type="dxa"/>
            <w:noWrap w:val="0"/>
            <w:vAlign w:val="center"/>
          </w:tcPr>
          <w:p w14:paraId="4A758267">
            <w:pPr>
              <w:adjustRightInd w:val="0"/>
              <w:snapToGrid w:val="0"/>
              <w:spacing w:line="240" w:lineRule="auto"/>
              <w:jc w:val="left"/>
              <w:rPr>
                <w:rFonts w:hint="eastAsia" w:ascii="仿宋" w:hAnsi="仿宋" w:eastAsia="仿宋" w:cs="仿宋"/>
                <w:sz w:val="21"/>
                <w:szCs w:val="21"/>
                <w:highlight w:val="none"/>
              </w:rPr>
            </w:pPr>
          </w:p>
        </w:tc>
      </w:tr>
      <w:tr w14:paraId="22355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D9B9A8C">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A7F695C">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第14.1（6）项</w:t>
            </w:r>
          </w:p>
        </w:tc>
        <w:tc>
          <w:tcPr>
            <w:tcW w:w="1852" w:type="dxa"/>
            <w:noWrap w:val="0"/>
            <w:vAlign w:val="center"/>
          </w:tcPr>
          <w:p w14:paraId="6BEED892">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乙方提供的其他服务</w:t>
            </w:r>
          </w:p>
        </w:tc>
        <w:tc>
          <w:tcPr>
            <w:tcW w:w="5499" w:type="dxa"/>
            <w:noWrap w:val="0"/>
            <w:vAlign w:val="center"/>
          </w:tcPr>
          <w:p w14:paraId="376C24B0">
            <w:pPr>
              <w:adjustRightInd w:val="0"/>
              <w:snapToGrid w:val="0"/>
              <w:spacing w:line="240" w:lineRule="auto"/>
              <w:jc w:val="left"/>
              <w:rPr>
                <w:rFonts w:hint="eastAsia" w:ascii="仿宋" w:hAnsi="仿宋" w:eastAsia="仿宋" w:cs="仿宋"/>
                <w:sz w:val="21"/>
                <w:szCs w:val="21"/>
                <w:highlight w:val="none"/>
              </w:rPr>
            </w:pPr>
          </w:p>
        </w:tc>
      </w:tr>
      <w:tr w14:paraId="75905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C130E7F">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695FA74">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第15.1款</w:t>
            </w:r>
          </w:p>
        </w:tc>
        <w:tc>
          <w:tcPr>
            <w:tcW w:w="1852" w:type="dxa"/>
            <w:noWrap w:val="0"/>
            <w:vAlign w:val="center"/>
          </w:tcPr>
          <w:p w14:paraId="07F5EBE9">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修理、重作、更换相关具体规定</w:t>
            </w:r>
          </w:p>
        </w:tc>
        <w:tc>
          <w:tcPr>
            <w:tcW w:w="5499" w:type="dxa"/>
            <w:noWrap w:val="0"/>
            <w:vAlign w:val="center"/>
          </w:tcPr>
          <w:p w14:paraId="3A3B9FC8">
            <w:pPr>
              <w:adjustRightInd w:val="0"/>
              <w:snapToGrid w:val="0"/>
              <w:spacing w:line="240" w:lineRule="auto"/>
              <w:jc w:val="left"/>
              <w:rPr>
                <w:rFonts w:hint="eastAsia" w:ascii="仿宋" w:hAnsi="仿宋" w:eastAsia="仿宋" w:cs="仿宋"/>
                <w:sz w:val="21"/>
                <w:szCs w:val="21"/>
                <w:highlight w:val="none"/>
              </w:rPr>
            </w:pPr>
          </w:p>
        </w:tc>
      </w:tr>
      <w:tr w14:paraId="3684F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5A8ADE71">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4AB635E4">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第15.2（2）项</w:t>
            </w:r>
          </w:p>
        </w:tc>
        <w:tc>
          <w:tcPr>
            <w:tcW w:w="1852" w:type="dxa"/>
            <w:noWrap w:val="0"/>
            <w:vAlign w:val="center"/>
          </w:tcPr>
          <w:p w14:paraId="60D3F826">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迟延交货赔偿费</w:t>
            </w:r>
          </w:p>
        </w:tc>
        <w:tc>
          <w:tcPr>
            <w:tcW w:w="5499" w:type="dxa"/>
            <w:noWrap w:val="0"/>
            <w:vAlign w:val="center"/>
          </w:tcPr>
          <w:p w14:paraId="5BB6174E">
            <w:pPr>
              <w:adjustRightInd w:val="0"/>
              <w:snapToGrid w:val="0"/>
              <w:spacing w:line="240" w:lineRule="auto"/>
              <w:jc w:val="left"/>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乙方延迟交货的，每逾期一天应按本合同总金额1%向甲方支付违约金，至本合同项下货物交付之日止，支付违约金后乙方仍需履行合同交付等义务。</w:t>
            </w:r>
          </w:p>
        </w:tc>
      </w:tr>
      <w:tr w14:paraId="630B8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1814C493">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000EC0E3">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第15.3款</w:t>
            </w:r>
          </w:p>
        </w:tc>
        <w:tc>
          <w:tcPr>
            <w:tcW w:w="1852" w:type="dxa"/>
            <w:noWrap w:val="0"/>
            <w:vAlign w:val="center"/>
          </w:tcPr>
          <w:p w14:paraId="1E999D1D">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逾期付款利息</w:t>
            </w:r>
          </w:p>
        </w:tc>
        <w:tc>
          <w:tcPr>
            <w:tcW w:w="5499" w:type="dxa"/>
            <w:noWrap w:val="0"/>
            <w:vAlign w:val="center"/>
          </w:tcPr>
          <w:p w14:paraId="2B3E7675">
            <w:pPr>
              <w:adjustRightInd w:val="0"/>
              <w:snapToGrid w:val="0"/>
              <w:spacing w:line="240" w:lineRule="auto"/>
              <w:jc w:val="left"/>
              <w:rPr>
                <w:rFonts w:hint="eastAsia" w:ascii="仿宋" w:hAnsi="仿宋" w:eastAsia="仿宋" w:cs="仿宋"/>
                <w:sz w:val="21"/>
                <w:szCs w:val="21"/>
                <w:highlight w:val="none"/>
                <w:u w:val="single"/>
              </w:rPr>
            </w:pPr>
          </w:p>
        </w:tc>
      </w:tr>
      <w:tr w14:paraId="40E3F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tcBorders>
              <w:bottom w:val="single" w:color="auto" w:sz="2" w:space="0"/>
              <w:right w:val="single" w:color="auto" w:sz="2" w:space="0"/>
            </w:tcBorders>
            <w:noWrap w:val="0"/>
            <w:vAlign w:val="center"/>
          </w:tcPr>
          <w:p w14:paraId="617C19D8">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8464E64">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第15.4款</w:t>
            </w:r>
          </w:p>
        </w:tc>
        <w:tc>
          <w:tcPr>
            <w:tcW w:w="1852" w:type="dxa"/>
            <w:tcBorders>
              <w:left w:val="single" w:color="auto" w:sz="2" w:space="0"/>
              <w:bottom w:val="single" w:color="auto" w:sz="2" w:space="0"/>
              <w:right w:val="single" w:color="auto" w:sz="2" w:space="0"/>
            </w:tcBorders>
            <w:noWrap w:val="0"/>
            <w:vAlign w:val="center"/>
          </w:tcPr>
          <w:p w14:paraId="3186E514">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其他违约责任</w:t>
            </w:r>
          </w:p>
        </w:tc>
        <w:tc>
          <w:tcPr>
            <w:tcW w:w="5499" w:type="dxa"/>
            <w:tcBorders>
              <w:left w:val="single" w:color="auto" w:sz="2" w:space="0"/>
              <w:bottom w:val="single" w:color="auto" w:sz="2" w:space="0"/>
            </w:tcBorders>
            <w:noWrap w:val="0"/>
            <w:vAlign w:val="center"/>
          </w:tcPr>
          <w:p w14:paraId="1401D40C">
            <w:pPr>
              <w:adjustRightInd w:val="0"/>
              <w:snapToGrid w:val="0"/>
              <w:spacing w:line="240" w:lineRule="auto"/>
              <w:jc w:val="left"/>
              <w:rPr>
                <w:rFonts w:hint="eastAsia" w:ascii="仿宋" w:hAnsi="仿宋" w:eastAsia="仿宋" w:cs="仿宋"/>
                <w:sz w:val="21"/>
                <w:szCs w:val="21"/>
                <w:highlight w:val="none"/>
                <w:u w:val="single"/>
              </w:rPr>
            </w:pPr>
          </w:p>
        </w:tc>
      </w:tr>
      <w:tr w14:paraId="2DFBB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tcBorders>
              <w:top w:val="single" w:color="auto" w:sz="2" w:space="0"/>
              <w:right w:val="single" w:color="auto" w:sz="2" w:space="0"/>
            </w:tcBorders>
            <w:noWrap w:val="0"/>
            <w:vAlign w:val="center"/>
          </w:tcPr>
          <w:p w14:paraId="164C74CE">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38D658BA">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第19.2款</w:t>
            </w:r>
          </w:p>
        </w:tc>
        <w:tc>
          <w:tcPr>
            <w:tcW w:w="1852" w:type="dxa"/>
            <w:tcBorders>
              <w:top w:val="single" w:color="auto" w:sz="2" w:space="0"/>
              <w:left w:val="single" w:color="auto" w:sz="2" w:space="0"/>
              <w:right w:val="single" w:color="auto" w:sz="2" w:space="0"/>
            </w:tcBorders>
            <w:noWrap w:val="0"/>
            <w:vAlign w:val="center"/>
          </w:tcPr>
          <w:p w14:paraId="1F3DD571">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解决争议的方法</w:t>
            </w:r>
          </w:p>
        </w:tc>
        <w:tc>
          <w:tcPr>
            <w:tcW w:w="5499" w:type="dxa"/>
            <w:tcBorders>
              <w:top w:val="single" w:color="auto" w:sz="2" w:space="0"/>
              <w:left w:val="single" w:color="auto" w:sz="2" w:space="0"/>
            </w:tcBorders>
            <w:noWrap w:val="0"/>
            <w:vAlign w:val="center"/>
          </w:tcPr>
          <w:p w14:paraId="345DC257">
            <w:pPr>
              <w:autoSpaceDE w:val="0"/>
              <w:autoSpaceDN w:val="0"/>
              <w:adjustRightInd w:val="0"/>
              <w:snapToGrid w:val="0"/>
              <w:spacing w:line="240" w:lineRule="auto"/>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因本合同及合同有关事项发生的争议，按下列第</w:t>
            </w:r>
            <w:r>
              <w:rPr>
                <w:rFonts w:hint="eastAsia" w:ascii="仿宋" w:hAnsi="仿宋" w:eastAsia="仿宋" w:cs="仿宋"/>
                <w:iCs/>
                <w:sz w:val="21"/>
                <w:szCs w:val="21"/>
                <w:highlight w:val="none"/>
                <w:u w:val="single"/>
              </w:rPr>
              <w:t>（2）</w:t>
            </w:r>
            <w:r>
              <w:rPr>
                <w:rFonts w:hint="eastAsia" w:ascii="仿宋" w:hAnsi="仿宋" w:eastAsia="仿宋" w:cs="仿宋"/>
                <w:iCs/>
                <w:sz w:val="21"/>
                <w:szCs w:val="21"/>
                <w:highlight w:val="none"/>
              </w:rPr>
              <w:t>种方式解决：</w:t>
            </w:r>
          </w:p>
          <w:p w14:paraId="065B57D8">
            <w:pPr>
              <w:autoSpaceDE w:val="0"/>
              <w:autoSpaceDN w:val="0"/>
              <w:adjustRightInd w:val="0"/>
              <w:snapToGrid w:val="0"/>
              <w:spacing w:line="240" w:lineRule="auto"/>
              <w:jc w:val="left"/>
              <w:rPr>
                <w:rFonts w:hint="eastAsia" w:ascii="仿宋" w:hAnsi="仿宋" w:eastAsia="仿宋" w:cs="仿宋"/>
                <w:iCs/>
                <w:sz w:val="21"/>
                <w:szCs w:val="21"/>
                <w:highlight w:val="none"/>
              </w:rPr>
            </w:pPr>
            <w:r>
              <w:rPr>
                <w:rFonts w:hint="eastAsia" w:ascii="仿宋" w:hAnsi="仿宋" w:eastAsia="仿宋" w:cs="仿宋"/>
                <w:iCs/>
                <w:sz w:val="21"/>
                <w:szCs w:val="21"/>
                <w:highlight w:val="none"/>
              </w:rPr>
              <w:t>（1）向</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仲裁委员会申请仲裁，仲裁地点为</w:t>
            </w:r>
            <w:r>
              <w:rPr>
                <w:rFonts w:hint="eastAsia" w:ascii="仿宋" w:hAnsi="仿宋" w:eastAsia="仿宋" w:cs="仿宋"/>
                <w:iCs/>
                <w:sz w:val="21"/>
                <w:szCs w:val="21"/>
                <w:highlight w:val="none"/>
                <w:u w:val="single"/>
              </w:rPr>
              <w:t xml:space="preserve">           </w:t>
            </w:r>
            <w:r>
              <w:rPr>
                <w:rFonts w:hint="eastAsia" w:ascii="仿宋" w:hAnsi="仿宋" w:eastAsia="仿宋" w:cs="仿宋"/>
                <w:iCs/>
                <w:sz w:val="21"/>
                <w:szCs w:val="21"/>
                <w:highlight w:val="none"/>
              </w:rPr>
              <w:t>；</w:t>
            </w:r>
          </w:p>
          <w:p w14:paraId="476FC631">
            <w:pPr>
              <w:adjustRightInd w:val="0"/>
              <w:snapToGrid w:val="0"/>
              <w:spacing w:line="240" w:lineRule="auto"/>
              <w:jc w:val="left"/>
              <w:rPr>
                <w:rFonts w:hint="eastAsia" w:ascii="仿宋" w:hAnsi="仿宋" w:eastAsia="仿宋" w:cs="仿宋"/>
                <w:sz w:val="21"/>
                <w:szCs w:val="21"/>
                <w:highlight w:val="none"/>
                <w:u w:val="single"/>
              </w:rPr>
            </w:pPr>
            <w:r>
              <w:rPr>
                <w:rFonts w:hint="eastAsia" w:ascii="仿宋" w:hAnsi="仿宋" w:eastAsia="仿宋" w:cs="仿宋"/>
                <w:iCs/>
                <w:sz w:val="21"/>
                <w:szCs w:val="21"/>
                <w:highlight w:val="none"/>
              </w:rPr>
              <w:t>（2）向</w:t>
            </w:r>
            <w:r>
              <w:rPr>
                <w:rFonts w:hint="eastAsia" w:ascii="仿宋" w:hAnsi="仿宋" w:eastAsia="仿宋" w:cs="仿宋"/>
                <w:iCs/>
                <w:sz w:val="21"/>
                <w:szCs w:val="21"/>
                <w:highlight w:val="none"/>
                <w:u w:val="single"/>
              </w:rPr>
              <w:t>甲方(采购人)所在地有管辖权的</w:t>
            </w:r>
            <w:r>
              <w:rPr>
                <w:rFonts w:hint="eastAsia" w:ascii="仿宋" w:hAnsi="仿宋" w:eastAsia="仿宋" w:cs="仿宋"/>
                <w:iCs/>
                <w:sz w:val="21"/>
                <w:szCs w:val="21"/>
                <w:highlight w:val="none"/>
              </w:rPr>
              <w:t>人民法院起诉。</w:t>
            </w:r>
          </w:p>
        </w:tc>
      </w:tr>
      <w:tr w14:paraId="1CF95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06" w:type="dxa"/>
            <w:noWrap w:val="0"/>
            <w:vAlign w:val="center"/>
          </w:tcPr>
          <w:p w14:paraId="0268F16B">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第二节</w:t>
            </w:r>
          </w:p>
          <w:p w14:paraId="6A1FC6A0">
            <w:pPr>
              <w:adjustRightInd w:val="0"/>
              <w:snapToGrid w:val="0"/>
              <w:spacing w:line="24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第23.1款</w:t>
            </w:r>
          </w:p>
        </w:tc>
        <w:tc>
          <w:tcPr>
            <w:tcW w:w="1852" w:type="dxa"/>
            <w:noWrap w:val="0"/>
            <w:vAlign w:val="center"/>
          </w:tcPr>
          <w:p w14:paraId="49B425CA">
            <w:pPr>
              <w:adjustRightInd w:val="0"/>
              <w:snapToGrid w:val="0"/>
              <w:spacing w:line="240" w:lineRule="auto"/>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其他专用条款</w:t>
            </w:r>
          </w:p>
        </w:tc>
        <w:tc>
          <w:tcPr>
            <w:tcW w:w="5499" w:type="dxa"/>
            <w:noWrap w:val="0"/>
            <w:vAlign w:val="center"/>
          </w:tcPr>
          <w:p w14:paraId="4C49CEA6">
            <w:pPr>
              <w:adjustRightInd w:val="0"/>
              <w:snapToGrid w:val="0"/>
              <w:spacing w:line="240" w:lineRule="auto"/>
              <w:jc w:val="left"/>
              <w:rPr>
                <w:rFonts w:hint="eastAsia" w:ascii="仿宋" w:hAnsi="仿宋" w:eastAsia="仿宋" w:cs="仿宋"/>
                <w:sz w:val="21"/>
                <w:szCs w:val="21"/>
                <w:highlight w:val="none"/>
              </w:rPr>
            </w:pPr>
          </w:p>
        </w:tc>
      </w:tr>
    </w:tbl>
    <w:p w14:paraId="796694C3">
      <w:pPr>
        <w:rPr>
          <w:rFonts w:hint="eastAsia" w:ascii="仿宋" w:hAnsi="仿宋" w:eastAsia="仿宋" w:cs="仿宋"/>
          <w:sz w:val="24"/>
          <w:szCs w:val="24"/>
          <w:highlight w:val="none"/>
        </w:rPr>
      </w:pPr>
    </w:p>
    <w:p w14:paraId="7FD4AE5F">
      <w:pPr>
        <w:pStyle w:val="32"/>
        <w:rPr>
          <w:rFonts w:hint="eastAsia" w:ascii="仿宋" w:hAnsi="仿宋" w:eastAsia="仿宋" w:cs="仿宋"/>
          <w:b/>
          <w:sz w:val="24"/>
          <w:szCs w:val="24"/>
          <w:highlight w:val="none"/>
          <w:u w:val="single"/>
        </w:rPr>
      </w:pPr>
    </w:p>
    <w:p w14:paraId="190CBC89">
      <w:pPr>
        <w:pStyle w:val="32"/>
        <w:rPr>
          <w:rFonts w:hint="eastAsia" w:ascii="仿宋" w:hAnsi="仿宋" w:eastAsia="仿宋" w:cs="仿宋"/>
          <w:b/>
          <w:sz w:val="24"/>
          <w:szCs w:val="24"/>
          <w:highlight w:val="none"/>
          <w:u w:val="single"/>
        </w:rPr>
      </w:pPr>
    </w:p>
    <w:p w14:paraId="0FFBB708">
      <w:pPr>
        <w:pStyle w:val="32"/>
        <w:rPr>
          <w:rFonts w:hint="eastAsia" w:ascii="仿宋" w:hAnsi="仿宋" w:eastAsia="仿宋" w:cs="仿宋"/>
          <w:b/>
          <w:sz w:val="28"/>
          <w:highlight w:val="none"/>
          <w:u w:val="single"/>
        </w:rPr>
      </w:pPr>
    </w:p>
    <w:p w14:paraId="5C95D581">
      <w:pPr>
        <w:keepNext w:val="0"/>
        <w:keepLines w:val="0"/>
        <w:pageBreakBefore/>
        <w:widowControl w:val="0"/>
        <w:kinsoku/>
        <w:wordWrap/>
        <w:overflowPunct/>
        <w:topLinePunct w:val="0"/>
        <w:bidi w:val="0"/>
        <w:snapToGrid w:val="0"/>
        <w:spacing w:line="360" w:lineRule="auto"/>
        <w:jc w:val="center"/>
        <w:textAlignment w:val="auto"/>
        <w:outlineLvl w:val="0"/>
        <w:rPr>
          <w:rFonts w:hint="eastAsia" w:ascii="仿宋" w:hAnsi="仿宋" w:eastAsia="仿宋" w:cs="仿宋"/>
          <w:b/>
          <w:bCs/>
          <w:sz w:val="32"/>
          <w:szCs w:val="32"/>
          <w:highlight w:val="none"/>
          <w:lang w:val="zh-CN"/>
        </w:rPr>
      </w:pPr>
      <w:bookmarkStart w:id="89" w:name="_Toc5311"/>
      <w:bookmarkStart w:id="90" w:name="_Toc14661"/>
      <w:bookmarkStart w:id="91" w:name="_Toc23265"/>
      <w:bookmarkStart w:id="92" w:name="_Toc909"/>
      <w:bookmarkStart w:id="93" w:name="_Toc45033361"/>
      <w:bookmarkStart w:id="94" w:name="_Toc10084"/>
      <w:bookmarkStart w:id="95" w:name="_Toc13287"/>
      <w:bookmarkStart w:id="96" w:name="_Toc12262"/>
      <w:bookmarkStart w:id="97" w:name="_Toc19978"/>
      <w:bookmarkStart w:id="98" w:name="_Toc26957"/>
      <w:bookmarkStart w:id="99" w:name="_Toc25524"/>
      <w:r>
        <w:rPr>
          <w:rFonts w:hint="eastAsia" w:ascii="仿宋" w:hAnsi="仿宋" w:eastAsia="仿宋" w:cs="仿宋"/>
          <w:b/>
          <w:bCs/>
          <w:sz w:val="32"/>
          <w:szCs w:val="32"/>
          <w:highlight w:val="none"/>
          <w:lang w:val="zh-CN"/>
        </w:rPr>
        <w:t>第六章  投标文件格式</w:t>
      </w:r>
      <w:bookmarkEnd w:id="89"/>
      <w:bookmarkEnd w:id="90"/>
      <w:bookmarkEnd w:id="91"/>
      <w:bookmarkEnd w:id="92"/>
      <w:bookmarkEnd w:id="93"/>
      <w:bookmarkEnd w:id="94"/>
      <w:bookmarkEnd w:id="95"/>
      <w:bookmarkEnd w:id="96"/>
      <w:bookmarkEnd w:id="97"/>
      <w:bookmarkEnd w:id="98"/>
      <w:bookmarkEnd w:id="99"/>
    </w:p>
    <w:p w14:paraId="62F34D44">
      <w:pPr>
        <w:spacing w:line="360" w:lineRule="auto"/>
        <w:jc w:val="center"/>
        <w:rPr>
          <w:rFonts w:hint="eastAsia" w:ascii="仿宋" w:hAnsi="仿宋" w:eastAsia="仿宋" w:cs="仿宋"/>
          <w:b/>
          <w:sz w:val="28"/>
          <w:szCs w:val="28"/>
          <w:highlight w:val="none"/>
        </w:rPr>
      </w:pPr>
    </w:p>
    <w:p w14:paraId="49A83B93">
      <w:pPr>
        <w:pStyle w:val="6"/>
        <w:rPr>
          <w:rFonts w:hint="eastAsia"/>
          <w:highlight w:val="none"/>
        </w:rPr>
      </w:pPr>
    </w:p>
    <w:p w14:paraId="15DACB5F">
      <w:pPr>
        <w:spacing w:line="480" w:lineRule="auto"/>
        <w:jc w:val="center"/>
        <w:rPr>
          <w:rFonts w:hint="eastAsia" w:ascii="仿宋" w:hAnsi="仿宋" w:eastAsia="仿宋" w:cs="仿宋"/>
          <w:sz w:val="28"/>
          <w:szCs w:val="28"/>
          <w:highlight w:val="none"/>
        </w:rPr>
      </w:pPr>
    </w:p>
    <w:p w14:paraId="124FE949">
      <w:pPr>
        <w:pStyle w:val="6"/>
        <w:rPr>
          <w:rFonts w:hint="eastAsia"/>
          <w:highlight w:val="none"/>
        </w:rPr>
      </w:pPr>
    </w:p>
    <w:p w14:paraId="116F55AF">
      <w:pPr>
        <w:spacing w:line="48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100" w:name="_Toc16121"/>
      <w:bookmarkStart w:id="101" w:name="_Toc12032"/>
      <w:bookmarkStart w:id="102" w:name="_Toc13452"/>
      <w:bookmarkStart w:id="103" w:name="_Toc17827"/>
      <w:bookmarkStart w:id="104" w:name="_Toc9049"/>
      <w:bookmarkStart w:id="105" w:name="_Toc4606"/>
      <w:bookmarkStart w:id="106" w:name="_Toc8744"/>
      <w:bookmarkStart w:id="107" w:name="_Toc12819"/>
      <w:r>
        <w:rPr>
          <w:rFonts w:hint="eastAsia" w:ascii="仿宋" w:hAnsi="仿宋" w:eastAsia="仿宋" w:cs="仿宋"/>
          <w:sz w:val="28"/>
          <w:szCs w:val="28"/>
          <w:highlight w:val="none"/>
        </w:rPr>
        <w:t>（项目名称）</w:t>
      </w:r>
      <w:bookmarkEnd w:id="100"/>
      <w:bookmarkEnd w:id="101"/>
      <w:bookmarkEnd w:id="102"/>
      <w:bookmarkEnd w:id="103"/>
      <w:bookmarkEnd w:id="104"/>
      <w:bookmarkEnd w:id="105"/>
      <w:bookmarkEnd w:id="106"/>
      <w:bookmarkEnd w:id="107"/>
    </w:p>
    <w:p w14:paraId="103C812D">
      <w:pPr>
        <w:spacing w:line="480" w:lineRule="auto"/>
        <w:jc w:val="center"/>
        <w:rPr>
          <w:rFonts w:hint="eastAsia" w:ascii="仿宋" w:hAnsi="仿宋" w:eastAsia="仿宋" w:cs="仿宋"/>
          <w:sz w:val="52"/>
          <w:szCs w:val="5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bookmarkStart w:id="108" w:name="_Toc23994"/>
      <w:bookmarkStart w:id="109" w:name="_Toc2111"/>
      <w:bookmarkStart w:id="110" w:name="_Toc8452"/>
      <w:bookmarkStart w:id="111" w:name="_Toc14205"/>
      <w:bookmarkStart w:id="112" w:name="_Toc22832"/>
      <w:bookmarkStart w:id="113" w:name="_Toc24830"/>
      <w:bookmarkStart w:id="114" w:name="_Toc1324"/>
      <w:bookmarkStart w:id="115" w:name="_Toc851"/>
      <w:r>
        <w:rPr>
          <w:rFonts w:hint="eastAsia" w:ascii="仿宋" w:hAnsi="仿宋" w:eastAsia="仿宋" w:cs="仿宋"/>
          <w:sz w:val="28"/>
          <w:szCs w:val="28"/>
          <w:highlight w:val="none"/>
        </w:rPr>
        <w:t>（项目编号）</w:t>
      </w:r>
      <w:bookmarkEnd w:id="108"/>
      <w:bookmarkEnd w:id="109"/>
      <w:bookmarkEnd w:id="110"/>
      <w:bookmarkEnd w:id="111"/>
      <w:bookmarkEnd w:id="112"/>
      <w:bookmarkEnd w:id="113"/>
      <w:bookmarkEnd w:id="114"/>
      <w:bookmarkEnd w:id="115"/>
    </w:p>
    <w:p w14:paraId="217E1114">
      <w:pPr>
        <w:spacing w:line="360" w:lineRule="auto"/>
        <w:jc w:val="center"/>
        <w:rPr>
          <w:rFonts w:hint="eastAsia" w:ascii="仿宋" w:hAnsi="仿宋" w:eastAsia="仿宋" w:cs="仿宋"/>
          <w:sz w:val="52"/>
          <w:szCs w:val="52"/>
          <w:highlight w:val="none"/>
        </w:rPr>
      </w:pPr>
    </w:p>
    <w:p w14:paraId="7D97239B">
      <w:pPr>
        <w:pStyle w:val="6"/>
        <w:rPr>
          <w:rFonts w:hint="eastAsia"/>
          <w:highlight w:val="none"/>
        </w:rPr>
      </w:pPr>
    </w:p>
    <w:p w14:paraId="78E5D57F">
      <w:pPr>
        <w:pStyle w:val="6"/>
        <w:rPr>
          <w:rFonts w:hint="eastAsia"/>
          <w:highlight w:val="none"/>
        </w:rPr>
      </w:pPr>
    </w:p>
    <w:p w14:paraId="61429C1F">
      <w:pPr>
        <w:spacing w:line="360" w:lineRule="auto"/>
        <w:jc w:val="center"/>
        <w:rPr>
          <w:rFonts w:hint="eastAsia" w:ascii="仿宋" w:hAnsi="仿宋" w:eastAsia="仿宋" w:cs="仿宋"/>
          <w:b/>
          <w:bCs/>
          <w:sz w:val="56"/>
          <w:szCs w:val="56"/>
          <w:highlight w:val="none"/>
          <w:lang w:val="zh-CN"/>
        </w:rPr>
      </w:pPr>
      <w:bookmarkStart w:id="116" w:name="_Toc10589"/>
      <w:bookmarkStart w:id="117" w:name="_Toc17404"/>
      <w:bookmarkStart w:id="118" w:name="_Toc28776"/>
      <w:bookmarkStart w:id="119" w:name="_Toc31295"/>
      <w:bookmarkStart w:id="120" w:name="_Toc10979"/>
      <w:bookmarkStart w:id="121" w:name="_Toc16711"/>
      <w:bookmarkStart w:id="122" w:name="_Toc3128"/>
      <w:r>
        <w:rPr>
          <w:rFonts w:hint="eastAsia" w:ascii="仿宋" w:hAnsi="仿宋" w:eastAsia="仿宋" w:cs="仿宋"/>
          <w:b/>
          <w:bCs/>
          <w:sz w:val="56"/>
          <w:szCs w:val="56"/>
          <w:highlight w:val="none"/>
        </w:rPr>
        <w:t>投标</w:t>
      </w:r>
      <w:r>
        <w:rPr>
          <w:rFonts w:hint="eastAsia" w:ascii="仿宋" w:hAnsi="仿宋" w:eastAsia="仿宋" w:cs="仿宋"/>
          <w:b/>
          <w:bCs/>
          <w:sz w:val="56"/>
          <w:szCs w:val="56"/>
          <w:highlight w:val="none"/>
          <w:lang w:val="zh-CN"/>
        </w:rPr>
        <w:t>文件</w:t>
      </w:r>
      <w:bookmarkEnd w:id="116"/>
      <w:bookmarkEnd w:id="117"/>
      <w:bookmarkEnd w:id="118"/>
      <w:bookmarkEnd w:id="119"/>
      <w:bookmarkEnd w:id="120"/>
      <w:bookmarkEnd w:id="121"/>
      <w:bookmarkEnd w:id="122"/>
    </w:p>
    <w:p w14:paraId="56F139A1">
      <w:pPr>
        <w:pStyle w:val="6"/>
        <w:ind w:firstLine="560"/>
        <w:rPr>
          <w:rFonts w:hint="eastAsia" w:ascii="仿宋" w:hAnsi="仿宋" w:eastAsia="仿宋" w:cs="仿宋"/>
          <w:sz w:val="28"/>
          <w:szCs w:val="28"/>
          <w:highlight w:val="none"/>
          <w:lang w:val="zh-CN"/>
        </w:rPr>
      </w:pPr>
    </w:p>
    <w:p w14:paraId="3B66E90E">
      <w:pPr>
        <w:pStyle w:val="6"/>
        <w:ind w:firstLine="560"/>
        <w:rPr>
          <w:rFonts w:hint="eastAsia" w:ascii="仿宋" w:hAnsi="仿宋" w:eastAsia="仿宋" w:cs="仿宋"/>
          <w:sz w:val="28"/>
          <w:szCs w:val="28"/>
          <w:highlight w:val="none"/>
          <w:lang w:val="zh-CN"/>
        </w:rPr>
      </w:pPr>
    </w:p>
    <w:p w14:paraId="5AA44231">
      <w:pPr>
        <w:rPr>
          <w:rFonts w:hint="eastAsia" w:ascii="仿宋" w:hAnsi="仿宋" w:eastAsia="仿宋" w:cs="仿宋"/>
          <w:sz w:val="28"/>
          <w:szCs w:val="28"/>
          <w:highlight w:val="none"/>
          <w:lang w:val="zh-CN"/>
        </w:rPr>
      </w:pPr>
    </w:p>
    <w:p w14:paraId="137A8479">
      <w:pPr>
        <w:pStyle w:val="6"/>
        <w:ind w:firstLine="560"/>
        <w:rPr>
          <w:rFonts w:hint="eastAsia" w:ascii="仿宋" w:hAnsi="仿宋" w:eastAsia="仿宋" w:cs="仿宋"/>
          <w:sz w:val="28"/>
          <w:szCs w:val="28"/>
          <w:highlight w:val="none"/>
          <w:lang w:val="zh-CN"/>
        </w:rPr>
      </w:pPr>
    </w:p>
    <w:p w14:paraId="07A5C3E4">
      <w:pPr>
        <w:rPr>
          <w:rFonts w:hint="eastAsia" w:ascii="仿宋" w:hAnsi="仿宋" w:eastAsia="仿宋" w:cs="仿宋"/>
          <w:sz w:val="28"/>
          <w:szCs w:val="28"/>
          <w:highlight w:val="none"/>
          <w:lang w:val="zh-CN"/>
        </w:rPr>
      </w:pPr>
    </w:p>
    <w:p w14:paraId="21C04941">
      <w:pPr>
        <w:pStyle w:val="6"/>
        <w:ind w:firstLine="560"/>
        <w:rPr>
          <w:rFonts w:hint="eastAsia" w:ascii="仿宋" w:hAnsi="仿宋" w:eastAsia="仿宋" w:cs="仿宋"/>
          <w:sz w:val="28"/>
          <w:szCs w:val="28"/>
          <w:highlight w:val="none"/>
          <w:lang w:val="zh-CN"/>
        </w:rPr>
      </w:pPr>
    </w:p>
    <w:p w14:paraId="03345F47">
      <w:pPr>
        <w:rPr>
          <w:rFonts w:hint="eastAsia"/>
          <w:highlight w:val="none"/>
          <w:lang w:val="zh-CN"/>
        </w:rPr>
      </w:pPr>
    </w:p>
    <w:p w14:paraId="014A2B76">
      <w:pPr>
        <w:rPr>
          <w:rFonts w:hint="eastAsia"/>
          <w:highlight w:val="none"/>
          <w:lang w:val="zh-CN"/>
        </w:rPr>
      </w:pPr>
    </w:p>
    <w:p w14:paraId="1D98C73C">
      <w:pPr>
        <w:rPr>
          <w:rFonts w:hint="eastAsia" w:ascii="仿宋" w:hAnsi="仿宋" w:eastAsia="仿宋" w:cs="仿宋"/>
          <w:sz w:val="28"/>
          <w:szCs w:val="28"/>
          <w:highlight w:val="none"/>
          <w:lang w:val="zh-CN"/>
        </w:rPr>
      </w:pPr>
      <w:bookmarkStart w:id="123" w:name="_Toc16234"/>
      <w:bookmarkStart w:id="124" w:name="_Toc24163"/>
      <w:bookmarkStart w:id="125" w:name="_Toc21526"/>
      <w:bookmarkStart w:id="126" w:name="_Toc12958"/>
      <w:bookmarkStart w:id="127" w:name="_Toc12654"/>
      <w:bookmarkStart w:id="128" w:name="_Toc21827"/>
      <w:bookmarkStart w:id="129" w:name="_Toc20610"/>
      <w:bookmarkStart w:id="130" w:name="_Toc25109"/>
      <w:r>
        <w:rPr>
          <w:rFonts w:hint="eastAsia" w:ascii="仿宋" w:hAnsi="仿宋" w:eastAsia="仿宋" w:cs="仿宋"/>
          <w:sz w:val="28"/>
          <w:szCs w:val="28"/>
          <w:highlight w:val="none"/>
          <w:lang w:val="zh-CN"/>
        </w:rPr>
        <w:t>供应商全称</w:t>
      </w:r>
      <w:r>
        <w:rPr>
          <w:rFonts w:hint="eastAsia" w:ascii="仿宋" w:hAnsi="仿宋" w:eastAsia="仿宋" w:cs="仿宋"/>
          <w:sz w:val="28"/>
          <w:szCs w:val="28"/>
          <w:highlight w:val="none"/>
        </w:rPr>
        <w:t xml:space="preserve"> (盖章)</w:t>
      </w:r>
      <w:r>
        <w:rPr>
          <w:rFonts w:hint="eastAsia" w:ascii="仿宋" w:hAnsi="仿宋" w:eastAsia="仿宋" w:cs="仿宋"/>
          <w:sz w:val="28"/>
          <w:szCs w:val="28"/>
          <w:highlight w:val="none"/>
          <w:lang w:val="zh-CN"/>
        </w:rPr>
        <w:t>：</w:t>
      </w:r>
      <w:bookmarkEnd w:id="123"/>
      <w:bookmarkEnd w:id="124"/>
      <w:bookmarkEnd w:id="125"/>
      <w:bookmarkEnd w:id="126"/>
      <w:bookmarkEnd w:id="127"/>
      <w:bookmarkEnd w:id="128"/>
      <w:bookmarkEnd w:id="129"/>
      <w:bookmarkEnd w:id="130"/>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14:paraId="0B41B2E2">
      <w:pPr>
        <w:pStyle w:val="6"/>
        <w:ind w:firstLine="560"/>
        <w:rPr>
          <w:rFonts w:hint="eastAsia" w:ascii="仿宋" w:hAnsi="仿宋" w:eastAsia="仿宋" w:cs="仿宋"/>
          <w:sz w:val="28"/>
          <w:szCs w:val="28"/>
          <w:highlight w:val="none"/>
          <w:lang w:val="zh-CN"/>
        </w:rPr>
      </w:pPr>
    </w:p>
    <w:p w14:paraId="7621CED7">
      <w:pPr>
        <w:rPr>
          <w:rFonts w:hint="eastAsia" w:ascii="仿宋" w:hAnsi="仿宋" w:eastAsia="仿宋" w:cs="仿宋"/>
          <w:sz w:val="28"/>
          <w:szCs w:val="28"/>
          <w:highlight w:val="none"/>
        </w:rPr>
      </w:pPr>
      <w:bookmarkStart w:id="131" w:name="_Toc17863"/>
      <w:bookmarkStart w:id="132" w:name="_Toc17806"/>
      <w:bookmarkStart w:id="133" w:name="_Toc22883"/>
      <w:bookmarkStart w:id="134" w:name="_Toc2489"/>
      <w:bookmarkStart w:id="135" w:name="_Toc16718"/>
      <w:bookmarkStart w:id="136" w:name="_Toc19557"/>
      <w:bookmarkStart w:id="137" w:name="_Toc31976"/>
      <w:bookmarkStart w:id="138" w:name="_Toc10632"/>
      <w:r>
        <w:rPr>
          <w:rFonts w:hint="eastAsia" w:ascii="仿宋" w:hAnsi="仿宋" w:eastAsia="仿宋" w:cs="仿宋"/>
          <w:sz w:val="28"/>
          <w:szCs w:val="28"/>
          <w:highlight w:val="none"/>
          <w:lang w:val="zh-CN"/>
        </w:rPr>
        <w:t>法定代表人或授权代表(</w:t>
      </w:r>
      <w:r>
        <w:rPr>
          <w:rFonts w:hint="eastAsia" w:ascii="仿宋" w:hAnsi="仿宋" w:eastAsia="仿宋" w:cs="仿宋"/>
          <w:sz w:val="28"/>
          <w:szCs w:val="28"/>
          <w:highlight w:val="none"/>
          <w:lang w:val="en-US" w:eastAsia="zh-CN"/>
        </w:rPr>
        <w:t>签字或盖章</w:t>
      </w:r>
      <w:r>
        <w:rPr>
          <w:rFonts w:hint="eastAsia" w:ascii="仿宋" w:hAnsi="仿宋" w:eastAsia="仿宋" w:cs="仿宋"/>
          <w:sz w:val="28"/>
          <w:szCs w:val="28"/>
          <w:highlight w:val="none"/>
          <w:lang w:val="zh-CN"/>
        </w:rPr>
        <w:t>):</w:t>
      </w:r>
      <w:bookmarkEnd w:id="131"/>
      <w:bookmarkEnd w:id="132"/>
      <w:bookmarkEnd w:id="133"/>
      <w:bookmarkEnd w:id="134"/>
      <w:bookmarkEnd w:id="135"/>
      <w:bookmarkEnd w:id="136"/>
      <w:bookmarkEnd w:id="137"/>
      <w:bookmarkEnd w:id="138"/>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5CAB0E7F">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46B8772">
      <w:pPr>
        <w:rPr>
          <w:rFonts w:hint="eastAsia" w:ascii="仿宋" w:hAnsi="仿宋" w:eastAsia="仿宋" w:cs="仿宋"/>
          <w:sz w:val="28"/>
          <w:szCs w:val="28"/>
          <w:highlight w:val="none"/>
        </w:rPr>
      </w:pPr>
      <w:bookmarkStart w:id="139" w:name="_Toc11845"/>
      <w:bookmarkStart w:id="140" w:name="_Toc22428"/>
      <w:bookmarkStart w:id="141" w:name="_Toc3470"/>
      <w:bookmarkStart w:id="142" w:name="_Toc6088"/>
      <w:bookmarkStart w:id="143" w:name="_Toc5670"/>
      <w:bookmarkStart w:id="144" w:name="_Toc16083"/>
      <w:bookmarkStart w:id="145" w:name="_Toc16793"/>
      <w:bookmarkStart w:id="146" w:name="_Toc12443"/>
      <w:r>
        <w:rPr>
          <w:rFonts w:hint="eastAsia" w:ascii="仿宋" w:hAnsi="仿宋" w:eastAsia="仿宋" w:cs="仿宋"/>
          <w:sz w:val="28"/>
          <w:szCs w:val="28"/>
          <w:highlight w:val="none"/>
        </w:rPr>
        <w:t>联系电话：</w:t>
      </w:r>
      <w:bookmarkEnd w:id="139"/>
      <w:bookmarkEnd w:id="140"/>
      <w:bookmarkEnd w:id="141"/>
      <w:bookmarkEnd w:id="142"/>
      <w:bookmarkEnd w:id="143"/>
      <w:bookmarkEnd w:id="144"/>
      <w:bookmarkEnd w:id="145"/>
      <w:bookmarkEnd w:id="146"/>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06ABB5AF">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03062365">
      <w:pPr>
        <w:rPr>
          <w:rFonts w:hint="eastAsia" w:ascii="仿宋" w:hAnsi="仿宋" w:eastAsia="仿宋" w:cs="仿宋"/>
          <w:sz w:val="28"/>
          <w:szCs w:val="28"/>
          <w:highlight w:val="none"/>
        </w:rPr>
      </w:pPr>
      <w:bookmarkStart w:id="147" w:name="_Toc29534"/>
      <w:bookmarkStart w:id="148" w:name="_Toc8203"/>
      <w:bookmarkStart w:id="149" w:name="_Toc1067"/>
      <w:bookmarkStart w:id="150" w:name="_Toc13531"/>
      <w:bookmarkStart w:id="151" w:name="_Toc14535"/>
      <w:bookmarkStart w:id="152" w:name="_Toc327"/>
      <w:bookmarkStart w:id="153" w:name="_Toc20221"/>
      <w:bookmarkStart w:id="154" w:name="_Toc12492"/>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地址：</w:t>
      </w:r>
      <w:bookmarkEnd w:id="147"/>
      <w:bookmarkEnd w:id="148"/>
      <w:bookmarkEnd w:id="149"/>
      <w:bookmarkEnd w:id="150"/>
      <w:bookmarkEnd w:id="151"/>
      <w:bookmarkEnd w:id="152"/>
      <w:bookmarkEnd w:id="153"/>
      <w:bookmarkEnd w:id="154"/>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p>
    <w:p w14:paraId="325DA01F">
      <w:pPr>
        <w:rPr>
          <w:rFonts w:hint="eastAsia" w:ascii="仿宋" w:hAnsi="仿宋" w:eastAsia="仿宋" w:cs="仿宋"/>
          <w:sz w:val="28"/>
          <w:szCs w:val="28"/>
          <w:highlight w:val="none"/>
        </w:rPr>
      </w:pPr>
    </w:p>
    <w:p w14:paraId="16C4DFE7">
      <w:pPr>
        <w:rPr>
          <w:rFonts w:hint="eastAsia" w:ascii="仿宋" w:hAnsi="仿宋" w:eastAsia="仿宋" w:cs="仿宋"/>
          <w:sz w:val="28"/>
          <w:szCs w:val="28"/>
          <w:highlight w:val="none"/>
        </w:rPr>
      </w:pPr>
      <w:bookmarkStart w:id="155" w:name="_Toc18778"/>
      <w:bookmarkStart w:id="156" w:name="_Toc20904"/>
      <w:bookmarkStart w:id="157" w:name="_Toc831"/>
      <w:bookmarkStart w:id="158" w:name="_Toc29446"/>
      <w:bookmarkStart w:id="159" w:name="_Toc16959"/>
      <w:bookmarkStart w:id="160" w:name="_Toc8896"/>
      <w:bookmarkStart w:id="161" w:name="_Toc26016"/>
      <w:bookmarkStart w:id="162" w:name="_Toc13059"/>
      <w:r>
        <w:rPr>
          <w:rFonts w:hint="eastAsia" w:ascii="仿宋" w:hAnsi="仿宋" w:eastAsia="仿宋" w:cs="仿宋"/>
          <w:sz w:val="28"/>
          <w:szCs w:val="28"/>
          <w:highlight w:val="none"/>
        </w:rPr>
        <w:t>编制时间：    年   月   日</w:t>
      </w:r>
      <w:bookmarkEnd w:id="155"/>
      <w:bookmarkEnd w:id="156"/>
      <w:bookmarkEnd w:id="157"/>
      <w:bookmarkEnd w:id="158"/>
      <w:bookmarkEnd w:id="159"/>
      <w:bookmarkEnd w:id="160"/>
      <w:bookmarkEnd w:id="161"/>
      <w:bookmarkEnd w:id="162"/>
      <w:r>
        <w:rPr>
          <w:rFonts w:hint="eastAsia" w:ascii="仿宋" w:hAnsi="仿宋" w:eastAsia="仿宋" w:cs="仿宋"/>
          <w:sz w:val="28"/>
          <w:szCs w:val="28"/>
          <w:highlight w:val="none"/>
        </w:rPr>
        <w:t xml:space="preserve"> </w:t>
      </w:r>
    </w:p>
    <w:p w14:paraId="7FA65769">
      <w:pPr>
        <w:pStyle w:val="18"/>
        <w:rPr>
          <w:highlight w:val="none"/>
        </w:rPr>
      </w:pPr>
    </w:p>
    <w:p w14:paraId="658E39EB">
      <w:pPr>
        <w:rPr>
          <w:highlight w:val="none"/>
        </w:rPr>
      </w:pPr>
    </w:p>
    <w:p w14:paraId="31C3EB19">
      <w:pPr>
        <w:pStyle w:val="14"/>
        <w:rPr>
          <w:highlight w:val="none"/>
        </w:rPr>
      </w:pPr>
    </w:p>
    <w:p w14:paraId="496B70C3">
      <w:pPr>
        <w:rPr>
          <w:rFonts w:hint="eastAsia"/>
          <w:highlight w:val="none"/>
        </w:rPr>
      </w:pPr>
    </w:p>
    <w:p w14:paraId="4BEF3A79">
      <w:pPr>
        <w:spacing w:line="360" w:lineRule="auto"/>
        <w:ind w:firstLine="482" w:firstLineChars="150"/>
        <w:jc w:val="center"/>
        <w:rPr>
          <w:rFonts w:hint="eastAsia" w:ascii="仿宋" w:hAnsi="仿宋" w:eastAsia="仿宋" w:cs="仿宋"/>
          <w:b/>
          <w:kern w:val="2"/>
          <w:sz w:val="32"/>
          <w:szCs w:val="32"/>
          <w:highlight w:val="none"/>
          <w:lang w:val="zh-CN"/>
        </w:rPr>
      </w:pPr>
      <w:bookmarkStart w:id="163" w:name="_Toc17164"/>
      <w:bookmarkStart w:id="164" w:name="_Toc8208"/>
      <w:bookmarkStart w:id="165" w:name="_Toc4705"/>
      <w:bookmarkStart w:id="166" w:name="_Toc7410"/>
      <w:bookmarkStart w:id="167" w:name="_Toc15094"/>
      <w:bookmarkStart w:id="168" w:name="_Toc5991"/>
      <w:bookmarkStart w:id="169" w:name="_Toc30316"/>
      <w:bookmarkStart w:id="170" w:name="_Toc3492"/>
      <w:r>
        <w:rPr>
          <w:rFonts w:hint="eastAsia" w:ascii="仿宋" w:hAnsi="仿宋" w:eastAsia="仿宋" w:cs="仿宋"/>
          <w:b/>
          <w:kern w:val="2"/>
          <w:sz w:val="32"/>
          <w:szCs w:val="32"/>
          <w:highlight w:val="none"/>
          <w:lang w:val="zh-CN"/>
        </w:rPr>
        <w:t>目  录</w:t>
      </w:r>
      <w:bookmarkEnd w:id="163"/>
      <w:bookmarkEnd w:id="164"/>
      <w:bookmarkEnd w:id="165"/>
      <w:bookmarkEnd w:id="166"/>
      <w:bookmarkEnd w:id="167"/>
      <w:bookmarkEnd w:id="168"/>
      <w:bookmarkEnd w:id="169"/>
      <w:bookmarkEnd w:id="170"/>
    </w:p>
    <w:p w14:paraId="1D9F208D">
      <w:pPr>
        <w:spacing w:line="360" w:lineRule="auto"/>
        <w:ind w:firstLine="361" w:firstLineChars="150"/>
        <w:rPr>
          <w:rFonts w:hint="eastAsia" w:ascii="仿宋" w:hAnsi="仿宋" w:eastAsia="仿宋" w:cs="仿宋"/>
          <w:b/>
          <w:kern w:val="2"/>
          <w:highlight w:val="none"/>
          <w:lang w:val="zh-CN"/>
        </w:rPr>
      </w:pPr>
    </w:p>
    <w:p w14:paraId="55ED3A07">
      <w:pPr>
        <w:spacing w:line="360" w:lineRule="auto"/>
        <w:ind w:firstLine="360" w:firstLineChars="150"/>
        <w:rPr>
          <w:rFonts w:hint="eastAsia" w:ascii="仿宋" w:hAnsi="仿宋" w:eastAsia="仿宋" w:cs="仿宋"/>
          <w:bCs/>
          <w:kern w:val="2"/>
          <w:highlight w:val="none"/>
          <w:lang w:val="zh-CN"/>
        </w:rPr>
      </w:pPr>
      <w:bookmarkStart w:id="171" w:name="_Toc1970"/>
      <w:bookmarkStart w:id="172" w:name="_Toc16896"/>
      <w:bookmarkStart w:id="173" w:name="_Toc30947"/>
      <w:bookmarkStart w:id="174" w:name="_Toc11613"/>
      <w:bookmarkStart w:id="175" w:name="_Toc3967"/>
      <w:bookmarkStart w:id="176" w:name="_Toc20376"/>
      <w:bookmarkStart w:id="177" w:name="_Toc27973"/>
      <w:bookmarkStart w:id="178" w:name="_Toc28262"/>
      <w:bookmarkStart w:id="179" w:name="_Toc7792"/>
      <w:bookmarkStart w:id="180" w:name="_Toc4965"/>
      <w:bookmarkStart w:id="181" w:name="_Toc13288"/>
      <w:bookmarkStart w:id="182" w:name="_Toc15030"/>
      <w:r>
        <w:rPr>
          <w:rFonts w:hint="eastAsia" w:ascii="仿宋" w:hAnsi="仿宋" w:eastAsia="仿宋" w:cs="仿宋"/>
          <w:bCs/>
          <w:kern w:val="2"/>
          <w:highlight w:val="none"/>
          <w:lang w:val="zh-CN"/>
        </w:rPr>
        <w:t>一、投标函</w:t>
      </w:r>
      <w:bookmarkEnd w:id="171"/>
      <w:bookmarkEnd w:id="172"/>
      <w:bookmarkEnd w:id="173"/>
      <w:bookmarkEnd w:id="174"/>
      <w:bookmarkEnd w:id="175"/>
      <w:bookmarkEnd w:id="176"/>
      <w:bookmarkEnd w:id="177"/>
      <w:bookmarkEnd w:id="178"/>
    </w:p>
    <w:p w14:paraId="0D30D8EE">
      <w:pPr>
        <w:spacing w:line="360" w:lineRule="auto"/>
        <w:ind w:firstLine="360" w:firstLineChars="150"/>
        <w:rPr>
          <w:rFonts w:hint="eastAsia" w:ascii="仿宋" w:hAnsi="仿宋" w:eastAsia="仿宋" w:cs="仿宋"/>
          <w:bCs/>
          <w:kern w:val="2"/>
          <w:highlight w:val="none"/>
          <w:lang w:val="zh-CN"/>
        </w:rPr>
      </w:pPr>
      <w:bookmarkStart w:id="183" w:name="_Toc11212"/>
      <w:bookmarkStart w:id="184" w:name="_Toc28"/>
      <w:bookmarkStart w:id="185" w:name="_Toc30200"/>
      <w:bookmarkStart w:id="186" w:name="_Toc17439"/>
      <w:bookmarkStart w:id="187" w:name="_Toc24357"/>
      <w:bookmarkStart w:id="188" w:name="_Toc31933"/>
      <w:bookmarkStart w:id="189" w:name="_Toc19961"/>
      <w:bookmarkStart w:id="190" w:name="_Toc16505"/>
      <w:r>
        <w:rPr>
          <w:rFonts w:hint="eastAsia" w:ascii="仿宋" w:hAnsi="仿宋" w:eastAsia="仿宋" w:cs="仿宋"/>
          <w:bCs/>
          <w:kern w:val="2"/>
          <w:highlight w:val="none"/>
          <w:lang w:val="zh-CN"/>
        </w:rPr>
        <w:t>二、法定代表人资格证明书及授权委托书</w:t>
      </w:r>
      <w:bookmarkEnd w:id="183"/>
      <w:bookmarkEnd w:id="184"/>
      <w:bookmarkEnd w:id="185"/>
      <w:bookmarkEnd w:id="186"/>
      <w:bookmarkEnd w:id="187"/>
      <w:bookmarkEnd w:id="188"/>
      <w:bookmarkEnd w:id="189"/>
      <w:bookmarkEnd w:id="190"/>
    </w:p>
    <w:p w14:paraId="74E7729D">
      <w:pPr>
        <w:spacing w:line="360" w:lineRule="auto"/>
        <w:ind w:firstLine="360" w:firstLineChars="150"/>
        <w:rPr>
          <w:rFonts w:hint="eastAsia" w:ascii="仿宋" w:hAnsi="仿宋" w:eastAsia="仿宋" w:cs="仿宋"/>
          <w:bCs/>
          <w:kern w:val="2"/>
          <w:highlight w:val="none"/>
          <w:lang w:val="zh-CN"/>
        </w:rPr>
      </w:pPr>
      <w:bookmarkStart w:id="191" w:name="_Toc17704"/>
      <w:bookmarkStart w:id="192" w:name="_Toc18766"/>
      <w:bookmarkStart w:id="193" w:name="_Toc30625"/>
      <w:bookmarkStart w:id="194" w:name="_Toc28309"/>
      <w:bookmarkStart w:id="195" w:name="_Toc22013"/>
      <w:bookmarkStart w:id="196" w:name="_Toc19648"/>
      <w:bookmarkStart w:id="197" w:name="_Toc26852"/>
      <w:bookmarkStart w:id="198" w:name="_Toc3818"/>
      <w:r>
        <w:rPr>
          <w:rFonts w:hint="eastAsia" w:ascii="仿宋" w:hAnsi="仿宋" w:eastAsia="仿宋" w:cs="仿宋"/>
          <w:bCs/>
          <w:kern w:val="2"/>
          <w:highlight w:val="none"/>
          <w:lang w:val="zh-CN"/>
        </w:rPr>
        <w:t>三、资格证明文件</w:t>
      </w:r>
      <w:bookmarkEnd w:id="191"/>
      <w:bookmarkEnd w:id="192"/>
      <w:bookmarkEnd w:id="193"/>
      <w:bookmarkEnd w:id="194"/>
      <w:bookmarkEnd w:id="195"/>
      <w:bookmarkEnd w:id="196"/>
      <w:bookmarkEnd w:id="197"/>
      <w:bookmarkEnd w:id="198"/>
    </w:p>
    <w:p w14:paraId="71AB79F5">
      <w:pPr>
        <w:spacing w:line="360" w:lineRule="auto"/>
        <w:ind w:firstLine="360" w:firstLineChars="150"/>
        <w:rPr>
          <w:rFonts w:hint="eastAsia" w:ascii="仿宋" w:hAnsi="仿宋" w:eastAsia="仿宋" w:cs="仿宋"/>
          <w:bCs/>
          <w:kern w:val="2"/>
          <w:highlight w:val="none"/>
          <w:lang w:val="zh-CN"/>
        </w:rPr>
      </w:pPr>
      <w:bookmarkStart w:id="199" w:name="_Toc3860"/>
      <w:bookmarkStart w:id="200" w:name="_Toc1560"/>
      <w:bookmarkStart w:id="201" w:name="_Toc24543"/>
      <w:bookmarkStart w:id="202" w:name="_Toc30312"/>
      <w:bookmarkStart w:id="203" w:name="_Toc27213"/>
      <w:bookmarkStart w:id="204" w:name="_Toc12732"/>
      <w:bookmarkStart w:id="205" w:name="_Toc25421"/>
      <w:bookmarkStart w:id="206" w:name="_Toc1226"/>
      <w:r>
        <w:rPr>
          <w:rFonts w:hint="eastAsia" w:ascii="仿宋" w:hAnsi="仿宋" w:eastAsia="仿宋" w:cs="仿宋"/>
          <w:bCs/>
          <w:kern w:val="2"/>
          <w:highlight w:val="none"/>
          <w:lang w:val="zh-CN"/>
        </w:rPr>
        <w:t>四、开标一览表</w:t>
      </w:r>
      <w:bookmarkEnd w:id="199"/>
      <w:bookmarkEnd w:id="200"/>
      <w:bookmarkEnd w:id="201"/>
      <w:bookmarkEnd w:id="202"/>
      <w:bookmarkEnd w:id="203"/>
      <w:bookmarkEnd w:id="204"/>
      <w:bookmarkEnd w:id="205"/>
      <w:bookmarkEnd w:id="206"/>
    </w:p>
    <w:p w14:paraId="30A60FFE">
      <w:pPr>
        <w:spacing w:line="360" w:lineRule="auto"/>
        <w:ind w:firstLine="360" w:firstLineChars="150"/>
        <w:rPr>
          <w:rFonts w:hint="eastAsia" w:ascii="仿宋" w:hAnsi="仿宋" w:eastAsia="仿宋" w:cs="仿宋"/>
          <w:bCs/>
          <w:kern w:val="2"/>
          <w:highlight w:val="none"/>
          <w:lang w:val="zh-CN"/>
        </w:rPr>
      </w:pPr>
      <w:bookmarkStart w:id="207" w:name="_Toc22055"/>
      <w:bookmarkStart w:id="208" w:name="_Toc23897"/>
      <w:bookmarkStart w:id="209" w:name="_Toc30067"/>
      <w:bookmarkStart w:id="210" w:name="_Toc8323"/>
      <w:bookmarkStart w:id="211" w:name="_Toc15902"/>
      <w:bookmarkStart w:id="212" w:name="_Toc27405"/>
      <w:bookmarkStart w:id="213" w:name="_Toc6014"/>
      <w:bookmarkStart w:id="214" w:name="_Toc12362"/>
      <w:r>
        <w:rPr>
          <w:rFonts w:hint="eastAsia" w:ascii="仿宋" w:hAnsi="仿宋" w:eastAsia="仿宋" w:cs="仿宋"/>
          <w:bCs/>
          <w:kern w:val="2"/>
          <w:highlight w:val="none"/>
          <w:lang w:val="zh-CN"/>
        </w:rPr>
        <w:t>五、投标报价明细表</w:t>
      </w:r>
      <w:bookmarkEnd w:id="207"/>
      <w:bookmarkEnd w:id="208"/>
      <w:bookmarkEnd w:id="209"/>
      <w:bookmarkEnd w:id="210"/>
      <w:bookmarkEnd w:id="211"/>
      <w:bookmarkEnd w:id="212"/>
      <w:bookmarkEnd w:id="213"/>
      <w:bookmarkEnd w:id="214"/>
    </w:p>
    <w:p w14:paraId="373A2041">
      <w:pPr>
        <w:spacing w:line="360" w:lineRule="auto"/>
        <w:ind w:firstLine="360" w:firstLineChars="150"/>
        <w:rPr>
          <w:rFonts w:hint="eastAsia" w:ascii="仿宋" w:hAnsi="仿宋" w:eastAsia="仿宋" w:cs="仿宋"/>
          <w:bCs/>
          <w:kern w:val="2"/>
          <w:highlight w:val="none"/>
          <w:lang w:val="zh-CN"/>
        </w:rPr>
      </w:pPr>
      <w:bookmarkStart w:id="215" w:name="_Toc13245"/>
      <w:bookmarkStart w:id="216" w:name="_Toc747"/>
      <w:bookmarkStart w:id="217" w:name="_Toc15410"/>
      <w:bookmarkStart w:id="218" w:name="_Toc25374"/>
      <w:bookmarkStart w:id="219" w:name="_Toc8390"/>
      <w:bookmarkStart w:id="220" w:name="_Toc9055"/>
      <w:bookmarkStart w:id="221" w:name="_Toc14074"/>
      <w:bookmarkStart w:id="222" w:name="_Toc1840"/>
      <w:r>
        <w:rPr>
          <w:rFonts w:hint="eastAsia" w:ascii="仿宋" w:hAnsi="仿宋" w:eastAsia="仿宋" w:cs="仿宋"/>
          <w:bCs/>
          <w:kern w:val="2"/>
          <w:highlight w:val="none"/>
          <w:lang w:val="zh-CN"/>
        </w:rPr>
        <w:t>六、近年（20</w:t>
      </w:r>
      <w:r>
        <w:rPr>
          <w:rFonts w:hint="eastAsia" w:ascii="仿宋" w:hAnsi="仿宋" w:eastAsia="仿宋" w:cs="仿宋"/>
          <w:bCs/>
          <w:kern w:val="2"/>
          <w:highlight w:val="none"/>
          <w:lang w:val="en-US" w:eastAsia="zh-CN"/>
        </w:rPr>
        <w:t>23</w:t>
      </w:r>
      <w:r>
        <w:rPr>
          <w:rFonts w:hint="eastAsia" w:ascii="仿宋" w:hAnsi="仿宋" w:eastAsia="仿宋" w:cs="仿宋"/>
          <w:bCs/>
          <w:kern w:val="2"/>
          <w:highlight w:val="none"/>
          <w:lang w:val="zh-CN"/>
        </w:rPr>
        <w:t>年1月1日至今）类似项目业绩</w:t>
      </w:r>
      <w:bookmarkEnd w:id="215"/>
      <w:bookmarkEnd w:id="216"/>
      <w:bookmarkEnd w:id="217"/>
      <w:bookmarkEnd w:id="218"/>
      <w:bookmarkEnd w:id="219"/>
      <w:bookmarkEnd w:id="220"/>
      <w:bookmarkEnd w:id="221"/>
      <w:bookmarkEnd w:id="222"/>
    </w:p>
    <w:p w14:paraId="5BAB70A4">
      <w:pPr>
        <w:spacing w:line="360" w:lineRule="auto"/>
        <w:ind w:firstLine="360" w:firstLineChars="150"/>
        <w:rPr>
          <w:rFonts w:hint="eastAsia" w:ascii="仿宋" w:hAnsi="仿宋" w:eastAsia="仿宋" w:cs="仿宋"/>
          <w:bCs/>
          <w:kern w:val="2"/>
          <w:highlight w:val="none"/>
          <w:lang w:val="zh-CN"/>
        </w:rPr>
      </w:pPr>
      <w:bookmarkStart w:id="223" w:name="_Toc306"/>
      <w:bookmarkStart w:id="224" w:name="_Toc2037"/>
      <w:bookmarkStart w:id="225" w:name="_Toc23376"/>
      <w:bookmarkStart w:id="226" w:name="_Toc19569"/>
      <w:bookmarkStart w:id="227" w:name="_Toc1462"/>
      <w:bookmarkStart w:id="228" w:name="_Toc26191"/>
      <w:bookmarkStart w:id="229" w:name="_Toc29375"/>
      <w:bookmarkStart w:id="230" w:name="_Toc19316"/>
      <w:r>
        <w:rPr>
          <w:rFonts w:hint="eastAsia" w:ascii="仿宋" w:hAnsi="仿宋" w:eastAsia="仿宋" w:cs="仿宋"/>
          <w:bCs/>
          <w:kern w:val="2"/>
          <w:highlight w:val="none"/>
          <w:lang w:val="zh-CN"/>
        </w:rPr>
        <w:t>七、</w:t>
      </w:r>
      <w:bookmarkEnd w:id="223"/>
      <w:bookmarkEnd w:id="224"/>
      <w:bookmarkEnd w:id="225"/>
      <w:bookmarkEnd w:id="226"/>
      <w:bookmarkEnd w:id="227"/>
      <w:bookmarkEnd w:id="228"/>
      <w:bookmarkEnd w:id="229"/>
      <w:bookmarkEnd w:id="230"/>
      <w:r>
        <w:rPr>
          <w:rFonts w:hint="eastAsia" w:ascii="仿宋" w:hAnsi="仿宋" w:eastAsia="仿宋" w:cs="宋体"/>
          <w:sz w:val="24"/>
          <w:szCs w:val="24"/>
          <w:highlight w:val="none"/>
          <w:lang w:val="zh-CN"/>
        </w:rPr>
        <w:t>拟配备人员一览表</w:t>
      </w:r>
    </w:p>
    <w:p w14:paraId="2749B49E">
      <w:pPr>
        <w:spacing w:line="360" w:lineRule="auto"/>
        <w:ind w:firstLine="360" w:firstLineChars="150"/>
        <w:rPr>
          <w:rFonts w:hint="eastAsia" w:ascii="仿宋" w:hAnsi="仿宋" w:eastAsia="仿宋" w:cs="仿宋"/>
          <w:bCs/>
          <w:kern w:val="2"/>
          <w:highlight w:val="none"/>
          <w:lang w:val="zh-CN"/>
        </w:rPr>
      </w:pPr>
      <w:bookmarkStart w:id="231" w:name="_Toc30677"/>
      <w:bookmarkStart w:id="232" w:name="_Toc25911"/>
      <w:bookmarkStart w:id="233" w:name="_Toc14814"/>
      <w:bookmarkStart w:id="234" w:name="_Toc16615"/>
      <w:bookmarkStart w:id="235" w:name="_Toc4286"/>
      <w:bookmarkStart w:id="236" w:name="_Toc17801"/>
      <w:bookmarkStart w:id="237" w:name="_Toc22255"/>
      <w:bookmarkStart w:id="238" w:name="_Toc165"/>
      <w:r>
        <w:rPr>
          <w:rFonts w:hint="eastAsia" w:ascii="仿宋" w:hAnsi="仿宋" w:eastAsia="仿宋" w:cs="仿宋"/>
          <w:bCs/>
          <w:kern w:val="2"/>
          <w:highlight w:val="none"/>
          <w:lang w:val="zh-CN"/>
        </w:rPr>
        <w:t>八、商务条款偏离说明表</w:t>
      </w:r>
      <w:bookmarkEnd w:id="231"/>
      <w:bookmarkEnd w:id="232"/>
      <w:bookmarkEnd w:id="233"/>
      <w:bookmarkEnd w:id="234"/>
      <w:bookmarkEnd w:id="235"/>
      <w:bookmarkEnd w:id="236"/>
      <w:bookmarkEnd w:id="237"/>
      <w:bookmarkEnd w:id="238"/>
    </w:p>
    <w:p w14:paraId="08D389A2">
      <w:pPr>
        <w:spacing w:line="360" w:lineRule="auto"/>
        <w:ind w:firstLine="360" w:firstLineChars="150"/>
        <w:rPr>
          <w:rFonts w:ascii="仿宋" w:hAnsi="仿宋" w:eastAsia="仿宋" w:cs="仿宋"/>
          <w:bCs/>
          <w:kern w:val="2"/>
          <w:highlight w:val="none"/>
        </w:rPr>
      </w:pPr>
      <w:bookmarkStart w:id="239" w:name="_Toc13876"/>
      <w:bookmarkStart w:id="240" w:name="_Toc7920"/>
      <w:bookmarkStart w:id="241" w:name="_Toc12003"/>
      <w:bookmarkStart w:id="242" w:name="_Toc25968"/>
      <w:bookmarkStart w:id="243" w:name="_Toc15606"/>
      <w:bookmarkStart w:id="244" w:name="_Toc19552"/>
      <w:bookmarkStart w:id="245" w:name="_Toc14918"/>
      <w:bookmarkStart w:id="246" w:name="_Toc26162"/>
      <w:r>
        <w:rPr>
          <w:rFonts w:hint="eastAsia" w:ascii="仿宋" w:hAnsi="仿宋" w:eastAsia="仿宋" w:cs="仿宋"/>
          <w:bCs/>
          <w:kern w:val="2"/>
          <w:highlight w:val="none"/>
          <w:lang w:val="zh-CN"/>
        </w:rPr>
        <w:t>九、技术文件</w:t>
      </w:r>
      <w:bookmarkEnd w:id="239"/>
      <w:bookmarkEnd w:id="240"/>
      <w:bookmarkEnd w:id="241"/>
      <w:bookmarkEnd w:id="242"/>
      <w:bookmarkEnd w:id="243"/>
      <w:bookmarkEnd w:id="244"/>
      <w:bookmarkEnd w:id="245"/>
      <w:bookmarkEnd w:id="246"/>
    </w:p>
    <w:p w14:paraId="38EEA363">
      <w:pPr>
        <w:spacing w:line="360" w:lineRule="auto"/>
        <w:ind w:firstLine="360" w:firstLineChars="150"/>
        <w:rPr>
          <w:rFonts w:hint="eastAsia" w:ascii="仿宋" w:hAnsi="仿宋" w:eastAsia="仿宋" w:cs="仿宋"/>
          <w:bCs/>
          <w:kern w:val="2"/>
          <w:highlight w:val="none"/>
          <w:lang w:val="zh-CN"/>
        </w:rPr>
      </w:pPr>
      <w:bookmarkStart w:id="247" w:name="_Toc11540"/>
      <w:bookmarkStart w:id="248" w:name="_Toc9689"/>
      <w:bookmarkStart w:id="249" w:name="_Toc31272"/>
      <w:bookmarkStart w:id="250" w:name="_Toc21841"/>
      <w:bookmarkStart w:id="251" w:name="_Toc31453"/>
      <w:bookmarkStart w:id="252" w:name="_Toc31412"/>
      <w:bookmarkStart w:id="253" w:name="_Toc10388"/>
      <w:bookmarkStart w:id="254" w:name="_Toc3780"/>
      <w:r>
        <w:rPr>
          <w:rFonts w:hint="eastAsia" w:ascii="仿宋" w:hAnsi="仿宋" w:eastAsia="仿宋" w:cs="仿宋"/>
          <w:bCs/>
          <w:kern w:val="2"/>
          <w:highlight w:val="none"/>
          <w:lang w:val="zh-CN"/>
        </w:rPr>
        <w:t>十、技术条款偏离表</w:t>
      </w:r>
      <w:bookmarkEnd w:id="247"/>
      <w:bookmarkEnd w:id="248"/>
      <w:bookmarkEnd w:id="249"/>
      <w:bookmarkEnd w:id="250"/>
      <w:bookmarkEnd w:id="251"/>
      <w:bookmarkEnd w:id="252"/>
      <w:bookmarkEnd w:id="253"/>
      <w:bookmarkEnd w:id="254"/>
    </w:p>
    <w:p w14:paraId="3AB459EC">
      <w:pPr>
        <w:spacing w:line="360" w:lineRule="auto"/>
        <w:ind w:firstLine="360" w:firstLineChars="150"/>
        <w:rPr>
          <w:rFonts w:hint="eastAsia" w:ascii="仿宋" w:hAnsi="仿宋" w:eastAsia="仿宋" w:cs="仿宋"/>
          <w:bCs/>
          <w:kern w:val="2"/>
          <w:highlight w:val="none"/>
          <w:lang w:val="zh-CN"/>
        </w:rPr>
      </w:pPr>
      <w:bookmarkStart w:id="255" w:name="_Toc29918"/>
      <w:bookmarkStart w:id="256" w:name="_Toc14668"/>
      <w:bookmarkStart w:id="257" w:name="_Toc8707"/>
      <w:bookmarkStart w:id="258" w:name="_Toc15121"/>
      <w:bookmarkStart w:id="259" w:name="_Toc23342"/>
      <w:bookmarkStart w:id="260" w:name="_Toc2416"/>
      <w:bookmarkStart w:id="261" w:name="_Toc8188"/>
      <w:bookmarkStart w:id="262" w:name="_Toc14173"/>
      <w:r>
        <w:rPr>
          <w:rFonts w:hint="eastAsia" w:ascii="仿宋" w:hAnsi="仿宋" w:eastAsia="仿宋" w:cs="仿宋"/>
          <w:bCs/>
          <w:kern w:val="2"/>
          <w:highlight w:val="none"/>
          <w:lang w:val="zh-CN"/>
        </w:rPr>
        <w:t>十</w:t>
      </w:r>
      <w:r>
        <w:rPr>
          <w:rFonts w:hint="eastAsia" w:ascii="仿宋" w:hAnsi="仿宋" w:eastAsia="仿宋" w:cs="仿宋"/>
          <w:bCs/>
          <w:kern w:val="2"/>
          <w:highlight w:val="none"/>
        </w:rPr>
        <w:t>一</w:t>
      </w:r>
      <w:r>
        <w:rPr>
          <w:rFonts w:hint="eastAsia" w:ascii="仿宋" w:hAnsi="仿宋" w:eastAsia="仿宋" w:cs="仿宋"/>
          <w:bCs/>
          <w:kern w:val="2"/>
          <w:highlight w:val="none"/>
          <w:lang w:val="zh-CN"/>
        </w:rPr>
        <w:t>、其他材料</w:t>
      </w:r>
      <w:bookmarkEnd w:id="255"/>
      <w:bookmarkEnd w:id="256"/>
      <w:bookmarkEnd w:id="257"/>
      <w:bookmarkEnd w:id="258"/>
      <w:bookmarkEnd w:id="259"/>
      <w:bookmarkEnd w:id="260"/>
      <w:bookmarkEnd w:id="261"/>
      <w:bookmarkEnd w:id="262"/>
    </w:p>
    <w:p w14:paraId="07D40E6B">
      <w:pPr>
        <w:pStyle w:val="34"/>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2861EBB5">
      <w:pPr>
        <w:pStyle w:val="34"/>
        <w:adjustRightInd w:val="0"/>
        <w:snapToGrid w:val="0"/>
        <w:spacing w:line="360" w:lineRule="auto"/>
        <w:ind w:firstLine="480" w:firstLineChars="200"/>
        <w:jc w:val="both"/>
        <w:rPr>
          <w:rFonts w:hint="eastAsia" w:ascii="仿宋" w:hAnsi="仿宋" w:eastAsia="仿宋" w:cs="仿宋"/>
          <w:b w:val="0"/>
          <w:bCs/>
          <w:kern w:val="2"/>
          <w:sz w:val="24"/>
          <w:highlight w:val="none"/>
        </w:rPr>
      </w:pPr>
    </w:p>
    <w:p w14:paraId="27902370">
      <w:pPr>
        <w:pStyle w:val="34"/>
        <w:adjustRightInd w:val="0"/>
        <w:snapToGrid w:val="0"/>
        <w:spacing w:line="360" w:lineRule="auto"/>
        <w:ind w:firstLine="482" w:firstLineChars="200"/>
        <w:jc w:val="both"/>
        <w:rPr>
          <w:rFonts w:hint="eastAsia" w:ascii="仿宋" w:hAnsi="仿宋" w:eastAsia="仿宋" w:cs="仿宋"/>
          <w:kern w:val="2"/>
          <w:sz w:val="24"/>
          <w:highlight w:val="none"/>
        </w:rPr>
      </w:pPr>
      <w:r>
        <w:rPr>
          <w:rFonts w:hint="eastAsia" w:ascii="仿宋" w:hAnsi="仿宋" w:eastAsia="仿宋" w:cs="仿宋"/>
          <w:kern w:val="2"/>
          <w:sz w:val="24"/>
          <w:highlight w:val="none"/>
        </w:rPr>
        <w:t>注：格式自拟，包括但不限于上述内容，必须注明页码</w:t>
      </w:r>
      <w:bookmarkEnd w:id="179"/>
      <w:bookmarkEnd w:id="180"/>
      <w:bookmarkEnd w:id="181"/>
      <w:bookmarkEnd w:id="182"/>
    </w:p>
    <w:p w14:paraId="271A5587">
      <w:pPr>
        <w:spacing w:line="360" w:lineRule="auto"/>
        <w:ind w:firstLine="361" w:firstLineChars="150"/>
        <w:rPr>
          <w:rFonts w:hint="eastAsia" w:ascii="仿宋" w:hAnsi="仿宋" w:eastAsia="仿宋" w:cs="仿宋"/>
          <w:b/>
          <w:highlight w:val="none"/>
        </w:rPr>
      </w:pPr>
    </w:p>
    <w:p w14:paraId="070B8E01">
      <w:pPr>
        <w:pStyle w:val="6"/>
        <w:ind w:firstLine="422"/>
        <w:rPr>
          <w:rFonts w:hint="eastAsia" w:ascii="仿宋" w:hAnsi="仿宋" w:eastAsia="仿宋" w:cs="仿宋"/>
          <w:b/>
          <w:highlight w:val="none"/>
        </w:rPr>
      </w:pPr>
    </w:p>
    <w:p w14:paraId="606F43A2">
      <w:pPr>
        <w:rPr>
          <w:rFonts w:hint="eastAsia" w:ascii="仿宋" w:hAnsi="仿宋" w:eastAsia="仿宋" w:cs="仿宋"/>
          <w:b/>
          <w:highlight w:val="none"/>
        </w:rPr>
      </w:pPr>
    </w:p>
    <w:p w14:paraId="0C218314">
      <w:pPr>
        <w:pStyle w:val="6"/>
        <w:ind w:firstLine="422"/>
        <w:rPr>
          <w:rFonts w:hint="eastAsia" w:ascii="仿宋" w:hAnsi="仿宋" w:eastAsia="仿宋" w:cs="仿宋"/>
          <w:b/>
          <w:highlight w:val="none"/>
        </w:rPr>
      </w:pPr>
    </w:p>
    <w:p w14:paraId="72796D8D">
      <w:pPr>
        <w:rPr>
          <w:rFonts w:hint="eastAsia" w:ascii="仿宋" w:hAnsi="仿宋" w:eastAsia="仿宋" w:cs="仿宋"/>
          <w:b/>
          <w:highlight w:val="none"/>
        </w:rPr>
      </w:pPr>
    </w:p>
    <w:p w14:paraId="1FD27125">
      <w:pPr>
        <w:pStyle w:val="6"/>
        <w:ind w:firstLine="422"/>
        <w:rPr>
          <w:rFonts w:hint="eastAsia" w:ascii="仿宋" w:hAnsi="仿宋" w:eastAsia="仿宋" w:cs="仿宋"/>
          <w:b/>
          <w:highlight w:val="none"/>
        </w:rPr>
      </w:pPr>
    </w:p>
    <w:p w14:paraId="4BF0E35C">
      <w:pPr>
        <w:rPr>
          <w:rFonts w:hint="eastAsia" w:ascii="仿宋" w:hAnsi="仿宋" w:eastAsia="仿宋" w:cs="仿宋"/>
          <w:b/>
          <w:highlight w:val="none"/>
        </w:rPr>
      </w:pPr>
    </w:p>
    <w:p w14:paraId="08945CBF">
      <w:pPr>
        <w:pStyle w:val="6"/>
        <w:ind w:firstLine="422"/>
        <w:rPr>
          <w:rFonts w:hint="eastAsia" w:ascii="仿宋" w:hAnsi="仿宋" w:eastAsia="仿宋" w:cs="仿宋"/>
          <w:b/>
          <w:highlight w:val="none"/>
        </w:rPr>
      </w:pPr>
    </w:p>
    <w:p w14:paraId="68CE4DBF">
      <w:pPr>
        <w:rPr>
          <w:rFonts w:hint="eastAsia"/>
          <w:highlight w:val="none"/>
        </w:rPr>
      </w:pPr>
    </w:p>
    <w:p w14:paraId="30723D25">
      <w:pPr>
        <w:pageBreakBefore/>
        <w:snapToGrid w:val="0"/>
        <w:spacing w:line="360" w:lineRule="auto"/>
        <w:jc w:val="center"/>
        <w:rPr>
          <w:rFonts w:hint="eastAsia" w:ascii="仿宋" w:hAnsi="仿宋" w:eastAsia="仿宋" w:cs="仿宋"/>
          <w:b/>
          <w:sz w:val="28"/>
          <w:szCs w:val="28"/>
          <w:highlight w:val="none"/>
        </w:rPr>
      </w:pPr>
      <w:bookmarkStart w:id="263" w:name="_Toc3269"/>
      <w:bookmarkStart w:id="264" w:name="_Toc26835"/>
      <w:bookmarkStart w:id="265" w:name="_Toc3557"/>
      <w:bookmarkStart w:id="266" w:name="_Toc8360"/>
      <w:bookmarkStart w:id="267" w:name="_Toc17935"/>
      <w:bookmarkStart w:id="268" w:name="_Toc27215"/>
      <w:bookmarkStart w:id="269" w:name="_Toc13743"/>
      <w:bookmarkStart w:id="270" w:name="_Toc25376"/>
      <w:bookmarkStart w:id="271" w:name="_Toc14206"/>
      <w:bookmarkStart w:id="272" w:name="_Toc3890"/>
      <w:bookmarkStart w:id="273" w:name="_Toc25022"/>
      <w:bookmarkStart w:id="274" w:name="_Toc22061"/>
      <w:bookmarkStart w:id="275" w:name="_Toc10970"/>
      <w:r>
        <w:rPr>
          <w:rFonts w:hint="eastAsia" w:ascii="仿宋" w:hAnsi="仿宋" w:eastAsia="仿宋" w:cs="仿宋"/>
          <w:b/>
          <w:sz w:val="28"/>
          <w:szCs w:val="28"/>
          <w:highlight w:val="none"/>
        </w:rPr>
        <w:t>一、投标函</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1B0E74EC">
      <w:pPr>
        <w:pStyle w:val="35"/>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w:t>
      </w:r>
    </w:p>
    <w:p w14:paraId="0F2D3303">
      <w:pPr>
        <w:pStyle w:val="35"/>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w:t>
      </w:r>
    </w:p>
    <w:p w14:paraId="175937F2">
      <w:pPr>
        <w:pStyle w:val="35"/>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委托代理人姓名)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(职务)为我方代表，参加贵方组织的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(项目名称、项目编号)招标的有关活动，并对此项目进行投标。为此：</w:t>
      </w:r>
    </w:p>
    <w:p w14:paraId="3A944ED0">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1、我方同意在本项目招标文件中规定的投标有效期内遵守本投标文件中的承诺且在此期限期满之前均具有约束力。</w:t>
      </w:r>
    </w:p>
    <w:p w14:paraId="009011EA">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2、我方承诺已经具备《中华人民共和国政府采购法》中规定的参加政府采购活动的供应商应当具备的条件：</w:t>
      </w:r>
    </w:p>
    <w:p w14:paraId="00ED6FFB">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1）具有独立承担民事责任的能力；</w:t>
      </w:r>
    </w:p>
    <w:p w14:paraId="6064D348">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2）具有良好的商业信誉和健全的财务会计制度；</w:t>
      </w:r>
    </w:p>
    <w:p w14:paraId="37E77A20">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3）具有履行合同所必需的设备和专业技术能力；</w:t>
      </w:r>
    </w:p>
    <w:p w14:paraId="3F8307DB">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4）有依法缴纳税收和社会保障资金的良好记录；</w:t>
      </w:r>
    </w:p>
    <w:p w14:paraId="3B7199B8">
      <w:pPr>
        <w:pStyle w:val="35"/>
        <w:widowControl/>
        <w:adjustRightInd w:val="0"/>
        <w:snapToGrid w:val="0"/>
        <w:spacing w:line="360" w:lineRule="auto"/>
        <w:ind w:left="0" w:leftChars="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5）参加此项采购活动前三年内，在经营活动中没有重大违法记录；</w:t>
      </w:r>
    </w:p>
    <w:p w14:paraId="7589BC2D">
      <w:pPr>
        <w:pStyle w:val="35"/>
        <w:widowControl/>
        <w:adjustRightInd w:val="0"/>
        <w:snapToGrid w:val="0"/>
        <w:spacing w:line="360" w:lineRule="auto"/>
        <w:ind w:left="0" w:leftChars="0" w:firstLine="480" w:firstLineChars="200"/>
        <w:rPr>
          <w:rFonts w:hint="eastAsia" w:eastAsia="宋体"/>
          <w:highlight w:val="none"/>
          <w:lang w:val="en-US" w:eastAsia="zh-CN"/>
        </w:rPr>
      </w:pPr>
      <w:r>
        <w:rPr>
          <w:rFonts w:hint="eastAsia" w:ascii="仿宋" w:hAnsi="仿宋" w:eastAsia="仿宋" w:cs="仿宋"/>
          <w:sz w:val="24"/>
          <w:highlight w:val="none"/>
          <w:lang w:val="en-US" w:eastAsia="zh-CN"/>
        </w:rPr>
        <w:t>6）法律、行政法规规定的其他条件。</w:t>
      </w:r>
    </w:p>
    <w:p w14:paraId="402350CA">
      <w:pPr>
        <w:pStyle w:val="36"/>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、提供</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须知规定的全部投标文件</w:t>
      </w:r>
      <w:r>
        <w:rPr>
          <w:rFonts w:hint="eastAsia" w:ascii="仿宋" w:hAnsi="仿宋" w:eastAsia="仿宋" w:cs="仿宋"/>
          <w:sz w:val="24"/>
          <w:highlight w:val="none"/>
          <w:lang w:eastAsia="zh-CN"/>
        </w:rPr>
        <w:t>。</w:t>
      </w:r>
    </w:p>
    <w:p w14:paraId="14AAC962">
      <w:pPr>
        <w:pStyle w:val="35"/>
        <w:widowControl/>
        <w:adjustRightInd w:val="0"/>
        <w:snapToGrid w:val="0"/>
        <w:spacing w:line="360" w:lineRule="auto"/>
        <w:ind w:left="0" w:leftChars="0" w:firstLine="480" w:firstLineChars="200"/>
        <w:rPr>
          <w:rFonts w:hint="default" w:ascii="仿宋" w:hAnsi="仿宋" w:eastAsia="仿宋" w:cs="仿宋"/>
          <w:sz w:val="24"/>
          <w:highlight w:val="none"/>
          <w:u w:val="none"/>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、我方承诺：保证在与业主签订合同后立即开展工作，非业主原因，我方保证</w:t>
      </w:r>
      <w:r>
        <w:rPr>
          <w:rFonts w:hint="eastAsia" w:ascii="仿宋" w:hAnsi="仿宋" w:eastAsia="仿宋" w:cs="仿宋"/>
          <w:sz w:val="24"/>
          <w:highlight w:val="none"/>
          <w:lang w:eastAsia="zh-CN"/>
        </w:rPr>
        <w:t>合同履约</w:t>
      </w:r>
      <w:r>
        <w:rPr>
          <w:rFonts w:hint="eastAsia" w:ascii="仿宋" w:hAnsi="仿宋" w:eastAsia="仿宋" w:cs="仿宋"/>
          <w:sz w:val="24"/>
          <w:highlight w:val="none"/>
        </w:rPr>
        <w:t>期限为：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eastAsia="zh-CN"/>
        </w:rPr>
        <w:t>，</w:t>
      </w:r>
      <w:r>
        <w:rPr>
          <w:rFonts w:hint="eastAsia" w:ascii="仿宋" w:hAnsi="仿宋" w:eastAsia="仿宋" w:cs="仿宋"/>
          <w:sz w:val="24"/>
          <w:highlight w:val="none"/>
        </w:rPr>
        <w:t>投标有效期为：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交货地点：</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w:t>
      </w:r>
    </w:p>
    <w:p w14:paraId="20938C94">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、我方承诺：完全确满足和响应招标文件中的各项技术和服务要求，若有偏差，已在投标文件偏离表中予以明特别说明。</w:t>
      </w:r>
    </w:p>
    <w:p w14:paraId="5B1D0ECD">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我方承诺：与在本项目中设计编制技术规格的机构及其附属机构无任何直接隶属关系和利益关联。</w:t>
      </w:r>
    </w:p>
    <w:p w14:paraId="499AE6F6">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、保证忠实地执行双方所签订的合同，并承担合同规定的责任和义务。</w:t>
      </w:r>
    </w:p>
    <w:p w14:paraId="6011B637">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58671DD">
      <w:pPr>
        <w:pStyle w:val="36"/>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9</w:t>
      </w:r>
      <w:r>
        <w:rPr>
          <w:rFonts w:hint="eastAsia" w:ascii="仿宋" w:hAnsi="仿宋" w:eastAsia="仿宋" w:cs="仿宋"/>
          <w:kern w:val="0"/>
          <w:sz w:val="24"/>
          <w:highlight w:val="none"/>
        </w:rPr>
        <w:t>、我方承诺：采购人若需追加采购本项目招标文件所列服务的，在不改变合同其他实质性条款的前提下，按合同相关服务条款保证提供服务。</w:t>
      </w:r>
    </w:p>
    <w:p w14:paraId="7A5C57DC">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、我方承诺：接受招标文件中的全部条款且无任何异议，保证遵守招标文件的规定。</w:t>
      </w:r>
    </w:p>
    <w:p w14:paraId="21CF2D41">
      <w:pPr>
        <w:pStyle w:val="36"/>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、完全理解投标报价若未响应招标文件要求时，投标将被拒绝。</w:t>
      </w:r>
    </w:p>
    <w:p w14:paraId="19ECCA24">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、如果在开标后规定的投标有效期内撤回投标，我方的投标保证金可被贵方没收。</w:t>
      </w:r>
    </w:p>
    <w:p w14:paraId="44ABB54A">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、我方完全理解贵方不一定接受最低价的投标或收到的任何投标。</w:t>
      </w:r>
    </w:p>
    <w:p w14:paraId="073B5D43">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、我方已详细审核全部投标文件，包括投标文件修改书（如有的话）、参考资料及有关附件，确认无误。</w:t>
      </w:r>
    </w:p>
    <w:p w14:paraId="5DB9D679">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BB1C4C">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1）提供虚假材料谋取中标、成交的；</w:t>
      </w:r>
    </w:p>
    <w:p w14:paraId="475A2935">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2）采取不正当手段诋毁、排挤其他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w:t>
      </w:r>
    </w:p>
    <w:p w14:paraId="1728CC48">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3）与采购人、其他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或者采购代理机构工作人员恶意串通的；</w:t>
      </w:r>
    </w:p>
    <w:p w14:paraId="33487EF7">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4）向采购人、采购代理机构工作人员行贿或者提供其他不正当利益的；</w:t>
      </w:r>
    </w:p>
    <w:p w14:paraId="12DCEA2B">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5）在采购过程中与采购人进行协商谈判的；</w:t>
      </w:r>
    </w:p>
    <w:p w14:paraId="0A52ABC8">
      <w:pPr>
        <w:pStyle w:val="35"/>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6）拒绝有关部门监督检查或提供虚假情况的。</w:t>
      </w:r>
    </w:p>
    <w:p w14:paraId="671893AD">
      <w:pPr>
        <w:pStyle w:val="35"/>
        <w:widowControl/>
        <w:adjustRightInd w:val="0"/>
        <w:snapToGrid w:val="0"/>
        <w:spacing w:line="360" w:lineRule="auto"/>
        <w:ind w:left="115" w:leftChars="48" w:firstLine="361" w:firstLineChars="150"/>
        <w:rPr>
          <w:rFonts w:hint="eastAsia" w:ascii="仿宋" w:hAnsi="仿宋" w:eastAsia="仿宋" w:cs="仿宋"/>
          <w:b/>
          <w:sz w:val="24"/>
          <w:highlight w:val="none"/>
        </w:rPr>
      </w:pPr>
    </w:p>
    <w:p w14:paraId="4EDCE03B">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702620EB">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3F90B869">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日</w:t>
      </w:r>
    </w:p>
    <w:p w14:paraId="1E80EA0A">
      <w:pPr>
        <w:pStyle w:val="35"/>
        <w:widowControl/>
        <w:adjustRightInd w:val="0"/>
        <w:snapToGrid w:val="0"/>
        <w:spacing w:line="360" w:lineRule="auto"/>
        <w:ind w:left="0" w:leftChars="0"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说明：除可填报项目外，对本投标函的任何修改将被视为非实质性响应投标，从而导致该投标被拒绝。</w:t>
      </w:r>
    </w:p>
    <w:p w14:paraId="22590DA6">
      <w:pPr>
        <w:rPr>
          <w:rFonts w:ascii="仿宋" w:hAnsi="仿宋" w:eastAsia="仿宋" w:cs="仿宋_GB2312"/>
          <w:color w:val="000000"/>
          <w:szCs w:val="21"/>
          <w:highlight w:val="none"/>
        </w:rPr>
      </w:pPr>
    </w:p>
    <w:p w14:paraId="37E5F991">
      <w:pPr>
        <w:jc w:val="center"/>
        <w:rPr>
          <w:rFonts w:hint="eastAsia" w:ascii="仿宋" w:hAnsi="仿宋" w:eastAsia="仿宋"/>
          <w:b/>
          <w:bCs/>
          <w:sz w:val="32"/>
          <w:szCs w:val="32"/>
          <w:highlight w:val="none"/>
        </w:rPr>
      </w:pPr>
      <w:bookmarkStart w:id="276" w:name="_Toc514163612"/>
      <w:bookmarkStart w:id="277" w:name="_Toc514163725"/>
    </w:p>
    <w:p w14:paraId="4538AC28">
      <w:pPr>
        <w:jc w:val="center"/>
        <w:rPr>
          <w:rFonts w:hint="eastAsia" w:ascii="仿宋" w:hAnsi="仿宋" w:eastAsia="仿宋"/>
          <w:b/>
          <w:bCs/>
          <w:sz w:val="32"/>
          <w:szCs w:val="32"/>
          <w:highlight w:val="none"/>
        </w:rPr>
      </w:pPr>
    </w:p>
    <w:p w14:paraId="22E36B51">
      <w:pPr>
        <w:jc w:val="center"/>
        <w:rPr>
          <w:rFonts w:hint="eastAsia" w:ascii="仿宋" w:hAnsi="仿宋" w:eastAsia="仿宋"/>
          <w:b/>
          <w:bCs/>
          <w:sz w:val="32"/>
          <w:szCs w:val="32"/>
          <w:highlight w:val="none"/>
        </w:rPr>
      </w:pPr>
    </w:p>
    <w:p w14:paraId="3F048B57">
      <w:pPr>
        <w:jc w:val="center"/>
        <w:rPr>
          <w:rFonts w:hint="eastAsia" w:ascii="仿宋" w:hAnsi="仿宋" w:eastAsia="仿宋"/>
          <w:b/>
          <w:bCs/>
          <w:sz w:val="32"/>
          <w:szCs w:val="32"/>
          <w:highlight w:val="none"/>
        </w:rPr>
      </w:pPr>
    </w:p>
    <w:bookmarkEnd w:id="276"/>
    <w:bookmarkEnd w:id="277"/>
    <w:p w14:paraId="446AE589">
      <w:pPr>
        <w:pageBreakBefore/>
        <w:snapToGrid w:val="0"/>
        <w:spacing w:line="360" w:lineRule="auto"/>
        <w:jc w:val="center"/>
        <w:rPr>
          <w:rFonts w:hint="eastAsia" w:ascii="仿宋" w:hAnsi="仿宋" w:eastAsia="仿宋" w:cs="仿宋"/>
          <w:b/>
          <w:sz w:val="28"/>
          <w:szCs w:val="28"/>
          <w:highlight w:val="none"/>
        </w:rPr>
      </w:pPr>
      <w:bookmarkStart w:id="278" w:name="_Toc488"/>
      <w:bookmarkStart w:id="279" w:name="_Toc8716"/>
      <w:bookmarkStart w:id="280" w:name="_Toc18238"/>
      <w:bookmarkStart w:id="281" w:name="_Toc23808"/>
      <w:bookmarkStart w:id="282" w:name="_Toc6979"/>
      <w:bookmarkStart w:id="283" w:name="_Toc26436"/>
      <w:bookmarkStart w:id="284" w:name="_Toc12435"/>
      <w:bookmarkStart w:id="285" w:name="_Toc32193"/>
      <w:bookmarkStart w:id="286" w:name="_Toc19025"/>
      <w:bookmarkStart w:id="287" w:name="_Toc3544"/>
      <w:bookmarkStart w:id="288" w:name="_Toc14285"/>
      <w:bookmarkStart w:id="289" w:name="_Toc17340"/>
      <w:bookmarkStart w:id="290" w:name="_Toc26784"/>
      <w:bookmarkStart w:id="291" w:name="_Toc514163613"/>
      <w:bookmarkStart w:id="292" w:name="_Toc514163726"/>
      <w:r>
        <w:rPr>
          <w:rFonts w:hint="eastAsia" w:ascii="仿宋" w:hAnsi="仿宋" w:eastAsia="仿宋" w:cs="仿宋"/>
          <w:b/>
          <w:sz w:val="28"/>
          <w:szCs w:val="28"/>
          <w:highlight w:val="none"/>
        </w:rPr>
        <w:t>二、法定代表人资格证明书及授权委托书</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737F2FBB">
      <w:pPr>
        <w:snapToGrid w:val="0"/>
        <w:spacing w:line="360" w:lineRule="auto"/>
        <w:jc w:val="center"/>
        <w:rPr>
          <w:rFonts w:hint="eastAsia" w:ascii="仿宋" w:hAnsi="仿宋" w:eastAsia="仿宋" w:cs="仿宋"/>
          <w:b/>
          <w:sz w:val="28"/>
          <w:szCs w:val="28"/>
          <w:highlight w:val="none"/>
        </w:rPr>
      </w:pPr>
      <w:bookmarkStart w:id="293" w:name="_Toc480368653"/>
      <w:bookmarkStart w:id="294" w:name="_Toc480368595"/>
      <w:bookmarkStart w:id="295" w:name="_Toc480368424"/>
      <w:bookmarkStart w:id="296" w:name="_Toc480371721"/>
      <w:bookmarkStart w:id="297" w:name="_Toc5401"/>
      <w:bookmarkStart w:id="298" w:name="_Toc25553"/>
      <w:bookmarkStart w:id="299" w:name="_Toc18836"/>
      <w:bookmarkStart w:id="300" w:name="_Toc12348"/>
      <w:bookmarkStart w:id="301" w:name="_Toc12445"/>
      <w:r>
        <w:rPr>
          <w:rFonts w:hint="eastAsia" w:ascii="仿宋" w:hAnsi="仿宋" w:eastAsia="仿宋" w:cs="仿宋"/>
          <w:b/>
          <w:sz w:val="28"/>
          <w:szCs w:val="28"/>
          <w:highlight w:val="none"/>
        </w:rPr>
        <w:t>法定代表人资格证明</w:t>
      </w:r>
      <w:bookmarkEnd w:id="293"/>
      <w:bookmarkEnd w:id="294"/>
      <w:bookmarkEnd w:id="295"/>
      <w:bookmarkEnd w:id="296"/>
      <w:r>
        <w:rPr>
          <w:rFonts w:hint="eastAsia" w:ascii="仿宋" w:hAnsi="仿宋" w:eastAsia="仿宋" w:cs="仿宋"/>
          <w:b/>
          <w:sz w:val="28"/>
          <w:szCs w:val="28"/>
          <w:highlight w:val="none"/>
        </w:rPr>
        <w:t>书</w:t>
      </w:r>
      <w:bookmarkEnd w:id="297"/>
      <w:bookmarkEnd w:id="298"/>
      <w:bookmarkEnd w:id="299"/>
      <w:bookmarkEnd w:id="300"/>
      <w:bookmarkEnd w:id="301"/>
    </w:p>
    <w:p w14:paraId="63B977A1">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7DBFBCCD">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公司法定代表人，代表我公司办理一切社会公务事宜，具有法律效力。 </w:t>
      </w:r>
    </w:p>
    <w:p w14:paraId="1E78611E">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附法定代表人基本情况： </w:t>
      </w:r>
    </w:p>
    <w:p w14:paraId="38D6F03F">
      <w:pPr>
        <w:pStyle w:val="39"/>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姓名：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 </w:t>
      </w:r>
      <w:r>
        <w:rPr>
          <w:rFonts w:hint="eastAsia" w:ascii="仿宋" w:hAnsi="仿宋" w:eastAsia="仿宋" w:cs="仿宋"/>
          <w:sz w:val="24"/>
          <w:szCs w:val="24"/>
          <w:highlight w:val="none"/>
          <w:u w:val="single"/>
        </w:rPr>
        <w:t xml:space="preserve">         </w:t>
      </w:r>
    </w:p>
    <w:p w14:paraId="1F74DD42">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47C3F720">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rPr>
        <w:t xml:space="preserve">                      </w:t>
      </w:r>
    </w:p>
    <w:p w14:paraId="31889AEB">
      <w:pPr>
        <w:pStyle w:val="39"/>
        <w:adjustRightInd w:val="0"/>
        <w:snapToGrid w:val="0"/>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电话号码：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72C2F98D">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7B0780AA">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19"/>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14:paraId="52A1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14:paraId="768080A2">
            <w:pPr>
              <w:pStyle w:val="39"/>
              <w:adjustRightInd w:val="0"/>
              <w:snapToGrid w:val="0"/>
              <w:spacing w:line="360" w:lineRule="auto"/>
              <w:jc w:val="center"/>
              <w:rPr>
                <w:rFonts w:hint="eastAsia" w:ascii="仿宋" w:hAnsi="仿宋" w:eastAsia="仿宋" w:cs="仿宋"/>
                <w:sz w:val="24"/>
                <w:szCs w:val="24"/>
                <w:highlight w:val="none"/>
              </w:rPr>
            </w:pPr>
          </w:p>
          <w:p w14:paraId="23889CA6">
            <w:pPr>
              <w:pStyle w:val="39"/>
              <w:adjustRightInd w:val="0"/>
              <w:snapToGrid w:val="0"/>
              <w:spacing w:line="360" w:lineRule="auto"/>
              <w:jc w:val="center"/>
              <w:rPr>
                <w:rFonts w:hint="eastAsia" w:ascii="仿宋" w:hAnsi="仿宋" w:eastAsia="仿宋" w:cs="仿宋"/>
                <w:sz w:val="21"/>
                <w:szCs w:val="21"/>
                <w:highlight w:val="none"/>
              </w:rPr>
            </w:pPr>
          </w:p>
          <w:p w14:paraId="2627FB39">
            <w:pPr>
              <w:pStyle w:val="39"/>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1"/>
                <w:szCs w:val="21"/>
                <w:highlight w:val="none"/>
              </w:rPr>
              <w:t>法定代表人《居民身份证》复印件正反面</w:t>
            </w:r>
          </w:p>
        </w:tc>
      </w:tr>
    </w:tbl>
    <w:p w14:paraId="63022BAE">
      <w:pPr>
        <w:pStyle w:val="39"/>
        <w:adjustRightInd w:val="0"/>
        <w:snapToGrid w:val="0"/>
        <w:spacing w:line="360" w:lineRule="auto"/>
        <w:rPr>
          <w:rFonts w:hint="eastAsia" w:ascii="仿宋" w:hAnsi="仿宋" w:eastAsia="仿宋" w:cs="仿宋"/>
          <w:sz w:val="24"/>
          <w:szCs w:val="24"/>
          <w:highlight w:val="none"/>
        </w:rPr>
      </w:pPr>
    </w:p>
    <w:p w14:paraId="7AEA8CFB">
      <w:pPr>
        <w:pStyle w:val="37"/>
        <w:adjustRightInd w:val="0"/>
        <w:snapToGrid w:val="0"/>
        <w:spacing w:line="360" w:lineRule="auto"/>
        <w:rPr>
          <w:rFonts w:hint="eastAsia" w:ascii="仿宋" w:hAnsi="仿宋" w:eastAsia="仿宋" w:cs="仿宋"/>
          <w:b/>
          <w:bCs/>
          <w:sz w:val="24"/>
          <w:szCs w:val="24"/>
          <w:highlight w:val="none"/>
          <w:lang w:eastAsia="zh-CN"/>
        </w:rPr>
      </w:pPr>
    </w:p>
    <w:p w14:paraId="18085A6B">
      <w:pPr>
        <w:pStyle w:val="37"/>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358B117A">
      <w:pPr>
        <w:pStyle w:val="37"/>
        <w:adjustRightInd w:val="0"/>
        <w:snapToGrid w:val="0"/>
        <w:spacing w:line="360" w:lineRule="auto"/>
        <w:ind w:left="0" w:leftChars="0" w:firstLine="482" w:firstLineChars="200"/>
        <w:rPr>
          <w:rFonts w:hint="eastAsia" w:ascii="仿宋" w:hAnsi="仿宋" w:eastAsia="仿宋" w:cs="仿宋"/>
          <w:b/>
          <w:bCs/>
          <w:sz w:val="24"/>
          <w:szCs w:val="24"/>
          <w:highlight w:val="none"/>
        </w:rPr>
      </w:pPr>
    </w:p>
    <w:p w14:paraId="0AC9FAA6">
      <w:pPr>
        <w:pStyle w:val="37"/>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77E3A536">
      <w:pPr>
        <w:pStyle w:val="39"/>
        <w:tabs>
          <w:tab w:val="left" w:pos="750"/>
        </w:tabs>
        <w:adjustRightInd w:val="0"/>
        <w:snapToGrid w:val="0"/>
        <w:spacing w:line="360" w:lineRule="auto"/>
        <w:ind w:left="0" w:leftChars="0" w:firstLine="482" w:firstLineChars="200"/>
        <w:rPr>
          <w:rFonts w:hint="eastAsia" w:ascii="仿宋" w:hAnsi="仿宋" w:eastAsia="仿宋" w:cs="仿宋"/>
          <w:b/>
          <w:bCs/>
          <w:sz w:val="24"/>
          <w:szCs w:val="24"/>
          <w:highlight w:val="none"/>
        </w:rPr>
      </w:pPr>
    </w:p>
    <w:p w14:paraId="2949DF2F">
      <w:pPr>
        <w:pStyle w:val="39"/>
        <w:tabs>
          <w:tab w:val="left" w:pos="750"/>
        </w:tabs>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16359276">
      <w:pPr>
        <w:pStyle w:val="39"/>
        <w:tabs>
          <w:tab w:val="left" w:pos="750"/>
        </w:tabs>
        <w:adjustRightInd w:val="0"/>
        <w:snapToGrid w:val="0"/>
        <w:spacing w:line="360" w:lineRule="auto"/>
        <w:ind w:firstLine="723" w:firstLineChars="300"/>
        <w:rPr>
          <w:rFonts w:hint="eastAsia" w:ascii="仿宋" w:hAnsi="仿宋" w:eastAsia="仿宋" w:cs="仿宋"/>
          <w:b/>
          <w:bCs/>
          <w:sz w:val="24"/>
          <w:szCs w:val="24"/>
          <w:highlight w:val="none"/>
        </w:rPr>
      </w:pPr>
    </w:p>
    <w:p w14:paraId="7A0D2B97">
      <w:pPr>
        <w:jc w:val="center"/>
        <w:rPr>
          <w:rFonts w:hint="eastAsia" w:ascii="仿宋" w:hAnsi="仿宋" w:eastAsia="仿宋"/>
          <w:b/>
          <w:sz w:val="32"/>
          <w:szCs w:val="32"/>
          <w:highlight w:val="none"/>
        </w:rPr>
      </w:pPr>
    </w:p>
    <w:p w14:paraId="278DCFB7">
      <w:pPr>
        <w:pageBreakBefore/>
        <w:snapToGrid w:val="0"/>
        <w:spacing w:line="360" w:lineRule="auto"/>
        <w:jc w:val="center"/>
        <w:rPr>
          <w:rFonts w:hint="eastAsia" w:ascii="仿宋" w:hAnsi="仿宋" w:eastAsia="仿宋" w:cs="仿宋"/>
          <w:b/>
          <w:sz w:val="28"/>
          <w:szCs w:val="28"/>
          <w:highlight w:val="none"/>
        </w:rPr>
      </w:pPr>
      <w:bookmarkStart w:id="302" w:name="_Toc29301"/>
      <w:bookmarkStart w:id="303" w:name="_Toc613"/>
      <w:bookmarkStart w:id="304" w:name="_Toc32739"/>
      <w:bookmarkStart w:id="305" w:name="_Toc23633"/>
      <w:bookmarkStart w:id="306" w:name="_Toc155"/>
      <w:r>
        <w:rPr>
          <w:rFonts w:hint="eastAsia" w:ascii="仿宋" w:hAnsi="仿宋" w:eastAsia="仿宋" w:cs="仿宋"/>
          <w:b/>
          <w:sz w:val="28"/>
          <w:szCs w:val="28"/>
          <w:highlight w:val="none"/>
        </w:rPr>
        <w:t>法定代表人授权委托书</w:t>
      </w:r>
      <w:bookmarkEnd w:id="302"/>
      <w:bookmarkEnd w:id="303"/>
      <w:bookmarkEnd w:id="304"/>
      <w:bookmarkEnd w:id="305"/>
      <w:bookmarkEnd w:id="306"/>
    </w:p>
    <w:p w14:paraId="0C0DEF0A">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14:paraId="3D845A41">
      <w:pPr>
        <w:pStyle w:val="39"/>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同志为我公司参加贵单位组织的编号为</w:t>
      </w:r>
      <w:r>
        <w:rPr>
          <w:rFonts w:hint="eastAsia" w:ascii="仿宋" w:hAnsi="仿宋" w:eastAsia="仿宋" w:cs="仿宋"/>
          <w:sz w:val="24"/>
          <w:szCs w:val="24"/>
          <w:highlight w:val="none"/>
          <w:u w:val="single"/>
        </w:rPr>
        <w:t>（项目编号）</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采购活动的委托代理人，全权代表我公司处理在该项目采购活动中的一切事宜。</w:t>
      </w:r>
    </w:p>
    <w:p w14:paraId="173FD198">
      <w:pPr>
        <w:pStyle w:val="39"/>
        <w:adjustRightInd w:val="0"/>
        <w:snapToGrid w:val="0"/>
        <w:spacing w:line="360" w:lineRule="auto"/>
        <w:rPr>
          <w:rFonts w:hint="eastAsia" w:ascii="仿宋" w:hAnsi="仿宋" w:eastAsia="仿宋" w:cs="仿宋"/>
          <w:sz w:val="24"/>
          <w:szCs w:val="24"/>
          <w:highlight w:val="none"/>
        </w:rPr>
      </w:pPr>
    </w:p>
    <w:p w14:paraId="707811B9">
      <w:pPr>
        <w:pStyle w:val="39"/>
        <w:tabs>
          <w:tab w:val="left" w:pos="6163"/>
        </w:tabs>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p>
    <w:p w14:paraId="7E11722E">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代理人工作单位：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2A34691">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 </w:t>
      </w:r>
    </w:p>
    <w:p w14:paraId="623E8E49">
      <w:pPr>
        <w:pStyle w:val="39"/>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C8C20B1">
      <w:pPr>
        <w:pStyle w:val="39"/>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A4F3022">
      <w:pPr>
        <w:pStyle w:val="39"/>
        <w:adjustRightInd w:val="0"/>
        <w:snapToGrid w:val="0"/>
        <w:spacing w:line="360" w:lineRule="auto"/>
        <w:ind w:left="-101" w:leftChars="-42" w:firstLine="600" w:firstLineChars="250"/>
        <w:rPr>
          <w:rFonts w:hint="eastAsia" w:ascii="仿宋" w:hAnsi="仿宋" w:eastAsia="仿宋" w:cs="仿宋"/>
          <w:sz w:val="24"/>
          <w:szCs w:val="24"/>
          <w:highlight w:val="none"/>
          <w:u w:val="single"/>
        </w:rPr>
      </w:pPr>
    </w:p>
    <w:tbl>
      <w:tblPr>
        <w:tblStyle w:val="1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282C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6852FE72">
            <w:pPr>
              <w:pStyle w:val="39"/>
              <w:adjustRightInd w:val="0"/>
              <w:snapToGrid w:val="0"/>
              <w:spacing w:line="360" w:lineRule="auto"/>
              <w:rPr>
                <w:rFonts w:hint="eastAsia" w:ascii="仿宋" w:hAnsi="仿宋" w:eastAsia="仿宋" w:cs="仿宋"/>
                <w:sz w:val="21"/>
                <w:szCs w:val="21"/>
                <w:highlight w:val="none"/>
              </w:rPr>
            </w:pPr>
          </w:p>
          <w:p w14:paraId="687D4A55">
            <w:pPr>
              <w:pStyle w:val="39"/>
              <w:adjustRightInd w:val="0"/>
              <w:snapToGrid w:val="0"/>
              <w:spacing w:line="360" w:lineRule="auto"/>
              <w:rPr>
                <w:rFonts w:hint="eastAsia" w:ascii="仿宋" w:hAnsi="仿宋" w:eastAsia="仿宋" w:cs="仿宋"/>
                <w:sz w:val="21"/>
                <w:szCs w:val="21"/>
                <w:highlight w:val="none"/>
              </w:rPr>
            </w:pPr>
          </w:p>
          <w:p w14:paraId="6D610083">
            <w:pPr>
              <w:pStyle w:val="39"/>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法定代表人身份证正反面</w:t>
            </w:r>
          </w:p>
        </w:tc>
      </w:tr>
    </w:tbl>
    <w:p w14:paraId="12BA0730">
      <w:pPr>
        <w:pStyle w:val="39"/>
        <w:adjustRightInd w:val="0"/>
        <w:snapToGrid w:val="0"/>
        <w:spacing w:line="360" w:lineRule="auto"/>
        <w:ind w:left="-101" w:leftChars="-42" w:firstLine="525" w:firstLineChars="250"/>
        <w:rPr>
          <w:rFonts w:hint="eastAsia" w:ascii="仿宋" w:hAnsi="仿宋" w:eastAsia="仿宋" w:cs="仿宋"/>
          <w:sz w:val="21"/>
          <w:szCs w:val="21"/>
          <w:highlight w:val="none"/>
          <w:u w:val="single"/>
        </w:rPr>
      </w:pPr>
    </w:p>
    <w:p w14:paraId="1FAF3ADD">
      <w:pPr>
        <w:pStyle w:val="39"/>
        <w:adjustRightInd w:val="0"/>
        <w:snapToGrid w:val="0"/>
        <w:spacing w:line="360" w:lineRule="auto"/>
        <w:ind w:left="-101" w:leftChars="-42" w:firstLine="525" w:firstLineChars="250"/>
        <w:rPr>
          <w:rFonts w:hint="eastAsia" w:ascii="仿宋" w:hAnsi="仿宋" w:eastAsia="仿宋" w:cs="仿宋"/>
          <w:sz w:val="21"/>
          <w:szCs w:val="21"/>
          <w:highlight w:val="none"/>
          <w:u w:val="single"/>
        </w:rPr>
      </w:pPr>
    </w:p>
    <w:tbl>
      <w:tblPr>
        <w:tblStyle w:val="1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6859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14:paraId="509E8DF6">
            <w:pPr>
              <w:pStyle w:val="39"/>
              <w:adjustRightInd w:val="0"/>
              <w:snapToGrid w:val="0"/>
              <w:spacing w:line="360" w:lineRule="auto"/>
              <w:rPr>
                <w:rFonts w:hint="eastAsia" w:ascii="仿宋" w:hAnsi="仿宋" w:eastAsia="仿宋" w:cs="仿宋"/>
                <w:sz w:val="21"/>
                <w:szCs w:val="21"/>
                <w:highlight w:val="none"/>
              </w:rPr>
            </w:pPr>
          </w:p>
          <w:p w14:paraId="236953B6">
            <w:pPr>
              <w:pStyle w:val="39"/>
              <w:adjustRightInd w:val="0"/>
              <w:snapToGrid w:val="0"/>
              <w:spacing w:line="360" w:lineRule="auto"/>
              <w:rPr>
                <w:rFonts w:hint="eastAsia" w:ascii="仿宋" w:hAnsi="仿宋" w:eastAsia="仿宋" w:cs="仿宋"/>
                <w:sz w:val="21"/>
                <w:szCs w:val="21"/>
                <w:highlight w:val="none"/>
              </w:rPr>
            </w:pPr>
          </w:p>
          <w:p w14:paraId="07BE2532">
            <w:pPr>
              <w:pStyle w:val="39"/>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被授权人身份证正反面</w:t>
            </w:r>
          </w:p>
        </w:tc>
      </w:tr>
    </w:tbl>
    <w:p w14:paraId="4522C577">
      <w:pPr>
        <w:pStyle w:val="40"/>
        <w:tabs>
          <w:tab w:val="left" w:pos="8786"/>
        </w:tabs>
        <w:adjustRightInd w:val="0"/>
        <w:snapToGrid w:val="0"/>
        <w:spacing w:after="0" w:line="360" w:lineRule="auto"/>
        <w:rPr>
          <w:rFonts w:hint="eastAsia" w:ascii="仿宋" w:hAnsi="仿宋" w:eastAsia="仿宋" w:cs="仿宋"/>
          <w:b/>
          <w:sz w:val="24"/>
          <w:highlight w:val="none"/>
        </w:rPr>
      </w:pPr>
    </w:p>
    <w:p w14:paraId="3FFF3940">
      <w:pPr>
        <w:pStyle w:val="40"/>
        <w:tabs>
          <w:tab w:val="left" w:pos="8786"/>
        </w:tabs>
        <w:adjustRightInd w:val="0"/>
        <w:snapToGrid w:val="0"/>
        <w:spacing w:after="0" w:line="360" w:lineRule="auto"/>
        <w:rPr>
          <w:rFonts w:hint="eastAsia" w:ascii="仿宋" w:hAnsi="仿宋" w:eastAsia="仿宋" w:cs="仿宋"/>
          <w:b/>
          <w:sz w:val="24"/>
          <w:highlight w:val="none"/>
        </w:rPr>
      </w:pPr>
    </w:p>
    <w:bookmarkEnd w:id="291"/>
    <w:bookmarkEnd w:id="292"/>
    <w:p w14:paraId="16F1CE9F">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07" w:name="_Toc11982"/>
      <w:bookmarkStart w:id="308" w:name="_Toc11007"/>
      <w:bookmarkStart w:id="309" w:name="_Toc15531"/>
      <w:bookmarkStart w:id="310" w:name="_Toc30995"/>
      <w:bookmarkStart w:id="311" w:name="_Toc21564"/>
      <w:bookmarkStart w:id="312" w:name="_Toc5455"/>
      <w:bookmarkStart w:id="313" w:name="_Toc18775"/>
      <w:bookmarkStart w:id="314" w:name="_Toc14851"/>
      <w:bookmarkStart w:id="315" w:name="_Toc581"/>
      <w:bookmarkStart w:id="316" w:name="_Toc514163617"/>
      <w:bookmarkStart w:id="317" w:name="_Toc514163730"/>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13A4C801">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602A2E24">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3017ADBF">
      <w:pPr>
        <w:pageBreakBefore/>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三、资格证明文件</w:t>
      </w:r>
      <w:bookmarkEnd w:id="307"/>
      <w:bookmarkEnd w:id="308"/>
      <w:bookmarkEnd w:id="309"/>
      <w:bookmarkEnd w:id="310"/>
      <w:bookmarkEnd w:id="311"/>
      <w:bookmarkEnd w:id="312"/>
      <w:bookmarkEnd w:id="313"/>
      <w:bookmarkEnd w:id="314"/>
      <w:bookmarkEnd w:id="315"/>
    </w:p>
    <w:p w14:paraId="3AAAC82A">
      <w:pPr>
        <w:pStyle w:val="42"/>
        <w:spacing w:line="360" w:lineRule="auto"/>
        <w:ind w:firstLine="241" w:firstLineChars="100"/>
        <w:outlineLvl w:val="2"/>
        <w:rPr>
          <w:rFonts w:hint="eastAsia" w:ascii="仿宋" w:hAnsi="仿宋" w:eastAsia="仿宋" w:cs="宋体"/>
          <w:bCs/>
          <w:sz w:val="24"/>
          <w:highlight w:val="none"/>
          <w:lang w:eastAsia="zh-CN"/>
        </w:rPr>
      </w:pPr>
      <w:r>
        <w:rPr>
          <w:rFonts w:hint="eastAsia" w:ascii="仿宋" w:hAnsi="仿宋" w:eastAsia="仿宋" w:cs="仿宋"/>
          <w:sz w:val="24"/>
          <w:highlight w:val="none"/>
          <w:lang w:val="en-US" w:eastAsia="zh-CN"/>
        </w:rPr>
        <w:t>供应商对照招标文件第三章评审办法（综合评分法）的《资格审查标准》要求提供相应证明材料。</w:t>
      </w:r>
    </w:p>
    <w:p w14:paraId="2A279F55">
      <w:pPr>
        <w:pStyle w:val="42"/>
        <w:spacing w:line="360" w:lineRule="auto"/>
        <w:outlineLvl w:val="2"/>
        <w:rPr>
          <w:rFonts w:hint="eastAsia" w:ascii="仿宋" w:hAnsi="仿宋" w:eastAsia="仿宋" w:cs="宋体"/>
          <w:bCs/>
          <w:sz w:val="24"/>
          <w:highlight w:val="none"/>
          <w:lang w:eastAsia="zh-CN"/>
        </w:rPr>
      </w:pPr>
    </w:p>
    <w:p w14:paraId="08F8A027">
      <w:pPr>
        <w:pStyle w:val="42"/>
        <w:spacing w:line="360" w:lineRule="auto"/>
        <w:outlineLvl w:val="2"/>
        <w:rPr>
          <w:rFonts w:hint="eastAsia" w:ascii="仿宋" w:hAnsi="仿宋" w:eastAsia="仿宋" w:cs="宋体"/>
          <w:bCs/>
          <w:sz w:val="24"/>
          <w:highlight w:val="none"/>
          <w:lang w:eastAsia="zh-CN"/>
        </w:rPr>
      </w:pPr>
    </w:p>
    <w:p w14:paraId="492B21C0">
      <w:pPr>
        <w:pStyle w:val="42"/>
        <w:adjustRightInd w:val="0"/>
        <w:snapToGrid w:val="0"/>
        <w:spacing w:line="360" w:lineRule="auto"/>
        <w:jc w:val="both"/>
        <w:rPr>
          <w:rFonts w:hint="eastAsia" w:ascii="仿宋" w:hAnsi="仿宋" w:eastAsia="仿宋" w:cs="仿宋"/>
          <w:sz w:val="24"/>
          <w:highlight w:val="none"/>
        </w:rPr>
      </w:pPr>
    </w:p>
    <w:p w14:paraId="7616F903">
      <w:pPr>
        <w:pageBreakBefore/>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附件1：</w:t>
      </w:r>
    </w:p>
    <w:p w14:paraId="47DF18D0">
      <w:pPr>
        <w:widowControl/>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lang w:eastAsia="zh-CN" w:bidi="ar"/>
        </w:rPr>
        <w:t>供应商</w:t>
      </w:r>
      <w:r>
        <w:rPr>
          <w:rFonts w:hint="eastAsia" w:ascii="仿宋" w:hAnsi="仿宋" w:eastAsia="仿宋" w:cs="仿宋"/>
          <w:b/>
          <w:sz w:val="28"/>
          <w:szCs w:val="28"/>
          <w:highlight w:val="none"/>
          <w:lang w:bidi="ar"/>
        </w:rPr>
        <w:t>声明函</w:t>
      </w:r>
    </w:p>
    <w:p w14:paraId="72BE6219">
      <w:pPr>
        <w:widowControl/>
        <w:snapToGrid w:val="0"/>
        <w:spacing w:line="360" w:lineRule="auto"/>
        <w:rPr>
          <w:rFonts w:hint="eastAsia" w:ascii="仿宋" w:hAnsi="仿宋" w:eastAsia="仿宋" w:cs="仿宋"/>
          <w:spacing w:val="6"/>
          <w:highlight w:val="none"/>
        </w:rPr>
      </w:pPr>
      <w:r>
        <w:rPr>
          <w:rFonts w:hint="eastAsia" w:ascii="仿宋" w:hAnsi="仿宋" w:eastAsia="仿宋" w:cs="仿宋"/>
          <w:spacing w:val="6"/>
          <w:highlight w:val="none"/>
        </w:rPr>
        <w:t>致：</w:t>
      </w:r>
      <w:r>
        <w:rPr>
          <w:rFonts w:hint="eastAsia" w:ascii="仿宋" w:hAnsi="仿宋" w:eastAsia="仿宋" w:cs="仿宋"/>
          <w:spacing w:val="6"/>
          <w:highlight w:val="none"/>
          <w:u w:val="single"/>
        </w:rPr>
        <w:t>采购人、采购代理机构</w:t>
      </w:r>
      <w:r>
        <w:rPr>
          <w:rFonts w:hint="eastAsia" w:ascii="仿宋" w:hAnsi="仿宋" w:eastAsia="仿宋" w:cs="仿宋"/>
          <w:spacing w:val="6"/>
          <w:highlight w:val="none"/>
        </w:rPr>
        <w:t xml:space="preserve">： </w:t>
      </w:r>
    </w:p>
    <w:p w14:paraId="68BDAF19">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本公司郑重承诺： </w:t>
      </w:r>
    </w:p>
    <w:p w14:paraId="701199E6">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1.我公司承诺，参加本项目政府采购活动前三年内，在经营活动中没有因违法经营受到刑事处罚或者责令停产停业、吊销许可证或者执照、较大数额罚款等行政处罚（如果因违法经营被禁止在一定期限内参加政府采购活动，期限已经届满）。</w:t>
      </w:r>
    </w:p>
    <w:p w14:paraId="070EEE75">
      <w:pPr>
        <w:widowControl/>
        <w:snapToGrid w:val="0"/>
        <w:spacing w:line="360" w:lineRule="auto"/>
        <w:ind w:firstLine="504" w:firstLineChars="200"/>
        <w:rPr>
          <w:rFonts w:hint="eastAsia" w:ascii="仿宋" w:hAnsi="仿宋" w:eastAsia="仿宋" w:cs="仿宋"/>
          <w:spacing w:val="6"/>
          <w:highlight w:val="none"/>
          <w:lang w:eastAsia="zh-CN"/>
        </w:rPr>
      </w:pPr>
      <w:r>
        <w:rPr>
          <w:rFonts w:hint="eastAsia" w:ascii="仿宋" w:hAnsi="仿宋" w:eastAsia="仿宋" w:cs="仿宋"/>
          <w:spacing w:val="6"/>
          <w:highlight w:val="none"/>
        </w:rPr>
        <w:t>2.</w:t>
      </w:r>
      <w:r>
        <w:rPr>
          <w:rFonts w:hint="eastAsia" w:ascii="仿宋" w:hAnsi="仿宋" w:eastAsia="仿宋" w:cs="仿宋"/>
          <w:spacing w:val="6"/>
          <w:highlight w:val="none"/>
          <w:lang w:eastAsia="zh-CN"/>
        </w:rPr>
        <w:t>我单位不存在以下情形：</w:t>
      </w:r>
    </w:p>
    <w:p w14:paraId="6D0B37EA">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E504D54">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与采购人存在利害关系可能影响采购公正性的法人、其他组织或者个人，不得参加本次采购活动。</w:t>
      </w:r>
    </w:p>
    <w:p w14:paraId="2472139E">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3.我公司承诺在投标过程中，保证不与其他单位围标、串标，不出让投标资格，不采取不正当手段诋毁、排挤其他投标</w:t>
      </w:r>
      <w:r>
        <w:rPr>
          <w:rFonts w:hint="eastAsia" w:ascii="仿宋" w:hAnsi="仿宋" w:eastAsia="仿宋" w:cs="仿宋"/>
          <w:spacing w:val="6"/>
          <w:highlight w:val="none"/>
          <w:lang w:eastAsia="zh-CN"/>
        </w:rPr>
        <w:t>供应商</w:t>
      </w:r>
      <w:r>
        <w:rPr>
          <w:rFonts w:hint="eastAsia" w:ascii="仿宋" w:hAnsi="仿宋" w:eastAsia="仿宋" w:cs="仿宋"/>
          <w:spacing w:val="6"/>
          <w:highlight w:val="none"/>
        </w:rPr>
        <w:t>，不向采购代理机构、评标委员会成员行贿。</w:t>
      </w:r>
    </w:p>
    <w:p w14:paraId="230E27DD">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 xml:space="preserve">4.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14:paraId="744BD5E2">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特此承诺！</w:t>
      </w:r>
    </w:p>
    <w:p w14:paraId="7B17C492">
      <w:pPr>
        <w:widowControl/>
        <w:snapToGrid w:val="0"/>
        <w:spacing w:line="360" w:lineRule="auto"/>
        <w:ind w:firstLine="504" w:firstLineChars="200"/>
        <w:rPr>
          <w:rFonts w:hint="eastAsia" w:ascii="仿宋" w:hAnsi="仿宋" w:eastAsia="仿宋" w:cs="仿宋"/>
          <w:spacing w:val="6"/>
          <w:highlight w:val="none"/>
        </w:rPr>
      </w:pPr>
      <w:r>
        <w:rPr>
          <w:rFonts w:hint="eastAsia" w:ascii="仿宋" w:hAnsi="仿宋" w:eastAsia="仿宋" w:cs="仿宋"/>
          <w:spacing w:val="6"/>
          <w:highlight w:val="none"/>
        </w:rPr>
        <w:t>（A）</w:t>
      </w:r>
    </w:p>
    <w:p w14:paraId="67793CF9">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1C9728D8">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5BAA0D0A">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E2E641F">
      <w:pPr>
        <w:pStyle w:val="37"/>
        <w:adjustRightInd w:val="0"/>
        <w:snapToGrid w:val="0"/>
        <w:spacing w:line="360" w:lineRule="auto"/>
        <w:ind w:firstLine="482" w:firstLineChars="200"/>
        <w:rPr>
          <w:rFonts w:hint="eastAsia" w:ascii="仿宋" w:hAnsi="仿宋" w:eastAsia="仿宋" w:cs="仿宋"/>
          <w:b/>
          <w:bCs/>
          <w:sz w:val="24"/>
          <w:szCs w:val="24"/>
          <w:highlight w:val="none"/>
        </w:rPr>
      </w:pPr>
    </w:p>
    <w:p w14:paraId="6FAF9C62">
      <w:pPr>
        <w:pStyle w:val="43"/>
        <w:adjustRightInd w:val="0"/>
        <w:snapToGrid w:val="0"/>
        <w:spacing w:line="360" w:lineRule="auto"/>
        <w:ind w:right="-97"/>
        <w:rPr>
          <w:rFonts w:hint="eastAsia" w:ascii="仿宋" w:hAnsi="仿宋" w:eastAsia="仿宋" w:cs="仿宋"/>
          <w:b/>
          <w:sz w:val="24"/>
          <w:highlight w:val="none"/>
        </w:rPr>
      </w:pPr>
    </w:p>
    <w:p w14:paraId="5B06B854">
      <w:pPr>
        <w:pStyle w:val="43"/>
        <w:pageBreakBefore/>
        <w:adjustRightInd w:val="0"/>
        <w:snapToGrid w:val="0"/>
        <w:spacing w:line="360" w:lineRule="auto"/>
        <w:ind w:right="-96"/>
        <w:rPr>
          <w:rFonts w:hint="eastAsia" w:ascii="仿宋" w:hAnsi="仿宋" w:eastAsia="仿宋" w:cs="仿宋"/>
          <w:b/>
          <w:sz w:val="28"/>
          <w:szCs w:val="24"/>
          <w:highlight w:val="none"/>
        </w:rPr>
      </w:pPr>
      <w:r>
        <w:rPr>
          <w:rFonts w:hint="eastAsia" w:ascii="仿宋" w:hAnsi="仿宋" w:eastAsia="仿宋" w:cs="仿宋"/>
          <w:b/>
          <w:sz w:val="28"/>
          <w:szCs w:val="24"/>
          <w:highlight w:val="none"/>
        </w:rPr>
        <w:t>附件2：</w:t>
      </w:r>
    </w:p>
    <w:p w14:paraId="0EBD815F">
      <w:pPr>
        <w:pStyle w:val="43"/>
        <w:adjustRightInd w:val="0"/>
        <w:snapToGrid w:val="0"/>
        <w:spacing w:line="360" w:lineRule="auto"/>
        <w:ind w:right="-97"/>
        <w:jc w:val="center"/>
        <w:rPr>
          <w:rFonts w:hint="eastAsia" w:ascii="仿宋" w:hAnsi="仿宋" w:eastAsia="仿宋" w:cs="仿宋"/>
          <w:b/>
          <w:sz w:val="28"/>
          <w:szCs w:val="24"/>
          <w:highlight w:val="none"/>
          <w:lang w:eastAsia="zh-CN"/>
        </w:rPr>
      </w:pPr>
      <w:r>
        <w:rPr>
          <w:rFonts w:hint="eastAsia" w:ascii="仿宋" w:hAnsi="仿宋" w:eastAsia="仿宋" w:cs="仿宋"/>
          <w:b/>
          <w:sz w:val="28"/>
          <w:szCs w:val="24"/>
          <w:highlight w:val="none"/>
        </w:rPr>
        <w:t>中小企业声明函</w:t>
      </w:r>
      <w:r>
        <w:rPr>
          <w:rFonts w:hint="eastAsia" w:ascii="仿宋" w:hAnsi="仿宋" w:eastAsia="仿宋" w:cs="仿宋"/>
          <w:b/>
          <w:sz w:val="28"/>
          <w:szCs w:val="24"/>
          <w:highlight w:val="none"/>
          <w:lang w:eastAsia="zh-CN"/>
        </w:rPr>
        <w:t>（货物）</w:t>
      </w:r>
    </w:p>
    <w:p w14:paraId="3077DE8E">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62A6860">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1E1E67B5">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（标的名称）</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（采购文件中明确的所属行业）</w:t>
      </w:r>
      <w:r>
        <w:rPr>
          <w:rFonts w:hint="eastAsia" w:ascii="仿宋" w:hAnsi="仿宋" w:eastAsia="仿宋" w:cs="宋体"/>
          <w:kern w:val="0"/>
          <w:sz w:val="24"/>
          <w:highlight w:val="none"/>
        </w:rPr>
        <w:t>；制造商为</w:t>
      </w:r>
      <w:r>
        <w:rPr>
          <w:rFonts w:hint="eastAsia" w:ascii="仿宋" w:hAnsi="仿宋" w:eastAsia="仿宋" w:cs="宋体"/>
          <w:kern w:val="0"/>
          <w:sz w:val="24"/>
          <w:highlight w:val="none"/>
          <w:u w:val="single"/>
        </w:rPr>
        <w:t>（企业名称）</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（中型企业、小型企业、微型企业）</w:t>
      </w:r>
      <w:r>
        <w:rPr>
          <w:rFonts w:hint="eastAsia" w:ascii="仿宋" w:hAnsi="仿宋" w:eastAsia="仿宋" w:cs="宋体"/>
          <w:kern w:val="0"/>
          <w:sz w:val="24"/>
          <w:highlight w:val="none"/>
        </w:rPr>
        <w:t>；</w:t>
      </w:r>
    </w:p>
    <w:p w14:paraId="28274E07">
      <w:pPr>
        <w:widowControl/>
        <w:spacing w:before="100" w:beforeAutospacing="1" w:after="100" w:afterAutospacing="1" w:line="30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w:t>
      </w:r>
    </w:p>
    <w:p w14:paraId="2F49A3D2">
      <w:pPr>
        <w:widowControl/>
        <w:spacing w:before="100" w:beforeAutospacing="1" w:after="100" w:afterAutospacing="1" w:line="360" w:lineRule="auto"/>
        <w:ind w:firstLine="480" w:firstLineChars="200"/>
        <w:jc w:val="left"/>
        <w:rPr>
          <w:rFonts w:hint="eastAsia"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23C908A0">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2A5F982C">
      <w:pPr>
        <w:widowControl/>
        <w:spacing w:before="100" w:beforeAutospacing="1" w:after="100" w:afterAutospacing="1" w:line="360" w:lineRule="auto"/>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                       企业名称</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r>
        <w:rPr>
          <w:rFonts w:hint="eastAsia" w:ascii="仿宋" w:hAnsi="仿宋" w:eastAsia="仿宋" w:cs="宋体"/>
          <w:kern w:val="0"/>
          <w:sz w:val="24"/>
          <w:highlight w:val="none"/>
        </w:rPr>
        <w:t>：</w:t>
      </w:r>
    </w:p>
    <w:p w14:paraId="5D540823">
      <w:pPr>
        <w:widowControl/>
        <w:spacing w:before="100" w:beforeAutospacing="1" w:after="100" w:afterAutospacing="1" w:line="360" w:lineRule="auto"/>
        <w:ind w:firstLine="480" w:firstLineChars="200"/>
        <w:jc w:val="left"/>
        <w:rPr>
          <w:rFonts w:hint="eastAsia" w:ascii="仿宋" w:hAnsi="仿宋" w:eastAsia="仿宋"/>
          <w:b/>
          <w:sz w:val="18"/>
          <w:szCs w:val="18"/>
          <w:highlight w:val="none"/>
        </w:rPr>
      </w:pPr>
      <w:r>
        <w:rPr>
          <w:rFonts w:hint="eastAsia" w:ascii="仿宋" w:hAnsi="仿宋" w:eastAsia="仿宋" w:cs="宋体"/>
          <w:kern w:val="0"/>
          <w:sz w:val="24"/>
          <w:highlight w:val="none"/>
        </w:rPr>
        <w:t xml:space="preserve">                      日期：</w:t>
      </w:r>
    </w:p>
    <w:p w14:paraId="1D214B04">
      <w:pPr>
        <w:snapToGrid w:val="0"/>
        <w:spacing w:line="360" w:lineRule="auto"/>
        <w:ind w:firstLine="361" w:firstLineChars="200"/>
        <w:rPr>
          <w:rFonts w:ascii="仿宋" w:hAnsi="仿宋" w:eastAsia="仿宋"/>
          <w:b/>
          <w:sz w:val="18"/>
          <w:szCs w:val="18"/>
          <w:highlight w:val="none"/>
        </w:rPr>
      </w:pPr>
      <w:r>
        <w:rPr>
          <w:rFonts w:hint="eastAsia" w:ascii="仿宋" w:hAnsi="仿宋" w:eastAsia="仿宋"/>
          <w:b/>
          <w:sz w:val="18"/>
          <w:szCs w:val="18"/>
          <w:highlight w:val="none"/>
        </w:rPr>
        <w:t>注1：从业人员、营业收入、资产总额填报上一年度数据，无上一年度数据的新成立企业可不填报。</w:t>
      </w:r>
    </w:p>
    <w:p w14:paraId="4CB1F7A0">
      <w:pPr>
        <w:snapToGrid w:val="0"/>
        <w:spacing w:line="360" w:lineRule="auto"/>
        <w:ind w:firstLine="361" w:firstLineChars="200"/>
        <w:rPr>
          <w:rFonts w:hint="eastAsia" w:ascii="仿宋" w:hAnsi="仿宋" w:eastAsia="仿宋"/>
          <w:b/>
          <w:sz w:val="18"/>
          <w:szCs w:val="18"/>
          <w:highlight w:val="none"/>
        </w:rPr>
      </w:pPr>
      <w:r>
        <w:rPr>
          <w:rFonts w:hint="eastAsia" w:ascii="仿宋" w:hAnsi="仿宋" w:eastAsia="仿宋"/>
          <w:b/>
          <w:sz w:val="18"/>
          <w:szCs w:val="18"/>
          <w:highlight w:val="none"/>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290F0E9A">
      <w:pPr>
        <w:pageBreakBefore/>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附件3：</w:t>
      </w:r>
    </w:p>
    <w:p w14:paraId="74DF9A59">
      <w:pPr>
        <w:spacing w:line="360" w:lineRule="auto"/>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监狱企业声明函</w:t>
      </w:r>
    </w:p>
    <w:p w14:paraId="1452712B">
      <w:pPr>
        <w:spacing w:line="360" w:lineRule="auto"/>
        <w:jc w:val="center"/>
        <w:rPr>
          <w:rFonts w:ascii="仿宋" w:hAnsi="仿宋" w:eastAsia="仿宋" w:cs="仿宋"/>
          <w:color w:val="000000"/>
          <w:spacing w:val="6"/>
          <w:highlight w:val="none"/>
        </w:rPr>
      </w:pPr>
      <w:r>
        <w:rPr>
          <w:rFonts w:hint="eastAsia" w:ascii="仿宋" w:hAnsi="仿宋" w:eastAsia="仿宋" w:cs="仿宋"/>
          <w:color w:val="000000"/>
          <w:spacing w:val="6"/>
          <w:highlight w:val="none"/>
        </w:rPr>
        <w:t>（监狱企业适用）</w:t>
      </w:r>
    </w:p>
    <w:p w14:paraId="3E1706ED">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本公司郑重声明，根据《关于政府采购支持监狱企业发展有关问题的通知》（财库[2014]68号）的规定，本公司为监狱企业。</w:t>
      </w:r>
    </w:p>
    <w:p w14:paraId="796B8E2D">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项目采购活动，采购活动提供本企业（填写制造的货物，由本企业承担工程、提供服务）。</w:t>
      </w:r>
    </w:p>
    <w:p w14:paraId="1452F30C">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本条所称货物不包括使用大型企业注册商标的货物和服务。</w:t>
      </w:r>
    </w:p>
    <w:p w14:paraId="70EAFC93">
      <w:pPr>
        <w:spacing w:line="360" w:lineRule="auto"/>
        <w:ind w:firstLine="567" w:firstLineChars="225"/>
        <w:rPr>
          <w:rFonts w:ascii="仿宋" w:hAnsi="仿宋" w:eastAsia="仿宋" w:cs="仿宋"/>
          <w:color w:val="000000"/>
          <w:spacing w:val="6"/>
          <w:highlight w:val="none"/>
        </w:rPr>
      </w:pPr>
      <w:r>
        <w:rPr>
          <w:rFonts w:hint="eastAsia" w:ascii="仿宋" w:hAnsi="仿宋" w:eastAsia="仿宋" w:cs="仿宋"/>
          <w:color w:val="000000"/>
          <w:spacing w:val="6"/>
          <w:highlight w:val="none"/>
        </w:rPr>
        <w:t>本公司对上述声明的真实性负责。如有虚假，将依法承担相应责任。</w:t>
      </w:r>
    </w:p>
    <w:p w14:paraId="6B64EFB5">
      <w:pPr>
        <w:spacing w:line="360" w:lineRule="auto"/>
        <w:ind w:firstLine="5103" w:firstLineChars="2025"/>
        <w:rPr>
          <w:rFonts w:ascii="仿宋" w:hAnsi="仿宋" w:eastAsia="仿宋" w:cs="仿宋"/>
          <w:color w:val="000000"/>
          <w:spacing w:val="6"/>
          <w:highlight w:val="none"/>
        </w:rPr>
      </w:pPr>
    </w:p>
    <w:p w14:paraId="77E42FB0">
      <w:pPr>
        <w:pStyle w:val="18"/>
        <w:rPr>
          <w:highlight w:val="none"/>
        </w:rPr>
      </w:pPr>
    </w:p>
    <w:p w14:paraId="43066B0D">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555654B">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33E09795">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6FCC4653">
      <w:pPr>
        <w:spacing w:line="360" w:lineRule="auto"/>
        <w:ind w:firstLine="1260" w:firstLineChars="500"/>
        <w:rPr>
          <w:rFonts w:ascii="仿宋" w:hAnsi="仿宋" w:eastAsia="仿宋" w:cs="仿宋"/>
          <w:color w:val="000000"/>
          <w:spacing w:val="6"/>
          <w:highlight w:val="none"/>
        </w:rPr>
      </w:pPr>
    </w:p>
    <w:p w14:paraId="31D294C7">
      <w:pPr>
        <w:spacing w:line="440" w:lineRule="exact"/>
        <w:ind w:firstLine="141" w:firstLineChars="50"/>
        <w:rPr>
          <w:rFonts w:hint="eastAsia" w:ascii="仿宋" w:hAnsi="仿宋" w:eastAsia="仿宋" w:cs="仿宋"/>
          <w:b/>
          <w:color w:val="000000"/>
          <w:sz w:val="28"/>
          <w:szCs w:val="28"/>
          <w:highlight w:val="none"/>
        </w:rPr>
      </w:pPr>
    </w:p>
    <w:p w14:paraId="4BE9C6FE">
      <w:pPr>
        <w:spacing w:line="440" w:lineRule="exact"/>
        <w:ind w:firstLine="141" w:firstLineChars="50"/>
        <w:rPr>
          <w:rFonts w:hint="eastAsia" w:ascii="仿宋" w:hAnsi="仿宋" w:eastAsia="仿宋" w:cs="仿宋"/>
          <w:b/>
          <w:color w:val="000000"/>
          <w:sz w:val="28"/>
          <w:szCs w:val="28"/>
          <w:highlight w:val="none"/>
        </w:rPr>
      </w:pPr>
    </w:p>
    <w:p w14:paraId="4DB905A6">
      <w:pPr>
        <w:spacing w:line="440" w:lineRule="exact"/>
        <w:ind w:firstLine="141" w:firstLineChars="50"/>
        <w:rPr>
          <w:rFonts w:hint="eastAsia" w:ascii="仿宋" w:hAnsi="仿宋" w:eastAsia="仿宋" w:cs="仿宋"/>
          <w:b/>
          <w:color w:val="000000"/>
          <w:sz w:val="28"/>
          <w:szCs w:val="28"/>
          <w:highlight w:val="none"/>
        </w:rPr>
      </w:pPr>
    </w:p>
    <w:p w14:paraId="52A66D0B">
      <w:pPr>
        <w:spacing w:line="440" w:lineRule="exact"/>
        <w:ind w:firstLine="141" w:firstLineChars="50"/>
        <w:rPr>
          <w:rFonts w:hint="eastAsia" w:ascii="仿宋" w:hAnsi="仿宋" w:eastAsia="仿宋" w:cs="仿宋"/>
          <w:b/>
          <w:color w:val="000000"/>
          <w:sz w:val="28"/>
          <w:szCs w:val="28"/>
          <w:highlight w:val="none"/>
        </w:rPr>
      </w:pPr>
    </w:p>
    <w:p w14:paraId="2E33BE29">
      <w:pPr>
        <w:pStyle w:val="18"/>
        <w:rPr>
          <w:rFonts w:hint="eastAsia" w:ascii="仿宋" w:hAnsi="仿宋" w:eastAsia="仿宋" w:cs="仿宋"/>
          <w:b/>
          <w:color w:val="000000"/>
          <w:sz w:val="28"/>
          <w:szCs w:val="28"/>
          <w:highlight w:val="none"/>
        </w:rPr>
      </w:pPr>
    </w:p>
    <w:p w14:paraId="270FD137">
      <w:pPr>
        <w:rPr>
          <w:rFonts w:hint="eastAsia" w:ascii="仿宋" w:hAnsi="仿宋" w:eastAsia="仿宋" w:cs="仿宋"/>
          <w:b/>
          <w:color w:val="000000"/>
          <w:sz w:val="28"/>
          <w:szCs w:val="28"/>
          <w:highlight w:val="none"/>
        </w:rPr>
      </w:pPr>
    </w:p>
    <w:p w14:paraId="2AF64EFA">
      <w:pPr>
        <w:pStyle w:val="18"/>
        <w:rPr>
          <w:rFonts w:hint="eastAsia" w:ascii="仿宋" w:hAnsi="仿宋" w:eastAsia="仿宋" w:cs="仿宋"/>
          <w:b/>
          <w:color w:val="000000"/>
          <w:sz w:val="28"/>
          <w:szCs w:val="28"/>
          <w:highlight w:val="none"/>
        </w:rPr>
      </w:pPr>
    </w:p>
    <w:p w14:paraId="130C90C9">
      <w:pPr>
        <w:rPr>
          <w:rFonts w:hint="eastAsia" w:ascii="仿宋" w:hAnsi="仿宋" w:eastAsia="仿宋" w:cs="仿宋"/>
          <w:b/>
          <w:color w:val="000000"/>
          <w:sz w:val="28"/>
          <w:szCs w:val="28"/>
          <w:highlight w:val="none"/>
        </w:rPr>
      </w:pPr>
    </w:p>
    <w:p w14:paraId="5E1BD73E">
      <w:pPr>
        <w:pStyle w:val="18"/>
        <w:rPr>
          <w:rFonts w:hint="eastAsia" w:ascii="仿宋" w:hAnsi="仿宋" w:eastAsia="仿宋" w:cs="仿宋"/>
          <w:b/>
          <w:color w:val="000000"/>
          <w:sz w:val="28"/>
          <w:szCs w:val="28"/>
          <w:highlight w:val="none"/>
        </w:rPr>
      </w:pPr>
    </w:p>
    <w:p w14:paraId="051FC359">
      <w:pPr>
        <w:rPr>
          <w:rFonts w:hint="eastAsia" w:ascii="仿宋" w:hAnsi="仿宋" w:eastAsia="仿宋" w:cs="仿宋"/>
          <w:b/>
          <w:color w:val="000000"/>
          <w:sz w:val="28"/>
          <w:szCs w:val="28"/>
          <w:highlight w:val="none"/>
        </w:rPr>
      </w:pPr>
    </w:p>
    <w:p w14:paraId="5EB7D94C">
      <w:pPr>
        <w:pStyle w:val="18"/>
        <w:rPr>
          <w:rFonts w:hint="eastAsia" w:ascii="仿宋" w:hAnsi="仿宋" w:eastAsia="仿宋" w:cs="仿宋"/>
          <w:b/>
          <w:color w:val="000000"/>
          <w:sz w:val="28"/>
          <w:szCs w:val="28"/>
          <w:highlight w:val="none"/>
        </w:rPr>
      </w:pPr>
    </w:p>
    <w:p w14:paraId="056BEFE4">
      <w:pPr>
        <w:rPr>
          <w:rFonts w:hint="eastAsia" w:ascii="仿宋" w:hAnsi="仿宋" w:eastAsia="仿宋" w:cs="仿宋"/>
          <w:b/>
          <w:color w:val="000000"/>
          <w:sz w:val="28"/>
          <w:szCs w:val="28"/>
          <w:highlight w:val="none"/>
        </w:rPr>
      </w:pPr>
    </w:p>
    <w:p w14:paraId="7ACFED37">
      <w:pPr>
        <w:pStyle w:val="18"/>
        <w:rPr>
          <w:rFonts w:hint="eastAsia" w:ascii="仿宋" w:hAnsi="仿宋" w:eastAsia="仿宋" w:cs="仿宋"/>
          <w:b/>
          <w:color w:val="000000"/>
          <w:sz w:val="28"/>
          <w:szCs w:val="28"/>
          <w:highlight w:val="none"/>
        </w:rPr>
      </w:pPr>
    </w:p>
    <w:p w14:paraId="67C61828">
      <w:pPr>
        <w:spacing w:line="440" w:lineRule="exact"/>
        <w:ind w:firstLine="141" w:firstLineChars="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附件4：</w:t>
      </w:r>
    </w:p>
    <w:p w14:paraId="6E2D95EE">
      <w:pPr>
        <w:spacing w:line="440" w:lineRule="exact"/>
        <w:ind w:firstLine="141" w:firstLineChars="5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残疾人福利性单位声明函</w:t>
      </w:r>
    </w:p>
    <w:p w14:paraId="3A5A8620">
      <w:pPr>
        <w:spacing w:line="440" w:lineRule="exact"/>
        <w:rPr>
          <w:rFonts w:ascii="仿宋" w:hAnsi="仿宋" w:eastAsia="仿宋" w:cs="仿宋"/>
          <w:b/>
          <w:bCs/>
          <w:color w:val="000000"/>
          <w:spacing w:val="6"/>
          <w:highlight w:val="none"/>
        </w:rPr>
      </w:pPr>
    </w:p>
    <w:p w14:paraId="5364AAAB">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单位的</w:t>
      </w:r>
      <w:r>
        <w:rPr>
          <w:rFonts w:hint="eastAsia" w:ascii="仿宋" w:hAnsi="仿宋" w:eastAsia="仿宋" w:cs="仿宋"/>
          <w:color w:val="000000"/>
          <w:spacing w:val="6"/>
          <w:highlight w:val="none"/>
          <w:u w:val="single"/>
          <w:lang w:val="en-US" w:eastAsia="zh-CN"/>
        </w:rPr>
        <w:t xml:space="preserve">        </w:t>
      </w:r>
      <w:r>
        <w:rPr>
          <w:rFonts w:hint="eastAsia" w:ascii="仿宋" w:hAnsi="仿宋" w:eastAsia="仿宋" w:cs="仿宋"/>
          <w:color w:val="000000"/>
          <w:spacing w:val="6"/>
          <w:highlight w:val="none"/>
        </w:rPr>
        <w:t>项目采购活动提供本单位制造的货物（由本单位承担工程/提供服务），或者提供其他残疾人福利性单位制造的货物（不包括使用非残疾人福利性单位注册商标的货物）。</w:t>
      </w:r>
    </w:p>
    <w:p w14:paraId="43C0AFB8">
      <w:pPr>
        <w:widowControl/>
        <w:snapToGrid w:val="0"/>
        <w:spacing w:line="440" w:lineRule="exact"/>
        <w:ind w:firstLine="504" w:firstLineChars="200"/>
        <w:rPr>
          <w:rFonts w:ascii="仿宋" w:hAnsi="仿宋" w:eastAsia="仿宋" w:cs="仿宋"/>
          <w:color w:val="000000"/>
          <w:spacing w:val="6"/>
          <w:highlight w:val="none"/>
        </w:rPr>
      </w:pPr>
      <w:r>
        <w:rPr>
          <w:rFonts w:hint="eastAsia" w:ascii="仿宋" w:hAnsi="仿宋" w:eastAsia="仿宋" w:cs="仿宋"/>
          <w:color w:val="000000"/>
          <w:spacing w:val="6"/>
          <w:highlight w:val="none"/>
        </w:rPr>
        <w:t>本单位对上述声明的真实性负责。如有虚假，将依法承担相应责任。</w:t>
      </w:r>
    </w:p>
    <w:p w14:paraId="07C2042C">
      <w:pPr>
        <w:widowControl/>
        <w:snapToGrid w:val="0"/>
        <w:spacing w:line="440" w:lineRule="exact"/>
        <w:ind w:firstLine="504" w:firstLineChars="200"/>
        <w:rPr>
          <w:rFonts w:ascii="仿宋" w:hAnsi="仿宋" w:eastAsia="仿宋" w:cs="仿宋"/>
          <w:color w:val="000000"/>
          <w:spacing w:val="6"/>
          <w:highlight w:val="none"/>
        </w:rPr>
      </w:pPr>
    </w:p>
    <w:p w14:paraId="69B74FB4">
      <w:pPr>
        <w:widowControl/>
        <w:snapToGrid w:val="0"/>
        <w:spacing w:line="360" w:lineRule="auto"/>
        <w:rPr>
          <w:rFonts w:ascii="仿宋" w:hAnsi="仿宋" w:eastAsia="仿宋" w:cs="仿宋"/>
          <w:b/>
          <w:bCs/>
          <w:color w:val="000000"/>
          <w:spacing w:val="6"/>
          <w:highlight w:val="none"/>
        </w:rPr>
      </w:pPr>
      <w:r>
        <w:rPr>
          <w:rFonts w:hint="eastAsia" w:ascii="仿宋" w:hAnsi="仿宋" w:eastAsia="仿宋" w:cs="仿宋"/>
          <w:b/>
          <w:bCs/>
          <w:color w:val="000000"/>
          <w:spacing w:val="6"/>
          <w:highlight w:val="none"/>
        </w:rPr>
        <w:t>单位名称：</w:t>
      </w:r>
      <w:r>
        <w:rPr>
          <w:rFonts w:hint="eastAsia" w:ascii="仿宋" w:hAnsi="仿宋" w:eastAsia="仿宋" w:cs="仿宋"/>
          <w:b/>
          <w:bCs/>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w:t>
      </w:r>
      <w:r>
        <w:rPr>
          <w:rFonts w:hint="eastAsia" w:ascii="仿宋" w:hAnsi="仿宋" w:eastAsia="仿宋" w:cs="仿宋"/>
          <w:b/>
          <w:bCs/>
          <w:sz w:val="24"/>
          <w:szCs w:val="24"/>
          <w:highlight w:val="none"/>
        </w:rPr>
        <w:t>章)</w:t>
      </w:r>
    </w:p>
    <w:p w14:paraId="4C1843B6">
      <w:pPr>
        <w:pStyle w:val="8"/>
        <w:snapToGrid w:val="0"/>
        <w:spacing w:line="360" w:lineRule="auto"/>
        <w:rPr>
          <w:rFonts w:hint="eastAsia" w:ascii="仿宋" w:hAnsi="仿宋" w:eastAsia="仿宋" w:cs="仿宋"/>
          <w:b/>
          <w:bCs/>
          <w:color w:val="auto"/>
          <w:spacing w:val="24"/>
          <w:sz w:val="24"/>
          <w:highlight w:val="none"/>
        </w:rPr>
      </w:pPr>
      <w:r>
        <w:rPr>
          <w:rFonts w:hint="eastAsia" w:ascii="仿宋" w:hAnsi="仿宋" w:eastAsia="仿宋" w:cs="仿宋"/>
          <w:b/>
          <w:bCs/>
          <w:color w:val="auto"/>
          <w:spacing w:val="24"/>
          <w:sz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日</w:t>
      </w:r>
    </w:p>
    <w:p w14:paraId="557628F0">
      <w:pPr>
        <w:pStyle w:val="10"/>
        <w:spacing w:line="360" w:lineRule="auto"/>
        <w:ind w:firstLine="361" w:firstLineChars="150"/>
        <w:rPr>
          <w:rFonts w:ascii="仿宋" w:hAnsi="仿宋" w:eastAsia="仿宋" w:cs="仿宋"/>
          <w:b/>
          <w:bCs/>
          <w:sz w:val="24"/>
          <w:highlight w:val="none"/>
          <w:em w:val="dot"/>
        </w:rPr>
      </w:pPr>
    </w:p>
    <w:p w14:paraId="1E8D790F">
      <w:pPr>
        <w:pStyle w:val="6"/>
        <w:spacing w:line="360" w:lineRule="auto"/>
        <w:ind w:left="0" w:leftChars="0" w:firstLine="0" w:firstLineChars="0"/>
        <w:rPr>
          <w:rFonts w:hint="eastAsia" w:ascii="仿宋" w:hAnsi="仿宋" w:eastAsia="仿宋" w:cs="仿宋"/>
          <w:b/>
          <w:bCs/>
          <w:kern w:val="0"/>
          <w:sz w:val="24"/>
          <w:highlight w:val="none"/>
        </w:rPr>
      </w:pPr>
    </w:p>
    <w:p w14:paraId="23F12826">
      <w:pPr>
        <w:spacing w:line="440" w:lineRule="exact"/>
        <w:rPr>
          <w:rFonts w:hint="eastAsia" w:ascii="仿宋" w:hAnsi="仿宋" w:eastAsia="仿宋" w:cs="仿宋"/>
          <w:b/>
          <w:color w:val="000000"/>
          <w:sz w:val="28"/>
          <w:szCs w:val="28"/>
          <w:highlight w:val="none"/>
        </w:rPr>
      </w:pPr>
    </w:p>
    <w:p w14:paraId="625DD392">
      <w:pPr>
        <w:spacing w:line="440" w:lineRule="exact"/>
        <w:rPr>
          <w:rFonts w:hint="eastAsia" w:ascii="仿宋" w:hAnsi="仿宋" w:eastAsia="仿宋" w:cs="仿宋"/>
          <w:b/>
          <w:color w:val="000000"/>
          <w:sz w:val="28"/>
          <w:szCs w:val="28"/>
          <w:highlight w:val="none"/>
        </w:rPr>
      </w:pPr>
    </w:p>
    <w:p w14:paraId="1A856C91">
      <w:pPr>
        <w:spacing w:line="44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附件</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w:t>
      </w:r>
    </w:p>
    <w:p w14:paraId="6C47FD7B">
      <w:pPr>
        <w:spacing w:line="360" w:lineRule="auto"/>
        <w:rPr>
          <w:rFonts w:ascii="仿宋" w:hAnsi="仿宋" w:eastAsia="仿宋" w:cs="仿宋"/>
          <w:color w:val="000000"/>
          <w:szCs w:val="21"/>
          <w:highlight w:val="none"/>
          <w:lang w:bidi="zh-CN"/>
        </w:rPr>
      </w:pPr>
      <w:r>
        <w:rPr>
          <w:rFonts w:hint="eastAsia" w:ascii="仿宋" w:hAnsi="仿宋" w:eastAsia="仿宋" w:cs="仿宋"/>
          <w:color w:val="000000"/>
          <w:szCs w:val="21"/>
          <w:highlight w:val="none"/>
          <w:lang w:bidi="zh-CN"/>
        </w:rPr>
        <w:t>1、保证金汇款凭证或有效期内的保函</w:t>
      </w:r>
    </w:p>
    <w:p w14:paraId="3174B517">
      <w:pPr>
        <w:spacing w:line="440" w:lineRule="exact"/>
        <w:ind w:firstLine="141" w:firstLineChars="50"/>
        <w:rPr>
          <w:rFonts w:hint="eastAsia" w:ascii="仿宋" w:hAnsi="仿宋" w:eastAsia="仿宋" w:cs="仿宋"/>
          <w:b/>
          <w:color w:val="000000"/>
          <w:sz w:val="28"/>
          <w:szCs w:val="28"/>
          <w:highlight w:val="none"/>
        </w:rPr>
      </w:pPr>
    </w:p>
    <w:p w14:paraId="2A3DB475">
      <w:pPr>
        <w:spacing w:line="440" w:lineRule="exact"/>
        <w:ind w:firstLine="141" w:firstLineChars="50"/>
        <w:rPr>
          <w:rFonts w:hint="eastAsia" w:ascii="仿宋" w:hAnsi="仿宋" w:eastAsia="仿宋" w:cs="仿宋"/>
          <w:b/>
          <w:color w:val="000000"/>
          <w:sz w:val="28"/>
          <w:szCs w:val="28"/>
          <w:highlight w:val="none"/>
        </w:rPr>
      </w:pPr>
    </w:p>
    <w:p w14:paraId="7A078668">
      <w:pPr>
        <w:spacing w:line="440" w:lineRule="exact"/>
        <w:ind w:firstLine="141" w:firstLineChars="50"/>
        <w:rPr>
          <w:rFonts w:hint="eastAsia" w:ascii="仿宋" w:hAnsi="仿宋" w:eastAsia="仿宋" w:cs="仿宋"/>
          <w:b/>
          <w:color w:val="000000"/>
          <w:sz w:val="28"/>
          <w:szCs w:val="28"/>
          <w:highlight w:val="none"/>
        </w:rPr>
      </w:pPr>
      <w:bookmarkStart w:id="318" w:name="_Toc30613"/>
    </w:p>
    <w:p w14:paraId="42945465">
      <w:pPr>
        <w:spacing w:line="440" w:lineRule="exact"/>
        <w:ind w:firstLine="141" w:firstLineChars="50"/>
        <w:rPr>
          <w:rFonts w:hint="eastAsia" w:ascii="仿宋" w:hAnsi="仿宋" w:eastAsia="仿宋" w:cs="仿宋"/>
          <w:b/>
          <w:color w:val="000000"/>
          <w:sz w:val="28"/>
          <w:szCs w:val="28"/>
          <w:highlight w:val="none"/>
        </w:rPr>
      </w:pPr>
    </w:p>
    <w:p w14:paraId="40FC82FC">
      <w:pPr>
        <w:spacing w:line="440" w:lineRule="exact"/>
        <w:ind w:firstLine="141" w:firstLineChars="50"/>
        <w:rPr>
          <w:rFonts w:hint="eastAsia" w:ascii="仿宋" w:hAnsi="仿宋" w:eastAsia="仿宋" w:cs="仿宋"/>
          <w:b/>
          <w:color w:val="000000"/>
          <w:sz w:val="28"/>
          <w:szCs w:val="28"/>
          <w:highlight w:val="none"/>
        </w:rPr>
      </w:pPr>
    </w:p>
    <w:p w14:paraId="02B688FF">
      <w:pPr>
        <w:pStyle w:val="45"/>
        <w:adjustRightInd w:val="0"/>
        <w:snapToGrid w:val="0"/>
        <w:spacing w:line="360" w:lineRule="auto"/>
        <w:rPr>
          <w:rFonts w:hint="eastAsia" w:ascii="仿宋" w:hAnsi="仿宋" w:eastAsia="仿宋" w:cs="仿宋"/>
          <w:b/>
          <w:bCs/>
          <w:sz w:val="24"/>
          <w:szCs w:val="24"/>
          <w:highlight w:val="none"/>
        </w:rPr>
      </w:pPr>
    </w:p>
    <w:p w14:paraId="66162E98">
      <w:pPr>
        <w:pStyle w:val="8"/>
        <w:rPr>
          <w:rFonts w:hint="eastAsia" w:ascii="仿宋" w:hAnsi="仿宋" w:eastAsia="仿宋" w:cs="仿宋"/>
          <w:b/>
          <w:bCs/>
          <w:color w:val="auto"/>
          <w:sz w:val="28"/>
          <w:szCs w:val="28"/>
          <w:highlight w:val="none"/>
        </w:rPr>
      </w:pPr>
    </w:p>
    <w:p w14:paraId="4942B827">
      <w:pPr>
        <w:spacing w:line="360" w:lineRule="auto"/>
        <w:rPr>
          <w:rFonts w:hint="eastAsia" w:ascii="仿宋" w:hAnsi="仿宋" w:eastAsia="仿宋" w:cs="仿宋"/>
          <w:color w:val="000000"/>
          <w:szCs w:val="21"/>
          <w:highlight w:val="none"/>
          <w:lang w:bidi="zh-CN"/>
        </w:rPr>
      </w:pPr>
    </w:p>
    <w:p w14:paraId="66C92A24">
      <w:pPr>
        <w:spacing w:line="360" w:lineRule="auto"/>
        <w:rPr>
          <w:rFonts w:hint="eastAsia" w:ascii="仿宋" w:hAnsi="仿宋" w:eastAsia="仿宋" w:cs="仿宋"/>
          <w:color w:val="000000"/>
          <w:szCs w:val="21"/>
          <w:highlight w:val="none"/>
          <w:lang w:bidi="zh-CN"/>
        </w:rPr>
      </w:pPr>
    </w:p>
    <w:p w14:paraId="47F289B8">
      <w:pPr>
        <w:rPr>
          <w:rFonts w:hint="eastAsia" w:ascii="仿宋" w:hAnsi="仿宋" w:eastAsia="仿宋" w:cs="仿宋"/>
          <w:b/>
          <w:highlight w:val="none"/>
        </w:rPr>
      </w:pPr>
    </w:p>
    <w:p w14:paraId="582A45CC">
      <w:pPr>
        <w:pageBreakBefore/>
        <w:snapToGrid w:val="0"/>
        <w:spacing w:line="360" w:lineRule="auto"/>
        <w:jc w:val="center"/>
        <w:rPr>
          <w:rFonts w:hint="eastAsia" w:ascii="仿宋" w:hAnsi="仿宋" w:eastAsia="仿宋" w:cs="仿宋"/>
          <w:b/>
          <w:sz w:val="28"/>
          <w:szCs w:val="28"/>
          <w:highlight w:val="none"/>
        </w:rPr>
      </w:pPr>
      <w:bookmarkStart w:id="319" w:name="_Toc10628"/>
      <w:bookmarkStart w:id="320" w:name="_Toc5239"/>
      <w:bookmarkStart w:id="321" w:name="_Toc18760"/>
      <w:bookmarkStart w:id="322" w:name="_Toc15756"/>
      <w:bookmarkStart w:id="323" w:name="_Toc22654"/>
      <w:bookmarkStart w:id="324" w:name="_Toc22684"/>
      <w:bookmarkStart w:id="325" w:name="_Toc31559"/>
      <w:r>
        <w:rPr>
          <w:rFonts w:hint="eastAsia" w:ascii="仿宋" w:hAnsi="仿宋" w:eastAsia="仿宋" w:cs="仿宋"/>
          <w:b/>
          <w:sz w:val="28"/>
          <w:szCs w:val="28"/>
          <w:highlight w:val="none"/>
        </w:rPr>
        <w:t>四、开标一览表</w:t>
      </w:r>
      <w:bookmarkEnd w:id="318"/>
      <w:bookmarkEnd w:id="319"/>
      <w:bookmarkEnd w:id="320"/>
      <w:bookmarkEnd w:id="321"/>
      <w:bookmarkEnd w:id="322"/>
      <w:bookmarkEnd w:id="323"/>
      <w:bookmarkEnd w:id="324"/>
      <w:bookmarkEnd w:id="325"/>
    </w:p>
    <w:p w14:paraId="6A6F8A64">
      <w:pPr>
        <w:pStyle w:val="46"/>
        <w:adjustRightInd w:val="0"/>
        <w:snapToGrid w:val="0"/>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 xml:space="preserve">                 </w:t>
      </w:r>
    </w:p>
    <w:tbl>
      <w:tblPr>
        <w:tblStyle w:val="1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383"/>
      </w:tblGrid>
      <w:tr w14:paraId="4237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676" w:type="dxa"/>
            <w:tcBorders>
              <w:bottom w:val="single" w:color="auto" w:sz="4" w:space="0"/>
            </w:tcBorders>
            <w:noWrap w:val="0"/>
            <w:vAlign w:val="center"/>
          </w:tcPr>
          <w:p w14:paraId="45B39C44">
            <w:pPr>
              <w:pStyle w:val="47"/>
              <w:tabs>
                <w:tab w:val="left" w:pos="1337"/>
              </w:tabs>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Cs/>
                <w:sz w:val="21"/>
                <w:szCs w:val="21"/>
                <w:highlight w:val="none"/>
              </w:rPr>
              <w:t>项目名称</w:t>
            </w:r>
          </w:p>
        </w:tc>
        <w:tc>
          <w:tcPr>
            <w:tcW w:w="7383" w:type="dxa"/>
            <w:tcBorders>
              <w:bottom w:val="single" w:color="auto" w:sz="4" w:space="0"/>
            </w:tcBorders>
            <w:noWrap w:val="0"/>
            <w:vAlign w:val="center"/>
          </w:tcPr>
          <w:p w14:paraId="37056563">
            <w:pPr>
              <w:pStyle w:val="47"/>
              <w:tabs>
                <w:tab w:val="left" w:pos="1337"/>
              </w:tabs>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sz w:val="21"/>
                <w:szCs w:val="21"/>
                <w:highlight w:val="none"/>
                <w:u w:val="single"/>
              </w:rPr>
              <w:t xml:space="preserve">                                </w:t>
            </w:r>
          </w:p>
        </w:tc>
      </w:tr>
      <w:tr w14:paraId="2F80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676" w:type="dxa"/>
            <w:tcBorders>
              <w:bottom w:val="single" w:color="auto" w:sz="4" w:space="0"/>
            </w:tcBorders>
            <w:noWrap w:val="0"/>
            <w:vAlign w:val="center"/>
          </w:tcPr>
          <w:p w14:paraId="7D5E92C9">
            <w:pPr>
              <w:pStyle w:val="47"/>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项目编号</w:t>
            </w:r>
          </w:p>
        </w:tc>
        <w:tc>
          <w:tcPr>
            <w:tcW w:w="7383" w:type="dxa"/>
            <w:tcBorders>
              <w:bottom w:val="single" w:color="auto" w:sz="4" w:space="0"/>
            </w:tcBorders>
            <w:noWrap w:val="0"/>
            <w:vAlign w:val="center"/>
          </w:tcPr>
          <w:p w14:paraId="5B885F33">
            <w:pPr>
              <w:pStyle w:val="47"/>
              <w:tabs>
                <w:tab w:val="left" w:pos="1337"/>
              </w:tabs>
              <w:adjustRightInd w:val="0"/>
              <w:snapToGrid w:val="0"/>
              <w:spacing w:line="360" w:lineRule="auto"/>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rPr>
              <w:t xml:space="preserve">                                </w:t>
            </w:r>
          </w:p>
        </w:tc>
      </w:tr>
      <w:tr w14:paraId="7C83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76" w:type="dxa"/>
            <w:noWrap w:val="0"/>
            <w:vAlign w:val="center"/>
          </w:tcPr>
          <w:p w14:paraId="34DC8451">
            <w:pPr>
              <w:pStyle w:val="47"/>
              <w:tabs>
                <w:tab w:val="left" w:pos="1337"/>
              </w:tabs>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Cs/>
                <w:sz w:val="21"/>
                <w:szCs w:val="21"/>
                <w:highlight w:val="none"/>
              </w:rPr>
              <w:t>投标报价</w:t>
            </w:r>
          </w:p>
        </w:tc>
        <w:tc>
          <w:tcPr>
            <w:tcW w:w="7383" w:type="dxa"/>
            <w:noWrap w:val="0"/>
            <w:vAlign w:val="center"/>
          </w:tcPr>
          <w:p w14:paraId="5400FE4C">
            <w:pPr>
              <w:pStyle w:val="47"/>
              <w:tabs>
                <w:tab w:val="left" w:pos="1337"/>
              </w:tabs>
              <w:adjustRightInd w:val="0"/>
              <w:snapToGrid w:val="0"/>
              <w:spacing w:line="360" w:lineRule="auto"/>
              <w:rPr>
                <w:rFonts w:hint="eastAsia" w:ascii="仿宋" w:hAnsi="仿宋" w:eastAsia="仿宋" w:cs="仿宋"/>
                <w:bCs/>
                <w:sz w:val="21"/>
                <w:szCs w:val="21"/>
                <w:highlight w:val="none"/>
              </w:rPr>
            </w:pPr>
          </w:p>
          <w:p w14:paraId="45723338">
            <w:pPr>
              <w:pStyle w:val="47"/>
              <w:tabs>
                <w:tab w:val="left" w:pos="1337"/>
              </w:tabs>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小写：</w:t>
            </w:r>
            <w:r>
              <w:rPr>
                <w:rFonts w:hint="eastAsia" w:ascii="仿宋" w:hAnsi="仿宋" w:eastAsia="仿宋" w:cs="仿宋"/>
                <w:bCs/>
                <w:sz w:val="21"/>
                <w:szCs w:val="21"/>
                <w:highlight w:val="none"/>
                <w:u w:val="single"/>
              </w:rPr>
              <w:t xml:space="preserve">                          </w:t>
            </w:r>
          </w:p>
          <w:p w14:paraId="0425C932">
            <w:pPr>
              <w:pStyle w:val="47"/>
              <w:tabs>
                <w:tab w:val="left" w:pos="1337"/>
              </w:tabs>
              <w:adjustRightInd w:val="0"/>
              <w:snapToGrid w:val="0"/>
              <w:spacing w:line="360" w:lineRule="auto"/>
              <w:rPr>
                <w:rFonts w:hint="eastAsia" w:ascii="仿宋" w:hAnsi="仿宋" w:eastAsia="仿宋" w:cs="仿宋"/>
                <w:bCs/>
                <w:sz w:val="21"/>
                <w:szCs w:val="21"/>
                <w:highlight w:val="none"/>
              </w:rPr>
            </w:pPr>
          </w:p>
          <w:p w14:paraId="1E0F0DC9">
            <w:pPr>
              <w:pStyle w:val="47"/>
              <w:tabs>
                <w:tab w:val="left" w:pos="1337"/>
              </w:tabs>
              <w:adjustRightInd w:val="0"/>
              <w:snapToGrid w:val="0"/>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大写：</w:t>
            </w:r>
            <w:r>
              <w:rPr>
                <w:rFonts w:hint="eastAsia" w:ascii="仿宋" w:hAnsi="仿宋" w:eastAsia="仿宋" w:cs="仿宋"/>
                <w:bCs/>
                <w:sz w:val="21"/>
                <w:szCs w:val="21"/>
                <w:highlight w:val="none"/>
                <w:u w:val="single"/>
              </w:rPr>
              <w:t xml:space="preserve">                          </w:t>
            </w:r>
          </w:p>
          <w:p w14:paraId="24FC2ADF">
            <w:pPr>
              <w:pStyle w:val="47"/>
              <w:tabs>
                <w:tab w:val="left" w:pos="1337"/>
              </w:tabs>
              <w:adjustRightInd w:val="0"/>
              <w:snapToGrid w:val="0"/>
              <w:spacing w:line="360" w:lineRule="auto"/>
              <w:rPr>
                <w:rFonts w:hint="eastAsia" w:ascii="仿宋" w:hAnsi="仿宋" w:eastAsia="仿宋" w:cs="仿宋"/>
                <w:sz w:val="21"/>
                <w:szCs w:val="21"/>
                <w:highlight w:val="none"/>
              </w:rPr>
            </w:pPr>
          </w:p>
        </w:tc>
      </w:tr>
      <w:tr w14:paraId="6C8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76" w:type="dxa"/>
            <w:noWrap w:val="0"/>
            <w:vAlign w:val="center"/>
          </w:tcPr>
          <w:p w14:paraId="6728691C">
            <w:pPr>
              <w:pStyle w:val="47"/>
              <w:tabs>
                <w:tab w:val="left" w:pos="1337"/>
              </w:tabs>
              <w:adjustRightInd w:val="0"/>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bCs/>
                <w:sz w:val="21"/>
                <w:szCs w:val="21"/>
                <w:highlight w:val="none"/>
                <w:lang w:eastAsia="zh-CN"/>
              </w:rPr>
              <w:t>合同履约</w:t>
            </w:r>
            <w:r>
              <w:rPr>
                <w:rFonts w:hint="eastAsia" w:ascii="仿宋" w:hAnsi="仿宋" w:eastAsia="仿宋" w:cs="仿宋"/>
                <w:bCs/>
                <w:sz w:val="21"/>
                <w:szCs w:val="21"/>
                <w:highlight w:val="none"/>
              </w:rPr>
              <w:t>期限</w:t>
            </w:r>
          </w:p>
        </w:tc>
        <w:tc>
          <w:tcPr>
            <w:tcW w:w="7383" w:type="dxa"/>
            <w:noWrap w:val="0"/>
            <w:vAlign w:val="center"/>
          </w:tcPr>
          <w:p w14:paraId="66670F51">
            <w:pPr>
              <w:pStyle w:val="47"/>
              <w:tabs>
                <w:tab w:val="left" w:pos="1337"/>
              </w:tabs>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u w:val="single"/>
              </w:rPr>
              <w:t xml:space="preserve">                                </w:t>
            </w:r>
          </w:p>
        </w:tc>
      </w:tr>
      <w:tr w14:paraId="1DF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noWrap w:val="0"/>
            <w:vAlign w:val="center"/>
          </w:tcPr>
          <w:p w14:paraId="3360CD96">
            <w:pPr>
              <w:pStyle w:val="47"/>
              <w:tabs>
                <w:tab w:val="left" w:pos="1337"/>
              </w:tabs>
              <w:adjustRightInd w:val="0"/>
              <w:snapToGrid w:val="0"/>
              <w:spacing w:line="360" w:lineRule="auto"/>
              <w:jc w:val="center"/>
              <w:rPr>
                <w:rFonts w:hint="eastAsia" w:ascii="仿宋" w:hAnsi="仿宋" w:eastAsia="仿宋" w:cs="仿宋"/>
                <w:bCs/>
                <w:sz w:val="21"/>
                <w:szCs w:val="21"/>
                <w:highlight w:val="none"/>
                <w:lang w:eastAsia="zh-CN"/>
              </w:rPr>
            </w:pPr>
            <w:r>
              <w:rPr>
                <w:rFonts w:hint="eastAsia" w:ascii="仿宋" w:hAnsi="仿宋" w:eastAsia="仿宋" w:cs="仿宋"/>
                <w:bCs/>
                <w:sz w:val="21"/>
                <w:szCs w:val="21"/>
                <w:highlight w:val="none"/>
                <w:lang w:eastAsia="zh-CN"/>
              </w:rPr>
              <w:t>交货地点</w:t>
            </w:r>
          </w:p>
        </w:tc>
        <w:tc>
          <w:tcPr>
            <w:tcW w:w="7383" w:type="dxa"/>
            <w:noWrap w:val="0"/>
            <w:vAlign w:val="center"/>
          </w:tcPr>
          <w:p w14:paraId="0B5FF4C5">
            <w:pPr>
              <w:pStyle w:val="47"/>
              <w:tabs>
                <w:tab w:val="left" w:pos="1337"/>
              </w:tabs>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p>
        </w:tc>
      </w:tr>
      <w:tr w14:paraId="0AFB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14:paraId="1B3AB19F">
            <w:pPr>
              <w:pStyle w:val="47"/>
              <w:tabs>
                <w:tab w:val="left" w:pos="1337"/>
              </w:tabs>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bCs/>
                <w:sz w:val="21"/>
                <w:szCs w:val="21"/>
                <w:highlight w:val="none"/>
              </w:rPr>
              <w:t>备注：</w:t>
            </w:r>
            <w:r>
              <w:rPr>
                <w:rFonts w:hint="eastAsia" w:ascii="仿宋" w:hAnsi="仿宋" w:eastAsia="仿宋" w:cs="仿宋"/>
                <w:bCs/>
                <w:sz w:val="21"/>
                <w:szCs w:val="21"/>
                <w:highlight w:val="none"/>
                <w:u w:val="single"/>
              </w:rPr>
              <w:t xml:space="preserve">                                      </w:t>
            </w:r>
          </w:p>
        </w:tc>
      </w:tr>
    </w:tbl>
    <w:p w14:paraId="3A2E576F">
      <w:pPr>
        <w:pStyle w:val="47"/>
        <w:adjustRightInd w:val="0"/>
        <w:snapToGrid w:val="0"/>
        <w:spacing w:line="360" w:lineRule="auto"/>
        <w:rPr>
          <w:rFonts w:hint="eastAsia" w:ascii="仿宋" w:hAnsi="仿宋" w:eastAsia="仿宋" w:cs="仿宋"/>
          <w:sz w:val="24"/>
          <w:highlight w:val="none"/>
        </w:rPr>
      </w:pPr>
    </w:p>
    <w:p w14:paraId="220AC6B2">
      <w:pPr>
        <w:pStyle w:val="47"/>
        <w:adjustRightInd w:val="0"/>
        <w:snapToGrid w:val="0"/>
        <w:spacing w:line="360" w:lineRule="auto"/>
        <w:rPr>
          <w:rFonts w:hint="eastAsia" w:ascii="仿宋" w:hAnsi="仿宋" w:eastAsia="仿宋" w:cs="仿宋"/>
          <w:sz w:val="24"/>
          <w:highlight w:val="none"/>
        </w:rPr>
      </w:pPr>
      <w:bookmarkStart w:id="326" w:name="_Toc19258"/>
      <w:bookmarkStart w:id="327" w:name="_Toc22970"/>
      <w:bookmarkStart w:id="328" w:name="_Toc19733"/>
      <w:bookmarkStart w:id="329" w:name="_Toc29502"/>
      <w:bookmarkStart w:id="330" w:name="_Toc20966"/>
      <w:bookmarkStart w:id="331" w:name="_Toc2625"/>
      <w:bookmarkStart w:id="332" w:name="_Toc19061"/>
      <w:bookmarkStart w:id="333" w:name="_Toc25726"/>
      <w:r>
        <w:rPr>
          <w:rFonts w:hint="eastAsia" w:ascii="仿宋" w:hAnsi="仿宋" w:eastAsia="仿宋" w:cs="仿宋"/>
          <w:sz w:val="24"/>
          <w:highlight w:val="none"/>
        </w:rPr>
        <w:t>说明：1、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严格按照规定的格式填写。投标总价作为评审及定标的依据。</w:t>
      </w:r>
    </w:p>
    <w:p w14:paraId="245517DC">
      <w:pPr>
        <w:pStyle w:val="47"/>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2、任何有选择或有条件的投标总价或填写多个报价，均将导致投标被拒绝。</w:t>
      </w:r>
    </w:p>
    <w:p w14:paraId="68A5DD28">
      <w:pPr>
        <w:pStyle w:val="47"/>
        <w:adjustRightInd w:val="0"/>
        <w:snapToGrid w:val="0"/>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3、中文大写金额用汉字，如壹、贰、叁、肆、伍、陆、柒、捌、玖、拾、佰、仟、万、亿、元、角、分、零、整（正）等。如：小写：1234567.89 元，大写：壹佰贰拾叁万肆仟伍佰陆拾柒元捌角玖分。</w:t>
      </w:r>
    </w:p>
    <w:p w14:paraId="5FEE8622">
      <w:pPr>
        <w:pStyle w:val="47"/>
        <w:adjustRightInd w:val="0"/>
        <w:snapToGrid w:val="0"/>
        <w:spacing w:line="360" w:lineRule="auto"/>
        <w:ind w:left="360" w:firstLine="723" w:firstLineChars="300"/>
        <w:rPr>
          <w:rFonts w:hint="eastAsia" w:ascii="仿宋" w:hAnsi="仿宋" w:eastAsia="仿宋" w:cs="仿宋"/>
          <w:b/>
          <w:bCs/>
          <w:sz w:val="24"/>
          <w:highlight w:val="none"/>
        </w:rPr>
      </w:pPr>
    </w:p>
    <w:p w14:paraId="54A0C006">
      <w:pPr>
        <w:pStyle w:val="47"/>
        <w:adjustRightInd w:val="0"/>
        <w:snapToGrid w:val="0"/>
        <w:spacing w:line="360" w:lineRule="auto"/>
        <w:ind w:left="360" w:firstLine="723" w:firstLineChars="300"/>
        <w:rPr>
          <w:rFonts w:hint="eastAsia" w:ascii="仿宋" w:hAnsi="仿宋" w:eastAsia="仿宋" w:cs="仿宋"/>
          <w:b/>
          <w:bCs/>
          <w:sz w:val="24"/>
          <w:highlight w:val="none"/>
        </w:rPr>
      </w:pPr>
    </w:p>
    <w:p w14:paraId="2E640946">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F6C7E69">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560176DC">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66DD95C5">
      <w:pPr>
        <w:pStyle w:val="37"/>
        <w:adjustRightInd w:val="0"/>
        <w:snapToGrid w:val="0"/>
        <w:spacing w:line="360" w:lineRule="auto"/>
        <w:ind w:firstLine="482" w:firstLineChars="200"/>
        <w:rPr>
          <w:rFonts w:hint="eastAsia" w:ascii="仿宋" w:hAnsi="仿宋" w:eastAsia="仿宋" w:cs="仿宋"/>
          <w:b/>
          <w:kern w:val="0"/>
          <w:sz w:val="24"/>
          <w:highlight w:val="none"/>
        </w:rPr>
      </w:pPr>
    </w:p>
    <w:p w14:paraId="546CD5D3">
      <w:pPr>
        <w:pStyle w:val="48"/>
        <w:pageBreakBefore/>
        <w:adjustRightInd w:val="0"/>
        <w:snapToGrid w:val="0"/>
        <w:spacing w:line="360" w:lineRule="auto"/>
        <w:ind w:right="-9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五、投标报价明细表</w:t>
      </w:r>
      <w:bookmarkEnd w:id="326"/>
      <w:bookmarkEnd w:id="327"/>
      <w:bookmarkEnd w:id="328"/>
      <w:bookmarkEnd w:id="329"/>
      <w:bookmarkEnd w:id="330"/>
      <w:bookmarkEnd w:id="331"/>
      <w:bookmarkEnd w:id="332"/>
      <w:bookmarkEnd w:id="333"/>
    </w:p>
    <w:tbl>
      <w:tblPr>
        <w:tblStyle w:val="1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96"/>
        <w:gridCol w:w="1887"/>
        <w:gridCol w:w="1054"/>
        <w:gridCol w:w="639"/>
        <w:gridCol w:w="935"/>
        <w:gridCol w:w="1010"/>
        <w:gridCol w:w="802"/>
        <w:gridCol w:w="951"/>
      </w:tblGrid>
      <w:tr w14:paraId="59D5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vAlign w:val="center"/>
          </w:tcPr>
          <w:p w14:paraId="6C1045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096" w:type="dxa"/>
            <w:noWrap/>
            <w:vAlign w:val="center"/>
          </w:tcPr>
          <w:p w14:paraId="1040DA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货物</w:t>
            </w:r>
            <w:r>
              <w:rPr>
                <w:rFonts w:hint="eastAsia" w:ascii="仿宋" w:hAnsi="仿宋" w:eastAsia="仿宋" w:cs="仿宋"/>
                <w:color w:val="auto"/>
                <w:sz w:val="21"/>
                <w:szCs w:val="21"/>
                <w:highlight w:val="none"/>
              </w:rPr>
              <w:t>名称</w:t>
            </w:r>
          </w:p>
        </w:tc>
        <w:tc>
          <w:tcPr>
            <w:tcW w:w="1887" w:type="dxa"/>
            <w:noWrap/>
            <w:vAlign w:val="center"/>
          </w:tcPr>
          <w:p w14:paraId="63605B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规格</w:t>
            </w:r>
            <w:r>
              <w:rPr>
                <w:rFonts w:hint="eastAsia" w:ascii="仿宋" w:hAnsi="仿宋" w:eastAsia="仿宋" w:cs="仿宋"/>
                <w:color w:val="auto"/>
                <w:sz w:val="21"/>
                <w:szCs w:val="21"/>
                <w:highlight w:val="none"/>
                <w:lang w:eastAsia="zh-CN"/>
              </w:rPr>
              <w:t>型号</w:t>
            </w:r>
          </w:p>
        </w:tc>
        <w:tc>
          <w:tcPr>
            <w:tcW w:w="1054" w:type="dxa"/>
            <w:noWrap/>
            <w:vAlign w:val="center"/>
          </w:tcPr>
          <w:p w14:paraId="1269E6D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制造商</w:t>
            </w:r>
          </w:p>
        </w:tc>
        <w:tc>
          <w:tcPr>
            <w:tcW w:w="639" w:type="dxa"/>
            <w:noWrap/>
            <w:vAlign w:val="center"/>
          </w:tcPr>
          <w:p w14:paraId="4A287B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935" w:type="dxa"/>
            <w:noWrap/>
            <w:vAlign w:val="center"/>
          </w:tcPr>
          <w:p w14:paraId="01D0A3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010" w:type="dxa"/>
            <w:noWrap/>
            <w:vAlign w:val="center"/>
          </w:tcPr>
          <w:p w14:paraId="4FF72F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046215E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元</w:t>
            </w:r>
            <w:r>
              <w:rPr>
                <w:rFonts w:hint="eastAsia" w:ascii="仿宋" w:hAnsi="仿宋" w:eastAsia="仿宋" w:cs="仿宋"/>
                <w:color w:val="auto"/>
                <w:sz w:val="21"/>
                <w:szCs w:val="21"/>
                <w:highlight w:val="none"/>
              </w:rPr>
              <w:t>）</w:t>
            </w:r>
          </w:p>
        </w:tc>
        <w:tc>
          <w:tcPr>
            <w:tcW w:w="802" w:type="dxa"/>
            <w:noWrap/>
            <w:vAlign w:val="center"/>
          </w:tcPr>
          <w:p w14:paraId="6FED30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合</w:t>
            </w:r>
            <w:r>
              <w:rPr>
                <w:rFonts w:hint="eastAsia" w:ascii="仿宋" w:hAnsi="仿宋" w:eastAsia="仿宋" w:cs="仿宋"/>
                <w:color w:val="auto"/>
                <w:sz w:val="21"/>
                <w:szCs w:val="21"/>
                <w:highlight w:val="none"/>
              </w:rPr>
              <w:t>价</w:t>
            </w:r>
          </w:p>
          <w:p w14:paraId="1F2EA6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元</w:t>
            </w:r>
            <w:r>
              <w:rPr>
                <w:rFonts w:hint="eastAsia" w:ascii="仿宋" w:hAnsi="仿宋" w:eastAsia="仿宋" w:cs="仿宋"/>
                <w:color w:val="auto"/>
                <w:sz w:val="21"/>
                <w:szCs w:val="21"/>
                <w:highlight w:val="none"/>
              </w:rPr>
              <w:t>）</w:t>
            </w:r>
          </w:p>
        </w:tc>
        <w:tc>
          <w:tcPr>
            <w:tcW w:w="951" w:type="dxa"/>
            <w:noWrap/>
            <w:vAlign w:val="center"/>
          </w:tcPr>
          <w:p w14:paraId="3A2D16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2A67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tcPr>
          <w:p w14:paraId="3D5BDD9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96" w:type="dxa"/>
            <w:noWrap/>
          </w:tcPr>
          <w:p w14:paraId="6A013D7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887" w:type="dxa"/>
            <w:noWrap/>
          </w:tcPr>
          <w:p w14:paraId="196FDA8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3DD0E5B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6D8647D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1A39AC3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26CFF88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283D1F8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49A1B86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3ADE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tcPr>
          <w:p w14:paraId="1CDECA9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96" w:type="dxa"/>
            <w:noWrap/>
          </w:tcPr>
          <w:p w14:paraId="17E15DB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887" w:type="dxa"/>
            <w:noWrap/>
          </w:tcPr>
          <w:p w14:paraId="5E7D4B3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0EE0295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0A2528B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71721F1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19D4E15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6EDEEC6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021E06F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2BB3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tcPr>
          <w:p w14:paraId="3AE8B88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96" w:type="dxa"/>
            <w:noWrap/>
          </w:tcPr>
          <w:p w14:paraId="57DBC5D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887" w:type="dxa"/>
            <w:noWrap/>
          </w:tcPr>
          <w:p w14:paraId="741729F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7219121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1BE81F3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57F8DC5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6AF3144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77DA6D5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7623D26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23D8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tcPr>
          <w:p w14:paraId="21C0FB4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96" w:type="dxa"/>
            <w:noWrap/>
          </w:tcPr>
          <w:p w14:paraId="623668D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887" w:type="dxa"/>
            <w:noWrap/>
          </w:tcPr>
          <w:p w14:paraId="0EF21CF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0421D30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4036D4F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358CD7E3">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3321147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6AC9447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6366560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6FE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tcPr>
          <w:p w14:paraId="72FDAA0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96" w:type="dxa"/>
            <w:noWrap/>
          </w:tcPr>
          <w:p w14:paraId="68F97B5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887" w:type="dxa"/>
            <w:noWrap/>
          </w:tcPr>
          <w:p w14:paraId="688BF0D7">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4047565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4080C75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01B91B0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4A87088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3507662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355AAAA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575C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vAlign w:val="center"/>
          </w:tcPr>
          <w:p w14:paraId="0F1352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p>
        </w:tc>
        <w:tc>
          <w:tcPr>
            <w:tcW w:w="1096" w:type="dxa"/>
            <w:noWrap/>
            <w:vAlign w:val="center"/>
          </w:tcPr>
          <w:p w14:paraId="5E70EC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p>
        </w:tc>
        <w:tc>
          <w:tcPr>
            <w:tcW w:w="1887" w:type="dxa"/>
            <w:noWrap/>
          </w:tcPr>
          <w:p w14:paraId="73B93AC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3653F83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0E02DD0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183170C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654ED07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5E16543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17FD86B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598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6" w:type="dxa"/>
            <w:noWrap/>
            <w:vAlign w:val="center"/>
          </w:tcPr>
          <w:p w14:paraId="4BCD56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p>
        </w:tc>
        <w:tc>
          <w:tcPr>
            <w:tcW w:w="1096" w:type="dxa"/>
            <w:noWrap/>
            <w:vAlign w:val="center"/>
          </w:tcPr>
          <w:p w14:paraId="27E218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p>
        </w:tc>
        <w:tc>
          <w:tcPr>
            <w:tcW w:w="1887" w:type="dxa"/>
            <w:noWrap/>
          </w:tcPr>
          <w:p w14:paraId="3E1345B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54" w:type="dxa"/>
            <w:noWrap/>
          </w:tcPr>
          <w:p w14:paraId="42A83B2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639" w:type="dxa"/>
            <w:noWrap/>
          </w:tcPr>
          <w:p w14:paraId="2B56F4C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35" w:type="dxa"/>
            <w:noWrap/>
          </w:tcPr>
          <w:p w14:paraId="5B6F6B7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1010" w:type="dxa"/>
            <w:noWrap/>
          </w:tcPr>
          <w:p w14:paraId="4DD0BB3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802" w:type="dxa"/>
            <w:noWrap/>
          </w:tcPr>
          <w:p w14:paraId="0EB6ADD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c>
          <w:tcPr>
            <w:tcW w:w="951" w:type="dxa"/>
            <w:noWrap/>
          </w:tcPr>
          <w:p w14:paraId="654A3C5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z w:val="21"/>
                <w:szCs w:val="21"/>
                <w:highlight w:val="none"/>
              </w:rPr>
            </w:pPr>
          </w:p>
        </w:tc>
      </w:tr>
      <w:tr w14:paraId="10CB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52" w:type="dxa"/>
            <w:gridSpan w:val="2"/>
            <w:noWrap/>
            <w:vAlign w:val="center"/>
          </w:tcPr>
          <w:p w14:paraId="7A30BE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总</w:t>
            </w:r>
            <w:r>
              <w:rPr>
                <w:rFonts w:hint="eastAsia" w:ascii="仿宋" w:hAnsi="仿宋" w:eastAsia="仿宋" w:cs="仿宋"/>
                <w:color w:val="auto"/>
                <w:sz w:val="21"/>
                <w:szCs w:val="21"/>
                <w:highlight w:val="none"/>
              </w:rPr>
              <w:t>报价</w:t>
            </w:r>
          </w:p>
        </w:tc>
        <w:tc>
          <w:tcPr>
            <w:tcW w:w="6327" w:type="dxa"/>
            <w:gridSpan w:val="6"/>
            <w:tcBorders>
              <w:bottom w:val="single" w:color="auto" w:sz="4" w:space="0"/>
            </w:tcBorders>
            <w:noWrap/>
            <w:vAlign w:val="center"/>
          </w:tcPr>
          <w:p w14:paraId="6D35FA76">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金额</w:t>
            </w:r>
            <w:r>
              <w:rPr>
                <w:rFonts w:hint="eastAsia" w:ascii="仿宋" w:hAnsi="仿宋" w:eastAsia="仿宋" w:cs="仿宋"/>
                <w:color w:val="auto"/>
                <w:sz w:val="21"/>
                <w:szCs w:val="21"/>
                <w:highlight w:val="none"/>
                <w:lang w:eastAsia="zh-CN"/>
              </w:rPr>
              <w:t>：小写：</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元</w:t>
            </w:r>
          </w:p>
          <w:p w14:paraId="39A73D63">
            <w:pPr>
              <w:keepNext w:val="0"/>
              <w:keepLines w:val="0"/>
              <w:pageBreakBefore w:val="0"/>
              <w:widowControl w:val="0"/>
              <w:kinsoku/>
              <w:wordWrap/>
              <w:overflowPunct/>
              <w:topLinePunct w:val="0"/>
              <w:autoSpaceDE w:val="0"/>
              <w:autoSpaceDN w:val="0"/>
              <w:bidi w:val="0"/>
              <w:adjustRightInd w:val="0"/>
              <w:snapToGrid w:val="0"/>
              <w:spacing w:line="240" w:lineRule="auto"/>
              <w:ind w:firstLine="630" w:firstLineChars="3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tc>
        <w:tc>
          <w:tcPr>
            <w:tcW w:w="951" w:type="dxa"/>
            <w:tcBorders>
              <w:bottom w:val="single" w:color="auto" w:sz="4" w:space="0"/>
            </w:tcBorders>
            <w:noWrap/>
            <w:vAlign w:val="center"/>
          </w:tcPr>
          <w:p w14:paraId="3841F3AB">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 w:hAnsi="仿宋" w:eastAsia="仿宋" w:cs="仿宋"/>
                <w:color w:val="auto"/>
                <w:sz w:val="21"/>
                <w:szCs w:val="21"/>
                <w:highlight w:val="none"/>
              </w:rPr>
            </w:pPr>
          </w:p>
        </w:tc>
      </w:tr>
    </w:tbl>
    <w:p w14:paraId="5D175066">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注：</w:t>
      </w:r>
    </w:p>
    <w:p w14:paraId="5701BC11">
      <w:pPr>
        <w:widowControl/>
        <w:snapToGrid w:val="0"/>
        <w:spacing w:line="360" w:lineRule="auto"/>
        <w:rPr>
          <w:rFonts w:hint="eastAsia" w:ascii="仿宋" w:hAnsi="仿宋" w:eastAsia="仿宋" w:cs="仿宋"/>
          <w:highlight w:val="none"/>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 xml:space="preserve">.此表为《开标一览表》的报价明细表，总计金额须与开标一览表中金额一致。 </w:t>
      </w:r>
    </w:p>
    <w:p w14:paraId="3919C044">
      <w:pPr>
        <w:pStyle w:val="37"/>
        <w:adjustRightInd w:val="0"/>
        <w:snapToGrid w:val="0"/>
        <w:spacing w:line="360" w:lineRule="auto"/>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2.以上报价包含但不限于书籍购置费用、包装费、运输费、装卸费、税费、售后服务费等一切相关费用，采购单位不再额外支付任何其他费用。</w:t>
      </w:r>
    </w:p>
    <w:p w14:paraId="247C4D07">
      <w:pPr>
        <w:pStyle w:val="37"/>
        <w:adjustRightInd w:val="0"/>
        <w:snapToGrid w:val="0"/>
        <w:spacing w:line="360" w:lineRule="auto"/>
        <w:ind w:firstLine="482" w:firstLineChars="200"/>
        <w:rPr>
          <w:rFonts w:hint="eastAsia" w:ascii="仿宋" w:hAnsi="仿宋" w:eastAsia="仿宋" w:cs="仿宋"/>
          <w:b/>
          <w:bCs/>
          <w:sz w:val="24"/>
          <w:szCs w:val="24"/>
          <w:highlight w:val="none"/>
        </w:rPr>
      </w:pPr>
    </w:p>
    <w:p w14:paraId="2F515201">
      <w:pPr>
        <w:widowControl w:val="0"/>
        <w:adjustRightInd w:val="0"/>
        <w:snapToGrid w:val="0"/>
        <w:spacing w:line="360" w:lineRule="auto"/>
        <w:ind w:firstLine="482" w:firstLineChars="200"/>
        <w:jc w:val="both"/>
        <w:rPr>
          <w:rFonts w:hint="eastAsia" w:ascii="仿宋" w:hAnsi="仿宋" w:eastAsia="仿宋" w:cs="仿宋"/>
          <w:b/>
          <w:bCs/>
          <w:kern w:val="2"/>
          <w:sz w:val="24"/>
          <w:szCs w:val="24"/>
          <w:highlight w:val="none"/>
          <w:lang w:val="en-US" w:eastAsia="zh-CN" w:bidi="ar-SA"/>
        </w:rPr>
      </w:pPr>
      <w:bookmarkStart w:id="334" w:name="_Toc11136"/>
      <w:bookmarkStart w:id="335" w:name="_Toc20544"/>
      <w:bookmarkStart w:id="336" w:name="_Toc3403"/>
      <w:bookmarkStart w:id="337" w:name="_Toc23223"/>
      <w:bookmarkStart w:id="338" w:name="_Toc30645"/>
      <w:bookmarkStart w:id="339" w:name="_Toc5961"/>
      <w:bookmarkStart w:id="340" w:name="_Toc30851"/>
      <w:bookmarkStart w:id="341" w:name="_Toc4465"/>
    </w:p>
    <w:p w14:paraId="67ECA658">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70761597">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59944E91">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DF49805">
      <w:pPr>
        <w:pStyle w:val="48"/>
        <w:pageBreakBefore/>
        <w:adjustRightInd w:val="0"/>
        <w:snapToGrid w:val="0"/>
        <w:spacing w:line="360" w:lineRule="auto"/>
        <w:ind w:right="-91"/>
        <w:jc w:val="center"/>
        <w:rPr>
          <w:rFonts w:hint="eastAsia" w:ascii="仿宋" w:hAnsi="仿宋" w:eastAsia="仿宋" w:cs="仿宋"/>
          <w:sz w:val="24"/>
          <w:highlight w:val="none"/>
        </w:rPr>
      </w:pPr>
      <w:r>
        <w:rPr>
          <w:rFonts w:hint="eastAsia" w:ascii="仿宋" w:hAnsi="仿宋" w:eastAsia="仿宋" w:cs="仿宋"/>
          <w:b/>
          <w:kern w:val="0"/>
          <w:sz w:val="28"/>
          <w:szCs w:val="28"/>
          <w:highlight w:val="none"/>
        </w:rPr>
        <w:t>六、近年（20</w:t>
      </w:r>
      <w:r>
        <w:rPr>
          <w:rFonts w:hint="eastAsia" w:ascii="仿宋" w:hAnsi="仿宋" w:eastAsia="仿宋" w:cs="仿宋"/>
          <w:b/>
          <w:kern w:val="0"/>
          <w:sz w:val="28"/>
          <w:szCs w:val="28"/>
          <w:highlight w:val="none"/>
          <w:lang w:val="en-US" w:eastAsia="zh-CN"/>
        </w:rPr>
        <w:t>23</w:t>
      </w:r>
      <w:r>
        <w:rPr>
          <w:rFonts w:hint="eastAsia" w:ascii="仿宋" w:hAnsi="仿宋" w:eastAsia="仿宋" w:cs="仿宋"/>
          <w:b/>
          <w:kern w:val="0"/>
          <w:sz w:val="28"/>
          <w:szCs w:val="28"/>
          <w:highlight w:val="none"/>
        </w:rPr>
        <w:t>年1月1日至今）类似项目业绩</w:t>
      </w:r>
      <w:bookmarkEnd w:id="334"/>
      <w:bookmarkEnd w:id="335"/>
      <w:bookmarkEnd w:id="336"/>
      <w:bookmarkEnd w:id="337"/>
      <w:bookmarkEnd w:id="338"/>
      <w:bookmarkEnd w:id="339"/>
      <w:bookmarkEnd w:id="340"/>
      <w:bookmarkEnd w:id="341"/>
    </w:p>
    <w:p w14:paraId="5FAECDED">
      <w:pPr>
        <w:pStyle w:val="45"/>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8211C2C">
      <w:pPr>
        <w:pStyle w:val="45"/>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19"/>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14:paraId="5DB82A9C">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D70FFD7">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14:paraId="259F89C5">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82B9AE5">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14:paraId="10F64562">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14:paraId="3E7945C3">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14:paraId="60A75C15">
            <w:pPr>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1B374E7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1DA92D70">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534653A5">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5C5684E">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0F634892">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168F08B">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24FC0AE3">
            <w:pPr>
              <w:snapToGrid w:val="0"/>
              <w:spacing w:line="360" w:lineRule="auto"/>
              <w:rPr>
                <w:rFonts w:hint="eastAsia" w:ascii="仿宋" w:hAnsi="仿宋" w:eastAsia="仿宋" w:cs="仿宋"/>
                <w:sz w:val="21"/>
                <w:szCs w:val="21"/>
                <w:highlight w:val="none"/>
              </w:rPr>
            </w:pPr>
          </w:p>
        </w:tc>
      </w:tr>
      <w:tr w14:paraId="44B43110">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07D4F7F">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9229986">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61FD617">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02C26F76">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464FFB62">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77BD8E8B">
            <w:pPr>
              <w:snapToGrid w:val="0"/>
              <w:spacing w:line="360" w:lineRule="auto"/>
              <w:rPr>
                <w:rFonts w:hint="eastAsia" w:ascii="仿宋" w:hAnsi="仿宋" w:eastAsia="仿宋" w:cs="仿宋"/>
                <w:sz w:val="21"/>
                <w:szCs w:val="21"/>
                <w:highlight w:val="none"/>
              </w:rPr>
            </w:pPr>
          </w:p>
        </w:tc>
      </w:tr>
      <w:tr w14:paraId="65AA8FA1">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1CA8CEC">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0A1EBA0">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1232401">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622925F5">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76ABC2FC">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5507FD48">
            <w:pPr>
              <w:snapToGrid w:val="0"/>
              <w:spacing w:line="360" w:lineRule="auto"/>
              <w:rPr>
                <w:rFonts w:hint="eastAsia" w:ascii="仿宋" w:hAnsi="仿宋" w:eastAsia="仿宋" w:cs="仿宋"/>
                <w:sz w:val="21"/>
                <w:szCs w:val="21"/>
                <w:highlight w:val="none"/>
              </w:rPr>
            </w:pPr>
          </w:p>
        </w:tc>
      </w:tr>
      <w:tr w14:paraId="70327660">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71661C63">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61A884B">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2B5999C">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1D5770D9">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2A413948">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1E160785">
            <w:pPr>
              <w:snapToGrid w:val="0"/>
              <w:spacing w:line="360" w:lineRule="auto"/>
              <w:rPr>
                <w:rFonts w:hint="eastAsia" w:ascii="仿宋" w:hAnsi="仿宋" w:eastAsia="仿宋" w:cs="仿宋"/>
                <w:sz w:val="21"/>
                <w:szCs w:val="21"/>
                <w:highlight w:val="none"/>
              </w:rPr>
            </w:pPr>
          </w:p>
        </w:tc>
      </w:tr>
      <w:tr w14:paraId="642415D2">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20A306BB">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B1E2EF4">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7648219">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7D3943C5">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69F3397C">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4C25A93A">
            <w:pPr>
              <w:snapToGrid w:val="0"/>
              <w:spacing w:line="360" w:lineRule="auto"/>
              <w:rPr>
                <w:rFonts w:hint="eastAsia" w:ascii="仿宋" w:hAnsi="仿宋" w:eastAsia="仿宋" w:cs="仿宋"/>
                <w:sz w:val="21"/>
                <w:szCs w:val="21"/>
                <w:highlight w:val="none"/>
              </w:rPr>
            </w:pPr>
          </w:p>
        </w:tc>
      </w:tr>
      <w:tr w14:paraId="2305562A">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0D0B9D91">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180F40A3">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35A1C43">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3F7A860">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458746EE">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02C81389">
            <w:pPr>
              <w:snapToGrid w:val="0"/>
              <w:spacing w:line="360" w:lineRule="auto"/>
              <w:rPr>
                <w:rFonts w:hint="eastAsia" w:ascii="仿宋" w:hAnsi="仿宋" w:eastAsia="仿宋" w:cs="仿宋"/>
                <w:sz w:val="21"/>
                <w:szCs w:val="21"/>
                <w:highlight w:val="none"/>
              </w:rPr>
            </w:pPr>
          </w:p>
        </w:tc>
      </w:tr>
      <w:tr w14:paraId="51C462F1">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33F0D40C">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0CA59DD3">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97C67F0">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222DA4CB">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7FFB8968">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20B18638">
            <w:pPr>
              <w:snapToGrid w:val="0"/>
              <w:spacing w:line="360" w:lineRule="auto"/>
              <w:rPr>
                <w:rFonts w:hint="eastAsia" w:ascii="仿宋" w:hAnsi="仿宋" w:eastAsia="仿宋" w:cs="仿宋"/>
                <w:sz w:val="21"/>
                <w:szCs w:val="21"/>
                <w:highlight w:val="none"/>
              </w:rPr>
            </w:pPr>
          </w:p>
        </w:tc>
      </w:tr>
      <w:tr w14:paraId="7AA6FE34">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14:paraId="5E09A3B6">
            <w:pPr>
              <w:snapToGrid w:val="0"/>
              <w:spacing w:line="360" w:lineRule="auto"/>
              <w:rPr>
                <w:rFonts w:hint="eastAsia" w:ascii="仿宋" w:hAnsi="仿宋" w:eastAsia="仿宋" w:cs="仿宋"/>
                <w:sz w:val="21"/>
                <w:szCs w:val="21"/>
                <w:highlight w:val="none"/>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14:paraId="4478EB06">
            <w:pPr>
              <w:snapToGrid w:val="0"/>
              <w:spacing w:line="360" w:lineRule="auto"/>
              <w:rPr>
                <w:rFonts w:hint="eastAsia" w:ascii="仿宋" w:hAnsi="仿宋" w:eastAsia="仿宋" w:cs="仿宋"/>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A29771D">
            <w:pPr>
              <w:snapToGrid w:val="0"/>
              <w:spacing w:line="360" w:lineRule="auto"/>
              <w:rPr>
                <w:rFonts w:hint="eastAsia" w:ascii="仿宋" w:hAnsi="仿宋" w:eastAsia="仿宋" w:cs="仿宋"/>
                <w:sz w:val="21"/>
                <w:szCs w:val="21"/>
                <w:highlight w:val="none"/>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14:paraId="4547DA00">
            <w:pPr>
              <w:snapToGrid w:val="0"/>
              <w:spacing w:line="360" w:lineRule="auto"/>
              <w:rPr>
                <w:rFonts w:hint="eastAsia" w:ascii="仿宋" w:hAnsi="仿宋" w:eastAsia="仿宋" w:cs="仿宋"/>
                <w:sz w:val="21"/>
                <w:szCs w:val="21"/>
                <w:highlight w:val="none"/>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14:paraId="54C4C57C">
            <w:pPr>
              <w:snapToGrid w:val="0"/>
              <w:spacing w:line="360" w:lineRule="auto"/>
              <w:rPr>
                <w:rFonts w:hint="eastAsia" w:ascii="仿宋" w:hAnsi="仿宋" w:eastAsia="仿宋" w:cs="仿宋"/>
                <w:sz w:val="21"/>
                <w:szCs w:val="21"/>
                <w:highlight w:val="none"/>
              </w:rPr>
            </w:pPr>
          </w:p>
        </w:tc>
        <w:tc>
          <w:tcPr>
            <w:tcW w:w="881" w:type="dxa"/>
            <w:tcBorders>
              <w:top w:val="single" w:color="auto" w:sz="6" w:space="0"/>
              <w:left w:val="single" w:color="auto" w:sz="6" w:space="0"/>
              <w:bottom w:val="single" w:color="auto" w:sz="6" w:space="0"/>
              <w:right w:val="single" w:color="auto" w:sz="6" w:space="0"/>
            </w:tcBorders>
            <w:noWrap w:val="0"/>
            <w:vAlign w:val="center"/>
          </w:tcPr>
          <w:p w14:paraId="00D64454">
            <w:pPr>
              <w:snapToGrid w:val="0"/>
              <w:spacing w:line="360" w:lineRule="auto"/>
              <w:rPr>
                <w:rFonts w:hint="eastAsia" w:ascii="仿宋" w:hAnsi="仿宋" w:eastAsia="仿宋" w:cs="仿宋"/>
                <w:sz w:val="21"/>
                <w:szCs w:val="21"/>
                <w:highlight w:val="none"/>
              </w:rPr>
            </w:pPr>
          </w:p>
        </w:tc>
      </w:tr>
    </w:tbl>
    <w:p w14:paraId="09460EDE">
      <w:pPr>
        <w:pStyle w:val="45"/>
        <w:adjustRightInd w:val="0"/>
        <w:snapToGrid w:val="0"/>
        <w:spacing w:line="360" w:lineRule="auto"/>
        <w:jc w:val="left"/>
        <w:rPr>
          <w:rFonts w:hint="eastAsia" w:ascii="仿宋" w:hAnsi="仿宋" w:eastAsia="仿宋" w:cs="仿宋"/>
          <w:sz w:val="24"/>
          <w:szCs w:val="24"/>
          <w:highlight w:val="none"/>
        </w:rPr>
      </w:pPr>
    </w:p>
    <w:p w14:paraId="0DBFDB0C">
      <w:pPr>
        <w:pStyle w:val="45"/>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说明：1．项目内容请详细说明所承担的具体工作内容；</w:t>
      </w:r>
    </w:p>
    <w:p w14:paraId="30BF18AB">
      <w:pPr>
        <w:pStyle w:val="45"/>
        <w:adjustRightInd w:val="0"/>
        <w:snapToGrid w:val="0"/>
        <w:spacing w:line="360" w:lineRule="auto"/>
        <w:ind w:left="960" w:leftChars="300" w:hanging="240" w:hangingChars="100"/>
        <w:rPr>
          <w:rFonts w:hint="eastAsia" w:ascii="仿宋" w:hAnsi="仿宋" w:eastAsia="仿宋" w:cs="仿宋"/>
          <w:sz w:val="24"/>
          <w:szCs w:val="24"/>
          <w:highlight w:val="none"/>
        </w:rPr>
      </w:pPr>
      <w:r>
        <w:rPr>
          <w:rFonts w:hint="eastAsia" w:ascii="仿宋" w:hAnsi="仿宋" w:eastAsia="仿宋" w:cs="仿宋"/>
          <w:sz w:val="24"/>
          <w:szCs w:val="24"/>
          <w:highlight w:val="none"/>
        </w:rPr>
        <w:t>2.本表后附合同或协议关键页（至少包括首页、签章页，体现签订日期、服务内容），详细评审标准要求的资料复印件并加盖公章。</w:t>
      </w:r>
    </w:p>
    <w:p w14:paraId="4C1DB16C">
      <w:pPr>
        <w:pStyle w:val="45"/>
        <w:adjustRightInd w:val="0"/>
        <w:snapToGrid w:val="0"/>
        <w:spacing w:line="360" w:lineRule="auto"/>
        <w:ind w:left="960" w:leftChars="300" w:hanging="240" w:hanging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3.如近年来，供应商法人机构发生合法变更或重组或法人名称变更时，应提供相关部门的合法批件或其他相关证明材料来证明其所附业绩的继承性。</w:t>
      </w:r>
    </w:p>
    <w:p w14:paraId="06216F29">
      <w:pPr>
        <w:pStyle w:val="45"/>
        <w:adjustRightInd w:val="0"/>
        <w:snapToGrid w:val="0"/>
        <w:spacing w:line="360" w:lineRule="auto"/>
        <w:rPr>
          <w:rFonts w:hint="eastAsia" w:ascii="仿宋" w:hAnsi="仿宋" w:eastAsia="仿宋" w:cs="仿宋"/>
          <w:sz w:val="24"/>
          <w:szCs w:val="24"/>
          <w:highlight w:val="none"/>
        </w:rPr>
      </w:pPr>
    </w:p>
    <w:p w14:paraId="78E8D03F">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42" w:name="_Toc4569"/>
      <w:bookmarkStart w:id="343" w:name="_Toc20687"/>
      <w:bookmarkStart w:id="344" w:name="_Toc5780"/>
      <w:bookmarkStart w:id="345" w:name="_Toc32179"/>
      <w:bookmarkStart w:id="346" w:name="_Toc32648"/>
      <w:bookmarkStart w:id="347" w:name="_Toc1586"/>
      <w:bookmarkStart w:id="348" w:name="_Toc11718"/>
      <w:bookmarkStart w:id="349" w:name="_Toc22545"/>
      <w:bookmarkStart w:id="350" w:name="_Toc6669"/>
      <w:bookmarkStart w:id="351" w:name="_Toc3751"/>
      <w:bookmarkStart w:id="352" w:name="_Toc16745"/>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4077839B">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5A5AC3BB">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6F2F4D94">
      <w:pPr>
        <w:pStyle w:val="37"/>
        <w:adjustRightInd w:val="0"/>
        <w:snapToGrid w:val="0"/>
        <w:spacing w:line="360" w:lineRule="auto"/>
        <w:ind w:firstLine="482" w:firstLineChars="200"/>
        <w:rPr>
          <w:rFonts w:hint="eastAsia" w:ascii="仿宋" w:hAnsi="仿宋" w:eastAsia="仿宋" w:cs="仿宋"/>
          <w:b/>
          <w:bCs/>
          <w:sz w:val="24"/>
          <w:szCs w:val="24"/>
          <w:highlight w:val="none"/>
        </w:rPr>
      </w:pPr>
    </w:p>
    <w:p w14:paraId="49F38138">
      <w:pPr>
        <w:pageBreakBefore/>
        <w:shd w:val="clear"/>
        <w:autoSpaceDE/>
        <w:autoSpaceDN/>
        <w:snapToGrid w:val="0"/>
        <w:spacing w:before="189"/>
        <w:jc w:val="center"/>
        <w:rPr>
          <w:rFonts w:hint="eastAsia" w:ascii="仿宋" w:hAnsi="仿宋" w:eastAsia="仿宋" w:cs="仿宋"/>
          <w:b/>
          <w:bCs/>
          <w:highlight w:val="none"/>
        </w:rPr>
      </w:pPr>
      <w:r>
        <w:rPr>
          <w:rFonts w:hint="eastAsia" w:ascii="仿宋" w:hAnsi="仿宋" w:eastAsia="仿宋" w:cs="仿宋"/>
          <w:b/>
          <w:sz w:val="28"/>
          <w:szCs w:val="28"/>
          <w:highlight w:val="none"/>
        </w:rPr>
        <w:t>七、</w:t>
      </w:r>
      <w:bookmarkEnd w:id="342"/>
      <w:bookmarkEnd w:id="343"/>
      <w:bookmarkEnd w:id="344"/>
      <w:bookmarkEnd w:id="345"/>
      <w:bookmarkEnd w:id="346"/>
      <w:bookmarkEnd w:id="347"/>
      <w:bookmarkEnd w:id="348"/>
      <w:bookmarkEnd w:id="349"/>
      <w:bookmarkEnd w:id="350"/>
      <w:bookmarkEnd w:id="351"/>
      <w:bookmarkEnd w:id="352"/>
      <w:r>
        <w:rPr>
          <w:rFonts w:hint="eastAsia" w:ascii="仿宋" w:hAnsi="仿宋" w:eastAsia="仿宋" w:cs="仿宋"/>
          <w:b/>
          <w:sz w:val="28"/>
          <w:szCs w:val="28"/>
          <w:highlight w:val="none"/>
          <w:lang w:val="zh-CN"/>
        </w:rPr>
        <w:t>拟配备人员一览表</w:t>
      </w:r>
    </w:p>
    <w:p w14:paraId="258869C1">
      <w:pPr>
        <w:pStyle w:val="45"/>
        <w:adjustRightInd w:val="0"/>
        <w:snapToGrid w:val="0"/>
        <w:spacing w:line="360" w:lineRule="auto"/>
        <w:rPr>
          <w:rFonts w:hint="eastAsia" w:ascii="仿宋" w:hAnsi="仿宋" w:eastAsia="仿宋" w:cs="仿宋"/>
          <w:sz w:val="24"/>
          <w:szCs w:val="24"/>
          <w:highlight w:val="none"/>
        </w:rPr>
      </w:pPr>
    </w:p>
    <w:tbl>
      <w:tblPr>
        <w:tblStyle w:val="19"/>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3"/>
      </w:tblGrid>
      <w:tr w14:paraId="482F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493" w:type="dxa"/>
            <w:noWrap w:val="0"/>
            <w:vAlign w:val="center"/>
          </w:tcPr>
          <w:p w14:paraId="7F32EEBA">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序号</w:t>
            </w:r>
          </w:p>
        </w:tc>
        <w:tc>
          <w:tcPr>
            <w:tcW w:w="1493" w:type="dxa"/>
            <w:noWrap w:val="0"/>
            <w:vAlign w:val="center"/>
          </w:tcPr>
          <w:p w14:paraId="01DF7198">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姓名</w:t>
            </w:r>
          </w:p>
        </w:tc>
        <w:tc>
          <w:tcPr>
            <w:tcW w:w="1493" w:type="dxa"/>
            <w:noWrap w:val="0"/>
            <w:vAlign w:val="center"/>
          </w:tcPr>
          <w:p w14:paraId="2D335340">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性别</w:t>
            </w:r>
          </w:p>
        </w:tc>
        <w:tc>
          <w:tcPr>
            <w:tcW w:w="1493" w:type="dxa"/>
            <w:noWrap w:val="0"/>
            <w:vAlign w:val="center"/>
          </w:tcPr>
          <w:p w14:paraId="78EC95F8">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工作年限</w:t>
            </w:r>
          </w:p>
        </w:tc>
        <w:tc>
          <w:tcPr>
            <w:tcW w:w="1493" w:type="dxa"/>
            <w:noWrap w:val="0"/>
            <w:vAlign w:val="center"/>
          </w:tcPr>
          <w:p w14:paraId="51D22AFE">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联系方式</w:t>
            </w:r>
          </w:p>
        </w:tc>
        <w:tc>
          <w:tcPr>
            <w:tcW w:w="1493" w:type="dxa"/>
            <w:noWrap w:val="0"/>
            <w:vAlign w:val="center"/>
          </w:tcPr>
          <w:p w14:paraId="21F8C442">
            <w:pPr>
              <w:pStyle w:val="6"/>
              <w:spacing w:line="360" w:lineRule="auto"/>
              <w:ind w:firstLine="0" w:firstLineChars="0"/>
              <w:jc w:val="center"/>
              <w:rPr>
                <w:rFonts w:hint="eastAsia" w:ascii="仿宋" w:hAnsi="仿宋" w:eastAsia="仿宋" w:cs="宋体"/>
                <w:sz w:val="21"/>
                <w:szCs w:val="21"/>
                <w:highlight w:val="none"/>
                <w:lang w:val="zh-CN"/>
              </w:rPr>
            </w:pPr>
            <w:r>
              <w:rPr>
                <w:rFonts w:hint="eastAsia" w:ascii="仿宋" w:hAnsi="仿宋" w:eastAsia="仿宋" w:cs="宋体"/>
                <w:sz w:val="21"/>
                <w:szCs w:val="21"/>
                <w:highlight w:val="none"/>
                <w:lang w:val="zh-CN"/>
              </w:rPr>
              <w:t>在本项目中的职务</w:t>
            </w:r>
          </w:p>
        </w:tc>
      </w:tr>
      <w:tr w14:paraId="4FA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B191B74">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31DC047">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BC589E7">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21FD68DE">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57184BA">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433B57F">
            <w:pPr>
              <w:pStyle w:val="6"/>
              <w:spacing w:line="360" w:lineRule="auto"/>
              <w:ind w:firstLine="0" w:firstLineChars="0"/>
              <w:jc w:val="center"/>
              <w:rPr>
                <w:rFonts w:hint="eastAsia" w:ascii="仿宋" w:hAnsi="仿宋" w:eastAsia="仿宋" w:cs="宋体"/>
                <w:sz w:val="21"/>
                <w:szCs w:val="21"/>
                <w:highlight w:val="none"/>
                <w:lang w:val="zh-CN"/>
              </w:rPr>
            </w:pPr>
          </w:p>
        </w:tc>
      </w:tr>
      <w:tr w14:paraId="774A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1B27DAE4">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3E91CE74">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E2DA7B3">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0B9A18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0FC54EE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264A0D11">
            <w:pPr>
              <w:pStyle w:val="6"/>
              <w:spacing w:line="360" w:lineRule="auto"/>
              <w:ind w:firstLine="0" w:firstLineChars="0"/>
              <w:jc w:val="center"/>
              <w:rPr>
                <w:rFonts w:hint="eastAsia" w:ascii="仿宋" w:hAnsi="仿宋" w:eastAsia="仿宋" w:cs="宋体"/>
                <w:sz w:val="21"/>
                <w:szCs w:val="21"/>
                <w:highlight w:val="none"/>
                <w:lang w:val="zh-CN"/>
              </w:rPr>
            </w:pPr>
          </w:p>
        </w:tc>
      </w:tr>
      <w:tr w14:paraId="6361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4954BB8">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584E324">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DA9CFDF">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B9E4A6A">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0788299">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DB867A9">
            <w:pPr>
              <w:pStyle w:val="6"/>
              <w:spacing w:line="360" w:lineRule="auto"/>
              <w:ind w:firstLine="0" w:firstLineChars="0"/>
              <w:jc w:val="center"/>
              <w:rPr>
                <w:rFonts w:hint="eastAsia" w:ascii="仿宋" w:hAnsi="仿宋" w:eastAsia="仿宋" w:cs="宋体"/>
                <w:sz w:val="21"/>
                <w:szCs w:val="21"/>
                <w:highlight w:val="none"/>
                <w:lang w:val="zh-CN"/>
              </w:rPr>
            </w:pPr>
          </w:p>
        </w:tc>
      </w:tr>
      <w:tr w14:paraId="1E13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7206E7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010ACCD">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73685EC">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CD3591E">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6E78EAF">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054122F">
            <w:pPr>
              <w:pStyle w:val="6"/>
              <w:spacing w:line="360" w:lineRule="auto"/>
              <w:ind w:firstLine="0" w:firstLineChars="0"/>
              <w:jc w:val="center"/>
              <w:rPr>
                <w:rFonts w:hint="eastAsia" w:ascii="仿宋" w:hAnsi="仿宋" w:eastAsia="仿宋" w:cs="宋体"/>
                <w:sz w:val="21"/>
                <w:szCs w:val="21"/>
                <w:highlight w:val="none"/>
                <w:lang w:val="zh-CN"/>
              </w:rPr>
            </w:pPr>
          </w:p>
        </w:tc>
      </w:tr>
      <w:tr w14:paraId="3E35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E3DE796">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3812F5ED">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3790CFA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E2C087C">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6C62096">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2695255">
            <w:pPr>
              <w:pStyle w:val="6"/>
              <w:spacing w:line="360" w:lineRule="auto"/>
              <w:ind w:firstLine="0" w:firstLineChars="0"/>
              <w:jc w:val="center"/>
              <w:rPr>
                <w:rFonts w:hint="eastAsia" w:ascii="仿宋" w:hAnsi="仿宋" w:eastAsia="仿宋" w:cs="宋体"/>
                <w:sz w:val="21"/>
                <w:szCs w:val="21"/>
                <w:highlight w:val="none"/>
                <w:lang w:val="zh-CN"/>
              </w:rPr>
            </w:pPr>
          </w:p>
        </w:tc>
      </w:tr>
      <w:tr w14:paraId="2ECF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39A53062">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0BB9836B">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2F7BF33">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97AEBBA">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E4CDF5D">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D5FB4B5">
            <w:pPr>
              <w:pStyle w:val="6"/>
              <w:spacing w:line="360" w:lineRule="auto"/>
              <w:ind w:firstLine="0" w:firstLineChars="0"/>
              <w:jc w:val="center"/>
              <w:rPr>
                <w:rFonts w:hint="eastAsia" w:ascii="仿宋" w:hAnsi="仿宋" w:eastAsia="仿宋" w:cs="宋体"/>
                <w:sz w:val="21"/>
                <w:szCs w:val="21"/>
                <w:highlight w:val="none"/>
                <w:lang w:val="zh-CN"/>
              </w:rPr>
            </w:pPr>
          </w:p>
        </w:tc>
      </w:tr>
      <w:tr w14:paraId="683D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4727BA7">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3811EFE1">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2B15D7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1AD329E">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083C55BC">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DD84CEB">
            <w:pPr>
              <w:pStyle w:val="6"/>
              <w:spacing w:line="360" w:lineRule="auto"/>
              <w:ind w:firstLine="0" w:firstLineChars="0"/>
              <w:jc w:val="center"/>
              <w:rPr>
                <w:rFonts w:hint="eastAsia" w:ascii="仿宋" w:hAnsi="仿宋" w:eastAsia="仿宋" w:cs="宋体"/>
                <w:sz w:val="21"/>
                <w:szCs w:val="21"/>
                <w:highlight w:val="none"/>
                <w:lang w:val="zh-CN"/>
              </w:rPr>
            </w:pPr>
          </w:p>
        </w:tc>
      </w:tr>
      <w:tr w14:paraId="1F7B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27495A86">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2B24BA8">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CC82CF7">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7589D1F">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C5FF992">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0A083665">
            <w:pPr>
              <w:pStyle w:val="6"/>
              <w:spacing w:line="360" w:lineRule="auto"/>
              <w:ind w:firstLine="0" w:firstLineChars="0"/>
              <w:jc w:val="center"/>
              <w:rPr>
                <w:rFonts w:hint="eastAsia" w:ascii="仿宋" w:hAnsi="仿宋" w:eastAsia="仿宋" w:cs="宋体"/>
                <w:sz w:val="21"/>
                <w:szCs w:val="21"/>
                <w:highlight w:val="none"/>
                <w:lang w:val="zh-CN"/>
              </w:rPr>
            </w:pPr>
          </w:p>
        </w:tc>
      </w:tr>
      <w:tr w14:paraId="3CCD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06054D9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0642294A">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7CBE772">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CA90322">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69AC59B9">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182C659">
            <w:pPr>
              <w:pStyle w:val="6"/>
              <w:spacing w:line="360" w:lineRule="auto"/>
              <w:ind w:firstLine="0" w:firstLineChars="0"/>
              <w:jc w:val="center"/>
              <w:rPr>
                <w:rFonts w:hint="eastAsia" w:ascii="仿宋" w:hAnsi="仿宋" w:eastAsia="仿宋" w:cs="宋体"/>
                <w:sz w:val="21"/>
                <w:szCs w:val="21"/>
                <w:highlight w:val="none"/>
                <w:lang w:val="zh-CN"/>
              </w:rPr>
            </w:pPr>
          </w:p>
        </w:tc>
      </w:tr>
      <w:tr w14:paraId="05B0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noWrap w:val="0"/>
            <w:vAlign w:val="center"/>
          </w:tcPr>
          <w:p w14:paraId="77AE32A8">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24BB182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72F74C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394EA952">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983C57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75CCE07F">
            <w:pPr>
              <w:pStyle w:val="6"/>
              <w:spacing w:line="360" w:lineRule="auto"/>
              <w:ind w:firstLine="0" w:firstLineChars="0"/>
              <w:jc w:val="center"/>
              <w:rPr>
                <w:rFonts w:hint="eastAsia" w:ascii="仿宋" w:hAnsi="仿宋" w:eastAsia="仿宋" w:cs="宋体"/>
                <w:sz w:val="21"/>
                <w:szCs w:val="21"/>
                <w:highlight w:val="none"/>
                <w:lang w:val="zh-CN"/>
              </w:rPr>
            </w:pPr>
          </w:p>
        </w:tc>
      </w:tr>
      <w:tr w14:paraId="5BEA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93" w:type="dxa"/>
            <w:noWrap w:val="0"/>
            <w:vAlign w:val="center"/>
          </w:tcPr>
          <w:p w14:paraId="4B4E2A89">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FE5182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DA43043">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54DA1EF0">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402EB075">
            <w:pPr>
              <w:pStyle w:val="6"/>
              <w:spacing w:line="360" w:lineRule="auto"/>
              <w:ind w:firstLine="0" w:firstLineChars="0"/>
              <w:jc w:val="center"/>
              <w:rPr>
                <w:rFonts w:hint="eastAsia" w:ascii="仿宋" w:hAnsi="仿宋" w:eastAsia="仿宋" w:cs="宋体"/>
                <w:sz w:val="21"/>
                <w:szCs w:val="21"/>
                <w:highlight w:val="none"/>
                <w:lang w:val="zh-CN"/>
              </w:rPr>
            </w:pPr>
          </w:p>
        </w:tc>
        <w:tc>
          <w:tcPr>
            <w:tcW w:w="1493" w:type="dxa"/>
            <w:noWrap w:val="0"/>
            <w:vAlign w:val="center"/>
          </w:tcPr>
          <w:p w14:paraId="1AEEAD81">
            <w:pPr>
              <w:pStyle w:val="6"/>
              <w:spacing w:line="360" w:lineRule="auto"/>
              <w:ind w:firstLine="0" w:firstLineChars="0"/>
              <w:jc w:val="center"/>
              <w:rPr>
                <w:rFonts w:hint="eastAsia" w:ascii="仿宋" w:hAnsi="仿宋" w:eastAsia="仿宋" w:cs="宋体"/>
                <w:sz w:val="21"/>
                <w:szCs w:val="21"/>
                <w:highlight w:val="none"/>
                <w:lang w:val="zh-CN"/>
              </w:rPr>
            </w:pPr>
          </w:p>
        </w:tc>
      </w:tr>
    </w:tbl>
    <w:p w14:paraId="2F8572AC">
      <w:pPr>
        <w:snapToGrid w:val="0"/>
        <w:spacing w:line="360" w:lineRule="auto"/>
        <w:ind w:firstLine="482" w:firstLineChars="200"/>
        <w:rPr>
          <w:rFonts w:hint="eastAsia" w:ascii="仿宋" w:hAnsi="仿宋" w:eastAsia="仿宋" w:cs="仿宋"/>
          <w:b/>
          <w:bCs/>
          <w:highlight w:val="none"/>
          <w:lang w:eastAsia="zh-CN"/>
        </w:rPr>
      </w:pPr>
      <w:r>
        <w:rPr>
          <w:rFonts w:hint="eastAsia" w:ascii="仿宋" w:hAnsi="仿宋" w:eastAsia="仿宋" w:cs="仿宋"/>
          <w:b/>
          <w:bCs/>
          <w:highlight w:val="none"/>
        </w:rPr>
        <w:t>后附身份证、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、学历证扫描件或学信网查询记录、劳动合同，复印件并加盖</w:t>
      </w:r>
      <w:r>
        <w:rPr>
          <w:rFonts w:hint="eastAsia" w:ascii="仿宋" w:hAnsi="仿宋" w:eastAsia="仿宋" w:cs="仿宋"/>
          <w:b/>
          <w:bCs/>
          <w:highlight w:val="none"/>
          <w:lang w:eastAsia="zh-CN"/>
        </w:rPr>
        <w:t>供应商</w:t>
      </w:r>
      <w:r>
        <w:rPr>
          <w:rFonts w:hint="eastAsia" w:ascii="仿宋" w:hAnsi="仿宋" w:eastAsia="仿宋" w:cs="仿宋"/>
          <w:b/>
          <w:bCs/>
          <w:highlight w:val="none"/>
        </w:rPr>
        <w:t>公章</w:t>
      </w:r>
      <w:r>
        <w:rPr>
          <w:rFonts w:hint="eastAsia" w:ascii="仿宋" w:hAnsi="仿宋" w:eastAsia="仿宋" w:cs="仿宋"/>
          <w:b/>
          <w:bCs/>
          <w:highlight w:val="none"/>
          <w:lang w:eastAsia="zh-CN"/>
        </w:rPr>
        <w:t>。</w:t>
      </w:r>
    </w:p>
    <w:p w14:paraId="543B29C9">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6839676C">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08C66AFD">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7B5FCB92">
      <w:pPr>
        <w:pStyle w:val="45"/>
        <w:adjustRightInd w:val="0"/>
        <w:snapToGrid w:val="0"/>
        <w:spacing w:line="360" w:lineRule="auto"/>
        <w:rPr>
          <w:rFonts w:hint="eastAsia" w:ascii="仿宋" w:hAnsi="仿宋" w:eastAsia="仿宋" w:cs="仿宋"/>
          <w:b/>
          <w:bCs/>
          <w:sz w:val="24"/>
          <w:szCs w:val="24"/>
          <w:highlight w:val="none"/>
        </w:rPr>
      </w:pPr>
    </w:p>
    <w:p w14:paraId="6F90D5FA">
      <w:pPr>
        <w:pStyle w:val="6"/>
        <w:pageBreakBefore/>
        <w:adjustRightInd w:val="0"/>
        <w:snapToGrid w:val="0"/>
        <w:spacing w:line="360" w:lineRule="auto"/>
        <w:ind w:firstLine="0" w:firstLineChars="0"/>
        <w:jc w:val="center"/>
        <w:rPr>
          <w:rFonts w:hint="eastAsia" w:ascii="仿宋" w:hAnsi="仿宋" w:eastAsia="仿宋" w:cs="仿宋"/>
          <w:b/>
          <w:kern w:val="0"/>
          <w:sz w:val="28"/>
          <w:szCs w:val="28"/>
          <w:highlight w:val="none"/>
        </w:rPr>
      </w:pPr>
      <w:bookmarkStart w:id="353" w:name="_Toc11523"/>
      <w:bookmarkStart w:id="354" w:name="_Toc30466"/>
      <w:bookmarkStart w:id="355" w:name="_Toc8138"/>
      <w:bookmarkStart w:id="356" w:name="_Toc25694"/>
      <w:bookmarkStart w:id="357" w:name="_Toc1240"/>
      <w:bookmarkStart w:id="358" w:name="_Toc11807"/>
      <w:bookmarkStart w:id="359" w:name="_Toc28085"/>
      <w:bookmarkStart w:id="360" w:name="_Toc10709"/>
      <w:r>
        <w:rPr>
          <w:rFonts w:hint="eastAsia" w:ascii="仿宋" w:hAnsi="仿宋" w:eastAsia="仿宋" w:cs="仿宋"/>
          <w:b/>
          <w:kern w:val="0"/>
          <w:sz w:val="28"/>
          <w:szCs w:val="28"/>
          <w:highlight w:val="none"/>
        </w:rPr>
        <w:t>八、商务条款偏离说明表</w:t>
      </w:r>
      <w:bookmarkEnd w:id="353"/>
      <w:bookmarkEnd w:id="354"/>
      <w:bookmarkEnd w:id="355"/>
      <w:bookmarkEnd w:id="356"/>
      <w:bookmarkEnd w:id="357"/>
      <w:bookmarkEnd w:id="358"/>
      <w:bookmarkEnd w:id="359"/>
      <w:bookmarkEnd w:id="360"/>
    </w:p>
    <w:p w14:paraId="03DAEAEE">
      <w:pPr>
        <w:pStyle w:val="45"/>
        <w:adjustRightInd w:val="0"/>
        <w:snapToGrid w:val="0"/>
        <w:spacing w:line="360" w:lineRule="auto"/>
        <w:rPr>
          <w:rFonts w:hint="eastAsia" w:ascii="仿宋" w:hAnsi="仿宋" w:eastAsia="仿宋" w:cs="仿宋"/>
          <w:sz w:val="24"/>
          <w:szCs w:val="24"/>
          <w:highlight w:val="none"/>
        </w:rPr>
      </w:pPr>
    </w:p>
    <w:p w14:paraId="07FFA996">
      <w:pPr>
        <w:pStyle w:val="45"/>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951A16D">
      <w:pPr>
        <w:pStyle w:val="45"/>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1682"/>
        <w:gridCol w:w="2142"/>
        <w:gridCol w:w="1206"/>
      </w:tblGrid>
      <w:tr w14:paraId="69FF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14:paraId="4736FC42">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2822" w:type="dxa"/>
            <w:tcBorders>
              <w:top w:val="single" w:color="auto" w:sz="12" w:space="0"/>
            </w:tcBorders>
            <w:noWrap w:val="0"/>
            <w:vAlign w:val="center"/>
          </w:tcPr>
          <w:p w14:paraId="68145E11">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招标文件的商务条款</w:t>
            </w:r>
          </w:p>
        </w:tc>
        <w:tc>
          <w:tcPr>
            <w:tcW w:w="1682" w:type="dxa"/>
            <w:tcBorders>
              <w:top w:val="single" w:color="auto" w:sz="12" w:space="0"/>
            </w:tcBorders>
            <w:noWrap w:val="0"/>
            <w:vAlign w:val="center"/>
          </w:tcPr>
          <w:p w14:paraId="77529280">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投标文件的商务条款</w:t>
            </w:r>
          </w:p>
        </w:tc>
        <w:tc>
          <w:tcPr>
            <w:tcW w:w="2142" w:type="dxa"/>
            <w:tcBorders>
              <w:top w:val="single" w:color="auto" w:sz="12" w:space="0"/>
              <w:right w:val="single" w:color="auto" w:sz="12" w:space="0"/>
            </w:tcBorders>
            <w:noWrap w:val="0"/>
            <w:vAlign w:val="center"/>
          </w:tcPr>
          <w:p w14:paraId="08164F80">
            <w:pPr>
              <w:pStyle w:val="49"/>
              <w:tabs>
                <w:tab w:val="left" w:pos="1337"/>
              </w:tabs>
              <w:adjustRightInd w:val="0"/>
              <w:snapToGrid w:val="0"/>
              <w:spacing w:line="360" w:lineRule="auto"/>
              <w:jc w:val="center"/>
              <w:rPr>
                <w:rFonts w:hint="eastAsia" w:ascii="仿宋" w:hAnsi="仿宋" w:eastAsia="仿宋" w:cs="仿宋"/>
                <w:bCs/>
                <w:sz w:val="21"/>
                <w:szCs w:val="21"/>
                <w:highlight w:val="none"/>
                <w:lang w:eastAsia="zh-Hans"/>
              </w:rPr>
            </w:pPr>
            <w:r>
              <w:rPr>
                <w:rFonts w:hint="eastAsia" w:ascii="仿宋" w:hAnsi="仿宋" w:eastAsia="仿宋" w:cs="仿宋"/>
                <w:bCs/>
                <w:sz w:val="21"/>
                <w:szCs w:val="21"/>
                <w:highlight w:val="none"/>
                <w:lang w:eastAsia="zh-Hans"/>
              </w:rPr>
              <w:t>偏离说明（符合/</w:t>
            </w:r>
          </w:p>
          <w:p w14:paraId="4CE4F029">
            <w:pPr>
              <w:pStyle w:val="49"/>
              <w:tabs>
                <w:tab w:val="left" w:pos="1337"/>
              </w:tabs>
              <w:adjustRightInd w:val="0"/>
              <w:snapToGrid w:val="0"/>
              <w:spacing w:line="360" w:lineRule="auto"/>
              <w:jc w:val="center"/>
              <w:rPr>
                <w:rFonts w:hint="eastAsia" w:ascii="仿宋" w:hAnsi="仿宋" w:eastAsia="仿宋" w:cs="仿宋"/>
                <w:bCs/>
                <w:sz w:val="21"/>
                <w:szCs w:val="21"/>
                <w:highlight w:val="none"/>
                <w:lang w:eastAsia="zh-Hans"/>
              </w:rPr>
            </w:pPr>
            <w:r>
              <w:rPr>
                <w:rFonts w:hint="eastAsia" w:ascii="仿宋" w:hAnsi="仿宋" w:eastAsia="仿宋" w:cs="仿宋"/>
                <w:bCs/>
                <w:sz w:val="21"/>
                <w:szCs w:val="21"/>
                <w:highlight w:val="none"/>
                <w:lang w:eastAsia="zh-Hans"/>
              </w:rPr>
              <w:t>正偏离/负偏离）</w:t>
            </w:r>
          </w:p>
        </w:tc>
        <w:tc>
          <w:tcPr>
            <w:tcW w:w="1206" w:type="dxa"/>
            <w:tcBorders>
              <w:top w:val="single" w:color="auto" w:sz="12" w:space="0"/>
              <w:right w:val="single" w:color="auto" w:sz="12" w:space="0"/>
            </w:tcBorders>
            <w:noWrap w:val="0"/>
            <w:vAlign w:val="center"/>
          </w:tcPr>
          <w:p w14:paraId="7A78BB53">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备注</w:t>
            </w:r>
          </w:p>
        </w:tc>
      </w:tr>
      <w:tr w14:paraId="638C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5FD77A99">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822" w:type="dxa"/>
            <w:noWrap w:val="0"/>
            <w:vAlign w:val="center"/>
          </w:tcPr>
          <w:p w14:paraId="4967EE55">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82" w:type="dxa"/>
            <w:noWrap w:val="0"/>
            <w:vAlign w:val="center"/>
          </w:tcPr>
          <w:p w14:paraId="1BDD7B46">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142" w:type="dxa"/>
            <w:tcBorders>
              <w:right w:val="single" w:color="auto" w:sz="12" w:space="0"/>
            </w:tcBorders>
            <w:noWrap w:val="0"/>
            <w:vAlign w:val="center"/>
          </w:tcPr>
          <w:p w14:paraId="3EFA6F34">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06" w:type="dxa"/>
            <w:tcBorders>
              <w:right w:val="single" w:color="auto" w:sz="12" w:space="0"/>
            </w:tcBorders>
            <w:noWrap w:val="0"/>
            <w:vAlign w:val="center"/>
          </w:tcPr>
          <w:p w14:paraId="5E56464B">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6443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76C8D27E">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822" w:type="dxa"/>
            <w:noWrap w:val="0"/>
            <w:vAlign w:val="center"/>
          </w:tcPr>
          <w:p w14:paraId="3B82CF47">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82" w:type="dxa"/>
            <w:noWrap w:val="0"/>
            <w:vAlign w:val="center"/>
          </w:tcPr>
          <w:p w14:paraId="1848EFF9">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142" w:type="dxa"/>
            <w:tcBorders>
              <w:right w:val="single" w:color="auto" w:sz="12" w:space="0"/>
            </w:tcBorders>
            <w:noWrap w:val="0"/>
            <w:vAlign w:val="center"/>
          </w:tcPr>
          <w:p w14:paraId="14196A8B">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06" w:type="dxa"/>
            <w:tcBorders>
              <w:right w:val="single" w:color="auto" w:sz="12" w:space="0"/>
            </w:tcBorders>
            <w:noWrap w:val="0"/>
            <w:vAlign w:val="center"/>
          </w:tcPr>
          <w:p w14:paraId="58A15530">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2A1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14:paraId="63D30DF8">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822" w:type="dxa"/>
            <w:noWrap w:val="0"/>
            <w:vAlign w:val="center"/>
          </w:tcPr>
          <w:p w14:paraId="3B25C03A">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82" w:type="dxa"/>
            <w:noWrap w:val="0"/>
            <w:vAlign w:val="center"/>
          </w:tcPr>
          <w:p w14:paraId="438C55C2">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142" w:type="dxa"/>
            <w:tcBorders>
              <w:right w:val="single" w:color="auto" w:sz="12" w:space="0"/>
            </w:tcBorders>
            <w:noWrap w:val="0"/>
            <w:vAlign w:val="center"/>
          </w:tcPr>
          <w:p w14:paraId="7CDDDBA5">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06" w:type="dxa"/>
            <w:tcBorders>
              <w:right w:val="single" w:color="auto" w:sz="12" w:space="0"/>
            </w:tcBorders>
            <w:noWrap w:val="0"/>
            <w:vAlign w:val="center"/>
          </w:tcPr>
          <w:p w14:paraId="033B24A5">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6633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14:paraId="5C17AB46">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822" w:type="dxa"/>
            <w:tcBorders>
              <w:bottom w:val="single" w:color="auto" w:sz="12" w:space="0"/>
            </w:tcBorders>
            <w:noWrap w:val="0"/>
            <w:vAlign w:val="center"/>
          </w:tcPr>
          <w:p w14:paraId="2CD29F11">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82" w:type="dxa"/>
            <w:tcBorders>
              <w:bottom w:val="single" w:color="auto" w:sz="12" w:space="0"/>
            </w:tcBorders>
            <w:noWrap w:val="0"/>
            <w:vAlign w:val="center"/>
          </w:tcPr>
          <w:p w14:paraId="10A76D7A">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142" w:type="dxa"/>
            <w:tcBorders>
              <w:bottom w:val="single" w:color="auto" w:sz="12" w:space="0"/>
              <w:right w:val="single" w:color="auto" w:sz="12" w:space="0"/>
            </w:tcBorders>
            <w:noWrap w:val="0"/>
            <w:vAlign w:val="center"/>
          </w:tcPr>
          <w:p w14:paraId="3CB11D32">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06" w:type="dxa"/>
            <w:tcBorders>
              <w:bottom w:val="single" w:color="auto" w:sz="12" w:space="0"/>
              <w:right w:val="single" w:color="auto" w:sz="12" w:space="0"/>
            </w:tcBorders>
            <w:noWrap w:val="0"/>
            <w:vAlign w:val="center"/>
          </w:tcPr>
          <w:p w14:paraId="2DBF5AAC">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bl>
    <w:p w14:paraId="44D243A0">
      <w:pPr>
        <w:pStyle w:val="6"/>
        <w:adjustRightInd w:val="0"/>
        <w:snapToGrid w:val="0"/>
        <w:spacing w:line="360" w:lineRule="auto"/>
        <w:ind w:firstLine="0" w:firstLineChars="0"/>
        <w:jc w:val="center"/>
        <w:rPr>
          <w:rFonts w:hint="eastAsia" w:ascii="仿宋" w:hAnsi="仿宋" w:eastAsia="仿宋" w:cs="仿宋"/>
          <w:b/>
          <w:bCs/>
          <w:sz w:val="24"/>
          <w:highlight w:val="none"/>
        </w:rPr>
      </w:pPr>
    </w:p>
    <w:p w14:paraId="22596738">
      <w:pPr>
        <w:snapToGrid w:val="0"/>
        <w:spacing w:line="360" w:lineRule="auto"/>
        <w:rPr>
          <w:rFonts w:hint="eastAsia" w:ascii="仿宋" w:hAnsi="仿宋" w:eastAsia="仿宋" w:cs="仿宋"/>
          <w:highlight w:val="none"/>
        </w:rPr>
      </w:pPr>
    </w:p>
    <w:p w14:paraId="384B4B44">
      <w:pPr>
        <w:snapToGrid w:val="0"/>
        <w:spacing w:line="360" w:lineRule="auto"/>
        <w:rPr>
          <w:rFonts w:hint="eastAsia" w:ascii="仿宋" w:hAnsi="仿宋" w:eastAsia="仿宋" w:cs="仿宋"/>
          <w:b/>
          <w:highlight w:val="none"/>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供应商</w:t>
      </w:r>
      <w:r>
        <w:rPr>
          <w:rFonts w:hint="eastAsia" w:ascii="仿宋" w:hAnsi="仿宋" w:eastAsia="仿宋" w:cs="仿宋"/>
          <w:b/>
          <w:highlight w:val="none"/>
        </w:rPr>
        <w:t>提交的商务服务条款与招标文件的要求存在正偏离或负偏离，需逐项在偏离一栏中详细说明。</w:t>
      </w:r>
    </w:p>
    <w:p w14:paraId="661D3988">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如供应商能完全按照此部分要求承诺（响应）并实施，“投标文件的商务条款”可填写“完全按照采购文件</w:t>
      </w:r>
      <w:r>
        <w:rPr>
          <w:rFonts w:hint="eastAsia" w:ascii="仿宋" w:hAnsi="仿宋" w:eastAsia="仿宋" w:cs="仿宋"/>
          <w:b/>
          <w:highlight w:val="none"/>
          <w:lang w:eastAsia="zh-CN"/>
        </w:rPr>
        <w:t>商务条款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610F23B0">
      <w:pPr>
        <w:pStyle w:val="50"/>
        <w:adjustRightInd w:val="0"/>
        <w:snapToGrid w:val="0"/>
        <w:spacing w:line="360" w:lineRule="auto"/>
        <w:jc w:val="center"/>
        <w:rPr>
          <w:rFonts w:hint="eastAsia" w:ascii="仿宋" w:hAnsi="仿宋" w:eastAsia="仿宋" w:cs="仿宋"/>
          <w:sz w:val="24"/>
          <w:highlight w:val="none"/>
        </w:rPr>
      </w:pPr>
    </w:p>
    <w:p w14:paraId="126E0764">
      <w:pPr>
        <w:pStyle w:val="50"/>
        <w:adjustRightInd w:val="0"/>
        <w:snapToGrid w:val="0"/>
        <w:spacing w:line="360" w:lineRule="auto"/>
        <w:jc w:val="center"/>
        <w:rPr>
          <w:rFonts w:hint="eastAsia" w:ascii="仿宋" w:hAnsi="仿宋" w:eastAsia="仿宋" w:cs="仿宋"/>
          <w:sz w:val="24"/>
          <w:highlight w:val="none"/>
        </w:rPr>
      </w:pPr>
    </w:p>
    <w:p w14:paraId="13A8226D">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61" w:name="_Toc20139"/>
      <w:bookmarkStart w:id="362" w:name="_Toc15588"/>
      <w:bookmarkStart w:id="363" w:name="_Toc13636"/>
      <w:bookmarkStart w:id="364" w:name="_Toc3569"/>
      <w:bookmarkStart w:id="365" w:name="_Toc19796"/>
      <w:bookmarkStart w:id="366" w:name="_Toc12887"/>
      <w:bookmarkStart w:id="367" w:name="_Toc24325"/>
      <w:bookmarkStart w:id="368" w:name="_Toc6806"/>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B7712F0">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539917A1">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032D3DA5">
      <w:pPr>
        <w:pStyle w:val="37"/>
        <w:adjustRightInd w:val="0"/>
        <w:snapToGrid w:val="0"/>
        <w:spacing w:line="360" w:lineRule="auto"/>
        <w:ind w:firstLine="482" w:firstLineChars="200"/>
        <w:rPr>
          <w:rFonts w:hint="eastAsia" w:ascii="仿宋" w:hAnsi="仿宋" w:eastAsia="仿宋" w:cs="仿宋"/>
          <w:b/>
          <w:bCs/>
          <w:sz w:val="24"/>
          <w:szCs w:val="24"/>
          <w:highlight w:val="none"/>
        </w:rPr>
      </w:pPr>
    </w:p>
    <w:p w14:paraId="1C061602">
      <w:pPr>
        <w:pStyle w:val="48"/>
        <w:pageBreakBefore/>
        <w:adjustRightInd w:val="0"/>
        <w:snapToGrid w:val="0"/>
        <w:spacing w:line="360" w:lineRule="auto"/>
        <w:ind w:right="-91"/>
        <w:jc w:val="center"/>
        <w:rPr>
          <w:rFonts w:hint="eastAsia" w:ascii="仿宋" w:hAnsi="仿宋" w:eastAsia="仿宋" w:cs="仿宋"/>
          <w:b/>
          <w:bCs/>
          <w:sz w:val="24"/>
          <w:highlight w:val="none"/>
        </w:rPr>
      </w:pPr>
      <w:r>
        <w:rPr>
          <w:rFonts w:hint="eastAsia" w:ascii="仿宋" w:hAnsi="仿宋" w:eastAsia="仿宋" w:cs="仿宋"/>
          <w:b/>
          <w:kern w:val="0"/>
          <w:sz w:val="28"/>
          <w:szCs w:val="28"/>
          <w:highlight w:val="none"/>
        </w:rPr>
        <w:t>九、技术文件</w:t>
      </w:r>
      <w:bookmarkEnd w:id="361"/>
      <w:bookmarkEnd w:id="362"/>
      <w:bookmarkEnd w:id="363"/>
      <w:bookmarkEnd w:id="364"/>
      <w:bookmarkEnd w:id="365"/>
      <w:bookmarkEnd w:id="366"/>
      <w:bookmarkEnd w:id="367"/>
      <w:bookmarkEnd w:id="368"/>
    </w:p>
    <w:p w14:paraId="63039CE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此处内容可对照评审标准提供相应方案，充分体现所投项目服务对于评分标准的响应程度和优势</w:t>
      </w:r>
      <w:r>
        <w:rPr>
          <w:rFonts w:hint="eastAsia" w:ascii="仿宋" w:hAnsi="仿宋" w:eastAsia="仿宋" w:cs="仿宋"/>
          <w:highlight w:val="none"/>
          <w:lang w:eastAsia="zh-CN"/>
        </w:rPr>
        <w:t>，格式自拟。</w:t>
      </w:r>
    </w:p>
    <w:p w14:paraId="61E829EE">
      <w:pPr>
        <w:pStyle w:val="8"/>
        <w:rPr>
          <w:rFonts w:hint="eastAsia"/>
          <w:highlight w:val="none"/>
          <w:lang w:val="zh-CN"/>
        </w:rPr>
      </w:pPr>
      <w:bookmarkStart w:id="369" w:name="_Toc29237"/>
      <w:bookmarkStart w:id="370" w:name="_Toc31651"/>
      <w:bookmarkStart w:id="371" w:name="_Toc26902"/>
      <w:bookmarkStart w:id="372" w:name="_Toc24404"/>
    </w:p>
    <w:p w14:paraId="6115B1D9">
      <w:pPr>
        <w:rPr>
          <w:highlight w:val="none"/>
        </w:rPr>
      </w:pPr>
    </w:p>
    <w:p w14:paraId="738DE579">
      <w:pPr>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说明：技术文件的编制原则，一是按</w:t>
      </w:r>
      <w:r>
        <w:rPr>
          <w:rFonts w:hint="eastAsia" w:ascii="仿宋" w:hAnsi="仿宋" w:eastAsia="仿宋" w:cs="仿宋"/>
          <w:b/>
          <w:bCs/>
          <w:highlight w:val="none"/>
          <w:lang w:eastAsia="zh-CN"/>
        </w:rPr>
        <w:t>招标</w:t>
      </w:r>
      <w:r>
        <w:rPr>
          <w:rFonts w:hint="eastAsia" w:ascii="仿宋" w:hAnsi="仿宋" w:eastAsia="仿宋" w:cs="仿宋"/>
          <w:b/>
          <w:bCs/>
          <w:highlight w:val="none"/>
        </w:rPr>
        <w:t>文件要求，提供相应说明、资料、表格以证明所投</w:t>
      </w:r>
      <w:r>
        <w:rPr>
          <w:rFonts w:hint="eastAsia" w:ascii="仿宋" w:hAnsi="仿宋" w:eastAsia="仿宋" w:cs="仿宋"/>
          <w:b/>
          <w:bCs/>
          <w:highlight w:val="none"/>
          <w:lang w:eastAsia="zh-CN"/>
        </w:rPr>
        <w:t>货物</w:t>
      </w:r>
      <w:r>
        <w:rPr>
          <w:rFonts w:hint="eastAsia" w:ascii="仿宋" w:hAnsi="仿宋" w:eastAsia="仿宋" w:cs="仿宋"/>
          <w:b/>
          <w:bCs/>
          <w:highlight w:val="none"/>
        </w:rPr>
        <w:t>是否响应招标文件要求；二是对应项目评审标准，充分体现所投服务对于评分标准的响应程度和优势。</w:t>
      </w:r>
      <w:bookmarkEnd w:id="369"/>
      <w:bookmarkEnd w:id="370"/>
      <w:bookmarkEnd w:id="371"/>
      <w:bookmarkEnd w:id="372"/>
      <w:bookmarkStart w:id="373" w:name="_Toc16767"/>
      <w:bookmarkStart w:id="374" w:name="_Toc31694"/>
      <w:bookmarkStart w:id="375" w:name="_Toc7614"/>
      <w:bookmarkStart w:id="376" w:name="_Toc24767"/>
      <w:bookmarkStart w:id="377" w:name="_Toc13764"/>
      <w:bookmarkStart w:id="378" w:name="_Toc27969"/>
      <w:bookmarkStart w:id="379" w:name="_Toc24632"/>
      <w:bookmarkStart w:id="380" w:name="_Toc5977"/>
    </w:p>
    <w:p w14:paraId="1906398D">
      <w:pPr>
        <w:pStyle w:val="51"/>
        <w:overflowPunct/>
        <w:snapToGrid w:val="0"/>
        <w:spacing w:line="360" w:lineRule="auto"/>
        <w:jc w:val="center"/>
        <w:rPr>
          <w:rFonts w:hint="eastAsia" w:ascii="仿宋" w:hAnsi="仿宋" w:eastAsia="仿宋" w:cs="仿宋"/>
          <w:b/>
          <w:bCs/>
          <w:highlight w:val="none"/>
        </w:rPr>
      </w:pPr>
    </w:p>
    <w:p w14:paraId="63A2FA54">
      <w:pPr>
        <w:pStyle w:val="51"/>
        <w:overflowPunct/>
        <w:snapToGrid w:val="0"/>
        <w:spacing w:line="360" w:lineRule="auto"/>
        <w:jc w:val="center"/>
        <w:rPr>
          <w:rFonts w:hint="eastAsia" w:ascii="仿宋" w:hAnsi="仿宋" w:eastAsia="仿宋" w:cs="仿宋"/>
          <w:b/>
          <w:bCs/>
          <w:highlight w:val="none"/>
        </w:rPr>
      </w:pPr>
    </w:p>
    <w:p w14:paraId="25A99F33">
      <w:pPr>
        <w:pStyle w:val="51"/>
        <w:overflowPunct/>
        <w:snapToGrid w:val="0"/>
        <w:spacing w:line="360" w:lineRule="auto"/>
        <w:jc w:val="center"/>
        <w:rPr>
          <w:rFonts w:hint="eastAsia" w:ascii="仿宋" w:hAnsi="仿宋" w:eastAsia="仿宋" w:cs="仿宋"/>
          <w:b/>
          <w:bCs/>
          <w:highlight w:val="none"/>
        </w:rPr>
      </w:pPr>
    </w:p>
    <w:p w14:paraId="757E3096">
      <w:pPr>
        <w:pStyle w:val="51"/>
        <w:overflowPunct/>
        <w:snapToGrid w:val="0"/>
        <w:spacing w:line="360" w:lineRule="auto"/>
        <w:jc w:val="center"/>
        <w:rPr>
          <w:rFonts w:hint="eastAsia" w:ascii="仿宋" w:hAnsi="仿宋" w:eastAsia="仿宋" w:cs="仿宋"/>
          <w:b/>
          <w:bCs/>
          <w:highlight w:val="none"/>
        </w:rPr>
      </w:pPr>
    </w:p>
    <w:p w14:paraId="5555BE1E">
      <w:pPr>
        <w:pStyle w:val="51"/>
        <w:overflowPunct/>
        <w:snapToGrid w:val="0"/>
        <w:spacing w:line="360" w:lineRule="auto"/>
        <w:jc w:val="center"/>
        <w:rPr>
          <w:rFonts w:hint="eastAsia" w:ascii="仿宋" w:hAnsi="仿宋" w:eastAsia="仿宋" w:cs="仿宋"/>
          <w:b/>
          <w:bCs/>
          <w:highlight w:val="none"/>
        </w:rPr>
      </w:pPr>
    </w:p>
    <w:p w14:paraId="172ECD34">
      <w:pPr>
        <w:pStyle w:val="51"/>
        <w:overflowPunct/>
        <w:snapToGrid w:val="0"/>
        <w:spacing w:line="360" w:lineRule="auto"/>
        <w:jc w:val="center"/>
        <w:rPr>
          <w:rFonts w:hint="eastAsia" w:ascii="仿宋" w:hAnsi="仿宋" w:eastAsia="仿宋" w:cs="仿宋"/>
          <w:b/>
          <w:bCs/>
          <w:highlight w:val="none"/>
        </w:rPr>
      </w:pPr>
    </w:p>
    <w:p w14:paraId="685EFCF7">
      <w:pPr>
        <w:pStyle w:val="51"/>
        <w:overflowPunct/>
        <w:snapToGrid w:val="0"/>
        <w:spacing w:line="360" w:lineRule="auto"/>
        <w:jc w:val="center"/>
        <w:rPr>
          <w:rFonts w:hint="eastAsia" w:ascii="仿宋" w:hAnsi="仿宋" w:eastAsia="仿宋" w:cs="仿宋"/>
          <w:b/>
          <w:bCs/>
          <w:highlight w:val="none"/>
        </w:rPr>
      </w:pPr>
    </w:p>
    <w:p w14:paraId="0D7F0AB6">
      <w:pPr>
        <w:pStyle w:val="51"/>
        <w:overflowPunct/>
        <w:snapToGrid w:val="0"/>
        <w:spacing w:line="360" w:lineRule="auto"/>
        <w:jc w:val="center"/>
        <w:rPr>
          <w:rFonts w:hint="eastAsia" w:ascii="仿宋" w:hAnsi="仿宋" w:eastAsia="仿宋" w:cs="仿宋"/>
          <w:b/>
          <w:bCs/>
          <w:highlight w:val="none"/>
        </w:rPr>
      </w:pPr>
    </w:p>
    <w:p w14:paraId="336389EE">
      <w:pPr>
        <w:pStyle w:val="51"/>
        <w:pageBreakBefore/>
        <w:widowControl w:val="0"/>
        <w:overflowPunct/>
        <w:snapToGrid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十、技术条款偏离表</w:t>
      </w:r>
      <w:bookmarkEnd w:id="373"/>
      <w:bookmarkEnd w:id="374"/>
      <w:bookmarkEnd w:id="375"/>
      <w:bookmarkEnd w:id="376"/>
      <w:bookmarkEnd w:id="377"/>
      <w:bookmarkEnd w:id="378"/>
      <w:bookmarkEnd w:id="379"/>
      <w:bookmarkEnd w:id="380"/>
    </w:p>
    <w:p w14:paraId="30B8591F">
      <w:pPr>
        <w:pStyle w:val="51"/>
        <w:overflowPunct/>
        <w:snapToGrid w:val="0"/>
        <w:spacing w:line="360" w:lineRule="auto"/>
        <w:jc w:val="center"/>
        <w:rPr>
          <w:rFonts w:hint="eastAsia" w:ascii="仿宋" w:hAnsi="仿宋" w:eastAsia="仿宋" w:cs="仿宋"/>
          <w:b/>
          <w:bCs/>
          <w:highlight w:val="none"/>
        </w:rPr>
      </w:pPr>
    </w:p>
    <w:p w14:paraId="4796F3AE">
      <w:pPr>
        <w:pStyle w:val="45"/>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65C44C87">
      <w:pPr>
        <w:pStyle w:val="45"/>
        <w:adjustRightInd w:val="0"/>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1658"/>
        <w:gridCol w:w="2250"/>
        <w:gridCol w:w="1234"/>
      </w:tblGrid>
      <w:tr w14:paraId="0C87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14:paraId="34A7F2A3">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序号</w:t>
            </w:r>
          </w:p>
        </w:tc>
        <w:tc>
          <w:tcPr>
            <w:tcW w:w="2905" w:type="dxa"/>
            <w:tcBorders>
              <w:top w:val="single" w:color="auto" w:sz="12" w:space="0"/>
            </w:tcBorders>
            <w:noWrap w:val="0"/>
            <w:vAlign w:val="center"/>
          </w:tcPr>
          <w:p w14:paraId="4F505F2D">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招标文件的技术条款</w:t>
            </w:r>
          </w:p>
        </w:tc>
        <w:tc>
          <w:tcPr>
            <w:tcW w:w="1658" w:type="dxa"/>
            <w:tcBorders>
              <w:top w:val="single" w:color="auto" w:sz="12" w:space="0"/>
            </w:tcBorders>
            <w:noWrap w:val="0"/>
            <w:vAlign w:val="center"/>
          </w:tcPr>
          <w:p w14:paraId="3199B4CA">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投标文件的技术条款</w:t>
            </w:r>
          </w:p>
        </w:tc>
        <w:tc>
          <w:tcPr>
            <w:tcW w:w="2250" w:type="dxa"/>
            <w:tcBorders>
              <w:top w:val="single" w:color="auto" w:sz="12" w:space="0"/>
              <w:right w:val="single" w:color="auto" w:sz="12" w:space="0"/>
            </w:tcBorders>
            <w:noWrap w:val="0"/>
            <w:vAlign w:val="center"/>
          </w:tcPr>
          <w:p w14:paraId="53BA9BA8">
            <w:pPr>
              <w:pStyle w:val="49"/>
              <w:tabs>
                <w:tab w:val="left" w:pos="1337"/>
              </w:tabs>
              <w:adjustRightInd w:val="0"/>
              <w:snapToGrid w:val="0"/>
              <w:spacing w:line="360" w:lineRule="auto"/>
              <w:jc w:val="center"/>
              <w:rPr>
                <w:rFonts w:hint="eastAsia" w:ascii="仿宋" w:hAnsi="仿宋" w:eastAsia="仿宋" w:cs="仿宋"/>
                <w:bCs/>
                <w:sz w:val="21"/>
                <w:szCs w:val="21"/>
                <w:highlight w:val="none"/>
                <w:lang w:eastAsia="zh-Hans"/>
              </w:rPr>
            </w:pPr>
            <w:r>
              <w:rPr>
                <w:rFonts w:hint="eastAsia" w:ascii="仿宋" w:hAnsi="仿宋" w:eastAsia="仿宋" w:cs="仿宋"/>
                <w:bCs/>
                <w:sz w:val="21"/>
                <w:szCs w:val="21"/>
                <w:highlight w:val="none"/>
                <w:lang w:eastAsia="zh-Hans"/>
              </w:rPr>
              <w:t>偏离说明（符合/</w:t>
            </w:r>
          </w:p>
          <w:p w14:paraId="78EB3B4B">
            <w:pPr>
              <w:pStyle w:val="49"/>
              <w:tabs>
                <w:tab w:val="left" w:pos="1337"/>
              </w:tabs>
              <w:adjustRightInd w:val="0"/>
              <w:snapToGrid w:val="0"/>
              <w:spacing w:line="360" w:lineRule="auto"/>
              <w:jc w:val="center"/>
              <w:rPr>
                <w:rFonts w:hint="eastAsia" w:ascii="仿宋" w:hAnsi="仿宋" w:eastAsia="仿宋" w:cs="仿宋"/>
                <w:bCs/>
                <w:sz w:val="21"/>
                <w:szCs w:val="21"/>
                <w:highlight w:val="none"/>
                <w:lang w:eastAsia="zh-Hans"/>
              </w:rPr>
            </w:pPr>
            <w:r>
              <w:rPr>
                <w:rFonts w:hint="eastAsia" w:ascii="仿宋" w:hAnsi="仿宋" w:eastAsia="仿宋" w:cs="仿宋"/>
                <w:bCs/>
                <w:sz w:val="21"/>
                <w:szCs w:val="21"/>
                <w:highlight w:val="none"/>
                <w:lang w:eastAsia="zh-Hans"/>
              </w:rPr>
              <w:t>正偏离/负偏离）</w:t>
            </w:r>
          </w:p>
        </w:tc>
        <w:tc>
          <w:tcPr>
            <w:tcW w:w="1234" w:type="dxa"/>
            <w:tcBorders>
              <w:top w:val="single" w:color="auto" w:sz="12" w:space="0"/>
              <w:right w:val="single" w:color="auto" w:sz="12" w:space="0"/>
            </w:tcBorders>
            <w:noWrap w:val="0"/>
            <w:vAlign w:val="center"/>
          </w:tcPr>
          <w:p w14:paraId="2475A9BC">
            <w:pPr>
              <w:pStyle w:val="49"/>
              <w:tabs>
                <w:tab w:val="left" w:pos="1337"/>
              </w:tabs>
              <w:adjustRightInd w:val="0"/>
              <w:snapToGrid w:val="0"/>
              <w:spacing w:line="360" w:lineRule="auto"/>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备注</w:t>
            </w:r>
          </w:p>
        </w:tc>
      </w:tr>
      <w:tr w14:paraId="4B1B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023EEA27">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905" w:type="dxa"/>
            <w:noWrap w:val="0"/>
            <w:vAlign w:val="center"/>
          </w:tcPr>
          <w:p w14:paraId="59EBC336">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58" w:type="dxa"/>
            <w:noWrap w:val="0"/>
            <w:vAlign w:val="center"/>
          </w:tcPr>
          <w:p w14:paraId="322341F4">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250" w:type="dxa"/>
            <w:tcBorders>
              <w:right w:val="single" w:color="auto" w:sz="12" w:space="0"/>
            </w:tcBorders>
            <w:noWrap w:val="0"/>
            <w:vAlign w:val="center"/>
          </w:tcPr>
          <w:p w14:paraId="1F7C1186">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34" w:type="dxa"/>
            <w:tcBorders>
              <w:right w:val="single" w:color="auto" w:sz="12" w:space="0"/>
            </w:tcBorders>
            <w:noWrap w:val="0"/>
            <w:vAlign w:val="center"/>
          </w:tcPr>
          <w:p w14:paraId="19F2671A">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2EE7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0DB7A0D3">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905" w:type="dxa"/>
            <w:noWrap w:val="0"/>
            <w:vAlign w:val="center"/>
          </w:tcPr>
          <w:p w14:paraId="1D316D6C">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58" w:type="dxa"/>
            <w:noWrap w:val="0"/>
            <w:vAlign w:val="center"/>
          </w:tcPr>
          <w:p w14:paraId="5E812C30">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250" w:type="dxa"/>
            <w:tcBorders>
              <w:right w:val="single" w:color="auto" w:sz="12" w:space="0"/>
            </w:tcBorders>
            <w:noWrap w:val="0"/>
            <w:vAlign w:val="center"/>
          </w:tcPr>
          <w:p w14:paraId="06B78A17">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34" w:type="dxa"/>
            <w:tcBorders>
              <w:right w:val="single" w:color="auto" w:sz="12" w:space="0"/>
            </w:tcBorders>
            <w:noWrap w:val="0"/>
            <w:vAlign w:val="center"/>
          </w:tcPr>
          <w:p w14:paraId="6792A4D8">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656F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14:paraId="03A563F6">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905" w:type="dxa"/>
            <w:noWrap w:val="0"/>
            <w:vAlign w:val="center"/>
          </w:tcPr>
          <w:p w14:paraId="525837EB">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58" w:type="dxa"/>
            <w:noWrap w:val="0"/>
            <w:vAlign w:val="center"/>
          </w:tcPr>
          <w:p w14:paraId="7B310779">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250" w:type="dxa"/>
            <w:tcBorders>
              <w:right w:val="single" w:color="auto" w:sz="12" w:space="0"/>
            </w:tcBorders>
            <w:noWrap w:val="0"/>
            <w:vAlign w:val="center"/>
          </w:tcPr>
          <w:p w14:paraId="5A932118">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34" w:type="dxa"/>
            <w:tcBorders>
              <w:right w:val="single" w:color="auto" w:sz="12" w:space="0"/>
            </w:tcBorders>
            <w:noWrap w:val="0"/>
            <w:vAlign w:val="center"/>
          </w:tcPr>
          <w:p w14:paraId="0E58B530">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r w14:paraId="1BA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0" w:type="dxa"/>
            <w:tcBorders>
              <w:left w:val="single" w:color="auto" w:sz="12" w:space="0"/>
              <w:bottom w:val="single" w:color="auto" w:sz="12" w:space="0"/>
            </w:tcBorders>
            <w:noWrap w:val="0"/>
            <w:vAlign w:val="center"/>
          </w:tcPr>
          <w:p w14:paraId="42AB1769">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905" w:type="dxa"/>
            <w:tcBorders>
              <w:bottom w:val="single" w:color="auto" w:sz="12" w:space="0"/>
            </w:tcBorders>
            <w:noWrap w:val="0"/>
            <w:vAlign w:val="center"/>
          </w:tcPr>
          <w:p w14:paraId="6F53631A">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658" w:type="dxa"/>
            <w:tcBorders>
              <w:bottom w:val="single" w:color="auto" w:sz="12" w:space="0"/>
            </w:tcBorders>
            <w:noWrap w:val="0"/>
            <w:vAlign w:val="center"/>
          </w:tcPr>
          <w:p w14:paraId="2BACAAFD">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2250" w:type="dxa"/>
            <w:tcBorders>
              <w:bottom w:val="single" w:color="auto" w:sz="12" w:space="0"/>
              <w:right w:val="single" w:color="auto" w:sz="12" w:space="0"/>
            </w:tcBorders>
            <w:noWrap w:val="0"/>
            <w:vAlign w:val="center"/>
          </w:tcPr>
          <w:p w14:paraId="10C97458">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c>
          <w:tcPr>
            <w:tcW w:w="1234" w:type="dxa"/>
            <w:tcBorders>
              <w:bottom w:val="single" w:color="auto" w:sz="12" w:space="0"/>
              <w:right w:val="single" w:color="auto" w:sz="12" w:space="0"/>
            </w:tcBorders>
            <w:noWrap w:val="0"/>
            <w:vAlign w:val="center"/>
          </w:tcPr>
          <w:p w14:paraId="3DB06E84">
            <w:pPr>
              <w:pStyle w:val="49"/>
              <w:tabs>
                <w:tab w:val="left" w:pos="1337"/>
              </w:tabs>
              <w:adjustRightInd w:val="0"/>
              <w:snapToGrid w:val="0"/>
              <w:spacing w:line="360" w:lineRule="auto"/>
              <w:jc w:val="center"/>
              <w:rPr>
                <w:rFonts w:hint="eastAsia" w:ascii="仿宋" w:hAnsi="仿宋" w:eastAsia="仿宋" w:cs="仿宋"/>
                <w:sz w:val="21"/>
                <w:szCs w:val="21"/>
                <w:highlight w:val="none"/>
              </w:rPr>
            </w:pPr>
          </w:p>
        </w:tc>
      </w:tr>
    </w:tbl>
    <w:p w14:paraId="29806714">
      <w:pPr>
        <w:pStyle w:val="51"/>
        <w:overflowPunct/>
        <w:snapToGrid w:val="0"/>
        <w:spacing w:line="360" w:lineRule="auto"/>
        <w:rPr>
          <w:rFonts w:hint="eastAsia" w:ascii="仿宋" w:hAnsi="仿宋" w:eastAsia="仿宋" w:cs="仿宋"/>
          <w:highlight w:val="none"/>
        </w:rPr>
      </w:pPr>
    </w:p>
    <w:p w14:paraId="7D6D6097">
      <w:pPr>
        <w:snapToGrid w:val="0"/>
        <w:spacing w:line="360" w:lineRule="auto"/>
        <w:rPr>
          <w:rFonts w:hint="eastAsia" w:ascii="仿宋" w:hAnsi="仿宋" w:eastAsia="仿宋" w:cs="仿宋"/>
          <w:b/>
          <w:highlight w:val="none"/>
        </w:rPr>
      </w:pPr>
      <w:r>
        <w:rPr>
          <w:rFonts w:hint="eastAsia" w:ascii="仿宋" w:hAnsi="仿宋" w:eastAsia="仿宋" w:cs="仿宋"/>
          <w:b/>
          <w:highlight w:val="none"/>
        </w:rPr>
        <w:t>说明：</w:t>
      </w:r>
      <w:r>
        <w:rPr>
          <w:rFonts w:hint="eastAsia" w:ascii="仿宋" w:hAnsi="仿宋" w:eastAsia="仿宋" w:cs="仿宋"/>
          <w:b/>
          <w:highlight w:val="none"/>
          <w:lang w:val="en-US" w:eastAsia="zh-CN"/>
        </w:rPr>
        <w:t>1.</w:t>
      </w:r>
      <w:r>
        <w:rPr>
          <w:rFonts w:hint="eastAsia" w:ascii="仿宋" w:hAnsi="仿宋" w:eastAsia="仿宋" w:cs="仿宋"/>
          <w:b/>
          <w:highlight w:val="none"/>
        </w:rPr>
        <w:t>如</w:t>
      </w:r>
      <w:r>
        <w:rPr>
          <w:rFonts w:hint="eastAsia" w:ascii="仿宋" w:hAnsi="仿宋" w:eastAsia="仿宋" w:cs="仿宋"/>
          <w:b/>
          <w:highlight w:val="none"/>
          <w:lang w:eastAsia="zh-CN"/>
        </w:rPr>
        <w:t>供应商</w:t>
      </w:r>
      <w:r>
        <w:rPr>
          <w:rFonts w:hint="eastAsia" w:ascii="仿宋" w:hAnsi="仿宋" w:eastAsia="仿宋" w:cs="仿宋"/>
          <w:b/>
          <w:highlight w:val="none"/>
        </w:rPr>
        <w:t>提交的商务服务条款与招标文件的要求存在正偏离或负偏离，需逐项在偏离一栏中详细说明。</w:t>
      </w:r>
    </w:p>
    <w:p w14:paraId="28717632">
      <w:pPr>
        <w:snapToGrid w:val="0"/>
        <w:spacing w:line="360" w:lineRule="auto"/>
        <w:ind w:firstLine="723" w:firstLineChars="300"/>
        <w:rPr>
          <w:rFonts w:hint="eastAsia" w:ascii="仿宋" w:hAnsi="仿宋" w:eastAsia="仿宋" w:cs="仿宋"/>
          <w:b/>
          <w:highlight w:val="none"/>
          <w:lang w:eastAsia="zh-CN"/>
        </w:rPr>
      </w:pPr>
      <w:r>
        <w:rPr>
          <w:rFonts w:hint="eastAsia" w:ascii="仿宋" w:hAnsi="仿宋" w:eastAsia="仿宋" w:cs="仿宋"/>
          <w:b/>
          <w:highlight w:val="none"/>
          <w:lang w:val="en-US" w:eastAsia="zh-CN"/>
        </w:rPr>
        <w:t>2.</w:t>
      </w:r>
      <w:r>
        <w:rPr>
          <w:rFonts w:hint="eastAsia" w:ascii="仿宋" w:hAnsi="仿宋" w:eastAsia="仿宋" w:cs="仿宋"/>
          <w:b/>
          <w:highlight w:val="none"/>
        </w:rPr>
        <w:t>如供应商能完全按照此部分要求承诺（响应）并实施，“投标文件的</w:t>
      </w:r>
      <w:r>
        <w:rPr>
          <w:rFonts w:hint="eastAsia" w:ascii="仿宋" w:hAnsi="仿宋" w:eastAsia="仿宋" w:cs="仿宋"/>
          <w:b/>
          <w:highlight w:val="none"/>
          <w:lang w:eastAsia="zh-CN"/>
        </w:rPr>
        <w:t>技术</w:t>
      </w:r>
      <w:r>
        <w:rPr>
          <w:rFonts w:hint="eastAsia" w:ascii="仿宋" w:hAnsi="仿宋" w:eastAsia="仿宋" w:cs="仿宋"/>
          <w:b/>
          <w:highlight w:val="none"/>
        </w:rPr>
        <w:t>条款”可填写“完全按照采购文件</w:t>
      </w:r>
      <w:r>
        <w:rPr>
          <w:rFonts w:hint="eastAsia" w:ascii="仿宋" w:hAnsi="仿宋" w:eastAsia="仿宋" w:cs="仿宋"/>
          <w:b/>
          <w:highlight w:val="none"/>
          <w:lang w:eastAsia="zh-CN"/>
        </w:rPr>
        <w:t>技术条款</w:t>
      </w:r>
      <w:r>
        <w:rPr>
          <w:rFonts w:hint="eastAsia" w:ascii="仿宋" w:hAnsi="仿宋" w:eastAsia="仿宋" w:cs="仿宋"/>
          <w:b/>
          <w:highlight w:val="none"/>
        </w:rPr>
        <w:t>响应”</w:t>
      </w:r>
      <w:r>
        <w:rPr>
          <w:rFonts w:hint="eastAsia" w:ascii="仿宋" w:hAnsi="仿宋" w:eastAsia="仿宋" w:cs="仿宋"/>
          <w:b/>
          <w:highlight w:val="none"/>
          <w:lang w:eastAsia="zh-CN"/>
        </w:rPr>
        <w:t>，“</w:t>
      </w:r>
      <w:r>
        <w:rPr>
          <w:rFonts w:hint="eastAsia" w:ascii="仿宋" w:hAnsi="仿宋" w:eastAsia="仿宋" w:cs="仿宋"/>
          <w:b/>
          <w:highlight w:val="none"/>
          <w:lang w:eastAsia="zh-Hans"/>
        </w:rPr>
        <w:t>偏离说明</w:t>
      </w:r>
      <w:r>
        <w:rPr>
          <w:rFonts w:hint="eastAsia" w:ascii="仿宋" w:hAnsi="仿宋" w:eastAsia="仿宋" w:cs="仿宋"/>
          <w:b/>
          <w:highlight w:val="none"/>
          <w:lang w:eastAsia="zh-CN"/>
        </w:rPr>
        <w:t>”</w:t>
      </w:r>
      <w:r>
        <w:rPr>
          <w:rFonts w:hint="eastAsia" w:ascii="仿宋" w:hAnsi="仿宋" w:eastAsia="仿宋" w:cs="仿宋"/>
          <w:b/>
          <w:highlight w:val="none"/>
        </w:rPr>
        <w:t>可填写</w:t>
      </w:r>
      <w:r>
        <w:rPr>
          <w:rFonts w:hint="eastAsia" w:ascii="仿宋" w:hAnsi="仿宋" w:eastAsia="仿宋" w:cs="仿宋"/>
          <w:b/>
          <w:highlight w:val="none"/>
          <w:lang w:eastAsia="zh-CN"/>
        </w:rPr>
        <w:t>“</w:t>
      </w:r>
      <w:r>
        <w:rPr>
          <w:rFonts w:hint="eastAsia" w:ascii="仿宋" w:hAnsi="仿宋" w:eastAsia="仿宋" w:cs="仿宋"/>
          <w:b/>
          <w:highlight w:val="none"/>
          <w:lang w:val="en-US" w:eastAsia="zh-CN"/>
        </w:rPr>
        <w:t>无偏离</w:t>
      </w:r>
      <w:r>
        <w:rPr>
          <w:rFonts w:hint="eastAsia" w:ascii="仿宋" w:hAnsi="仿宋" w:eastAsia="仿宋" w:cs="仿宋"/>
          <w:b/>
          <w:highlight w:val="none"/>
          <w:lang w:eastAsia="zh-CN"/>
        </w:rPr>
        <w:t>”。</w:t>
      </w:r>
    </w:p>
    <w:p w14:paraId="0C4E8222">
      <w:pPr>
        <w:snapToGrid w:val="0"/>
        <w:spacing w:line="360" w:lineRule="auto"/>
        <w:rPr>
          <w:rFonts w:ascii="仿宋" w:hAnsi="仿宋" w:eastAsia="仿宋" w:cs="仿宋"/>
          <w:b/>
          <w:highlight w:val="none"/>
        </w:rPr>
      </w:pPr>
    </w:p>
    <w:p w14:paraId="4ACE5047">
      <w:pPr>
        <w:pStyle w:val="37"/>
        <w:adjustRightInd w:val="0"/>
        <w:snapToGrid w:val="0"/>
        <w:spacing w:line="360" w:lineRule="auto"/>
        <w:ind w:firstLine="420"/>
        <w:rPr>
          <w:rFonts w:hint="eastAsia" w:ascii="仿宋" w:hAnsi="仿宋" w:eastAsia="仿宋" w:cs="仿宋"/>
          <w:sz w:val="24"/>
          <w:szCs w:val="24"/>
          <w:highlight w:val="none"/>
        </w:rPr>
      </w:pPr>
    </w:p>
    <w:bookmarkEnd w:id="316"/>
    <w:bookmarkEnd w:id="317"/>
    <w:p w14:paraId="00F7061C">
      <w:pPr>
        <w:pStyle w:val="37"/>
        <w:adjustRightInd w:val="0"/>
        <w:snapToGrid w:val="0"/>
        <w:spacing w:line="360" w:lineRule="auto"/>
        <w:ind w:firstLine="482" w:firstLineChars="200"/>
        <w:rPr>
          <w:rFonts w:hint="eastAsia" w:ascii="仿宋" w:hAnsi="仿宋" w:eastAsia="仿宋" w:cs="仿宋"/>
          <w:b/>
          <w:bCs/>
          <w:sz w:val="24"/>
          <w:szCs w:val="24"/>
          <w:highlight w:val="none"/>
          <w:u w:val="single"/>
        </w:rPr>
      </w:pPr>
      <w:bookmarkStart w:id="381" w:name="_Toc11717"/>
      <w:bookmarkStart w:id="382" w:name="_Toc30981"/>
      <w:bookmarkStart w:id="383" w:name="_Toc1117"/>
      <w:bookmarkStart w:id="384" w:name="_Toc30004"/>
      <w:bookmarkStart w:id="385" w:name="_Toc24329"/>
      <w:bookmarkStart w:id="386" w:name="_Toc32152"/>
      <w:bookmarkStart w:id="387" w:name="_Toc18724"/>
      <w:bookmarkStart w:id="388" w:name="_Toc29006"/>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盖章</w:t>
      </w:r>
      <w:r>
        <w:rPr>
          <w:rFonts w:hint="eastAsia" w:ascii="仿宋" w:hAnsi="仿宋" w:eastAsia="仿宋" w:cs="仿宋"/>
          <w:b/>
          <w:bCs/>
          <w:sz w:val="24"/>
          <w:szCs w:val="24"/>
          <w:highlight w:val="none"/>
        </w:rPr>
        <w:t>)</w:t>
      </w:r>
    </w:p>
    <w:p w14:paraId="570C0C50">
      <w:pPr>
        <w:pStyle w:val="37"/>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lang w:val="en-US" w:eastAsia="zh-CN"/>
        </w:rPr>
        <w:t>或</w:t>
      </w:r>
      <w:r>
        <w:rPr>
          <w:rFonts w:hint="eastAsia" w:ascii="仿宋" w:hAnsi="仿宋" w:eastAsia="仿宋" w:cs="仿宋"/>
          <w:b/>
          <w:bCs/>
          <w:sz w:val="24"/>
          <w:szCs w:val="24"/>
          <w:highlight w:val="none"/>
        </w:rPr>
        <w:t>委托代理人：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签字或盖章</w:t>
      </w:r>
      <w:r>
        <w:rPr>
          <w:rFonts w:hint="eastAsia" w:ascii="仿宋" w:hAnsi="仿宋" w:eastAsia="仿宋" w:cs="仿宋"/>
          <w:b/>
          <w:bCs/>
          <w:sz w:val="24"/>
          <w:szCs w:val="24"/>
          <w:highlight w:val="none"/>
        </w:rPr>
        <w:t>)</w:t>
      </w:r>
    </w:p>
    <w:p w14:paraId="68C06724">
      <w:pPr>
        <w:pStyle w:val="39"/>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日</w:t>
      </w:r>
    </w:p>
    <w:p w14:paraId="49BFDA3C">
      <w:pPr>
        <w:pStyle w:val="37"/>
        <w:adjustRightInd w:val="0"/>
        <w:snapToGrid w:val="0"/>
        <w:spacing w:line="360" w:lineRule="auto"/>
        <w:ind w:firstLine="482" w:firstLineChars="200"/>
        <w:rPr>
          <w:rFonts w:hint="eastAsia" w:ascii="仿宋" w:hAnsi="仿宋" w:eastAsia="仿宋" w:cs="仿宋"/>
          <w:b/>
          <w:bCs/>
          <w:sz w:val="24"/>
          <w:szCs w:val="24"/>
          <w:highlight w:val="none"/>
        </w:rPr>
      </w:pPr>
    </w:p>
    <w:p w14:paraId="7620F2BB">
      <w:pPr>
        <w:pageBreakBefore/>
        <w:jc w:val="center"/>
        <w:rPr>
          <w:rFonts w:ascii="仿宋" w:hAnsi="仿宋" w:eastAsia="仿宋"/>
          <w:b/>
          <w:sz w:val="28"/>
          <w:szCs w:val="32"/>
          <w:highlight w:val="none"/>
        </w:rPr>
      </w:pPr>
      <w:r>
        <w:rPr>
          <w:rFonts w:hint="eastAsia" w:ascii="仿宋" w:hAnsi="仿宋" w:eastAsia="仿宋" w:cs="仿宋"/>
          <w:b/>
          <w:sz w:val="28"/>
          <w:szCs w:val="28"/>
          <w:highlight w:val="none"/>
        </w:rPr>
        <w:t>十一、其他材料</w:t>
      </w:r>
      <w:bookmarkEnd w:id="381"/>
      <w:bookmarkEnd w:id="382"/>
      <w:bookmarkEnd w:id="383"/>
      <w:bookmarkEnd w:id="384"/>
      <w:bookmarkEnd w:id="385"/>
      <w:bookmarkEnd w:id="386"/>
      <w:bookmarkEnd w:id="387"/>
      <w:bookmarkEnd w:id="388"/>
    </w:p>
    <w:p w14:paraId="52EF9A91">
      <w:pPr>
        <w:rPr>
          <w:rFonts w:ascii="仿宋" w:hAnsi="仿宋" w:eastAsia="仿宋"/>
          <w:b/>
          <w:sz w:val="28"/>
          <w:szCs w:val="32"/>
          <w:highlight w:val="none"/>
        </w:rPr>
      </w:pPr>
    </w:p>
    <w:p w14:paraId="3417FD49">
      <w:pPr>
        <w:snapToGrid w:val="0"/>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认为有必要提供其他材料（如有）</w:t>
      </w:r>
    </w:p>
    <w:p w14:paraId="63C7D668">
      <w:pPr>
        <w:pStyle w:val="7"/>
        <w:adjustRightInd w:val="0"/>
        <w:snapToGrid w:val="0"/>
        <w:spacing w:line="360" w:lineRule="auto"/>
        <w:rPr>
          <w:rFonts w:hint="eastAsia" w:ascii="仿宋" w:hAnsi="仿宋" w:eastAsia="仿宋" w:cs="仿宋"/>
          <w:highlight w:val="none"/>
        </w:rPr>
      </w:pPr>
    </w:p>
    <w:p w14:paraId="72507E1E">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此处内容可对照评审标准提供相应证明材料，充分体现所投项目</w:t>
      </w:r>
      <w:r>
        <w:rPr>
          <w:rFonts w:hint="eastAsia" w:ascii="仿宋" w:hAnsi="仿宋" w:eastAsia="仿宋" w:cs="仿宋"/>
          <w:highlight w:val="none"/>
          <w:lang w:eastAsia="zh-CN"/>
        </w:rPr>
        <w:t>货物</w:t>
      </w:r>
      <w:r>
        <w:rPr>
          <w:rFonts w:hint="eastAsia" w:ascii="仿宋" w:hAnsi="仿宋" w:eastAsia="仿宋" w:cs="仿宋"/>
          <w:highlight w:val="none"/>
        </w:rPr>
        <w:t>对于评分标准的响应程度和优势。</w:t>
      </w:r>
    </w:p>
    <w:p w14:paraId="0745AF77">
      <w:pPr>
        <w:rPr>
          <w:rFonts w:ascii="仿宋" w:hAnsi="仿宋" w:eastAsia="仿宋"/>
          <w:b/>
          <w:sz w:val="28"/>
          <w:szCs w:val="32"/>
          <w:highlight w:val="none"/>
        </w:rPr>
      </w:pPr>
    </w:p>
    <w:p w14:paraId="44127E74">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包含但不限于以下内容：质量体系认证、与本项目相关的荣誉证书等。</w:t>
      </w:r>
    </w:p>
    <w:p w14:paraId="32AB700C">
      <w:pPr>
        <w:pStyle w:val="8"/>
        <w:rPr>
          <w:rFonts w:hint="eastAsia" w:ascii="仿宋" w:hAnsi="仿宋" w:eastAsia="仿宋" w:cs="仿宋"/>
          <w:color w:val="auto"/>
          <w:sz w:val="24"/>
          <w:szCs w:val="24"/>
          <w:highlight w:val="none"/>
        </w:rPr>
      </w:pPr>
    </w:p>
    <w:p w14:paraId="159495BD">
      <w:pPr>
        <w:rPr>
          <w:rFonts w:hint="eastAsia" w:ascii="仿宋" w:hAnsi="仿宋" w:eastAsia="仿宋" w:cs="仿宋"/>
          <w:highlight w:val="none"/>
        </w:rPr>
      </w:pPr>
    </w:p>
    <w:p w14:paraId="01CBB289">
      <w:pPr>
        <w:pStyle w:val="8"/>
        <w:rPr>
          <w:rFonts w:hint="eastAsia" w:ascii="仿宋" w:hAnsi="仿宋" w:eastAsia="仿宋" w:cs="仿宋"/>
          <w:color w:val="auto"/>
          <w:sz w:val="24"/>
          <w:szCs w:val="24"/>
          <w:highlight w:val="none"/>
        </w:rPr>
      </w:pPr>
    </w:p>
    <w:p w14:paraId="768D137A">
      <w:pPr>
        <w:rPr>
          <w:rFonts w:hint="eastAsia" w:ascii="仿宋" w:hAnsi="仿宋" w:eastAsia="仿宋" w:cs="仿宋"/>
          <w:highlight w:val="none"/>
        </w:rPr>
      </w:pPr>
    </w:p>
    <w:p w14:paraId="7227ABE5">
      <w:pPr>
        <w:spacing w:line="300" w:lineRule="exact"/>
        <w:jc w:val="center"/>
        <w:rPr>
          <w:rFonts w:hint="eastAsia" w:ascii="宋体" w:hAnsi="宋体" w:cs="宋体"/>
          <w:szCs w:val="21"/>
          <w:highlight w:val="none"/>
        </w:rPr>
      </w:pPr>
    </w:p>
    <w:p w14:paraId="4F97E448">
      <w:pPr>
        <w:spacing w:line="300" w:lineRule="exact"/>
        <w:jc w:val="center"/>
        <w:rPr>
          <w:rFonts w:hint="eastAsia" w:ascii="仿宋" w:hAnsi="仿宋" w:eastAsia="仿宋" w:cs="仿宋"/>
          <w:b/>
          <w:bCs/>
          <w:highlight w:val="none"/>
        </w:rPr>
      </w:pPr>
    </w:p>
    <w:p w14:paraId="42D88AC3">
      <w:pPr>
        <w:spacing w:line="300" w:lineRule="exact"/>
        <w:jc w:val="center"/>
        <w:rPr>
          <w:rFonts w:hint="eastAsia" w:ascii="仿宋" w:hAnsi="仿宋" w:eastAsia="仿宋" w:cs="仿宋"/>
          <w:b/>
          <w:bCs/>
          <w:highlight w:val="none"/>
        </w:rPr>
      </w:pPr>
    </w:p>
    <w:p w14:paraId="160AC42D">
      <w:pPr>
        <w:spacing w:line="300" w:lineRule="exact"/>
        <w:jc w:val="center"/>
        <w:rPr>
          <w:rFonts w:hint="eastAsia" w:ascii="仿宋" w:hAnsi="仿宋" w:eastAsia="仿宋" w:cs="仿宋"/>
          <w:b/>
          <w:bCs/>
          <w:highlight w:val="none"/>
        </w:rPr>
      </w:pPr>
    </w:p>
    <w:p w14:paraId="0FD95197">
      <w:pPr>
        <w:spacing w:line="300" w:lineRule="exact"/>
        <w:jc w:val="center"/>
        <w:rPr>
          <w:rFonts w:hint="eastAsia" w:ascii="仿宋" w:hAnsi="仿宋" w:eastAsia="仿宋" w:cs="仿宋"/>
          <w:b/>
          <w:bCs/>
          <w:highlight w:val="none"/>
        </w:rPr>
      </w:pPr>
    </w:p>
    <w:p w14:paraId="0F246C3C">
      <w:pPr>
        <w:spacing w:line="300" w:lineRule="exact"/>
        <w:jc w:val="center"/>
        <w:rPr>
          <w:rFonts w:hint="eastAsia" w:ascii="仿宋" w:hAnsi="仿宋" w:eastAsia="仿宋" w:cs="仿宋"/>
          <w:b/>
          <w:bCs/>
          <w:highlight w:val="none"/>
        </w:rPr>
      </w:pPr>
    </w:p>
    <w:p w14:paraId="31E36041">
      <w:pPr>
        <w:spacing w:line="300" w:lineRule="exact"/>
        <w:jc w:val="center"/>
        <w:rPr>
          <w:rFonts w:hint="eastAsia" w:ascii="仿宋" w:hAnsi="仿宋" w:eastAsia="仿宋" w:cs="仿宋"/>
          <w:b/>
          <w:bCs/>
          <w:highlight w:val="none"/>
        </w:rPr>
      </w:pPr>
    </w:p>
    <w:p w14:paraId="771D4A82">
      <w:pPr>
        <w:spacing w:line="300" w:lineRule="exact"/>
        <w:jc w:val="center"/>
        <w:rPr>
          <w:rFonts w:hint="eastAsia" w:ascii="仿宋" w:hAnsi="仿宋" w:eastAsia="仿宋" w:cs="仿宋"/>
          <w:b/>
          <w:bCs/>
          <w:highlight w:val="none"/>
        </w:rPr>
      </w:pPr>
    </w:p>
    <w:p w14:paraId="2FB23E6C">
      <w:pPr>
        <w:spacing w:line="300" w:lineRule="exact"/>
        <w:jc w:val="center"/>
        <w:rPr>
          <w:rFonts w:hint="eastAsia" w:ascii="仿宋" w:hAnsi="仿宋" w:eastAsia="仿宋" w:cs="仿宋"/>
          <w:b/>
          <w:bCs/>
          <w:highlight w:val="none"/>
        </w:rPr>
      </w:pPr>
    </w:p>
    <w:p w14:paraId="3FCF7141">
      <w:pPr>
        <w:spacing w:line="300" w:lineRule="exact"/>
        <w:jc w:val="center"/>
        <w:rPr>
          <w:rFonts w:hint="eastAsia" w:ascii="仿宋" w:hAnsi="仿宋" w:eastAsia="仿宋" w:cs="仿宋"/>
          <w:b/>
          <w:bCs/>
          <w:highlight w:val="none"/>
        </w:rPr>
      </w:pPr>
    </w:p>
    <w:p w14:paraId="50326B32">
      <w:pPr>
        <w:spacing w:line="300" w:lineRule="exact"/>
        <w:jc w:val="center"/>
        <w:rPr>
          <w:rFonts w:hint="eastAsia" w:ascii="仿宋" w:hAnsi="仿宋" w:eastAsia="仿宋" w:cs="仿宋"/>
          <w:b/>
          <w:bCs/>
          <w:highlight w:val="none"/>
        </w:rPr>
      </w:pPr>
    </w:p>
    <w:p w14:paraId="4F5E2134">
      <w:pPr>
        <w:spacing w:line="300" w:lineRule="exact"/>
        <w:jc w:val="center"/>
        <w:rPr>
          <w:rFonts w:hint="eastAsia" w:ascii="仿宋" w:hAnsi="仿宋" w:eastAsia="仿宋" w:cs="仿宋"/>
          <w:b/>
          <w:bCs/>
          <w:highlight w:val="none"/>
        </w:rPr>
      </w:pPr>
    </w:p>
    <w:p w14:paraId="46EC1C23">
      <w:pPr>
        <w:spacing w:line="300" w:lineRule="exact"/>
        <w:jc w:val="center"/>
        <w:rPr>
          <w:rFonts w:hint="eastAsia" w:ascii="仿宋" w:hAnsi="仿宋" w:eastAsia="仿宋" w:cs="仿宋"/>
          <w:b/>
          <w:bCs/>
          <w:highlight w:val="none"/>
        </w:rPr>
      </w:pPr>
    </w:p>
    <w:p w14:paraId="3F9B911D">
      <w:pPr>
        <w:spacing w:line="300" w:lineRule="exact"/>
        <w:jc w:val="center"/>
        <w:rPr>
          <w:rFonts w:hint="eastAsia" w:ascii="仿宋" w:hAnsi="仿宋" w:eastAsia="仿宋" w:cs="仿宋"/>
          <w:b/>
          <w:bCs/>
          <w:highlight w:val="none"/>
        </w:rPr>
      </w:pPr>
    </w:p>
    <w:p w14:paraId="4800E689">
      <w:pPr>
        <w:spacing w:line="300" w:lineRule="exact"/>
        <w:jc w:val="center"/>
        <w:rPr>
          <w:rFonts w:hint="eastAsia" w:ascii="仿宋" w:hAnsi="仿宋" w:eastAsia="仿宋" w:cs="仿宋"/>
          <w:b/>
          <w:bCs/>
          <w:highlight w:val="none"/>
        </w:rPr>
      </w:pPr>
    </w:p>
    <w:p w14:paraId="39A7200F">
      <w:pPr>
        <w:spacing w:line="300" w:lineRule="exact"/>
        <w:jc w:val="center"/>
        <w:rPr>
          <w:rFonts w:hint="eastAsia" w:ascii="仿宋" w:hAnsi="仿宋" w:eastAsia="仿宋" w:cs="仿宋"/>
          <w:b/>
          <w:bCs/>
          <w:highlight w:val="none"/>
        </w:rPr>
      </w:pPr>
    </w:p>
    <w:p w14:paraId="39478650">
      <w:pPr>
        <w:spacing w:line="300" w:lineRule="exact"/>
        <w:jc w:val="center"/>
        <w:rPr>
          <w:rFonts w:hint="eastAsia" w:ascii="仿宋" w:hAnsi="仿宋" w:eastAsia="仿宋" w:cs="仿宋"/>
          <w:b/>
          <w:bCs/>
          <w:highlight w:val="none"/>
        </w:rPr>
      </w:pPr>
    </w:p>
    <w:p w14:paraId="078E9CCD">
      <w:pPr>
        <w:spacing w:line="300" w:lineRule="exact"/>
        <w:jc w:val="center"/>
        <w:rPr>
          <w:rFonts w:hint="eastAsia" w:ascii="仿宋" w:hAnsi="仿宋" w:eastAsia="仿宋" w:cs="仿宋"/>
          <w:b/>
          <w:bCs/>
          <w:highlight w:val="none"/>
        </w:rPr>
      </w:pPr>
    </w:p>
    <w:p w14:paraId="64681BE3">
      <w:pPr>
        <w:spacing w:line="300" w:lineRule="exact"/>
        <w:jc w:val="center"/>
        <w:rPr>
          <w:rFonts w:hint="eastAsia" w:ascii="仿宋" w:hAnsi="仿宋" w:eastAsia="仿宋" w:cs="仿宋"/>
          <w:b/>
          <w:bCs/>
          <w:highlight w:val="none"/>
        </w:rPr>
      </w:pPr>
    </w:p>
    <w:p w14:paraId="39689DFF">
      <w:pPr>
        <w:spacing w:line="300" w:lineRule="exact"/>
        <w:jc w:val="center"/>
        <w:rPr>
          <w:rFonts w:hint="eastAsia" w:ascii="仿宋" w:hAnsi="仿宋" w:eastAsia="仿宋" w:cs="仿宋"/>
          <w:b/>
          <w:bCs/>
          <w:highlight w:val="none"/>
        </w:rPr>
      </w:pPr>
    </w:p>
    <w:p w14:paraId="61D615AE">
      <w:pPr>
        <w:spacing w:line="300" w:lineRule="exact"/>
        <w:jc w:val="center"/>
        <w:rPr>
          <w:rFonts w:hint="eastAsia" w:ascii="仿宋" w:hAnsi="仿宋" w:eastAsia="仿宋" w:cs="仿宋"/>
          <w:b/>
          <w:bCs/>
          <w:highlight w:val="none"/>
        </w:rPr>
      </w:pPr>
    </w:p>
    <w:p w14:paraId="202F88D8">
      <w:pPr>
        <w:spacing w:line="300" w:lineRule="exact"/>
        <w:jc w:val="center"/>
        <w:rPr>
          <w:rFonts w:hint="eastAsia" w:ascii="仿宋" w:hAnsi="仿宋" w:eastAsia="仿宋" w:cs="仿宋"/>
          <w:b/>
          <w:bCs/>
          <w:highlight w:val="none"/>
        </w:rPr>
      </w:pPr>
    </w:p>
    <w:p w14:paraId="1E068A22">
      <w:pPr>
        <w:spacing w:line="300" w:lineRule="exact"/>
        <w:jc w:val="center"/>
        <w:rPr>
          <w:rFonts w:hint="eastAsia" w:ascii="仿宋" w:hAnsi="仿宋" w:eastAsia="仿宋" w:cs="仿宋"/>
          <w:b/>
          <w:bCs/>
          <w:highlight w:val="none"/>
        </w:rPr>
      </w:pPr>
    </w:p>
    <w:p w14:paraId="3DEB9C61">
      <w:pPr>
        <w:spacing w:line="300" w:lineRule="exact"/>
        <w:jc w:val="center"/>
        <w:rPr>
          <w:rFonts w:hint="eastAsia" w:ascii="仿宋" w:hAnsi="仿宋" w:eastAsia="仿宋" w:cs="仿宋"/>
          <w:b/>
          <w:bCs/>
          <w:highlight w:val="none"/>
        </w:rPr>
      </w:pPr>
    </w:p>
    <w:p w14:paraId="4279A492">
      <w:pPr>
        <w:spacing w:line="300" w:lineRule="exact"/>
        <w:jc w:val="center"/>
        <w:rPr>
          <w:rFonts w:hint="eastAsia" w:ascii="仿宋" w:hAnsi="仿宋" w:eastAsia="仿宋" w:cs="仿宋"/>
          <w:b/>
          <w:bCs/>
          <w:highlight w:val="none"/>
        </w:rPr>
      </w:pPr>
    </w:p>
    <w:p w14:paraId="260F585F">
      <w:pPr>
        <w:spacing w:line="300" w:lineRule="exact"/>
        <w:jc w:val="center"/>
        <w:rPr>
          <w:rFonts w:hint="eastAsia" w:ascii="仿宋" w:hAnsi="仿宋" w:eastAsia="仿宋" w:cs="仿宋"/>
          <w:b/>
          <w:bCs/>
          <w:highlight w:val="none"/>
        </w:rPr>
      </w:pPr>
    </w:p>
    <w:p w14:paraId="08E059D4">
      <w:pPr>
        <w:pStyle w:val="8"/>
        <w:rPr>
          <w:rFonts w:hint="eastAsia" w:ascii="仿宋" w:hAnsi="仿宋" w:eastAsia="仿宋" w:cs="仿宋"/>
          <w:sz w:val="24"/>
          <w:szCs w:val="24"/>
          <w:highlight w:val="none"/>
        </w:rPr>
      </w:pPr>
    </w:p>
    <w:p w14:paraId="6A19F6BD">
      <w:pPr>
        <w:rPr>
          <w:highlight w:val="none"/>
        </w:rPr>
      </w:pPr>
    </w:p>
    <w:sectPr>
      <w:headerReference r:id="rId12" w:type="default"/>
      <w:footerReference r:id="rId13" w:type="default"/>
      <w:pgSz w:w="11907" w:h="16840"/>
      <w:pgMar w:top="1440" w:right="1531" w:bottom="1440" w:left="1531"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西文正文)">
    <w:altName w:val="宋体"/>
    <w:panose1 w:val="00000000000000000000"/>
    <w:charset w:val="86"/>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6" w:usb3="00000000" w:csb0="6006009F" w:csb1="DFD70000"/>
  </w:font>
  <w:font w:name="Wingdings 2">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C9F9C">
    <w:pPr>
      <w:pStyle w:val="11"/>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72C9">
    <w:pPr>
      <w:pStyle w:val="1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A47C">
    <w:pPr>
      <w:pStyle w:val="11"/>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0742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60742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3D90">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7250D">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67250D">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0E39F">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DEA47">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2DEA47">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24D0">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92639">
                          <w:pPr>
                            <w:pStyle w:val="11"/>
                          </w:pPr>
                          <w:r>
                            <w:fldChar w:fldCharType="begin"/>
                          </w:r>
                          <w:r>
                            <w:instrText xml:space="preserve"> PAGE  \* MERGEFORMAT </w:instrText>
                          </w:r>
                          <w:r>
                            <w:fldChar w:fldCharType="separate"/>
                          </w:r>
                          <w:r>
                            <w:t>- 19 -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92639">
                    <w:pPr>
                      <w:pStyle w:val="11"/>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57C9">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3BA5D">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33BA5D">
                    <w:pPr>
                      <w:pStyle w:val="11"/>
                    </w:pPr>
                    <w:r>
                      <w:fldChar w:fldCharType="begin"/>
                    </w:r>
                    <w:r>
                      <w:instrText xml:space="preserve"> PAGE  \* MERGEFORMAT </w:instrText>
                    </w:r>
                    <w:r>
                      <w:fldChar w:fldCharType="separate"/>
                    </w:r>
                    <w:r>
                      <w:t>22</w:t>
                    </w:r>
                    <w:r>
                      <w:fldChar w:fldCharType="end"/>
                    </w:r>
                  </w:p>
                </w:txbxContent>
              </v:textbox>
            </v:shape>
          </w:pict>
        </mc:Fallback>
      </mc:AlternateContent>
    </w:r>
  </w:p>
  <w:p w14:paraId="21281988">
    <w:pPr>
      <w:pStyle w:val="11"/>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3F5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0378">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33FE">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B008">
    <w:pPr>
      <w:pStyle w:val="12"/>
      <w:pBdr>
        <w:bottom w:val="none" w:color="auto" w:sz="0" w:space="1"/>
      </w:pBdr>
      <w:tabs>
        <w:tab w:val="left" w:pos="1964"/>
        <w:tab w:val="clear" w:pos="4153"/>
      </w:tabs>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5FC47"/>
    <w:multiLevelType w:val="singleLevel"/>
    <w:tmpl w:val="A5F5FC47"/>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BE5BA8F"/>
    <w:multiLevelType w:val="multilevel"/>
    <w:tmpl w:val="FBE5BA8F"/>
    <w:lvl w:ilvl="0" w:tentative="0">
      <w:start w:val="3"/>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D488950"/>
    <w:multiLevelType w:val="singleLevel"/>
    <w:tmpl w:val="0D488950"/>
    <w:lvl w:ilvl="0" w:tentative="0">
      <w:start w:val="3"/>
      <w:numFmt w:val="decimal"/>
      <w:lvlText w:val="%1."/>
      <w:lvlJc w:val="left"/>
      <w:pPr>
        <w:tabs>
          <w:tab w:val="left" w:pos="312"/>
        </w:tabs>
      </w:pPr>
    </w:lvl>
  </w:abstractNum>
  <w:abstractNum w:abstractNumId="9">
    <w:nsid w:val="14BBE4B5"/>
    <w:multiLevelType w:val="singleLevel"/>
    <w:tmpl w:val="14BBE4B5"/>
    <w:lvl w:ilvl="0" w:tentative="0">
      <w:start w:val="4"/>
      <w:numFmt w:val="chineseCounting"/>
      <w:suff w:val="nothing"/>
      <w:lvlText w:val="%1、"/>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9"/>
  </w:num>
  <w:num w:numId="3">
    <w:abstractNumId w:val="8"/>
  </w:num>
  <w:num w:numId="4">
    <w:abstractNumId w:val="6"/>
  </w:num>
  <w:num w:numId="5">
    <w:abstractNumId w:val="10"/>
  </w:num>
  <w:num w:numId="6">
    <w:abstractNumId w:val="2"/>
  </w:num>
  <w:num w:numId="7">
    <w:abstractNumId w:val="7"/>
  </w:num>
  <w:num w:numId="8">
    <w:abstractNumId w:val="4"/>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dit="readOnly" w:enforcement="1" w:cryptProviderType="rsaFull" w:cryptAlgorithmClass="hash" w:cryptAlgorithmType="typeAny" w:cryptAlgorithmSid="4" w:cryptSpinCount="0" w:hash="UGFvDjMwKnVxrtoUWZBCFZGygI0=" w:salt="9UliEwgmpdkpRhsUI+pDD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TQxOTcyNGE0MDcwMjE1ZjQ5NGU0Y2E4OWY4NGIifQ=="/>
    <w:docVar w:name="KSO_WPS_MARK_KEY" w:val="f024292f-2037-4f4b-b8ad-df3c48359eb3"/>
  </w:docVars>
  <w:rsids>
    <w:rsidRoot w:val="0C9C7F93"/>
    <w:rsid w:val="00503B0A"/>
    <w:rsid w:val="00515F27"/>
    <w:rsid w:val="00692FA7"/>
    <w:rsid w:val="007E442D"/>
    <w:rsid w:val="00931874"/>
    <w:rsid w:val="00A2246D"/>
    <w:rsid w:val="00D655E0"/>
    <w:rsid w:val="00FB0545"/>
    <w:rsid w:val="01017684"/>
    <w:rsid w:val="011F4811"/>
    <w:rsid w:val="012D79D6"/>
    <w:rsid w:val="01412684"/>
    <w:rsid w:val="01437C9C"/>
    <w:rsid w:val="014E71C7"/>
    <w:rsid w:val="01536131"/>
    <w:rsid w:val="015F18B8"/>
    <w:rsid w:val="016B1285"/>
    <w:rsid w:val="027D171F"/>
    <w:rsid w:val="02806E6A"/>
    <w:rsid w:val="028C7AB9"/>
    <w:rsid w:val="02A037F9"/>
    <w:rsid w:val="02C81FCE"/>
    <w:rsid w:val="02E903CF"/>
    <w:rsid w:val="03004097"/>
    <w:rsid w:val="0336100D"/>
    <w:rsid w:val="03AA4003"/>
    <w:rsid w:val="03EC461B"/>
    <w:rsid w:val="03F434D0"/>
    <w:rsid w:val="040748EE"/>
    <w:rsid w:val="040D493C"/>
    <w:rsid w:val="040E05DA"/>
    <w:rsid w:val="04137DFA"/>
    <w:rsid w:val="044955CA"/>
    <w:rsid w:val="046B3792"/>
    <w:rsid w:val="04820ADC"/>
    <w:rsid w:val="04AC5B58"/>
    <w:rsid w:val="04BE329E"/>
    <w:rsid w:val="04C80EE3"/>
    <w:rsid w:val="0516690A"/>
    <w:rsid w:val="051E27E3"/>
    <w:rsid w:val="053578FC"/>
    <w:rsid w:val="05393118"/>
    <w:rsid w:val="05B22C25"/>
    <w:rsid w:val="05B570B3"/>
    <w:rsid w:val="05CB2A98"/>
    <w:rsid w:val="05D86EF8"/>
    <w:rsid w:val="05EA4B8A"/>
    <w:rsid w:val="06073345"/>
    <w:rsid w:val="061834A6"/>
    <w:rsid w:val="061A744C"/>
    <w:rsid w:val="061E4531"/>
    <w:rsid w:val="0673692E"/>
    <w:rsid w:val="067F1859"/>
    <w:rsid w:val="068B1C95"/>
    <w:rsid w:val="06AE6EE3"/>
    <w:rsid w:val="0732580C"/>
    <w:rsid w:val="07356D81"/>
    <w:rsid w:val="0747450D"/>
    <w:rsid w:val="07585EEB"/>
    <w:rsid w:val="07740BAF"/>
    <w:rsid w:val="079254DA"/>
    <w:rsid w:val="079A613C"/>
    <w:rsid w:val="07AE7E64"/>
    <w:rsid w:val="07B72A61"/>
    <w:rsid w:val="08730C30"/>
    <w:rsid w:val="09251C79"/>
    <w:rsid w:val="093F373F"/>
    <w:rsid w:val="0972088C"/>
    <w:rsid w:val="09AA18C7"/>
    <w:rsid w:val="09B2776D"/>
    <w:rsid w:val="09BD393E"/>
    <w:rsid w:val="09C717CE"/>
    <w:rsid w:val="09D34EA3"/>
    <w:rsid w:val="0A1440C2"/>
    <w:rsid w:val="0A54281E"/>
    <w:rsid w:val="0A5C592B"/>
    <w:rsid w:val="0A6071C9"/>
    <w:rsid w:val="0A8B0303"/>
    <w:rsid w:val="0AEC3153"/>
    <w:rsid w:val="0B4F4B0E"/>
    <w:rsid w:val="0BBF2615"/>
    <w:rsid w:val="0BDA11FD"/>
    <w:rsid w:val="0C1D721E"/>
    <w:rsid w:val="0C3B7BAC"/>
    <w:rsid w:val="0C5A16B8"/>
    <w:rsid w:val="0C6C0B73"/>
    <w:rsid w:val="0C6F5DE9"/>
    <w:rsid w:val="0C9C7F93"/>
    <w:rsid w:val="0CB07405"/>
    <w:rsid w:val="0CB07925"/>
    <w:rsid w:val="0CCA5D9A"/>
    <w:rsid w:val="0CE06855"/>
    <w:rsid w:val="0D13646A"/>
    <w:rsid w:val="0D380F2E"/>
    <w:rsid w:val="0D571DC7"/>
    <w:rsid w:val="0D9D69FB"/>
    <w:rsid w:val="0DB11994"/>
    <w:rsid w:val="0DB92CD8"/>
    <w:rsid w:val="0DBD1FCB"/>
    <w:rsid w:val="0DC3019B"/>
    <w:rsid w:val="0DCF7CC3"/>
    <w:rsid w:val="0DF30B86"/>
    <w:rsid w:val="0DF94568"/>
    <w:rsid w:val="0DFA0823"/>
    <w:rsid w:val="0E0F1632"/>
    <w:rsid w:val="0E3148C3"/>
    <w:rsid w:val="0E5E6115"/>
    <w:rsid w:val="0E5E6480"/>
    <w:rsid w:val="0E9C01D8"/>
    <w:rsid w:val="0ECB0D56"/>
    <w:rsid w:val="0ECC7523"/>
    <w:rsid w:val="0ED67285"/>
    <w:rsid w:val="0EF44384"/>
    <w:rsid w:val="0F3C1D22"/>
    <w:rsid w:val="0F4818C3"/>
    <w:rsid w:val="0F6907A1"/>
    <w:rsid w:val="0F6E05DA"/>
    <w:rsid w:val="0F972CB2"/>
    <w:rsid w:val="0FA47B58"/>
    <w:rsid w:val="10013163"/>
    <w:rsid w:val="10305890"/>
    <w:rsid w:val="10345E59"/>
    <w:rsid w:val="10352EA6"/>
    <w:rsid w:val="1045133B"/>
    <w:rsid w:val="107E65FB"/>
    <w:rsid w:val="10855441"/>
    <w:rsid w:val="10921978"/>
    <w:rsid w:val="10B55FDB"/>
    <w:rsid w:val="10B84EDA"/>
    <w:rsid w:val="10C74DC6"/>
    <w:rsid w:val="10D34B99"/>
    <w:rsid w:val="10DC323C"/>
    <w:rsid w:val="10FB1F86"/>
    <w:rsid w:val="11034D52"/>
    <w:rsid w:val="110765F0"/>
    <w:rsid w:val="111D7BC2"/>
    <w:rsid w:val="114754DD"/>
    <w:rsid w:val="11513D10"/>
    <w:rsid w:val="116972AB"/>
    <w:rsid w:val="116B3023"/>
    <w:rsid w:val="116F251B"/>
    <w:rsid w:val="11721BDA"/>
    <w:rsid w:val="117443FC"/>
    <w:rsid w:val="119C3939"/>
    <w:rsid w:val="11D14E7D"/>
    <w:rsid w:val="11DD37F5"/>
    <w:rsid w:val="11E071A5"/>
    <w:rsid w:val="12062D4C"/>
    <w:rsid w:val="1216028B"/>
    <w:rsid w:val="127C1B91"/>
    <w:rsid w:val="12902616"/>
    <w:rsid w:val="12931B0E"/>
    <w:rsid w:val="12A54B95"/>
    <w:rsid w:val="12AD49AB"/>
    <w:rsid w:val="12B427A8"/>
    <w:rsid w:val="12E56E05"/>
    <w:rsid w:val="12EA3E8A"/>
    <w:rsid w:val="13206B01"/>
    <w:rsid w:val="13274D28"/>
    <w:rsid w:val="13BF042A"/>
    <w:rsid w:val="13C01947"/>
    <w:rsid w:val="13C44C6D"/>
    <w:rsid w:val="13C76DC2"/>
    <w:rsid w:val="140F1E08"/>
    <w:rsid w:val="14972381"/>
    <w:rsid w:val="149E570D"/>
    <w:rsid w:val="14A25D60"/>
    <w:rsid w:val="14A640EC"/>
    <w:rsid w:val="15021F9A"/>
    <w:rsid w:val="152C2AC9"/>
    <w:rsid w:val="1555669C"/>
    <w:rsid w:val="156C5BE0"/>
    <w:rsid w:val="15875C62"/>
    <w:rsid w:val="158F171D"/>
    <w:rsid w:val="159A258D"/>
    <w:rsid w:val="15EA4303"/>
    <w:rsid w:val="162A0771"/>
    <w:rsid w:val="1650083A"/>
    <w:rsid w:val="168801D3"/>
    <w:rsid w:val="169F0DC7"/>
    <w:rsid w:val="16E573D4"/>
    <w:rsid w:val="16FF2FA2"/>
    <w:rsid w:val="17012DAF"/>
    <w:rsid w:val="17094BD3"/>
    <w:rsid w:val="17312619"/>
    <w:rsid w:val="178F10EE"/>
    <w:rsid w:val="17D902C3"/>
    <w:rsid w:val="17DF7A95"/>
    <w:rsid w:val="17FA5D26"/>
    <w:rsid w:val="181D75CF"/>
    <w:rsid w:val="18295C0C"/>
    <w:rsid w:val="18636858"/>
    <w:rsid w:val="18793094"/>
    <w:rsid w:val="18C57495"/>
    <w:rsid w:val="18E41886"/>
    <w:rsid w:val="194859F8"/>
    <w:rsid w:val="195A27CD"/>
    <w:rsid w:val="196A733A"/>
    <w:rsid w:val="199A412C"/>
    <w:rsid w:val="19A54BF8"/>
    <w:rsid w:val="19C239FC"/>
    <w:rsid w:val="19E742B7"/>
    <w:rsid w:val="19FF69FF"/>
    <w:rsid w:val="1A20076C"/>
    <w:rsid w:val="1A54500F"/>
    <w:rsid w:val="1AA41F89"/>
    <w:rsid w:val="1ADF51F6"/>
    <w:rsid w:val="1B0E4A1F"/>
    <w:rsid w:val="1B230233"/>
    <w:rsid w:val="1B337D8C"/>
    <w:rsid w:val="1B351FAC"/>
    <w:rsid w:val="1B4B5C73"/>
    <w:rsid w:val="1BB94916"/>
    <w:rsid w:val="1BD40628"/>
    <w:rsid w:val="1BD6378F"/>
    <w:rsid w:val="1BD866B3"/>
    <w:rsid w:val="1C314E69"/>
    <w:rsid w:val="1C416B4B"/>
    <w:rsid w:val="1C590F97"/>
    <w:rsid w:val="1CA55A53"/>
    <w:rsid w:val="1CAA5CF0"/>
    <w:rsid w:val="1CC96023"/>
    <w:rsid w:val="1CF06DD4"/>
    <w:rsid w:val="1D0D1D03"/>
    <w:rsid w:val="1D0E157D"/>
    <w:rsid w:val="1D0F4FD3"/>
    <w:rsid w:val="1D6D4503"/>
    <w:rsid w:val="1D96685A"/>
    <w:rsid w:val="1E0D7210"/>
    <w:rsid w:val="1E43278B"/>
    <w:rsid w:val="1E546A7D"/>
    <w:rsid w:val="1E682743"/>
    <w:rsid w:val="1E7B7557"/>
    <w:rsid w:val="1E7C21F2"/>
    <w:rsid w:val="1EAE0C12"/>
    <w:rsid w:val="1ED8781E"/>
    <w:rsid w:val="1EE73601"/>
    <w:rsid w:val="1F2844E0"/>
    <w:rsid w:val="1F3F33F9"/>
    <w:rsid w:val="1F4629DA"/>
    <w:rsid w:val="1F694017"/>
    <w:rsid w:val="1F8362F2"/>
    <w:rsid w:val="1FA2793B"/>
    <w:rsid w:val="1FB262C1"/>
    <w:rsid w:val="1FBD445B"/>
    <w:rsid w:val="1FC81641"/>
    <w:rsid w:val="1FCF190A"/>
    <w:rsid w:val="200B5372"/>
    <w:rsid w:val="200C3C23"/>
    <w:rsid w:val="204213F3"/>
    <w:rsid w:val="20717DDD"/>
    <w:rsid w:val="20AF2305"/>
    <w:rsid w:val="20BD44DA"/>
    <w:rsid w:val="20D67D8D"/>
    <w:rsid w:val="20F61771"/>
    <w:rsid w:val="21404558"/>
    <w:rsid w:val="215F6B10"/>
    <w:rsid w:val="219739C1"/>
    <w:rsid w:val="219F6400"/>
    <w:rsid w:val="21CB262D"/>
    <w:rsid w:val="21F52495"/>
    <w:rsid w:val="21FD6A0F"/>
    <w:rsid w:val="220A5F40"/>
    <w:rsid w:val="22420BCB"/>
    <w:rsid w:val="22840764"/>
    <w:rsid w:val="22974477"/>
    <w:rsid w:val="22AB08F8"/>
    <w:rsid w:val="22D417A1"/>
    <w:rsid w:val="236A7AE4"/>
    <w:rsid w:val="23736A25"/>
    <w:rsid w:val="23791F56"/>
    <w:rsid w:val="23A15A2A"/>
    <w:rsid w:val="23BE5A2F"/>
    <w:rsid w:val="240C0654"/>
    <w:rsid w:val="24377BE3"/>
    <w:rsid w:val="24424696"/>
    <w:rsid w:val="245A6D69"/>
    <w:rsid w:val="245E0B7B"/>
    <w:rsid w:val="24BC1F84"/>
    <w:rsid w:val="24C75587"/>
    <w:rsid w:val="24F14E5A"/>
    <w:rsid w:val="251315B0"/>
    <w:rsid w:val="25210113"/>
    <w:rsid w:val="254D31FF"/>
    <w:rsid w:val="25706A02"/>
    <w:rsid w:val="259D6928"/>
    <w:rsid w:val="25A44C97"/>
    <w:rsid w:val="25D9751E"/>
    <w:rsid w:val="25FA00A6"/>
    <w:rsid w:val="2601765A"/>
    <w:rsid w:val="262D58AD"/>
    <w:rsid w:val="268857AE"/>
    <w:rsid w:val="268D0316"/>
    <w:rsid w:val="26A24E49"/>
    <w:rsid w:val="26CB1A16"/>
    <w:rsid w:val="26D057A2"/>
    <w:rsid w:val="26D7485F"/>
    <w:rsid w:val="26DE6671"/>
    <w:rsid w:val="26E23E89"/>
    <w:rsid w:val="26F171ED"/>
    <w:rsid w:val="26FE23DB"/>
    <w:rsid w:val="27012B4D"/>
    <w:rsid w:val="270D130B"/>
    <w:rsid w:val="27246B72"/>
    <w:rsid w:val="27397168"/>
    <w:rsid w:val="273B4E0F"/>
    <w:rsid w:val="2799105C"/>
    <w:rsid w:val="27BD6152"/>
    <w:rsid w:val="27EE608E"/>
    <w:rsid w:val="28066922"/>
    <w:rsid w:val="28185E93"/>
    <w:rsid w:val="28247630"/>
    <w:rsid w:val="28887BBF"/>
    <w:rsid w:val="289E73E3"/>
    <w:rsid w:val="28B46C06"/>
    <w:rsid w:val="291B4ED7"/>
    <w:rsid w:val="293B70DF"/>
    <w:rsid w:val="295C0DFA"/>
    <w:rsid w:val="296F7074"/>
    <w:rsid w:val="29AB614E"/>
    <w:rsid w:val="29F6324E"/>
    <w:rsid w:val="29F91618"/>
    <w:rsid w:val="2A0C2A72"/>
    <w:rsid w:val="2A0E5DBE"/>
    <w:rsid w:val="2A755335"/>
    <w:rsid w:val="2AA66A22"/>
    <w:rsid w:val="2AC35EDE"/>
    <w:rsid w:val="2ACB2E39"/>
    <w:rsid w:val="2AE23476"/>
    <w:rsid w:val="2AF07C38"/>
    <w:rsid w:val="2B046CEE"/>
    <w:rsid w:val="2B0D6FF4"/>
    <w:rsid w:val="2B2168FA"/>
    <w:rsid w:val="2B5C7E5F"/>
    <w:rsid w:val="2BB87FA4"/>
    <w:rsid w:val="2BBC2C08"/>
    <w:rsid w:val="2BE55328"/>
    <w:rsid w:val="2BF37A45"/>
    <w:rsid w:val="2C056A30"/>
    <w:rsid w:val="2C382855"/>
    <w:rsid w:val="2C7627DA"/>
    <w:rsid w:val="2C8C01EC"/>
    <w:rsid w:val="2C9A797F"/>
    <w:rsid w:val="2CB725A1"/>
    <w:rsid w:val="2CB76CC5"/>
    <w:rsid w:val="2CF142F5"/>
    <w:rsid w:val="2D1D40F5"/>
    <w:rsid w:val="2D2B73A4"/>
    <w:rsid w:val="2D3D2140"/>
    <w:rsid w:val="2D637A30"/>
    <w:rsid w:val="2D8B2D0C"/>
    <w:rsid w:val="2DA171B8"/>
    <w:rsid w:val="2DC463AD"/>
    <w:rsid w:val="2DD85AA7"/>
    <w:rsid w:val="2E13002A"/>
    <w:rsid w:val="2E16246C"/>
    <w:rsid w:val="2E2317B0"/>
    <w:rsid w:val="2E5F3D5D"/>
    <w:rsid w:val="2E7472D5"/>
    <w:rsid w:val="2E9266F5"/>
    <w:rsid w:val="2E9A2581"/>
    <w:rsid w:val="2E9B785C"/>
    <w:rsid w:val="2ED53228"/>
    <w:rsid w:val="2F0F103A"/>
    <w:rsid w:val="2F53296E"/>
    <w:rsid w:val="2F723377"/>
    <w:rsid w:val="2FA8323D"/>
    <w:rsid w:val="2FBC2096"/>
    <w:rsid w:val="2FC736C3"/>
    <w:rsid w:val="2FDB5AB7"/>
    <w:rsid w:val="30004E27"/>
    <w:rsid w:val="302E00A6"/>
    <w:rsid w:val="30494BBA"/>
    <w:rsid w:val="305A396A"/>
    <w:rsid w:val="3067704F"/>
    <w:rsid w:val="306B6744"/>
    <w:rsid w:val="3076191B"/>
    <w:rsid w:val="30843362"/>
    <w:rsid w:val="30974D78"/>
    <w:rsid w:val="30A60DFE"/>
    <w:rsid w:val="30C46FA8"/>
    <w:rsid w:val="30C75005"/>
    <w:rsid w:val="30E57EA2"/>
    <w:rsid w:val="310C5C90"/>
    <w:rsid w:val="3110183B"/>
    <w:rsid w:val="3124258B"/>
    <w:rsid w:val="312A69F2"/>
    <w:rsid w:val="312D39F9"/>
    <w:rsid w:val="313F60D3"/>
    <w:rsid w:val="31556AAC"/>
    <w:rsid w:val="3158447B"/>
    <w:rsid w:val="316379FD"/>
    <w:rsid w:val="31B163D9"/>
    <w:rsid w:val="31BF0BEB"/>
    <w:rsid w:val="32790787"/>
    <w:rsid w:val="328E3736"/>
    <w:rsid w:val="32D21C0A"/>
    <w:rsid w:val="32DD144F"/>
    <w:rsid w:val="33180240"/>
    <w:rsid w:val="332D1007"/>
    <w:rsid w:val="33341A1A"/>
    <w:rsid w:val="336E5337"/>
    <w:rsid w:val="338C66A3"/>
    <w:rsid w:val="339B16B5"/>
    <w:rsid w:val="34093847"/>
    <w:rsid w:val="341D145F"/>
    <w:rsid w:val="343432F1"/>
    <w:rsid w:val="34480B4A"/>
    <w:rsid w:val="344E7E86"/>
    <w:rsid w:val="347706C9"/>
    <w:rsid w:val="34806536"/>
    <w:rsid w:val="34AF4725"/>
    <w:rsid w:val="34B93816"/>
    <w:rsid w:val="34E83FCE"/>
    <w:rsid w:val="34EF0FC6"/>
    <w:rsid w:val="35397B62"/>
    <w:rsid w:val="3569040F"/>
    <w:rsid w:val="358B06F9"/>
    <w:rsid w:val="35D67A0B"/>
    <w:rsid w:val="35DD6DB2"/>
    <w:rsid w:val="3615084C"/>
    <w:rsid w:val="36402451"/>
    <w:rsid w:val="368556C6"/>
    <w:rsid w:val="36A73EA8"/>
    <w:rsid w:val="36C47130"/>
    <w:rsid w:val="36D5775D"/>
    <w:rsid w:val="36E36F5C"/>
    <w:rsid w:val="36EA7C97"/>
    <w:rsid w:val="36FF1994"/>
    <w:rsid w:val="378356B5"/>
    <w:rsid w:val="37A04D9E"/>
    <w:rsid w:val="37AF6C9F"/>
    <w:rsid w:val="37CC1165"/>
    <w:rsid w:val="37ED3703"/>
    <w:rsid w:val="37FA5434"/>
    <w:rsid w:val="382B374F"/>
    <w:rsid w:val="383E5A18"/>
    <w:rsid w:val="38433B03"/>
    <w:rsid w:val="384D5316"/>
    <w:rsid w:val="386F48F8"/>
    <w:rsid w:val="38D429AD"/>
    <w:rsid w:val="38D806EF"/>
    <w:rsid w:val="38EE7F12"/>
    <w:rsid w:val="38FE11AE"/>
    <w:rsid w:val="38FF0408"/>
    <w:rsid w:val="39173854"/>
    <w:rsid w:val="39535010"/>
    <w:rsid w:val="39657AA9"/>
    <w:rsid w:val="396C52DB"/>
    <w:rsid w:val="396E0C56"/>
    <w:rsid w:val="39EB1B05"/>
    <w:rsid w:val="39EB6200"/>
    <w:rsid w:val="3A275655"/>
    <w:rsid w:val="3A4C06E3"/>
    <w:rsid w:val="3A52002D"/>
    <w:rsid w:val="3A5E1F81"/>
    <w:rsid w:val="3A6C2245"/>
    <w:rsid w:val="3AB331C1"/>
    <w:rsid w:val="3ABC7B9C"/>
    <w:rsid w:val="3B01476E"/>
    <w:rsid w:val="3B3B0486"/>
    <w:rsid w:val="3B4A33FA"/>
    <w:rsid w:val="3B796D27"/>
    <w:rsid w:val="3B903EB7"/>
    <w:rsid w:val="3BB23ABF"/>
    <w:rsid w:val="3BC13C47"/>
    <w:rsid w:val="3BD61540"/>
    <w:rsid w:val="3C11041A"/>
    <w:rsid w:val="3C9115B1"/>
    <w:rsid w:val="3CAB3899"/>
    <w:rsid w:val="3CB708C4"/>
    <w:rsid w:val="3CCD0C65"/>
    <w:rsid w:val="3CFD5A3B"/>
    <w:rsid w:val="3D0A362A"/>
    <w:rsid w:val="3D125F5D"/>
    <w:rsid w:val="3D3D742D"/>
    <w:rsid w:val="3D3E5B6F"/>
    <w:rsid w:val="3D453E79"/>
    <w:rsid w:val="3D6C527F"/>
    <w:rsid w:val="3D6D068E"/>
    <w:rsid w:val="3DE75647"/>
    <w:rsid w:val="3E081BE0"/>
    <w:rsid w:val="3E2B306F"/>
    <w:rsid w:val="3E383001"/>
    <w:rsid w:val="3E3B779B"/>
    <w:rsid w:val="3E5B27A0"/>
    <w:rsid w:val="3E7E34A1"/>
    <w:rsid w:val="3E9F580B"/>
    <w:rsid w:val="3EC64A0B"/>
    <w:rsid w:val="3EE55913"/>
    <w:rsid w:val="3EFB6EE5"/>
    <w:rsid w:val="3F470609"/>
    <w:rsid w:val="3F4A19DB"/>
    <w:rsid w:val="3F682A92"/>
    <w:rsid w:val="3F735881"/>
    <w:rsid w:val="3FA34CA1"/>
    <w:rsid w:val="3FB83028"/>
    <w:rsid w:val="3FC5103D"/>
    <w:rsid w:val="3FE77469"/>
    <w:rsid w:val="40111095"/>
    <w:rsid w:val="403E177F"/>
    <w:rsid w:val="407236CC"/>
    <w:rsid w:val="40DD1221"/>
    <w:rsid w:val="40DE1B98"/>
    <w:rsid w:val="40E51BFB"/>
    <w:rsid w:val="41A85037"/>
    <w:rsid w:val="41BE642C"/>
    <w:rsid w:val="41FE7934"/>
    <w:rsid w:val="420E5181"/>
    <w:rsid w:val="42185782"/>
    <w:rsid w:val="4226071D"/>
    <w:rsid w:val="422C04F0"/>
    <w:rsid w:val="423538BF"/>
    <w:rsid w:val="42785D1A"/>
    <w:rsid w:val="42AC2CD5"/>
    <w:rsid w:val="42BC4BDD"/>
    <w:rsid w:val="42FC76D0"/>
    <w:rsid w:val="430D71E7"/>
    <w:rsid w:val="43241213"/>
    <w:rsid w:val="436275FE"/>
    <w:rsid w:val="436311DB"/>
    <w:rsid w:val="43713C1A"/>
    <w:rsid w:val="43816001"/>
    <w:rsid w:val="439536B1"/>
    <w:rsid w:val="43B13CE0"/>
    <w:rsid w:val="4402047A"/>
    <w:rsid w:val="4427252A"/>
    <w:rsid w:val="446D6912"/>
    <w:rsid w:val="44840AF6"/>
    <w:rsid w:val="44AA3B64"/>
    <w:rsid w:val="44C935E1"/>
    <w:rsid w:val="44FE772F"/>
    <w:rsid w:val="452304CE"/>
    <w:rsid w:val="45513D03"/>
    <w:rsid w:val="45637592"/>
    <w:rsid w:val="45A51C71"/>
    <w:rsid w:val="45FA3E42"/>
    <w:rsid w:val="46135DD9"/>
    <w:rsid w:val="462646F7"/>
    <w:rsid w:val="46492C2C"/>
    <w:rsid w:val="466247AE"/>
    <w:rsid w:val="46661F6C"/>
    <w:rsid w:val="467D3463"/>
    <w:rsid w:val="468375E3"/>
    <w:rsid w:val="468C2B19"/>
    <w:rsid w:val="469D0882"/>
    <w:rsid w:val="471B300D"/>
    <w:rsid w:val="47297F34"/>
    <w:rsid w:val="47475633"/>
    <w:rsid w:val="477B5067"/>
    <w:rsid w:val="48457423"/>
    <w:rsid w:val="484A750A"/>
    <w:rsid w:val="484B77B5"/>
    <w:rsid w:val="48725DAA"/>
    <w:rsid w:val="4874445C"/>
    <w:rsid w:val="487B4914"/>
    <w:rsid w:val="489D335A"/>
    <w:rsid w:val="48BF0F83"/>
    <w:rsid w:val="48D10CB7"/>
    <w:rsid w:val="48E20387"/>
    <w:rsid w:val="48FD385A"/>
    <w:rsid w:val="490A3DF9"/>
    <w:rsid w:val="493D0939"/>
    <w:rsid w:val="495F758F"/>
    <w:rsid w:val="49A40179"/>
    <w:rsid w:val="49B43990"/>
    <w:rsid w:val="49CA4084"/>
    <w:rsid w:val="49D74B3F"/>
    <w:rsid w:val="4A115AFF"/>
    <w:rsid w:val="4AB52F0F"/>
    <w:rsid w:val="4AD22073"/>
    <w:rsid w:val="4AF81276"/>
    <w:rsid w:val="4AF87040"/>
    <w:rsid w:val="4B072155"/>
    <w:rsid w:val="4B1650A7"/>
    <w:rsid w:val="4B203EEF"/>
    <w:rsid w:val="4B874F81"/>
    <w:rsid w:val="4BAD134B"/>
    <w:rsid w:val="4C141197"/>
    <w:rsid w:val="4C1772EB"/>
    <w:rsid w:val="4C4B1BCD"/>
    <w:rsid w:val="4C7837BF"/>
    <w:rsid w:val="4C8147A2"/>
    <w:rsid w:val="4C853F8C"/>
    <w:rsid w:val="4C907FB0"/>
    <w:rsid w:val="4CB86415"/>
    <w:rsid w:val="4CCE6350"/>
    <w:rsid w:val="4D09248C"/>
    <w:rsid w:val="4D1675E0"/>
    <w:rsid w:val="4D6E2F78"/>
    <w:rsid w:val="4D7970B6"/>
    <w:rsid w:val="4DA109BB"/>
    <w:rsid w:val="4DA62525"/>
    <w:rsid w:val="4E1F120D"/>
    <w:rsid w:val="4E290883"/>
    <w:rsid w:val="4E4D2A0C"/>
    <w:rsid w:val="4E5E1FA9"/>
    <w:rsid w:val="4E610CE5"/>
    <w:rsid w:val="4E630A34"/>
    <w:rsid w:val="4E721AC6"/>
    <w:rsid w:val="4E9764FE"/>
    <w:rsid w:val="4EA96071"/>
    <w:rsid w:val="4F515F2B"/>
    <w:rsid w:val="4F674123"/>
    <w:rsid w:val="4F7E5DCA"/>
    <w:rsid w:val="4F842015"/>
    <w:rsid w:val="5084582A"/>
    <w:rsid w:val="50AB1A18"/>
    <w:rsid w:val="514B337F"/>
    <w:rsid w:val="51592CE5"/>
    <w:rsid w:val="51864D34"/>
    <w:rsid w:val="519C1D03"/>
    <w:rsid w:val="51E63A25"/>
    <w:rsid w:val="51FF570F"/>
    <w:rsid w:val="52072E31"/>
    <w:rsid w:val="524349D3"/>
    <w:rsid w:val="525560E7"/>
    <w:rsid w:val="527E3C5D"/>
    <w:rsid w:val="52B0193D"/>
    <w:rsid w:val="52F81D65"/>
    <w:rsid w:val="53073C53"/>
    <w:rsid w:val="53296196"/>
    <w:rsid w:val="53427EBF"/>
    <w:rsid w:val="534F73A8"/>
    <w:rsid w:val="535778E6"/>
    <w:rsid w:val="53585B6C"/>
    <w:rsid w:val="53650979"/>
    <w:rsid w:val="53A05874"/>
    <w:rsid w:val="53B547AA"/>
    <w:rsid w:val="540967B9"/>
    <w:rsid w:val="541041F0"/>
    <w:rsid w:val="54524F22"/>
    <w:rsid w:val="545D2CC2"/>
    <w:rsid w:val="54634943"/>
    <w:rsid w:val="54703433"/>
    <w:rsid w:val="548B78F4"/>
    <w:rsid w:val="5491562E"/>
    <w:rsid w:val="54A43119"/>
    <w:rsid w:val="54DE3CC5"/>
    <w:rsid w:val="553D1BAE"/>
    <w:rsid w:val="55450A62"/>
    <w:rsid w:val="55466588"/>
    <w:rsid w:val="558879FE"/>
    <w:rsid w:val="55935C72"/>
    <w:rsid w:val="55A90FF1"/>
    <w:rsid w:val="55B128F6"/>
    <w:rsid w:val="55D579CC"/>
    <w:rsid w:val="56191C96"/>
    <w:rsid w:val="56244B1C"/>
    <w:rsid w:val="563C225D"/>
    <w:rsid w:val="56496330"/>
    <w:rsid w:val="56703254"/>
    <w:rsid w:val="56AE7F10"/>
    <w:rsid w:val="56BC1DA6"/>
    <w:rsid w:val="56BF20BE"/>
    <w:rsid w:val="56C2486E"/>
    <w:rsid w:val="56C875ED"/>
    <w:rsid w:val="57062473"/>
    <w:rsid w:val="57122BC6"/>
    <w:rsid w:val="57350404"/>
    <w:rsid w:val="5768318A"/>
    <w:rsid w:val="57876C3E"/>
    <w:rsid w:val="57882019"/>
    <w:rsid w:val="579D4B86"/>
    <w:rsid w:val="579D5439"/>
    <w:rsid w:val="57D63BF4"/>
    <w:rsid w:val="57E6037A"/>
    <w:rsid w:val="57ED47D5"/>
    <w:rsid w:val="583D25E6"/>
    <w:rsid w:val="58636F07"/>
    <w:rsid w:val="58920462"/>
    <w:rsid w:val="58A041E3"/>
    <w:rsid w:val="58F80EBC"/>
    <w:rsid w:val="59080725"/>
    <w:rsid w:val="590824D3"/>
    <w:rsid w:val="59241449"/>
    <w:rsid w:val="595E2B8B"/>
    <w:rsid w:val="59625227"/>
    <w:rsid w:val="59677AF3"/>
    <w:rsid w:val="5984679C"/>
    <w:rsid w:val="59A23E43"/>
    <w:rsid w:val="59B14242"/>
    <w:rsid w:val="59B202E5"/>
    <w:rsid w:val="59C77218"/>
    <w:rsid w:val="59D145A3"/>
    <w:rsid w:val="59E80DF8"/>
    <w:rsid w:val="59F85B47"/>
    <w:rsid w:val="5A261E9C"/>
    <w:rsid w:val="5AA426FB"/>
    <w:rsid w:val="5AAD06A4"/>
    <w:rsid w:val="5ACE32A8"/>
    <w:rsid w:val="5AE14D89"/>
    <w:rsid w:val="5AE444A0"/>
    <w:rsid w:val="5AE8436A"/>
    <w:rsid w:val="5AF231DD"/>
    <w:rsid w:val="5AFA1187"/>
    <w:rsid w:val="5B073095"/>
    <w:rsid w:val="5B2561DF"/>
    <w:rsid w:val="5B555777"/>
    <w:rsid w:val="5B57329D"/>
    <w:rsid w:val="5B965A05"/>
    <w:rsid w:val="5BA118C1"/>
    <w:rsid w:val="5BA97F8E"/>
    <w:rsid w:val="5BD352F0"/>
    <w:rsid w:val="5BD46EBF"/>
    <w:rsid w:val="5BFE3C7B"/>
    <w:rsid w:val="5C77699B"/>
    <w:rsid w:val="5C8E2CEF"/>
    <w:rsid w:val="5CA179B0"/>
    <w:rsid w:val="5CB00EB7"/>
    <w:rsid w:val="5CB309A7"/>
    <w:rsid w:val="5CB403ED"/>
    <w:rsid w:val="5D0D5F05"/>
    <w:rsid w:val="5D27504C"/>
    <w:rsid w:val="5D50522D"/>
    <w:rsid w:val="5D6147DC"/>
    <w:rsid w:val="5DC56BE4"/>
    <w:rsid w:val="5DEF1E1E"/>
    <w:rsid w:val="5E267044"/>
    <w:rsid w:val="5E3B36E2"/>
    <w:rsid w:val="5E4426FE"/>
    <w:rsid w:val="5E8F2A93"/>
    <w:rsid w:val="5E9C368C"/>
    <w:rsid w:val="5F1D65AC"/>
    <w:rsid w:val="5F904FD0"/>
    <w:rsid w:val="5F9F3DB7"/>
    <w:rsid w:val="5FCB78C8"/>
    <w:rsid w:val="60060F24"/>
    <w:rsid w:val="606936DB"/>
    <w:rsid w:val="60784DC1"/>
    <w:rsid w:val="60884A64"/>
    <w:rsid w:val="609D26AE"/>
    <w:rsid w:val="60A06F83"/>
    <w:rsid w:val="60B10D4A"/>
    <w:rsid w:val="60BC462E"/>
    <w:rsid w:val="60F17CF0"/>
    <w:rsid w:val="615E1FB9"/>
    <w:rsid w:val="61607B5E"/>
    <w:rsid w:val="61637BA0"/>
    <w:rsid w:val="61747746"/>
    <w:rsid w:val="61923B3C"/>
    <w:rsid w:val="619F14FA"/>
    <w:rsid w:val="61DA3BCD"/>
    <w:rsid w:val="61DF5D9B"/>
    <w:rsid w:val="61E43279"/>
    <w:rsid w:val="61F51F86"/>
    <w:rsid w:val="61F762D3"/>
    <w:rsid w:val="62077891"/>
    <w:rsid w:val="622B0FE0"/>
    <w:rsid w:val="625906E3"/>
    <w:rsid w:val="627E3805"/>
    <w:rsid w:val="628F3631"/>
    <w:rsid w:val="62C128F0"/>
    <w:rsid w:val="62D428CC"/>
    <w:rsid w:val="62D52DBD"/>
    <w:rsid w:val="63380E20"/>
    <w:rsid w:val="63440380"/>
    <w:rsid w:val="63722991"/>
    <w:rsid w:val="63732C3E"/>
    <w:rsid w:val="63A948B2"/>
    <w:rsid w:val="63E35D7F"/>
    <w:rsid w:val="63EA3568"/>
    <w:rsid w:val="642D103F"/>
    <w:rsid w:val="643C278B"/>
    <w:rsid w:val="646561E9"/>
    <w:rsid w:val="64754C21"/>
    <w:rsid w:val="647629E6"/>
    <w:rsid w:val="647D2524"/>
    <w:rsid w:val="64E5171E"/>
    <w:rsid w:val="65090938"/>
    <w:rsid w:val="6530528B"/>
    <w:rsid w:val="653B5208"/>
    <w:rsid w:val="657B5B4F"/>
    <w:rsid w:val="65896C24"/>
    <w:rsid w:val="658F4179"/>
    <w:rsid w:val="659F2D35"/>
    <w:rsid w:val="65A73073"/>
    <w:rsid w:val="65AE4402"/>
    <w:rsid w:val="65B06A4E"/>
    <w:rsid w:val="65E971E8"/>
    <w:rsid w:val="66525DDB"/>
    <w:rsid w:val="6672290A"/>
    <w:rsid w:val="66793F09"/>
    <w:rsid w:val="66895647"/>
    <w:rsid w:val="66F10A4A"/>
    <w:rsid w:val="670B7925"/>
    <w:rsid w:val="672D037D"/>
    <w:rsid w:val="67351BAF"/>
    <w:rsid w:val="67467C27"/>
    <w:rsid w:val="67B053C2"/>
    <w:rsid w:val="67BB4BB4"/>
    <w:rsid w:val="67BE597A"/>
    <w:rsid w:val="67CD214C"/>
    <w:rsid w:val="681875DF"/>
    <w:rsid w:val="683C760B"/>
    <w:rsid w:val="685A2997"/>
    <w:rsid w:val="68745489"/>
    <w:rsid w:val="688D02FE"/>
    <w:rsid w:val="68A82742"/>
    <w:rsid w:val="68AE673B"/>
    <w:rsid w:val="68BB1E70"/>
    <w:rsid w:val="68C55CEA"/>
    <w:rsid w:val="68CC52CB"/>
    <w:rsid w:val="68E63EB3"/>
    <w:rsid w:val="68F56360"/>
    <w:rsid w:val="69011BCD"/>
    <w:rsid w:val="69023D86"/>
    <w:rsid w:val="69064C5E"/>
    <w:rsid w:val="6993253B"/>
    <w:rsid w:val="69A35DE8"/>
    <w:rsid w:val="69BE250D"/>
    <w:rsid w:val="6A102C23"/>
    <w:rsid w:val="6A1071FD"/>
    <w:rsid w:val="6A140BE3"/>
    <w:rsid w:val="6A144E85"/>
    <w:rsid w:val="6A620AC4"/>
    <w:rsid w:val="6A9516EC"/>
    <w:rsid w:val="6AB543B2"/>
    <w:rsid w:val="6B0415A1"/>
    <w:rsid w:val="6B5A38B6"/>
    <w:rsid w:val="6B642B64"/>
    <w:rsid w:val="6BAC27ED"/>
    <w:rsid w:val="6BC219A9"/>
    <w:rsid w:val="6BFA214F"/>
    <w:rsid w:val="6C167F08"/>
    <w:rsid w:val="6C4B1DD7"/>
    <w:rsid w:val="6C6C668B"/>
    <w:rsid w:val="6C905C4F"/>
    <w:rsid w:val="6CDB0C3D"/>
    <w:rsid w:val="6CE33061"/>
    <w:rsid w:val="6CEA518C"/>
    <w:rsid w:val="6D0A6E11"/>
    <w:rsid w:val="6D197FA0"/>
    <w:rsid w:val="6D477EED"/>
    <w:rsid w:val="6D631F76"/>
    <w:rsid w:val="6D7E10BB"/>
    <w:rsid w:val="6D8C327A"/>
    <w:rsid w:val="6D9C150B"/>
    <w:rsid w:val="6DA36828"/>
    <w:rsid w:val="6DBD740C"/>
    <w:rsid w:val="6DF277AD"/>
    <w:rsid w:val="6E02353D"/>
    <w:rsid w:val="6E071C62"/>
    <w:rsid w:val="6E2D7665"/>
    <w:rsid w:val="6E3901AC"/>
    <w:rsid w:val="6E68642E"/>
    <w:rsid w:val="6E71356A"/>
    <w:rsid w:val="6E8A47CE"/>
    <w:rsid w:val="6E910D1A"/>
    <w:rsid w:val="6EAB7730"/>
    <w:rsid w:val="6EE669BA"/>
    <w:rsid w:val="6F172299"/>
    <w:rsid w:val="6F490CF7"/>
    <w:rsid w:val="6F4F4560"/>
    <w:rsid w:val="6F7736FF"/>
    <w:rsid w:val="6F7B0DEF"/>
    <w:rsid w:val="6FBD39CB"/>
    <w:rsid w:val="6FE67ED1"/>
    <w:rsid w:val="6FEECCA7"/>
    <w:rsid w:val="6FF97C6C"/>
    <w:rsid w:val="700370F8"/>
    <w:rsid w:val="70096EFE"/>
    <w:rsid w:val="70097799"/>
    <w:rsid w:val="70456C0C"/>
    <w:rsid w:val="70704CF0"/>
    <w:rsid w:val="70735112"/>
    <w:rsid w:val="70820965"/>
    <w:rsid w:val="70875F7B"/>
    <w:rsid w:val="70983CE4"/>
    <w:rsid w:val="70B1428C"/>
    <w:rsid w:val="70E44368"/>
    <w:rsid w:val="70E94540"/>
    <w:rsid w:val="70FF0BEA"/>
    <w:rsid w:val="712454C0"/>
    <w:rsid w:val="712C32CD"/>
    <w:rsid w:val="713A6780"/>
    <w:rsid w:val="71652E7D"/>
    <w:rsid w:val="71A17723"/>
    <w:rsid w:val="71B24E1A"/>
    <w:rsid w:val="71DC40A5"/>
    <w:rsid w:val="72023EDE"/>
    <w:rsid w:val="722A26B8"/>
    <w:rsid w:val="72402FAE"/>
    <w:rsid w:val="72485142"/>
    <w:rsid w:val="72656C75"/>
    <w:rsid w:val="727A671F"/>
    <w:rsid w:val="72D477E2"/>
    <w:rsid w:val="72E41463"/>
    <w:rsid w:val="73057ADD"/>
    <w:rsid w:val="730F0D66"/>
    <w:rsid w:val="734939BC"/>
    <w:rsid w:val="73504D4A"/>
    <w:rsid w:val="7352575D"/>
    <w:rsid w:val="73526CD9"/>
    <w:rsid w:val="73A66718"/>
    <w:rsid w:val="73BB0416"/>
    <w:rsid w:val="740A4088"/>
    <w:rsid w:val="742650CC"/>
    <w:rsid w:val="748F2AAA"/>
    <w:rsid w:val="74D06143"/>
    <w:rsid w:val="74DD3CC3"/>
    <w:rsid w:val="74DE055B"/>
    <w:rsid w:val="74E82EC6"/>
    <w:rsid w:val="74F11DAB"/>
    <w:rsid w:val="74F84B7E"/>
    <w:rsid w:val="74FC1C62"/>
    <w:rsid w:val="750A46C6"/>
    <w:rsid w:val="75593EBC"/>
    <w:rsid w:val="758244D3"/>
    <w:rsid w:val="760302B2"/>
    <w:rsid w:val="7608190C"/>
    <w:rsid w:val="769413F2"/>
    <w:rsid w:val="769907B6"/>
    <w:rsid w:val="769E3328"/>
    <w:rsid w:val="76CA43AF"/>
    <w:rsid w:val="76DE3A0F"/>
    <w:rsid w:val="7725204A"/>
    <w:rsid w:val="77356731"/>
    <w:rsid w:val="77667C7B"/>
    <w:rsid w:val="776A255B"/>
    <w:rsid w:val="778009C3"/>
    <w:rsid w:val="77981212"/>
    <w:rsid w:val="77A23200"/>
    <w:rsid w:val="77A865ED"/>
    <w:rsid w:val="77DFA30E"/>
    <w:rsid w:val="78306EF8"/>
    <w:rsid w:val="785E5813"/>
    <w:rsid w:val="788D434B"/>
    <w:rsid w:val="788F1CFE"/>
    <w:rsid w:val="789A2B93"/>
    <w:rsid w:val="78B458BF"/>
    <w:rsid w:val="78CB5A16"/>
    <w:rsid w:val="78DD139E"/>
    <w:rsid w:val="78E54F28"/>
    <w:rsid w:val="795033A3"/>
    <w:rsid w:val="79652BD2"/>
    <w:rsid w:val="79A431D2"/>
    <w:rsid w:val="79FA77BE"/>
    <w:rsid w:val="7A0213F2"/>
    <w:rsid w:val="7A044AE6"/>
    <w:rsid w:val="7A1C54BC"/>
    <w:rsid w:val="7A98273D"/>
    <w:rsid w:val="7B204C45"/>
    <w:rsid w:val="7B45751D"/>
    <w:rsid w:val="7B6E0463"/>
    <w:rsid w:val="7BBF4BA8"/>
    <w:rsid w:val="7BD94E15"/>
    <w:rsid w:val="7BEF1922"/>
    <w:rsid w:val="7BF37A6B"/>
    <w:rsid w:val="7C027B47"/>
    <w:rsid w:val="7C1D75A7"/>
    <w:rsid w:val="7C4F5584"/>
    <w:rsid w:val="7C8D66C7"/>
    <w:rsid w:val="7C947E03"/>
    <w:rsid w:val="7CB90889"/>
    <w:rsid w:val="7CE21C31"/>
    <w:rsid w:val="7D034641"/>
    <w:rsid w:val="7D050953"/>
    <w:rsid w:val="7D140B97"/>
    <w:rsid w:val="7D497A10"/>
    <w:rsid w:val="7D8448D9"/>
    <w:rsid w:val="7D8F667D"/>
    <w:rsid w:val="7DC1240D"/>
    <w:rsid w:val="7DDA593C"/>
    <w:rsid w:val="7DE844FD"/>
    <w:rsid w:val="7E164242"/>
    <w:rsid w:val="7EA20C5E"/>
    <w:rsid w:val="7ED96E20"/>
    <w:rsid w:val="7EDB7BBE"/>
    <w:rsid w:val="7F3D7EA1"/>
    <w:rsid w:val="7F54786E"/>
    <w:rsid w:val="7F71054D"/>
    <w:rsid w:val="7F78365F"/>
    <w:rsid w:val="7F7C793E"/>
    <w:rsid w:val="7F98785D"/>
    <w:rsid w:val="7FB8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qFormat/>
    <w:uiPriority w:val="1"/>
    <w:pPr>
      <w:spacing w:before="28"/>
      <w:ind w:right="100"/>
      <w:jc w:val="center"/>
      <w:outlineLvl w:val="0"/>
    </w:pPr>
    <w:rPr>
      <w:rFonts w:ascii="黑体" w:hAnsi="黑体" w:eastAsia="黑体" w:cs="黑体"/>
      <w:sz w:val="32"/>
      <w:szCs w:val="32"/>
    </w:rPr>
  </w:style>
  <w:style w:type="paragraph" w:styleId="4">
    <w:name w:val="heading 2"/>
    <w:basedOn w:val="1"/>
    <w:next w:val="1"/>
    <w:qFormat/>
    <w:uiPriority w:val="0"/>
    <w:pPr>
      <w:outlineLvl w:val="1"/>
    </w:pPr>
  </w:style>
  <w:style w:type="paragraph" w:styleId="5">
    <w:name w:val="heading 3"/>
    <w:basedOn w:val="1"/>
    <w:next w:val="1"/>
    <w:link w:val="28"/>
    <w:qFormat/>
    <w:uiPriority w:val="0"/>
    <w:pPr>
      <w:outlineLvl w:val="2"/>
    </w:p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jc w:val="both"/>
    </w:pPr>
    <w:rPr>
      <w:rFonts w:ascii="宋体" w:hAnsi="宋体"/>
      <w:sz w:val="44"/>
    </w:rPr>
  </w:style>
  <w:style w:type="paragraph" w:styleId="6">
    <w:name w:val="Normal Indent"/>
    <w:basedOn w:val="1"/>
    <w:next w:val="1"/>
    <w:qFormat/>
    <w:uiPriority w:val="0"/>
    <w:pPr>
      <w:autoSpaceDE/>
      <w:autoSpaceDN/>
      <w:adjustRightInd/>
      <w:ind w:firstLine="420" w:firstLineChars="200"/>
      <w:jc w:val="both"/>
    </w:pPr>
    <w:rPr>
      <w:kern w:val="2"/>
      <w:sz w:val="21"/>
    </w:rPr>
  </w:style>
  <w:style w:type="paragraph" w:styleId="7">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8">
    <w:name w:val="Body Text"/>
    <w:basedOn w:val="1"/>
    <w:next w:val="1"/>
    <w:qFormat/>
    <w:uiPriority w:val="0"/>
    <w:pPr>
      <w:spacing w:line="360" w:lineRule="auto"/>
    </w:pPr>
    <w:rPr>
      <w:rFonts w:ascii="宋体"/>
      <w:color w:val="000000"/>
      <w:sz w:val="28"/>
      <w:szCs w:val="32"/>
    </w:rPr>
  </w:style>
  <w:style w:type="paragraph" w:styleId="9">
    <w:name w:val="Body Text Indent"/>
    <w:basedOn w:val="1"/>
    <w:next w:val="1"/>
    <w:qFormat/>
    <w:uiPriority w:val="0"/>
    <w:pPr>
      <w:spacing w:line="640" w:lineRule="exact"/>
      <w:ind w:firstLine="600" w:firstLineChars="200"/>
      <w:jc w:val="both"/>
    </w:pPr>
    <w:rPr>
      <w:rFonts w:ascii="仿宋_GB2312" w:eastAsia="仿宋_GB2312"/>
      <w:kern w:val="2"/>
      <w:sz w:val="30"/>
      <w:szCs w:val="32"/>
    </w:rPr>
  </w:style>
  <w:style w:type="paragraph" w:styleId="10">
    <w:name w:val="Plain Text"/>
    <w:basedOn w:val="1"/>
    <w:qFormat/>
    <w:uiPriority w:val="99"/>
    <w:pPr>
      <w:autoSpaceDE/>
      <w:autoSpaceDN/>
      <w:adjustRightInd/>
      <w:jc w:val="both"/>
    </w:pPr>
    <w:rPr>
      <w:rFonts w:ascii="宋体" w:hAnsi="宋体"/>
      <w:color w:val="000000"/>
      <w:kern w:val="1"/>
      <w:sz w:val="21"/>
      <w:szCs w:val="20"/>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autoSpaceDE/>
      <w:autoSpaceDN/>
      <w:adjustRightInd/>
      <w:jc w:val="both"/>
    </w:pPr>
    <w:rPr>
      <w:kern w:val="2"/>
      <w:sz w:val="21"/>
    </w:rPr>
  </w:style>
  <w:style w:type="paragraph" w:styleId="14">
    <w:name w:val="footnote text"/>
    <w:basedOn w:val="1"/>
    <w:next w:val="8"/>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99"/>
    <w:pPr>
      <w:autoSpaceDE/>
      <w:autoSpaceDN/>
      <w:adjustRightInd/>
      <w:spacing w:before="100" w:beforeAutospacing="1" w:after="100" w:afterAutospacing="1"/>
    </w:pPr>
    <w:rPr>
      <w:rFonts w:ascii="Calibri" w:hAnsi="Calibri"/>
    </w:rPr>
  </w:style>
  <w:style w:type="paragraph" w:styleId="17">
    <w:name w:val="Body Text First Indent"/>
    <w:basedOn w:val="8"/>
    <w:next w:val="1"/>
    <w:qFormat/>
    <w:uiPriority w:val="0"/>
    <w:pPr>
      <w:ind w:firstLine="420" w:firstLineChars="100"/>
    </w:pPr>
    <w:rPr>
      <w:rFonts w:ascii="Times New Roman" w:hAnsi="Times New Roman" w:eastAsia="宋体" w:cs="Times New Roman"/>
    </w:rPr>
  </w:style>
  <w:style w:type="paragraph" w:styleId="18">
    <w:name w:val="Body Text First Indent 2"/>
    <w:basedOn w:val="9"/>
    <w:unhideWhenUsed/>
    <w:qFormat/>
    <w:uiPriority w:val="99"/>
    <w:pPr>
      <w:ind w:firstLine="420"/>
    </w:pPr>
  </w:style>
  <w:style w:type="table" w:styleId="20">
    <w:name w:val="Table Grid"/>
    <w:basedOn w:val="1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qFormat/>
    <w:uiPriority w:val="99"/>
    <w:rPr>
      <w:rFonts w:hint="default" w:ascii="ˎ̥" w:hAnsi="ˎ̥"/>
      <w:color w:val="000066"/>
      <w:sz w:val="18"/>
      <w:szCs w:val="18"/>
      <w:u w:val="none"/>
    </w:rPr>
  </w:style>
  <w:style w:type="character" w:styleId="24">
    <w:name w:val="HTML Sample"/>
    <w:basedOn w:val="21"/>
    <w:qFormat/>
    <w:uiPriority w:val="0"/>
    <w:rPr>
      <w:rFonts w:ascii="Courier New" w:hAnsi="Courier New"/>
    </w:rPr>
  </w:style>
  <w:style w:type="paragraph" w:customStyle="1" w:styleId="25">
    <w:name w:val="正文文本11"/>
    <w:basedOn w:val="26"/>
    <w:unhideWhenUsed/>
    <w:qFormat/>
    <w:uiPriority w:val="0"/>
    <w:rPr>
      <w:rFonts w:ascii="Arial" w:hAnsi="Arial"/>
      <w:sz w:val="24"/>
    </w:rPr>
  </w:style>
  <w:style w:type="paragraph" w:customStyle="1" w:styleId="26">
    <w:name w:val="正文112"/>
    <w:next w:val="9"/>
    <w:qFormat/>
    <w:uiPriority w:val="0"/>
    <w:pPr>
      <w:widowControl w:val="0"/>
      <w:jc w:val="both"/>
    </w:pPr>
    <w:rPr>
      <w:rFonts w:ascii="Calibri" w:hAnsi="Calibri" w:eastAsia="宋体" w:cs="Times New Roman"/>
      <w:sz w:val="21"/>
      <w:szCs w:val="22"/>
      <w:lang w:val="en-US" w:eastAsia="zh-CN" w:bidi="ar-SA"/>
    </w:rPr>
  </w:style>
  <w:style w:type="paragraph" w:customStyle="1" w:styleId="27">
    <w:name w:val="Default"/>
    <w:basedOn w:val="3"/>
    <w:next w:val="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标题 3 Char"/>
    <w:link w:val="5"/>
    <w:qFormat/>
    <w:uiPriority w:val="0"/>
  </w:style>
  <w:style w:type="paragraph" w:customStyle="1" w:styleId="29">
    <w:name w:val="Table Paragraph"/>
    <w:basedOn w:val="30"/>
    <w:qFormat/>
    <w:uiPriority w:val="1"/>
    <w:pPr>
      <w:autoSpaceDE/>
      <w:autoSpaceDN/>
      <w:adjustRightInd/>
      <w:jc w:val="both"/>
    </w:pPr>
    <w:rPr>
      <w:rFonts w:ascii="宋体" w:hAnsi="宋体" w:cs="宋体"/>
      <w:kern w:val="2"/>
      <w:sz w:val="21"/>
      <w:lang w:val="zh-CN" w:bidi="zh-CN"/>
    </w:rPr>
  </w:style>
  <w:style w:type="paragraph" w:customStyle="1" w:styleId="30">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Normal"/>
    <w:qFormat/>
    <w:uiPriority w:val="0"/>
    <w:rPr>
      <w:rFonts w:ascii="Times New Roman" w:hAnsi="Times New Roman" w:eastAsia="Times New Roman" w:cs="Times New Roman"/>
      <w:sz w:val="24"/>
      <w:szCs w:val="24"/>
      <w:lang w:val="en-US" w:eastAsia="zh-CN" w:bidi="ar-SA"/>
    </w:rPr>
  </w:style>
  <w:style w:type="paragraph" w:customStyle="1" w:styleId="32">
    <w:name w:val="正文缩进1"/>
    <w:basedOn w:val="1"/>
    <w:qFormat/>
    <w:uiPriority w:val="0"/>
    <w:pPr>
      <w:ind w:firstLine="420"/>
    </w:pPr>
    <w:rPr>
      <w:rFonts w:ascii="Times New Roman" w:hAnsi="Times New Roman"/>
      <w:szCs w:val="20"/>
    </w:rPr>
  </w:style>
  <w:style w:type="paragraph" w:customStyle="1" w:styleId="33">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34">
    <w:name w:val="Normal_9"/>
    <w:qFormat/>
    <w:uiPriority w:val="0"/>
    <w:rPr>
      <w:rFonts w:ascii="黑体" w:hAnsi="黑体" w:eastAsia="黑体" w:cs="Times New Roman"/>
      <w:b/>
      <w:sz w:val="32"/>
      <w:szCs w:val="24"/>
      <w:lang w:val="en-US" w:eastAsia="zh-CN" w:bidi="ar-SA"/>
    </w:rPr>
  </w:style>
  <w:style w:type="paragraph" w:customStyle="1" w:styleId="35">
    <w:name w:val="日期_0"/>
    <w:basedOn w:val="36"/>
    <w:next w:val="36"/>
    <w:qFormat/>
    <w:uiPriority w:val="0"/>
    <w:pPr>
      <w:ind w:left="100" w:leftChars="2500"/>
    </w:pPr>
    <w:rPr>
      <w:kern w:val="0"/>
      <w:sz w:val="20"/>
    </w:rPr>
  </w:style>
  <w:style w:type="paragraph" w:customStyle="1" w:styleId="3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_1"/>
    <w:basedOn w:val="38"/>
    <w:unhideWhenUsed/>
    <w:qFormat/>
    <w:uiPriority w:val="0"/>
    <w:rPr>
      <w:rFonts w:ascii="宋体" w:hAnsi="Courier New" w:cs="Courier New"/>
      <w:szCs w:val="21"/>
    </w:rPr>
  </w:style>
  <w:style w:type="paragraph" w:customStyle="1" w:styleId="3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文本_1"/>
    <w:basedOn w:val="41"/>
    <w:qFormat/>
    <w:uiPriority w:val="0"/>
    <w:pPr>
      <w:spacing w:after="120"/>
    </w:pPr>
    <w:rPr>
      <w:kern w:val="0"/>
      <w:sz w:val="20"/>
    </w:rPr>
  </w:style>
  <w:style w:type="paragraph" w:customStyle="1" w:styleId="4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_5"/>
    <w:qFormat/>
    <w:uiPriority w:val="0"/>
    <w:rPr>
      <w:rFonts w:ascii="黑体" w:hAnsi="黑体" w:eastAsia="黑体" w:cs="Times New Roman"/>
      <w:b/>
      <w:sz w:val="32"/>
      <w:szCs w:val="24"/>
      <w:lang w:val="en-US" w:eastAsia="zh-CN" w:bidi="ar-SA"/>
    </w:rPr>
  </w:style>
  <w:style w:type="paragraph" w:customStyle="1" w:styleId="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4">
    <w:name w:val="List Paragraph"/>
    <w:basedOn w:val="1"/>
    <w:qFormat/>
    <w:uiPriority w:val="99"/>
    <w:pPr>
      <w:ind w:firstLine="420" w:firstLineChars="200"/>
    </w:pPr>
  </w:style>
  <w:style w:type="paragraph" w:customStyle="1" w:styleId="45">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6">
    <w:name w:val="正文文本缩进_1"/>
    <w:basedOn w:val="47"/>
    <w:qFormat/>
    <w:uiPriority w:val="0"/>
    <w:pPr>
      <w:spacing w:line="500" w:lineRule="exact"/>
      <w:ind w:left="1588" w:leftChars="832" w:firstLine="433" w:firstLineChars="196"/>
    </w:pPr>
    <w:rPr>
      <w:kern w:val="0"/>
      <w:sz w:val="24"/>
    </w:rPr>
  </w:style>
  <w:style w:type="paragraph" w:customStyle="1" w:styleId="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_16"/>
    <w:qFormat/>
    <w:uiPriority w:val="0"/>
    <w:rPr>
      <w:rFonts w:ascii="黑体" w:hAnsi="黑体" w:eastAsia="黑体" w:cs="Times New Roman"/>
      <w:b/>
      <w:sz w:val="32"/>
      <w:szCs w:val="24"/>
      <w:lang w:val="en-US" w:eastAsia="zh-CN" w:bidi="ar-SA"/>
    </w:rPr>
  </w:style>
  <w:style w:type="paragraph" w:customStyle="1" w:styleId="51">
    <w:name w:val="Default Text"/>
    <w:basedOn w:val="1"/>
    <w:qFormat/>
    <w:uiPriority w:val="0"/>
    <w:pPr>
      <w:widowControl/>
      <w:overflowPunct w:val="0"/>
      <w:textAlignment w:val="baseline"/>
    </w:pPr>
    <w:rPr>
      <w:szCs w:val="20"/>
    </w:rPr>
  </w:style>
  <w:style w:type="paragraph" w:customStyle="1" w:styleId="52">
    <w:name w:val="Heading #2|1"/>
    <w:basedOn w:val="1"/>
    <w:qFormat/>
    <w:uiPriority w:val="0"/>
    <w:pPr>
      <w:widowControl w:val="0"/>
      <w:shd w:val="clear" w:color="auto" w:fill="auto"/>
      <w:jc w:val="center"/>
      <w:outlineLvl w:val="1"/>
    </w:pPr>
    <w:rPr>
      <w:rFonts w:ascii="宋体" w:hAnsi="宋体" w:eastAsia="宋体" w:cs="宋体"/>
      <w:color w:val="3B4247"/>
      <w:sz w:val="26"/>
      <w:szCs w:val="26"/>
      <w:u w:val="none"/>
      <w:shd w:val="clear" w:color="auto" w:fill="auto"/>
      <w:lang w:val="zh-TW" w:eastAsia="zh-TW" w:bidi="zh-TW"/>
    </w:rPr>
  </w:style>
  <w:style w:type="paragraph" w:customStyle="1" w:styleId="53">
    <w:name w:val="Body text|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paragraph" w:customStyle="1" w:styleId="54">
    <w:name w:val="Table caption|1"/>
    <w:basedOn w:val="1"/>
    <w:qFormat/>
    <w:uiPriority w:val="0"/>
    <w:pPr>
      <w:widowControl w:val="0"/>
      <w:shd w:val="clear" w:color="auto" w:fill="auto"/>
      <w:spacing w:line="531" w:lineRule="exact"/>
      <w:ind w:firstLine="480"/>
    </w:pPr>
    <w:rPr>
      <w:rFonts w:ascii="宋体" w:hAnsi="宋体" w:eastAsia="宋体" w:cs="宋体"/>
      <w:color w:val="3B4247"/>
      <w:sz w:val="22"/>
      <w:szCs w:val="22"/>
      <w:u w:val="none"/>
      <w:shd w:val="clear" w:color="auto" w:fill="auto"/>
      <w:lang w:val="zh-TW" w:eastAsia="zh-TW" w:bidi="zh-TW"/>
    </w:rPr>
  </w:style>
  <w:style w:type="paragraph" w:customStyle="1" w:styleId="55">
    <w:name w:val="Other|1"/>
    <w:basedOn w:val="1"/>
    <w:qFormat/>
    <w:uiPriority w:val="0"/>
    <w:pPr>
      <w:widowControl w:val="0"/>
      <w:shd w:val="clear" w:color="auto" w:fill="auto"/>
      <w:spacing w:line="480" w:lineRule="auto"/>
      <w:ind w:firstLine="400"/>
    </w:pPr>
    <w:rPr>
      <w:rFonts w:ascii="宋体" w:hAnsi="宋体" w:eastAsia="宋体" w:cs="宋体"/>
      <w:color w:val="3B4247"/>
      <w:sz w:val="22"/>
      <w:szCs w:val="22"/>
      <w:u w:val="none"/>
      <w:shd w:val="clear" w:color="auto" w:fill="auto"/>
      <w:lang w:val="zh-TW" w:eastAsia="zh-TW" w:bidi="zh-TW"/>
    </w:rPr>
  </w:style>
  <w:style w:type="character" w:customStyle="1" w:styleId="56">
    <w:name w:val="font21"/>
    <w:basedOn w:val="21"/>
    <w:qFormat/>
    <w:uiPriority w:val="0"/>
    <w:rPr>
      <w:rFonts w:hint="default" w:ascii="Times New Roman" w:hAnsi="Times New Roman" w:cs="Times New Roman"/>
      <w:color w:val="000000"/>
      <w:sz w:val="22"/>
      <w:szCs w:val="22"/>
      <w:u w:val="none"/>
    </w:rPr>
  </w:style>
  <w:style w:type="character" w:customStyle="1" w:styleId="57">
    <w:name w:val="font11"/>
    <w:basedOn w:val="21"/>
    <w:qFormat/>
    <w:uiPriority w:val="0"/>
    <w:rPr>
      <w:rFonts w:hint="eastAsia" w:ascii="宋体" w:hAnsi="宋体" w:eastAsia="宋体" w:cs="宋体"/>
      <w:color w:val="000000"/>
      <w:sz w:val="22"/>
      <w:szCs w:val="22"/>
      <w:u w:val="none"/>
    </w:rPr>
  </w:style>
  <w:style w:type="paragraph" w:customStyle="1" w:styleId="58">
    <w:name w:val="正文1"/>
    <w:basedOn w:val="1"/>
    <w:qFormat/>
    <w:uiPriority w:val="0"/>
    <w:pPr>
      <w:adjustRightInd w:val="0"/>
      <w:snapToGrid w:val="0"/>
      <w:spacing w:line="360" w:lineRule="auto"/>
      <w:ind w:firstLine="567"/>
      <w:textAlignment w:val="baseline"/>
    </w:pPr>
    <w:rPr>
      <w:rFonts w:ascii="宋体" w:hAnsi="Times New Roman" w:eastAsia="宋体" w:cs="Times New Roman"/>
      <w:spacing w:val="6"/>
      <w:kern w:val="0"/>
      <w:sz w:val="28"/>
      <w:szCs w:val="20"/>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style>
  <w:style w:type="table" w:customStyle="1" w:styleId="64">
    <w:name w:val="Table Normal"/>
    <w:semiHidden/>
    <w:unhideWhenUsed/>
    <w:qFormat/>
    <w:uiPriority w:val="0"/>
    <w:tblPr>
      <w:tblCellMar>
        <w:top w:w="0" w:type="dxa"/>
        <w:left w:w="0" w:type="dxa"/>
        <w:bottom w:w="0" w:type="dxa"/>
        <w:right w:w="0" w:type="dxa"/>
      </w:tblCellMar>
    </w:tblPr>
  </w:style>
  <w:style w:type="character" w:customStyle="1" w:styleId="65">
    <w:name w:val="font41"/>
    <w:basedOn w:val="21"/>
    <w:qFormat/>
    <w:uiPriority w:val="0"/>
    <w:rPr>
      <w:rFonts w:hint="eastAsia" w:ascii="宋体" w:hAnsi="宋体" w:eastAsia="宋体" w:cs="宋体"/>
      <w:color w:val="000000"/>
      <w:sz w:val="20"/>
      <w:szCs w:val="20"/>
      <w:u w:val="none"/>
    </w:rPr>
  </w:style>
  <w:style w:type="character" w:customStyle="1" w:styleId="66">
    <w:name w:val="font3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21435</Words>
  <Characters>22904</Characters>
  <Lines>0</Lines>
  <Paragraphs>0</Paragraphs>
  <TotalTime>35</TotalTime>
  <ScaleCrop>false</ScaleCrop>
  <LinksUpToDate>false</LinksUpToDate>
  <CharactersWithSpaces>23180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2022-05-21T06:40:00Z</dcterms:created>
  <dc:creator>KB-2</dc:creator>
  <cp:lastModifiedBy>月色温柔i</cp:lastModifiedBy>
  <cp:lastPrinted>2023-05-07T02:22:00Z</cp:lastPrinted>
  <dcterms:modified xsi:type="dcterms:W3CDTF">2026-05-18T08:41:52Z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42FA1340A14B405D9086D371EDDA1801_13</vt:lpwstr>
  </property>
  <property fmtid="{D5CDD505-2E9C-101B-9397-08002B2CF9AE}" pid="4" name="KSOTemplateDocerSaveRecord">
    <vt:lpwstr>eyJoZGlkIjoiMjliMmFhZWFmM2QxODYyNjI4NDE5NGE4ZGY1OTM2ZDIiLCJ1c2VySWQiOiIzMzMzNzYyMjgifQ==</vt:lpwstr>
  </property>
</Properties>
</file>