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4F2E8">
      <w:pPr>
        <w:jc w:val="center"/>
        <w:rPr>
          <w:rFonts w:hint="eastAsia" w:ascii="宋体" w:hAnsi="宋体"/>
          <w:b/>
          <w:bCs/>
          <w:sz w:val="52"/>
          <w:szCs w:val="52"/>
          <w:lang w:val="en-US" w:eastAsia="zh-CN"/>
        </w:rPr>
      </w:pPr>
    </w:p>
    <w:p w14:paraId="3FBE2F39">
      <w:pPr>
        <w:ind w:right="-733" w:rightChars="-349"/>
        <w:jc w:val="center"/>
        <w:rPr>
          <w:rFonts w:hint="eastAsia" w:ascii="宋体" w:hAnsi="宋体"/>
          <w:b/>
          <w:bCs/>
          <w:sz w:val="84"/>
        </w:rPr>
      </w:pPr>
      <w:r>
        <w:rPr>
          <w:rFonts w:hint="eastAsia" w:ascii="宋体" w:hAnsi="宋体"/>
          <w:b/>
          <w:bCs/>
          <w:sz w:val="52"/>
          <w:szCs w:val="52"/>
          <w:lang w:val="en-US" w:eastAsia="zh-CN"/>
        </w:rPr>
        <w:t>火角村农机具购置项目（第三次）</w:t>
      </w:r>
    </w:p>
    <w:p w14:paraId="781278E2">
      <w:pPr>
        <w:jc w:val="right"/>
        <w:rPr>
          <w:rFonts w:hint="eastAsia" w:ascii="宋体" w:hAnsi="宋体"/>
          <w:b/>
          <w:bCs/>
          <w:sz w:val="84"/>
        </w:rPr>
      </w:pPr>
    </w:p>
    <w:p w14:paraId="53FE2ED2">
      <w:pPr>
        <w:bidi w:val="0"/>
        <w:rPr>
          <w:rFonts w:hint="eastAsia"/>
        </w:rPr>
      </w:pPr>
    </w:p>
    <w:p w14:paraId="5F16DA02">
      <w:pPr>
        <w:jc w:val="right"/>
        <w:rPr>
          <w:rFonts w:hint="eastAsia" w:ascii="宋体" w:hAnsi="宋体"/>
          <w:b/>
          <w:bCs/>
          <w:sz w:val="84"/>
        </w:rPr>
      </w:pPr>
    </w:p>
    <w:p w14:paraId="23E12983">
      <w:pPr>
        <w:jc w:val="center"/>
        <w:rPr>
          <w:rFonts w:hint="eastAsia" w:ascii="宋体" w:hAnsi="宋体"/>
          <w:b/>
          <w:bCs/>
          <w:sz w:val="84"/>
        </w:rPr>
      </w:pPr>
      <w:r>
        <w:rPr>
          <w:rFonts w:hint="eastAsia" w:ascii="宋体" w:hAnsi="宋体"/>
          <w:b/>
          <w:bCs/>
          <w:sz w:val="84"/>
        </w:rPr>
        <w:t>竞争性谈判文件</w:t>
      </w:r>
    </w:p>
    <w:p w14:paraId="57DB43FB">
      <w:pPr>
        <w:jc w:val="center"/>
        <w:rPr>
          <w:rFonts w:hint="eastAsia" w:ascii="宋体" w:hAnsi="宋体"/>
          <w:bCs/>
          <w:sz w:val="36"/>
          <w:szCs w:val="36"/>
        </w:rPr>
      </w:pPr>
    </w:p>
    <w:p w14:paraId="723BCA9F">
      <w:pPr>
        <w:ind w:firstLine="632" w:firstLineChars="300"/>
        <w:jc w:val="center"/>
        <w:rPr>
          <w:rFonts w:hint="eastAsia"/>
          <w:b/>
          <w:bCs/>
        </w:rPr>
      </w:pPr>
    </w:p>
    <w:p w14:paraId="691B48A5">
      <w:pPr>
        <w:ind w:firstLine="632" w:firstLineChars="300"/>
        <w:jc w:val="center"/>
        <w:rPr>
          <w:rFonts w:hint="eastAsia"/>
          <w:b/>
          <w:bCs/>
        </w:rPr>
      </w:pPr>
    </w:p>
    <w:p w14:paraId="3DF343AF">
      <w:pPr>
        <w:ind w:firstLine="632" w:firstLineChars="300"/>
        <w:jc w:val="center"/>
        <w:rPr>
          <w:rFonts w:hint="eastAsia"/>
          <w:b/>
          <w:bCs/>
        </w:rPr>
      </w:pPr>
    </w:p>
    <w:p w14:paraId="4417F952">
      <w:pPr>
        <w:ind w:firstLine="632" w:firstLineChars="300"/>
        <w:jc w:val="center"/>
        <w:rPr>
          <w:rFonts w:hint="eastAsia"/>
          <w:b/>
          <w:bCs/>
        </w:rPr>
      </w:pPr>
    </w:p>
    <w:p w14:paraId="4B724DE7">
      <w:pPr>
        <w:ind w:firstLine="632" w:firstLineChars="300"/>
        <w:jc w:val="center"/>
        <w:rPr>
          <w:rFonts w:hint="eastAsia"/>
          <w:b/>
          <w:bCs/>
        </w:rPr>
      </w:pPr>
    </w:p>
    <w:p w14:paraId="0C484C4D">
      <w:pPr>
        <w:ind w:firstLine="632" w:firstLineChars="300"/>
        <w:jc w:val="center"/>
        <w:rPr>
          <w:rFonts w:hint="eastAsia"/>
          <w:b/>
          <w:bCs/>
        </w:rPr>
      </w:pPr>
    </w:p>
    <w:p w14:paraId="3D193B6A">
      <w:pPr>
        <w:ind w:firstLine="632" w:firstLineChars="300"/>
        <w:jc w:val="center"/>
        <w:rPr>
          <w:rFonts w:hint="eastAsia"/>
          <w:b/>
          <w:bCs/>
        </w:rPr>
      </w:pPr>
    </w:p>
    <w:p w14:paraId="555B24D7">
      <w:pPr>
        <w:spacing w:line="480" w:lineRule="auto"/>
        <w:ind w:firstLine="643" w:firstLineChars="200"/>
        <w:jc w:val="both"/>
        <w:rPr>
          <w:rFonts w:hint="eastAsia" w:ascii="宋体" w:hAnsi="宋体"/>
          <w:b/>
          <w:bCs/>
          <w:sz w:val="32"/>
          <w:szCs w:val="32"/>
          <w:lang w:val="en-US" w:eastAsia="zh-CN"/>
        </w:rPr>
      </w:pPr>
      <w:r>
        <w:rPr>
          <w:rFonts w:hint="eastAsia" w:ascii="宋体" w:hAnsi="宋体"/>
          <w:b/>
          <w:bCs/>
          <w:sz w:val="32"/>
          <w:szCs w:val="32"/>
        </w:rPr>
        <w:t>采购项目名称：</w:t>
      </w:r>
      <w:r>
        <w:rPr>
          <w:rFonts w:hint="eastAsia" w:ascii="宋体" w:hAnsi="宋体"/>
          <w:b/>
          <w:bCs/>
          <w:sz w:val="32"/>
          <w:szCs w:val="32"/>
          <w:lang w:val="en-US" w:eastAsia="zh-CN"/>
        </w:rPr>
        <w:t>火角村农机具购置项目（第三次）</w:t>
      </w:r>
    </w:p>
    <w:p w14:paraId="15CDD659">
      <w:pPr>
        <w:spacing w:line="480" w:lineRule="auto"/>
        <w:ind w:firstLine="643" w:firstLineChars="200"/>
        <w:jc w:val="both"/>
        <w:rPr>
          <w:rFonts w:hint="default" w:ascii="宋体" w:hAnsi="宋体"/>
          <w:b/>
          <w:bCs/>
          <w:sz w:val="32"/>
          <w:szCs w:val="32"/>
          <w:lang w:val="en-US" w:eastAsia="zh-CN"/>
        </w:rPr>
      </w:pPr>
      <w:r>
        <w:rPr>
          <w:rFonts w:hint="eastAsia" w:ascii="宋体" w:hAnsi="宋体"/>
          <w:b/>
          <w:bCs/>
          <w:sz w:val="32"/>
          <w:szCs w:val="32"/>
        </w:rPr>
        <w:t>采购文件编号</w:t>
      </w:r>
      <w:r>
        <w:rPr>
          <w:rFonts w:hint="eastAsia" w:ascii="宋体" w:hAnsi="宋体"/>
          <w:b/>
          <w:bCs/>
          <w:sz w:val="32"/>
          <w:szCs w:val="32"/>
          <w:lang w:val="en-US" w:eastAsia="zh-CN"/>
        </w:rPr>
        <w:t>：</w:t>
      </w:r>
      <w:r>
        <w:rPr>
          <w:rFonts w:hint="eastAsia" w:ascii="宋体" w:hAnsi="宋体"/>
          <w:b/>
          <w:bCs/>
          <w:sz w:val="32"/>
          <w:szCs w:val="32"/>
          <w:lang w:eastAsia="zh-CN"/>
        </w:rPr>
        <w:t>青海拓鑫竞谈（货物）2026-028-2</w:t>
      </w:r>
    </w:p>
    <w:p w14:paraId="64075A87">
      <w:pPr>
        <w:spacing w:line="480" w:lineRule="auto"/>
        <w:ind w:firstLine="643" w:firstLineChars="200"/>
        <w:jc w:val="both"/>
        <w:rPr>
          <w:rFonts w:hint="eastAsia" w:ascii="宋体" w:hAnsi="宋体"/>
          <w:b/>
          <w:bCs/>
          <w:sz w:val="32"/>
          <w:szCs w:val="32"/>
          <w:lang w:val="en-US" w:eastAsia="zh-CN"/>
        </w:rPr>
      </w:pPr>
      <w:r>
        <w:rPr>
          <w:rFonts w:hint="eastAsia" w:ascii="宋体" w:hAnsi="宋体"/>
          <w:b/>
          <w:bCs/>
          <w:sz w:val="32"/>
          <w:szCs w:val="32"/>
        </w:rPr>
        <w:t>采</w:t>
      </w:r>
      <w:r>
        <w:rPr>
          <w:rFonts w:hint="eastAsia" w:ascii="宋体" w:hAnsi="宋体"/>
          <w:b/>
          <w:bCs/>
          <w:sz w:val="32"/>
          <w:szCs w:val="32"/>
          <w:lang w:val="en-US" w:eastAsia="zh-CN"/>
        </w:rPr>
        <w:t xml:space="preserve"> </w:t>
      </w:r>
      <w:r>
        <w:rPr>
          <w:rFonts w:hint="eastAsia" w:ascii="宋体" w:hAnsi="宋体"/>
          <w:b/>
          <w:bCs/>
          <w:sz w:val="32"/>
          <w:szCs w:val="32"/>
        </w:rPr>
        <w:t>购</w:t>
      </w:r>
      <w:r>
        <w:rPr>
          <w:rFonts w:hint="eastAsia" w:ascii="宋体" w:hAnsi="宋体"/>
          <w:b/>
          <w:bCs/>
          <w:sz w:val="32"/>
          <w:szCs w:val="32"/>
          <w:lang w:val="en-US" w:eastAsia="zh-CN"/>
        </w:rPr>
        <w:t xml:space="preserve"> </w:t>
      </w:r>
      <w:r>
        <w:rPr>
          <w:rFonts w:hint="eastAsia" w:ascii="宋体" w:hAnsi="宋体"/>
          <w:b/>
          <w:bCs/>
          <w:sz w:val="32"/>
          <w:szCs w:val="32"/>
        </w:rPr>
        <w:t>单</w:t>
      </w:r>
      <w:r>
        <w:rPr>
          <w:rFonts w:hint="eastAsia" w:ascii="宋体" w:hAnsi="宋体"/>
          <w:b/>
          <w:bCs/>
          <w:sz w:val="32"/>
          <w:szCs w:val="32"/>
          <w:lang w:val="en-US" w:eastAsia="zh-CN"/>
        </w:rPr>
        <w:t xml:space="preserve"> </w:t>
      </w:r>
      <w:r>
        <w:rPr>
          <w:rFonts w:hint="eastAsia" w:ascii="宋体" w:hAnsi="宋体"/>
          <w:b/>
          <w:bCs/>
          <w:sz w:val="32"/>
          <w:szCs w:val="32"/>
        </w:rPr>
        <w:t>位</w:t>
      </w:r>
      <w:r>
        <w:rPr>
          <w:rFonts w:hint="eastAsia" w:ascii="宋体" w:hAnsi="宋体"/>
          <w:b/>
          <w:bCs/>
          <w:sz w:val="32"/>
          <w:szCs w:val="32"/>
          <w:lang w:val="en-US" w:eastAsia="zh-CN"/>
        </w:rPr>
        <w:t>：同德县农牧水利和科技局</w:t>
      </w:r>
    </w:p>
    <w:p w14:paraId="10DB01CC">
      <w:pPr>
        <w:spacing w:line="480" w:lineRule="auto"/>
        <w:ind w:firstLine="643" w:firstLineChars="200"/>
        <w:jc w:val="both"/>
        <w:rPr>
          <w:rFonts w:hint="eastAsia" w:ascii="宋体" w:hAnsi="宋体"/>
          <w:b/>
          <w:bCs/>
          <w:sz w:val="32"/>
          <w:szCs w:val="32"/>
          <w:lang w:val="en-US" w:eastAsia="zh-CN"/>
        </w:rPr>
      </w:pPr>
      <w:r>
        <w:rPr>
          <w:rFonts w:hint="eastAsia" w:ascii="宋体" w:hAnsi="宋体"/>
          <w:b/>
          <w:bCs/>
          <w:sz w:val="32"/>
          <w:szCs w:val="32"/>
          <w:lang w:val="zh-CN" w:eastAsia="zh-CN"/>
        </w:rPr>
        <w:t>采购代理机构：</w:t>
      </w:r>
      <w:r>
        <w:rPr>
          <w:rFonts w:hint="eastAsia" w:ascii="宋体" w:hAnsi="宋体"/>
          <w:b/>
          <w:bCs/>
          <w:sz w:val="32"/>
          <w:szCs w:val="32"/>
          <w:lang w:val="en-US" w:eastAsia="zh-CN"/>
        </w:rPr>
        <w:t>青海拓鑫工程项目管理有限公司</w:t>
      </w:r>
    </w:p>
    <w:p w14:paraId="3BD1146E">
      <w:pPr>
        <w:autoSpaceDE w:val="0"/>
        <w:autoSpaceDN w:val="0"/>
        <w:adjustRightInd w:val="0"/>
        <w:spacing w:line="360" w:lineRule="auto"/>
        <w:jc w:val="both"/>
        <w:rPr>
          <w:rFonts w:hint="eastAsia" w:ascii="宋体" w:hAnsi="Calibri" w:cs="宋体"/>
          <w:b/>
          <w:bCs/>
          <w:kern w:val="0"/>
          <w:szCs w:val="32"/>
        </w:rPr>
      </w:pPr>
    </w:p>
    <w:p w14:paraId="7D68FE70">
      <w:pPr>
        <w:rPr>
          <w:rFonts w:hint="eastAsia"/>
        </w:rPr>
      </w:pPr>
    </w:p>
    <w:p w14:paraId="519B94C9">
      <w:pPr>
        <w:pStyle w:val="18"/>
        <w:jc w:val="center"/>
        <w:rPr>
          <w:rFonts w:hint="eastAsia" w:ascii="宋体" w:hAnsi="Calibri" w:cs="宋体"/>
          <w:b/>
          <w:bCs/>
          <w:kern w:val="0"/>
          <w:szCs w:val="32"/>
          <w:lang w:val="zh-CN"/>
        </w:rPr>
      </w:pPr>
      <w:r>
        <w:rPr>
          <w:rFonts w:hint="eastAsia" w:ascii="宋体" w:hAnsi="宋体"/>
          <w:b/>
          <w:color w:val="000000"/>
          <w:sz w:val="30"/>
          <w:szCs w:val="30"/>
        </w:rPr>
        <w:t>二〇二</w:t>
      </w:r>
      <w:r>
        <w:rPr>
          <w:rFonts w:hint="eastAsia" w:ascii="宋体" w:hAnsi="宋体"/>
          <w:b/>
          <w:color w:val="000000"/>
          <w:sz w:val="30"/>
          <w:szCs w:val="30"/>
          <w:lang w:val="en-US" w:eastAsia="zh-CN"/>
        </w:rPr>
        <w:t>六</w:t>
      </w:r>
      <w:r>
        <w:rPr>
          <w:rFonts w:hint="eastAsia" w:ascii="宋体" w:hAnsi="宋体"/>
          <w:b/>
          <w:color w:val="000000"/>
          <w:sz w:val="30"/>
          <w:szCs w:val="30"/>
        </w:rPr>
        <w:t>年</w:t>
      </w:r>
      <w:r>
        <w:rPr>
          <w:rFonts w:hint="eastAsia" w:ascii="宋体" w:hAnsi="宋体"/>
          <w:b/>
          <w:color w:val="000000"/>
          <w:sz w:val="30"/>
          <w:szCs w:val="30"/>
          <w:lang w:val="en-US" w:eastAsia="zh-CN"/>
        </w:rPr>
        <w:t>五</w:t>
      </w:r>
      <w:r>
        <w:rPr>
          <w:rFonts w:hint="eastAsia" w:ascii="宋体" w:hAnsi="宋体"/>
          <w:b/>
          <w:color w:val="000000"/>
          <w:sz w:val="30"/>
          <w:szCs w:val="30"/>
        </w:rPr>
        <w:t>月</w:t>
      </w:r>
    </w:p>
    <w:p w14:paraId="0B8BF3D7">
      <w:pPr>
        <w:spacing w:before="0" w:beforeLines="0" w:after="0" w:afterLines="0" w:line="240" w:lineRule="auto"/>
        <w:ind w:left="0" w:leftChars="0" w:right="0" w:firstLine="0" w:firstLineChars="0"/>
        <w:jc w:val="center"/>
        <w:rPr>
          <w:rFonts w:hint="eastAsia" w:ascii="宋体" w:hAnsi="宋体" w:eastAsia="宋体" w:cs="宋体"/>
          <w:sz w:val="44"/>
          <w:szCs w:val="44"/>
          <w:highlight w:val="none"/>
        </w:rPr>
      </w:pPr>
    </w:p>
    <w:p w14:paraId="45A781A0">
      <w:pPr>
        <w:spacing w:before="0" w:beforeLines="0" w:after="0" w:afterLines="0" w:line="240" w:lineRule="auto"/>
        <w:ind w:left="0" w:leftChars="0" w:right="0" w:firstLine="0" w:firstLineChars="0"/>
        <w:jc w:val="center"/>
        <w:rPr>
          <w:rFonts w:hint="eastAsia" w:ascii="宋体" w:hAnsi="宋体" w:eastAsia="宋体" w:cs="宋体"/>
          <w:sz w:val="44"/>
          <w:szCs w:val="44"/>
          <w:highlight w:val="none"/>
        </w:rPr>
        <w:sectPr>
          <w:headerReference r:id="rId3" w:type="default"/>
          <w:pgSz w:w="11906" w:h="16838"/>
          <w:pgMar w:top="1723" w:right="1746" w:bottom="1440" w:left="1746" w:header="851" w:footer="992" w:gutter="0"/>
          <w:cols w:space="425" w:num="1"/>
          <w:docGrid w:type="lines" w:linePitch="312" w:charSpace="0"/>
        </w:sectPr>
      </w:pPr>
    </w:p>
    <w:sdt>
      <w:sdtPr>
        <w:rPr>
          <w:rFonts w:ascii="宋体" w:hAnsi="宋体" w:eastAsia="宋体" w:cs="Times New Roman"/>
          <w:kern w:val="2"/>
          <w:sz w:val="32"/>
          <w:szCs w:val="40"/>
          <w:lang w:val="en-US" w:eastAsia="zh-CN" w:bidi="ar-SA"/>
        </w:rPr>
        <w:id w:val="147479376"/>
        <w15:color w:val="DBDBDB"/>
        <w:docPartObj>
          <w:docPartGallery w:val="Table of Contents"/>
          <w:docPartUnique/>
        </w:docPartObj>
      </w:sdtPr>
      <w:sdtEndPr>
        <w:rPr>
          <w:rFonts w:hint="eastAsia" w:ascii="宋体" w:hAnsi="宋体" w:eastAsia="宋体" w:cs="宋体"/>
          <w:kern w:val="2"/>
          <w:sz w:val="21"/>
          <w:szCs w:val="32"/>
          <w:highlight w:val="none"/>
          <w:lang w:val="en-US" w:eastAsia="zh-CN" w:bidi="ar-SA"/>
        </w:rPr>
      </w:sdtEndPr>
      <w:sdtContent>
        <w:p w14:paraId="6D88AC41">
          <w:pPr>
            <w:spacing w:before="0" w:beforeLines="0" w:after="0" w:afterLines="0" w:line="240" w:lineRule="auto"/>
            <w:ind w:left="0" w:leftChars="0" w:right="0" w:rightChars="0" w:firstLine="0" w:firstLineChars="0"/>
            <w:jc w:val="center"/>
            <w:rPr>
              <w:sz w:val="32"/>
              <w:szCs w:val="40"/>
            </w:rPr>
          </w:pPr>
          <w:r>
            <w:rPr>
              <w:rFonts w:ascii="宋体" w:hAnsi="宋体" w:eastAsia="宋体"/>
              <w:sz w:val="32"/>
              <w:szCs w:val="40"/>
            </w:rPr>
            <w:t>目录</w:t>
          </w:r>
        </w:p>
        <w:p w14:paraId="2209B164">
          <w:pPr>
            <w:pStyle w:val="13"/>
            <w:tabs>
              <w:tab w:val="right" w:leader="dot" w:pos="8414"/>
            </w:tabs>
          </w:pPr>
          <w:r>
            <w:rPr>
              <w:rFonts w:hint="eastAsia" w:ascii="宋体" w:hAnsi="宋体" w:eastAsia="宋体" w:cs="宋体"/>
              <w:kern w:val="2"/>
              <w:sz w:val="21"/>
              <w:szCs w:val="32"/>
              <w:highlight w:val="none"/>
              <w:lang w:val="en-US" w:eastAsia="zh-CN" w:bidi="ar-SA"/>
            </w:rPr>
            <w:fldChar w:fldCharType="begin"/>
          </w:r>
          <w:r>
            <w:rPr>
              <w:rFonts w:hint="eastAsia" w:ascii="宋体" w:hAnsi="宋体" w:eastAsia="宋体" w:cs="宋体"/>
              <w:kern w:val="2"/>
              <w:sz w:val="21"/>
              <w:szCs w:val="32"/>
              <w:highlight w:val="none"/>
              <w:lang w:val="en-US" w:eastAsia="zh-CN" w:bidi="ar-SA"/>
            </w:rPr>
            <w:instrText xml:space="preserve">TOC \o "1-3" \h \u </w:instrText>
          </w:r>
          <w:r>
            <w:rPr>
              <w:rFonts w:hint="eastAsia" w:ascii="宋体" w:hAnsi="宋体" w:eastAsia="宋体" w:cs="宋体"/>
              <w:kern w:val="2"/>
              <w:sz w:val="21"/>
              <w:szCs w:val="32"/>
              <w:highlight w:val="none"/>
              <w:lang w:val="en-US" w:eastAsia="zh-CN" w:bidi="ar-SA"/>
            </w:rPr>
            <w:fldChar w:fldCharType="separate"/>
          </w: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_Toc31566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lang w:val="en-US" w:eastAsia="zh-CN"/>
            </w:rPr>
            <w:t xml:space="preserve">第一部分 </w:t>
          </w:r>
          <w:r>
            <w:rPr>
              <w:rFonts w:hint="eastAsia" w:ascii="宋体" w:hAnsi="宋体" w:eastAsia="宋体" w:cs="宋体"/>
              <w:bCs/>
              <w:szCs w:val="44"/>
              <w:highlight w:val="none"/>
              <w:lang w:val="en-US" w:eastAsia="zh-CN"/>
            </w:rPr>
            <w:t>谈判邀请</w:t>
          </w:r>
          <w:r>
            <w:tab/>
          </w:r>
          <w:r>
            <w:fldChar w:fldCharType="begin"/>
          </w:r>
          <w:r>
            <w:instrText xml:space="preserve"> PAGEREF _Toc31566 \h </w:instrText>
          </w:r>
          <w:r>
            <w:fldChar w:fldCharType="separate"/>
          </w:r>
          <w:r>
            <w:t>- 3 -</w:t>
          </w:r>
          <w:r>
            <w:fldChar w:fldCharType="end"/>
          </w:r>
          <w:r>
            <w:rPr>
              <w:rFonts w:hint="eastAsia" w:ascii="宋体" w:hAnsi="宋体" w:eastAsia="宋体" w:cs="宋体"/>
              <w:kern w:val="2"/>
              <w:szCs w:val="32"/>
              <w:highlight w:val="none"/>
              <w:lang w:val="en-US" w:eastAsia="zh-CN" w:bidi="ar-SA"/>
            </w:rPr>
            <w:fldChar w:fldCharType="end"/>
          </w:r>
        </w:p>
        <w:p w14:paraId="10952A6B">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_Toc20974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highlight w:val="none"/>
              <w:lang w:val="en-US" w:eastAsia="zh-CN"/>
            </w:rPr>
            <w:t>第二部分  谈判须知</w:t>
          </w:r>
          <w:r>
            <w:tab/>
          </w:r>
          <w:r>
            <w:fldChar w:fldCharType="begin"/>
          </w:r>
          <w:r>
            <w:instrText xml:space="preserve"> PAGEREF _Toc20974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0848B89D">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_Toc18401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一、说明</w:t>
          </w:r>
          <w:r>
            <w:tab/>
          </w:r>
          <w:r>
            <w:fldChar w:fldCharType="begin"/>
          </w:r>
          <w:r>
            <w:instrText xml:space="preserve"> PAGEREF _Toc18401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595C523B">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_Toc31236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1.适用范围</w:t>
          </w:r>
          <w:r>
            <w:tab/>
          </w:r>
          <w:r>
            <w:fldChar w:fldCharType="begin"/>
          </w:r>
          <w:r>
            <w:instrText xml:space="preserve"> PAGEREF _Toc31236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0A078BCD">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_Toc25432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2.采购人及代理机构</w:t>
          </w:r>
          <w:r>
            <w:tab/>
          </w:r>
          <w:r>
            <w:fldChar w:fldCharType="begin"/>
          </w:r>
          <w:r>
            <w:instrText xml:space="preserve"> PAGEREF _Toc25432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7771EDE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_Toc13585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3.供应商的资格要求</w:t>
          </w:r>
          <w:r>
            <w:tab/>
          </w:r>
          <w:r>
            <w:fldChar w:fldCharType="begin"/>
          </w:r>
          <w:r>
            <w:instrText xml:space="preserve"> PAGEREF _Toc13585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06B8C193">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_Toc12281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4.谈判费用</w:t>
          </w:r>
          <w:r>
            <w:tab/>
          </w:r>
          <w:r>
            <w:fldChar w:fldCharType="begin"/>
          </w:r>
          <w:r>
            <w:instrText xml:space="preserve"> PAGEREF _Toc12281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15F5F1E1">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_Toc25466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二、谈判文件</w:t>
          </w:r>
          <w:r>
            <w:tab/>
          </w:r>
          <w:r>
            <w:fldChar w:fldCharType="begin"/>
          </w:r>
          <w:r>
            <w:instrText xml:space="preserve"> PAGEREF _Toc25466 \h </w:instrText>
          </w:r>
          <w:r>
            <w:fldChar w:fldCharType="separate"/>
          </w:r>
          <w:r>
            <w:t>- 9 -</w:t>
          </w:r>
          <w:r>
            <w:fldChar w:fldCharType="end"/>
          </w:r>
          <w:r>
            <w:rPr>
              <w:rFonts w:hint="eastAsia" w:ascii="宋体" w:hAnsi="宋体" w:eastAsia="宋体" w:cs="宋体"/>
              <w:kern w:val="2"/>
              <w:szCs w:val="32"/>
              <w:highlight w:val="none"/>
              <w:lang w:val="en-US" w:eastAsia="zh-CN" w:bidi="ar-SA"/>
            </w:rPr>
            <w:fldChar w:fldCharType="end"/>
          </w:r>
        </w:p>
        <w:p w14:paraId="1D8C1FAC">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_Toc16124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5.谈判文件的组成</w:t>
          </w:r>
          <w:r>
            <w:tab/>
          </w:r>
          <w:r>
            <w:fldChar w:fldCharType="begin"/>
          </w:r>
          <w:r>
            <w:instrText xml:space="preserve"> PAGEREF _Toc16124 \h </w:instrText>
          </w:r>
          <w:r>
            <w:fldChar w:fldCharType="separate"/>
          </w:r>
          <w:r>
            <w:t>- 9 -</w:t>
          </w:r>
          <w:r>
            <w:fldChar w:fldCharType="end"/>
          </w:r>
          <w:r>
            <w:rPr>
              <w:rFonts w:hint="eastAsia" w:ascii="宋体" w:hAnsi="宋体" w:eastAsia="宋体" w:cs="宋体"/>
              <w:kern w:val="2"/>
              <w:szCs w:val="32"/>
              <w:highlight w:val="none"/>
              <w:lang w:val="en-US" w:eastAsia="zh-CN" w:bidi="ar-SA"/>
            </w:rPr>
            <w:fldChar w:fldCharType="end"/>
          </w:r>
        </w:p>
        <w:p w14:paraId="1C57D6C4">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_Toc25173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6.谈判文件的澄清</w:t>
          </w:r>
          <w:r>
            <w:rPr>
              <w:rFonts w:hint="eastAsia" w:ascii="宋体" w:hAnsi="宋体" w:eastAsia="宋体" w:cs="宋体"/>
              <w:bCs/>
              <w:kern w:val="2"/>
              <w:szCs w:val="28"/>
              <w:highlight w:val="none"/>
              <w:lang w:val="zh-CN" w:eastAsia="zh-CN" w:bidi="ar-SA"/>
            </w:rPr>
            <w:t>或者</w:t>
          </w:r>
          <w:r>
            <w:rPr>
              <w:rFonts w:hint="eastAsia" w:ascii="宋体" w:hAnsi="宋体" w:eastAsia="宋体" w:cs="宋体"/>
              <w:bCs/>
              <w:kern w:val="2"/>
              <w:szCs w:val="28"/>
              <w:highlight w:val="none"/>
              <w:lang w:val="en-US" w:eastAsia="zh-CN" w:bidi="ar-SA"/>
            </w:rPr>
            <w:t>修改</w:t>
          </w:r>
          <w:r>
            <w:tab/>
          </w:r>
          <w:r>
            <w:fldChar w:fldCharType="begin"/>
          </w:r>
          <w:r>
            <w:instrText xml:space="preserve"> PAGEREF _Toc25173 \h </w:instrText>
          </w:r>
          <w:r>
            <w:fldChar w:fldCharType="separate"/>
          </w:r>
          <w:r>
            <w:t>- 9 -</w:t>
          </w:r>
          <w:r>
            <w:fldChar w:fldCharType="end"/>
          </w:r>
          <w:r>
            <w:rPr>
              <w:rFonts w:hint="eastAsia" w:ascii="宋体" w:hAnsi="宋体" w:eastAsia="宋体" w:cs="宋体"/>
              <w:kern w:val="2"/>
              <w:szCs w:val="32"/>
              <w:highlight w:val="none"/>
              <w:lang w:val="en-US" w:eastAsia="zh-CN" w:bidi="ar-SA"/>
            </w:rPr>
            <w:fldChar w:fldCharType="end"/>
          </w:r>
        </w:p>
        <w:p w14:paraId="7BBCA7A2">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_Toc20186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7.谈判文件的询问或质疑</w:t>
          </w:r>
          <w:r>
            <w:tab/>
          </w:r>
          <w:r>
            <w:fldChar w:fldCharType="begin"/>
          </w:r>
          <w:r>
            <w:instrText xml:space="preserve"> PAGEREF _Toc20186 \h </w:instrText>
          </w:r>
          <w:r>
            <w:fldChar w:fldCharType="separate"/>
          </w:r>
          <w:r>
            <w:t>- 9 -</w:t>
          </w:r>
          <w:r>
            <w:fldChar w:fldCharType="end"/>
          </w:r>
          <w:r>
            <w:rPr>
              <w:rFonts w:hint="eastAsia" w:ascii="宋体" w:hAnsi="宋体" w:eastAsia="宋体" w:cs="宋体"/>
              <w:kern w:val="2"/>
              <w:szCs w:val="32"/>
              <w:highlight w:val="none"/>
              <w:lang w:val="en-US" w:eastAsia="zh-CN" w:bidi="ar-SA"/>
            </w:rPr>
            <w:fldChar w:fldCharType="end"/>
          </w:r>
        </w:p>
        <w:p w14:paraId="69AB3699">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_Toc23822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三、响应文件</w:t>
          </w:r>
          <w:r>
            <w:tab/>
          </w:r>
          <w:r>
            <w:fldChar w:fldCharType="begin"/>
          </w:r>
          <w:r>
            <w:instrText xml:space="preserve"> PAGEREF _Toc23822 \h </w:instrText>
          </w:r>
          <w:r>
            <w:fldChar w:fldCharType="separate"/>
          </w:r>
          <w:r>
            <w:t>- 10 -</w:t>
          </w:r>
          <w:r>
            <w:fldChar w:fldCharType="end"/>
          </w:r>
          <w:r>
            <w:rPr>
              <w:rFonts w:hint="eastAsia" w:ascii="宋体" w:hAnsi="宋体" w:eastAsia="宋体" w:cs="宋体"/>
              <w:kern w:val="2"/>
              <w:szCs w:val="32"/>
              <w:highlight w:val="none"/>
              <w:lang w:val="en-US" w:eastAsia="zh-CN" w:bidi="ar-SA"/>
            </w:rPr>
            <w:fldChar w:fldCharType="end"/>
          </w:r>
        </w:p>
        <w:p w14:paraId="5E6EE95C">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_Toc28890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8.一般要求</w:t>
          </w:r>
          <w:r>
            <w:tab/>
          </w:r>
          <w:r>
            <w:fldChar w:fldCharType="begin"/>
          </w:r>
          <w:r>
            <w:instrText xml:space="preserve"> PAGEREF _Toc28890 \h </w:instrText>
          </w:r>
          <w:r>
            <w:fldChar w:fldCharType="separate"/>
          </w:r>
          <w:r>
            <w:t>- 10 -</w:t>
          </w:r>
          <w:r>
            <w:fldChar w:fldCharType="end"/>
          </w:r>
          <w:r>
            <w:rPr>
              <w:rFonts w:hint="eastAsia" w:ascii="宋体" w:hAnsi="宋体" w:eastAsia="宋体" w:cs="宋体"/>
              <w:kern w:val="2"/>
              <w:szCs w:val="32"/>
              <w:highlight w:val="none"/>
              <w:lang w:val="en-US" w:eastAsia="zh-CN" w:bidi="ar-SA"/>
            </w:rPr>
            <w:fldChar w:fldCharType="end"/>
          </w:r>
        </w:p>
        <w:p w14:paraId="5D5F08E9">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_Toc3375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9.报价要求</w:t>
          </w:r>
          <w:r>
            <w:tab/>
          </w:r>
          <w:r>
            <w:fldChar w:fldCharType="begin"/>
          </w:r>
          <w:r>
            <w:instrText xml:space="preserve"> PAGEREF _Toc3375 \h </w:instrText>
          </w:r>
          <w:r>
            <w:fldChar w:fldCharType="separate"/>
          </w:r>
          <w:r>
            <w:t>- 10 -</w:t>
          </w:r>
          <w:r>
            <w:fldChar w:fldCharType="end"/>
          </w:r>
          <w:r>
            <w:rPr>
              <w:rFonts w:hint="eastAsia" w:ascii="宋体" w:hAnsi="宋体" w:eastAsia="宋体" w:cs="宋体"/>
              <w:kern w:val="2"/>
              <w:szCs w:val="32"/>
              <w:highlight w:val="none"/>
              <w:lang w:val="en-US" w:eastAsia="zh-CN" w:bidi="ar-SA"/>
            </w:rPr>
            <w:fldChar w:fldCharType="end"/>
          </w:r>
        </w:p>
        <w:p w14:paraId="693C1179">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_Toc14391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10.保证金</w:t>
          </w:r>
          <w:r>
            <w:tab/>
          </w:r>
          <w:r>
            <w:fldChar w:fldCharType="begin"/>
          </w:r>
          <w:r>
            <w:instrText xml:space="preserve"> PAGEREF _Toc14391 \h </w:instrText>
          </w:r>
          <w:r>
            <w:fldChar w:fldCharType="separate"/>
          </w:r>
          <w:r>
            <w:t>- 12 -</w:t>
          </w:r>
          <w:r>
            <w:fldChar w:fldCharType="end"/>
          </w:r>
          <w:r>
            <w:rPr>
              <w:rFonts w:hint="eastAsia" w:ascii="宋体" w:hAnsi="宋体" w:eastAsia="宋体" w:cs="宋体"/>
              <w:kern w:val="2"/>
              <w:szCs w:val="32"/>
              <w:highlight w:val="none"/>
              <w:lang w:val="en-US" w:eastAsia="zh-CN" w:bidi="ar-SA"/>
            </w:rPr>
            <w:fldChar w:fldCharType="end"/>
          </w:r>
        </w:p>
        <w:p w14:paraId="4C7C3C38">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_Toc24951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11.响应文件的组成</w:t>
          </w:r>
          <w:r>
            <w:tab/>
          </w:r>
          <w:r>
            <w:fldChar w:fldCharType="begin"/>
          </w:r>
          <w:r>
            <w:instrText xml:space="preserve"> PAGEREF _Toc24951 \h </w:instrText>
          </w:r>
          <w:r>
            <w:fldChar w:fldCharType="separate"/>
          </w:r>
          <w:r>
            <w:t>- 13 -</w:t>
          </w:r>
          <w:r>
            <w:fldChar w:fldCharType="end"/>
          </w:r>
          <w:r>
            <w:rPr>
              <w:rFonts w:hint="eastAsia" w:ascii="宋体" w:hAnsi="宋体" w:eastAsia="宋体" w:cs="宋体"/>
              <w:kern w:val="2"/>
              <w:szCs w:val="32"/>
              <w:highlight w:val="none"/>
              <w:lang w:val="en-US" w:eastAsia="zh-CN" w:bidi="ar-SA"/>
            </w:rPr>
            <w:fldChar w:fldCharType="end"/>
          </w:r>
        </w:p>
        <w:p w14:paraId="58A3FA12">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_Toc10077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12.响应文件有效期</w:t>
          </w:r>
          <w:r>
            <w:tab/>
          </w:r>
          <w:r>
            <w:fldChar w:fldCharType="begin"/>
          </w:r>
          <w:r>
            <w:instrText xml:space="preserve"> PAGEREF _Toc10077 \h </w:instrText>
          </w:r>
          <w:r>
            <w:fldChar w:fldCharType="separate"/>
          </w:r>
          <w:r>
            <w:t>- 14 -</w:t>
          </w:r>
          <w:r>
            <w:fldChar w:fldCharType="end"/>
          </w:r>
          <w:r>
            <w:rPr>
              <w:rFonts w:hint="eastAsia" w:ascii="宋体" w:hAnsi="宋体" w:eastAsia="宋体" w:cs="宋体"/>
              <w:kern w:val="2"/>
              <w:szCs w:val="32"/>
              <w:highlight w:val="none"/>
              <w:lang w:val="en-US" w:eastAsia="zh-CN" w:bidi="ar-SA"/>
            </w:rPr>
            <w:fldChar w:fldCharType="end"/>
          </w:r>
        </w:p>
        <w:p w14:paraId="00ADB998">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_Toc3752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13.响应文件的签署及规定</w:t>
          </w:r>
          <w:r>
            <w:tab/>
          </w:r>
          <w:r>
            <w:fldChar w:fldCharType="begin"/>
          </w:r>
          <w:r>
            <w:instrText xml:space="preserve"> PAGEREF _Toc3752 \h </w:instrText>
          </w:r>
          <w:r>
            <w:fldChar w:fldCharType="separate"/>
          </w:r>
          <w:r>
            <w:t>- 14 -</w:t>
          </w:r>
          <w:r>
            <w:fldChar w:fldCharType="end"/>
          </w:r>
          <w:r>
            <w:rPr>
              <w:rFonts w:hint="eastAsia" w:ascii="宋体" w:hAnsi="宋体" w:eastAsia="宋体" w:cs="宋体"/>
              <w:kern w:val="2"/>
              <w:szCs w:val="32"/>
              <w:highlight w:val="none"/>
              <w:lang w:val="en-US" w:eastAsia="zh-CN" w:bidi="ar-SA"/>
            </w:rPr>
            <w:fldChar w:fldCharType="end"/>
          </w:r>
        </w:p>
        <w:p w14:paraId="3E074AE2">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_Toc29699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四、响应文件的递交</w:t>
          </w:r>
          <w:r>
            <w:tab/>
          </w:r>
          <w:r>
            <w:fldChar w:fldCharType="begin"/>
          </w:r>
          <w:r>
            <w:instrText xml:space="preserve"> PAGEREF _Toc29699 \h </w:instrText>
          </w:r>
          <w:r>
            <w:fldChar w:fldCharType="separate"/>
          </w:r>
          <w:r>
            <w:t>- 15 -</w:t>
          </w:r>
          <w:r>
            <w:fldChar w:fldCharType="end"/>
          </w:r>
          <w:r>
            <w:rPr>
              <w:rFonts w:hint="eastAsia" w:ascii="宋体" w:hAnsi="宋体" w:eastAsia="宋体" w:cs="宋体"/>
              <w:kern w:val="2"/>
              <w:szCs w:val="32"/>
              <w:highlight w:val="none"/>
              <w:lang w:val="en-US" w:eastAsia="zh-CN" w:bidi="ar-SA"/>
            </w:rPr>
            <w:fldChar w:fldCharType="end"/>
          </w:r>
        </w:p>
        <w:p w14:paraId="71AD2AD4">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_Toc24491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4</w:t>
          </w:r>
          <w:r>
            <w:rPr>
              <w:rFonts w:hint="eastAsia" w:ascii="宋体" w:hAnsi="宋体" w:eastAsia="宋体" w:cs="宋体"/>
              <w:bCs/>
              <w:kern w:val="2"/>
              <w:szCs w:val="28"/>
              <w:highlight w:val="none"/>
              <w:lang w:val="en-US" w:eastAsia="zh-CN" w:bidi="ar-SA"/>
            </w:rPr>
            <w:t>.响应文件的递交与接收</w:t>
          </w:r>
          <w:r>
            <w:tab/>
          </w:r>
          <w:r>
            <w:fldChar w:fldCharType="begin"/>
          </w:r>
          <w:r>
            <w:instrText xml:space="preserve"> PAGEREF _Toc24491 \h </w:instrText>
          </w:r>
          <w:r>
            <w:fldChar w:fldCharType="separate"/>
          </w:r>
          <w:r>
            <w:t>- 15 -</w:t>
          </w:r>
          <w:r>
            <w:fldChar w:fldCharType="end"/>
          </w:r>
          <w:r>
            <w:rPr>
              <w:rFonts w:hint="eastAsia" w:ascii="宋体" w:hAnsi="宋体" w:eastAsia="宋体" w:cs="宋体"/>
              <w:kern w:val="2"/>
              <w:szCs w:val="32"/>
              <w:highlight w:val="none"/>
              <w:lang w:val="en-US" w:eastAsia="zh-CN" w:bidi="ar-SA"/>
            </w:rPr>
            <w:fldChar w:fldCharType="end"/>
          </w:r>
        </w:p>
        <w:p w14:paraId="5C459DB5">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_Toc16693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5</w:t>
          </w:r>
          <w:r>
            <w:rPr>
              <w:rFonts w:hint="eastAsia" w:ascii="宋体" w:hAnsi="宋体" w:eastAsia="宋体" w:cs="宋体"/>
              <w:bCs/>
              <w:kern w:val="2"/>
              <w:szCs w:val="28"/>
              <w:highlight w:val="none"/>
              <w:lang w:val="en-US" w:eastAsia="zh-CN" w:bidi="ar-SA"/>
            </w:rPr>
            <w:t>.响应文件的</w:t>
          </w:r>
          <w:r>
            <w:rPr>
              <w:rFonts w:hint="eastAsia" w:ascii="宋体" w:hAnsi="宋体" w:eastAsia="宋体" w:cs="宋体"/>
              <w:bCs/>
              <w:kern w:val="2"/>
              <w:szCs w:val="28"/>
              <w:highlight w:val="none"/>
              <w:lang w:val="zh-CN" w:eastAsia="zh-CN" w:bidi="ar-SA"/>
            </w:rPr>
            <w:t>补充、修改或者撤回</w:t>
          </w:r>
          <w:r>
            <w:tab/>
          </w:r>
          <w:r>
            <w:fldChar w:fldCharType="begin"/>
          </w:r>
          <w:r>
            <w:instrText xml:space="preserve"> PAGEREF _Toc16693 \h </w:instrText>
          </w:r>
          <w:r>
            <w:fldChar w:fldCharType="separate"/>
          </w:r>
          <w:r>
            <w:t>- 15 -</w:t>
          </w:r>
          <w:r>
            <w:fldChar w:fldCharType="end"/>
          </w:r>
          <w:r>
            <w:rPr>
              <w:rFonts w:hint="eastAsia" w:ascii="宋体" w:hAnsi="宋体" w:eastAsia="宋体" w:cs="宋体"/>
              <w:kern w:val="2"/>
              <w:szCs w:val="32"/>
              <w:highlight w:val="none"/>
              <w:lang w:val="en-US" w:eastAsia="zh-CN" w:bidi="ar-SA"/>
            </w:rPr>
            <w:fldChar w:fldCharType="end"/>
          </w:r>
        </w:p>
        <w:p w14:paraId="33978079">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_Toc2051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五、响应文件的评审与谈判</w:t>
          </w:r>
          <w:r>
            <w:tab/>
          </w:r>
          <w:r>
            <w:fldChar w:fldCharType="begin"/>
          </w:r>
          <w:r>
            <w:instrText xml:space="preserve"> PAGEREF _Toc2051 \h </w:instrText>
          </w:r>
          <w:r>
            <w:fldChar w:fldCharType="separate"/>
          </w:r>
          <w:r>
            <w:t>- 15 -</w:t>
          </w:r>
          <w:r>
            <w:fldChar w:fldCharType="end"/>
          </w:r>
          <w:r>
            <w:rPr>
              <w:rFonts w:hint="eastAsia" w:ascii="宋体" w:hAnsi="宋体" w:eastAsia="宋体" w:cs="宋体"/>
              <w:kern w:val="2"/>
              <w:szCs w:val="32"/>
              <w:highlight w:val="none"/>
              <w:lang w:val="en-US" w:eastAsia="zh-CN" w:bidi="ar-SA"/>
            </w:rPr>
            <w:fldChar w:fldCharType="end"/>
          </w:r>
        </w:p>
        <w:p w14:paraId="319D9AC7">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_Toc9863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6</w:t>
          </w:r>
          <w:r>
            <w:rPr>
              <w:rFonts w:hint="eastAsia" w:ascii="宋体" w:hAnsi="宋体" w:eastAsia="宋体" w:cs="宋体"/>
              <w:bCs/>
              <w:kern w:val="2"/>
              <w:szCs w:val="28"/>
              <w:highlight w:val="none"/>
              <w:lang w:val="en-US" w:eastAsia="zh-CN" w:bidi="ar-SA"/>
            </w:rPr>
            <w:t>.谈判小组</w:t>
          </w:r>
          <w:r>
            <w:tab/>
          </w:r>
          <w:r>
            <w:fldChar w:fldCharType="begin"/>
          </w:r>
          <w:r>
            <w:instrText xml:space="preserve"> PAGEREF _Toc9863 \h </w:instrText>
          </w:r>
          <w:r>
            <w:fldChar w:fldCharType="separate"/>
          </w:r>
          <w:r>
            <w:t>- 15 -</w:t>
          </w:r>
          <w:r>
            <w:fldChar w:fldCharType="end"/>
          </w:r>
          <w:r>
            <w:rPr>
              <w:rFonts w:hint="eastAsia" w:ascii="宋体" w:hAnsi="宋体" w:eastAsia="宋体" w:cs="宋体"/>
              <w:kern w:val="2"/>
              <w:szCs w:val="32"/>
              <w:highlight w:val="none"/>
              <w:lang w:val="en-US" w:eastAsia="zh-CN" w:bidi="ar-SA"/>
            </w:rPr>
            <w:fldChar w:fldCharType="end"/>
          </w:r>
        </w:p>
        <w:p w14:paraId="174270C0">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_Toc4771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7</w:t>
          </w:r>
          <w:r>
            <w:rPr>
              <w:rFonts w:hint="eastAsia" w:ascii="宋体" w:hAnsi="宋体" w:eastAsia="宋体" w:cs="宋体"/>
              <w:bCs/>
              <w:kern w:val="2"/>
              <w:szCs w:val="28"/>
              <w:highlight w:val="none"/>
              <w:lang w:val="en-US" w:eastAsia="zh-CN" w:bidi="ar-SA"/>
            </w:rPr>
            <w:t>.响应文件审查</w:t>
          </w:r>
          <w:r>
            <w:tab/>
          </w:r>
          <w:r>
            <w:fldChar w:fldCharType="begin"/>
          </w:r>
          <w:r>
            <w:instrText xml:space="preserve"> PAGEREF _Toc4771 \h </w:instrText>
          </w:r>
          <w:r>
            <w:fldChar w:fldCharType="separate"/>
          </w:r>
          <w:r>
            <w:t>- 16 -</w:t>
          </w:r>
          <w:r>
            <w:fldChar w:fldCharType="end"/>
          </w:r>
          <w:r>
            <w:rPr>
              <w:rFonts w:hint="eastAsia" w:ascii="宋体" w:hAnsi="宋体" w:eastAsia="宋体" w:cs="宋体"/>
              <w:kern w:val="2"/>
              <w:szCs w:val="32"/>
              <w:highlight w:val="none"/>
              <w:lang w:val="en-US" w:eastAsia="zh-CN" w:bidi="ar-SA"/>
            </w:rPr>
            <w:fldChar w:fldCharType="end"/>
          </w:r>
        </w:p>
        <w:p w14:paraId="608ECC60">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_Toc22024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8</w:t>
          </w:r>
          <w:r>
            <w:rPr>
              <w:rFonts w:hint="eastAsia" w:ascii="宋体" w:hAnsi="宋体" w:eastAsia="宋体" w:cs="宋体"/>
              <w:bCs/>
              <w:kern w:val="2"/>
              <w:szCs w:val="28"/>
              <w:highlight w:val="none"/>
              <w:lang w:val="en-US" w:eastAsia="zh-CN" w:bidi="ar-SA"/>
            </w:rPr>
            <w:t>.谈判程序</w:t>
          </w:r>
          <w:r>
            <w:tab/>
          </w:r>
          <w:r>
            <w:fldChar w:fldCharType="begin"/>
          </w:r>
          <w:r>
            <w:instrText xml:space="preserve"> PAGEREF _Toc22024 \h </w:instrText>
          </w:r>
          <w:r>
            <w:fldChar w:fldCharType="separate"/>
          </w:r>
          <w:r>
            <w:t>- 17 -</w:t>
          </w:r>
          <w:r>
            <w:fldChar w:fldCharType="end"/>
          </w:r>
          <w:r>
            <w:rPr>
              <w:rFonts w:hint="eastAsia" w:ascii="宋体" w:hAnsi="宋体" w:eastAsia="宋体" w:cs="宋体"/>
              <w:kern w:val="2"/>
              <w:szCs w:val="32"/>
              <w:highlight w:val="none"/>
              <w:lang w:val="en-US" w:eastAsia="zh-CN" w:bidi="ar-SA"/>
            </w:rPr>
            <w:fldChar w:fldCharType="end"/>
          </w:r>
        </w:p>
        <w:p w14:paraId="4EBFA957">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_Toc6304 </w:instrText>
          </w:r>
          <w:r>
            <w:rPr>
              <w:rFonts w:hint="eastAsia" w:ascii="宋体" w:hAnsi="宋体" w:eastAsia="宋体" w:cs="宋体"/>
              <w:kern w:val="2"/>
              <w:szCs w:val="32"/>
              <w:highlight w:val="none"/>
              <w:lang w:val="en-US" w:eastAsia="zh-CN" w:bidi="ar-SA"/>
            </w:rPr>
            <w:fldChar w:fldCharType="separate"/>
          </w:r>
          <w:r>
            <w:rPr>
              <w:rFonts w:hint="eastAsia" w:ascii="宋体" w:hAnsi="宋体" w:cs="宋体"/>
              <w:bCs/>
              <w:kern w:val="2"/>
              <w:szCs w:val="28"/>
              <w:highlight w:val="none"/>
              <w:lang w:val="en-US" w:eastAsia="zh-CN" w:bidi="ar-SA"/>
            </w:rPr>
            <w:t>19</w:t>
          </w:r>
          <w:r>
            <w:rPr>
              <w:rFonts w:hint="eastAsia" w:ascii="宋体" w:hAnsi="宋体" w:eastAsia="宋体" w:cs="宋体"/>
              <w:bCs/>
              <w:kern w:val="2"/>
              <w:szCs w:val="28"/>
              <w:highlight w:val="none"/>
              <w:lang w:val="en-US" w:eastAsia="zh-CN" w:bidi="ar-SA"/>
            </w:rPr>
            <w:t>.澄清</w:t>
          </w:r>
          <w:r>
            <w:tab/>
          </w:r>
          <w:r>
            <w:fldChar w:fldCharType="begin"/>
          </w:r>
          <w:r>
            <w:instrText xml:space="preserve"> PAGEREF _Toc6304 \h </w:instrText>
          </w:r>
          <w:r>
            <w:fldChar w:fldCharType="separate"/>
          </w:r>
          <w:r>
            <w:t>- 19 -</w:t>
          </w:r>
          <w:r>
            <w:fldChar w:fldCharType="end"/>
          </w:r>
          <w:r>
            <w:rPr>
              <w:rFonts w:hint="eastAsia" w:ascii="宋体" w:hAnsi="宋体" w:eastAsia="宋体" w:cs="宋体"/>
              <w:kern w:val="2"/>
              <w:szCs w:val="32"/>
              <w:highlight w:val="none"/>
              <w:lang w:val="en-US" w:eastAsia="zh-CN" w:bidi="ar-SA"/>
            </w:rPr>
            <w:fldChar w:fldCharType="end"/>
          </w:r>
        </w:p>
        <w:p w14:paraId="64CBF237">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_Toc32434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0</w:t>
          </w:r>
          <w:r>
            <w:rPr>
              <w:rFonts w:hint="eastAsia" w:ascii="宋体" w:hAnsi="宋体" w:eastAsia="宋体" w:cs="宋体"/>
              <w:bCs/>
              <w:kern w:val="2"/>
              <w:szCs w:val="28"/>
              <w:highlight w:val="none"/>
              <w:lang w:val="en-US" w:eastAsia="zh-CN" w:bidi="ar-SA"/>
            </w:rPr>
            <w:t>.退出谈判</w:t>
          </w:r>
          <w:r>
            <w:tab/>
          </w:r>
          <w:r>
            <w:fldChar w:fldCharType="begin"/>
          </w:r>
          <w:r>
            <w:instrText xml:space="preserve"> PAGEREF _Toc32434 \h </w:instrText>
          </w:r>
          <w:r>
            <w:fldChar w:fldCharType="separate"/>
          </w:r>
          <w:r>
            <w:t>- 19 -</w:t>
          </w:r>
          <w:r>
            <w:fldChar w:fldCharType="end"/>
          </w:r>
          <w:r>
            <w:rPr>
              <w:rFonts w:hint="eastAsia" w:ascii="宋体" w:hAnsi="宋体" w:eastAsia="宋体" w:cs="宋体"/>
              <w:kern w:val="2"/>
              <w:szCs w:val="32"/>
              <w:highlight w:val="none"/>
              <w:lang w:val="en-US" w:eastAsia="zh-CN" w:bidi="ar-SA"/>
            </w:rPr>
            <w:fldChar w:fldCharType="end"/>
          </w:r>
        </w:p>
        <w:p w14:paraId="0D71B173">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_Toc1630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1</w:t>
          </w:r>
          <w:r>
            <w:rPr>
              <w:rFonts w:hint="eastAsia" w:ascii="宋体" w:hAnsi="宋体" w:eastAsia="宋体" w:cs="宋体"/>
              <w:bCs/>
              <w:kern w:val="2"/>
              <w:szCs w:val="28"/>
              <w:highlight w:val="none"/>
              <w:lang w:val="en-US" w:eastAsia="zh-CN" w:bidi="ar-SA"/>
            </w:rPr>
            <w:t>.最后报价</w:t>
          </w:r>
          <w:r>
            <w:tab/>
          </w:r>
          <w:r>
            <w:fldChar w:fldCharType="begin"/>
          </w:r>
          <w:r>
            <w:instrText xml:space="preserve"> PAGEREF _Toc1630 \h </w:instrText>
          </w:r>
          <w:r>
            <w:fldChar w:fldCharType="separate"/>
          </w:r>
          <w:r>
            <w:t>- 20 -</w:t>
          </w:r>
          <w:r>
            <w:fldChar w:fldCharType="end"/>
          </w:r>
          <w:r>
            <w:rPr>
              <w:rFonts w:hint="eastAsia" w:ascii="宋体" w:hAnsi="宋体" w:eastAsia="宋体" w:cs="宋体"/>
              <w:kern w:val="2"/>
              <w:szCs w:val="32"/>
              <w:highlight w:val="none"/>
              <w:lang w:val="en-US" w:eastAsia="zh-CN" w:bidi="ar-SA"/>
            </w:rPr>
            <w:fldChar w:fldCharType="end"/>
          </w:r>
        </w:p>
        <w:p w14:paraId="5D750C7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_Toc14180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2</w:t>
          </w:r>
          <w:r>
            <w:rPr>
              <w:rFonts w:hint="eastAsia" w:ascii="宋体" w:hAnsi="宋体" w:eastAsia="宋体" w:cs="宋体"/>
              <w:bCs/>
              <w:kern w:val="2"/>
              <w:szCs w:val="28"/>
              <w:highlight w:val="none"/>
              <w:lang w:val="en-US" w:eastAsia="zh-CN" w:bidi="ar-SA"/>
            </w:rPr>
            <w:t>.确定成交供应商</w:t>
          </w:r>
          <w:r>
            <w:tab/>
          </w:r>
          <w:r>
            <w:fldChar w:fldCharType="begin"/>
          </w:r>
          <w:r>
            <w:instrText xml:space="preserve"> PAGEREF _Toc14180 \h </w:instrText>
          </w:r>
          <w:r>
            <w:fldChar w:fldCharType="separate"/>
          </w:r>
          <w:r>
            <w:t>- 20 -</w:t>
          </w:r>
          <w:r>
            <w:fldChar w:fldCharType="end"/>
          </w:r>
          <w:r>
            <w:rPr>
              <w:rFonts w:hint="eastAsia" w:ascii="宋体" w:hAnsi="宋体" w:eastAsia="宋体" w:cs="宋体"/>
              <w:kern w:val="2"/>
              <w:szCs w:val="32"/>
              <w:highlight w:val="none"/>
              <w:lang w:val="en-US" w:eastAsia="zh-CN" w:bidi="ar-SA"/>
            </w:rPr>
            <w:fldChar w:fldCharType="end"/>
          </w:r>
        </w:p>
        <w:p w14:paraId="07065C99">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_Toc11040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3</w:t>
          </w:r>
          <w:r>
            <w:rPr>
              <w:rFonts w:hint="eastAsia" w:ascii="宋体" w:hAnsi="宋体" w:eastAsia="宋体" w:cs="宋体"/>
              <w:bCs/>
              <w:kern w:val="2"/>
              <w:szCs w:val="28"/>
              <w:highlight w:val="none"/>
              <w:lang w:val="en-US" w:eastAsia="zh-CN" w:bidi="ar-SA"/>
            </w:rPr>
            <w:t>.重新评审</w:t>
          </w:r>
          <w:r>
            <w:tab/>
          </w:r>
          <w:r>
            <w:fldChar w:fldCharType="begin"/>
          </w:r>
          <w:r>
            <w:instrText xml:space="preserve"> PAGEREF _Toc11040 \h </w:instrText>
          </w:r>
          <w:r>
            <w:fldChar w:fldCharType="separate"/>
          </w:r>
          <w:r>
            <w:t>- 21 -</w:t>
          </w:r>
          <w:r>
            <w:fldChar w:fldCharType="end"/>
          </w:r>
          <w:r>
            <w:rPr>
              <w:rFonts w:hint="eastAsia" w:ascii="宋体" w:hAnsi="宋体" w:eastAsia="宋体" w:cs="宋体"/>
              <w:kern w:val="2"/>
              <w:szCs w:val="32"/>
              <w:highlight w:val="none"/>
              <w:lang w:val="en-US" w:eastAsia="zh-CN" w:bidi="ar-SA"/>
            </w:rPr>
            <w:fldChar w:fldCharType="end"/>
          </w:r>
        </w:p>
        <w:p w14:paraId="0BDE517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_Toc24240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4</w:t>
          </w:r>
          <w:r>
            <w:rPr>
              <w:rFonts w:hint="eastAsia" w:ascii="宋体" w:hAnsi="宋体" w:eastAsia="宋体" w:cs="宋体"/>
              <w:bCs/>
              <w:kern w:val="2"/>
              <w:szCs w:val="28"/>
              <w:highlight w:val="none"/>
              <w:lang w:val="en-US" w:eastAsia="zh-CN" w:bidi="ar-SA"/>
            </w:rPr>
            <w:t>.谈判终止</w:t>
          </w:r>
          <w:r>
            <w:tab/>
          </w:r>
          <w:r>
            <w:fldChar w:fldCharType="begin"/>
          </w:r>
          <w:r>
            <w:instrText xml:space="preserve"> PAGEREF _Toc24240 \h </w:instrText>
          </w:r>
          <w:r>
            <w:fldChar w:fldCharType="separate"/>
          </w:r>
          <w:r>
            <w:t>- 21 -</w:t>
          </w:r>
          <w:r>
            <w:fldChar w:fldCharType="end"/>
          </w:r>
          <w:r>
            <w:rPr>
              <w:rFonts w:hint="eastAsia" w:ascii="宋体" w:hAnsi="宋体" w:eastAsia="宋体" w:cs="宋体"/>
              <w:kern w:val="2"/>
              <w:szCs w:val="32"/>
              <w:highlight w:val="none"/>
              <w:lang w:val="en-US" w:eastAsia="zh-CN" w:bidi="ar-SA"/>
            </w:rPr>
            <w:fldChar w:fldCharType="end"/>
          </w:r>
        </w:p>
        <w:p w14:paraId="2975271E">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_Toc28200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5</w:t>
          </w:r>
          <w:r>
            <w:rPr>
              <w:rFonts w:hint="eastAsia" w:ascii="宋体" w:hAnsi="宋体" w:eastAsia="宋体" w:cs="宋体"/>
              <w:bCs/>
              <w:kern w:val="2"/>
              <w:szCs w:val="28"/>
              <w:highlight w:val="none"/>
              <w:lang w:val="en-US" w:eastAsia="zh-CN" w:bidi="ar-SA"/>
            </w:rPr>
            <w:t>.串通情形认定及处理</w:t>
          </w:r>
          <w:r>
            <w:tab/>
          </w:r>
          <w:r>
            <w:fldChar w:fldCharType="begin"/>
          </w:r>
          <w:r>
            <w:instrText xml:space="preserve"> PAGEREF _Toc28200 \h </w:instrText>
          </w:r>
          <w:r>
            <w:fldChar w:fldCharType="separate"/>
          </w:r>
          <w:r>
            <w:t>- 21 -</w:t>
          </w:r>
          <w:r>
            <w:fldChar w:fldCharType="end"/>
          </w:r>
          <w:r>
            <w:rPr>
              <w:rFonts w:hint="eastAsia" w:ascii="宋体" w:hAnsi="宋体" w:eastAsia="宋体" w:cs="宋体"/>
              <w:kern w:val="2"/>
              <w:szCs w:val="32"/>
              <w:highlight w:val="none"/>
              <w:lang w:val="en-US" w:eastAsia="zh-CN" w:bidi="ar-SA"/>
            </w:rPr>
            <w:fldChar w:fldCharType="end"/>
          </w:r>
        </w:p>
        <w:p w14:paraId="16D7D8F8">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_Toc32249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六</w:t>
          </w:r>
          <w:r>
            <w:rPr>
              <w:rFonts w:hint="eastAsia" w:ascii="宋体" w:hAnsi="宋体" w:eastAsia="宋体" w:cs="宋体"/>
              <w:bCs/>
              <w:kern w:val="2"/>
              <w:szCs w:val="28"/>
              <w:highlight w:val="none"/>
              <w:lang w:val="en-US" w:eastAsia="zh-CN" w:bidi="ar-SA"/>
            </w:rPr>
            <w:t>、成交结果信息公布与授予合同</w:t>
          </w:r>
          <w:r>
            <w:tab/>
          </w:r>
          <w:r>
            <w:fldChar w:fldCharType="begin"/>
          </w:r>
          <w:r>
            <w:instrText xml:space="preserve"> PAGEREF _Toc32249 \h </w:instrText>
          </w:r>
          <w:r>
            <w:fldChar w:fldCharType="separate"/>
          </w:r>
          <w:r>
            <w:t>- 22 -</w:t>
          </w:r>
          <w:r>
            <w:fldChar w:fldCharType="end"/>
          </w:r>
          <w:r>
            <w:rPr>
              <w:rFonts w:hint="eastAsia" w:ascii="宋体" w:hAnsi="宋体" w:eastAsia="宋体" w:cs="宋体"/>
              <w:kern w:val="2"/>
              <w:szCs w:val="32"/>
              <w:highlight w:val="none"/>
              <w:lang w:val="en-US" w:eastAsia="zh-CN" w:bidi="ar-SA"/>
            </w:rPr>
            <w:fldChar w:fldCharType="end"/>
          </w:r>
        </w:p>
        <w:p w14:paraId="56696AD7">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_Toc7626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6</w:t>
          </w:r>
          <w:r>
            <w:rPr>
              <w:rFonts w:hint="eastAsia" w:ascii="宋体" w:hAnsi="宋体" w:eastAsia="宋体" w:cs="宋体"/>
              <w:bCs/>
              <w:kern w:val="2"/>
              <w:szCs w:val="28"/>
              <w:highlight w:val="none"/>
              <w:lang w:val="en-US" w:eastAsia="zh-CN" w:bidi="ar-SA"/>
            </w:rPr>
            <w:t>.成交信息的公布与通知</w:t>
          </w:r>
          <w:r>
            <w:tab/>
          </w:r>
          <w:r>
            <w:fldChar w:fldCharType="begin"/>
          </w:r>
          <w:r>
            <w:instrText xml:space="preserve"> PAGEREF _Toc7626 \h </w:instrText>
          </w:r>
          <w:r>
            <w:fldChar w:fldCharType="separate"/>
          </w:r>
          <w:r>
            <w:t>- 22 -</w:t>
          </w:r>
          <w:r>
            <w:fldChar w:fldCharType="end"/>
          </w:r>
          <w:r>
            <w:rPr>
              <w:rFonts w:hint="eastAsia" w:ascii="宋体" w:hAnsi="宋体" w:eastAsia="宋体" w:cs="宋体"/>
              <w:kern w:val="2"/>
              <w:szCs w:val="32"/>
              <w:highlight w:val="none"/>
              <w:lang w:val="en-US" w:eastAsia="zh-CN" w:bidi="ar-SA"/>
            </w:rPr>
            <w:fldChar w:fldCharType="end"/>
          </w:r>
        </w:p>
        <w:p w14:paraId="71DC7450">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_Toc29374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7</w:t>
          </w:r>
          <w:r>
            <w:rPr>
              <w:rFonts w:hint="eastAsia" w:ascii="宋体" w:hAnsi="宋体" w:eastAsia="宋体" w:cs="宋体"/>
              <w:bCs/>
              <w:kern w:val="2"/>
              <w:szCs w:val="28"/>
              <w:highlight w:val="none"/>
              <w:lang w:val="en-US" w:eastAsia="zh-CN" w:bidi="ar-SA"/>
            </w:rPr>
            <w:t>.授予合同</w:t>
          </w:r>
          <w:r>
            <w:tab/>
          </w:r>
          <w:r>
            <w:fldChar w:fldCharType="begin"/>
          </w:r>
          <w:r>
            <w:instrText xml:space="preserve"> PAGEREF _Toc29374 \h </w:instrText>
          </w:r>
          <w:r>
            <w:fldChar w:fldCharType="separate"/>
          </w:r>
          <w:r>
            <w:t>- 23 -</w:t>
          </w:r>
          <w:r>
            <w:fldChar w:fldCharType="end"/>
          </w:r>
          <w:r>
            <w:rPr>
              <w:rFonts w:hint="eastAsia" w:ascii="宋体" w:hAnsi="宋体" w:eastAsia="宋体" w:cs="宋体"/>
              <w:kern w:val="2"/>
              <w:szCs w:val="32"/>
              <w:highlight w:val="none"/>
              <w:lang w:val="en-US" w:eastAsia="zh-CN" w:bidi="ar-SA"/>
            </w:rPr>
            <w:fldChar w:fldCharType="end"/>
          </w:r>
        </w:p>
        <w:p w14:paraId="7820EB4E">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_Toc12316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8</w:t>
          </w:r>
          <w:r>
            <w:rPr>
              <w:rFonts w:hint="eastAsia" w:ascii="宋体" w:hAnsi="宋体" w:eastAsia="宋体" w:cs="宋体"/>
              <w:bCs/>
              <w:kern w:val="2"/>
              <w:szCs w:val="28"/>
              <w:highlight w:val="none"/>
              <w:lang w:val="en-US" w:eastAsia="zh-CN" w:bidi="ar-SA"/>
            </w:rPr>
            <w:t>.履约验收</w:t>
          </w:r>
          <w:r>
            <w:tab/>
          </w:r>
          <w:r>
            <w:fldChar w:fldCharType="begin"/>
          </w:r>
          <w:r>
            <w:instrText xml:space="preserve"> PAGEREF _Toc12316 \h </w:instrText>
          </w:r>
          <w:r>
            <w:fldChar w:fldCharType="separate"/>
          </w:r>
          <w:r>
            <w:t>- 23 -</w:t>
          </w:r>
          <w:r>
            <w:fldChar w:fldCharType="end"/>
          </w:r>
          <w:r>
            <w:rPr>
              <w:rFonts w:hint="eastAsia" w:ascii="宋体" w:hAnsi="宋体" w:eastAsia="宋体" w:cs="宋体"/>
              <w:kern w:val="2"/>
              <w:szCs w:val="32"/>
              <w:highlight w:val="none"/>
              <w:lang w:val="en-US" w:eastAsia="zh-CN" w:bidi="ar-SA"/>
            </w:rPr>
            <w:fldChar w:fldCharType="end"/>
          </w:r>
        </w:p>
        <w:p w14:paraId="71247384">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_Toc30469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七、询问与质疑</w:t>
          </w:r>
          <w:r>
            <w:tab/>
          </w:r>
          <w:r>
            <w:fldChar w:fldCharType="begin"/>
          </w:r>
          <w:r>
            <w:instrText xml:space="preserve"> PAGEREF _Toc30469 \h </w:instrText>
          </w:r>
          <w:r>
            <w:fldChar w:fldCharType="separate"/>
          </w:r>
          <w:r>
            <w:t>- 24 -</w:t>
          </w:r>
          <w:r>
            <w:fldChar w:fldCharType="end"/>
          </w:r>
          <w:r>
            <w:rPr>
              <w:rFonts w:hint="eastAsia" w:ascii="宋体" w:hAnsi="宋体" w:eastAsia="宋体" w:cs="宋体"/>
              <w:kern w:val="2"/>
              <w:szCs w:val="32"/>
              <w:highlight w:val="none"/>
              <w:lang w:val="en-US" w:eastAsia="zh-CN" w:bidi="ar-SA"/>
            </w:rPr>
            <w:fldChar w:fldCharType="end"/>
          </w:r>
        </w:p>
        <w:p w14:paraId="42E5DB9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_Toc18989 </w:instrText>
          </w:r>
          <w:r>
            <w:rPr>
              <w:rFonts w:hint="eastAsia" w:ascii="宋体" w:hAnsi="宋体" w:eastAsia="宋体" w:cs="宋体"/>
              <w:kern w:val="2"/>
              <w:szCs w:val="32"/>
              <w:highlight w:val="none"/>
              <w:lang w:val="en-US" w:eastAsia="zh-CN" w:bidi="ar-SA"/>
            </w:rPr>
            <w:fldChar w:fldCharType="separate"/>
          </w:r>
          <w:r>
            <w:rPr>
              <w:rFonts w:hint="eastAsia" w:ascii="宋体" w:hAnsi="宋体" w:cs="宋体"/>
              <w:bCs/>
              <w:kern w:val="2"/>
              <w:szCs w:val="28"/>
              <w:highlight w:val="none"/>
              <w:lang w:val="en-US" w:eastAsia="zh-CN" w:bidi="ar-SA"/>
            </w:rPr>
            <w:t>29</w:t>
          </w:r>
          <w:r>
            <w:rPr>
              <w:rFonts w:hint="eastAsia" w:ascii="宋体" w:hAnsi="宋体" w:eastAsia="宋体" w:cs="宋体"/>
              <w:bCs/>
              <w:kern w:val="2"/>
              <w:szCs w:val="28"/>
              <w:highlight w:val="none"/>
              <w:lang w:val="en-US" w:eastAsia="zh-CN" w:bidi="ar-SA"/>
            </w:rPr>
            <w:t>.对采购过程、结果的询问及质疑</w:t>
          </w:r>
          <w:r>
            <w:tab/>
          </w:r>
          <w:r>
            <w:fldChar w:fldCharType="begin"/>
          </w:r>
          <w:r>
            <w:instrText xml:space="preserve"> PAGEREF _Toc18989 \h </w:instrText>
          </w:r>
          <w:r>
            <w:fldChar w:fldCharType="separate"/>
          </w:r>
          <w:r>
            <w:t>- 24 -</w:t>
          </w:r>
          <w:r>
            <w:fldChar w:fldCharType="end"/>
          </w:r>
          <w:r>
            <w:rPr>
              <w:rFonts w:hint="eastAsia" w:ascii="宋体" w:hAnsi="宋体" w:eastAsia="宋体" w:cs="宋体"/>
              <w:kern w:val="2"/>
              <w:szCs w:val="32"/>
              <w:highlight w:val="none"/>
              <w:lang w:val="en-US" w:eastAsia="zh-CN" w:bidi="ar-SA"/>
            </w:rPr>
            <w:fldChar w:fldCharType="end"/>
          </w:r>
        </w:p>
        <w:p w14:paraId="2600B114">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_Toc10812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八、政府采购政策</w:t>
          </w:r>
          <w:r>
            <w:tab/>
          </w:r>
          <w:r>
            <w:fldChar w:fldCharType="begin"/>
          </w:r>
          <w:r>
            <w:instrText xml:space="preserve"> PAGEREF _Toc10812 \h </w:instrText>
          </w:r>
          <w:r>
            <w:fldChar w:fldCharType="separate"/>
          </w:r>
          <w:r>
            <w:t>- 24 -</w:t>
          </w:r>
          <w:r>
            <w:fldChar w:fldCharType="end"/>
          </w:r>
          <w:r>
            <w:rPr>
              <w:rFonts w:hint="eastAsia" w:ascii="宋体" w:hAnsi="宋体" w:eastAsia="宋体" w:cs="宋体"/>
              <w:kern w:val="2"/>
              <w:szCs w:val="32"/>
              <w:highlight w:val="none"/>
              <w:lang w:val="en-US" w:eastAsia="zh-CN" w:bidi="ar-SA"/>
            </w:rPr>
            <w:fldChar w:fldCharType="end"/>
          </w:r>
        </w:p>
        <w:p w14:paraId="409FAF5B">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_Toc18920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cs="宋体"/>
              <w:bCs/>
              <w:kern w:val="2"/>
              <w:szCs w:val="28"/>
              <w:highlight w:val="none"/>
              <w:lang w:val="en-US" w:eastAsia="zh-CN" w:bidi="ar-SA"/>
            </w:rPr>
            <w:t>0</w:t>
          </w:r>
          <w:r>
            <w:rPr>
              <w:rFonts w:hint="eastAsia" w:ascii="宋体" w:hAnsi="宋体" w:eastAsia="宋体" w:cs="宋体"/>
              <w:bCs/>
              <w:kern w:val="2"/>
              <w:szCs w:val="28"/>
              <w:highlight w:val="none"/>
              <w:lang w:val="en-US" w:eastAsia="zh-CN" w:bidi="ar-SA"/>
            </w:rPr>
            <w:t>.政府采购政策</w:t>
          </w:r>
          <w:r>
            <w:tab/>
          </w:r>
          <w:r>
            <w:fldChar w:fldCharType="begin"/>
          </w:r>
          <w:r>
            <w:instrText xml:space="preserve"> PAGEREF _Toc18920 \h </w:instrText>
          </w:r>
          <w:r>
            <w:fldChar w:fldCharType="separate"/>
          </w:r>
          <w:r>
            <w:t>- 24 -</w:t>
          </w:r>
          <w:r>
            <w:fldChar w:fldCharType="end"/>
          </w:r>
          <w:r>
            <w:rPr>
              <w:rFonts w:hint="eastAsia" w:ascii="宋体" w:hAnsi="宋体" w:eastAsia="宋体" w:cs="宋体"/>
              <w:kern w:val="2"/>
              <w:szCs w:val="32"/>
              <w:highlight w:val="none"/>
              <w:lang w:val="en-US" w:eastAsia="zh-CN" w:bidi="ar-SA"/>
            </w:rPr>
            <w:fldChar w:fldCharType="end"/>
          </w:r>
        </w:p>
        <w:p w14:paraId="2311F786">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_Toc1551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九、其他规定</w:t>
          </w:r>
          <w:r>
            <w:tab/>
          </w:r>
          <w:r>
            <w:fldChar w:fldCharType="begin"/>
          </w:r>
          <w:r>
            <w:instrText xml:space="preserve"> PAGEREF _Toc1551 \h </w:instrText>
          </w:r>
          <w:r>
            <w:fldChar w:fldCharType="separate"/>
          </w:r>
          <w:r>
            <w:t>- 26 -</w:t>
          </w:r>
          <w:r>
            <w:fldChar w:fldCharType="end"/>
          </w:r>
          <w:r>
            <w:rPr>
              <w:rFonts w:hint="eastAsia" w:ascii="宋体" w:hAnsi="宋体" w:eastAsia="宋体" w:cs="宋体"/>
              <w:kern w:val="2"/>
              <w:szCs w:val="32"/>
              <w:highlight w:val="none"/>
              <w:lang w:val="en-US" w:eastAsia="zh-CN" w:bidi="ar-SA"/>
            </w:rPr>
            <w:fldChar w:fldCharType="end"/>
          </w:r>
        </w:p>
        <w:p w14:paraId="13E1E49E">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_Toc12295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cs="宋体"/>
              <w:bCs/>
              <w:kern w:val="2"/>
              <w:szCs w:val="28"/>
              <w:highlight w:val="none"/>
              <w:lang w:val="en-US" w:eastAsia="zh-CN" w:bidi="ar-SA"/>
            </w:rPr>
            <w:t>1</w:t>
          </w:r>
          <w:r>
            <w:rPr>
              <w:rFonts w:hint="eastAsia" w:ascii="宋体" w:hAnsi="宋体" w:eastAsia="宋体" w:cs="宋体"/>
              <w:bCs/>
              <w:kern w:val="2"/>
              <w:szCs w:val="28"/>
              <w:highlight w:val="none"/>
              <w:lang w:val="en-US" w:eastAsia="zh-CN" w:bidi="ar-SA"/>
            </w:rPr>
            <w:t>.代理服务费</w:t>
          </w:r>
          <w:r>
            <w:tab/>
          </w:r>
          <w:r>
            <w:fldChar w:fldCharType="begin"/>
          </w:r>
          <w:r>
            <w:instrText xml:space="preserve"> PAGEREF _Toc12295 \h </w:instrText>
          </w:r>
          <w:r>
            <w:fldChar w:fldCharType="separate"/>
          </w:r>
          <w:r>
            <w:t>- 26 -</w:t>
          </w:r>
          <w:r>
            <w:fldChar w:fldCharType="end"/>
          </w:r>
          <w:r>
            <w:rPr>
              <w:rFonts w:hint="eastAsia" w:ascii="宋体" w:hAnsi="宋体" w:eastAsia="宋体" w:cs="宋体"/>
              <w:kern w:val="2"/>
              <w:szCs w:val="32"/>
              <w:highlight w:val="none"/>
              <w:lang w:val="en-US" w:eastAsia="zh-CN" w:bidi="ar-SA"/>
            </w:rPr>
            <w:fldChar w:fldCharType="end"/>
          </w:r>
        </w:p>
        <w:p w14:paraId="4FD01A4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_Toc18179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cs="宋体"/>
              <w:bCs/>
              <w:kern w:val="2"/>
              <w:szCs w:val="28"/>
              <w:highlight w:val="none"/>
              <w:lang w:val="en-US" w:eastAsia="zh-CN" w:bidi="ar-SA"/>
            </w:rPr>
            <w:t>2</w:t>
          </w:r>
          <w:r>
            <w:rPr>
              <w:rFonts w:hint="eastAsia" w:ascii="宋体" w:hAnsi="宋体" w:eastAsia="宋体" w:cs="宋体"/>
              <w:bCs/>
              <w:kern w:val="2"/>
              <w:szCs w:val="28"/>
              <w:highlight w:val="none"/>
              <w:lang w:val="en-US" w:eastAsia="zh-CN" w:bidi="ar-SA"/>
            </w:rPr>
            <w:t>.其他规定</w:t>
          </w:r>
          <w:r>
            <w:tab/>
          </w:r>
          <w:r>
            <w:fldChar w:fldCharType="begin"/>
          </w:r>
          <w:r>
            <w:instrText xml:space="preserve"> PAGEREF _Toc18179 \h </w:instrText>
          </w:r>
          <w:r>
            <w:fldChar w:fldCharType="separate"/>
          </w:r>
          <w:r>
            <w:t>- 27 -</w:t>
          </w:r>
          <w:r>
            <w:fldChar w:fldCharType="end"/>
          </w:r>
          <w:r>
            <w:rPr>
              <w:rFonts w:hint="eastAsia" w:ascii="宋体" w:hAnsi="宋体" w:eastAsia="宋体" w:cs="宋体"/>
              <w:kern w:val="2"/>
              <w:szCs w:val="32"/>
              <w:highlight w:val="none"/>
              <w:lang w:val="en-US" w:eastAsia="zh-CN" w:bidi="ar-SA"/>
            </w:rPr>
            <w:fldChar w:fldCharType="end"/>
          </w:r>
        </w:p>
        <w:p w14:paraId="19927C88">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_Toc29392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highlight w:val="none"/>
              <w:lang w:val="en-US" w:eastAsia="zh-CN"/>
            </w:rPr>
            <w:t>第三部分 采购需求</w:t>
          </w:r>
          <w:r>
            <w:tab/>
          </w:r>
          <w:r>
            <w:fldChar w:fldCharType="begin"/>
          </w:r>
          <w:r>
            <w:instrText xml:space="preserve"> PAGEREF _Toc29392 \h </w:instrText>
          </w:r>
          <w:r>
            <w:fldChar w:fldCharType="separate"/>
          </w:r>
          <w:r>
            <w:t>- 28 -</w:t>
          </w:r>
          <w:r>
            <w:fldChar w:fldCharType="end"/>
          </w:r>
          <w:r>
            <w:rPr>
              <w:rFonts w:hint="eastAsia" w:ascii="宋体" w:hAnsi="宋体" w:eastAsia="宋体" w:cs="宋体"/>
              <w:kern w:val="2"/>
              <w:szCs w:val="32"/>
              <w:highlight w:val="none"/>
              <w:lang w:val="en-US" w:eastAsia="zh-CN" w:bidi="ar-SA"/>
            </w:rPr>
            <w:fldChar w:fldCharType="end"/>
          </w:r>
        </w:p>
        <w:p w14:paraId="0DBAC238">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_Toc20184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zh-CN" w:eastAsia="zh-CN" w:bidi="ar-SA"/>
            </w:rPr>
            <w:t>十、响应说明</w:t>
          </w:r>
          <w:r>
            <w:tab/>
          </w:r>
          <w:r>
            <w:fldChar w:fldCharType="begin"/>
          </w:r>
          <w:r>
            <w:instrText xml:space="preserve"> PAGEREF _Toc20184 \h </w:instrText>
          </w:r>
          <w:r>
            <w:fldChar w:fldCharType="separate"/>
          </w:r>
          <w:r>
            <w:t>- 28 -</w:t>
          </w:r>
          <w:r>
            <w:fldChar w:fldCharType="end"/>
          </w:r>
          <w:r>
            <w:rPr>
              <w:rFonts w:hint="eastAsia" w:ascii="宋体" w:hAnsi="宋体" w:eastAsia="宋体" w:cs="宋体"/>
              <w:kern w:val="2"/>
              <w:szCs w:val="32"/>
              <w:highlight w:val="none"/>
              <w:lang w:val="en-US" w:eastAsia="zh-CN" w:bidi="ar-SA"/>
            </w:rPr>
            <w:fldChar w:fldCharType="end"/>
          </w:r>
        </w:p>
        <w:p w14:paraId="4EE259C1">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_Toc18278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zh-CN" w:eastAsia="zh-CN" w:bidi="ar-SA"/>
            </w:rPr>
            <w:t>十一、重要指标</w:t>
          </w:r>
          <w:r>
            <w:tab/>
          </w:r>
          <w:r>
            <w:fldChar w:fldCharType="begin"/>
          </w:r>
          <w:r>
            <w:instrText xml:space="preserve"> PAGEREF _Toc18278 \h </w:instrText>
          </w:r>
          <w:r>
            <w:fldChar w:fldCharType="separate"/>
          </w:r>
          <w:r>
            <w:t>- 28 -</w:t>
          </w:r>
          <w:r>
            <w:fldChar w:fldCharType="end"/>
          </w:r>
          <w:r>
            <w:rPr>
              <w:rFonts w:hint="eastAsia" w:ascii="宋体" w:hAnsi="宋体" w:eastAsia="宋体" w:cs="宋体"/>
              <w:kern w:val="2"/>
              <w:szCs w:val="32"/>
              <w:highlight w:val="none"/>
              <w:lang w:val="en-US" w:eastAsia="zh-CN" w:bidi="ar-SA"/>
            </w:rPr>
            <w:fldChar w:fldCharType="end"/>
          </w:r>
        </w:p>
        <w:p w14:paraId="2830ECBF">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_Toc30458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highlight w:val="none"/>
              <w:lang w:val="en-US" w:eastAsia="zh-CN"/>
            </w:rPr>
            <w:t>第四部分 谈判响应文件格式</w:t>
          </w:r>
          <w:r>
            <w:tab/>
          </w:r>
          <w:r>
            <w:fldChar w:fldCharType="begin"/>
          </w:r>
          <w:r>
            <w:instrText xml:space="preserve"> PAGEREF _Toc30458 \h </w:instrText>
          </w:r>
          <w:r>
            <w:fldChar w:fldCharType="separate"/>
          </w:r>
          <w:r>
            <w:t>- 33 -</w:t>
          </w:r>
          <w:r>
            <w:fldChar w:fldCharType="end"/>
          </w:r>
          <w:r>
            <w:rPr>
              <w:rFonts w:hint="eastAsia" w:ascii="宋体" w:hAnsi="宋体" w:eastAsia="宋体" w:cs="宋体"/>
              <w:kern w:val="2"/>
              <w:szCs w:val="32"/>
              <w:highlight w:val="none"/>
              <w:lang w:val="en-US" w:eastAsia="zh-CN" w:bidi="ar-SA"/>
            </w:rPr>
            <w:fldChar w:fldCharType="end"/>
          </w:r>
        </w:p>
        <w:p w14:paraId="3DC63A9A">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_Toc7926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十二、谈判响应文件的组成</w:t>
          </w:r>
          <w:r>
            <w:tab/>
          </w:r>
          <w:r>
            <w:fldChar w:fldCharType="begin"/>
          </w:r>
          <w:r>
            <w:instrText xml:space="preserve"> PAGEREF _Toc7926 \h </w:instrText>
          </w:r>
          <w:r>
            <w:fldChar w:fldCharType="separate"/>
          </w:r>
          <w:r>
            <w:t>- 33 -</w:t>
          </w:r>
          <w:r>
            <w:fldChar w:fldCharType="end"/>
          </w:r>
          <w:r>
            <w:rPr>
              <w:rFonts w:hint="eastAsia" w:ascii="宋体" w:hAnsi="宋体" w:eastAsia="宋体" w:cs="宋体"/>
              <w:kern w:val="2"/>
              <w:szCs w:val="32"/>
              <w:highlight w:val="none"/>
              <w:lang w:val="en-US" w:eastAsia="zh-CN" w:bidi="ar-SA"/>
            </w:rPr>
            <w:fldChar w:fldCharType="end"/>
          </w:r>
        </w:p>
        <w:p w14:paraId="213C7310">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_Toc15247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32"/>
              <w:highlight w:val="none"/>
              <w:lang w:val="en-US" w:eastAsia="zh-CN" w:bidi="ar-SA"/>
            </w:rPr>
            <w:t>十三、谈判响应文件</w:t>
          </w:r>
          <w:r>
            <w:tab/>
          </w:r>
          <w:r>
            <w:fldChar w:fldCharType="begin"/>
          </w:r>
          <w:r>
            <w:instrText xml:space="preserve"> PAGEREF _Toc15247 \h </w:instrText>
          </w:r>
          <w:r>
            <w:fldChar w:fldCharType="separate"/>
          </w:r>
          <w:r>
            <w:t>- 34 -</w:t>
          </w:r>
          <w:r>
            <w:fldChar w:fldCharType="end"/>
          </w:r>
          <w:r>
            <w:rPr>
              <w:rFonts w:hint="eastAsia" w:ascii="宋体" w:hAnsi="宋体" w:eastAsia="宋体" w:cs="宋体"/>
              <w:kern w:val="2"/>
              <w:szCs w:val="32"/>
              <w:highlight w:val="none"/>
              <w:lang w:val="en-US" w:eastAsia="zh-CN" w:bidi="ar-SA"/>
            </w:rPr>
            <w:fldChar w:fldCharType="end"/>
          </w:r>
        </w:p>
        <w:p w14:paraId="486E2813">
          <w:pPr>
            <w:pStyle w:val="8"/>
            <w:tabs>
              <w:tab w:val="right" w:leader="dot" w:pos="8414"/>
            </w:tabs>
            <w:ind w:left="0" w:leftChars="0" w:firstLine="420" w:firstLineChars="200"/>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_Toc15885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szCs w:val="28"/>
              <w:highlight w:val="none"/>
              <w:lang w:eastAsia="zh-CN"/>
            </w:rPr>
            <w:t>附件1：响应函</w:t>
          </w:r>
          <w:r>
            <w:tab/>
          </w:r>
          <w:r>
            <w:fldChar w:fldCharType="begin"/>
          </w:r>
          <w:r>
            <w:instrText xml:space="preserve"> PAGEREF _Toc15885 \h </w:instrText>
          </w:r>
          <w:r>
            <w:fldChar w:fldCharType="separate"/>
          </w:r>
          <w:r>
            <w:t>- 35 -</w:t>
          </w:r>
          <w:r>
            <w:fldChar w:fldCharType="end"/>
          </w:r>
          <w:r>
            <w:rPr>
              <w:rFonts w:hint="eastAsia" w:ascii="宋体" w:hAnsi="宋体" w:eastAsia="宋体" w:cs="宋体"/>
              <w:kern w:val="2"/>
              <w:szCs w:val="32"/>
              <w:highlight w:val="none"/>
              <w:lang w:val="en-US" w:eastAsia="zh-CN" w:bidi="ar-SA"/>
            </w:rPr>
            <w:fldChar w:fldCharType="end"/>
          </w:r>
        </w:p>
        <w:p w14:paraId="063B7F62">
          <w:pPr>
            <w:pStyle w:val="8"/>
            <w:tabs>
              <w:tab w:val="right" w:leader="dot" w:pos="8414"/>
            </w:tabs>
            <w:ind w:left="0" w:leftChars="0" w:firstLine="420" w:firstLineChars="200"/>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_Toc11236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szCs w:val="28"/>
              <w:highlight w:val="none"/>
              <w:lang w:eastAsia="zh-CN"/>
            </w:rPr>
            <w:t>附件2：法定代表人证明书</w:t>
          </w:r>
          <w:r>
            <w:tab/>
          </w:r>
          <w:r>
            <w:fldChar w:fldCharType="begin"/>
          </w:r>
          <w:r>
            <w:instrText xml:space="preserve"> PAGEREF _Toc11236 \h </w:instrText>
          </w:r>
          <w:r>
            <w:fldChar w:fldCharType="separate"/>
          </w:r>
          <w:r>
            <w:t>- 36 -</w:t>
          </w:r>
          <w:r>
            <w:fldChar w:fldCharType="end"/>
          </w:r>
          <w:r>
            <w:rPr>
              <w:rFonts w:hint="eastAsia" w:ascii="宋体" w:hAnsi="宋体" w:eastAsia="宋体" w:cs="宋体"/>
              <w:kern w:val="2"/>
              <w:szCs w:val="32"/>
              <w:highlight w:val="none"/>
              <w:lang w:val="en-US" w:eastAsia="zh-CN" w:bidi="ar-SA"/>
            </w:rPr>
            <w:fldChar w:fldCharType="end"/>
          </w:r>
        </w:p>
        <w:p w14:paraId="41DC6DCD">
          <w:pPr>
            <w:pStyle w:val="8"/>
            <w:tabs>
              <w:tab w:val="right" w:leader="dot" w:pos="8414"/>
            </w:tabs>
            <w:ind w:left="0" w:leftChars="0" w:firstLine="420" w:firstLineChars="200"/>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_Toc18392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szCs w:val="28"/>
              <w:highlight w:val="none"/>
              <w:lang w:eastAsia="zh-CN"/>
            </w:rPr>
            <w:t>附件3：法定代表人授权书</w:t>
          </w:r>
          <w:r>
            <w:tab/>
          </w:r>
          <w:r>
            <w:fldChar w:fldCharType="begin"/>
          </w:r>
          <w:r>
            <w:instrText xml:space="preserve"> PAGEREF _Toc18392 \h </w:instrText>
          </w:r>
          <w:r>
            <w:fldChar w:fldCharType="separate"/>
          </w:r>
          <w:r>
            <w:t>- 37 -</w:t>
          </w:r>
          <w:r>
            <w:fldChar w:fldCharType="end"/>
          </w:r>
          <w:r>
            <w:rPr>
              <w:rFonts w:hint="eastAsia" w:ascii="宋体" w:hAnsi="宋体" w:eastAsia="宋体" w:cs="宋体"/>
              <w:kern w:val="2"/>
              <w:szCs w:val="32"/>
              <w:highlight w:val="none"/>
              <w:lang w:val="en-US" w:eastAsia="zh-CN" w:bidi="ar-SA"/>
            </w:rPr>
            <w:fldChar w:fldCharType="end"/>
          </w:r>
        </w:p>
        <w:p w14:paraId="3A87F2B1">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_Toc13124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szCs w:val="28"/>
              <w:highlight w:val="none"/>
              <w:lang w:eastAsia="zh-CN"/>
            </w:rPr>
            <w:t>附件4：供应商承诺函</w:t>
          </w:r>
          <w:r>
            <w:tab/>
          </w:r>
          <w:r>
            <w:fldChar w:fldCharType="begin"/>
          </w:r>
          <w:r>
            <w:instrText xml:space="preserve"> PAGEREF _Toc13124 \h </w:instrText>
          </w:r>
          <w:r>
            <w:fldChar w:fldCharType="separate"/>
          </w:r>
          <w:r>
            <w:t>- 38 -</w:t>
          </w:r>
          <w:r>
            <w:fldChar w:fldCharType="end"/>
          </w:r>
          <w:r>
            <w:rPr>
              <w:rFonts w:hint="eastAsia" w:ascii="宋体" w:hAnsi="宋体" w:eastAsia="宋体" w:cs="宋体"/>
              <w:kern w:val="2"/>
              <w:szCs w:val="32"/>
              <w:highlight w:val="none"/>
              <w:lang w:val="en-US" w:eastAsia="zh-CN" w:bidi="ar-SA"/>
            </w:rPr>
            <w:fldChar w:fldCharType="end"/>
          </w:r>
        </w:p>
        <w:p w14:paraId="03D82E8E">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_Toc9241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szCs w:val="28"/>
              <w:highlight w:val="none"/>
              <w:lang w:eastAsia="zh-CN"/>
            </w:rPr>
            <w:t>附件5：供应商诚信承诺书</w:t>
          </w:r>
          <w:r>
            <w:tab/>
          </w:r>
          <w:r>
            <w:fldChar w:fldCharType="begin"/>
          </w:r>
          <w:r>
            <w:instrText xml:space="preserve"> PAGEREF _Toc9241 \h </w:instrText>
          </w:r>
          <w:r>
            <w:fldChar w:fldCharType="separate"/>
          </w:r>
          <w:r>
            <w:t>- 39 -</w:t>
          </w:r>
          <w:r>
            <w:fldChar w:fldCharType="end"/>
          </w:r>
          <w:r>
            <w:rPr>
              <w:rFonts w:hint="eastAsia" w:ascii="宋体" w:hAnsi="宋体" w:eastAsia="宋体" w:cs="宋体"/>
              <w:kern w:val="2"/>
              <w:szCs w:val="32"/>
              <w:highlight w:val="none"/>
              <w:lang w:val="en-US" w:eastAsia="zh-CN" w:bidi="ar-SA"/>
            </w:rPr>
            <w:fldChar w:fldCharType="end"/>
          </w:r>
        </w:p>
        <w:p w14:paraId="2D2DC3F3">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_Toc9596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szCs w:val="28"/>
              <w:highlight w:val="none"/>
              <w:lang w:eastAsia="zh-CN"/>
            </w:rPr>
            <w:t>附件6：供应商资格证明文件</w:t>
          </w:r>
          <w:r>
            <w:tab/>
          </w:r>
          <w:r>
            <w:fldChar w:fldCharType="begin"/>
          </w:r>
          <w:r>
            <w:instrText xml:space="preserve"> PAGEREF _Toc9596 \h </w:instrText>
          </w:r>
          <w:r>
            <w:fldChar w:fldCharType="separate"/>
          </w:r>
          <w:r>
            <w:t>- 40 -</w:t>
          </w:r>
          <w:r>
            <w:fldChar w:fldCharType="end"/>
          </w:r>
          <w:r>
            <w:rPr>
              <w:rFonts w:hint="eastAsia" w:ascii="宋体" w:hAnsi="宋体" w:eastAsia="宋体" w:cs="宋体"/>
              <w:kern w:val="2"/>
              <w:szCs w:val="32"/>
              <w:highlight w:val="none"/>
              <w:lang w:val="en-US" w:eastAsia="zh-CN" w:bidi="ar-SA"/>
            </w:rPr>
            <w:fldChar w:fldCharType="end"/>
          </w:r>
        </w:p>
        <w:p w14:paraId="130305CE">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_Toc7706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szCs w:val="28"/>
              <w:highlight w:val="none"/>
              <w:lang w:eastAsia="zh-CN"/>
            </w:rPr>
            <w:t>附件7：财务状况、缴纳税收和社会保障资金证明</w:t>
          </w:r>
          <w:r>
            <w:tab/>
          </w:r>
          <w:r>
            <w:fldChar w:fldCharType="begin"/>
          </w:r>
          <w:r>
            <w:instrText xml:space="preserve"> PAGEREF _Toc7706 \h </w:instrText>
          </w:r>
          <w:r>
            <w:fldChar w:fldCharType="separate"/>
          </w:r>
          <w:r>
            <w:t>- 41 -</w:t>
          </w:r>
          <w:r>
            <w:fldChar w:fldCharType="end"/>
          </w:r>
          <w:r>
            <w:rPr>
              <w:rFonts w:hint="eastAsia" w:ascii="宋体" w:hAnsi="宋体" w:eastAsia="宋体" w:cs="宋体"/>
              <w:kern w:val="2"/>
              <w:szCs w:val="32"/>
              <w:highlight w:val="none"/>
              <w:lang w:val="en-US" w:eastAsia="zh-CN" w:bidi="ar-SA"/>
            </w:rPr>
            <w:fldChar w:fldCharType="end"/>
          </w:r>
        </w:p>
        <w:p w14:paraId="553F1DF2">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_Toc5279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szCs w:val="28"/>
              <w:highlight w:val="none"/>
              <w:lang w:eastAsia="zh-CN"/>
            </w:rPr>
            <w:t>附件8：无重大违法记录声明</w:t>
          </w:r>
          <w:r>
            <w:tab/>
          </w:r>
          <w:r>
            <w:fldChar w:fldCharType="begin"/>
          </w:r>
          <w:r>
            <w:instrText xml:space="preserve"> PAGEREF _Toc5279 \h </w:instrText>
          </w:r>
          <w:r>
            <w:fldChar w:fldCharType="separate"/>
          </w:r>
          <w:r>
            <w:t>- 42 -</w:t>
          </w:r>
          <w:r>
            <w:fldChar w:fldCharType="end"/>
          </w:r>
          <w:r>
            <w:rPr>
              <w:rFonts w:hint="eastAsia" w:ascii="宋体" w:hAnsi="宋体" w:eastAsia="宋体" w:cs="宋体"/>
              <w:kern w:val="2"/>
              <w:szCs w:val="32"/>
              <w:highlight w:val="none"/>
              <w:lang w:val="en-US" w:eastAsia="zh-CN" w:bidi="ar-SA"/>
            </w:rPr>
            <w:fldChar w:fldCharType="end"/>
          </w:r>
        </w:p>
        <w:p w14:paraId="5A582E02">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_Toc19429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kern w:val="2"/>
              <w:szCs w:val="28"/>
              <w:highlight w:val="none"/>
              <w:lang w:val="en-US" w:eastAsia="zh-CN" w:bidi="ar-SA"/>
            </w:rPr>
            <w:t>附件9：谈判</w:t>
          </w:r>
          <w:r>
            <w:rPr>
              <w:rFonts w:hint="eastAsia" w:ascii="宋体" w:hAnsi="宋体" w:eastAsia="宋体" w:cs="宋体"/>
              <w:bCs w:val="0"/>
              <w:kern w:val="2"/>
              <w:szCs w:val="28"/>
              <w:highlight w:val="none"/>
              <w:lang w:val="zh-CN" w:eastAsia="zh-CN" w:bidi="ar-SA"/>
            </w:rPr>
            <w:t>保证金证明</w:t>
          </w:r>
          <w:r>
            <w:tab/>
          </w:r>
          <w:r>
            <w:fldChar w:fldCharType="begin"/>
          </w:r>
          <w:r>
            <w:instrText xml:space="preserve"> PAGEREF _Toc19429 \h </w:instrText>
          </w:r>
          <w:r>
            <w:fldChar w:fldCharType="separate"/>
          </w:r>
          <w:r>
            <w:t>- 43 -</w:t>
          </w:r>
          <w:r>
            <w:fldChar w:fldCharType="end"/>
          </w:r>
          <w:r>
            <w:rPr>
              <w:rFonts w:hint="eastAsia" w:ascii="宋体" w:hAnsi="宋体" w:eastAsia="宋体" w:cs="宋体"/>
              <w:kern w:val="2"/>
              <w:szCs w:val="32"/>
              <w:highlight w:val="none"/>
              <w:lang w:val="en-US" w:eastAsia="zh-CN" w:bidi="ar-SA"/>
            </w:rPr>
            <w:fldChar w:fldCharType="end"/>
          </w:r>
        </w:p>
        <w:p w14:paraId="44B9198D">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_Toc25028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kern w:val="2"/>
              <w:szCs w:val="28"/>
              <w:highlight w:val="none"/>
              <w:lang w:val="en-US" w:eastAsia="zh-CN" w:bidi="ar-SA"/>
            </w:rPr>
            <w:t>附件</w:t>
          </w:r>
          <w:r>
            <w:rPr>
              <w:rFonts w:hint="eastAsia" w:ascii="宋体" w:hAnsi="宋体" w:cs="宋体"/>
              <w:bCs w:val="0"/>
              <w:kern w:val="2"/>
              <w:szCs w:val="28"/>
              <w:highlight w:val="none"/>
              <w:lang w:val="en-US" w:eastAsia="zh-CN" w:bidi="ar-SA"/>
            </w:rPr>
            <w:t>10</w:t>
          </w:r>
          <w:r>
            <w:rPr>
              <w:rFonts w:hint="eastAsia" w:ascii="宋体" w:hAnsi="宋体" w:eastAsia="宋体" w:cs="宋体"/>
              <w:bCs w:val="0"/>
              <w:kern w:val="2"/>
              <w:szCs w:val="28"/>
              <w:highlight w:val="none"/>
              <w:lang w:val="en-US" w:eastAsia="zh-CN" w:bidi="ar-SA"/>
            </w:rPr>
            <w:t>：具备履行合同所必须的设备和专业技术能力证明</w:t>
          </w:r>
          <w:r>
            <w:tab/>
          </w:r>
          <w:r>
            <w:fldChar w:fldCharType="begin"/>
          </w:r>
          <w:r>
            <w:instrText xml:space="preserve"> PAGEREF _Toc25028 \h </w:instrText>
          </w:r>
          <w:r>
            <w:fldChar w:fldCharType="separate"/>
          </w:r>
          <w:r>
            <w:t>- 44 -</w:t>
          </w:r>
          <w:r>
            <w:fldChar w:fldCharType="end"/>
          </w:r>
          <w:r>
            <w:rPr>
              <w:rFonts w:hint="eastAsia" w:ascii="宋体" w:hAnsi="宋体" w:eastAsia="宋体" w:cs="宋体"/>
              <w:kern w:val="2"/>
              <w:szCs w:val="32"/>
              <w:highlight w:val="none"/>
              <w:lang w:val="en-US" w:eastAsia="zh-CN" w:bidi="ar-SA"/>
            </w:rPr>
            <w:fldChar w:fldCharType="end"/>
          </w:r>
        </w:p>
        <w:p w14:paraId="1915F1A6">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_Toc2182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kern w:val="2"/>
              <w:szCs w:val="28"/>
              <w:highlight w:val="none"/>
              <w:lang w:val="en-US" w:eastAsia="zh-CN" w:bidi="ar-SA"/>
            </w:rPr>
            <w:t>附件</w:t>
          </w:r>
          <w:r>
            <w:rPr>
              <w:rFonts w:hint="eastAsia" w:ascii="宋体" w:hAnsi="宋体" w:cs="宋体"/>
              <w:bCs w:val="0"/>
              <w:kern w:val="2"/>
              <w:szCs w:val="28"/>
              <w:highlight w:val="none"/>
              <w:lang w:val="en-US" w:eastAsia="zh-CN" w:bidi="ar-SA"/>
            </w:rPr>
            <w:t>11</w:t>
          </w:r>
          <w:r>
            <w:rPr>
              <w:rFonts w:hint="eastAsia" w:ascii="宋体" w:hAnsi="宋体" w:eastAsia="宋体" w:cs="宋体"/>
              <w:bCs w:val="0"/>
              <w:kern w:val="2"/>
              <w:szCs w:val="28"/>
              <w:highlight w:val="none"/>
              <w:lang w:val="en-US" w:eastAsia="zh-CN" w:bidi="ar-SA"/>
            </w:rPr>
            <w:t>：谈判首次报价表</w:t>
          </w:r>
          <w:r>
            <w:tab/>
          </w:r>
          <w:r>
            <w:fldChar w:fldCharType="begin"/>
          </w:r>
          <w:r>
            <w:instrText xml:space="preserve"> PAGEREF _Toc2182 \h </w:instrText>
          </w:r>
          <w:r>
            <w:fldChar w:fldCharType="separate"/>
          </w:r>
          <w:r>
            <w:t>- 46 -</w:t>
          </w:r>
          <w:r>
            <w:fldChar w:fldCharType="end"/>
          </w:r>
          <w:r>
            <w:rPr>
              <w:rFonts w:hint="eastAsia" w:ascii="宋体" w:hAnsi="宋体" w:eastAsia="宋体" w:cs="宋体"/>
              <w:kern w:val="2"/>
              <w:szCs w:val="32"/>
              <w:highlight w:val="none"/>
              <w:lang w:val="en-US" w:eastAsia="zh-CN" w:bidi="ar-SA"/>
            </w:rPr>
            <w:fldChar w:fldCharType="end"/>
          </w:r>
        </w:p>
        <w:p w14:paraId="52FA5D07">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_Toc18642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kern w:val="2"/>
              <w:szCs w:val="28"/>
              <w:highlight w:val="none"/>
              <w:lang w:val="en-US" w:eastAsia="zh-CN" w:bidi="ar-SA"/>
            </w:rPr>
            <w:t>附件</w:t>
          </w:r>
          <w:r>
            <w:rPr>
              <w:rFonts w:hint="eastAsia" w:ascii="宋体" w:hAnsi="宋体" w:cs="宋体"/>
              <w:bCs w:val="0"/>
              <w:kern w:val="2"/>
              <w:szCs w:val="28"/>
              <w:highlight w:val="none"/>
              <w:lang w:val="en-US" w:eastAsia="zh-CN" w:bidi="ar-SA"/>
            </w:rPr>
            <w:t>12</w:t>
          </w:r>
          <w:r>
            <w:rPr>
              <w:rFonts w:hint="eastAsia" w:ascii="宋体" w:hAnsi="宋体" w:eastAsia="宋体" w:cs="宋体"/>
              <w:bCs w:val="0"/>
              <w:kern w:val="2"/>
              <w:szCs w:val="28"/>
              <w:highlight w:val="none"/>
              <w:lang w:val="en-US" w:eastAsia="zh-CN" w:bidi="ar-SA"/>
            </w:rPr>
            <w:t>：分项报价表</w:t>
          </w:r>
          <w:r>
            <w:tab/>
          </w:r>
          <w:r>
            <w:fldChar w:fldCharType="begin"/>
          </w:r>
          <w:r>
            <w:instrText xml:space="preserve"> PAGEREF _Toc18642 \h </w:instrText>
          </w:r>
          <w:r>
            <w:fldChar w:fldCharType="separate"/>
          </w:r>
          <w:r>
            <w:t>- 47 -</w:t>
          </w:r>
          <w:r>
            <w:fldChar w:fldCharType="end"/>
          </w:r>
          <w:r>
            <w:rPr>
              <w:rFonts w:hint="eastAsia" w:ascii="宋体" w:hAnsi="宋体" w:eastAsia="宋体" w:cs="宋体"/>
              <w:kern w:val="2"/>
              <w:szCs w:val="32"/>
              <w:highlight w:val="none"/>
              <w:lang w:val="en-US" w:eastAsia="zh-CN" w:bidi="ar-SA"/>
            </w:rPr>
            <w:fldChar w:fldCharType="end"/>
          </w:r>
        </w:p>
        <w:p w14:paraId="5CF1DFD2">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_Toc24874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kern w:val="2"/>
              <w:szCs w:val="28"/>
              <w:highlight w:val="none"/>
              <w:lang w:val="en-US" w:eastAsia="zh-CN" w:bidi="ar-SA"/>
            </w:rPr>
            <w:t>附件1</w:t>
          </w:r>
          <w:r>
            <w:rPr>
              <w:rFonts w:hint="eastAsia" w:ascii="宋体" w:hAnsi="宋体" w:cs="宋体"/>
              <w:bCs w:val="0"/>
              <w:kern w:val="2"/>
              <w:szCs w:val="28"/>
              <w:highlight w:val="none"/>
              <w:lang w:val="en-US" w:eastAsia="zh-CN" w:bidi="ar-SA"/>
            </w:rPr>
            <w:t>3</w:t>
          </w:r>
          <w:r>
            <w:rPr>
              <w:rFonts w:hint="eastAsia" w:ascii="宋体" w:hAnsi="宋体" w:eastAsia="宋体" w:cs="宋体"/>
              <w:bCs w:val="0"/>
              <w:kern w:val="2"/>
              <w:szCs w:val="28"/>
              <w:highlight w:val="none"/>
              <w:lang w:val="en-US" w:eastAsia="zh-CN" w:bidi="ar-SA"/>
            </w:rPr>
            <w:t>：技术规格响应表</w:t>
          </w:r>
          <w:r>
            <w:tab/>
          </w:r>
          <w:r>
            <w:fldChar w:fldCharType="begin"/>
          </w:r>
          <w:r>
            <w:instrText xml:space="preserve"> PAGEREF _Toc24874 \h </w:instrText>
          </w:r>
          <w:r>
            <w:fldChar w:fldCharType="separate"/>
          </w:r>
          <w:r>
            <w:t>- 48 -</w:t>
          </w:r>
          <w:r>
            <w:fldChar w:fldCharType="end"/>
          </w:r>
          <w:r>
            <w:rPr>
              <w:rFonts w:hint="eastAsia" w:ascii="宋体" w:hAnsi="宋体" w:eastAsia="宋体" w:cs="宋体"/>
              <w:kern w:val="2"/>
              <w:szCs w:val="32"/>
              <w:highlight w:val="none"/>
              <w:lang w:val="en-US" w:eastAsia="zh-CN" w:bidi="ar-SA"/>
            </w:rPr>
            <w:fldChar w:fldCharType="end"/>
          </w:r>
        </w:p>
        <w:p w14:paraId="178A7F85">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_Toc26522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kern w:val="2"/>
              <w:szCs w:val="28"/>
              <w:highlight w:val="none"/>
              <w:lang w:val="en-US" w:eastAsia="zh-CN" w:bidi="ar-SA"/>
            </w:rPr>
            <w:t>附件1</w:t>
          </w:r>
          <w:r>
            <w:rPr>
              <w:rFonts w:hint="eastAsia" w:ascii="宋体" w:hAnsi="宋体" w:cs="宋体"/>
              <w:bCs w:val="0"/>
              <w:kern w:val="2"/>
              <w:szCs w:val="28"/>
              <w:highlight w:val="none"/>
              <w:lang w:val="en-US" w:eastAsia="zh-CN" w:bidi="ar-SA"/>
            </w:rPr>
            <w:t>4</w:t>
          </w:r>
          <w:r>
            <w:rPr>
              <w:rFonts w:hint="eastAsia" w:ascii="宋体" w:hAnsi="宋体" w:eastAsia="宋体" w:cs="宋体"/>
              <w:bCs w:val="0"/>
              <w:kern w:val="2"/>
              <w:szCs w:val="28"/>
              <w:highlight w:val="none"/>
              <w:lang w:val="en-US" w:eastAsia="zh-CN" w:bidi="ar-SA"/>
            </w:rPr>
            <w:t>：产品相关资料</w:t>
          </w:r>
          <w:r>
            <w:tab/>
          </w:r>
          <w:r>
            <w:fldChar w:fldCharType="begin"/>
          </w:r>
          <w:r>
            <w:instrText xml:space="preserve"> PAGEREF _Toc26522 \h </w:instrText>
          </w:r>
          <w:r>
            <w:fldChar w:fldCharType="separate"/>
          </w:r>
          <w:r>
            <w:t>- 49 -</w:t>
          </w:r>
          <w:r>
            <w:fldChar w:fldCharType="end"/>
          </w:r>
          <w:r>
            <w:rPr>
              <w:rFonts w:hint="eastAsia" w:ascii="宋体" w:hAnsi="宋体" w:eastAsia="宋体" w:cs="宋体"/>
              <w:kern w:val="2"/>
              <w:szCs w:val="32"/>
              <w:highlight w:val="none"/>
              <w:lang w:val="en-US" w:eastAsia="zh-CN" w:bidi="ar-SA"/>
            </w:rPr>
            <w:fldChar w:fldCharType="end"/>
          </w:r>
        </w:p>
        <w:p w14:paraId="1E7652A2">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_Toc5201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kern w:val="2"/>
              <w:szCs w:val="28"/>
              <w:highlight w:val="none"/>
              <w:lang w:val="en-US" w:eastAsia="zh-CN" w:bidi="ar-SA"/>
            </w:rPr>
            <w:t>附件1</w:t>
          </w:r>
          <w:r>
            <w:rPr>
              <w:rFonts w:hint="eastAsia" w:ascii="宋体" w:hAnsi="宋体" w:cs="宋体"/>
              <w:bCs w:val="0"/>
              <w:kern w:val="2"/>
              <w:szCs w:val="28"/>
              <w:highlight w:val="none"/>
              <w:lang w:val="en-US" w:eastAsia="zh-CN" w:bidi="ar-SA"/>
            </w:rPr>
            <w:t>5</w:t>
          </w:r>
          <w:r>
            <w:rPr>
              <w:rFonts w:hint="eastAsia" w:ascii="宋体" w:hAnsi="宋体" w:eastAsia="宋体" w:cs="宋体"/>
              <w:bCs w:val="0"/>
              <w:kern w:val="2"/>
              <w:szCs w:val="28"/>
              <w:highlight w:val="none"/>
              <w:lang w:val="en-US" w:eastAsia="zh-CN" w:bidi="ar-SA"/>
            </w:rPr>
            <w:t>：享受政府采购政策优惠的证明资料</w:t>
          </w:r>
          <w:r>
            <w:tab/>
          </w:r>
          <w:r>
            <w:fldChar w:fldCharType="begin"/>
          </w:r>
          <w:r>
            <w:instrText xml:space="preserve"> PAGEREF _Toc5201 \h </w:instrText>
          </w:r>
          <w:r>
            <w:fldChar w:fldCharType="separate"/>
          </w:r>
          <w:r>
            <w:t>- 50 -</w:t>
          </w:r>
          <w:r>
            <w:fldChar w:fldCharType="end"/>
          </w:r>
          <w:r>
            <w:rPr>
              <w:rFonts w:hint="eastAsia" w:ascii="宋体" w:hAnsi="宋体" w:eastAsia="宋体" w:cs="宋体"/>
              <w:kern w:val="2"/>
              <w:szCs w:val="32"/>
              <w:highlight w:val="none"/>
              <w:lang w:val="en-US" w:eastAsia="zh-CN" w:bidi="ar-SA"/>
            </w:rPr>
            <w:fldChar w:fldCharType="end"/>
          </w:r>
        </w:p>
        <w:p w14:paraId="6BD728D8">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_Toc716 </w:instrText>
          </w:r>
          <w:r>
            <w:rPr>
              <w:rFonts w:hint="eastAsia" w:ascii="宋体" w:hAnsi="宋体" w:eastAsia="宋体" w:cs="宋体"/>
              <w:kern w:val="2"/>
              <w:szCs w:val="32"/>
              <w:highlight w:val="none"/>
              <w:lang w:val="en-US" w:eastAsia="zh-CN" w:bidi="ar-SA"/>
            </w:rPr>
            <w:fldChar w:fldCharType="separate"/>
          </w:r>
          <w:r>
            <w:rPr>
              <w:rFonts w:hint="eastAsia"/>
            </w:rPr>
            <w:t>关于符合本国产品标准的声明函</w:t>
          </w:r>
          <w:r>
            <w:tab/>
          </w:r>
          <w:r>
            <w:fldChar w:fldCharType="begin"/>
          </w:r>
          <w:r>
            <w:instrText xml:space="preserve"> PAGEREF _Toc716 \h </w:instrText>
          </w:r>
          <w:r>
            <w:fldChar w:fldCharType="separate"/>
          </w:r>
          <w:r>
            <w:t>- 54 -</w:t>
          </w:r>
          <w:r>
            <w:fldChar w:fldCharType="end"/>
          </w:r>
          <w:r>
            <w:rPr>
              <w:rFonts w:hint="eastAsia" w:ascii="宋体" w:hAnsi="宋体" w:eastAsia="宋体" w:cs="宋体"/>
              <w:kern w:val="2"/>
              <w:szCs w:val="32"/>
              <w:highlight w:val="none"/>
              <w:lang w:val="en-US" w:eastAsia="zh-CN" w:bidi="ar-SA"/>
            </w:rPr>
            <w:fldChar w:fldCharType="end"/>
          </w:r>
        </w:p>
        <w:p w14:paraId="68E29C79">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_Toc31595 </w:instrText>
          </w:r>
          <w:r>
            <w:rPr>
              <w:rFonts w:hint="eastAsia" w:ascii="宋体" w:hAnsi="宋体" w:eastAsia="宋体" w:cs="宋体"/>
              <w:kern w:val="2"/>
              <w:szCs w:val="32"/>
              <w:highlight w:val="none"/>
              <w:lang w:val="en-US" w:eastAsia="zh-CN" w:bidi="ar-SA"/>
            </w:rPr>
            <w:fldChar w:fldCharType="separate"/>
          </w:r>
          <w:r>
            <w:rPr>
              <w:rFonts w:hint="eastAsia" w:ascii="宋体" w:hAnsi="宋体" w:cs="宋体"/>
              <w:szCs w:val="28"/>
              <w:highlight w:val="none"/>
            </w:rPr>
            <w:t>附件</w:t>
          </w:r>
          <w:r>
            <w:rPr>
              <w:rFonts w:hint="eastAsia" w:ascii="宋体" w:hAnsi="宋体" w:cs="宋体"/>
              <w:szCs w:val="28"/>
              <w:highlight w:val="none"/>
              <w:lang w:val="en-US" w:eastAsia="zh-CN"/>
            </w:rPr>
            <w:t>16</w:t>
          </w:r>
          <w:r>
            <w:rPr>
              <w:rFonts w:hint="eastAsia" w:ascii="宋体" w:hAnsi="宋体" w:cs="宋体"/>
              <w:szCs w:val="28"/>
              <w:highlight w:val="none"/>
            </w:rPr>
            <w:t>：</w:t>
          </w:r>
          <w:r>
            <w:rPr>
              <w:rFonts w:hint="eastAsia" w:ascii="宋体" w:hAnsi="宋体" w:cs="宋体"/>
              <w:szCs w:val="28"/>
              <w:highlight w:val="none"/>
              <w:lang w:val="en-US" w:eastAsia="zh-CN"/>
            </w:rPr>
            <w:t>供应商</w:t>
          </w:r>
          <w:r>
            <w:rPr>
              <w:rFonts w:hint="eastAsia" w:ascii="宋体" w:hAnsi="宋体" w:cs="宋体"/>
              <w:szCs w:val="28"/>
              <w:highlight w:val="none"/>
            </w:rPr>
            <w:t>在其他方面有必要说明的事项</w:t>
          </w:r>
          <w:r>
            <w:tab/>
          </w:r>
          <w:r>
            <w:fldChar w:fldCharType="begin"/>
          </w:r>
          <w:r>
            <w:instrText xml:space="preserve"> PAGEREF _Toc31595 \h </w:instrText>
          </w:r>
          <w:r>
            <w:fldChar w:fldCharType="separate"/>
          </w:r>
          <w:r>
            <w:t>- 55 -</w:t>
          </w:r>
          <w:r>
            <w:fldChar w:fldCharType="end"/>
          </w:r>
          <w:r>
            <w:rPr>
              <w:rFonts w:hint="eastAsia" w:ascii="宋体" w:hAnsi="宋体" w:eastAsia="宋体" w:cs="宋体"/>
              <w:kern w:val="2"/>
              <w:szCs w:val="32"/>
              <w:highlight w:val="none"/>
              <w:lang w:val="en-US" w:eastAsia="zh-CN" w:bidi="ar-SA"/>
            </w:rPr>
            <w:fldChar w:fldCharType="end"/>
          </w:r>
        </w:p>
        <w:p w14:paraId="34430646">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_Toc8076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kern w:val="2"/>
              <w:szCs w:val="28"/>
              <w:highlight w:val="none"/>
              <w:lang w:val="en-US" w:eastAsia="zh-CN" w:bidi="ar-SA"/>
            </w:rPr>
            <w:t>附件1</w:t>
          </w:r>
          <w:r>
            <w:rPr>
              <w:rFonts w:hint="eastAsia" w:ascii="宋体" w:hAnsi="宋体" w:cs="宋体"/>
              <w:bCs w:val="0"/>
              <w:kern w:val="2"/>
              <w:szCs w:val="28"/>
              <w:highlight w:val="none"/>
              <w:lang w:val="en-US" w:eastAsia="zh-CN" w:bidi="ar-SA"/>
            </w:rPr>
            <w:t>7</w:t>
          </w:r>
          <w:r>
            <w:rPr>
              <w:rFonts w:hint="eastAsia" w:ascii="宋体" w:hAnsi="宋体" w:eastAsia="宋体" w:cs="宋体"/>
              <w:bCs w:val="0"/>
              <w:kern w:val="2"/>
              <w:szCs w:val="28"/>
              <w:highlight w:val="none"/>
              <w:lang w:val="en-US" w:eastAsia="zh-CN" w:bidi="ar-SA"/>
            </w:rPr>
            <w:t>：最后报价表</w:t>
          </w:r>
          <w:r>
            <w:tab/>
          </w:r>
          <w:r>
            <w:fldChar w:fldCharType="begin"/>
          </w:r>
          <w:r>
            <w:instrText xml:space="preserve"> PAGEREF _Toc8076 \h </w:instrText>
          </w:r>
          <w:r>
            <w:fldChar w:fldCharType="separate"/>
          </w:r>
          <w:r>
            <w:t>- 56 -</w:t>
          </w:r>
          <w:r>
            <w:fldChar w:fldCharType="end"/>
          </w:r>
          <w:r>
            <w:rPr>
              <w:rFonts w:hint="eastAsia" w:ascii="宋体" w:hAnsi="宋体" w:eastAsia="宋体" w:cs="宋体"/>
              <w:kern w:val="2"/>
              <w:szCs w:val="32"/>
              <w:highlight w:val="none"/>
              <w:lang w:val="en-US" w:eastAsia="zh-CN" w:bidi="ar-SA"/>
            </w:rPr>
            <w:fldChar w:fldCharType="end"/>
          </w:r>
        </w:p>
        <w:p w14:paraId="5CA094BF">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_Toc15007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highlight w:val="none"/>
              <w:lang w:eastAsia="zh-CN"/>
            </w:rPr>
            <w:t>第五部分</w:t>
          </w:r>
          <w:r>
            <w:rPr>
              <w:rFonts w:hint="eastAsia" w:ascii="宋体" w:hAnsi="宋体" w:eastAsia="宋体" w:cs="宋体"/>
              <w:bCs/>
              <w:szCs w:val="44"/>
              <w:highlight w:val="none"/>
            </w:rPr>
            <w:t xml:space="preserve"> 青海省政府采购项目合同书范本</w:t>
          </w:r>
          <w:r>
            <w:tab/>
          </w:r>
          <w:r>
            <w:fldChar w:fldCharType="begin"/>
          </w:r>
          <w:r>
            <w:instrText xml:space="preserve"> PAGEREF _Toc15007 \h </w:instrText>
          </w:r>
          <w:r>
            <w:fldChar w:fldCharType="separate"/>
          </w:r>
          <w:r>
            <w:t>- 58 -</w:t>
          </w:r>
          <w:r>
            <w:fldChar w:fldCharType="end"/>
          </w:r>
          <w:r>
            <w:rPr>
              <w:rFonts w:hint="eastAsia" w:ascii="宋体" w:hAnsi="宋体" w:eastAsia="宋体" w:cs="宋体"/>
              <w:kern w:val="2"/>
              <w:szCs w:val="32"/>
              <w:highlight w:val="none"/>
              <w:lang w:val="en-US" w:eastAsia="zh-CN" w:bidi="ar-SA"/>
            </w:rPr>
            <w:fldChar w:fldCharType="end"/>
          </w:r>
        </w:p>
        <w:p w14:paraId="16BEFD9E">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_Toc32431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szCs w:val="44"/>
              <w:highlight w:val="none"/>
            </w:rPr>
            <w:t>（货物类）</w:t>
          </w:r>
          <w:r>
            <w:tab/>
          </w:r>
          <w:r>
            <w:fldChar w:fldCharType="begin"/>
          </w:r>
          <w:r>
            <w:instrText xml:space="preserve"> PAGEREF _Toc32431 \h </w:instrText>
          </w:r>
          <w:r>
            <w:fldChar w:fldCharType="separate"/>
          </w:r>
          <w:r>
            <w:t>- 58 -</w:t>
          </w:r>
          <w:r>
            <w:fldChar w:fldCharType="end"/>
          </w:r>
          <w:r>
            <w:rPr>
              <w:rFonts w:hint="eastAsia" w:ascii="宋体" w:hAnsi="宋体" w:eastAsia="宋体" w:cs="宋体"/>
              <w:kern w:val="2"/>
              <w:szCs w:val="32"/>
              <w:highlight w:val="none"/>
              <w:lang w:val="en-US" w:eastAsia="zh-CN" w:bidi="ar-SA"/>
            </w:rPr>
            <w:fldChar w:fldCharType="end"/>
          </w:r>
        </w:p>
        <w:p w14:paraId="5484D763">
          <w:pPr>
            <w:rPr>
              <w:rFonts w:hint="eastAsia" w:ascii="宋体" w:hAnsi="宋体" w:eastAsia="宋体" w:cs="宋体"/>
              <w:kern w:val="2"/>
              <w:sz w:val="21"/>
              <w:szCs w:val="32"/>
              <w:highlight w:val="none"/>
              <w:lang w:val="en-US" w:eastAsia="zh-CN" w:bidi="ar-SA"/>
            </w:rPr>
          </w:pPr>
          <w:r>
            <w:rPr>
              <w:rFonts w:hint="eastAsia" w:ascii="宋体" w:hAnsi="宋体" w:eastAsia="宋体" w:cs="宋体"/>
              <w:kern w:val="2"/>
              <w:szCs w:val="32"/>
              <w:highlight w:val="none"/>
              <w:lang w:val="en-US" w:eastAsia="zh-CN" w:bidi="ar-SA"/>
            </w:rPr>
            <w:fldChar w:fldCharType="end"/>
          </w:r>
        </w:p>
      </w:sdtContent>
    </w:sdt>
    <w:p w14:paraId="2A36B4B4">
      <w:pPr>
        <w:rPr>
          <w:rFonts w:hint="eastAsia" w:ascii="宋体" w:hAnsi="宋体" w:eastAsia="宋体" w:cs="宋体"/>
          <w:kern w:val="2"/>
          <w:sz w:val="21"/>
          <w:szCs w:val="32"/>
          <w:highlight w:val="none"/>
          <w:lang w:val="en-US" w:eastAsia="zh-CN" w:bidi="ar-SA"/>
        </w:rPr>
      </w:pPr>
    </w:p>
    <w:p w14:paraId="67572FBD">
      <w:pPr>
        <w:rPr>
          <w:rFonts w:hint="eastAsia" w:ascii="宋体" w:hAnsi="宋体" w:eastAsia="宋体" w:cs="宋体"/>
          <w:kern w:val="2"/>
          <w:szCs w:val="32"/>
          <w:highlight w:val="none"/>
          <w:lang w:val="en-US" w:eastAsia="zh-CN" w:bidi="ar-SA"/>
        </w:rPr>
      </w:pPr>
      <w:r>
        <w:rPr>
          <w:rFonts w:hint="eastAsia" w:ascii="宋体" w:hAnsi="宋体" w:eastAsia="宋体" w:cs="宋体"/>
          <w:kern w:val="2"/>
          <w:szCs w:val="32"/>
          <w:highlight w:val="none"/>
          <w:lang w:val="en-US" w:eastAsia="zh-CN" w:bidi="ar-SA"/>
        </w:rPr>
        <w:br w:type="page"/>
      </w:r>
    </w:p>
    <w:p w14:paraId="46223FE3">
      <w:pPr>
        <w:pStyle w:val="2"/>
        <w:keepNext/>
        <w:widowControl w:val="0"/>
        <w:numPr>
          <w:ilvl w:val="0"/>
          <w:numId w:val="2"/>
        </w:numPr>
        <w:wordWrap/>
        <w:adjustRightInd w:val="0"/>
        <w:snapToGrid w:val="0"/>
        <w:spacing w:before="157" w:beforeLines="50" w:line="560" w:lineRule="exact"/>
        <w:jc w:val="center"/>
        <w:textAlignment w:val="auto"/>
        <w:outlineLvl w:val="0"/>
        <w:rPr>
          <w:rFonts w:hint="eastAsia" w:ascii="宋体" w:hAnsi="宋体" w:eastAsia="宋体" w:cs="宋体"/>
          <w:b/>
          <w:bCs/>
          <w:sz w:val="44"/>
          <w:szCs w:val="44"/>
          <w:highlight w:val="none"/>
          <w:lang w:val="en-US" w:eastAsia="zh-CN"/>
        </w:rPr>
      </w:pPr>
      <w:bookmarkStart w:id="0" w:name="_Toc20903"/>
      <w:bookmarkStart w:id="1" w:name="_Toc29294"/>
      <w:bookmarkStart w:id="2" w:name="_Toc31566"/>
      <w:r>
        <w:rPr>
          <w:rFonts w:hint="eastAsia" w:ascii="宋体" w:hAnsi="宋体" w:eastAsia="宋体" w:cs="宋体"/>
          <w:b/>
          <w:bCs/>
          <w:sz w:val="44"/>
          <w:szCs w:val="44"/>
          <w:highlight w:val="none"/>
          <w:lang w:val="en-US" w:eastAsia="zh-CN"/>
        </w:rPr>
        <w:t>谈判</w:t>
      </w:r>
      <w:bookmarkEnd w:id="0"/>
      <w:r>
        <w:rPr>
          <w:rFonts w:hint="eastAsia" w:ascii="宋体" w:hAnsi="宋体" w:eastAsia="宋体" w:cs="宋体"/>
          <w:b/>
          <w:bCs/>
          <w:sz w:val="44"/>
          <w:szCs w:val="44"/>
          <w:highlight w:val="none"/>
          <w:lang w:val="en-US" w:eastAsia="zh-CN"/>
        </w:rPr>
        <w:t>邀请</w:t>
      </w:r>
      <w:bookmarkEnd w:id="1"/>
      <w:bookmarkEnd w:id="2"/>
    </w:p>
    <w:p w14:paraId="11AFFA21">
      <w:pPr>
        <w:numPr>
          <w:ilvl w:val="0"/>
          <w:numId w:val="0"/>
        </w:numPr>
        <w:rPr>
          <w:rFonts w:hint="eastAsia" w:ascii="宋体" w:hAnsi="宋体" w:eastAsia="宋体" w:cs="宋体"/>
          <w:highlight w:val="none"/>
        </w:rPr>
      </w:pPr>
    </w:p>
    <w:tbl>
      <w:tblPr>
        <w:tblStyle w:val="20"/>
        <w:tblW w:w="95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3"/>
        <w:gridCol w:w="7150"/>
      </w:tblGrid>
      <w:tr w14:paraId="475C7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40AFEAEA">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rPr>
              <w:t>采购项目</w:t>
            </w:r>
            <w:r>
              <w:rPr>
                <w:rFonts w:hint="eastAsia" w:ascii="宋体" w:hAnsi="宋体" w:cs="宋体"/>
                <w:color w:val="000000"/>
                <w:sz w:val="24"/>
                <w:szCs w:val="24"/>
                <w:lang w:val="zh-CN" w:eastAsia="zh-CN"/>
              </w:rPr>
              <w:t>名称</w:t>
            </w:r>
          </w:p>
        </w:tc>
        <w:tc>
          <w:tcPr>
            <w:tcW w:w="7150" w:type="dxa"/>
            <w:tcBorders>
              <w:tl2br w:val="nil"/>
              <w:tr2bl w:val="nil"/>
            </w:tcBorders>
            <w:vAlign w:val="center"/>
          </w:tcPr>
          <w:p w14:paraId="2C95EFEF">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zh-CN" w:eastAsia="zh-CN"/>
              </w:rPr>
              <w:t>火角村农机具购置项目（第三次）</w:t>
            </w:r>
          </w:p>
        </w:tc>
      </w:tr>
      <w:tr w14:paraId="1E302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4CD61F75">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采购项目编号</w:t>
            </w:r>
          </w:p>
        </w:tc>
        <w:tc>
          <w:tcPr>
            <w:tcW w:w="7150" w:type="dxa"/>
            <w:tcBorders>
              <w:tl2br w:val="nil"/>
              <w:tr2bl w:val="nil"/>
            </w:tcBorders>
            <w:vAlign w:val="center"/>
          </w:tcPr>
          <w:p w14:paraId="70D0C1D5">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zh-CN"/>
              </w:rPr>
              <w:t>青海拓鑫竞谈（货物）2026-028-2</w:t>
            </w:r>
          </w:p>
        </w:tc>
      </w:tr>
      <w:tr w14:paraId="2298A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06B96EC6">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采购方式</w:t>
            </w:r>
          </w:p>
        </w:tc>
        <w:tc>
          <w:tcPr>
            <w:tcW w:w="7150" w:type="dxa"/>
            <w:tcBorders>
              <w:tl2br w:val="nil"/>
              <w:tr2bl w:val="nil"/>
            </w:tcBorders>
            <w:vAlign w:val="center"/>
          </w:tcPr>
          <w:p w14:paraId="47CB6417">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竞争性谈判</w:t>
            </w:r>
          </w:p>
        </w:tc>
      </w:tr>
      <w:tr w14:paraId="5CB91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47A19365">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采购预算额度</w:t>
            </w:r>
          </w:p>
        </w:tc>
        <w:tc>
          <w:tcPr>
            <w:tcW w:w="7150" w:type="dxa"/>
            <w:tcBorders>
              <w:tl2br w:val="nil"/>
              <w:tr2bl w:val="nil"/>
            </w:tcBorders>
            <w:vAlign w:val="center"/>
          </w:tcPr>
          <w:p w14:paraId="1D641D73">
            <w:pPr>
              <w:spacing w:line="360" w:lineRule="auto"/>
              <w:rPr>
                <w:rFonts w:hint="default" w:ascii="宋体" w:hAnsi="宋体" w:cs="宋体"/>
                <w:color w:val="000000"/>
                <w:sz w:val="24"/>
                <w:szCs w:val="24"/>
                <w:lang w:val="en-US" w:eastAsia="zh-CN"/>
              </w:rPr>
            </w:pPr>
            <w:r>
              <w:rPr>
                <w:rFonts w:hint="eastAsia" w:ascii="宋体" w:hAnsi="宋体" w:cs="宋体"/>
                <w:color w:val="000000"/>
                <w:sz w:val="24"/>
                <w:szCs w:val="24"/>
                <w:highlight w:val="none"/>
                <w:lang w:val="en-US" w:eastAsia="zh-CN"/>
              </w:rPr>
              <w:t>70.00万元</w:t>
            </w:r>
          </w:p>
        </w:tc>
      </w:tr>
      <w:tr w14:paraId="58DBF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3C3B5F77">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项目分包个数</w:t>
            </w:r>
          </w:p>
        </w:tc>
        <w:tc>
          <w:tcPr>
            <w:tcW w:w="7150" w:type="dxa"/>
            <w:tcBorders>
              <w:tl2br w:val="nil"/>
              <w:tr2bl w:val="nil"/>
            </w:tcBorders>
            <w:vAlign w:val="center"/>
          </w:tcPr>
          <w:p w14:paraId="7B139D82">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无</w:t>
            </w:r>
          </w:p>
        </w:tc>
      </w:tr>
      <w:tr w14:paraId="73514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9" w:hRule="atLeast"/>
          <w:jc w:val="center"/>
        </w:trPr>
        <w:tc>
          <w:tcPr>
            <w:tcW w:w="2443" w:type="dxa"/>
            <w:tcBorders>
              <w:tl2br w:val="nil"/>
              <w:tr2bl w:val="nil"/>
            </w:tcBorders>
            <w:vAlign w:val="center"/>
          </w:tcPr>
          <w:p w14:paraId="082DEE74">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项目概况</w:t>
            </w:r>
          </w:p>
        </w:tc>
        <w:tc>
          <w:tcPr>
            <w:tcW w:w="7150" w:type="dxa"/>
            <w:tcBorders>
              <w:tl2br w:val="nil"/>
              <w:tr2bl w:val="nil"/>
            </w:tcBorders>
            <w:vAlign w:val="center"/>
          </w:tcPr>
          <w:p w14:paraId="731630C3">
            <w:pPr>
              <w:spacing w:line="360"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打捆机1台、履带收割机1台、轮式收割机1台、拖拉机1台、旋耕机1台、翻转铧1台、三轮农用车1辆，具体内容详见第三部分采</w:t>
            </w:r>
            <w:r>
              <w:rPr>
                <w:rFonts w:hint="eastAsia" w:ascii="宋体" w:hAnsi="宋体" w:eastAsia="宋体" w:cs="宋体"/>
                <w:color w:val="000000"/>
                <w:sz w:val="24"/>
                <w:szCs w:val="24"/>
                <w:highlight w:val="none"/>
                <w:lang w:val="en-US" w:eastAsia="zh-CN"/>
              </w:rPr>
              <w:t>购需求。</w:t>
            </w:r>
          </w:p>
        </w:tc>
      </w:tr>
      <w:tr w14:paraId="7E546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8" w:hRule="atLeast"/>
          <w:jc w:val="center"/>
        </w:trPr>
        <w:tc>
          <w:tcPr>
            <w:tcW w:w="2443" w:type="dxa"/>
            <w:tcBorders>
              <w:tl2br w:val="nil"/>
              <w:tr2bl w:val="nil"/>
            </w:tcBorders>
            <w:vAlign w:val="center"/>
          </w:tcPr>
          <w:p w14:paraId="07282B5F">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供应商资格条件</w:t>
            </w:r>
          </w:p>
        </w:tc>
        <w:tc>
          <w:tcPr>
            <w:tcW w:w="7150" w:type="dxa"/>
            <w:tcBorders>
              <w:tl2br w:val="nil"/>
              <w:tr2bl w:val="nil"/>
            </w:tcBorders>
            <w:vAlign w:val="center"/>
          </w:tcPr>
          <w:p w14:paraId="3ABE44F0">
            <w:pPr>
              <w:spacing w:line="360" w:lineRule="auto"/>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zh-CN" w:eastAsia="zh-CN"/>
              </w:rPr>
              <w:t xml:space="preserve"> 符合《政府采购法》第22条条件，并提供下列材料：</w:t>
            </w:r>
          </w:p>
          <w:p w14:paraId="62F79210">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eastAsia="zh-CN"/>
              </w:rPr>
              <w:t>）投标人的营业执照等证明文件，自然人的身份证明。</w:t>
            </w:r>
          </w:p>
          <w:p w14:paraId="7D09A40E">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eastAsia="zh-CN"/>
              </w:rPr>
              <w:t>）财务状况报告，依法缴纳税收和社会保障资金的相关材料。</w:t>
            </w:r>
          </w:p>
          <w:p w14:paraId="029BEECA">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eastAsia="zh-CN"/>
              </w:rPr>
              <w:t>）具备履行合同所必需的设备和专业技术能力的证明材料。</w:t>
            </w:r>
          </w:p>
          <w:p w14:paraId="0D32A5A3">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zh-CN" w:eastAsia="zh-CN"/>
              </w:rPr>
              <w:t>）参加政府采购活动前3年内在经营活动中没有重大违法记录的书面声明。</w:t>
            </w:r>
          </w:p>
          <w:p w14:paraId="217B9EC6">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eastAsia="zh-CN"/>
              </w:rPr>
              <w:t>）具备法律、行政法规规定的其他条件的证明材料。</w:t>
            </w:r>
          </w:p>
          <w:p w14:paraId="0C3EE8F7">
            <w:pPr>
              <w:spacing w:line="360" w:lineRule="auto"/>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zh-CN" w:eastAsia="zh-CN"/>
              </w:rPr>
              <w:t xml:space="preserve"> 单位负责人为同一人或者存在直接控股、管理关系的不同投标人，不得参加同一合同项下的政府采购活动。否则，皆取消投标资格；</w:t>
            </w:r>
          </w:p>
          <w:p w14:paraId="1AD013D1">
            <w:pPr>
              <w:spacing w:line="360" w:lineRule="auto"/>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zh-CN" w:eastAsia="zh-CN"/>
              </w:rPr>
              <w:t xml:space="preserve"> 本项目不接受投标人以联合体方式进行投标；</w:t>
            </w:r>
          </w:p>
          <w:p w14:paraId="2E603328">
            <w:pPr>
              <w:spacing w:line="360" w:lineRule="auto"/>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zh-CN" w:eastAsia="zh-CN"/>
              </w:rPr>
              <w:t xml:space="preserve"> </w:t>
            </w:r>
            <w:r>
              <w:rPr>
                <w:rFonts w:hint="eastAsia" w:ascii="宋体" w:hAnsi="宋体" w:eastAsia="宋体" w:cs="宋体"/>
                <w:color w:val="000000"/>
                <w:sz w:val="24"/>
                <w:szCs w:val="24"/>
                <w:lang w:val="en-US" w:eastAsia="zh-CN"/>
              </w:rPr>
              <w:t>经信用中国（www.creditchina.gov.cn）、中国政府采购网（www.ccgp.gov.cn）等渠道查询后，列入失信被执行人、重大税收违法案件当事人名单、政府采购严重违法失信行为记录名单的，取消竞谈资格</w:t>
            </w:r>
            <w:r>
              <w:rPr>
                <w:rFonts w:hint="eastAsia" w:ascii="宋体" w:hAnsi="宋体" w:eastAsia="宋体" w:cs="宋体"/>
                <w:color w:val="000000"/>
                <w:sz w:val="24"/>
                <w:szCs w:val="24"/>
                <w:lang w:val="zh-CN" w:eastAsia="zh-CN"/>
              </w:rPr>
              <w:t>；</w:t>
            </w:r>
          </w:p>
          <w:p w14:paraId="12D6BF7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5.为本采购项目提供整体设计、规范编制或者项目管理、监理、检 </w:t>
            </w:r>
          </w:p>
          <w:p w14:paraId="5725D4E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测等服务的供应商，不得再参加该采购项目的其他采购活动；</w:t>
            </w:r>
          </w:p>
          <w:p w14:paraId="692C7A2B">
            <w:pPr>
              <w:pStyle w:val="5"/>
              <w:numPr>
                <w:ilvl w:val="0"/>
                <w:numId w:val="3"/>
              </w:numPr>
              <w:rPr>
                <w:rFonts w:hint="eastAsia" w:ascii="宋体" w:hAnsi="宋体" w:eastAsia="宋体" w:cs="宋体"/>
                <w:color w:val="000000"/>
                <w:kern w:val="2"/>
                <w:sz w:val="24"/>
                <w:szCs w:val="24"/>
                <w:lang w:val="en-US" w:eastAsia="zh-CN" w:bidi="ar-SA"/>
              </w:rPr>
            </w:pPr>
            <w:r>
              <w:rPr>
                <w:rFonts w:ascii="微软雅黑" w:hAnsi="微软雅黑" w:eastAsia="微软雅黑" w:cs="微软雅黑"/>
                <w:i w:val="0"/>
                <w:iCs w:val="0"/>
                <w:caps w:val="0"/>
                <w:color w:val="000000"/>
                <w:spacing w:val="0"/>
                <w:sz w:val="24"/>
                <w:szCs w:val="24"/>
                <w:shd w:val="clear" w:fill="FCFCFC"/>
              </w:rPr>
              <w:t>不</w:t>
            </w:r>
            <w:r>
              <w:rPr>
                <w:rFonts w:hint="eastAsia" w:ascii="宋体" w:hAnsi="宋体" w:eastAsia="宋体" w:cs="宋体"/>
                <w:color w:val="000000"/>
                <w:kern w:val="2"/>
                <w:sz w:val="24"/>
                <w:szCs w:val="24"/>
                <w:lang w:val="en-US" w:eastAsia="zh-CN" w:bidi="ar-SA"/>
              </w:rPr>
              <w:t>具备独立承担民事责任的分公司不能以分公司名义参与政府采购活动（除银行、保险、石油石化、电力、通信等特殊行业外）。分公司参与本项目政府采购活动须提供总公司针对本项目的授权。</w:t>
            </w:r>
          </w:p>
          <w:p w14:paraId="71D5FC2B">
            <w:pPr>
              <w:keepNext w:val="0"/>
              <w:keepLines w:val="0"/>
              <w:pageBreakBefore w:val="0"/>
              <w:kinsoku/>
              <w:wordWrap/>
              <w:overflowPunct/>
              <w:topLinePunct w:val="0"/>
              <w:autoSpaceDE w:val="0"/>
              <w:autoSpaceDN w:val="0"/>
              <w:bidi w:val="0"/>
              <w:snapToGrid/>
              <w:spacing w:line="480" w:lineRule="exact"/>
              <w:textAlignment w:val="auto"/>
              <w:rPr>
                <w:rFonts w:hint="default" w:hAnsi="宋体" w:eastAsia="宋体" w:cs="宋体"/>
                <w:color w:val="auto"/>
                <w:spacing w:val="5"/>
                <w:position w:val="1"/>
                <w:sz w:val="24"/>
                <w:szCs w:val="24"/>
                <w:highlight w:val="none"/>
                <w:lang w:val="en-US" w:eastAsia="zh-CN"/>
              </w:rPr>
            </w:pPr>
            <w:r>
              <w:rPr>
                <w:rFonts w:hint="eastAsia" w:hAnsi="宋体" w:cs="宋体"/>
                <w:color w:val="auto"/>
                <w:spacing w:val="5"/>
                <w:position w:val="1"/>
                <w:sz w:val="24"/>
                <w:szCs w:val="24"/>
                <w:highlight w:val="none"/>
                <w:lang w:val="en-US" w:eastAsia="zh-CN"/>
              </w:rPr>
              <w:t>7</w:t>
            </w:r>
            <w:r>
              <w:rPr>
                <w:rFonts w:hint="eastAsia" w:hAnsi="宋体" w:eastAsia="宋体" w:cs="宋体"/>
                <w:color w:val="auto"/>
                <w:spacing w:val="5"/>
                <w:position w:val="1"/>
                <w:sz w:val="24"/>
                <w:szCs w:val="24"/>
                <w:highlight w:val="none"/>
                <w:lang w:val="en-US" w:eastAsia="zh-CN"/>
              </w:rPr>
              <w:t>、</w:t>
            </w:r>
            <w:r>
              <w:rPr>
                <w:rFonts w:hint="eastAsia" w:ascii="Times New Roman" w:hAnsi="Times New Roman" w:eastAsia="宋体" w:cs="Times New Roman"/>
                <w:color w:val="000000"/>
                <w:sz w:val="24"/>
                <w:szCs w:val="24"/>
                <w:lang w:val="zh-CN" w:eastAsia="zh-CN"/>
              </w:rPr>
              <w:t>落实政府采购政策需满足的资格要求：</w:t>
            </w:r>
          </w:p>
          <w:p w14:paraId="3AEC8EB7">
            <w:pPr>
              <w:keepNext w:val="0"/>
              <w:keepLines w:val="0"/>
              <w:pageBreakBefore w:val="0"/>
              <w:kinsoku/>
              <w:wordWrap/>
              <w:overflowPunct/>
              <w:topLinePunct w:val="0"/>
              <w:autoSpaceDE w:val="0"/>
              <w:autoSpaceDN w:val="0"/>
              <w:bidi w:val="0"/>
              <w:snapToGrid/>
              <w:spacing w:line="480" w:lineRule="exac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zh-CN" w:eastAsia="zh-CN"/>
              </w:rPr>
              <w:t>□ 专门面向中小企业采购</w:t>
            </w:r>
          </w:p>
          <w:p w14:paraId="35F2D4A0">
            <w:pPr>
              <w:keepNext w:val="0"/>
              <w:keepLines w:val="0"/>
              <w:pageBreakBefore w:val="0"/>
              <w:kinsoku/>
              <w:wordWrap/>
              <w:overflowPunct/>
              <w:topLinePunct w:val="0"/>
              <w:autoSpaceDE w:val="0"/>
              <w:autoSpaceDN w:val="0"/>
              <w:bidi w:val="0"/>
              <w:snapToGrid/>
              <w:spacing w:line="480" w:lineRule="exact"/>
              <w:textAlignment w:val="auto"/>
              <w:rPr>
                <w:rFonts w:hint="eastAsia" w:ascii="Times New Roman" w:hAnsi="Times New Roman" w:eastAsia="宋体" w:cs="Times New Roman"/>
                <w:color w:val="000000"/>
                <w:sz w:val="24"/>
                <w:szCs w:val="24"/>
                <w:lang w:val="zh-CN" w:eastAsia="zh-CN"/>
              </w:rPr>
            </w:pPr>
            <w:r>
              <w:rPr>
                <w:rFonts w:hint="eastAsia" w:ascii="Times New Roman" w:hAnsi="Times New Roman" w:eastAsia="宋体" w:cs="Times New Roman"/>
                <w:color w:val="000000"/>
                <w:sz w:val="24"/>
                <w:szCs w:val="24"/>
                <w:lang w:val="zh-CN" w:eastAsia="zh-CN"/>
              </w:rPr>
              <w:t>□ 专门面向小</w:t>
            </w:r>
            <w:r>
              <w:rPr>
                <w:rFonts w:hint="eastAsia" w:ascii="Times New Roman" w:hAnsi="Times New Roman" w:eastAsia="宋体" w:cs="Times New Roman"/>
                <w:color w:val="000000"/>
                <w:sz w:val="24"/>
                <w:szCs w:val="24"/>
                <w:lang w:val="en-US" w:eastAsia="zh-CN"/>
              </w:rPr>
              <w:t>微</w:t>
            </w:r>
            <w:r>
              <w:rPr>
                <w:rFonts w:hint="eastAsia" w:ascii="Times New Roman" w:hAnsi="Times New Roman" w:eastAsia="宋体" w:cs="Times New Roman"/>
                <w:color w:val="000000"/>
                <w:sz w:val="24"/>
                <w:szCs w:val="24"/>
                <w:lang w:val="zh-CN" w:eastAsia="zh-CN"/>
              </w:rPr>
              <w:t>企业采购</w:t>
            </w:r>
          </w:p>
          <w:p w14:paraId="54F100F4">
            <w:pPr>
              <w:keepNext w:val="0"/>
              <w:keepLines w:val="0"/>
              <w:pageBreakBefore w:val="0"/>
              <w:kinsoku/>
              <w:wordWrap/>
              <w:overflowPunct/>
              <w:topLinePunct w:val="0"/>
              <w:autoSpaceDE w:val="0"/>
              <w:autoSpaceDN w:val="0"/>
              <w:bidi w:val="0"/>
              <w:snapToGrid/>
              <w:spacing w:line="480" w:lineRule="exact"/>
              <w:textAlignment w:val="auto"/>
              <w:rPr>
                <w:rFonts w:hint="eastAsia" w:ascii="Times New Roman" w:hAnsi="Times New Roman" w:eastAsia="宋体" w:cs="Times New Roman"/>
                <w:color w:val="000000"/>
                <w:sz w:val="24"/>
                <w:szCs w:val="24"/>
                <w:lang w:val="zh-CN" w:eastAsia="zh-CN"/>
              </w:rPr>
            </w:pPr>
            <w:r>
              <w:rPr>
                <w:rFonts w:hint="eastAsia" w:ascii="Times New Roman" w:hAnsi="Times New Roman" w:eastAsia="宋体" w:cs="Times New Roman"/>
                <w:color w:val="000000"/>
                <w:sz w:val="24"/>
                <w:szCs w:val="24"/>
                <w:lang w:val="zh-CN" w:eastAsia="zh-CN"/>
              </w:rPr>
              <w:t xml:space="preserve">□ </w:t>
            </w:r>
            <w:r>
              <w:rPr>
                <w:rFonts w:hint="eastAsia" w:ascii="Times New Roman" w:hAnsi="Times New Roman" w:eastAsia="宋体" w:cs="Times New Roman"/>
                <w:color w:val="000000"/>
                <w:sz w:val="24"/>
                <w:szCs w:val="24"/>
                <w:lang w:val="en-US" w:eastAsia="zh-CN"/>
              </w:rPr>
              <w:t>部分</w:t>
            </w:r>
            <w:r>
              <w:rPr>
                <w:rFonts w:hint="eastAsia" w:ascii="Times New Roman" w:hAnsi="Times New Roman" w:eastAsia="宋体" w:cs="Times New Roman"/>
                <w:color w:val="000000"/>
                <w:sz w:val="24"/>
                <w:szCs w:val="24"/>
                <w:lang w:val="zh-CN" w:eastAsia="zh-CN"/>
              </w:rPr>
              <w:t>面向中小企业采购</w:t>
            </w:r>
          </w:p>
          <w:p w14:paraId="2954666F">
            <w:pPr>
              <w:keepNext w:val="0"/>
              <w:keepLines w:val="0"/>
              <w:pageBreakBefore w:val="0"/>
              <w:kinsoku/>
              <w:wordWrap/>
              <w:overflowPunct/>
              <w:topLinePunct w:val="0"/>
              <w:autoSpaceDE w:val="0"/>
              <w:autoSpaceDN w:val="0"/>
              <w:bidi w:val="0"/>
              <w:snapToGrid/>
              <w:spacing w:line="480" w:lineRule="exact"/>
              <w:textAlignment w:val="auto"/>
              <w:rPr>
                <w:rFonts w:hint="eastAsia" w:ascii="Times New Roman" w:hAnsi="Times New Roman" w:eastAsia="宋体" w:cs="Times New Roman"/>
                <w:color w:val="000000"/>
                <w:sz w:val="24"/>
                <w:szCs w:val="24"/>
                <w:lang w:val="zh-CN" w:eastAsia="zh-CN"/>
              </w:rPr>
            </w:pPr>
            <w:r>
              <w:rPr>
                <w:rFonts w:hint="eastAsia" w:ascii="Times New Roman" w:hAnsi="Times New Roman" w:eastAsia="宋体" w:cs="Times New Roman"/>
                <w:color w:val="000000"/>
                <w:sz w:val="24"/>
                <w:szCs w:val="24"/>
                <w:lang w:val="zh-CN" w:eastAsia="zh-CN"/>
              </w:rPr>
              <w:t>☑ 非专门面向中小企业采购：</w:t>
            </w:r>
          </w:p>
          <w:p w14:paraId="4260A9E1">
            <w:pPr>
              <w:pStyle w:val="6"/>
              <w:numPr>
                <w:ilvl w:val="0"/>
                <w:numId w:val="0"/>
              </w:numPr>
              <w:rPr>
                <w:rFonts w:hint="default"/>
                <w:lang w:val="en-US" w:eastAsia="zh-CN"/>
              </w:rPr>
            </w:pPr>
            <w:r>
              <w:rPr>
                <w:rFonts w:hint="eastAsia" w:ascii="Times New Roman" w:hAnsi="Times New Roman" w:eastAsia="宋体" w:cs="Times New Roman"/>
                <w:color w:val="000000"/>
                <w:sz w:val="24"/>
                <w:szCs w:val="24"/>
                <w:lang w:val="zh-CN" w:eastAsia="zh-CN"/>
              </w:rPr>
              <w:t>给予小型和微型企业产品的价格给予10%-20%的扣除，用扣除后的价格参与评审，本项目具体扣除比例为</w:t>
            </w:r>
            <w:r>
              <w:rPr>
                <w:rFonts w:hint="eastAsia" w:ascii="Times New Roman" w:hAnsi="Times New Roman" w:eastAsia="宋体" w:cs="Times New Roman"/>
                <w:color w:val="000000"/>
                <w:sz w:val="24"/>
                <w:szCs w:val="24"/>
                <w:lang w:val="en-US" w:eastAsia="zh-CN"/>
              </w:rPr>
              <w:t>10%。</w:t>
            </w:r>
          </w:p>
          <w:p w14:paraId="009857F8">
            <w:pPr>
              <w:spacing w:line="360" w:lineRule="auto"/>
              <w:rPr>
                <w:rFonts w:hint="default" w:ascii="宋体" w:hAnsi="宋体" w:eastAsia="宋体" w:cs="宋体"/>
                <w:color w:val="000000"/>
                <w:sz w:val="24"/>
                <w:szCs w:val="24"/>
                <w:lang w:val="en-US" w:eastAsia="zh-CN"/>
              </w:rPr>
            </w:pPr>
            <w:r>
              <w:rPr>
                <w:rFonts w:hint="eastAsia" w:ascii="宋体" w:hAnsi="宋体" w:cs="Times New Roman"/>
                <w:b/>
                <w:bCs/>
                <w:lang w:val="en-US" w:eastAsia="zh-CN"/>
              </w:rPr>
              <w:t>8、</w:t>
            </w:r>
            <w:r>
              <w:rPr>
                <w:rFonts w:hint="eastAsia" w:ascii="宋体" w:hAnsi="宋体" w:eastAsia="宋体" w:cs="Times New Roman"/>
                <w:b/>
                <w:bCs/>
                <w:lang w:val="zh-CN" w:eastAsia="zh-CN"/>
              </w:rPr>
              <w:t>采购标的所属行业</w:t>
            </w:r>
            <w:r>
              <w:rPr>
                <w:rFonts w:hint="eastAsia" w:ascii="宋体" w:hAnsi="宋体" w:eastAsia="宋体" w:cs="Times New Roman"/>
                <w:b/>
                <w:bCs/>
                <w:lang w:val="en-US" w:eastAsia="zh-CN"/>
              </w:rPr>
              <w:t>：本项目属于</w:t>
            </w:r>
            <w:r>
              <w:rPr>
                <w:rFonts w:hint="eastAsia" w:ascii="宋体" w:hAnsi="宋体" w:cs="Times New Roman"/>
                <w:b/>
                <w:bCs/>
                <w:lang w:val="en-US" w:eastAsia="zh-CN"/>
              </w:rPr>
              <w:t>工业行业</w:t>
            </w:r>
            <w:r>
              <w:rPr>
                <w:rFonts w:hint="eastAsia" w:ascii="宋体" w:hAnsi="宋体" w:eastAsia="宋体" w:cs="Times New Roman"/>
                <w:b/>
                <w:bCs/>
                <w:lang w:val="en-US" w:eastAsia="zh-CN"/>
              </w:rPr>
              <w:t>；</w:t>
            </w:r>
          </w:p>
        </w:tc>
      </w:tr>
      <w:tr w14:paraId="476D6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43" w:type="dxa"/>
            <w:tcBorders>
              <w:tl2br w:val="nil"/>
              <w:tr2bl w:val="nil"/>
            </w:tcBorders>
            <w:vAlign w:val="center"/>
          </w:tcPr>
          <w:p w14:paraId="7B4003F4">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是否接收联合体形式</w:t>
            </w:r>
          </w:p>
        </w:tc>
        <w:tc>
          <w:tcPr>
            <w:tcW w:w="7150" w:type="dxa"/>
            <w:tcBorders>
              <w:tl2br w:val="nil"/>
              <w:tr2bl w:val="nil"/>
            </w:tcBorders>
            <w:vAlign w:val="center"/>
          </w:tcPr>
          <w:p w14:paraId="58B5C9E6">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zh-CN" w:eastAsia="zh-CN"/>
              </w:rPr>
              <w:t>本项目</w:t>
            </w:r>
            <w:r>
              <w:rPr>
                <w:rFonts w:hint="eastAsia" w:ascii="宋体" w:hAnsi="宋体" w:cs="宋体"/>
                <w:color w:val="000000"/>
                <w:sz w:val="24"/>
                <w:szCs w:val="24"/>
                <w:lang w:val="en-US" w:eastAsia="zh-CN"/>
              </w:rPr>
              <w:t>不接受</w:t>
            </w:r>
            <w:r>
              <w:rPr>
                <w:rFonts w:hint="eastAsia" w:ascii="宋体" w:hAnsi="宋体" w:cs="宋体"/>
                <w:color w:val="000000"/>
                <w:sz w:val="24"/>
                <w:szCs w:val="24"/>
                <w:lang w:val="zh-CN" w:eastAsia="zh-CN"/>
              </w:rPr>
              <w:t xml:space="preserve">供应商以联合体方式进行谈判；         </w:t>
            </w:r>
          </w:p>
        </w:tc>
      </w:tr>
      <w:tr w14:paraId="323DC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2443" w:type="dxa"/>
            <w:tcBorders>
              <w:tl2br w:val="nil"/>
              <w:tr2bl w:val="nil"/>
            </w:tcBorders>
            <w:vAlign w:val="center"/>
          </w:tcPr>
          <w:p w14:paraId="2AE10688">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进口产品</w:t>
            </w:r>
          </w:p>
        </w:tc>
        <w:tc>
          <w:tcPr>
            <w:tcW w:w="7150" w:type="dxa"/>
            <w:tcBorders>
              <w:tl2br w:val="nil"/>
              <w:tr2bl w:val="nil"/>
            </w:tcBorders>
            <w:vAlign w:val="center"/>
          </w:tcPr>
          <w:p w14:paraId="396E3357">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本项目拒绝进口产品参加谈判采购</w:t>
            </w:r>
            <w:r>
              <w:rPr>
                <w:rFonts w:hint="eastAsia" w:ascii="宋体" w:hAnsi="宋体" w:cs="宋体"/>
                <w:color w:val="000000"/>
                <w:sz w:val="24"/>
                <w:szCs w:val="24"/>
                <w:lang w:val="zh-CN" w:eastAsia="zh-CN"/>
              </w:rPr>
              <w:t>。</w:t>
            </w:r>
          </w:p>
        </w:tc>
      </w:tr>
      <w:tr w14:paraId="6A438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2443" w:type="dxa"/>
            <w:tcBorders>
              <w:tl2br w:val="nil"/>
              <w:tr2bl w:val="nil"/>
            </w:tcBorders>
            <w:vAlign w:val="center"/>
          </w:tcPr>
          <w:p w14:paraId="29C03AF7">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rPr>
              <w:t>谈判文件的实质性变动内容</w:t>
            </w:r>
          </w:p>
        </w:tc>
        <w:tc>
          <w:tcPr>
            <w:tcW w:w="7150" w:type="dxa"/>
            <w:tcBorders>
              <w:tl2br w:val="nil"/>
              <w:tr2bl w:val="nil"/>
            </w:tcBorders>
            <w:vAlign w:val="center"/>
          </w:tcPr>
          <w:p w14:paraId="12F04C4B">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eastAsia="zh-CN"/>
              </w:rPr>
              <w:t>在谈判过程中，谈判小组可以根据谈判文件和谈判情况实质性变动采购需求中的技术、服务要求以及合同草案条款，但不得变动谈判文件中的其他内容。</w:t>
            </w:r>
          </w:p>
        </w:tc>
      </w:tr>
      <w:tr w14:paraId="174E0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2443" w:type="dxa"/>
            <w:tcBorders>
              <w:tl2br w:val="nil"/>
              <w:tr2bl w:val="nil"/>
            </w:tcBorders>
            <w:vAlign w:val="center"/>
          </w:tcPr>
          <w:p w14:paraId="6A6AC823">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公告发布时间</w:t>
            </w:r>
          </w:p>
        </w:tc>
        <w:tc>
          <w:tcPr>
            <w:tcW w:w="7150" w:type="dxa"/>
            <w:tcBorders>
              <w:tl2br w:val="nil"/>
              <w:tr2bl w:val="nil"/>
            </w:tcBorders>
            <w:vAlign w:val="center"/>
          </w:tcPr>
          <w:p w14:paraId="1D170092">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en-US" w:eastAsia="zh-CN"/>
              </w:rPr>
              <w:t>2026年05月18日</w:t>
            </w:r>
            <w:r>
              <w:rPr>
                <w:rFonts w:hint="eastAsia" w:ascii="宋体" w:hAnsi="宋体" w:cs="宋体"/>
                <w:color w:val="000000"/>
                <w:sz w:val="24"/>
                <w:szCs w:val="24"/>
                <w:lang w:val="zh-CN" w:eastAsia="zh-CN"/>
              </w:rPr>
              <w:t>（北京时间）</w:t>
            </w:r>
          </w:p>
        </w:tc>
      </w:tr>
      <w:tr w14:paraId="1A9F4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43" w:type="dxa"/>
            <w:tcBorders>
              <w:tl2br w:val="nil"/>
              <w:tr2bl w:val="nil"/>
            </w:tcBorders>
            <w:vAlign w:val="center"/>
          </w:tcPr>
          <w:p w14:paraId="016A42F9">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文件获取起止时间</w:t>
            </w:r>
          </w:p>
        </w:tc>
        <w:tc>
          <w:tcPr>
            <w:tcW w:w="7150" w:type="dxa"/>
            <w:tcBorders>
              <w:tl2br w:val="nil"/>
              <w:tr2bl w:val="nil"/>
            </w:tcBorders>
            <w:vAlign w:val="center"/>
          </w:tcPr>
          <w:p w14:paraId="189CA91D">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2026年05月18日</w:t>
            </w:r>
            <w:r>
              <w:rPr>
                <w:rFonts w:hint="eastAsia" w:ascii="宋体" w:hAnsi="宋体" w:cs="宋体"/>
                <w:color w:val="000000"/>
                <w:sz w:val="24"/>
                <w:szCs w:val="24"/>
                <w:lang w:val="zh-CN" w:eastAsia="zh-CN"/>
              </w:rPr>
              <w:t xml:space="preserve">至 </w:t>
            </w:r>
            <w:r>
              <w:rPr>
                <w:rFonts w:hint="eastAsia" w:ascii="宋体" w:hAnsi="宋体" w:cs="宋体"/>
                <w:color w:val="000000"/>
                <w:sz w:val="24"/>
                <w:szCs w:val="24"/>
                <w:lang w:val="en-US" w:eastAsia="zh-CN"/>
              </w:rPr>
              <w:t>2026</w:t>
            </w:r>
            <w:r>
              <w:rPr>
                <w:rFonts w:hint="eastAsia" w:ascii="宋体" w:hAnsi="宋体" w:cs="宋体"/>
                <w:color w:val="000000"/>
                <w:sz w:val="24"/>
                <w:szCs w:val="24"/>
                <w:lang w:val="zh-CN" w:eastAsia="zh-CN"/>
              </w:rPr>
              <w:t>年</w:t>
            </w:r>
            <w:r>
              <w:rPr>
                <w:rFonts w:hint="eastAsia" w:ascii="宋体" w:hAnsi="宋体" w:cs="宋体"/>
                <w:color w:val="000000"/>
                <w:sz w:val="24"/>
                <w:szCs w:val="24"/>
                <w:lang w:val="en-US" w:eastAsia="zh-CN"/>
              </w:rPr>
              <w:t>05</w:t>
            </w:r>
            <w:r>
              <w:rPr>
                <w:rFonts w:hint="eastAsia" w:ascii="宋体" w:hAnsi="宋体" w:cs="宋体"/>
                <w:color w:val="000000"/>
                <w:sz w:val="24"/>
                <w:szCs w:val="24"/>
                <w:lang w:val="zh-CN" w:eastAsia="zh-CN"/>
              </w:rPr>
              <w:t>月</w:t>
            </w:r>
            <w:r>
              <w:rPr>
                <w:rFonts w:hint="eastAsia" w:ascii="宋体" w:hAnsi="宋体" w:cs="宋体"/>
                <w:color w:val="000000"/>
                <w:sz w:val="24"/>
                <w:szCs w:val="24"/>
                <w:lang w:val="en-US" w:eastAsia="zh-CN"/>
              </w:rPr>
              <w:t>21</w:t>
            </w:r>
            <w:r>
              <w:rPr>
                <w:rFonts w:hint="eastAsia" w:ascii="宋体" w:hAnsi="宋体" w:cs="宋体"/>
                <w:color w:val="000000"/>
                <w:sz w:val="24"/>
                <w:szCs w:val="24"/>
                <w:lang w:val="zh-CN" w:eastAsia="zh-CN"/>
              </w:rPr>
              <w:t xml:space="preserve">日（北京时间）          </w:t>
            </w:r>
          </w:p>
        </w:tc>
      </w:tr>
      <w:tr w14:paraId="28419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atLeast"/>
          <w:jc w:val="center"/>
        </w:trPr>
        <w:tc>
          <w:tcPr>
            <w:tcW w:w="2443" w:type="dxa"/>
            <w:tcBorders>
              <w:tl2br w:val="nil"/>
              <w:tr2bl w:val="nil"/>
            </w:tcBorders>
            <w:vAlign w:val="center"/>
          </w:tcPr>
          <w:p w14:paraId="7AB5E4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获取方式</w:t>
            </w:r>
          </w:p>
        </w:tc>
        <w:tc>
          <w:tcPr>
            <w:tcW w:w="7150" w:type="dxa"/>
            <w:tcBorders>
              <w:tl2br w:val="nil"/>
              <w:tr2bl w:val="nil"/>
            </w:tcBorders>
            <w:vAlign w:val="center"/>
          </w:tcPr>
          <w:p w14:paraId="63F078B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u w:val="none"/>
                <w:lang w:val="zh-CN"/>
              </w:rPr>
            </w:pPr>
            <w:r>
              <w:rPr>
                <w:rFonts w:hint="eastAsia" w:ascii="宋体" w:hAnsi="宋体" w:cs="宋体"/>
                <w:color w:val="000000"/>
                <w:sz w:val="24"/>
                <w:szCs w:val="24"/>
                <w:lang w:val="en-US" w:eastAsia="zh-CN"/>
              </w:rPr>
              <w:t>供应商登录政采云平台在线申请获取采购文件（进入“项目采购”应用，在获取采购文件菜单中选择项目，申请获取采购文件）</w:t>
            </w:r>
          </w:p>
        </w:tc>
      </w:tr>
      <w:tr w14:paraId="4C842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2" w:hRule="atLeast"/>
          <w:jc w:val="center"/>
        </w:trPr>
        <w:tc>
          <w:tcPr>
            <w:tcW w:w="2443" w:type="dxa"/>
            <w:tcBorders>
              <w:tl2br w:val="nil"/>
              <w:tr2bl w:val="nil"/>
            </w:tcBorders>
            <w:vAlign w:val="center"/>
          </w:tcPr>
          <w:p w14:paraId="356ECA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采购人名称、地址、电话、联系人</w:t>
            </w:r>
          </w:p>
        </w:tc>
        <w:tc>
          <w:tcPr>
            <w:tcW w:w="7150" w:type="dxa"/>
            <w:tcBorders>
              <w:tl2br w:val="nil"/>
              <w:tr2bl w:val="nil"/>
            </w:tcBorders>
            <w:vAlign w:val="center"/>
          </w:tcPr>
          <w:p w14:paraId="7471CB1D">
            <w:pPr>
              <w:spacing w:line="360" w:lineRule="auto"/>
              <w:jc w:val="left"/>
              <w:rPr>
                <w:rFonts w:hint="eastAsia" w:ascii="宋体" w:hAnsi="Calibri" w:eastAsia="宋体" w:cs="宋体"/>
                <w:color w:val="000000"/>
                <w:kern w:val="0"/>
                <w:sz w:val="24"/>
                <w:szCs w:val="24"/>
                <w:lang w:val="zh-CN" w:eastAsia="zh-CN"/>
              </w:rPr>
            </w:pPr>
            <w:r>
              <w:rPr>
                <w:rFonts w:hint="eastAsia" w:ascii="宋体" w:hAnsi="Calibri" w:eastAsia="宋体" w:cs="宋体"/>
                <w:color w:val="000000"/>
                <w:kern w:val="0"/>
                <w:sz w:val="24"/>
                <w:szCs w:val="24"/>
                <w:lang w:val="zh-CN" w:eastAsia="zh-CN"/>
              </w:rPr>
              <w:t>名称：同德县农牧水利和科技局</w:t>
            </w:r>
          </w:p>
          <w:p w14:paraId="6C3570CD">
            <w:pPr>
              <w:spacing w:line="360" w:lineRule="auto"/>
              <w:jc w:val="left"/>
              <w:rPr>
                <w:rFonts w:hint="eastAsia" w:ascii="宋体" w:hAnsi="Calibri" w:eastAsia="宋体" w:cs="宋体"/>
                <w:color w:val="000000"/>
                <w:kern w:val="0"/>
                <w:sz w:val="24"/>
                <w:szCs w:val="24"/>
                <w:lang w:val="zh-CN" w:eastAsia="zh-CN"/>
              </w:rPr>
            </w:pPr>
            <w:r>
              <w:rPr>
                <w:rFonts w:hint="eastAsia" w:ascii="宋体" w:hAnsi="Calibri" w:eastAsia="宋体" w:cs="宋体"/>
                <w:color w:val="000000"/>
                <w:kern w:val="0"/>
                <w:sz w:val="24"/>
                <w:szCs w:val="24"/>
                <w:lang w:val="zh-CN" w:eastAsia="zh-CN"/>
              </w:rPr>
              <w:t>地址：</w:t>
            </w:r>
            <w:r>
              <w:rPr>
                <w:rFonts w:hint="eastAsia" w:ascii="宋体" w:hAnsi="Calibri" w:eastAsia="宋体" w:cs="宋体"/>
                <w:color w:val="000000"/>
                <w:kern w:val="0"/>
                <w:sz w:val="24"/>
                <w:szCs w:val="24"/>
                <w:lang w:val="en-US" w:eastAsia="zh-CN"/>
              </w:rPr>
              <w:t>同德县</w:t>
            </w:r>
          </w:p>
          <w:p w14:paraId="387C20EE">
            <w:pPr>
              <w:spacing w:line="360" w:lineRule="auto"/>
              <w:jc w:val="left"/>
              <w:rPr>
                <w:rFonts w:hint="default" w:ascii="宋体" w:hAnsi="Calibri" w:eastAsia="宋体" w:cs="宋体"/>
                <w:color w:val="000000"/>
                <w:kern w:val="0"/>
                <w:sz w:val="24"/>
                <w:szCs w:val="24"/>
                <w:lang w:val="en-US" w:eastAsia="zh-CN"/>
              </w:rPr>
            </w:pPr>
            <w:r>
              <w:rPr>
                <w:rFonts w:hint="eastAsia" w:ascii="宋体" w:hAnsi="Calibri" w:eastAsia="宋体" w:cs="宋体"/>
                <w:color w:val="000000"/>
                <w:kern w:val="0"/>
                <w:sz w:val="24"/>
                <w:szCs w:val="24"/>
                <w:lang w:val="zh-CN" w:eastAsia="zh-CN"/>
              </w:rPr>
              <w:t>联系人：</w:t>
            </w:r>
            <w:r>
              <w:rPr>
                <w:rFonts w:hint="eastAsia" w:ascii="宋体" w:hAnsi="Calibri" w:eastAsia="宋体" w:cs="宋体"/>
                <w:color w:val="000000"/>
                <w:kern w:val="0"/>
                <w:sz w:val="24"/>
                <w:szCs w:val="24"/>
                <w:lang w:val="en-US" w:eastAsia="zh-CN"/>
              </w:rPr>
              <w:t>牛老师</w:t>
            </w:r>
          </w:p>
          <w:p w14:paraId="44389CAF">
            <w:pPr>
              <w:spacing w:line="360" w:lineRule="auto"/>
              <w:jc w:val="left"/>
              <w:rPr>
                <w:rFonts w:hint="eastAsia" w:ascii="宋体" w:hAnsi="Calibri" w:eastAsia="宋体" w:cs="宋体"/>
                <w:color w:val="000000"/>
                <w:kern w:val="0"/>
                <w:sz w:val="24"/>
                <w:szCs w:val="24"/>
                <w:lang w:val="zh-CN" w:eastAsia="zh-CN"/>
              </w:rPr>
            </w:pPr>
            <w:r>
              <w:rPr>
                <w:rFonts w:hint="eastAsia" w:ascii="宋体" w:hAnsi="Calibri" w:eastAsia="宋体" w:cs="宋体"/>
                <w:color w:val="000000"/>
                <w:kern w:val="0"/>
                <w:sz w:val="24"/>
                <w:szCs w:val="24"/>
                <w:lang w:val="zh-CN" w:eastAsia="zh-CN"/>
              </w:rPr>
              <w:t>联系方式：0974-8591270</w:t>
            </w:r>
          </w:p>
          <w:p w14:paraId="522905FD">
            <w:pPr>
              <w:spacing w:line="360" w:lineRule="auto"/>
              <w:jc w:val="left"/>
              <w:rPr>
                <w:rFonts w:hint="eastAsia"/>
                <w:lang w:val="zh-CN" w:eastAsia="zh-CN"/>
              </w:rPr>
            </w:pPr>
            <w:r>
              <w:rPr>
                <w:rFonts w:hint="eastAsia" w:ascii="宋体" w:hAnsi="Calibri" w:eastAsia="宋体" w:cs="宋体"/>
                <w:color w:val="000000"/>
                <w:kern w:val="0"/>
                <w:sz w:val="24"/>
                <w:szCs w:val="24"/>
                <w:lang w:val="en-US" w:eastAsia="zh-CN"/>
              </w:rPr>
              <w:t>联系地址：</w:t>
            </w:r>
            <w:r>
              <w:rPr>
                <w:rFonts w:hint="eastAsia" w:ascii="宋体" w:hAnsi="Calibri" w:eastAsia="宋体" w:cs="宋体"/>
                <w:color w:val="000000"/>
                <w:kern w:val="0"/>
                <w:sz w:val="24"/>
                <w:szCs w:val="24"/>
                <w:lang w:val="zh-CN" w:eastAsia="zh-CN"/>
              </w:rPr>
              <w:t>同德县旧城区政府办公楼(西大街1号)</w:t>
            </w:r>
          </w:p>
        </w:tc>
      </w:tr>
      <w:tr w14:paraId="4983B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43" w:type="dxa"/>
            <w:tcBorders>
              <w:tl2br w:val="nil"/>
              <w:tr2bl w:val="nil"/>
            </w:tcBorders>
            <w:vAlign w:val="center"/>
          </w:tcPr>
          <w:p w14:paraId="20DAC4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采购代理机构及联系人电话</w:t>
            </w:r>
          </w:p>
        </w:tc>
        <w:tc>
          <w:tcPr>
            <w:tcW w:w="7150" w:type="dxa"/>
            <w:tcBorders>
              <w:tl2br w:val="nil"/>
              <w:tr2bl w:val="nil"/>
            </w:tcBorders>
            <w:vAlign w:val="center"/>
          </w:tcPr>
          <w:p w14:paraId="387D6BD1">
            <w:pPr>
              <w:spacing w:line="360" w:lineRule="auto"/>
              <w:jc w:val="left"/>
              <w:rPr>
                <w:rFonts w:hint="eastAsia" w:ascii="宋体" w:hAnsi="Calibri" w:eastAsia="宋体" w:cs="宋体"/>
                <w:color w:val="000000"/>
                <w:kern w:val="0"/>
                <w:sz w:val="24"/>
                <w:szCs w:val="24"/>
                <w:lang w:val="zh-CN"/>
              </w:rPr>
            </w:pPr>
            <w:r>
              <w:rPr>
                <w:rFonts w:hint="eastAsia" w:ascii="宋体" w:hAnsi="Calibri" w:cs="宋体"/>
                <w:color w:val="000000"/>
                <w:kern w:val="0"/>
                <w:sz w:val="24"/>
                <w:szCs w:val="24"/>
                <w:lang w:val="zh-CN"/>
              </w:rPr>
              <w:t>采</w:t>
            </w:r>
            <w:r>
              <w:rPr>
                <w:rFonts w:hint="eastAsia" w:ascii="宋体" w:hAnsi="Calibri" w:eastAsia="宋体" w:cs="宋体"/>
                <w:color w:val="000000"/>
                <w:kern w:val="0"/>
                <w:sz w:val="24"/>
                <w:szCs w:val="24"/>
                <w:lang w:val="zh-CN"/>
              </w:rPr>
              <w:t>购代理机构：</w:t>
            </w:r>
            <w:r>
              <w:rPr>
                <w:rFonts w:hint="eastAsia" w:ascii="宋体" w:hAnsi="Calibri" w:cs="宋体"/>
                <w:color w:val="000000"/>
                <w:kern w:val="0"/>
                <w:sz w:val="24"/>
                <w:szCs w:val="24"/>
                <w:lang w:val="zh-CN"/>
              </w:rPr>
              <w:t>青海拓鑫工程项目管理有限公司</w:t>
            </w:r>
          </w:p>
          <w:p w14:paraId="4EA12772">
            <w:pPr>
              <w:spacing w:line="360" w:lineRule="auto"/>
              <w:jc w:val="left"/>
              <w:rPr>
                <w:rFonts w:hint="eastAsia" w:ascii="宋体" w:hAnsi="Calibri" w:cs="宋体"/>
                <w:color w:val="000000"/>
                <w:kern w:val="0"/>
                <w:sz w:val="24"/>
                <w:szCs w:val="24"/>
                <w:lang w:val="en-US" w:eastAsia="zh-CN"/>
              </w:rPr>
            </w:pPr>
            <w:r>
              <w:rPr>
                <w:rFonts w:hint="eastAsia" w:ascii="宋体" w:hAnsi="Calibri" w:eastAsia="宋体" w:cs="宋体"/>
                <w:color w:val="000000"/>
                <w:kern w:val="0"/>
                <w:sz w:val="24"/>
                <w:szCs w:val="24"/>
                <w:lang w:val="zh-CN"/>
              </w:rPr>
              <w:t>联系人：</w:t>
            </w:r>
            <w:r>
              <w:rPr>
                <w:rFonts w:hint="eastAsia" w:ascii="宋体" w:hAnsi="Calibri" w:cs="宋体"/>
                <w:color w:val="000000"/>
                <w:kern w:val="0"/>
                <w:sz w:val="24"/>
                <w:szCs w:val="24"/>
                <w:lang w:val="en-US" w:eastAsia="zh-CN"/>
              </w:rPr>
              <w:t>祁女士</w:t>
            </w:r>
          </w:p>
          <w:p w14:paraId="6BC9C38E">
            <w:pPr>
              <w:spacing w:line="360" w:lineRule="auto"/>
              <w:jc w:val="left"/>
              <w:rPr>
                <w:rFonts w:hint="eastAsia" w:ascii="宋体" w:hAnsi="Calibri" w:eastAsia="宋体" w:cs="宋体"/>
                <w:color w:val="000000"/>
                <w:kern w:val="0"/>
                <w:sz w:val="24"/>
                <w:szCs w:val="24"/>
                <w:lang w:val="en-US" w:eastAsia="zh-CN"/>
              </w:rPr>
            </w:pPr>
            <w:r>
              <w:rPr>
                <w:rFonts w:hint="eastAsia" w:ascii="宋体" w:hAnsi="Calibri" w:eastAsia="宋体" w:cs="宋体"/>
                <w:color w:val="000000"/>
                <w:kern w:val="0"/>
                <w:sz w:val="24"/>
                <w:szCs w:val="24"/>
                <w:lang w:val="zh-CN"/>
              </w:rPr>
              <w:t>联系电话：</w:t>
            </w:r>
            <w:r>
              <w:rPr>
                <w:rFonts w:hint="eastAsia" w:ascii="Times New Roman" w:hAnsi="Times New Roman" w:eastAsia="宋体" w:cs="Times New Roman"/>
                <w:lang w:val="zh-CN"/>
              </w:rPr>
              <w:t>0971-6154919</w:t>
            </w:r>
          </w:p>
          <w:p w14:paraId="010FB6FF">
            <w:pPr>
              <w:keepNext w:val="0"/>
              <w:keepLines w:val="0"/>
              <w:widowControl/>
              <w:suppressLineNumbers w:val="0"/>
              <w:spacing w:line="360" w:lineRule="auto"/>
              <w:jc w:val="left"/>
              <w:rPr>
                <w:rFonts w:hint="eastAsia" w:ascii="宋体" w:hAnsi="Calibri" w:cs="宋体"/>
                <w:color w:val="000000"/>
                <w:kern w:val="0"/>
                <w:sz w:val="24"/>
                <w:szCs w:val="24"/>
                <w:lang w:val="zh-CN"/>
              </w:rPr>
            </w:pPr>
            <w:r>
              <w:rPr>
                <w:rFonts w:hint="eastAsia" w:ascii="宋体" w:hAnsi="Calibri" w:eastAsia="宋体" w:cs="宋体"/>
                <w:color w:val="000000"/>
                <w:kern w:val="0"/>
                <w:sz w:val="24"/>
                <w:szCs w:val="24"/>
                <w:lang w:val="zh-CN"/>
              </w:rPr>
              <w:t>邮箱</w:t>
            </w:r>
            <w:r>
              <w:rPr>
                <w:rFonts w:hint="eastAsia" w:ascii="宋体" w:hAnsi="Calibri" w:eastAsia="宋体" w:cs="宋体"/>
                <w:color w:val="000000"/>
                <w:kern w:val="0"/>
                <w:sz w:val="24"/>
                <w:szCs w:val="24"/>
                <w:lang w:val="en-US" w:eastAsia="zh-CN"/>
              </w:rPr>
              <w:t>号：</w:t>
            </w:r>
            <w:r>
              <w:rPr>
                <w:rFonts w:hint="eastAsia" w:ascii="宋体" w:hAnsi="Calibri" w:cs="宋体"/>
                <w:color w:val="000000"/>
                <w:kern w:val="0"/>
                <w:sz w:val="24"/>
                <w:szCs w:val="24"/>
                <w:lang w:val="zh-CN"/>
              </w:rPr>
              <w:fldChar w:fldCharType="begin"/>
            </w:r>
            <w:r>
              <w:rPr>
                <w:rFonts w:hint="eastAsia" w:ascii="宋体" w:hAnsi="Calibri" w:cs="宋体"/>
                <w:color w:val="000000"/>
                <w:kern w:val="0"/>
                <w:sz w:val="24"/>
                <w:szCs w:val="24"/>
                <w:lang w:val="zh-CN"/>
              </w:rPr>
              <w:instrText xml:space="preserve"> HYPERLINK "mailto:qhtx6666@163.com" </w:instrText>
            </w:r>
            <w:r>
              <w:rPr>
                <w:rFonts w:hint="eastAsia" w:ascii="宋体" w:hAnsi="Calibri" w:cs="宋体"/>
                <w:color w:val="000000"/>
                <w:kern w:val="0"/>
                <w:sz w:val="24"/>
                <w:szCs w:val="24"/>
                <w:lang w:val="zh-CN"/>
              </w:rPr>
              <w:fldChar w:fldCharType="separate"/>
            </w:r>
            <w:r>
              <w:rPr>
                <w:rStyle w:val="23"/>
                <w:rFonts w:hint="eastAsia" w:ascii="宋体" w:hAnsi="Calibri" w:cs="宋体"/>
                <w:kern w:val="0"/>
                <w:sz w:val="24"/>
                <w:szCs w:val="24"/>
                <w:lang w:val="zh-CN"/>
              </w:rPr>
              <w:t>qhtx6666@163.com</w:t>
            </w:r>
            <w:r>
              <w:rPr>
                <w:rFonts w:hint="eastAsia" w:ascii="宋体" w:hAnsi="Calibri" w:cs="宋体"/>
                <w:color w:val="000000"/>
                <w:kern w:val="0"/>
                <w:sz w:val="24"/>
                <w:szCs w:val="24"/>
                <w:lang w:val="zh-CN"/>
              </w:rPr>
              <w:fldChar w:fldCharType="end"/>
            </w:r>
          </w:p>
          <w:p w14:paraId="6DB42B11">
            <w:pPr>
              <w:keepNext w:val="0"/>
              <w:keepLines w:val="0"/>
              <w:widowControl/>
              <w:suppressLineNumbers w:val="0"/>
              <w:spacing w:line="360" w:lineRule="auto"/>
              <w:jc w:val="left"/>
              <w:rPr>
                <w:rFonts w:hint="eastAsia" w:ascii="宋体" w:hAnsi="Calibri" w:cs="宋体"/>
                <w:color w:val="000000"/>
                <w:kern w:val="0"/>
                <w:sz w:val="24"/>
                <w:szCs w:val="24"/>
                <w:lang w:val="zh-CN" w:eastAsia="zh-CN"/>
              </w:rPr>
            </w:pPr>
            <w:r>
              <w:rPr>
                <w:rFonts w:hint="eastAsia" w:ascii="宋体" w:hAnsi="Calibri" w:eastAsia="宋体" w:cs="宋体"/>
                <w:color w:val="000000"/>
                <w:kern w:val="0"/>
                <w:sz w:val="24"/>
                <w:szCs w:val="24"/>
                <w:lang w:val="zh-CN"/>
              </w:rPr>
              <w:t>联</w:t>
            </w:r>
            <w:r>
              <w:rPr>
                <w:rFonts w:hint="eastAsia" w:ascii="宋体" w:hAnsi="Calibri" w:cs="宋体"/>
                <w:color w:val="000000"/>
                <w:kern w:val="0"/>
                <w:sz w:val="24"/>
                <w:szCs w:val="24"/>
                <w:lang w:val="zh-CN" w:eastAsia="zh-CN"/>
              </w:rPr>
              <w:t>系地址：</w:t>
            </w:r>
            <w:r>
              <w:rPr>
                <w:rFonts w:hint="eastAsia" w:ascii="宋体" w:hAnsi="Calibri" w:cs="宋体"/>
                <w:color w:val="000000"/>
                <w:kern w:val="0"/>
                <w:sz w:val="24"/>
                <w:szCs w:val="24"/>
                <w:lang w:val="en-US" w:eastAsia="zh-CN"/>
              </w:rPr>
              <w:t>青海省西宁市西关大街130号金座美仑3号楼7层10712室</w:t>
            </w:r>
          </w:p>
        </w:tc>
      </w:tr>
      <w:tr w14:paraId="1D2B8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8" w:hRule="atLeast"/>
          <w:jc w:val="center"/>
        </w:trPr>
        <w:tc>
          <w:tcPr>
            <w:tcW w:w="2443" w:type="dxa"/>
            <w:tcBorders>
              <w:tl2br w:val="nil"/>
              <w:tr2bl w:val="nil"/>
            </w:tcBorders>
            <w:vAlign w:val="center"/>
          </w:tcPr>
          <w:p w14:paraId="70AF12CE">
            <w:pPr>
              <w:spacing w:line="360" w:lineRule="auto"/>
              <w:jc w:val="left"/>
              <w:rPr>
                <w:rFonts w:hint="eastAsia" w:ascii="宋体" w:hAnsi="Calibri" w:eastAsia="宋体" w:cs="宋体"/>
                <w:color w:val="000000"/>
                <w:kern w:val="0"/>
                <w:sz w:val="24"/>
                <w:szCs w:val="24"/>
                <w:lang w:val="zh-CN" w:eastAsia="zh-CN" w:bidi="ar-SA"/>
              </w:rPr>
            </w:pPr>
            <w:r>
              <w:rPr>
                <w:rFonts w:hint="eastAsia" w:ascii="宋体" w:hAnsi="Calibri" w:cs="宋体"/>
                <w:color w:val="000000"/>
                <w:kern w:val="0"/>
                <w:sz w:val="24"/>
                <w:szCs w:val="24"/>
                <w:lang w:val="zh-CN"/>
              </w:rPr>
              <w:t>采购代理机构开户银行（保证金账户）</w:t>
            </w:r>
          </w:p>
        </w:tc>
        <w:tc>
          <w:tcPr>
            <w:tcW w:w="7150" w:type="dxa"/>
            <w:tcBorders>
              <w:tl2br w:val="nil"/>
              <w:tr2bl w:val="nil"/>
            </w:tcBorders>
            <w:vAlign w:val="center"/>
          </w:tcPr>
          <w:p w14:paraId="0038B4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s="宋体"/>
                <w:color w:val="000000"/>
                <w:kern w:val="0"/>
                <w:sz w:val="24"/>
                <w:szCs w:val="24"/>
                <w:lang w:val="zh-CN"/>
              </w:rPr>
            </w:pPr>
            <w:r>
              <w:rPr>
                <w:rFonts w:hint="eastAsia" w:ascii="宋体" w:hAnsi="宋体" w:eastAsia="宋体" w:cs="宋体"/>
                <w:b/>
                <w:bCs/>
                <w:sz w:val="24"/>
                <w:szCs w:val="24"/>
                <w:lang w:val="zh-CN" w:eastAsia="zh-CN"/>
              </w:rPr>
              <w:t>青海西宁农村商业银行股份有限公司市民中心支行</w:t>
            </w:r>
          </w:p>
        </w:tc>
      </w:tr>
      <w:tr w14:paraId="5121F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443" w:type="dxa"/>
            <w:tcBorders>
              <w:tl2br w:val="nil"/>
              <w:tr2bl w:val="nil"/>
            </w:tcBorders>
            <w:vAlign w:val="center"/>
          </w:tcPr>
          <w:p w14:paraId="7DB261CF">
            <w:pPr>
              <w:spacing w:line="360" w:lineRule="auto"/>
              <w:jc w:val="left"/>
              <w:rPr>
                <w:rFonts w:hint="eastAsia" w:ascii="宋体" w:hAnsi="Calibri" w:eastAsia="宋体" w:cs="宋体"/>
                <w:color w:val="000000"/>
                <w:kern w:val="0"/>
                <w:sz w:val="24"/>
                <w:szCs w:val="24"/>
                <w:lang w:val="zh-CN" w:eastAsia="zh-CN" w:bidi="ar-SA"/>
              </w:rPr>
            </w:pPr>
            <w:r>
              <w:rPr>
                <w:rFonts w:hint="eastAsia" w:ascii="宋体" w:hAnsi="Calibri" w:cs="宋体"/>
                <w:color w:val="000000"/>
                <w:kern w:val="0"/>
                <w:sz w:val="24"/>
                <w:szCs w:val="24"/>
                <w:lang w:val="zh-CN"/>
              </w:rPr>
              <w:t>收款人</w:t>
            </w:r>
          </w:p>
        </w:tc>
        <w:tc>
          <w:tcPr>
            <w:tcW w:w="7150" w:type="dxa"/>
            <w:tcBorders>
              <w:tl2br w:val="nil"/>
              <w:tr2bl w:val="nil"/>
            </w:tcBorders>
            <w:vAlign w:val="center"/>
          </w:tcPr>
          <w:p w14:paraId="1291DE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s="宋体"/>
                <w:color w:val="000000"/>
                <w:kern w:val="0"/>
                <w:sz w:val="24"/>
                <w:szCs w:val="24"/>
                <w:lang w:val="zh-CN"/>
              </w:rPr>
            </w:pPr>
            <w:r>
              <w:rPr>
                <w:rFonts w:hint="eastAsia" w:ascii="宋体" w:hAnsi="宋体" w:eastAsia="宋体" w:cs="宋体"/>
                <w:b/>
                <w:bCs/>
                <w:sz w:val="24"/>
                <w:szCs w:val="24"/>
                <w:lang w:val="zh-CN" w:eastAsia="zh-CN"/>
              </w:rPr>
              <w:t>青海拓鑫工程项目管理有限公司</w:t>
            </w:r>
          </w:p>
        </w:tc>
      </w:tr>
      <w:tr w14:paraId="0F5E8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2443" w:type="dxa"/>
            <w:tcBorders>
              <w:tl2br w:val="nil"/>
              <w:tr2bl w:val="nil"/>
            </w:tcBorders>
            <w:vAlign w:val="center"/>
          </w:tcPr>
          <w:p w14:paraId="3C2C4B49">
            <w:pPr>
              <w:spacing w:line="360" w:lineRule="auto"/>
              <w:jc w:val="left"/>
              <w:rPr>
                <w:rFonts w:hint="eastAsia" w:ascii="宋体" w:hAnsi="Calibri" w:eastAsia="宋体" w:cs="宋体"/>
                <w:color w:val="000000"/>
                <w:kern w:val="0"/>
                <w:sz w:val="24"/>
                <w:szCs w:val="24"/>
                <w:lang w:val="zh-CN" w:eastAsia="zh-CN" w:bidi="ar-SA"/>
              </w:rPr>
            </w:pPr>
            <w:r>
              <w:rPr>
                <w:rFonts w:hint="eastAsia" w:ascii="宋体" w:hAnsi="Calibri" w:cs="宋体"/>
                <w:color w:val="000000"/>
                <w:kern w:val="0"/>
                <w:sz w:val="24"/>
                <w:szCs w:val="24"/>
                <w:lang w:val="zh-CN"/>
              </w:rPr>
              <w:t>银行账号</w:t>
            </w:r>
          </w:p>
        </w:tc>
        <w:tc>
          <w:tcPr>
            <w:tcW w:w="7150" w:type="dxa"/>
            <w:tcBorders>
              <w:tl2br w:val="nil"/>
              <w:tr2bl w:val="nil"/>
            </w:tcBorders>
            <w:vAlign w:val="center"/>
          </w:tcPr>
          <w:p w14:paraId="0EC10D5C">
            <w:pPr>
              <w:autoSpaceDE w:val="0"/>
              <w:autoSpaceDN w:val="0"/>
              <w:adjustRightInd w:val="0"/>
              <w:spacing w:line="360" w:lineRule="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保证金专用账号：</w:t>
            </w:r>
            <w:r>
              <w:rPr>
                <w:rFonts w:hint="eastAsia" w:ascii="宋体" w:hAnsi="宋体" w:eastAsia="宋体" w:cs="宋体"/>
                <w:b/>
                <w:bCs/>
                <w:sz w:val="24"/>
                <w:szCs w:val="24"/>
                <w:lang w:val="zh-CN" w:eastAsia="zh-CN"/>
              </w:rPr>
              <w:t xml:space="preserve">82010000000519294 </w:t>
            </w:r>
          </w:p>
          <w:p w14:paraId="7F62F901">
            <w:pPr>
              <w:autoSpaceDE w:val="0"/>
              <w:autoSpaceDN w:val="0"/>
              <w:adjustRightInd w:val="0"/>
              <w:spacing w:line="360" w:lineRule="auto"/>
              <w:rPr>
                <w:rFonts w:hint="eastAsia" w:ascii="宋体" w:hAnsi="Calibri" w:cs="宋体"/>
                <w:color w:val="auto"/>
                <w:kern w:val="0"/>
                <w:sz w:val="24"/>
                <w:szCs w:val="24"/>
                <w:lang w:val="zh-CN"/>
              </w:rPr>
            </w:pPr>
            <w:r>
              <w:rPr>
                <w:rFonts w:hint="eastAsia" w:ascii="宋体" w:hAnsi="宋体" w:eastAsia="宋体" w:cs="宋体"/>
                <w:b/>
                <w:bCs/>
                <w:sz w:val="24"/>
                <w:szCs w:val="24"/>
                <w:lang w:val="zh-CN" w:eastAsia="zh-CN"/>
              </w:rPr>
              <w:t>(行号：402851020412)</w:t>
            </w:r>
          </w:p>
        </w:tc>
      </w:tr>
      <w:tr w14:paraId="71E9E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335" w:hRule="atLeast"/>
          <w:jc w:val="center"/>
        </w:trPr>
        <w:tc>
          <w:tcPr>
            <w:tcW w:w="2443" w:type="dxa"/>
            <w:tcBorders>
              <w:tl2br w:val="nil"/>
              <w:tr2bl w:val="nil"/>
            </w:tcBorders>
            <w:vAlign w:val="center"/>
          </w:tcPr>
          <w:p w14:paraId="3C7C01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rPr>
            </w:pPr>
            <w:r>
              <w:rPr>
                <w:rFonts w:hint="eastAsia" w:ascii="宋体" w:hAnsi="宋体" w:eastAsia="宋体" w:cs="宋体"/>
                <w:color w:val="auto"/>
                <w:kern w:val="2"/>
                <w:sz w:val="24"/>
                <w:szCs w:val="24"/>
                <w:highlight w:val="none"/>
                <w:u w:val="none"/>
                <w:lang w:val="zh-CN"/>
              </w:rPr>
              <w:t>保证金</w:t>
            </w:r>
          </w:p>
        </w:tc>
        <w:tc>
          <w:tcPr>
            <w:tcW w:w="7150" w:type="dxa"/>
            <w:tcBorders>
              <w:tl2br w:val="nil"/>
              <w:tr2bl w:val="nil"/>
            </w:tcBorders>
            <w:vAlign w:val="center"/>
          </w:tcPr>
          <w:p w14:paraId="174E98BD">
            <w:pPr>
              <w:spacing w:line="360" w:lineRule="auto"/>
              <w:rPr>
                <w:rFonts w:hint="eastAsia" w:ascii="宋体" w:hAnsi="Calibri" w:cs="宋体"/>
                <w:color w:val="000000"/>
                <w:kern w:val="0"/>
                <w:sz w:val="24"/>
                <w:szCs w:val="24"/>
                <w:highlight w:val="none"/>
                <w:lang w:val="en-US" w:eastAsia="zh-CN"/>
              </w:rPr>
            </w:pPr>
            <w:r>
              <w:rPr>
                <w:rFonts w:hint="eastAsia" w:ascii="宋体" w:hAnsi="Calibri" w:cs="宋体"/>
                <w:color w:val="000000"/>
                <w:kern w:val="0"/>
                <w:sz w:val="24"/>
                <w:szCs w:val="24"/>
                <w:lang w:val="en-US" w:eastAsia="zh-CN"/>
              </w:rPr>
              <w:t>交纳金额（人民币）</w:t>
            </w:r>
            <w:r>
              <w:rPr>
                <w:rFonts w:hint="eastAsia" w:ascii="宋体" w:hAnsi="Calibri" w:cs="宋体"/>
                <w:color w:val="000000"/>
                <w:kern w:val="0"/>
                <w:sz w:val="24"/>
                <w:szCs w:val="24"/>
                <w:highlight w:val="none"/>
                <w:lang w:val="en-US" w:eastAsia="zh-CN"/>
              </w:rPr>
              <w:t>：1.4万元   大写：壹万肆仟元整</w:t>
            </w:r>
          </w:p>
          <w:p w14:paraId="74A7687A">
            <w:pPr>
              <w:spacing w:line="360" w:lineRule="auto"/>
              <w:rPr>
                <w:rFonts w:hint="eastAsia" w:ascii="宋体" w:hAnsi="Calibri" w:cs="宋体"/>
                <w:color w:val="000000"/>
                <w:kern w:val="0"/>
                <w:sz w:val="24"/>
                <w:szCs w:val="24"/>
                <w:lang w:val="en-US" w:eastAsia="zh-CN"/>
              </w:rPr>
            </w:pPr>
            <w:r>
              <w:rPr>
                <w:rFonts w:hint="eastAsia" w:ascii="宋体" w:hAnsi="Calibri" w:cs="宋体"/>
                <w:color w:val="000000"/>
                <w:kern w:val="0"/>
                <w:sz w:val="24"/>
                <w:szCs w:val="24"/>
                <w:lang w:val="en-US" w:eastAsia="zh-CN"/>
              </w:rPr>
              <w:t>2、竞谈保证金形式：银行电汇、转账；须由供应商从其基本账户汇（转）入招标代理机构竞谈保证金专用账号；</w:t>
            </w:r>
          </w:p>
          <w:p w14:paraId="0AC8099D">
            <w:pPr>
              <w:spacing w:line="360" w:lineRule="auto"/>
              <w:rPr>
                <w:rFonts w:hint="eastAsia" w:ascii="宋体" w:hAnsi="Calibri" w:cs="宋体"/>
                <w:color w:val="000000"/>
                <w:kern w:val="0"/>
                <w:sz w:val="24"/>
                <w:szCs w:val="24"/>
                <w:lang w:val="en-US" w:eastAsia="zh-CN"/>
              </w:rPr>
            </w:pPr>
            <w:r>
              <w:rPr>
                <w:rFonts w:hint="eastAsia" w:ascii="宋体" w:hAnsi="Calibri" w:cs="宋体"/>
                <w:color w:val="000000"/>
                <w:kern w:val="0"/>
                <w:sz w:val="24"/>
                <w:szCs w:val="24"/>
                <w:lang w:val="en-US" w:eastAsia="zh-CN"/>
              </w:rPr>
              <w:t xml:space="preserve">3、竞谈保证金缴纳截止时间：以竞谈截止时间前招标代理机构财务收到银行送达的到账回单为准； </w:t>
            </w:r>
          </w:p>
          <w:p w14:paraId="4281BCE4">
            <w:pPr>
              <w:spacing w:line="360" w:lineRule="auto"/>
              <w:rPr>
                <w:rFonts w:hint="eastAsia" w:ascii="宋体" w:hAnsi="Calibri" w:cs="宋体"/>
                <w:color w:val="000000"/>
                <w:kern w:val="0"/>
                <w:sz w:val="24"/>
                <w:szCs w:val="24"/>
                <w:lang w:val="en-US" w:eastAsia="zh-CN"/>
              </w:rPr>
            </w:pPr>
            <w:r>
              <w:rPr>
                <w:rFonts w:hint="eastAsia" w:ascii="宋体" w:hAnsi="Calibri" w:cs="宋体"/>
                <w:color w:val="000000"/>
                <w:kern w:val="0"/>
                <w:sz w:val="24"/>
                <w:szCs w:val="24"/>
                <w:lang w:val="en-US" w:eastAsia="zh-CN"/>
              </w:rPr>
              <w:t>4、为便于竞谈保证金的核对，票据附言栏内注明项目编号、名称及用途（此项不作为评审依据）；</w:t>
            </w:r>
          </w:p>
          <w:p w14:paraId="28E1E5AE">
            <w:pPr>
              <w:spacing w:line="360" w:lineRule="auto"/>
              <w:rPr>
                <w:rFonts w:hint="eastAsia" w:ascii="宋体" w:hAnsi="Calibri" w:cs="宋体"/>
                <w:color w:val="000000"/>
                <w:kern w:val="0"/>
                <w:sz w:val="24"/>
                <w:szCs w:val="24"/>
                <w:lang w:val="en-US" w:eastAsia="zh-CN"/>
              </w:rPr>
            </w:pPr>
            <w:r>
              <w:rPr>
                <w:rFonts w:hint="eastAsia" w:ascii="宋体" w:hAnsi="Calibri" w:cs="宋体"/>
                <w:color w:val="000000"/>
                <w:kern w:val="0"/>
                <w:sz w:val="24"/>
                <w:szCs w:val="24"/>
                <w:lang w:val="en-US" w:eastAsia="zh-CN"/>
              </w:rPr>
              <w:t>5、竞谈保证金及利息的退还，由招标代理机构通过银行转入未中标的供应商和中标人的原银行汇（转）出账户；</w:t>
            </w:r>
          </w:p>
          <w:p w14:paraId="15CA83B1">
            <w:pPr>
              <w:spacing w:line="360" w:lineRule="auto"/>
              <w:rPr>
                <w:rFonts w:hint="eastAsia" w:ascii="宋体" w:hAnsi="宋体" w:eastAsia="宋体" w:cs="宋体"/>
                <w:color w:val="auto"/>
                <w:kern w:val="2"/>
                <w:sz w:val="24"/>
                <w:szCs w:val="24"/>
                <w:highlight w:val="none"/>
                <w:u w:val="none"/>
                <w:lang w:val="en-US" w:eastAsia="zh-CN"/>
              </w:rPr>
            </w:pPr>
            <w:r>
              <w:rPr>
                <w:rFonts w:hint="eastAsia" w:ascii="宋体" w:hAnsi="Calibri" w:cs="宋体"/>
                <w:color w:val="000000"/>
                <w:kern w:val="0"/>
                <w:sz w:val="24"/>
                <w:szCs w:val="24"/>
                <w:lang w:val="en-US" w:eastAsia="zh-CN"/>
              </w:rPr>
              <w:t>6、供应商在竞谈截止时间前撤回响应文件的，采购人自收到供应商书面撤回通知之日起5日内退还竞谈保证金；</w:t>
            </w:r>
          </w:p>
        </w:tc>
      </w:tr>
      <w:tr w14:paraId="0FAC9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jc w:val="center"/>
        </w:trPr>
        <w:tc>
          <w:tcPr>
            <w:tcW w:w="2443" w:type="dxa"/>
            <w:tcBorders>
              <w:tl2br w:val="nil"/>
              <w:tr2bl w:val="nil"/>
            </w:tcBorders>
            <w:vAlign w:val="center"/>
          </w:tcPr>
          <w:p w14:paraId="695F7C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rPr>
            </w:pPr>
            <w:r>
              <w:rPr>
                <w:rFonts w:hint="eastAsia" w:ascii="宋体" w:hAnsi="宋体" w:eastAsia="宋体" w:cs="宋体"/>
                <w:color w:val="auto"/>
                <w:kern w:val="2"/>
                <w:sz w:val="24"/>
                <w:szCs w:val="24"/>
                <w:highlight w:val="none"/>
                <w:u w:val="none"/>
                <w:lang w:val="zh-CN"/>
              </w:rPr>
              <w:t>响应文件有效期</w:t>
            </w:r>
          </w:p>
        </w:tc>
        <w:tc>
          <w:tcPr>
            <w:tcW w:w="7150" w:type="dxa"/>
            <w:tcBorders>
              <w:tl2br w:val="nil"/>
              <w:tr2bl w:val="nil"/>
            </w:tcBorders>
            <w:vAlign w:val="center"/>
          </w:tcPr>
          <w:p w14:paraId="7D4F963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自</w:t>
            </w:r>
            <w:r>
              <w:rPr>
                <w:rFonts w:hint="eastAsia" w:ascii="宋体" w:hAnsi="Calibri" w:cs="宋体"/>
                <w:color w:val="000000"/>
                <w:kern w:val="0"/>
                <w:sz w:val="24"/>
                <w:szCs w:val="24"/>
                <w:lang w:val="en-US" w:eastAsia="zh-CN"/>
              </w:rPr>
              <w:t>提交谈判响应文件截止之日起60日历日</w:t>
            </w:r>
          </w:p>
        </w:tc>
      </w:tr>
      <w:tr w14:paraId="56F64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2443" w:type="dxa"/>
            <w:tcBorders>
              <w:tl2br w:val="nil"/>
              <w:tr2bl w:val="nil"/>
            </w:tcBorders>
            <w:vAlign w:val="center"/>
          </w:tcPr>
          <w:p w14:paraId="24C5D6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rPr>
            </w:pPr>
            <w:r>
              <w:rPr>
                <w:rFonts w:hint="eastAsia" w:ascii="宋体" w:hAnsi="宋体" w:eastAsia="宋体" w:cs="宋体"/>
                <w:color w:val="auto"/>
                <w:kern w:val="2"/>
                <w:sz w:val="24"/>
                <w:szCs w:val="24"/>
                <w:highlight w:val="none"/>
                <w:u w:val="none"/>
                <w:lang w:val="zh-CN"/>
              </w:rPr>
              <w:t>响应文件的递交</w:t>
            </w:r>
            <w:r>
              <w:rPr>
                <w:rFonts w:hint="eastAsia" w:ascii="宋体" w:hAnsi="宋体" w:eastAsia="宋体" w:cs="宋体"/>
                <w:color w:val="auto"/>
                <w:kern w:val="2"/>
                <w:sz w:val="24"/>
                <w:szCs w:val="24"/>
                <w:highlight w:val="none"/>
                <w:u w:val="none"/>
                <w:lang w:val="zh-CN" w:eastAsia="zh-CN"/>
              </w:rPr>
              <w:t>截止时间</w:t>
            </w:r>
          </w:p>
        </w:tc>
        <w:tc>
          <w:tcPr>
            <w:tcW w:w="7150" w:type="dxa"/>
            <w:tcBorders>
              <w:tl2br w:val="nil"/>
              <w:tr2bl w:val="nil"/>
            </w:tcBorders>
            <w:vAlign w:val="center"/>
          </w:tcPr>
          <w:p w14:paraId="0FE22289">
            <w:pPr>
              <w:spacing w:line="360" w:lineRule="auto"/>
              <w:rPr>
                <w:rFonts w:hint="eastAsia" w:ascii="宋体" w:hAnsi="Calibri" w:cs="宋体"/>
                <w:color w:val="000000"/>
                <w:kern w:val="0"/>
                <w:sz w:val="24"/>
                <w:szCs w:val="24"/>
                <w:highlight w:val="none"/>
                <w:lang w:val="en-US" w:eastAsia="zh-CN"/>
              </w:rPr>
            </w:pPr>
            <w:r>
              <w:rPr>
                <w:rFonts w:hint="eastAsia" w:ascii="宋体" w:hAnsi="Calibri" w:cs="宋体"/>
                <w:color w:val="000000"/>
                <w:kern w:val="0"/>
                <w:sz w:val="24"/>
                <w:szCs w:val="24"/>
                <w:highlight w:val="none"/>
                <w:lang w:val="en-US" w:eastAsia="zh-CN"/>
              </w:rPr>
              <w:t>2026年05月27日上午09时30分（北京时间）</w:t>
            </w:r>
          </w:p>
        </w:tc>
      </w:tr>
      <w:tr w14:paraId="74AA8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40" w:hRule="atLeast"/>
          <w:jc w:val="center"/>
        </w:trPr>
        <w:tc>
          <w:tcPr>
            <w:tcW w:w="2443" w:type="dxa"/>
            <w:tcBorders>
              <w:tl2br w:val="nil"/>
              <w:tr2bl w:val="nil"/>
            </w:tcBorders>
            <w:vAlign w:val="center"/>
          </w:tcPr>
          <w:p w14:paraId="26519A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开启时间及</w:t>
            </w:r>
          </w:p>
          <w:p w14:paraId="253ED2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谈判地点</w:t>
            </w:r>
          </w:p>
        </w:tc>
        <w:tc>
          <w:tcPr>
            <w:tcW w:w="7150" w:type="dxa"/>
            <w:tcBorders>
              <w:tl2br w:val="nil"/>
              <w:tr2bl w:val="nil"/>
            </w:tcBorders>
            <w:vAlign w:val="center"/>
          </w:tcPr>
          <w:p w14:paraId="617A49BA">
            <w:pPr>
              <w:spacing w:line="360" w:lineRule="auto"/>
              <w:rPr>
                <w:rFonts w:hint="eastAsia" w:ascii="宋体" w:hAnsi="Calibri" w:cs="宋体"/>
                <w:color w:val="000000"/>
                <w:kern w:val="0"/>
                <w:sz w:val="24"/>
                <w:szCs w:val="24"/>
                <w:highlight w:val="none"/>
                <w:lang w:val="zh-CN" w:eastAsia="zh-CN"/>
              </w:rPr>
            </w:pPr>
            <w:r>
              <w:rPr>
                <w:rFonts w:hint="eastAsia" w:ascii="宋体" w:hAnsi="Calibri" w:cs="宋体"/>
                <w:color w:val="000000"/>
                <w:kern w:val="0"/>
                <w:sz w:val="24"/>
                <w:szCs w:val="24"/>
                <w:lang w:val="en-US" w:eastAsia="zh-CN"/>
              </w:rPr>
              <w:t>响应文</w:t>
            </w:r>
            <w:r>
              <w:rPr>
                <w:rFonts w:hint="eastAsia" w:ascii="宋体" w:hAnsi="Calibri" w:cs="宋体"/>
                <w:color w:val="000000"/>
                <w:kern w:val="0"/>
                <w:sz w:val="24"/>
                <w:szCs w:val="24"/>
                <w:highlight w:val="none"/>
                <w:lang w:val="en-US" w:eastAsia="zh-CN"/>
              </w:rPr>
              <w:t>件开启时间：2026年05月27日上午09时30分</w:t>
            </w:r>
          </w:p>
          <w:p w14:paraId="42B8FE65">
            <w:pPr>
              <w:spacing w:line="360" w:lineRule="auto"/>
              <w:rPr>
                <w:rFonts w:hint="eastAsia" w:ascii="宋体" w:hAnsi="Calibri" w:cs="宋体"/>
                <w:color w:val="000000"/>
                <w:kern w:val="0"/>
                <w:sz w:val="24"/>
                <w:szCs w:val="24"/>
                <w:lang w:val="en-US" w:eastAsia="zh-CN"/>
              </w:rPr>
            </w:pPr>
            <w:r>
              <w:rPr>
                <w:rFonts w:hint="eastAsia" w:ascii="宋体" w:hAnsi="Calibri" w:cs="宋体"/>
                <w:color w:val="000000"/>
                <w:kern w:val="0"/>
                <w:sz w:val="24"/>
                <w:szCs w:val="24"/>
                <w:highlight w:val="none"/>
                <w:lang w:val="en-US" w:eastAsia="zh-CN"/>
              </w:rPr>
              <w:t>谈判地点：</w:t>
            </w:r>
            <w:r>
              <w:rPr>
                <w:rFonts w:hint="eastAsia" w:ascii="宋体" w:hAnsi="Calibri" w:cs="宋体"/>
                <w:color w:val="000000"/>
                <w:kern w:val="0"/>
                <w:sz w:val="24"/>
                <w:szCs w:val="24"/>
                <w:highlight w:val="none"/>
                <w:lang w:val="zh-CN" w:eastAsia="zh-CN"/>
              </w:rPr>
              <w:t>政采云投标客户端线上递交</w:t>
            </w:r>
            <w:r>
              <w:rPr>
                <w:rFonts w:hint="eastAsia" w:ascii="宋体" w:hAnsi="Calibri" w:cs="宋体"/>
                <w:color w:val="000000"/>
                <w:kern w:val="0"/>
                <w:sz w:val="24"/>
                <w:szCs w:val="24"/>
                <w:highlight w:val="none"/>
                <w:lang w:val="en-US" w:eastAsia="zh-CN"/>
              </w:rPr>
              <w:t xml:space="preserve"> </w:t>
            </w:r>
          </w:p>
        </w:tc>
      </w:tr>
      <w:tr w14:paraId="0EB5C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2443" w:type="dxa"/>
            <w:tcBorders>
              <w:tl2br w:val="nil"/>
              <w:tr2bl w:val="nil"/>
            </w:tcBorders>
            <w:vAlign w:val="center"/>
          </w:tcPr>
          <w:p w14:paraId="4F2A8CAE">
            <w:pPr>
              <w:autoSpaceDE w:val="0"/>
              <w:autoSpaceDN w:val="0"/>
              <w:adjustRightInd w:val="0"/>
              <w:spacing w:line="360" w:lineRule="auto"/>
              <w:ind w:firstLine="240" w:firstLineChars="100"/>
              <w:rPr>
                <w:rFonts w:hint="eastAsia" w:eastAsia="宋体" w:asciiTheme="minorEastAsia" w:hAnsiTheme="minorEastAsia" w:cstheme="minorEastAsia"/>
                <w:kern w:val="0"/>
                <w:sz w:val="24"/>
                <w:szCs w:val="24"/>
                <w:lang w:val="zh-CN" w:eastAsia="zh-CN" w:bidi="ar-SA"/>
              </w:rPr>
            </w:pPr>
            <w:r>
              <w:rPr>
                <w:rFonts w:hint="eastAsia" w:asciiTheme="minorEastAsia" w:hAnsiTheme="minorEastAsia" w:cstheme="minorEastAsia"/>
                <w:kern w:val="0"/>
                <w:sz w:val="24"/>
                <w:lang w:val="zh-CN"/>
              </w:rPr>
              <w:t>答疑澄清方式</w:t>
            </w:r>
          </w:p>
        </w:tc>
        <w:tc>
          <w:tcPr>
            <w:tcW w:w="7150" w:type="dxa"/>
            <w:tcBorders>
              <w:tl2br w:val="nil"/>
              <w:tr2bl w:val="nil"/>
            </w:tcBorders>
            <w:vAlign w:val="center"/>
          </w:tcPr>
          <w:p w14:paraId="43C529AA">
            <w:pPr>
              <w:spacing w:line="360" w:lineRule="auto"/>
              <w:rPr>
                <w:rFonts w:hint="eastAsia" w:ascii="宋体" w:hAnsi="Calibri" w:eastAsia="宋体" w:cs="宋体"/>
                <w:color w:val="000000"/>
                <w:kern w:val="0"/>
                <w:sz w:val="24"/>
                <w:szCs w:val="24"/>
                <w:lang w:val="zh-CN" w:eastAsia="zh-CN"/>
              </w:rPr>
            </w:pPr>
            <w:r>
              <w:rPr>
                <w:rFonts w:hint="eastAsia" w:ascii="宋体" w:hAnsi="Calibri" w:eastAsia="宋体" w:cs="宋体"/>
                <w:color w:val="000000"/>
                <w:kern w:val="0"/>
                <w:sz w:val="24"/>
                <w:szCs w:val="24"/>
                <w:lang w:val="zh-CN" w:eastAsia="zh-CN"/>
              </w:rPr>
              <w:t>采用线上答疑。</w:t>
            </w:r>
          </w:p>
          <w:p w14:paraId="32FCBBE0">
            <w:pPr>
              <w:spacing w:line="360" w:lineRule="auto"/>
              <w:rPr>
                <w:rFonts w:hint="eastAsia" w:eastAsia="宋体" w:asciiTheme="minorEastAsia" w:hAnsiTheme="minorEastAsia" w:cstheme="minorEastAsia"/>
                <w:kern w:val="0"/>
                <w:sz w:val="24"/>
                <w:szCs w:val="24"/>
                <w:lang w:val="en-US" w:eastAsia="zh-CN" w:bidi="ar-SA"/>
              </w:rPr>
            </w:pPr>
            <w:r>
              <w:rPr>
                <w:rFonts w:hint="eastAsia" w:ascii="宋体" w:hAnsi="Calibri" w:eastAsia="宋体" w:cs="宋体"/>
                <w:color w:val="000000"/>
                <w:kern w:val="0"/>
                <w:sz w:val="24"/>
                <w:szCs w:val="24"/>
                <w:lang w:val="zh-CN" w:eastAsia="zh-CN"/>
              </w:rPr>
              <w:t>竞争性谈判供应商须提供准确的联系方式（手机和固定电话），应在规定的时间内进行线上答疑澄清，如在规定的时间内联系无果或未按时答疑澄清的，视同放弃答疑。</w:t>
            </w:r>
          </w:p>
        </w:tc>
      </w:tr>
      <w:tr w14:paraId="2E08D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43" w:type="dxa"/>
            <w:tcBorders>
              <w:tl2br w:val="nil"/>
              <w:tr2bl w:val="nil"/>
            </w:tcBorders>
            <w:vAlign w:val="center"/>
          </w:tcPr>
          <w:p w14:paraId="08EB8FF1">
            <w:pPr>
              <w:spacing w:line="360" w:lineRule="auto"/>
              <w:ind w:firstLine="480" w:firstLineChars="200"/>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交货期</w:t>
            </w:r>
          </w:p>
        </w:tc>
        <w:tc>
          <w:tcPr>
            <w:tcW w:w="7150" w:type="dxa"/>
            <w:tcBorders>
              <w:tl2br w:val="nil"/>
              <w:tr2bl w:val="nil"/>
            </w:tcBorders>
            <w:vAlign w:val="center"/>
          </w:tcPr>
          <w:p w14:paraId="0844DB49">
            <w:pPr>
              <w:spacing w:line="360" w:lineRule="auto"/>
              <w:rPr>
                <w:rFonts w:hint="eastAsia" w:ascii="宋体" w:hAnsi="宋体" w:cs="宋体"/>
                <w:color w:val="000000"/>
                <w:sz w:val="24"/>
                <w:szCs w:val="24"/>
                <w:lang w:val="en-US" w:eastAsia="zh-CN"/>
              </w:rPr>
            </w:pPr>
            <w:r>
              <w:rPr>
                <w:rFonts w:hint="eastAsia" w:ascii="宋体" w:hAnsi="宋体" w:eastAsia="宋体" w:cs="宋体"/>
                <w:bCs/>
                <w:sz w:val="24"/>
                <w:szCs w:val="24"/>
                <w:highlight w:val="none"/>
                <w:lang w:val="zh-CN"/>
              </w:rPr>
              <w:t>签订合同后</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0日内</w:t>
            </w:r>
            <w:r>
              <w:rPr>
                <w:rFonts w:hint="eastAsia" w:ascii="宋体" w:hAnsi="宋体" w:cs="宋体"/>
                <w:bCs/>
                <w:sz w:val="24"/>
                <w:szCs w:val="24"/>
                <w:highlight w:val="none"/>
                <w:lang w:val="en-US" w:eastAsia="zh-CN"/>
              </w:rPr>
              <w:t>供货及安装完成</w:t>
            </w:r>
          </w:p>
        </w:tc>
      </w:tr>
      <w:tr w14:paraId="5EFE9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2443" w:type="dxa"/>
            <w:tcBorders>
              <w:tl2br w:val="nil"/>
              <w:tr2bl w:val="nil"/>
            </w:tcBorders>
            <w:vAlign w:val="center"/>
          </w:tcPr>
          <w:p w14:paraId="31D9F933">
            <w:pPr>
              <w:autoSpaceDE w:val="0"/>
              <w:autoSpaceDN w:val="0"/>
              <w:adjustRightInd w:val="0"/>
              <w:spacing w:line="360" w:lineRule="auto"/>
              <w:ind w:firstLine="240" w:firstLineChars="100"/>
              <w:rPr>
                <w:rFonts w:hint="eastAsia" w:ascii="宋体" w:hAnsi="宋体" w:cs="宋体"/>
                <w:color w:val="000000"/>
                <w:sz w:val="24"/>
                <w:szCs w:val="24"/>
                <w:lang w:val="zh-CN"/>
              </w:rPr>
            </w:pPr>
            <w:r>
              <w:rPr>
                <w:rFonts w:hint="eastAsia" w:asciiTheme="minorEastAsia" w:hAnsiTheme="minorEastAsia" w:cstheme="minorEastAsia"/>
                <w:kern w:val="0"/>
                <w:sz w:val="24"/>
                <w:lang w:val="zh-CN"/>
              </w:rPr>
              <w:t>合同签订有效期</w:t>
            </w:r>
          </w:p>
        </w:tc>
        <w:tc>
          <w:tcPr>
            <w:tcW w:w="7150" w:type="dxa"/>
            <w:tcBorders>
              <w:tl2br w:val="nil"/>
              <w:tr2bl w:val="nil"/>
            </w:tcBorders>
            <w:vAlign w:val="center"/>
          </w:tcPr>
          <w:p w14:paraId="1E4FE1BC">
            <w:pPr>
              <w:autoSpaceDE w:val="0"/>
              <w:autoSpaceDN w:val="0"/>
              <w:adjustRightInd w:val="0"/>
              <w:spacing w:line="360" w:lineRule="auto"/>
              <w:rPr>
                <w:rFonts w:hint="default"/>
                <w:lang w:val="en-US" w:eastAsia="zh-CN"/>
              </w:rPr>
            </w:pPr>
            <w:r>
              <w:rPr>
                <w:rFonts w:hint="eastAsia" w:asciiTheme="minorEastAsia" w:hAnsiTheme="minorEastAsia" w:cstheme="minorEastAsia"/>
                <w:kern w:val="0"/>
                <w:sz w:val="24"/>
                <w:lang w:val="zh-CN"/>
              </w:rPr>
              <w:t>自成交通知书发出之日起30日内与采购人签订供货合同。</w:t>
            </w:r>
          </w:p>
        </w:tc>
      </w:tr>
      <w:tr w14:paraId="772FE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atLeast"/>
          <w:jc w:val="center"/>
        </w:trPr>
        <w:tc>
          <w:tcPr>
            <w:tcW w:w="2443" w:type="dxa"/>
            <w:tcBorders>
              <w:tl2br w:val="nil"/>
              <w:tr2bl w:val="nil"/>
            </w:tcBorders>
            <w:vAlign w:val="center"/>
          </w:tcPr>
          <w:p w14:paraId="00F9126C">
            <w:pPr>
              <w:autoSpaceDE w:val="0"/>
              <w:autoSpaceDN w:val="0"/>
              <w:adjustRightInd w:val="0"/>
              <w:spacing w:line="360" w:lineRule="auto"/>
              <w:rPr>
                <w:rFonts w:hint="eastAsia" w:ascii="宋体" w:hAnsi="宋体" w:cs="宋体"/>
                <w:color w:val="000000"/>
                <w:sz w:val="24"/>
                <w:szCs w:val="24"/>
                <w:lang w:val="zh-CN"/>
              </w:rPr>
            </w:pPr>
            <w:r>
              <w:rPr>
                <w:rFonts w:hint="eastAsia" w:asciiTheme="minorEastAsia" w:hAnsiTheme="minorEastAsia" w:cstheme="minorEastAsia"/>
                <w:kern w:val="0"/>
                <w:sz w:val="24"/>
                <w:lang w:val="zh-CN"/>
              </w:rPr>
              <w:t>政府采购合同备案</w:t>
            </w:r>
          </w:p>
        </w:tc>
        <w:tc>
          <w:tcPr>
            <w:tcW w:w="7150" w:type="dxa"/>
            <w:tcBorders>
              <w:tl2br w:val="nil"/>
              <w:tr2bl w:val="nil"/>
            </w:tcBorders>
            <w:vAlign w:val="center"/>
          </w:tcPr>
          <w:p w14:paraId="49699048">
            <w:pPr>
              <w:autoSpaceDE w:val="0"/>
              <w:autoSpaceDN w:val="0"/>
              <w:adjustRightInd w:val="0"/>
              <w:spacing w:line="360" w:lineRule="auto"/>
              <w:rPr>
                <w:rFonts w:asciiTheme="minorEastAsia" w:hAnsiTheme="minorEastAsia" w:cstheme="minorEastAsia"/>
                <w:kern w:val="0"/>
                <w:sz w:val="24"/>
                <w:lang w:val="zh-CN"/>
              </w:rPr>
            </w:pPr>
            <w:r>
              <w:rPr>
                <w:rFonts w:hint="eastAsia" w:asciiTheme="minorEastAsia" w:hAnsiTheme="minorEastAsia" w:cstheme="minorEastAsia"/>
                <w:kern w:val="0"/>
                <w:sz w:val="24"/>
                <w:lang w:val="zh-CN"/>
              </w:rPr>
              <w:t>采购合同全数返回采购代理机构鉴证，盖章。</w:t>
            </w:r>
          </w:p>
          <w:p w14:paraId="4DACBB4C">
            <w:pPr>
              <w:autoSpaceDE w:val="0"/>
              <w:autoSpaceDN w:val="0"/>
              <w:adjustRightInd w:val="0"/>
              <w:spacing w:line="360" w:lineRule="auto"/>
              <w:rPr>
                <w:rFonts w:hint="eastAsia" w:ascii="宋体" w:hAnsi="宋体" w:cs="宋体"/>
                <w:color w:val="000000"/>
                <w:sz w:val="24"/>
                <w:szCs w:val="24"/>
                <w:lang w:val="en-US" w:eastAsia="zh-CN"/>
              </w:rPr>
            </w:pPr>
            <w:r>
              <w:rPr>
                <w:rFonts w:hint="eastAsia" w:asciiTheme="minorEastAsia" w:hAnsiTheme="minorEastAsia" w:cstheme="minorEastAsia"/>
                <w:kern w:val="0"/>
                <w:sz w:val="24"/>
                <w:lang w:val="zh-CN"/>
              </w:rPr>
              <w:t>采购代理机构留存叁份原件备案。</w:t>
            </w:r>
          </w:p>
        </w:tc>
      </w:tr>
      <w:tr w14:paraId="582DC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86" w:hRule="atLeast"/>
          <w:jc w:val="center"/>
        </w:trPr>
        <w:tc>
          <w:tcPr>
            <w:tcW w:w="2443" w:type="dxa"/>
            <w:tcBorders>
              <w:tl2br w:val="nil"/>
              <w:tr2bl w:val="nil"/>
            </w:tcBorders>
            <w:vAlign w:val="center"/>
          </w:tcPr>
          <w:p w14:paraId="4C3C312F">
            <w:pPr>
              <w:spacing w:line="360"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eastAsia="zh-CN"/>
              </w:rPr>
              <w:t>政策功能</w:t>
            </w:r>
          </w:p>
        </w:tc>
        <w:tc>
          <w:tcPr>
            <w:tcW w:w="7150" w:type="dxa"/>
            <w:tcBorders>
              <w:tl2br w:val="nil"/>
              <w:tr2bl w:val="nil"/>
            </w:tcBorders>
            <w:vAlign w:val="center"/>
          </w:tcPr>
          <w:p w14:paraId="1BAA4D80">
            <w:pPr>
              <w:numPr>
                <w:ilvl w:val="0"/>
                <w:numId w:val="4"/>
              </w:num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对属于小型、微型企业，监狱企业，残疾人福利性单位的供应商，按照国家相关规定给予10%的价格扣除。</w:t>
            </w:r>
          </w:p>
          <w:p w14:paraId="6DE9C986">
            <w:pPr>
              <w:pStyle w:val="5"/>
              <w:numPr>
                <w:ilvl w:val="0"/>
                <w:numId w:val="4"/>
              </w:numPr>
              <w:spacing w:line="360" w:lineRule="auto"/>
              <w:rPr>
                <w:rFonts w:hint="eastAsia"/>
                <w:highlight w:val="none"/>
                <w:lang w:val="en-US" w:eastAsia="zh-CN"/>
              </w:rPr>
            </w:pPr>
            <w:r>
              <w:rPr>
                <w:rFonts w:ascii="宋体" w:hAnsi="宋体" w:eastAsia="宋体" w:cs="宋体"/>
                <w:sz w:val="24"/>
                <w:szCs w:val="24"/>
                <w:highlight w:val="none"/>
              </w:rPr>
              <w:t>对符合《国务院办公厅关于在政府采购中实施本国产品标准及相关政策的通知》国办发〔2025〕34 号规定的本国产品的报价给予 20%的扣除，用扣除后的价格计算投标报价得分，须提供《关于符合本国产品标准的声明函》或财 政部会同有关部门规定的有关证明文件。</w:t>
            </w:r>
          </w:p>
        </w:tc>
      </w:tr>
      <w:tr w14:paraId="141F9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31" w:hRule="atLeast"/>
          <w:jc w:val="center"/>
        </w:trPr>
        <w:tc>
          <w:tcPr>
            <w:tcW w:w="2443" w:type="dxa"/>
            <w:tcBorders>
              <w:tl2br w:val="nil"/>
              <w:tr2bl w:val="nil"/>
            </w:tcBorders>
            <w:vAlign w:val="center"/>
          </w:tcPr>
          <w:p w14:paraId="319BFFB2">
            <w:pPr>
              <w:spacing w:line="360" w:lineRule="auto"/>
              <w:rPr>
                <w:rFonts w:hint="eastAsia" w:ascii="宋体" w:hAnsi="宋体" w:cs="宋体"/>
                <w:color w:val="000000"/>
                <w:sz w:val="24"/>
                <w:szCs w:val="24"/>
                <w:lang w:val="zh-CN"/>
              </w:rPr>
            </w:pPr>
            <w:bookmarkStart w:id="3" w:name="_Toc13430_WPSOffice_Level1"/>
            <w:bookmarkStart w:id="4" w:name="_Toc29348_WPSOffice_Level1"/>
            <w:bookmarkStart w:id="5" w:name="_Toc29806_WPSOffice_Level1"/>
            <w:bookmarkStart w:id="6" w:name="_Toc26774_WPSOffice_Level1"/>
            <w:bookmarkStart w:id="7" w:name="_Toc68"/>
            <w:bookmarkStart w:id="8" w:name="_Toc25918_WPSOffice_Level1"/>
            <w:bookmarkStart w:id="9" w:name="_Toc19849"/>
            <w:bookmarkStart w:id="10" w:name="_Toc17554"/>
            <w:bookmarkStart w:id="11" w:name="_Toc7063_WPSOffice_Level1"/>
            <w:r>
              <w:rPr>
                <w:rFonts w:hint="eastAsia" w:ascii="宋体" w:hAnsi="宋体" w:cs="宋体"/>
                <w:color w:val="000000"/>
                <w:sz w:val="24"/>
                <w:szCs w:val="24"/>
                <w:lang w:val="zh-CN"/>
              </w:rPr>
              <w:t>代理服务费</w:t>
            </w:r>
          </w:p>
        </w:tc>
        <w:tc>
          <w:tcPr>
            <w:tcW w:w="7150" w:type="dxa"/>
            <w:tcBorders>
              <w:tl2br w:val="nil"/>
              <w:tr2bl w:val="nil"/>
            </w:tcBorders>
            <w:vAlign w:val="center"/>
          </w:tcPr>
          <w:p w14:paraId="479FA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收费对象：中标人</w:t>
            </w:r>
          </w:p>
          <w:p w14:paraId="23FBF2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收费金额：10000.00元</w:t>
            </w:r>
          </w:p>
          <w:p w14:paraId="72E29B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账户名：青海拓鑫工程项目管理有限公司</w:t>
            </w:r>
          </w:p>
          <w:p w14:paraId="65C982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账  号：0701201000254447</w:t>
            </w:r>
          </w:p>
          <w:p w14:paraId="6D0C95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r>
              <w:rPr>
                <w:rFonts w:hint="eastAsia" w:ascii="宋体" w:hAnsi="宋体" w:eastAsia="宋体" w:cs="宋体"/>
                <w:b/>
                <w:bCs/>
                <w:sz w:val="24"/>
                <w:szCs w:val="24"/>
              </w:rPr>
              <w:t>开户行：青海银行股份有限公司海湖新区支行</w:t>
            </w:r>
          </w:p>
          <w:p w14:paraId="7192CF66">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zh-CN" w:eastAsia="zh-CN"/>
              </w:rPr>
              <w:t>收费依据：</w:t>
            </w:r>
            <w:r>
              <w:rPr>
                <w:rFonts w:hint="eastAsia" w:ascii="宋体" w:hAnsi="宋体" w:eastAsia="宋体" w:cs="宋体"/>
                <w:color w:val="000000"/>
                <w:kern w:val="0"/>
                <w:sz w:val="24"/>
                <w:szCs w:val="24"/>
                <w:lang w:val="zh-CN"/>
              </w:rPr>
              <w:t>根据《关于进一步放开建设项目专项业务服务价格的通知》（发改价格[2015]299号）规定，实行市场调节价，应严格遵守《价格法》、《关于商品和服务实行明码标价的规定》等法律法规的规定。</w:t>
            </w:r>
            <w:r>
              <w:rPr>
                <w:rFonts w:hint="eastAsia" w:ascii="宋体" w:hAnsi="宋体" w:cs="宋体"/>
                <w:color w:val="000000"/>
                <w:kern w:val="0"/>
                <w:sz w:val="24"/>
                <w:szCs w:val="24"/>
                <w:lang w:val="en-US" w:eastAsia="zh-CN"/>
              </w:rPr>
              <w:t>在领取中标通知书前一次性缴纳至谈判文件规定的账户。</w:t>
            </w:r>
          </w:p>
        </w:tc>
      </w:tr>
      <w:tr w14:paraId="0FA70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2443" w:type="dxa"/>
            <w:tcBorders>
              <w:tl2br w:val="nil"/>
              <w:tr2bl w:val="nil"/>
            </w:tcBorders>
            <w:vAlign w:val="center"/>
          </w:tcPr>
          <w:p w14:paraId="6D04808F">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其他事项</w:t>
            </w:r>
          </w:p>
        </w:tc>
        <w:tc>
          <w:tcPr>
            <w:tcW w:w="7150" w:type="dxa"/>
            <w:tcBorders>
              <w:tl2br w:val="nil"/>
              <w:tr2bl w:val="nil"/>
            </w:tcBorders>
            <w:vAlign w:val="center"/>
          </w:tcPr>
          <w:p w14:paraId="090E4A08">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w:t>
            </w:r>
            <w:r>
              <w:rPr>
                <w:rFonts w:hint="eastAsia" w:ascii="宋体" w:hAnsi="宋体" w:cs="宋体"/>
                <w:color w:val="000000"/>
                <w:sz w:val="24"/>
                <w:szCs w:val="24"/>
                <w:lang w:val="en-US" w:eastAsia="zh-CN"/>
              </w:rPr>
              <w:t>本公告在青海省政府采购网发布为准</w:t>
            </w:r>
            <w:r>
              <w:rPr>
                <w:rFonts w:hint="eastAsia" w:ascii="宋体" w:hAnsi="宋体" w:cs="宋体"/>
                <w:color w:val="000000"/>
                <w:sz w:val="24"/>
                <w:szCs w:val="24"/>
                <w:lang w:val="zh-CN" w:eastAsia="zh-CN"/>
              </w:rPr>
              <w:t>。</w:t>
            </w:r>
          </w:p>
          <w:p w14:paraId="01B82017">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7D90CA5D">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zh-CN" w:eastAsia="zh-CN"/>
              </w:rPr>
              <w:t>3、线上电子化开评标系统操作及办理CA锁等相关事宜请咨询政采云：咨询电话：</w:t>
            </w:r>
            <w:r>
              <w:rPr>
                <w:rFonts w:hint="eastAsia" w:ascii="宋体" w:hAnsi="宋体" w:cs="宋体"/>
                <w:color w:val="000000"/>
                <w:sz w:val="24"/>
                <w:szCs w:val="24"/>
                <w:lang w:val="en-US" w:eastAsia="zh-CN"/>
              </w:rPr>
              <w:t>95763</w:t>
            </w:r>
            <w:r>
              <w:rPr>
                <w:rFonts w:hint="eastAsia" w:ascii="宋体" w:hAnsi="宋体" w:cs="宋体"/>
                <w:color w:val="000000"/>
                <w:sz w:val="24"/>
                <w:szCs w:val="24"/>
                <w:lang w:val="zh-CN" w:eastAsia="zh-CN"/>
              </w:rPr>
              <w:t>；</w:t>
            </w:r>
          </w:p>
          <w:p w14:paraId="21A34C2F">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4、线上CA PC咨询网址（可及时反馈问题截图，让客服快速定位问题）:http://tseal.cn/k.html，咨询电话：</w:t>
            </w:r>
            <w:r>
              <w:rPr>
                <w:rFonts w:hint="eastAsia" w:ascii="宋体" w:hAnsi="宋体"/>
                <w:szCs w:val="24"/>
              </w:rPr>
              <w:t>400-0878-198</w:t>
            </w:r>
            <w:r>
              <w:rPr>
                <w:rFonts w:hint="eastAsia" w:ascii="宋体" w:hAnsi="宋体" w:cs="宋体"/>
                <w:color w:val="000000"/>
                <w:sz w:val="24"/>
                <w:szCs w:val="24"/>
                <w:lang w:val="zh-CN" w:eastAsia="zh-CN"/>
              </w:rPr>
              <w:t>；</w:t>
            </w:r>
          </w:p>
          <w:p w14:paraId="6CE591E9">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eastAsia="zh-CN"/>
              </w:rPr>
              <w:t>5、本次采购为全流程电子化，解密时长为</w:t>
            </w:r>
            <w:r>
              <w:rPr>
                <w:rFonts w:hint="eastAsia" w:ascii="宋体" w:hAnsi="宋体" w:cs="宋体"/>
                <w:color w:val="000000"/>
                <w:sz w:val="24"/>
                <w:szCs w:val="24"/>
                <w:lang w:val="en-US" w:eastAsia="zh-CN"/>
              </w:rPr>
              <w:t>30</w:t>
            </w:r>
            <w:r>
              <w:rPr>
                <w:rFonts w:hint="eastAsia" w:ascii="宋体" w:hAnsi="宋体" w:cs="宋体"/>
                <w:color w:val="000000"/>
                <w:sz w:val="24"/>
                <w:szCs w:val="24"/>
                <w:lang w:val="zh-CN" w:eastAsia="zh-CN"/>
              </w:rPr>
              <w:t>分钟。</w:t>
            </w:r>
          </w:p>
        </w:tc>
      </w:tr>
      <w:tr w14:paraId="78A87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86" w:hRule="atLeast"/>
          <w:jc w:val="center"/>
        </w:trPr>
        <w:tc>
          <w:tcPr>
            <w:tcW w:w="2443" w:type="dxa"/>
            <w:tcBorders>
              <w:tl2br w:val="nil"/>
              <w:tr2bl w:val="nil"/>
            </w:tcBorders>
            <w:vAlign w:val="center"/>
          </w:tcPr>
          <w:p w14:paraId="721E06CC">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财政监管部门及电话</w:t>
            </w:r>
          </w:p>
        </w:tc>
        <w:tc>
          <w:tcPr>
            <w:tcW w:w="7150" w:type="dxa"/>
            <w:tcBorders>
              <w:tl2br w:val="nil"/>
              <w:tr2bl w:val="nil"/>
            </w:tcBorders>
            <w:vAlign w:val="center"/>
          </w:tcPr>
          <w:p w14:paraId="71DC21DE">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监督单位：</w:t>
            </w:r>
            <w:r>
              <w:rPr>
                <w:rFonts w:hint="eastAsia" w:ascii="宋体" w:hAnsi="宋体" w:cs="宋体"/>
                <w:color w:val="000000"/>
                <w:sz w:val="24"/>
                <w:szCs w:val="24"/>
                <w:lang w:val="en-US" w:eastAsia="zh-CN"/>
              </w:rPr>
              <w:t>同德县</w:t>
            </w:r>
            <w:r>
              <w:rPr>
                <w:rFonts w:hint="eastAsia" w:ascii="宋体" w:hAnsi="宋体" w:cs="宋体"/>
                <w:color w:val="000000"/>
                <w:sz w:val="24"/>
                <w:szCs w:val="24"/>
                <w:lang w:val="zh-CN" w:eastAsia="zh-CN"/>
              </w:rPr>
              <w:t>财政局</w:t>
            </w:r>
          </w:p>
          <w:p w14:paraId="471E2180">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联系电话：</w:t>
            </w:r>
            <w:r>
              <w:rPr>
                <w:rFonts w:hint="eastAsia" w:ascii="宋体" w:hAnsi="宋体" w:eastAsia="宋体" w:cs="宋体"/>
                <w:color w:val="auto"/>
                <w:spacing w:val="-1"/>
                <w:sz w:val="24"/>
                <w:szCs w:val="24"/>
                <w:lang w:eastAsia="zh-CN"/>
              </w:rPr>
              <w:t>0974-8593008</w:t>
            </w:r>
            <w:r>
              <w:rPr>
                <w:rFonts w:hint="eastAsia" w:ascii="宋体" w:hAnsi="宋体" w:cs="宋体"/>
                <w:color w:val="auto"/>
                <w:sz w:val="24"/>
                <w:szCs w:val="24"/>
                <w:lang w:val="en-US" w:eastAsia="zh-CN"/>
              </w:rPr>
              <w:t xml:space="preserve">  </w:t>
            </w:r>
            <w:r>
              <w:rPr>
                <w:rFonts w:hint="eastAsia" w:ascii="宋体" w:hAnsi="宋体" w:cs="宋体"/>
                <w:color w:val="000000"/>
                <w:sz w:val="24"/>
                <w:szCs w:val="24"/>
                <w:lang w:val="en-US" w:eastAsia="zh-CN"/>
              </w:rPr>
              <w:t xml:space="preserve"> </w:t>
            </w:r>
          </w:p>
        </w:tc>
      </w:tr>
    </w:tbl>
    <w:p w14:paraId="3A30CCC0">
      <w:pPr>
        <w:spacing w:line="360" w:lineRule="atLeast"/>
        <w:jc w:val="right"/>
        <w:rPr>
          <w:rFonts w:hint="eastAsia" w:ascii="宋体" w:hAnsi="Calibri" w:cs="宋体"/>
          <w:color w:val="000000"/>
          <w:kern w:val="0"/>
          <w:sz w:val="24"/>
          <w:szCs w:val="24"/>
          <w:lang w:val="zh-CN"/>
        </w:rPr>
      </w:pPr>
      <w:r>
        <w:rPr>
          <w:rFonts w:hint="eastAsia" w:ascii="宋体" w:hAnsi="宋体" w:cs="宋体"/>
          <w:b w:val="0"/>
          <w:bCs w:val="0"/>
          <w:sz w:val="44"/>
          <w:szCs w:val="44"/>
          <w:highlight w:val="none"/>
          <w:lang w:val="en-US" w:eastAsia="zh-CN"/>
        </w:rPr>
        <w:t xml:space="preserve">                      </w:t>
      </w:r>
      <w:r>
        <w:rPr>
          <w:rFonts w:hint="eastAsia" w:ascii="宋体" w:hAnsi="Calibri" w:cs="宋体"/>
          <w:color w:val="000000"/>
          <w:kern w:val="0"/>
          <w:sz w:val="24"/>
          <w:szCs w:val="24"/>
          <w:lang w:val="zh-CN"/>
        </w:rPr>
        <w:t>青海拓鑫工程项目管理有限公司</w:t>
      </w:r>
    </w:p>
    <w:p w14:paraId="6E5E31FB">
      <w:pPr>
        <w:spacing w:line="360" w:lineRule="auto"/>
        <w:jc w:val="right"/>
        <w:rPr>
          <w:rFonts w:hint="eastAsia" w:ascii="宋体" w:hAnsi="Calibri" w:cs="宋体"/>
          <w:kern w:val="0"/>
          <w:szCs w:val="21"/>
          <w:lang w:val="zh-CN"/>
        </w:rPr>
      </w:pPr>
      <w:r>
        <w:rPr>
          <w:rFonts w:hint="eastAsia" w:ascii="宋体" w:hAnsi="Calibri" w:cs="宋体"/>
          <w:color w:val="000000"/>
          <w:kern w:val="0"/>
          <w:sz w:val="24"/>
          <w:szCs w:val="24"/>
          <w:lang w:val="zh-CN"/>
        </w:rPr>
        <w:t xml:space="preserve">   </w:t>
      </w:r>
      <w:r>
        <w:rPr>
          <w:rFonts w:hint="eastAsia" w:ascii="宋体" w:hAnsi="Calibri" w:cs="宋体"/>
          <w:color w:val="000000"/>
          <w:kern w:val="0"/>
          <w:sz w:val="24"/>
          <w:szCs w:val="24"/>
        </w:rPr>
        <w:t xml:space="preserve">                                               </w:t>
      </w:r>
      <w:r>
        <w:rPr>
          <w:rFonts w:hint="eastAsia" w:ascii="宋体" w:hAnsi="Calibri" w:cs="宋体"/>
          <w:color w:val="000000"/>
          <w:kern w:val="0"/>
          <w:sz w:val="24"/>
          <w:szCs w:val="24"/>
          <w:lang w:val="zh-CN"/>
        </w:rPr>
        <w:t xml:space="preserve">  2026年05月18日   </w:t>
      </w:r>
      <w:r>
        <w:rPr>
          <w:rFonts w:hint="eastAsia" w:ascii="宋体" w:hAnsi="Calibri" w:cs="宋体"/>
          <w:kern w:val="0"/>
          <w:sz w:val="24"/>
          <w:szCs w:val="24"/>
          <w:lang w:val="zh-CN"/>
        </w:rPr>
        <w:t xml:space="preserve">    </w:t>
      </w:r>
      <w:r>
        <w:rPr>
          <w:rFonts w:hint="eastAsia" w:ascii="宋体" w:hAnsi="Calibri" w:cs="宋体"/>
          <w:kern w:val="0"/>
          <w:szCs w:val="21"/>
          <w:lang w:val="zh-CN"/>
        </w:rPr>
        <w:t xml:space="preserve">                               </w:t>
      </w:r>
    </w:p>
    <w:p w14:paraId="535A2034">
      <w:pPr>
        <w:rPr>
          <w:rFonts w:hint="default" w:ascii="宋体" w:hAnsi="宋体" w:eastAsia="宋体" w:cs="宋体"/>
          <w:b w:val="0"/>
          <w:bCs w:val="0"/>
          <w:sz w:val="44"/>
          <w:szCs w:val="44"/>
          <w:highlight w:val="none"/>
          <w:lang w:val="en-US" w:eastAsia="zh-CN"/>
        </w:rPr>
      </w:pPr>
      <w:r>
        <w:rPr>
          <w:rFonts w:hint="eastAsia" w:ascii="宋体" w:hAnsi="宋体" w:cs="宋体"/>
          <w:color w:val="auto"/>
          <w:kern w:val="2"/>
          <w:sz w:val="24"/>
          <w:szCs w:val="24"/>
          <w:highlight w:val="none"/>
          <w:u w:val="none"/>
          <w:lang w:val="en-US" w:eastAsia="zh-CN"/>
        </w:rPr>
        <w:br w:type="page"/>
      </w:r>
    </w:p>
    <w:p w14:paraId="792DBAB0">
      <w:pPr>
        <w:pStyle w:val="2"/>
        <w:numPr>
          <w:ilvl w:val="0"/>
          <w:numId w:val="0"/>
        </w:numPr>
        <w:wordWrap/>
        <w:adjustRightInd w:val="0"/>
        <w:snapToGrid w:val="0"/>
        <w:spacing w:before="157" w:beforeLines="50" w:line="560" w:lineRule="exact"/>
        <w:jc w:val="center"/>
        <w:outlineLvl w:val="0"/>
        <w:rPr>
          <w:rFonts w:hint="eastAsia" w:ascii="宋体" w:hAnsi="宋体" w:eastAsia="宋体" w:cs="宋体"/>
          <w:b/>
          <w:bCs/>
          <w:sz w:val="44"/>
          <w:szCs w:val="44"/>
          <w:highlight w:val="none"/>
          <w:lang w:val="en-US" w:eastAsia="zh-CN"/>
        </w:rPr>
      </w:pPr>
      <w:bookmarkStart w:id="12" w:name="_Toc16146"/>
      <w:bookmarkStart w:id="13" w:name="_Toc20974"/>
      <w:r>
        <w:rPr>
          <w:rFonts w:hint="eastAsia" w:ascii="宋体" w:hAnsi="宋体" w:eastAsia="宋体" w:cs="宋体"/>
          <w:b/>
          <w:bCs/>
          <w:sz w:val="44"/>
          <w:szCs w:val="44"/>
          <w:highlight w:val="none"/>
          <w:lang w:val="en-US" w:eastAsia="zh-CN"/>
        </w:rPr>
        <w:t>第二部分  谈判须知</w:t>
      </w:r>
      <w:bookmarkEnd w:id="3"/>
      <w:bookmarkEnd w:id="4"/>
      <w:bookmarkEnd w:id="5"/>
      <w:bookmarkEnd w:id="6"/>
      <w:bookmarkEnd w:id="7"/>
      <w:bookmarkEnd w:id="8"/>
      <w:bookmarkEnd w:id="9"/>
      <w:bookmarkEnd w:id="10"/>
      <w:bookmarkEnd w:id="11"/>
      <w:bookmarkEnd w:id="12"/>
      <w:bookmarkEnd w:id="13"/>
    </w:p>
    <w:p w14:paraId="41834B00">
      <w:pPr>
        <w:widowControl w:val="0"/>
        <w:wordWrap/>
        <w:adjustRightInd w:val="0"/>
        <w:snapToGrid w:val="0"/>
        <w:spacing w:before="157" w:beforeLines="50" w:line="560" w:lineRule="exact"/>
        <w:ind w:firstLine="0" w:firstLineChars="0"/>
        <w:jc w:val="center"/>
        <w:textAlignment w:val="auto"/>
        <w:outlineLvl w:val="1"/>
        <w:rPr>
          <w:rFonts w:hint="eastAsia" w:ascii="宋体" w:hAnsi="宋体" w:eastAsia="宋体" w:cs="宋体"/>
          <w:b/>
          <w:bCs/>
          <w:kern w:val="2"/>
          <w:sz w:val="28"/>
          <w:szCs w:val="28"/>
          <w:highlight w:val="none"/>
          <w:lang w:val="en-US" w:eastAsia="zh-CN" w:bidi="ar-SA"/>
        </w:rPr>
      </w:pPr>
      <w:bookmarkStart w:id="14" w:name="_Toc34637765"/>
      <w:bookmarkStart w:id="15" w:name="_Toc16562"/>
      <w:bookmarkStart w:id="16" w:name="_Toc9336"/>
      <w:bookmarkStart w:id="17" w:name="_Toc29348_WPSOffice_Level2"/>
      <w:bookmarkStart w:id="18" w:name="_Toc27795"/>
      <w:bookmarkStart w:id="19" w:name="_Toc17019_WPSOffice_Level2"/>
      <w:bookmarkStart w:id="20" w:name="_Toc7063_WPSOffice_Level2"/>
      <w:bookmarkStart w:id="21" w:name="_Toc30442"/>
      <w:bookmarkStart w:id="22" w:name="_Toc18401"/>
      <w:r>
        <w:rPr>
          <w:rFonts w:hint="eastAsia" w:ascii="宋体" w:hAnsi="宋体" w:eastAsia="宋体" w:cs="宋体"/>
          <w:b/>
          <w:bCs/>
          <w:kern w:val="2"/>
          <w:sz w:val="28"/>
          <w:szCs w:val="28"/>
          <w:highlight w:val="none"/>
          <w:lang w:val="en-US" w:eastAsia="zh-CN" w:bidi="ar-SA"/>
        </w:rPr>
        <w:t>一、说明</w:t>
      </w:r>
      <w:bookmarkEnd w:id="14"/>
      <w:bookmarkEnd w:id="15"/>
      <w:bookmarkEnd w:id="16"/>
      <w:bookmarkEnd w:id="17"/>
      <w:bookmarkEnd w:id="18"/>
      <w:bookmarkEnd w:id="19"/>
      <w:bookmarkEnd w:id="20"/>
      <w:bookmarkEnd w:id="21"/>
      <w:bookmarkEnd w:id="22"/>
    </w:p>
    <w:p w14:paraId="388F3857">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23" w:name="_Toc7063_WPSOffice_Level3"/>
      <w:bookmarkStart w:id="24" w:name="_Toc13645"/>
      <w:bookmarkStart w:id="25" w:name="_Toc29026"/>
      <w:bookmarkStart w:id="26" w:name="_Toc11775_WPSOffice_Level3"/>
      <w:bookmarkStart w:id="27" w:name="_Toc16264"/>
      <w:bookmarkStart w:id="28" w:name="_Toc31236"/>
      <w:r>
        <w:rPr>
          <w:rFonts w:hint="eastAsia" w:ascii="宋体" w:hAnsi="宋体" w:eastAsia="宋体" w:cs="宋体"/>
          <w:b/>
          <w:bCs/>
          <w:kern w:val="2"/>
          <w:sz w:val="28"/>
          <w:szCs w:val="28"/>
          <w:highlight w:val="none"/>
          <w:lang w:val="en-US" w:eastAsia="zh-CN" w:bidi="ar-SA"/>
        </w:rPr>
        <w:t>1.适用范围</w:t>
      </w:r>
      <w:bookmarkEnd w:id="23"/>
      <w:bookmarkEnd w:id="24"/>
      <w:bookmarkEnd w:id="25"/>
      <w:bookmarkEnd w:id="26"/>
      <w:bookmarkEnd w:id="27"/>
      <w:bookmarkEnd w:id="28"/>
    </w:p>
    <w:p w14:paraId="2D6E0A7F">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本竞争性谈判文件仅适用于</w:t>
      </w:r>
      <w:r>
        <w:rPr>
          <w:rFonts w:hint="eastAsia" w:ascii="宋体" w:hAnsi="宋体" w:eastAsia="宋体" w:cs="宋体"/>
          <w:sz w:val="24"/>
          <w:szCs w:val="24"/>
          <w:highlight w:val="none"/>
          <w:lang w:eastAsia="zh-CN"/>
        </w:rPr>
        <w:t>前述</w:t>
      </w:r>
      <w:r>
        <w:rPr>
          <w:rFonts w:hint="eastAsia" w:ascii="宋体" w:hAnsi="宋体" w:eastAsia="宋体" w:cs="宋体"/>
          <w:b/>
          <w:sz w:val="24"/>
          <w:szCs w:val="24"/>
          <w:highlight w:val="none"/>
        </w:rPr>
        <w:t>【谈判须知前附表】</w:t>
      </w:r>
      <w:r>
        <w:rPr>
          <w:rFonts w:hint="eastAsia" w:ascii="宋体" w:hAnsi="宋体" w:eastAsia="宋体" w:cs="宋体"/>
          <w:sz w:val="24"/>
          <w:szCs w:val="24"/>
          <w:highlight w:val="none"/>
        </w:rPr>
        <w:t>中所叙述的采购项目。</w:t>
      </w:r>
    </w:p>
    <w:p w14:paraId="05CC47EC">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29" w:name="_Toc2404_WPSOffice_Level3"/>
      <w:bookmarkStart w:id="30" w:name="_Toc15754_WPSOffice_Level3"/>
      <w:bookmarkStart w:id="31" w:name="_Toc1646"/>
      <w:bookmarkStart w:id="32" w:name="_Toc12080"/>
      <w:bookmarkStart w:id="33" w:name="_Toc30957"/>
      <w:bookmarkStart w:id="34" w:name="_Toc25432"/>
      <w:r>
        <w:rPr>
          <w:rFonts w:hint="eastAsia" w:ascii="宋体" w:hAnsi="宋体" w:eastAsia="宋体" w:cs="宋体"/>
          <w:b/>
          <w:bCs/>
          <w:kern w:val="2"/>
          <w:sz w:val="28"/>
          <w:szCs w:val="28"/>
          <w:highlight w:val="none"/>
          <w:lang w:val="en-US" w:eastAsia="zh-CN" w:bidi="ar-SA"/>
        </w:rPr>
        <w:t>2.采购人及代理机构</w:t>
      </w:r>
      <w:bookmarkEnd w:id="29"/>
      <w:bookmarkEnd w:id="30"/>
      <w:bookmarkEnd w:id="31"/>
      <w:bookmarkEnd w:id="32"/>
      <w:bookmarkEnd w:id="33"/>
      <w:bookmarkEnd w:id="34"/>
    </w:p>
    <w:p w14:paraId="1ECF141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采购人名称、地址、电话、联系人见【谈判须知前附表】。</w:t>
      </w:r>
    </w:p>
    <w:p w14:paraId="59CBBB3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采购代理机构名称、地址、电话、联系人</w:t>
      </w:r>
      <w:r>
        <w:rPr>
          <w:rFonts w:hint="eastAsia" w:ascii="宋体" w:hAnsi="宋体" w:eastAsia="宋体" w:cs="宋体"/>
          <w:sz w:val="24"/>
          <w:szCs w:val="24"/>
          <w:highlight w:val="none"/>
          <w:lang w:eastAsia="zh-CN"/>
        </w:rPr>
        <w:t>、邮箱</w:t>
      </w:r>
      <w:r>
        <w:rPr>
          <w:rFonts w:hint="eastAsia" w:ascii="宋体" w:hAnsi="宋体" w:eastAsia="宋体" w:cs="宋体"/>
          <w:sz w:val="24"/>
          <w:szCs w:val="24"/>
          <w:highlight w:val="none"/>
        </w:rPr>
        <w:t>见【谈判须知前附表】。</w:t>
      </w:r>
    </w:p>
    <w:p w14:paraId="0FD18211">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35" w:name="_Toc31395"/>
      <w:bookmarkStart w:id="36" w:name="_Toc955_WPSOffice_Level3"/>
      <w:bookmarkStart w:id="37" w:name="_Toc21695"/>
      <w:bookmarkStart w:id="38" w:name="_Toc8089_WPSOffice_Level3"/>
      <w:bookmarkStart w:id="39" w:name="_Toc10221"/>
      <w:bookmarkStart w:id="40" w:name="_Toc13585"/>
      <w:r>
        <w:rPr>
          <w:rFonts w:hint="eastAsia" w:ascii="宋体" w:hAnsi="宋体" w:eastAsia="宋体" w:cs="宋体"/>
          <w:b/>
          <w:bCs/>
          <w:kern w:val="2"/>
          <w:sz w:val="28"/>
          <w:szCs w:val="28"/>
          <w:highlight w:val="none"/>
          <w:lang w:val="en-US" w:eastAsia="zh-CN" w:bidi="ar-SA"/>
        </w:rPr>
        <w:t>3.供应商的资格要求</w:t>
      </w:r>
      <w:bookmarkEnd w:id="35"/>
      <w:bookmarkEnd w:id="36"/>
      <w:bookmarkEnd w:id="37"/>
      <w:bookmarkEnd w:id="38"/>
      <w:bookmarkEnd w:id="39"/>
      <w:bookmarkEnd w:id="40"/>
    </w:p>
    <w:p w14:paraId="348F2D2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3.1供应商是指响应谈判文件要求、参加竞争性谈判采购的法人、其他组织或者自然人。</w:t>
      </w:r>
    </w:p>
    <w:p w14:paraId="6A12879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3.2供应商应当符合【谈判须知前附表】规定的供应商资格条件。</w:t>
      </w:r>
    </w:p>
    <w:p w14:paraId="437352C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3.3【谈判须知前附表】规定接受联合体形式的，供应商除应符合上述资格条件的规定外，还应遵守以下规定： </w:t>
      </w:r>
    </w:p>
    <w:p w14:paraId="7453A56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（l）联合体中有同类资质的供应商按照联合体分工承担相同工作的，应当按照资质等级较低的供应商确定资质等级。</w:t>
      </w:r>
    </w:p>
    <w:p w14:paraId="059D39E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（2）联合体各方应按谈判文件提供的格式签订联合体协议书，明确联合体牵头人和各方的权利义务、合同工作量比例；</w:t>
      </w:r>
    </w:p>
    <w:p w14:paraId="4139723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（3）联合体各方签订联合体协议书后，</w:t>
      </w:r>
      <w:r>
        <w:rPr>
          <w:rFonts w:hint="eastAsia" w:ascii="宋体" w:hAnsi="宋体" w:eastAsia="宋体" w:cs="宋体"/>
          <w:sz w:val="24"/>
          <w:szCs w:val="24"/>
          <w:highlight w:val="none"/>
          <w:lang w:val="zh-CN"/>
        </w:rPr>
        <w:t>不得再单独参加或者与其他供应商组成新的联合体参加同一合同项下的采购活动。</w:t>
      </w:r>
    </w:p>
    <w:p w14:paraId="2525D73F">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41" w:name="_Toc29322_WPSOffice_Level3"/>
      <w:bookmarkStart w:id="42" w:name="_Toc24112_WPSOffice_Level3"/>
      <w:bookmarkStart w:id="43" w:name="_Toc15386"/>
      <w:bookmarkStart w:id="44" w:name="_Toc18921"/>
      <w:bookmarkStart w:id="45" w:name="_Toc2707"/>
      <w:bookmarkStart w:id="46" w:name="_Toc12281"/>
      <w:r>
        <w:rPr>
          <w:rFonts w:hint="eastAsia" w:ascii="宋体" w:hAnsi="宋体" w:eastAsia="宋体" w:cs="宋体"/>
          <w:b/>
          <w:bCs/>
          <w:kern w:val="2"/>
          <w:sz w:val="28"/>
          <w:szCs w:val="28"/>
          <w:highlight w:val="none"/>
          <w:lang w:val="en-US" w:eastAsia="zh-CN" w:bidi="ar-SA"/>
        </w:rPr>
        <w:t>4.谈判费用</w:t>
      </w:r>
      <w:bookmarkEnd w:id="41"/>
      <w:bookmarkEnd w:id="42"/>
      <w:bookmarkEnd w:id="43"/>
      <w:bookmarkEnd w:id="44"/>
      <w:bookmarkEnd w:id="45"/>
      <w:bookmarkEnd w:id="46"/>
      <w:r>
        <w:rPr>
          <w:rFonts w:hint="eastAsia" w:ascii="宋体" w:hAnsi="宋体" w:eastAsia="宋体" w:cs="宋体"/>
          <w:b/>
          <w:bCs/>
          <w:kern w:val="2"/>
          <w:sz w:val="28"/>
          <w:szCs w:val="28"/>
          <w:highlight w:val="none"/>
          <w:lang w:val="en-US" w:eastAsia="zh-CN" w:bidi="ar-SA"/>
        </w:rPr>
        <w:t xml:space="preserve"> </w:t>
      </w:r>
    </w:p>
    <w:p w14:paraId="198ECC26">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无论谈判的结果如何，供应商应自行承担所有与竞争性谈判采购活动有关的全部费用。</w:t>
      </w:r>
    </w:p>
    <w:p w14:paraId="646795F3">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en-US" w:eastAsia="zh-CN" w:bidi="ar-SA"/>
        </w:rPr>
      </w:pPr>
      <w:bookmarkStart w:id="47" w:name="_Toc2404_WPSOffice_Level2"/>
      <w:bookmarkStart w:id="48" w:name="_Toc34637766"/>
      <w:bookmarkStart w:id="49" w:name="_Toc19663_WPSOffice_Level2"/>
      <w:bookmarkStart w:id="50" w:name="_Toc24356"/>
      <w:bookmarkStart w:id="51" w:name="_Toc4912_WPSOffice_Level2"/>
      <w:bookmarkStart w:id="52" w:name="_Toc24182"/>
      <w:bookmarkStart w:id="53" w:name="_Toc28758"/>
      <w:bookmarkStart w:id="54" w:name="_Toc20516"/>
      <w:bookmarkStart w:id="55" w:name="_Toc25466"/>
      <w:r>
        <w:rPr>
          <w:rFonts w:hint="eastAsia" w:ascii="宋体" w:hAnsi="宋体" w:eastAsia="宋体" w:cs="宋体"/>
          <w:b/>
          <w:bCs/>
          <w:kern w:val="2"/>
          <w:sz w:val="28"/>
          <w:szCs w:val="28"/>
          <w:highlight w:val="none"/>
          <w:lang w:val="en-US" w:eastAsia="zh-CN" w:bidi="ar-SA"/>
        </w:rPr>
        <w:t>二、谈判文件</w:t>
      </w:r>
      <w:bookmarkEnd w:id="47"/>
      <w:bookmarkEnd w:id="48"/>
      <w:bookmarkEnd w:id="49"/>
      <w:bookmarkEnd w:id="50"/>
      <w:bookmarkEnd w:id="51"/>
      <w:bookmarkEnd w:id="52"/>
      <w:bookmarkEnd w:id="53"/>
      <w:bookmarkEnd w:id="54"/>
      <w:bookmarkEnd w:id="55"/>
    </w:p>
    <w:p w14:paraId="7FE54719">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56" w:name="_Toc1826"/>
      <w:bookmarkStart w:id="57" w:name="_Toc29785_WPSOffice_Level3"/>
      <w:bookmarkStart w:id="58" w:name="_Toc14464"/>
      <w:bookmarkStart w:id="59" w:name="_Toc18786_WPSOffice_Level3"/>
      <w:bookmarkStart w:id="60" w:name="_Toc16791"/>
      <w:bookmarkStart w:id="61" w:name="_Toc16124"/>
      <w:r>
        <w:rPr>
          <w:rFonts w:hint="eastAsia" w:ascii="宋体" w:hAnsi="宋体" w:eastAsia="宋体" w:cs="宋体"/>
          <w:b/>
          <w:bCs/>
          <w:kern w:val="2"/>
          <w:sz w:val="28"/>
          <w:szCs w:val="28"/>
          <w:highlight w:val="none"/>
          <w:lang w:val="en-US" w:eastAsia="zh-CN" w:bidi="ar-SA"/>
        </w:rPr>
        <w:t>5.谈判文件的组成</w:t>
      </w:r>
      <w:bookmarkEnd w:id="56"/>
      <w:bookmarkEnd w:id="57"/>
      <w:bookmarkEnd w:id="58"/>
      <w:bookmarkEnd w:id="59"/>
      <w:bookmarkEnd w:id="60"/>
      <w:bookmarkEnd w:id="61"/>
    </w:p>
    <w:p w14:paraId="0A6AA40A">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5.1谈判文件由下列文件组成：</w:t>
      </w:r>
    </w:p>
    <w:p w14:paraId="766F5525">
      <w:pPr>
        <w:pStyle w:val="9"/>
        <w:keepNext w:val="0"/>
        <w:keepLines w:val="0"/>
        <w:pageBreakBefore w:val="0"/>
        <w:widowControl w:val="0"/>
        <w:numPr>
          <w:ilvl w:val="0"/>
          <w:numId w:val="5"/>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谈判邀请</w:t>
      </w:r>
    </w:p>
    <w:p w14:paraId="3F14C8B4">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（2）谈判须知</w:t>
      </w:r>
    </w:p>
    <w:p w14:paraId="195D5DE5">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（3）采购需求</w:t>
      </w:r>
    </w:p>
    <w:p w14:paraId="4229BEB6">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（4）谈判响应文件格式</w:t>
      </w:r>
    </w:p>
    <w:p w14:paraId="46F2D97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（5）政府采购项目合同书范本</w:t>
      </w:r>
    </w:p>
    <w:p w14:paraId="14276710">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5.2采购人、采购代理机构或者谈判小组在提交首次响应文件截止之日前对已发出的谈判文件进行的澄清或者修改，构成谈判文件的组成部分。</w:t>
      </w:r>
    </w:p>
    <w:p w14:paraId="4E6F7974">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5.3谈判文件中，谈判小组根据与供应商谈判情况可能实质性变动的内容见【谈判须知前附表】。对谈判文件作出的实质性变动是谈判文件的有效组成部分。</w:t>
      </w:r>
    </w:p>
    <w:p w14:paraId="79C93D3D">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62" w:name="_Toc31604_WPSOffice_Level3"/>
      <w:bookmarkStart w:id="63" w:name="_Toc25455_WPSOffice_Level3"/>
      <w:bookmarkStart w:id="64" w:name="_Toc18056"/>
      <w:bookmarkStart w:id="65" w:name="_Toc1317"/>
      <w:bookmarkStart w:id="66" w:name="_Toc18105"/>
      <w:bookmarkStart w:id="67" w:name="_Toc25173"/>
      <w:r>
        <w:rPr>
          <w:rFonts w:hint="eastAsia" w:ascii="宋体" w:hAnsi="宋体" w:eastAsia="宋体" w:cs="宋体"/>
          <w:b/>
          <w:bCs/>
          <w:kern w:val="2"/>
          <w:sz w:val="28"/>
          <w:szCs w:val="28"/>
          <w:highlight w:val="none"/>
          <w:lang w:val="en-US" w:eastAsia="zh-CN" w:bidi="ar-SA"/>
        </w:rPr>
        <w:t>6.谈判文件的澄清</w:t>
      </w:r>
      <w:r>
        <w:rPr>
          <w:rFonts w:hint="eastAsia" w:ascii="宋体" w:hAnsi="宋体" w:eastAsia="宋体" w:cs="宋体"/>
          <w:b/>
          <w:bCs/>
          <w:kern w:val="2"/>
          <w:sz w:val="28"/>
          <w:szCs w:val="28"/>
          <w:highlight w:val="none"/>
          <w:lang w:val="zh-CN" w:eastAsia="zh-CN" w:bidi="ar-SA"/>
        </w:rPr>
        <w:t>或者</w:t>
      </w:r>
      <w:r>
        <w:rPr>
          <w:rFonts w:hint="eastAsia" w:ascii="宋体" w:hAnsi="宋体" w:eastAsia="宋体" w:cs="宋体"/>
          <w:b/>
          <w:bCs/>
          <w:kern w:val="2"/>
          <w:sz w:val="28"/>
          <w:szCs w:val="28"/>
          <w:highlight w:val="none"/>
          <w:lang w:val="en-US" w:eastAsia="zh-CN" w:bidi="ar-SA"/>
        </w:rPr>
        <w:t>修改</w:t>
      </w:r>
      <w:bookmarkEnd w:id="62"/>
      <w:bookmarkEnd w:id="63"/>
      <w:bookmarkEnd w:id="64"/>
      <w:bookmarkEnd w:id="65"/>
      <w:bookmarkEnd w:id="66"/>
      <w:bookmarkEnd w:id="67"/>
    </w:p>
    <w:p w14:paraId="05882952">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6.1在提交首次响应文件截止之日前，采购人、采购代理机构或者谈判小组可以对已发出的谈判文件进行必要的澄清或者修改。</w:t>
      </w:r>
    </w:p>
    <w:p w14:paraId="03052551">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14:paraId="1B0E187D">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68" w:name="_Toc30"/>
      <w:bookmarkStart w:id="69" w:name="_Toc6866_WPSOffice_Level3"/>
      <w:bookmarkStart w:id="70" w:name="_Toc27004"/>
      <w:bookmarkStart w:id="71" w:name="_Toc25126"/>
      <w:bookmarkStart w:id="72" w:name="_Toc4138_WPSOffice_Level3"/>
      <w:bookmarkStart w:id="73" w:name="_Toc2835"/>
      <w:bookmarkStart w:id="74" w:name="_Toc20186"/>
      <w:bookmarkStart w:id="75" w:name="_Toc34637767"/>
      <w:r>
        <w:rPr>
          <w:rFonts w:hint="eastAsia" w:ascii="宋体" w:hAnsi="宋体" w:eastAsia="宋体" w:cs="宋体"/>
          <w:b/>
          <w:bCs/>
          <w:kern w:val="2"/>
          <w:sz w:val="28"/>
          <w:szCs w:val="28"/>
          <w:highlight w:val="none"/>
          <w:lang w:val="en-US" w:eastAsia="zh-CN" w:bidi="ar-SA"/>
        </w:rPr>
        <w:t>7.谈判文件的询问或质疑</w:t>
      </w:r>
      <w:bookmarkEnd w:id="68"/>
      <w:bookmarkEnd w:id="69"/>
      <w:bookmarkEnd w:id="70"/>
      <w:bookmarkEnd w:id="71"/>
      <w:bookmarkEnd w:id="72"/>
      <w:bookmarkEnd w:id="73"/>
      <w:bookmarkEnd w:id="74"/>
    </w:p>
    <w:p w14:paraId="38869CD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7.1供应商对谈判文件有疑问的，可以向采购人、采购代理机构提出询问。</w:t>
      </w:r>
    </w:p>
    <w:p w14:paraId="3C0944F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提出质疑的供应商应当符合《中华人民共和国政府采购法》第二十二条的相关规定，对谈判文件提出质疑的，应当在获取采购文件或者采购文件公告期限届满之日起7个工作日内，按法律法规及其规章的规定向采购人、采购代理机构书面提出质疑。</w:t>
      </w:r>
    </w:p>
    <w:p w14:paraId="76EA357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7.3供应商认为谈判文件使自己的权益受到损害的，应以书面形式提出质疑（不接受匿名质疑），供应商须在法定质疑期内一次性提出针对同一采购程序环节的质疑。</w:t>
      </w:r>
    </w:p>
    <w:p w14:paraId="2A3AFCCB">
      <w:pPr>
        <w:autoSpaceDE w:val="0"/>
        <w:autoSpaceDN w:val="0"/>
        <w:adjustRightInd w:val="0"/>
        <w:snapToGrid w:val="0"/>
        <w:spacing w:line="360" w:lineRule="auto"/>
        <w:ind w:firstLine="480" w:firstLineChars="200"/>
        <w:rPr>
          <w:rFonts w:asciiTheme="minorEastAsia" w:hAnsiTheme="minorEastAsia" w:cstheme="minorEastAsia"/>
          <w:kern w:val="0"/>
          <w:sz w:val="24"/>
          <w:lang w:val="zh-CN"/>
        </w:rPr>
      </w:pPr>
      <w:r>
        <w:rPr>
          <w:rFonts w:hint="eastAsia" w:asciiTheme="minorEastAsia" w:hAnsiTheme="minorEastAsia" w:cstheme="minorEastAsia"/>
          <w:kern w:val="0"/>
          <w:sz w:val="24"/>
          <w:lang w:val="zh-CN"/>
        </w:rPr>
        <w:t>质疑时效期间的计算：</w:t>
      </w:r>
    </w:p>
    <w:p w14:paraId="4973D897">
      <w:pPr>
        <w:autoSpaceDE w:val="0"/>
        <w:autoSpaceDN w:val="0"/>
        <w:adjustRightInd w:val="0"/>
        <w:snapToGrid w:val="0"/>
        <w:spacing w:line="360" w:lineRule="auto"/>
        <w:ind w:firstLine="480" w:firstLineChars="200"/>
        <w:rPr>
          <w:rFonts w:asciiTheme="minorEastAsia" w:hAnsiTheme="minorEastAsia" w:cstheme="minorEastAsia"/>
          <w:kern w:val="0"/>
          <w:sz w:val="24"/>
          <w:lang w:val="zh-CN"/>
        </w:rPr>
      </w:pPr>
      <w:r>
        <w:rPr>
          <w:rFonts w:hint="eastAsia" w:asciiTheme="minorEastAsia" w:hAnsiTheme="minorEastAsia" w:cstheme="minorEastAsia"/>
          <w:kern w:val="0"/>
          <w:sz w:val="24"/>
          <w:lang w:val="zh-CN"/>
        </w:rPr>
        <w:t>（1）对可以质疑的谈判文件提出质疑的，为收到谈判文件之日或谈判文件公告期限届满之日；</w:t>
      </w:r>
    </w:p>
    <w:p w14:paraId="7A5FBDF1">
      <w:pPr>
        <w:autoSpaceDE w:val="0"/>
        <w:autoSpaceDN w:val="0"/>
        <w:adjustRightInd w:val="0"/>
        <w:snapToGrid w:val="0"/>
        <w:spacing w:line="360" w:lineRule="auto"/>
        <w:ind w:firstLine="480" w:firstLineChars="200"/>
        <w:rPr>
          <w:rFonts w:asciiTheme="minorEastAsia" w:hAnsiTheme="minorEastAsia" w:cstheme="minorEastAsia"/>
          <w:kern w:val="0"/>
          <w:sz w:val="24"/>
          <w:lang w:val="zh-CN"/>
        </w:rPr>
      </w:pPr>
      <w:r>
        <w:rPr>
          <w:rFonts w:hint="eastAsia" w:asciiTheme="minorEastAsia" w:hAnsiTheme="minorEastAsia" w:cstheme="minorEastAsia"/>
          <w:kern w:val="0"/>
          <w:sz w:val="24"/>
          <w:lang w:val="zh-CN"/>
        </w:rPr>
        <w:t>（2）对谈判过程提出质疑的，为谈判程序各环节结束之日；</w:t>
      </w:r>
    </w:p>
    <w:p w14:paraId="4677B4DC">
      <w:pPr>
        <w:autoSpaceDE w:val="0"/>
        <w:autoSpaceDN w:val="0"/>
        <w:adjustRightInd w:val="0"/>
        <w:snapToGrid w:val="0"/>
        <w:spacing w:line="360" w:lineRule="auto"/>
        <w:ind w:firstLine="480" w:firstLineChars="200"/>
        <w:rPr>
          <w:rFonts w:hint="eastAsia"/>
          <w:lang w:val="en-US" w:eastAsia="zh-CN"/>
        </w:rPr>
      </w:pPr>
      <w:r>
        <w:rPr>
          <w:rFonts w:hint="eastAsia" w:asciiTheme="minorEastAsia" w:hAnsiTheme="minorEastAsia" w:cstheme="minorEastAsia"/>
          <w:kern w:val="0"/>
          <w:sz w:val="24"/>
          <w:lang w:val="zh-CN"/>
        </w:rPr>
        <w:t>（3）对成交结果提出质疑的，为成交公告期限届满之日。</w:t>
      </w:r>
    </w:p>
    <w:p w14:paraId="6FD0D90D">
      <w:pPr>
        <w:widowControl w:val="0"/>
        <w:wordWrap/>
        <w:adjustRightInd w:val="0"/>
        <w:snapToGrid w:val="0"/>
        <w:spacing w:before="157" w:beforeLines="50" w:line="560" w:lineRule="exact"/>
        <w:ind w:firstLine="562" w:firstLineChars="200"/>
        <w:jc w:val="center"/>
        <w:textAlignment w:val="auto"/>
        <w:outlineLvl w:val="1"/>
        <w:rPr>
          <w:rFonts w:hint="eastAsia" w:ascii="宋体" w:hAnsi="宋体" w:eastAsia="宋体" w:cs="宋体"/>
          <w:b/>
          <w:bCs/>
          <w:kern w:val="2"/>
          <w:sz w:val="28"/>
          <w:szCs w:val="28"/>
          <w:highlight w:val="none"/>
          <w:lang w:val="en-US" w:eastAsia="zh-CN" w:bidi="ar-SA"/>
        </w:rPr>
      </w:pPr>
      <w:bookmarkStart w:id="76" w:name="_Toc23235_WPSOffice_Level2"/>
      <w:bookmarkStart w:id="77" w:name="_Toc16902"/>
      <w:bookmarkStart w:id="78" w:name="_Toc955_WPSOffice_Level2"/>
      <w:bookmarkStart w:id="79" w:name="_Toc5732_WPSOffice_Level2"/>
      <w:bookmarkStart w:id="80" w:name="_Toc28815"/>
      <w:bookmarkStart w:id="81" w:name="_Toc25138"/>
      <w:bookmarkStart w:id="82" w:name="_Toc23822"/>
      <w:r>
        <w:rPr>
          <w:rFonts w:hint="eastAsia" w:ascii="宋体" w:hAnsi="宋体" w:eastAsia="宋体" w:cs="宋体"/>
          <w:b/>
          <w:bCs/>
          <w:kern w:val="2"/>
          <w:sz w:val="28"/>
          <w:szCs w:val="28"/>
          <w:highlight w:val="none"/>
          <w:lang w:val="en-US" w:eastAsia="zh-CN" w:bidi="ar-SA"/>
        </w:rPr>
        <w:t>三、响应文件</w:t>
      </w:r>
      <w:bookmarkEnd w:id="75"/>
      <w:bookmarkEnd w:id="76"/>
      <w:bookmarkEnd w:id="77"/>
      <w:bookmarkEnd w:id="78"/>
      <w:bookmarkEnd w:id="79"/>
      <w:bookmarkEnd w:id="80"/>
      <w:bookmarkEnd w:id="81"/>
      <w:bookmarkEnd w:id="82"/>
    </w:p>
    <w:p w14:paraId="68C94EAA">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83" w:name="_Toc10843_WPSOffice_Level3"/>
      <w:bookmarkStart w:id="84" w:name="_Toc22063"/>
      <w:bookmarkStart w:id="85" w:name="_Toc1096_WPSOffice_Level3"/>
      <w:bookmarkStart w:id="86" w:name="_Toc2475"/>
      <w:bookmarkStart w:id="87" w:name="_Toc17983"/>
      <w:bookmarkStart w:id="88" w:name="_Toc20991"/>
      <w:bookmarkStart w:id="89" w:name="_Toc28890"/>
      <w:r>
        <w:rPr>
          <w:rFonts w:hint="eastAsia" w:ascii="宋体" w:hAnsi="宋体" w:eastAsia="宋体" w:cs="宋体"/>
          <w:b/>
          <w:bCs/>
          <w:kern w:val="2"/>
          <w:sz w:val="28"/>
          <w:szCs w:val="28"/>
          <w:highlight w:val="none"/>
          <w:lang w:val="en-US" w:eastAsia="zh-CN" w:bidi="ar-SA"/>
        </w:rPr>
        <w:t>8.一般要求</w:t>
      </w:r>
      <w:bookmarkEnd w:id="83"/>
      <w:bookmarkEnd w:id="84"/>
      <w:bookmarkEnd w:id="85"/>
      <w:bookmarkEnd w:id="86"/>
      <w:bookmarkEnd w:id="87"/>
      <w:bookmarkEnd w:id="88"/>
      <w:bookmarkEnd w:id="89"/>
    </w:p>
    <w:p w14:paraId="0F53B2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4238E25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8.2供应商提交的响应文件及供应商与采购人或采购代理机构、谈判小组就有关谈判的所有来往函电均使用中文。附有外文资料的，须翻译成中文并加盖供应商公章，若翻译的中文资料与外文资料存在差异和矛盾，则以中文资料为准。其准确性由供应商负责。</w:t>
      </w:r>
    </w:p>
    <w:p w14:paraId="001676C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8.3除谈判文件中另有规定外，谈判响应文件所使用的度量衡单位，均须采用国家法定计量单位。未列明时应默认为我国法定计量单位。</w:t>
      </w:r>
    </w:p>
    <w:p w14:paraId="73EB029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8.4响应文件应采用</w:t>
      </w:r>
      <w:r>
        <w:rPr>
          <w:rFonts w:hint="eastAsia" w:ascii="宋体" w:hAnsi="宋体" w:cs="宋体"/>
          <w:kern w:val="2"/>
          <w:sz w:val="24"/>
          <w:szCs w:val="24"/>
          <w:highlight w:val="none"/>
          <w:lang w:val="en-US" w:eastAsia="zh-CN" w:bidi="ar-SA"/>
        </w:rPr>
        <w:t>线上政采云投标客户端递交</w:t>
      </w:r>
      <w:r>
        <w:rPr>
          <w:rFonts w:hint="eastAsia" w:ascii="宋体" w:hAnsi="宋体" w:eastAsia="宋体" w:cs="宋体"/>
          <w:kern w:val="2"/>
          <w:sz w:val="24"/>
          <w:szCs w:val="24"/>
          <w:highlight w:val="none"/>
          <w:lang w:val="en-US" w:eastAsia="zh-CN" w:bidi="ar-SA"/>
        </w:rPr>
        <w:t>，电报、传真、电子邮件形式的响应文件概不接受。</w:t>
      </w:r>
    </w:p>
    <w:p w14:paraId="57879BB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8.5供应商应按谈判文件中提供的响应文件格式进行填写。</w:t>
      </w:r>
    </w:p>
    <w:p w14:paraId="263096FA">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90" w:name="_Toc14527_WPSOffice_Level3"/>
      <w:bookmarkStart w:id="91" w:name="_Toc20423_WPSOffice_Level3"/>
      <w:bookmarkStart w:id="92" w:name="_Toc16030"/>
      <w:bookmarkStart w:id="93" w:name="_Toc12007"/>
      <w:bookmarkStart w:id="94" w:name="_Toc15882"/>
      <w:bookmarkStart w:id="95" w:name="_Toc3375"/>
      <w:r>
        <w:rPr>
          <w:rFonts w:hint="eastAsia" w:ascii="宋体" w:hAnsi="宋体" w:eastAsia="宋体" w:cs="宋体"/>
          <w:b/>
          <w:bCs/>
          <w:kern w:val="2"/>
          <w:sz w:val="28"/>
          <w:szCs w:val="28"/>
          <w:highlight w:val="none"/>
          <w:lang w:val="en-US" w:eastAsia="zh-CN" w:bidi="ar-SA"/>
        </w:rPr>
        <w:t>9.报价要求</w:t>
      </w:r>
      <w:bookmarkEnd w:id="90"/>
      <w:bookmarkEnd w:id="91"/>
      <w:bookmarkEnd w:id="92"/>
      <w:bookmarkEnd w:id="93"/>
      <w:bookmarkEnd w:id="94"/>
      <w:bookmarkEnd w:id="95"/>
    </w:p>
    <w:p w14:paraId="7D44083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9.1供应商应当根据谈判文件“分项报价表”逐一报价；</w:t>
      </w:r>
    </w:p>
    <w:p w14:paraId="12676F7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9.2在首次报价表、分项报价表、最后报价表填写报价时应注意下列要求：</w:t>
      </w:r>
    </w:p>
    <w:p w14:paraId="518932F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（1）采购需求要求的</w:t>
      </w:r>
      <w:r>
        <w:rPr>
          <w:rFonts w:hint="eastAsia" w:ascii="宋体" w:hAnsi="宋体" w:cs="宋体"/>
          <w:bCs/>
          <w:color w:val="000000" w:themeColor="text1"/>
          <w:sz w:val="24"/>
          <w:szCs w:val="24"/>
          <w:highlight w:val="none"/>
          <w:lang w:val="zh-CN"/>
          <w14:textFill>
            <w14:solidFill>
              <w14:schemeClr w14:val="tx1"/>
            </w14:solidFill>
          </w14:textFill>
        </w:rPr>
        <w:t>、</w:t>
      </w:r>
      <w:r>
        <w:rPr>
          <w:rFonts w:hint="eastAsia" w:ascii="宋体" w:hAnsi="宋体" w:eastAsia="宋体" w:cs="宋体"/>
          <w:bCs/>
          <w:sz w:val="24"/>
          <w:szCs w:val="24"/>
          <w:highlight w:val="none"/>
          <w:lang w:val="zh-CN"/>
        </w:rPr>
        <w:t>产品费、验收费、手续费、包装费、运输费、保险费、培训费、售前售中售后服务费、税金及不可预见费等全部费用。</w:t>
      </w:r>
    </w:p>
    <w:p w14:paraId="5977E71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（2）所有根据合同或其它原因应由供应商交纳和支付的税款和费用。</w:t>
      </w:r>
    </w:p>
    <w:p w14:paraId="4114731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（3）供应商报价应为完成本竞争性谈判文件中所要求的货物应包括内容的所有价格。凡因供应商对采购文件阅读不深、理解不透、误解、疏漏、或因市场行情了解不清造成的后果和风险均由供应商自行承担。</w:t>
      </w:r>
    </w:p>
    <w:p w14:paraId="7661023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9.3</w:t>
      </w:r>
      <w:r>
        <w:rPr>
          <w:rFonts w:hint="eastAsia" w:ascii="宋体" w:hAnsi="宋体" w:eastAsia="宋体" w:cs="宋体"/>
          <w:kern w:val="2"/>
          <w:sz w:val="24"/>
          <w:szCs w:val="24"/>
          <w:highlight w:val="none"/>
          <w:lang w:val="zh-CN" w:eastAsia="zh-CN" w:bidi="ar-SA"/>
        </w:rPr>
        <w:t>供应商</w:t>
      </w:r>
      <w:r>
        <w:rPr>
          <w:rFonts w:hint="eastAsia" w:ascii="宋体" w:hAnsi="宋体" w:eastAsia="宋体" w:cs="宋体"/>
          <w:kern w:val="2"/>
          <w:sz w:val="24"/>
          <w:szCs w:val="24"/>
          <w:highlight w:val="none"/>
          <w:lang w:val="en-US" w:eastAsia="zh-CN" w:bidi="ar-SA"/>
        </w:rPr>
        <w:t>的每次报价均不得超过采购项目预算</w:t>
      </w:r>
      <w:r>
        <w:rPr>
          <w:rFonts w:hint="eastAsia" w:ascii="宋体" w:hAnsi="宋体" w:cs="宋体"/>
          <w:kern w:val="2"/>
          <w:sz w:val="24"/>
          <w:szCs w:val="24"/>
          <w:highlight w:val="none"/>
          <w:lang w:val="en-US" w:eastAsia="zh-CN" w:bidi="ar-SA"/>
        </w:rPr>
        <w:t>额度</w:t>
      </w:r>
      <w:r>
        <w:rPr>
          <w:rFonts w:hint="eastAsia" w:ascii="宋体" w:hAnsi="宋体" w:eastAsia="宋体" w:cs="宋体"/>
          <w:kern w:val="2"/>
          <w:sz w:val="24"/>
          <w:szCs w:val="24"/>
          <w:highlight w:val="none"/>
          <w:lang w:val="en-US" w:eastAsia="zh-CN" w:bidi="ar-SA"/>
        </w:rPr>
        <w:t>，否则视为无效响应。采购项目预算</w:t>
      </w:r>
      <w:r>
        <w:rPr>
          <w:rFonts w:hint="eastAsia" w:ascii="宋体" w:hAnsi="宋体" w:cs="宋体"/>
          <w:kern w:val="2"/>
          <w:sz w:val="24"/>
          <w:szCs w:val="24"/>
          <w:highlight w:val="none"/>
          <w:lang w:val="en-US" w:eastAsia="zh-CN" w:bidi="ar-SA"/>
        </w:rPr>
        <w:t>额度</w:t>
      </w:r>
      <w:r>
        <w:rPr>
          <w:rFonts w:hint="eastAsia" w:ascii="宋体" w:hAnsi="宋体" w:eastAsia="宋体" w:cs="宋体"/>
          <w:kern w:val="2"/>
          <w:sz w:val="24"/>
          <w:szCs w:val="24"/>
          <w:highlight w:val="none"/>
          <w:lang w:val="en-US" w:eastAsia="zh-CN" w:bidi="ar-SA"/>
        </w:rPr>
        <w:t>见【谈判须知前附表】。</w:t>
      </w:r>
    </w:p>
    <w:p w14:paraId="1908A6C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9.4供应商提交的最后报价在合同执行过程中是固定不变的，不得以任何理由予以变更。以可变动价格提交的报价将被认为是非实质响应而被拒绝。</w:t>
      </w:r>
    </w:p>
    <w:p w14:paraId="4D54B38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9.5谈判报价为总价。供应商须按要求填写谈判总报价，最后报价不得出现两个或两个以上的报价方案。 </w:t>
      </w:r>
    </w:p>
    <w:p w14:paraId="7B3BD8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9.6报价币种为人民币。</w:t>
      </w:r>
    </w:p>
    <w:p w14:paraId="010C07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投标人成本构成书面说明应当按照国家财务会计制度的规定要求，逐项就其提供的货物主营业务成本(应根据投标人企业类型予以区别)、税金及附加、销售费用、管理费用、财务费用等成本构成事项详细陈述。投标人说明应当签字确认并且加盖公章提交到政采云平台，否则无效。投标人为法人的，由其法定代表人/单位负责人或者代理人签字确认；投标人为其他组织的，由其主要负责人或者代理人签字确认；投标人为自然人的，由其本人或者代理人签字确认。投标人提供书面说明后，评审小组应当结合采购项目采购需求、专业实际情况、财务状况报告、与其他投标人比较情况等就其说明进行审查评价。投标人拒绝或者变相拒绝提供有效说明或者说明不能证明其报价合理性的，评审小组可以将其报价作为无效报价处理。</w:t>
      </w:r>
    </w:p>
    <w:p w14:paraId="50D14B58">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96" w:name="_Toc30481"/>
      <w:bookmarkStart w:id="97" w:name="_Toc19609_WPSOffice_Level3"/>
      <w:bookmarkStart w:id="98" w:name="_Toc30839"/>
      <w:bookmarkStart w:id="99" w:name="_Toc24956_WPSOffice_Level3"/>
      <w:bookmarkStart w:id="100" w:name="_Toc14020"/>
      <w:bookmarkStart w:id="101" w:name="_Toc14391"/>
      <w:r>
        <w:rPr>
          <w:rFonts w:hint="eastAsia" w:ascii="宋体" w:hAnsi="宋体" w:eastAsia="宋体" w:cs="宋体"/>
          <w:b/>
          <w:bCs/>
          <w:kern w:val="2"/>
          <w:sz w:val="28"/>
          <w:szCs w:val="28"/>
          <w:highlight w:val="none"/>
          <w:lang w:val="en-US" w:eastAsia="zh-CN" w:bidi="ar-SA"/>
        </w:rPr>
        <w:t>10.保证金</w:t>
      </w:r>
      <w:bookmarkEnd w:id="96"/>
      <w:bookmarkEnd w:id="97"/>
      <w:bookmarkEnd w:id="98"/>
      <w:bookmarkEnd w:id="99"/>
      <w:bookmarkEnd w:id="100"/>
      <w:bookmarkEnd w:id="101"/>
    </w:p>
    <w:p w14:paraId="66BB8F7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10.1供应商应按【谈判须知前附表】的规定，在提交响应文件的截止时间前提交不少于本谈判文件规定的人民币金额的谈判保证金。谈判保证金应当以转账、支票、本票或者金融机构、担保机构出具的保函等非现金形式提交。供应商未按照谈判文件要求提交谈判保证金的，视为非实质性响应，其响应文件不予接受。谈判保证金所有递交方式均以到账时间为准。</w:t>
      </w:r>
    </w:p>
    <w:p w14:paraId="7DD5BC79">
      <w:pPr>
        <w:spacing w:line="540" w:lineRule="exact"/>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投标人须在投标截止期前按以下要求交纳投标保证金（说明：收取的投标保证金不得超过采购项目预算金额的2%）：</w:t>
      </w:r>
    </w:p>
    <w:p w14:paraId="0885543A">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zh-CN" w:eastAsia="zh-CN"/>
        </w:rPr>
        <w:t>保证金金额：</w:t>
      </w:r>
      <w:r>
        <w:rPr>
          <w:rFonts w:hint="eastAsia" w:ascii="宋体" w:hAnsi="宋体" w:eastAsia="宋体" w:cs="宋体"/>
          <w:b/>
          <w:bCs/>
          <w:sz w:val="24"/>
          <w:szCs w:val="24"/>
          <w:lang w:val="en-US" w:eastAsia="zh-CN"/>
        </w:rPr>
        <w:t xml:space="preserve">1.4万元 （壹万肆仟元整） </w:t>
      </w:r>
    </w:p>
    <w:p w14:paraId="446D5C8A">
      <w:pPr>
        <w:bidi w:val="0"/>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收款单位：青海拓鑫工程项目管理有限公司</w:t>
      </w:r>
    </w:p>
    <w:p w14:paraId="508CEC6D">
      <w:pPr>
        <w:bidi w:val="0"/>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开 户 行：青海西宁农村商业银行股份有限公司市民中心支行</w:t>
      </w:r>
    </w:p>
    <w:p w14:paraId="0804F9FC">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zh-CN" w:eastAsia="zh-CN"/>
        </w:rPr>
        <w:t>银行账号：82010000000519294 (行号：402851020412)</w:t>
      </w:r>
    </w:p>
    <w:p w14:paraId="0682C8FE">
      <w:pPr>
        <w:spacing w:line="540" w:lineRule="exact"/>
        <w:ind w:firstLine="480" w:firstLineChars="200"/>
        <w:rPr>
          <w:rFonts w:hint="eastAsia"/>
          <w:lang w:val="en-US" w:eastAsia="zh-CN"/>
        </w:rPr>
      </w:pPr>
      <w:r>
        <w:rPr>
          <w:rFonts w:hint="eastAsia" w:ascii="宋体" w:hAnsi="宋体" w:cs="宋体"/>
          <w:color w:val="000000"/>
          <w:sz w:val="24"/>
          <w:szCs w:val="24"/>
          <w:lang w:val="zh-CN"/>
        </w:rPr>
        <w:t>交纳时间：</w:t>
      </w:r>
      <w:r>
        <w:rPr>
          <w:rFonts w:hint="eastAsia" w:ascii="宋体" w:hAnsi="Calibri" w:cs="宋体"/>
          <w:color w:val="000000"/>
          <w:kern w:val="0"/>
          <w:sz w:val="24"/>
          <w:szCs w:val="24"/>
          <w:lang w:val="en-US" w:eastAsia="zh-CN"/>
        </w:rPr>
        <w:t>以</w:t>
      </w:r>
      <w:r>
        <w:rPr>
          <w:rFonts w:hint="eastAsia" w:ascii="宋体" w:hAnsi="宋体" w:cs="宋体"/>
          <w:color w:val="000000"/>
          <w:sz w:val="24"/>
          <w:szCs w:val="24"/>
          <w:lang w:val="en-US" w:eastAsia="zh-CN"/>
        </w:rPr>
        <w:t>竞谈截止时间前招标代理机构财务收到银行送达的到账回单为准</w:t>
      </w:r>
      <w:r>
        <w:rPr>
          <w:rFonts w:hint="eastAsia" w:ascii="宋体" w:hAnsi="宋体" w:cs="宋体"/>
          <w:color w:val="000000"/>
          <w:sz w:val="24"/>
          <w:szCs w:val="24"/>
          <w:lang w:val="zh-CN"/>
        </w:rPr>
        <w:t>如采购项目变更开标时间，则保证金交纳时间相应顺延。</w:t>
      </w:r>
    </w:p>
    <w:p w14:paraId="7372ADF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10.2</w:t>
      </w:r>
      <w:r>
        <w:rPr>
          <w:rFonts w:hint="eastAsia" w:ascii="宋体" w:hAnsi="宋体" w:eastAsia="宋体" w:cs="宋体"/>
          <w:kern w:val="2"/>
          <w:sz w:val="24"/>
          <w:szCs w:val="24"/>
          <w:highlight w:val="none"/>
          <w:lang w:val="zh-CN" w:eastAsia="zh-CN" w:bidi="ar-SA"/>
        </w:rPr>
        <w:t>供应商为联合体的，可以由联合体中的一方或者共同交纳保证金，其交纳的保证金，对联合体各方均具有约束力。</w:t>
      </w:r>
      <w:r>
        <w:rPr>
          <w:rFonts w:hint="eastAsia" w:ascii="宋体" w:hAnsi="宋体" w:eastAsia="宋体" w:cs="宋体"/>
          <w:kern w:val="2"/>
          <w:sz w:val="24"/>
          <w:szCs w:val="24"/>
          <w:highlight w:val="none"/>
          <w:lang w:val="en-US" w:eastAsia="zh-CN" w:bidi="ar-SA"/>
        </w:rPr>
        <w:t xml:space="preserve">                                           </w:t>
      </w:r>
    </w:p>
    <w:p w14:paraId="3E88D55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10.3保证金的退还按以下规定办理：</w:t>
      </w:r>
    </w:p>
    <w:p w14:paraId="4C3432A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（1）成交供应商的保证金，在政府采购合同签订后5个工作日内退还，但因供应商自身原因导致无法退还的除外。</w:t>
      </w:r>
    </w:p>
    <w:p w14:paraId="5296124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（2）未成交供应商的保证金，在成交通知书发出后5个工作日内退还。</w:t>
      </w:r>
    </w:p>
    <w:p w14:paraId="309C3B2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（3）终止竞争性谈判采购活动的，在发布项目终止公告后5个工作日内退还。</w:t>
      </w:r>
    </w:p>
    <w:p w14:paraId="1907C42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10.4有下列情形之一的，保证金不予退还，并上缴同级财政国库：</w:t>
      </w:r>
    </w:p>
    <w:p w14:paraId="6375DA7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（1）供应商在提交响应文件截止时间后撤回响应文件的；</w:t>
      </w:r>
    </w:p>
    <w:p w14:paraId="50546BB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（2）供应商在响应文件中提供虚假材料的；</w:t>
      </w:r>
    </w:p>
    <w:p w14:paraId="24C11DF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（3）除因不可抗力或谈判文件认可的情形以外，成交供应商不与采购人签订合同的； </w:t>
      </w:r>
    </w:p>
    <w:p w14:paraId="53130B0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（4）供应商与采购人、其他供应商或者采购代理机构恶意串通的； </w:t>
      </w:r>
    </w:p>
    <w:p w14:paraId="585B2D7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（5）谈判文件规定的其他情形。</w:t>
      </w:r>
    </w:p>
    <w:p w14:paraId="35FF5BEF">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02" w:name="_Toc14144"/>
      <w:bookmarkStart w:id="103" w:name="_Toc18765_WPSOffice_Level3"/>
      <w:bookmarkStart w:id="104" w:name="_Toc5897"/>
      <w:bookmarkStart w:id="105" w:name="_Toc4945_WPSOffice_Level3"/>
      <w:bookmarkStart w:id="106" w:name="_Toc2166"/>
      <w:bookmarkStart w:id="107" w:name="_Toc24951"/>
      <w:r>
        <w:rPr>
          <w:rFonts w:hint="eastAsia" w:ascii="宋体" w:hAnsi="宋体" w:eastAsia="宋体" w:cs="宋体"/>
          <w:b/>
          <w:bCs/>
          <w:kern w:val="2"/>
          <w:sz w:val="28"/>
          <w:szCs w:val="28"/>
          <w:highlight w:val="none"/>
          <w:lang w:val="en-US" w:eastAsia="zh-CN" w:bidi="ar-SA"/>
        </w:rPr>
        <w:t>11.响应文件的组成</w:t>
      </w:r>
      <w:bookmarkEnd w:id="102"/>
      <w:bookmarkEnd w:id="103"/>
      <w:bookmarkEnd w:id="104"/>
      <w:bookmarkEnd w:id="105"/>
      <w:bookmarkEnd w:id="106"/>
      <w:bookmarkEnd w:id="107"/>
    </w:p>
    <w:p w14:paraId="1046CA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11.1响应文件包括下列内容： </w:t>
      </w:r>
    </w:p>
    <w:p w14:paraId="05731DE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供应商应提交相关证明材料，作为其参加谈判和成交后有能力履行合同的证明。编写的谈判响应文件须包括以下内容（格式详见谈判文件第四部分内容）：</w:t>
      </w:r>
    </w:p>
    <w:p w14:paraId="61DAEE9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11.1.1</w:t>
      </w:r>
      <w:r>
        <w:rPr>
          <w:rFonts w:hint="eastAsia" w:ascii="宋体" w:hAnsi="宋体" w:eastAsia="宋体" w:cs="宋体"/>
          <w:kern w:val="2"/>
          <w:sz w:val="24"/>
          <w:szCs w:val="24"/>
          <w:highlight w:val="none"/>
          <w:lang w:val="zh-CN" w:eastAsia="zh-CN" w:bidi="ar-SA"/>
        </w:rPr>
        <w:t>资格审查部分</w:t>
      </w:r>
    </w:p>
    <w:p w14:paraId="771566F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1、响应函</w:t>
      </w:r>
    </w:p>
    <w:p w14:paraId="500FB7D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2、法定代表人证明书</w:t>
      </w:r>
    </w:p>
    <w:p w14:paraId="25E9876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3、法定代表人授权书</w:t>
      </w:r>
    </w:p>
    <w:p w14:paraId="75C8C2D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4、供应商承诺函</w:t>
      </w:r>
    </w:p>
    <w:p w14:paraId="601F101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5、供应商诚信承诺书</w:t>
      </w:r>
    </w:p>
    <w:p w14:paraId="52554C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6、供应商资格证明文件</w:t>
      </w:r>
    </w:p>
    <w:p w14:paraId="58E6881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7、财务状况、缴纳税收和社会保障资金证明</w:t>
      </w:r>
    </w:p>
    <w:p w14:paraId="5A52607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8、无重大违法记录声明</w:t>
      </w:r>
    </w:p>
    <w:p w14:paraId="7F851DB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9、谈判保证金证明</w:t>
      </w:r>
    </w:p>
    <w:p w14:paraId="571244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具备履行合同所必须的设备和专业技术能力证明</w:t>
      </w:r>
    </w:p>
    <w:p w14:paraId="487D59A2">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11.1.2有效性、完整性、响应程度审查</w:t>
      </w:r>
      <w:r>
        <w:rPr>
          <w:rFonts w:hint="eastAsia" w:ascii="宋体" w:hAnsi="宋体" w:eastAsia="宋体" w:cs="宋体"/>
          <w:kern w:val="2"/>
          <w:sz w:val="24"/>
          <w:szCs w:val="24"/>
          <w:highlight w:val="none"/>
          <w:lang w:val="zh-CN" w:eastAsia="zh-CN" w:bidi="ar-SA"/>
        </w:rPr>
        <w:t>部分</w:t>
      </w:r>
    </w:p>
    <w:p w14:paraId="007F0C4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、谈判首次报价表</w:t>
      </w:r>
    </w:p>
    <w:p w14:paraId="59F8D08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zh-CN" w:eastAsia="zh-CN" w:bidi="ar-SA"/>
        </w:rPr>
        <w:t>、分项报价表</w:t>
      </w:r>
    </w:p>
    <w:p w14:paraId="14C2037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13、技</w:t>
      </w:r>
      <w:r>
        <w:rPr>
          <w:rFonts w:hint="eastAsia" w:ascii="宋体" w:hAnsi="宋体" w:eastAsia="宋体" w:cs="宋体"/>
          <w:kern w:val="2"/>
          <w:sz w:val="24"/>
          <w:szCs w:val="24"/>
          <w:highlight w:val="none"/>
          <w:lang w:val="zh-CN" w:eastAsia="zh-CN" w:bidi="ar-SA"/>
        </w:rPr>
        <w:t>术规格响应表</w:t>
      </w:r>
    </w:p>
    <w:p w14:paraId="5FA1EA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14</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产品相关资料</w:t>
      </w:r>
      <w:r>
        <w:rPr>
          <w:rFonts w:hint="eastAsia" w:ascii="宋体" w:hAnsi="宋体" w:eastAsia="宋体" w:cs="宋体"/>
          <w:kern w:val="2"/>
          <w:sz w:val="24"/>
          <w:szCs w:val="24"/>
          <w:highlight w:val="none"/>
          <w:lang w:val="en-US" w:eastAsia="zh-CN" w:bidi="ar-SA"/>
        </w:rPr>
        <w:tab/>
      </w:r>
    </w:p>
    <w:p w14:paraId="5670DBD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zh-CN" w:eastAsia="zh-CN" w:bidi="ar-SA"/>
        </w:rPr>
        <w:t>享受政府采购政策优惠的证明资料</w:t>
      </w:r>
    </w:p>
    <w:p w14:paraId="7A0DA1E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16、</w:t>
      </w:r>
      <w:r>
        <w:rPr>
          <w:rFonts w:hint="eastAsia" w:ascii="宋体" w:hAnsi="宋体" w:eastAsia="宋体" w:cs="宋体"/>
          <w:kern w:val="2"/>
          <w:sz w:val="24"/>
          <w:szCs w:val="24"/>
          <w:highlight w:val="none"/>
          <w:lang w:val="zh-CN" w:eastAsia="zh-CN" w:bidi="ar-SA"/>
        </w:rPr>
        <w:t>供应商认为在其他方面有必要说明的事项</w:t>
      </w:r>
    </w:p>
    <w:p w14:paraId="65460623">
      <w:pPr>
        <w:keepNext w:val="0"/>
        <w:keepLines w:val="0"/>
        <w:pageBreakBefore w:val="0"/>
        <w:widowControl w:val="0"/>
        <w:numPr>
          <w:numId w:val="0"/>
        </w:numPr>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17、</w:t>
      </w:r>
      <w:r>
        <w:rPr>
          <w:rFonts w:hint="eastAsia" w:ascii="宋体" w:hAnsi="宋体" w:eastAsia="宋体" w:cs="宋体"/>
          <w:kern w:val="2"/>
          <w:sz w:val="24"/>
          <w:szCs w:val="24"/>
          <w:highlight w:val="none"/>
          <w:lang w:val="en-US" w:eastAsia="zh-CN" w:bidi="ar-SA"/>
        </w:rPr>
        <w:t>谈判最后报价表</w:t>
      </w:r>
    </w:p>
    <w:p w14:paraId="1CDF267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zh-CN" w:eastAsia="zh-CN" w:bidi="ar-SA"/>
        </w:rPr>
        <w:t>供应商须按上述内容、顺序和格式编制响应文件，并按要求编制目录、页码，并保证所提供的全部资料真实可信，自愿承担相应责任。</w:t>
      </w:r>
    </w:p>
    <w:p w14:paraId="2452DBB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11.2在谈判过程中，供应商根据谈判小组书面形式要求提交的最后报价(</w:t>
      </w:r>
      <w:r>
        <w:rPr>
          <w:rFonts w:hint="eastAsia" w:ascii="宋体" w:hAnsi="宋体" w:eastAsia="宋体" w:cs="宋体"/>
          <w:kern w:val="2"/>
          <w:sz w:val="24"/>
          <w:szCs w:val="24"/>
          <w:highlight w:val="none"/>
          <w:u w:val="single"/>
          <w:lang w:val="en-US" w:eastAsia="zh-CN" w:bidi="ar-SA"/>
        </w:rPr>
        <w:t>或者重新提交的响应文件和最后报价</w:t>
      </w:r>
      <w:r>
        <w:rPr>
          <w:rFonts w:hint="eastAsia" w:ascii="宋体" w:hAnsi="宋体" w:eastAsia="宋体" w:cs="宋体"/>
          <w:kern w:val="2"/>
          <w:sz w:val="24"/>
          <w:szCs w:val="24"/>
          <w:highlight w:val="none"/>
          <w:lang w:val="en-US" w:eastAsia="zh-CN" w:bidi="ar-SA"/>
        </w:rPr>
        <w:t>)是响应文件的有效组成部分。</w:t>
      </w:r>
    </w:p>
    <w:p w14:paraId="3F94084F">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08" w:name="_Toc26621"/>
      <w:bookmarkStart w:id="109" w:name="_Toc3694_WPSOffice_Level3"/>
      <w:bookmarkStart w:id="110" w:name="_Toc14930_WPSOffice_Level3"/>
      <w:bookmarkStart w:id="111" w:name="_Toc11674"/>
      <w:bookmarkStart w:id="112" w:name="_Toc18538"/>
      <w:bookmarkStart w:id="113" w:name="_Toc10077"/>
      <w:r>
        <w:rPr>
          <w:rFonts w:hint="eastAsia" w:ascii="宋体" w:hAnsi="宋体" w:eastAsia="宋体" w:cs="宋体"/>
          <w:b/>
          <w:bCs/>
          <w:kern w:val="2"/>
          <w:sz w:val="28"/>
          <w:szCs w:val="28"/>
          <w:highlight w:val="none"/>
          <w:lang w:val="en-US" w:eastAsia="zh-CN" w:bidi="ar-SA"/>
        </w:rPr>
        <w:t>12.响应文件有效期</w:t>
      </w:r>
      <w:bookmarkEnd w:id="108"/>
      <w:bookmarkEnd w:id="109"/>
      <w:bookmarkEnd w:id="110"/>
      <w:bookmarkEnd w:id="111"/>
      <w:bookmarkEnd w:id="112"/>
      <w:bookmarkEnd w:id="113"/>
    </w:p>
    <w:p w14:paraId="383AFDEA">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响应文件有效期见【谈判须知前附表】，在此期间响应文件对供应商具有法律约束力，从提交首次响应文件截止时间之日起计算。响应文件有效期不足的将被视为无效响应。</w:t>
      </w:r>
    </w:p>
    <w:p w14:paraId="19584BA5">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14" w:name="_Toc31682_WPSOffice_Level3"/>
      <w:bookmarkStart w:id="115" w:name="_Toc8507_WPSOffice_Level3"/>
      <w:bookmarkStart w:id="116" w:name="_Toc21033"/>
      <w:bookmarkStart w:id="117" w:name="_Toc20265"/>
      <w:bookmarkStart w:id="118" w:name="_Toc28518"/>
      <w:bookmarkStart w:id="119" w:name="_Toc3752"/>
      <w:r>
        <w:rPr>
          <w:rFonts w:hint="eastAsia" w:ascii="宋体" w:hAnsi="宋体" w:eastAsia="宋体" w:cs="宋体"/>
          <w:b/>
          <w:bCs/>
          <w:kern w:val="2"/>
          <w:sz w:val="28"/>
          <w:szCs w:val="28"/>
          <w:highlight w:val="none"/>
          <w:lang w:val="en-US" w:eastAsia="zh-CN" w:bidi="ar-SA"/>
        </w:rPr>
        <w:t>13.响应文件的签署及规定</w:t>
      </w:r>
      <w:bookmarkEnd w:id="114"/>
      <w:bookmarkEnd w:id="115"/>
      <w:bookmarkEnd w:id="116"/>
      <w:bookmarkEnd w:id="117"/>
      <w:bookmarkEnd w:id="118"/>
      <w:bookmarkEnd w:id="119"/>
    </w:p>
    <w:p w14:paraId="055A11D2">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bookmarkStart w:id="120" w:name="_Toc34637768"/>
      <w:bookmarkStart w:id="121" w:name="_Toc30575"/>
      <w:bookmarkStart w:id="122" w:name="_Toc25869"/>
      <w:bookmarkStart w:id="123" w:name="_Toc8361"/>
      <w:bookmarkStart w:id="124" w:name="_Toc32627_WPSOffice_Level2"/>
      <w:bookmarkStart w:id="125" w:name="_Toc31349_WPSOffice_Level2"/>
      <w:bookmarkStart w:id="126" w:name="_Toc24112_WPSOffice_Level2"/>
      <w:r>
        <w:rPr>
          <w:rFonts w:hint="eastAsia" w:ascii="宋体" w:hAnsi="宋体" w:eastAsia="宋体" w:cs="宋体"/>
          <w:kern w:val="2"/>
          <w:sz w:val="24"/>
          <w:szCs w:val="24"/>
          <w:highlight w:val="none"/>
          <w:lang w:val="zh-CN" w:eastAsia="zh-CN" w:bidi="ar-SA"/>
        </w:rPr>
        <w:t>13.1响应文件应按谈判文件要求签字盖章。供应商代表可为供应商法定代表人(非法人组织为负责人或合伙人、个体工商户为负责人，谈判文件统称单位负责人)；供应商代表不是供应商的法定代表人（单位负责人）的，应提供法定代表人（单位负责人）授权委托书。</w:t>
      </w:r>
    </w:p>
    <w:p w14:paraId="59D85E9A">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13.2 供应商应按照谈判文件所提供的文件格式，分别填写谈判文件第四部分的内容，应分别注明所提供服务或货物的名称、技术配置及参数、数量和价格等内容；谈判文件要求签字、盖章的地方必须由供应商的法定代表人或委托代理人签字、盖章齐全上传扫描件或由供应商的法定代表人或委托代理人电子签字、盖单位电子章。</w:t>
      </w:r>
    </w:p>
    <w:p w14:paraId="024517F1">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13.3 响应文件不得行间插字，若有修改错漏处，应由供应商法定代表人或者其委托代理人签字、加盖公章。否则，将导致响应文件无效。</w:t>
      </w:r>
    </w:p>
    <w:p w14:paraId="3DCC32B5">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13.4在谈判过程中，供应商按谈判文件规定提交的最终报价，须打印或用不褪色材料书写，并经供应商代表签字，或者加盖供应商单位公章。否则，将导致响应文件无效。</w:t>
      </w:r>
    </w:p>
    <w:p w14:paraId="0A220997">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13.5供应商无论成交与否，其响应文件不予退还。</w:t>
      </w:r>
    </w:p>
    <w:p w14:paraId="2E3738F9">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仿宋_GB2312" w:hAnsi="仿宋_GB2312" w:eastAsia="仿宋_GB2312" w:cs="仿宋_GB2312"/>
          <w:sz w:val="28"/>
          <w:szCs w:val="28"/>
        </w:rPr>
      </w:pPr>
      <w:r>
        <w:rPr>
          <w:rFonts w:hint="eastAsia" w:ascii="宋体" w:hAnsi="宋体" w:eastAsia="宋体" w:cs="宋体"/>
          <w:kern w:val="2"/>
          <w:sz w:val="24"/>
          <w:szCs w:val="24"/>
          <w:highlight w:val="none"/>
          <w:lang w:val="zh-CN" w:eastAsia="zh-CN" w:bidi="ar-SA"/>
        </w:rPr>
        <w:t>13.6响应文件的其他要求见【谈判须知前附表】</w:t>
      </w:r>
      <w:r>
        <w:rPr>
          <w:rFonts w:hint="eastAsia" w:ascii="仿宋_GB2312" w:hAnsi="仿宋_GB2312" w:eastAsia="仿宋_GB2312" w:cs="仿宋_GB2312"/>
          <w:sz w:val="28"/>
          <w:szCs w:val="28"/>
        </w:rPr>
        <w:t>。</w:t>
      </w:r>
    </w:p>
    <w:p w14:paraId="47009C52">
      <w:pPr>
        <w:widowControl w:val="0"/>
        <w:wordWrap/>
        <w:adjustRightInd w:val="0"/>
        <w:snapToGrid w:val="0"/>
        <w:spacing w:before="157" w:beforeLines="50" w:line="560" w:lineRule="exact"/>
        <w:ind w:firstLine="562" w:firstLineChars="200"/>
        <w:jc w:val="center"/>
        <w:textAlignment w:val="auto"/>
        <w:outlineLvl w:val="1"/>
        <w:rPr>
          <w:rFonts w:hint="eastAsia" w:ascii="宋体" w:hAnsi="宋体" w:eastAsia="宋体" w:cs="宋体"/>
          <w:b/>
          <w:bCs/>
          <w:kern w:val="2"/>
          <w:sz w:val="28"/>
          <w:szCs w:val="28"/>
          <w:highlight w:val="none"/>
          <w:lang w:val="en-US" w:eastAsia="zh-CN" w:bidi="ar-SA"/>
        </w:rPr>
      </w:pPr>
      <w:bookmarkStart w:id="127" w:name="_Toc29699"/>
      <w:r>
        <w:rPr>
          <w:rFonts w:hint="eastAsia" w:ascii="宋体" w:hAnsi="宋体" w:eastAsia="宋体" w:cs="宋体"/>
          <w:b/>
          <w:bCs/>
          <w:kern w:val="2"/>
          <w:sz w:val="28"/>
          <w:szCs w:val="28"/>
          <w:highlight w:val="none"/>
          <w:lang w:val="en-US" w:eastAsia="zh-CN" w:bidi="ar-SA"/>
        </w:rPr>
        <w:t>四、响应文件的递交</w:t>
      </w:r>
      <w:bookmarkEnd w:id="120"/>
      <w:bookmarkEnd w:id="121"/>
      <w:bookmarkEnd w:id="122"/>
      <w:bookmarkEnd w:id="123"/>
      <w:bookmarkEnd w:id="124"/>
      <w:bookmarkEnd w:id="125"/>
      <w:bookmarkEnd w:id="126"/>
      <w:bookmarkEnd w:id="127"/>
    </w:p>
    <w:p w14:paraId="1F697651">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28" w:name="_Toc7845_WPSOffice_Level3"/>
      <w:bookmarkStart w:id="129" w:name="_Toc18048"/>
      <w:bookmarkStart w:id="130" w:name="_Toc1241"/>
      <w:bookmarkStart w:id="131" w:name="_Toc13231_WPSOffice_Level3"/>
      <w:bookmarkStart w:id="132" w:name="_Toc29728"/>
      <w:bookmarkStart w:id="133" w:name="_Toc24491"/>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4</w:t>
      </w:r>
      <w:r>
        <w:rPr>
          <w:rFonts w:hint="eastAsia" w:ascii="宋体" w:hAnsi="宋体" w:eastAsia="宋体" w:cs="宋体"/>
          <w:b/>
          <w:bCs/>
          <w:kern w:val="2"/>
          <w:sz w:val="28"/>
          <w:szCs w:val="28"/>
          <w:highlight w:val="none"/>
          <w:lang w:val="en-US" w:eastAsia="zh-CN" w:bidi="ar-SA"/>
        </w:rPr>
        <w:t>.响应文件的递交与接收</w:t>
      </w:r>
      <w:bookmarkEnd w:id="128"/>
      <w:bookmarkEnd w:id="129"/>
      <w:bookmarkEnd w:id="130"/>
      <w:bookmarkEnd w:id="131"/>
      <w:bookmarkEnd w:id="132"/>
      <w:bookmarkEnd w:id="133"/>
    </w:p>
    <w:p w14:paraId="5CC3A1B8">
      <w:pPr>
        <w:keepNext w:val="0"/>
        <w:keepLines w:val="0"/>
        <w:pageBreakBefore w:val="0"/>
        <w:widowControl w:val="0"/>
        <w:kinsoku/>
        <w:wordWrap/>
        <w:overflowPunct/>
        <w:topLinePunct w:val="0"/>
        <w:autoSpaceDE/>
        <w:autoSpaceDN/>
        <w:bidi w:val="0"/>
        <w:adjustRightInd w:val="0"/>
        <w:snapToGrid w:val="0"/>
        <w:spacing w:before="157" w:beforeLines="50" w:line="520" w:lineRule="exact"/>
        <w:jc w:val="left"/>
        <w:textAlignment w:val="auto"/>
        <w:rPr>
          <w:rFonts w:hint="eastAsia" w:ascii="宋体" w:hAnsi="宋体" w:eastAsia="宋体" w:cs="宋体"/>
          <w:kern w:val="2"/>
          <w:sz w:val="24"/>
          <w:szCs w:val="24"/>
          <w:highlight w:val="none"/>
          <w:lang w:val="zh-CN" w:eastAsia="zh-CN" w:bidi="ar-SA"/>
        </w:rPr>
      </w:pPr>
      <w:bookmarkStart w:id="134" w:name="_Toc5063_WPSOffice_Level3"/>
      <w:bookmarkStart w:id="135" w:name="_Toc31959"/>
      <w:bookmarkStart w:id="136" w:name="_Toc17912"/>
      <w:bookmarkStart w:id="137" w:name="_Toc19521_WPSOffice_Level3"/>
      <w:r>
        <w:rPr>
          <w:rFonts w:hint="eastAsia" w:ascii="宋体" w:hAnsi="宋体" w:eastAsia="宋体" w:cs="宋体"/>
          <w:kern w:val="2"/>
          <w:sz w:val="24"/>
          <w:szCs w:val="24"/>
          <w:highlight w:val="none"/>
          <w:lang w:val="zh-CN" w:eastAsia="zh-CN" w:bidi="ar-SA"/>
        </w:rPr>
        <w:t>1</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投标人应当在</w:t>
      </w:r>
      <w:r>
        <w:rPr>
          <w:rFonts w:hint="eastAsia" w:ascii="宋体" w:hAnsi="宋体" w:cs="宋体"/>
          <w:kern w:val="2"/>
          <w:sz w:val="24"/>
          <w:szCs w:val="24"/>
          <w:highlight w:val="none"/>
          <w:lang w:val="zh-CN" w:eastAsia="zh-CN" w:bidi="ar-SA"/>
        </w:rPr>
        <w:t>谈判</w:t>
      </w:r>
      <w:r>
        <w:rPr>
          <w:rFonts w:hint="eastAsia" w:ascii="宋体" w:hAnsi="宋体" w:eastAsia="宋体" w:cs="宋体"/>
          <w:kern w:val="2"/>
          <w:sz w:val="24"/>
          <w:szCs w:val="24"/>
          <w:highlight w:val="none"/>
          <w:lang w:val="zh-CN" w:eastAsia="zh-CN" w:bidi="ar-SA"/>
        </w:rPr>
        <w:t>文件要求提交投标文件的截止时间前，将投标文件上传至政采云投标客户端。</w:t>
      </w:r>
    </w:p>
    <w:p w14:paraId="7FC8FE7C">
      <w:pPr>
        <w:keepNext w:val="0"/>
        <w:keepLines w:val="0"/>
        <w:pageBreakBefore w:val="0"/>
        <w:widowControl w:val="0"/>
        <w:kinsoku/>
        <w:wordWrap/>
        <w:overflowPunct/>
        <w:topLinePunct w:val="0"/>
        <w:autoSpaceDE/>
        <w:autoSpaceDN/>
        <w:bidi w:val="0"/>
        <w:adjustRightInd w:val="0"/>
        <w:snapToGrid w:val="0"/>
        <w:spacing w:before="157" w:beforeLines="50" w:line="520" w:lineRule="exact"/>
        <w:jc w:val="left"/>
        <w:textAlignment w:val="auto"/>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CN" w:eastAsia="zh-CN" w:bidi="ar-SA"/>
        </w:rPr>
        <w:t xml:space="preserve"> 投标人在</w:t>
      </w:r>
      <w:r>
        <w:rPr>
          <w:rFonts w:hint="eastAsia" w:ascii="宋体" w:hAnsi="宋体" w:cs="宋体"/>
          <w:kern w:val="2"/>
          <w:sz w:val="24"/>
          <w:szCs w:val="24"/>
          <w:highlight w:val="none"/>
          <w:lang w:val="zh-CN" w:eastAsia="zh-CN" w:bidi="ar-SA"/>
        </w:rPr>
        <w:t>谈判</w:t>
      </w:r>
      <w:r>
        <w:rPr>
          <w:rFonts w:hint="eastAsia" w:ascii="宋体" w:hAnsi="宋体" w:eastAsia="宋体" w:cs="宋体"/>
          <w:kern w:val="2"/>
          <w:sz w:val="24"/>
          <w:szCs w:val="24"/>
          <w:highlight w:val="none"/>
          <w:lang w:val="zh-CN" w:eastAsia="zh-CN" w:bidi="ar-SA"/>
        </w:rPr>
        <w:t>文件要求提交投标文件的截止时间及开标时间前，未将</w:t>
      </w:r>
      <w:r>
        <w:rPr>
          <w:rFonts w:hint="eastAsia" w:ascii="宋体" w:hAnsi="宋体" w:eastAsia="宋体" w:cs="宋体"/>
          <w:b w:val="0"/>
          <w:bCs w:val="0"/>
          <w:kern w:val="2"/>
          <w:sz w:val="24"/>
          <w:szCs w:val="24"/>
          <w:highlight w:val="none"/>
          <w:lang w:val="zh-CN" w:eastAsia="zh-CN" w:bidi="ar-SA"/>
        </w:rPr>
        <w:t>投标文件上传至政采云投标客户端、或文件解密失败的，视为无效投标。</w:t>
      </w:r>
    </w:p>
    <w:p w14:paraId="40D3B868">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38" w:name="_Toc11861"/>
      <w:bookmarkStart w:id="139" w:name="_Toc16693"/>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5</w:t>
      </w:r>
      <w:r>
        <w:rPr>
          <w:rFonts w:hint="eastAsia" w:ascii="宋体" w:hAnsi="宋体" w:eastAsia="宋体" w:cs="宋体"/>
          <w:b/>
          <w:bCs/>
          <w:kern w:val="2"/>
          <w:sz w:val="28"/>
          <w:szCs w:val="28"/>
          <w:highlight w:val="none"/>
          <w:lang w:val="en-US" w:eastAsia="zh-CN" w:bidi="ar-SA"/>
        </w:rPr>
        <w:t>.响应文件的</w:t>
      </w:r>
      <w:r>
        <w:rPr>
          <w:rFonts w:hint="eastAsia" w:ascii="宋体" w:hAnsi="宋体" w:eastAsia="宋体" w:cs="宋体"/>
          <w:b/>
          <w:bCs/>
          <w:kern w:val="2"/>
          <w:sz w:val="28"/>
          <w:szCs w:val="28"/>
          <w:highlight w:val="none"/>
          <w:lang w:val="zh-CN" w:eastAsia="zh-CN" w:bidi="ar-SA"/>
        </w:rPr>
        <w:t>补充、修改或者撤回</w:t>
      </w:r>
      <w:bookmarkEnd w:id="134"/>
      <w:bookmarkEnd w:id="135"/>
      <w:bookmarkEnd w:id="136"/>
      <w:bookmarkEnd w:id="137"/>
      <w:bookmarkEnd w:id="138"/>
      <w:bookmarkEnd w:id="139"/>
    </w:p>
    <w:p w14:paraId="3604F1E2">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bookmarkStart w:id="140" w:name="_Toc32435"/>
      <w:bookmarkStart w:id="141" w:name="_Toc34637769"/>
      <w:r>
        <w:rPr>
          <w:rFonts w:hint="eastAsia" w:ascii="宋体" w:hAnsi="宋体" w:eastAsia="宋体" w:cs="宋体"/>
          <w:kern w:val="2"/>
          <w:sz w:val="24"/>
          <w:szCs w:val="24"/>
          <w:highlight w:val="none"/>
          <w:lang w:val="en-US" w:eastAsia="zh-CN" w:bidi="ar-SA"/>
        </w:rPr>
        <w:t>供应商在谈判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40"/>
    </w:p>
    <w:p w14:paraId="718AD0F5">
      <w:pPr>
        <w:wordWrap/>
        <w:adjustRightInd w:val="0"/>
        <w:snapToGrid w:val="0"/>
        <w:spacing w:before="157" w:beforeLines="50" w:line="560" w:lineRule="exact"/>
        <w:jc w:val="center"/>
        <w:outlineLvl w:val="1"/>
        <w:rPr>
          <w:rFonts w:hint="eastAsia" w:ascii="宋体" w:hAnsi="宋体" w:eastAsia="宋体" w:cs="宋体"/>
          <w:b/>
          <w:bCs/>
          <w:kern w:val="2"/>
          <w:sz w:val="28"/>
          <w:szCs w:val="28"/>
          <w:highlight w:val="none"/>
          <w:lang w:val="en-US" w:eastAsia="zh-CN" w:bidi="ar-SA"/>
        </w:rPr>
      </w:pPr>
      <w:bookmarkStart w:id="142" w:name="_Toc31993"/>
      <w:bookmarkStart w:id="143" w:name="_Toc18610_WPSOffice_Level2"/>
      <w:bookmarkStart w:id="144" w:name="_Toc12974"/>
      <w:bookmarkStart w:id="145" w:name="_Toc25721_WPSOffice_Level2"/>
      <w:bookmarkStart w:id="146" w:name="_Toc29785_WPSOffice_Level2"/>
      <w:bookmarkStart w:id="147" w:name="_Toc10968"/>
      <w:bookmarkStart w:id="148" w:name="_Toc17979"/>
      <w:bookmarkStart w:id="149" w:name="_Toc2051"/>
      <w:r>
        <w:rPr>
          <w:rFonts w:hint="eastAsia" w:ascii="宋体" w:hAnsi="宋体" w:eastAsia="宋体" w:cs="宋体"/>
          <w:b/>
          <w:bCs/>
          <w:kern w:val="2"/>
          <w:sz w:val="28"/>
          <w:szCs w:val="28"/>
          <w:highlight w:val="none"/>
          <w:lang w:val="en-US" w:eastAsia="zh-CN" w:bidi="ar-SA"/>
        </w:rPr>
        <w:t>五、响应文件的评审与谈判</w:t>
      </w:r>
      <w:bookmarkEnd w:id="141"/>
      <w:bookmarkEnd w:id="142"/>
      <w:bookmarkEnd w:id="143"/>
      <w:bookmarkEnd w:id="144"/>
      <w:bookmarkEnd w:id="145"/>
      <w:bookmarkEnd w:id="146"/>
      <w:bookmarkEnd w:id="147"/>
      <w:bookmarkEnd w:id="148"/>
      <w:bookmarkEnd w:id="149"/>
    </w:p>
    <w:p w14:paraId="5548BD34">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50" w:name="_Toc18713_WPSOffice_Level3"/>
      <w:bookmarkStart w:id="151" w:name="_Toc26446"/>
      <w:bookmarkStart w:id="152" w:name="_Toc19596_WPSOffice_Level3"/>
      <w:bookmarkStart w:id="153" w:name="_Toc174"/>
      <w:bookmarkStart w:id="154" w:name="_Toc3054"/>
      <w:bookmarkStart w:id="155" w:name="_Toc9863"/>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6</w:t>
      </w:r>
      <w:r>
        <w:rPr>
          <w:rFonts w:hint="eastAsia" w:ascii="宋体" w:hAnsi="宋体" w:eastAsia="宋体" w:cs="宋体"/>
          <w:b/>
          <w:bCs/>
          <w:kern w:val="2"/>
          <w:sz w:val="28"/>
          <w:szCs w:val="28"/>
          <w:highlight w:val="none"/>
          <w:lang w:val="en-US" w:eastAsia="zh-CN" w:bidi="ar-SA"/>
        </w:rPr>
        <w:t>.谈判小组</w:t>
      </w:r>
      <w:bookmarkEnd w:id="150"/>
      <w:bookmarkEnd w:id="151"/>
      <w:bookmarkEnd w:id="152"/>
      <w:bookmarkEnd w:id="153"/>
      <w:bookmarkEnd w:id="154"/>
      <w:bookmarkEnd w:id="155"/>
    </w:p>
    <w:p w14:paraId="73253B8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.1竞争性谈判小组由采购人代表和评审专家共</w:t>
      </w:r>
      <w:r>
        <w:rPr>
          <w:rFonts w:hint="eastAsia" w:ascii="宋体" w:hAnsi="宋体" w:eastAsia="宋体" w:cs="宋体"/>
          <w:kern w:val="2"/>
          <w:sz w:val="24"/>
          <w:szCs w:val="24"/>
          <w:highlight w:val="none"/>
          <w:u w:val="single"/>
          <w:lang w:val="en-US" w:eastAsia="zh-CN" w:bidi="ar-SA"/>
        </w:rPr>
        <w:t xml:space="preserve"> 3 </w:t>
      </w:r>
      <w:r>
        <w:rPr>
          <w:rFonts w:hint="eastAsia" w:ascii="宋体" w:hAnsi="宋体" w:eastAsia="宋体" w:cs="宋体"/>
          <w:kern w:val="2"/>
          <w:sz w:val="24"/>
          <w:szCs w:val="24"/>
          <w:highlight w:val="none"/>
          <w:lang w:val="en-US" w:eastAsia="zh-CN" w:bidi="ar-SA"/>
        </w:rPr>
        <w:t>人组成（3人以上单数组成），其中评审专家</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cs="宋体"/>
          <w:kern w:val="2"/>
          <w:sz w:val="24"/>
          <w:szCs w:val="24"/>
          <w:highlight w:val="none"/>
          <w:u w:val="single"/>
          <w:lang w:val="en-US" w:eastAsia="zh-CN" w:bidi="ar-SA"/>
        </w:rPr>
        <w:t>2</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名（评审专家人数不得少于竞争性谈判小组成员总数的2/3）。采购人不得以评审专家身份参加本采购项目的评审。谈判小组评审专家从政府采购评审专家库内相关专业的专家名单中随机抽取。</w:t>
      </w:r>
    </w:p>
    <w:p w14:paraId="2CDB57C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.2谈判由采购代理机构负责组织，具体谈判事务由依法组建的谈判小组负责，并独立履行下列职责：</w:t>
      </w:r>
    </w:p>
    <w:p w14:paraId="48E318C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u w:val="none"/>
          <w:lang w:val="en-US" w:eastAsia="zh-CN" w:bidi="ar-SA"/>
        </w:rPr>
        <w:t>确认谈判文件</w:t>
      </w:r>
      <w:r>
        <w:rPr>
          <w:rFonts w:hint="eastAsia" w:ascii="宋体" w:hAnsi="宋体" w:eastAsia="宋体" w:cs="宋体"/>
          <w:kern w:val="2"/>
          <w:sz w:val="24"/>
          <w:szCs w:val="24"/>
          <w:highlight w:val="none"/>
          <w:lang w:val="en-US" w:eastAsia="zh-CN" w:bidi="ar-SA"/>
        </w:rPr>
        <w:t>；</w:t>
      </w:r>
    </w:p>
    <w:p w14:paraId="6EC9DD1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（2）审查供应商的响应文件并作出评价；</w:t>
      </w:r>
    </w:p>
    <w:p w14:paraId="7B2B7AB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（3）要求供应商对谈判文件有关事项作出澄清或者说明；</w:t>
      </w:r>
    </w:p>
    <w:p w14:paraId="274CE73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（4）编写评审报告；</w:t>
      </w:r>
    </w:p>
    <w:p w14:paraId="093FA2F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（5）确定成交候选人名单，以及根据采购人委托直接确定成交供应商；</w:t>
      </w:r>
    </w:p>
    <w:p w14:paraId="22CEE75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（6）告知采购人、采购代理机构在评审过程中发现的供应商的违法违规行为。</w:t>
      </w:r>
    </w:p>
    <w:p w14:paraId="4483F90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.3谈判小组应遵守并履行下列义务：</w:t>
      </w:r>
    </w:p>
    <w:p w14:paraId="78DBDFA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（1）遵纪守法，客观、公正、廉洁地履行职责；</w:t>
      </w:r>
    </w:p>
    <w:p w14:paraId="43DFB6F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（2）按照谈判文件规定的成交方法评审，对评审意见承担谈判小组成员责任；</w:t>
      </w:r>
    </w:p>
    <w:p w14:paraId="7F52845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（3）对谈判响应文件、谈判情况和谈判中获悉的国家秘密、商业秘密保密；</w:t>
      </w:r>
    </w:p>
    <w:p w14:paraId="20E4BDD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（4）参与评审报告的起草；</w:t>
      </w:r>
    </w:p>
    <w:p w14:paraId="58E1FB8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（5）配合采购人、采购代理机构答复供应商提出的质疑；</w:t>
      </w:r>
    </w:p>
    <w:p w14:paraId="6C1E5F4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（6）配合财政部门的投诉处理和监督检查工作。</w:t>
      </w:r>
    </w:p>
    <w:p w14:paraId="3F49843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.4谈判小组成员有下列情形之一的，应当回避：</w:t>
      </w:r>
    </w:p>
    <w:p w14:paraId="7BD410F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（1）参加采购活动前3年内与供应商存在劳动关系；</w:t>
      </w:r>
    </w:p>
    <w:p w14:paraId="60991D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（2）参加采购活动前3年内担任供应商的董事、监事；</w:t>
      </w:r>
    </w:p>
    <w:p w14:paraId="3BA6075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（3）参加采购活动前3年内是供应商的控股股东或者实际控制人；</w:t>
      </w:r>
    </w:p>
    <w:p w14:paraId="180BFAA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（4）与供应商的法定代表人或者负责人有夫妻、直系血亲、三代以内旁系血亲或者近姻亲关系；</w:t>
      </w:r>
    </w:p>
    <w:p w14:paraId="72524B0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（5）与供应商有其他可能影响政府采购活动公平、公正进行的关系。</w:t>
      </w:r>
      <w:bookmarkStart w:id="156" w:name="_Toc16350_WPSOffice_Level3"/>
      <w:bookmarkStart w:id="157" w:name="_Toc19122"/>
    </w:p>
    <w:p w14:paraId="034FD92D">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58" w:name="_Toc22044_WPSOffice_Level3"/>
      <w:bookmarkStart w:id="159" w:name="_Toc12244"/>
      <w:bookmarkStart w:id="160" w:name="_Toc4771"/>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7</w:t>
      </w:r>
      <w:r>
        <w:rPr>
          <w:rFonts w:hint="eastAsia" w:ascii="宋体" w:hAnsi="宋体" w:eastAsia="宋体" w:cs="宋体"/>
          <w:b/>
          <w:bCs/>
          <w:kern w:val="2"/>
          <w:sz w:val="28"/>
          <w:szCs w:val="28"/>
          <w:highlight w:val="none"/>
          <w:lang w:val="en-US" w:eastAsia="zh-CN" w:bidi="ar-SA"/>
        </w:rPr>
        <w:t>.响应文件审查</w:t>
      </w:r>
      <w:bookmarkEnd w:id="156"/>
      <w:bookmarkEnd w:id="157"/>
      <w:bookmarkEnd w:id="158"/>
      <w:bookmarkEnd w:id="159"/>
      <w:bookmarkEnd w:id="160"/>
    </w:p>
    <w:p w14:paraId="7FFA4DF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.1谈判小组应当对响应文件进行评审，并根据谈判文件规定的程序、评定成交的标准等事项与实质性响应谈判文件要求的供应商进行谈判。</w:t>
      </w:r>
    </w:p>
    <w:p w14:paraId="09E1B4D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.2在对供应商进行审查时，存在下列情况之一的，按无效处理：</w:t>
      </w:r>
    </w:p>
    <w:p w14:paraId="5B02BAC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（1）不符合谈判文件第一部分谈判须知前附表“供应商资格条件”的；</w:t>
      </w:r>
    </w:p>
    <w:p w14:paraId="40A40D6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（2）未按第11.1.1款“</w:t>
      </w:r>
      <w:r>
        <w:rPr>
          <w:rFonts w:hint="eastAsia" w:ascii="宋体" w:hAnsi="宋体" w:eastAsia="宋体" w:cs="宋体"/>
          <w:kern w:val="2"/>
          <w:sz w:val="24"/>
          <w:szCs w:val="24"/>
          <w:highlight w:val="none"/>
          <w:lang w:val="zh-CN" w:eastAsia="zh-CN" w:bidi="ar-SA"/>
        </w:rPr>
        <w:t>资格审查部分</w:t>
      </w:r>
      <w:r>
        <w:rPr>
          <w:rFonts w:hint="eastAsia" w:ascii="宋体" w:hAnsi="宋体" w:eastAsia="宋体" w:cs="宋体"/>
          <w:kern w:val="2"/>
          <w:sz w:val="24"/>
          <w:szCs w:val="24"/>
          <w:highlight w:val="none"/>
          <w:lang w:val="en-US" w:eastAsia="zh-CN" w:bidi="ar-SA"/>
        </w:rPr>
        <w:t>”要求提供相关资料的；</w:t>
      </w:r>
    </w:p>
    <w:p w14:paraId="5025E2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（3）响应文件没有按谈判文件规定和要求签字、盖章的；</w:t>
      </w:r>
    </w:p>
    <w:p w14:paraId="3F213E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（4）谈判有效期</w:t>
      </w:r>
      <w:r>
        <w:rPr>
          <w:rFonts w:hint="eastAsia" w:ascii="宋体" w:hAnsi="宋体" w:cs="宋体"/>
          <w:kern w:val="2"/>
          <w:sz w:val="24"/>
          <w:szCs w:val="24"/>
          <w:highlight w:val="none"/>
          <w:lang w:val="en-US" w:eastAsia="zh-CN" w:bidi="ar-SA"/>
        </w:rPr>
        <w:t>、交货期及质保期</w:t>
      </w:r>
      <w:r>
        <w:rPr>
          <w:rFonts w:hint="eastAsia" w:ascii="宋体" w:hAnsi="宋体" w:eastAsia="宋体" w:cs="宋体"/>
          <w:kern w:val="2"/>
          <w:sz w:val="24"/>
          <w:szCs w:val="24"/>
          <w:highlight w:val="none"/>
          <w:lang w:val="en-US" w:eastAsia="zh-CN" w:bidi="ar-SA"/>
        </w:rPr>
        <w:t>不能满足谈判文件要求的；</w:t>
      </w:r>
    </w:p>
    <w:p w14:paraId="1482F82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（5）谈判报价超过谈判文件规定的采购预算额度的；</w:t>
      </w:r>
    </w:p>
    <w:p w14:paraId="34889D3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（6）所提供产品的技术规格、技术标准不符合采购项目要求的；</w:t>
      </w:r>
    </w:p>
    <w:p w14:paraId="110BAED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（7）谈判响应文件含有采购人不能接受的附加条件的；</w:t>
      </w:r>
    </w:p>
    <w:p w14:paraId="224F756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（8）响应文件不满足谈判文件实质性要求和条件的；</w:t>
      </w:r>
    </w:p>
    <w:p w14:paraId="762515B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）谈判小组认为应按无效谈判处理的其他情况；</w:t>
      </w:r>
    </w:p>
    <w:p w14:paraId="610AD2A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未按谈判文件要求缴纳或未足额缴纳谈判保证金的</w:t>
      </w:r>
      <w:r>
        <w:rPr>
          <w:rFonts w:hint="eastAsia" w:ascii="宋体" w:hAnsi="宋体" w:eastAsia="宋体" w:cs="宋体"/>
          <w:kern w:val="2"/>
          <w:sz w:val="24"/>
          <w:szCs w:val="24"/>
          <w:highlight w:val="none"/>
          <w:lang w:val="en-US" w:eastAsia="zh-CN" w:bidi="ar-SA"/>
        </w:rPr>
        <w:t>。</w:t>
      </w:r>
    </w:p>
    <w:p w14:paraId="4078C4E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bookmarkStart w:id="161" w:name="_Toc17197"/>
      <w:bookmarkStart w:id="162" w:name="_Toc17887_WPSOffice_Level3"/>
      <w:bookmarkStart w:id="163" w:name="_Toc11154"/>
      <w:bookmarkStart w:id="164" w:name="_Toc1673_WPSOffice_Level3"/>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）法律、法规规定的其他情形。</w:t>
      </w:r>
    </w:p>
    <w:p w14:paraId="7726B33D">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65" w:name="_Toc19860"/>
      <w:bookmarkStart w:id="166" w:name="_Toc22024"/>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8</w:t>
      </w:r>
      <w:r>
        <w:rPr>
          <w:rFonts w:hint="eastAsia" w:ascii="宋体" w:hAnsi="宋体" w:eastAsia="宋体" w:cs="宋体"/>
          <w:b/>
          <w:bCs/>
          <w:kern w:val="2"/>
          <w:sz w:val="28"/>
          <w:szCs w:val="28"/>
          <w:highlight w:val="none"/>
          <w:lang w:val="en-US" w:eastAsia="zh-CN" w:bidi="ar-SA"/>
        </w:rPr>
        <w:t>.谈判程序</w:t>
      </w:r>
      <w:bookmarkEnd w:id="161"/>
      <w:bookmarkEnd w:id="162"/>
      <w:bookmarkEnd w:id="163"/>
      <w:bookmarkEnd w:id="164"/>
      <w:bookmarkEnd w:id="165"/>
      <w:bookmarkEnd w:id="166"/>
    </w:p>
    <w:p w14:paraId="30DDDC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2DCB852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.2在谈判过程中，</w:t>
      </w:r>
      <w:r>
        <w:rPr>
          <w:rFonts w:hint="eastAsia" w:ascii="宋体" w:hAnsi="宋体" w:eastAsia="宋体" w:cs="宋体"/>
          <w:kern w:val="2"/>
          <w:sz w:val="24"/>
          <w:szCs w:val="24"/>
          <w:highlight w:val="none"/>
          <w:u w:val="single"/>
          <w:lang w:val="en-US" w:eastAsia="zh-CN" w:bidi="ar-SA"/>
        </w:rPr>
        <w:t>谈判小组可以根据谈判文件和谈判情况实质性变动技术标准及要求中的技术、服务要求以及合同草案条款，但不得变动谈判文件中的其他内容</w:t>
      </w:r>
      <w:r>
        <w:rPr>
          <w:rFonts w:hint="eastAsia" w:ascii="宋体" w:hAnsi="宋体" w:eastAsia="宋体" w:cs="宋体"/>
          <w:kern w:val="2"/>
          <w:sz w:val="24"/>
          <w:szCs w:val="24"/>
          <w:highlight w:val="none"/>
          <w:lang w:val="en-US" w:eastAsia="zh-CN" w:bidi="ar-SA"/>
        </w:rPr>
        <w:t>。实质性变动的内容，须经采购人代表确认，谈判小组将以书面形式将修改内容同时通知所有参加谈判的供应商。</w:t>
      </w:r>
    </w:p>
    <w:p w14:paraId="166A0D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u w:val="single"/>
          <w:lang w:val="en-US" w:eastAsia="zh-CN" w:bidi="ar-S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1CD169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.4响应文件中首次报价表内的报价为首次报价，根据技术、服务等满足谈判文件要求的情况，供应商可进行二次报价。</w:t>
      </w:r>
    </w:p>
    <w:p w14:paraId="3D70DEA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u w:val="single" w:color="auto"/>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u w:val="single" w:color="auto"/>
          <w:lang w:val="en-US" w:eastAsia="zh-CN" w:bidi="ar-SA"/>
        </w:rPr>
        <w:t>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7C2BEB9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18</w:t>
      </w:r>
      <w:r>
        <w:rPr>
          <w:rFonts w:hint="eastAsia" w:ascii="宋体" w:hAnsi="宋体" w:eastAsia="宋体" w:cs="宋体"/>
          <w:kern w:val="2"/>
          <w:sz w:val="24"/>
          <w:szCs w:val="24"/>
          <w:highlight w:val="none"/>
          <w:lang w:val="en-US" w:eastAsia="zh-CN" w:bidi="ar-SA"/>
        </w:rPr>
        <w:t>.6谈判工作在有关部门的监督下依法开展，任何单位和个人不得非法干预、影响谈判工作和谈判结果。</w:t>
      </w:r>
    </w:p>
    <w:p w14:paraId="47D370CE">
      <w:pPr>
        <w:autoSpaceDE w:val="0"/>
        <w:autoSpaceDN w:val="0"/>
        <w:spacing w:line="360" w:lineRule="auto"/>
        <w:ind w:firstLine="480" w:firstLineChars="200"/>
        <w:rPr>
          <w:rFonts w:hint="eastAsia" w:ascii="宋体" w:hAnsi="宋体" w:cs="宋体"/>
          <w:color w:val="000000"/>
          <w:kern w:val="0"/>
          <w:sz w:val="24"/>
        </w:rPr>
      </w:pPr>
      <w:r>
        <w:rPr>
          <w:rFonts w:hint="eastAsia" w:ascii="新宋体" w:hAnsi="新宋体" w:eastAsia="新宋体" w:cs="新宋体"/>
          <w:color w:val="000000"/>
          <w:kern w:val="0"/>
          <w:sz w:val="24"/>
          <w:szCs w:val="22"/>
          <w:highlight w:val="none"/>
          <w:lang w:val="en-US" w:eastAsia="zh-CN"/>
        </w:rPr>
        <w:t>18.7</w:t>
      </w:r>
      <w:r>
        <w:rPr>
          <w:rFonts w:hint="eastAsia" w:ascii="宋体" w:hAnsi="宋体" w:cs="宋体"/>
          <w:color w:val="000000"/>
          <w:sz w:val="24"/>
          <w:shd w:val="clear" w:color="auto" w:fill="FFFFFF"/>
        </w:rPr>
        <w:t>政府采购异常低价审查</w:t>
      </w:r>
    </w:p>
    <w:p w14:paraId="705CCA21">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（一）采购人应当在采购文件中明确，政府采购评审中出现下列情形之一的，评审委员会应当启动异常低价投标（响应）审查程序： </w:t>
      </w:r>
    </w:p>
    <w:p w14:paraId="60063B91">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1.投标（响应）报价低于全部通过符合性审查供应商投标（响应）报价平均值</w:t>
      </w:r>
      <w:r>
        <w:rPr>
          <w:rFonts w:hint="eastAsia" w:ascii="宋体" w:hAnsi="宋体" w:cs="宋体"/>
          <w:color w:val="000000"/>
          <w:kern w:val="0"/>
          <w:sz w:val="24"/>
          <w:lang w:val="en-US" w:eastAsia="zh-CN"/>
        </w:rPr>
        <w:t>6</w:t>
      </w:r>
      <w:r>
        <w:rPr>
          <w:rFonts w:hint="eastAsia" w:ascii="宋体" w:hAnsi="宋体" w:cs="宋体"/>
          <w:color w:val="000000"/>
          <w:kern w:val="0"/>
          <w:sz w:val="24"/>
        </w:rPr>
        <w:t>0%的，即投标（响应）报价&lt;全部通过符合性审查供应商投标（响应）报价平均值×</w:t>
      </w:r>
      <w:r>
        <w:rPr>
          <w:rFonts w:hint="eastAsia" w:ascii="宋体" w:hAnsi="宋体" w:cs="宋体"/>
          <w:color w:val="000000"/>
          <w:kern w:val="0"/>
          <w:sz w:val="24"/>
          <w:lang w:val="en-US" w:eastAsia="zh-CN"/>
        </w:rPr>
        <w:t>6</w:t>
      </w:r>
      <w:r>
        <w:rPr>
          <w:rFonts w:hint="eastAsia" w:ascii="宋体" w:hAnsi="宋体" w:cs="宋体"/>
          <w:color w:val="000000"/>
          <w:kern w:val="0"/>
          <w:sz w:val="24"/>
        </w:rPr>
        <w:t>0%； </w:t>
      </w:r>
    </w:p>
    <w:p w14:paraId="770C94C6">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2.投标（响应）报价低于通过符合性审查的次低报价供应商投标（响应）报价</w:t>
      </w:r>
      <w:r>
        <w:rPr>
          <w:rFonts w:hint="eastAsia" w:ascii="宋体" w:hAnsi="宋体" w:cs="宋体"/>
          <w:color w:val="000000"/>
          <w:kern w:val="0"/>
          <w:sz w:val="24"/>
          <w:lang w:val="en-US" w:eastAsia="zh-CN"/>
        </w:rPr>
        <w:t>6</w:t>
      </w:r>
      <w:r>
        <w:rPr>
          <w:rFonts w:hint="eastAsia" w:ascii="宋体" w:hAnsi="宋体" w:cs="宋体"/>
          <w:color w:val="000000"/>
          <w:kern w:val="0"/>
          <w:sz w:val="24"/>
        </w:rPr>
        <w:t>0%的，即投标（响应）报价&lt;通过符合性审查的次低报价供应商投标（响应）报价×</w:t>
      </w:r>
      <w:r>
        <w:rPr>
          <w:rFonts w:hint="eastAsia" w:ascii="宋体" w:hAnsi="宋体" w:cs="宋体"/>
          <w:color w:val="000000"/>
          <w:kern w:val="0"/>
          <w:sz w:val="24"/>
          <w:lang w:val="en-US" w:eastAsia="zh-CN"/>
        </w:rPr>
        <w:t>6</w:t>
      </w:r>
      <w:r>
        <w:rPr>
          <w:rFonts w:hint="eastAsia" w:ascii="宋体" w:hAnsi="宋体" w:cs="宋体"/>
          <w:color w:val="000000"/>
          <w:kern w:val="0"/>
          <w:sz w:val="24"/>
        </w:rPr>
        <w:t>0%； </w:t>
      </w:r>
    </w:p>
    <w:p w14:paraId="1A99141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3.投标（响应）报价低于采购项目最高限价</w:t>
      </w:r>
      <w:r>
        <w:rPr>
          <w:rFonts w:hint="eastAsia" w:ascii="宋体" w:hAnsi="宋体" w:cs="宋体"/>
          <w:color w:val="000000"/>
          <w:kern w:val="0"/>
          <w:sz w:val="24"/>
          <w:lang w:val="en-US" w:eastAsia="zh-CN"/>
        </w:rPr>
        <w:t>60</w:t>
      </w:r>
      <w:r>
        <w:rPr>
          <w:rFonts w:hint="eastAsia" w:ascii="宋体" w:hAnsi="宋体" w:cs="宋体"/>
          <w:color w:val="000000"/>
          <w:kern w:val="0"/>
          <w:sz w:val="24"/>
        </w:rPr>
        <w:t>%的，即投标（响应）报价&lt;采购项目最高限价×</w:t>
      </w:r>
      <w:r>
        <w:rPr>
          <w:rFonts w:hint="eastAsia" w:ascii="宋体" w:hAnsi="宋体" w:cs="宋体"/>
          <w:color w:val="000000"/>
          <w:kern w:val="0"/>
          <w:sz w:val="24"/>
          <w:lang w:val="en-US" w:eastAsia="zh-CN"/>
        </w:rPr>
        <w:t>60</w:t>
      </w:r>
      <w:r>
        <w:rPr>
          <w:rFonts w:hint="eastAsia" w:ascii="宋体" w:hAnsi="宋体" w:cs="宋体"/>
          <w:color w:val="000000"/>
          <w:kern w:val="0"/>
          <w:sz w:val="24"/>
        </w:rPr>
        <w:t>%； </w:t>
      </w:r>
    </w:p>
    <w:p w14:paraId="1F006517">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4.评审委员会基于专业判断，认为供应商报价过低，有可能影响产品质量或者不能诚信履约的其他情形。 </w:t>
      </w:r>
    </w:p>
    <w:p w14:paraId="283EDBF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相关法律法规对供应商报价有规定的，从其规定。 </w:t>
      </w:r>
    </w:p>
    <w:p w14:paraId="52FB9493">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621BB82">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8EF8CB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FDF94F2">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异常低价投标（响应）审查的启动原因、审查意见和审查结果应当在评审报告中记录，并随供应商提供的相关书面说明及证明材料，以及评审委员会有关互联网浏览、查询历史一并归档。 </w:t>
      </w:r>
    </w:p>
    <w:p w14:paraId="20DE05B4">
      <w:pPr>
        <w:numPr>
          <w:ilvl w:val="0"/>
          <w:numId w:val="0"/>
        </w:numPr>
        <w:autoSpaceDE w:val="0"/>
        <w:autoSpaceDN w:val="0"/>
        <w:spacing w:line="360" w:lineRule="auto"/>
        <w:ind w:firstLine="240" w:firstLineChars="100"/>
        <w:rPr>
          <w:rFonts w:hint="eastAsia"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三</w:t>
      </w:r>
      <w:r>
        <w:rPr>
          <w:rFonts w:hint="eastAsia" w:ascii="宋体" w:hAnsi="宋体" w:cs="宋体"/>
          <w:color w:val="000000"/>
          <w:kern w:val="0"/>
          <w:sz w:val="24"/>
          <w:lang w:eastAsia="zh-CN"/>
        </w:rPr>
        <w:t>）</w:t>
      </w:r>
      <w:r>
        <w:rPr>
          <w:rFonts w:hint="eastAsia" w:ascii="宋体" w:hAnsi="宋体" w:cs="宋体"/>
          <w:color w:val="000000"/>
          <w:kern w:val="0"/>
          <w:sz w:val="24"/>
        </w:rPr>
        <w:t>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DE17596">
      <w:pPr>
        <w:autoSpaceDE w:val="0"/>
        <w:autoSpaceDN w:val="0"/>
        <w:spacing w:line="360" w:lineRule="auto"/>
        <w:ind w:firstLine="480" w:firstLineChars="200"/>
        <w:rPr>
          <w:rFonts w:hint="eastAsia" w:ascii="宋体" w:hAnsi="宋体" w:eastAsia="宋体" w:cs="宋体"/>
          <w:b w:val="0"/>
          <w:bCs w:val="0"/>
          <w:color w:val="000000"/>
          <w:kern w:val="0"/>
          <w:highlight w:val="none"/>
          <w:lang w:val="zh-CN"/>
        </w:rPr>
      </w:pPr>
      <w:r>
        <w:rPr>
          <w:rFonts w:hint="eastAsia" w:ascii="宋体" w:hAnsi="宋体" w:eastAsia="宋体" w:cs="宋体"/>
          <w:b w:val="0"/>
          <w:bCs w:val="0"/>
          <w:color w:val="000000"/>
          <w:kern w:val="0"/>
          <w:sz w:val="24"/>
          <w:highlight w:val="none"/>
        </w:rPr>
        <w:t>1</w:t>
      </w:r>
      <w:r>
        <w:rPr>
          <w:rFonts w:hint="eastAsia" w:ascii="宋体" w:hAnsi="宋体" w:cs="宋体"/>
          <w:b w:val="0"/>
          <w:bCs w:val="0"/>
          <w:color w:val="000000"/>
          <w:kern w:val="0"/>
          <w:sz w:val="24"/>
          <w:highlight w:val="none"/>
          <w:lang w:val="en-US" w:eastAsia="zh-CN"/>
        </w:rPr>
        <w:t>8</w:t>
      </w:r>
      <w:r>
        <w:rPr>
          <w:rFonts w:hint="eastAsia" w:ascii="宋体" w:hAnsi="宋体" w:eastAsia="宋体" w:cs="宋体"/>
          <w:b w:val="0"/>
          <w:bCs w:val="0"/>
          <w:color w:val="000000"/>
          <w:kern w:val="0"/>
          <w:sz w:val="24"/>
          <w:highlight w:val="none"/>
        </w:rPr>
        <w:t>.</w:t>
      </w:r>
      <w:r>
        <w:rPr>
          <w:rFonts w:hint="eastAsia" w:ascii="宋体" w:hAnsi="宋体" w:eastAsia="宋体" w:cs="宋体"/>
          <w:b w:val="0"/>
          <w:bCs w:val="0"/>
          <w:color w:val="000000"/>
          <w:kern w:val="0"/>
          <w:sz w:val="24"/>
          <w:highlight w:val="none"/>
          <w:lang w:val="en-US" w:eastAsia="zh-CN"/>
        </w:rPr>
        <w:t>8</w:t>
      </w:r>
      <w:r>
        <w:rPr>
          <w:rFonts w:hint="eastAsia" w:ascii="宋体" w:hAnsi="宋体" w:eastAsia="宋体" w:cs="宋体"/>
          <w:b w:val="0"/>
          <w:bCs w:val="0"/>
          <w:color w:val="000000"/>
          <w:kern w:val="0"/>
          <w:sz w:val="24"/>
          <w:highlight w:val="none"/>
        </w:rPr>
        <w:t xml:space="preserve"> </w:t>
      </w:r>
      <w:r>
        <w:rPr>
          <w:rFonts w:hint="eastAsia" w:ascii="宋体" w:hAnsi="宋体" w:eastAsia="宋体" w:cs="宋体"/>
          <w:b w:val="0"/>
          <w:bCs w:val="0"/>
          <w:color w:val="000000"/>
          <w:kern w:val="0"/>
          <w:sz w:val="24"/>
          <w:highlight w:val="none"/>
          <w:lang w:val="zh-CN"/>
        </w:rPr>
        <w:t>在评审过程中，</w:t>
      </w:r>
      <w:r>
        <w:rPr>
          <w:rFonts w:hint="eastAsia" w:ascii="宋体" w:hAnsi="宋体" w:eastAsia="宋体" w:cs="宋体"/>
          <w:b w:val="0"/>
          <w:bCs w:val="0"/>
          <w:color w:val="000000"/>
          <w:sz w:val="24"/>
          <w:highlight w:val="none"/>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34A94CD1">
      <w:pPr>
        <w:autoSpaceDE w:val="0"/>
        <w:autoSpaceDN w:val="0"/>
        <w:spacing w:line="360" w:lineRule="auto"/>
        <w:ind w:firstLine="480" w:firstLineChars="200"/>
        <w:rPr>
          <w:rFonts w:hint="eastAsia" w:ascii="宋体" w:hAnsi="宋体" w:eastAsia="宋体" w:cs="宋体"/>
          <w:b w:val="0"/>
          <w:bCs w:val="0"/>
          <w:color w:val="000000"/>
          <w:sz w:val="24"/>
          <w:highlight w:val="none"/>
          <w:shd w:val="clear" w:color="auto" w:fill="FFFFFF"/>
        </w:rPr>
      </w:pPr>
      <w:r>
        <w:rPr>
          <w:rFonts w:hint="eastAsia" w:ascii="宋体" w:hAnsi="宋体" w:eastAsia="宋体" w:cs="宋体"/>
          <w:b w:val="0"/>
          <w:bCs w:val="0"/>
          <w:color w:val="000000"/>
          <w:kern w:val="0"/>
          <w:sz w:val="24"/>
          <w:highlight w:val="none"/>
          <w:lang w:val="zh-CN"/>
        </w:rPr>
        <w:t>1</w:t>
      </w:r>
      <w:r>
        <w:rPr>
          <w:rFonts w:hint="eastAsia" w:ascii="宋体" w:hAnsi="宋体" w:cs="宋体"/>
          <w:b w:val="0"/>
          <w:bCs w:val="0"/>
          <w:color w:val="000000"/>
          <w:kern w:val="0"/>
          <w:sz w:val="24"/>
          <w:highlight w:val="none"/>
          <w:lang w:val="en-US" w:eastAsia="zh-CN"/>
        </w:rPr>
        <w:t>8</w:t>
      </w:r>
      <w:r>
        <w:rPr>
          <w:rFonts w:hint="eastAsia" w:ascii="宋体" w:hAnsi="宋体" w:eastAsia="宋体" w:cs="宋体"/>
          <w:b w:val="0"/>
          <w:bCs w:val="0"/>
          <w:color w:val="000000"/>
          <w:kern w:val="0"/>
          <w:sz w:val="24"/>
          <w:highlight w:val="none"/>
          <w:lang w:val="zh-CN"/>
        </w:rPr>
        <w:t>.</w:t>
      </w:r>
      <w:r>
        <w:rPr>
          <w:rFonts w:hint="eastAsia" w:ascii="宋体" w:hAnsi="宋体" w:eastAsia="宋体" w:cs="宋体"/>
          <w:b w:val="0"/>
          <w:bCs w:val="0"/>
          <w:color w:val="000000"/>
          <w:kern w:val="0"/>
          <w:sz w:val="24"/>
          <w:highlight w:val="none"/>
          <w:lang w:val="en-US" w:eastAsia="zh-CN"/>
        </w:rPr>
        <w:t>10</w:t>
      </w:r>
      <w:r>
        <w:rPr>
          <w:rFonts w:hint="eastAsia" w:ascii="宋体" w:hAnsi="宋体" w:eastAsia="宋体" w:cs="宋体"/>
          <w:b w:val="0"/>
          <w:bCs w:val="0"/>
          <w:color w:val="000000"/>
          <w:kern w:val="0"/>
          <w:sz w:val="24"/>
          <w:highlight w:val="none"/>
          <w:lang w:val="zh-CN"/>
        </w:rPr>
        <w:t xml:space="preserve"> </w:t>
      </w:r>
      <w:r>
        <w:rPr>
          <w:rFonts w:hint="eastAsia" w:ascii="宋体" w:hAnsi="宋体" w:eastAsia="宋体" w:cs="宋体"/>
          <w:b w:val="0"/>
          <w:bCs w:val="0"/>
          <w:color w:val="000000"/>
          <w:sz w:val="24"/>
          <w:highlight w:val="none"/>
          <w:shd w:val="clear" w:color="auto" w:fill="FFFFFF"/>
        </w:rPr>
        <w:t>评标委员会应当按照招标文件中规定的评标方法和标准，对符合性审查合格的投标文件进行商务和技术评估，综合比较与评价。</w:t>
      </w:r>
    </w:p>
    <w:p w14:paraId="10184A8F">
      <w:pPr>
        <w:autoSpaceDE w:val="0"/>
        <w:autoSpaceDN w:val="0"/>
        <w:spacing w:line="360" w:lineRule="auto"/>
        <w:ind w:firstLine="480" w:firstLineChars="200"/>
        <w:rPr>
          <w:rFonts w:hint="eastAsia" w:ascii="宋体" w:hAnsi="宋体" w:cs="宋体"/>
          <w:b w:val="0"/>
          <w:bCs w:val="0"/>
          <w:color w:val="auto"/>
          <w:sz w:val="24"/>
          <w:highlight w:val="none"/>
          <w:shd w:val="clear" w:color="auto" w:fill="FFFFFF"/>
          <w:lang w:val="en-US" w:eastAsia="zh-CN"/>
        </w:rPr>
      </w:pPr>
      <w:r>
        <w:rPr>
          <w:rFonts w:hint="eastAsia" w:ascii="宋体" w:hAnsi="宋体" w:cs="宋体"/>
          <w:b w:val="0"/>
          <w:bCs w:val="0"/>
          <w:color w:val="auto"/>
          <w:sz w:val="24"/>
          <w:highlight w:val="none"/>
          <w:shd w:val="clear" w:color="auto" w:fill="FFFFFF"/>
          <w:lang w:val="en-US" w:eastAsia="zh-CN"/>
        </w:rPr>
        <w:t>18.11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1个参加评标的投标人，招标文件未规定的采取随机抽取方式确定，其他投标无效。</w:t>
      </w:r>
    </w:p>
    <w:p w14:paraId="11587A82">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67" w:name="_Toc2176"/>
      <w:bookmarkStart w:id="168" w:name="_Toc24288_WPSOffice_Level3"/>
      <w:bookmarkStart w:id="169" w:name="_Toc14903"/>
      <w:bookmarkStart w:id="170" w:name="_Toc25644_WPSOffice_Level3"/>
      <w:bookmarkStart w:id="171" w:name="_Toc24238"/>
      <w:bookmarkStart w:id="172" w:name="_Toc6304"/>
      <w:r>
        <w:rPr>
          <w:rFonts w:hint="eastAsia" w:ascii="宋体" w:hAnsi="宋体" w:cs="宋体"/>
          <w:b/>
          <w:bCs/>
          <w:kern w:val="2"/>
          <w:sz w:val="28"/>
          <w:szCs w:val="28"/>
          <w:highlight w:val="none"/>
          <w:lang w:val="en-US" w:eastAsia="zh-CN" w:bidi="ar-SA"/>
        </w:rPr>
        <w:t>19</w:t>
      </w:r>
      <w:r>
        <w:rPr>
          <w:rFonts w:hint="eastAsia" w:ascii="宋体" w:hAnsi="宋体" w:eastAsia="宋体" w:cs="宋体"/>
          <w:b/>
          <w:bCs/>
          <w:kern w:val="2"/>
          <w:sz w:val="28"/>
          <w:szCs w:val="28"/>
          <w:highlight w:val="none"/>
          <w:lang w:val="en-US" w:eastAsia="zh-CN" w:bidi="ar-SA"/>
        </w:rPr>
        <w:t>.澄清</w:t>
      </w:r>
      <w:bookmarkEnd w:id="167"/>
      <w:bookmarkEnd w:id="168"/>
      <w:bookmarkEnd w:id="169"/>
      <w:bookmarkEnd w:id="170"/>
      <w:bookmarkEnd w:id="171"/>
      <w:bookmarkEnd w:id="172"/>
    </w:p>
    <w:p w14:paraId="688550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19</w:t>
      </w:r>
      <w:r>
        <w:rPr>
          <w:rFonts w:hint="eastAsia" w:ascii="宋体" w:hAnsi="宋体" w:eastAsia="宋体" w:cs="宋体"/>
          <w:kern w:val="2"/>
          <w:sz w:val="24"/>
          <w:szCs w:val="24"/>
          <w:highlight w:val="none"/>
          <w:lang w:val="en-US" w:eastAsia="zh-CN" w:bidi="ar-SA"/>
        </w:rPr>
        <w:t>.1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w:t>
      </w:r>
    </w:p>
    <w:p w14:paraId="489BDF3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19</w:t>
      </w:r>
      <w:r>
        <w:rPr>
          <w:rFonts w:hint="eastAsia" w:ascii="宋体" w:hAnsi="宋体" w:eastAsia="宋体" w:cs="宋体"/>
          <w:kern w:val="2"/>
          <w:sz w:val="24"/>
          <w:szCs w:val="24"/>
          <w:highlight w:val="none"/>
          <w:lang w:val="en-US" w:eastAsia="zh-CN" w:bidi="ar-SA"/>
        </w:rPr>
        <w:t>.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4BCC9AC4">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73" w:name="_Toc13262_WPSOffice_Level3"/>
      <w:bookmarkStart w:id="174" w:name="_Toc8374"/>
      <w:bookmarkStart w:id="175" w:name="_Toc4997"/>
      <w:bookmarkStart w:id="176" w:name="_Toc6898_WPSOffice_Level3"/>
      <w:bookmarkStart w:id="177" w:name="_Toc6208"/>
      <w:bookmarkStart w:id="178" w:name="_Toc32434"/>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0</w:t>
      </w:r>
      <w:r>
        <w:rPr>
          <w:rFonts w:hint="eastAsia" w:ascii="宋体" w:hAnsi="宋体" w:eastAsia="宋体" w:cs="宋体"/>
          <w:b/>
          <w:bCs/>
          <w:kern w:val="2"/>
          <w:sz w:val="28"/>
          <w:szCs w:val="28"/>
          <w:highlight w:val="none"/>
          <w:lang w:val="en-US" w:eastAsia="zh-CN" w:bidi="ar-SA"/>
        </w:rPr>
        <w:t>.退出谈判</w:t>
      </w:r>
      <w:bookmarkEnd w:id="173"/>
      <w:bookmarkEnd w:id="174"/>
      <w:bookmarkEnd w:id="175"/>
      <w:bookmarkEnd w:id="176"/>
      <w:bookmarkEnd w:id="177"/>
      <w:bookmarkEnd w:id="178"/>
    </w:p>
    <w:p w14:paraId="377DD7A2">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在提交最后报价之前，可以根据谈判情况退出谈判，并由法定代表人或其授权代表签字或加盖公章书面通知采购人、采购代理机构或者谈判小组。采购人、采购代理机构按规定退还退出谈判的供应商的保证金。</w:t>
      </w:r>
    </w:p>
    <w:p w14:paraId="622F45DA">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79" w:name="_Toc32003"/>
      <w:bookmarkStart w:id="180" w:name="_Toc5048_WPSOffice_Level3"/>
      <w:bookmarkStart w:id="181" w:name="_Toc14748"/>
      <w:bookmarkStart w:id="182" w:name="_Toc18169_WPSOffice_Level3"/>
      <w:bookmarkStart w:id="183" w:name="_Toc24853"/>
      <w:bookmarkStart w:id="184" w:name="_Toc1630"/>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1</w:t>
      </w:r>
      <w:r>
        <w:rPr>
          <w:rFonts w:hint="eastAsia" w:ascii="宋体" w:hAnsi="宋体" w:eastAsia="宋体" w:cs="宋体"/>
          <w:b/>
          <w:bCs/>
          <w:kern w:val="2"/>
          <w:sz w:val="28"/>
          <w:szCs w:val="28"/>
          <w:highlight w:val="none"/>
          <w:lang w:val="en-US" w:eastAsia="zh-CN" w:bidi="ar-SA"/>
        </w:rPr>
        <w:t>.最后报价</w:t>
      </w:r>
      <w:bookmarkEnd w:id="179"/>
      <w:bookmarkEnd w:id="180"/>
      <w:bookmarkEnd w:id="181"/>
      <w:bookmarkEnd w:id="182"/>
      <w:bookmarkEnd w:id="183"/>
      <w:bookmarkEnd w:id="184"/>
    </w:p>
    <w:p w14:paraId="0CCCE791">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24DBAC6B">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u w:val="single" w:color="auto"/>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u w:val="single" w:color="auto"/>
          <w:lang w:val="en-US" w:eastAsia="zh-CN" w:bidi="ar-SA"/>
        </w:rPr>
        <w:t>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70D6609">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.3最后报价的评审</w:t>
      </w:r>
    </w:p>
    <w:p w14:paraId="44616296">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（1）最后报价出现大写金额和小写金额不一致的，以大写金额为准。</w:t>
      </w:r>
    </w:p>
    <w:p w14:paraId="3C4A47E4">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（2）需落实政府采购政策的，按相关规定进行价格扣除。</w:t>
      </w:r>
    </w:p>
    <w:p w14:paraId="1A0671D4">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u w:val="single" w:color="auto"/>
          <w:lang w:val="en-US" w:eastAsia="zh-CN" w:bidi="ar-SA"/>
        </w:rPr>
        <w:t>最后报价如果高于其响应文件中的首次报价的，以最后报价为准。</w:t>
      </w:r>
    </w:p>
    <w:p w14:paraId="72B984C0">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.5采购人、采购代理机构在按规定公布供应商的最后报价前，不得公开供应商的技术资料、价格和其他信息。</w:t>
      </w:r>
    </w:p>
    <w:p w14:paraId="3CD09AA8">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.6</w:t>
      </w:r>
      <w:r>
        <w:rPr>
          <w:rFonts w:hint="eastAsia" w:ascii="宋体" w:hAnsi="宋体" w:eastAsia="宋体" w:cs="宋体"/>
          <w:kern w:val="2"/>
          <w:sz w:val="24"/>
          <w:szCs w:val="24"/>
          <w:highlight w:val="none"/>
          <w:u w:val="single" w:color="auto"/>
          <w:lang w:val="en-US" w:eastAsia="zh-CN" w:bidi="ar-SA"/>
        </w:rPr>
        <w:t>若最后报价时出现最低价相同的情形，谈判小组应召集报价相同的供应商进行再次报价（或直接提出成交候选人）</w:t>
      </w:r>
      <w:r>
        <w:rPr>
          <w:rFonts w:hint="eastAsia" w:ascii="宋体" w:hAnsi="宋体" w:eastAsia="宋体" w:cs="宋体"/>
          <w:kern w:val="2"/>
          <w:sz w:val="24"/>
          <w:szCs w:val="24"/>
          <w:highlight w:val="none"/>
          <w:lang w:val="en-US" w:eastAsia="zh-CN" w:bidi="ar-SA"/>
        </w:rPr>
        <w:t>（由采购人、代理机构自主选择）。</w:t>
      </w:r>
    </w:p>
    <w:p w14:paraId="5BE37F26">
      <w:pPr>
        <w:pStyle w:val="4"/>
        <w:pageBreakBefore w:val="0"/>
        <w:widowControl w:val="0"/>
        <w:kinsoku/>
        <w:wordWrap/>
        <w:overflowPunct/>
        <w:topLinePunct w:val="0"/>
        <w:autoSpaceDE/>
        <w:autoSpaceDN/>
        <w:bidi w:val="0"/>
        <w:adjustRightInd w:val="0"/>
        <w:snapToGrid w:val="0"/>
        <w:spacing w:before="157" w:beforeLines="50" w:after="0" w:line="52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85" w:name="_Toc7275"/>
      <w:bookmarkStart w:id="186" w:name="_Toc16084_WPSOffice_Level3"/>
      <w:bookmarkStart w:id="187" w:name="_Toc8242_WPSOffice_Level3"/>
      <w:bookmarkStart w:id="188" w:name="_Toc1797"/>
      <w:bookmarkStart w:id="189" w:name="_Toc12642"/>
      <w:bookmarkStart w:id="190" w:name="_Toc14180"/>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2</w:t>
      </w:r>
      <w:r>
        <w:rPr>
          <w:rFonts w:hint="eastAsia" w:ascii="宋体" w:hAnsi="宋体" w:eastAsia="宋体" w:cs="宋体"/>
          <w:b/>
          <w:bCs/>
          <w:kern w:val="2"/>
          <w:sz w:val="28"/>
          <w:szCs w:val="28"/>
          <w:highlight w:val="none"/>
          <w:lang w:val="en-US" w:eastAsia="zh-CN" w:bidi="ar-SA"/>
        </w:rPr>
        <w:t>.确定成交供应商</w:t>
      </w:r>
      <w:bookmarkEnd w:id="185"/>
      <w:bookmarkEnd w:id="186"/>
      <w:bookmarkEnd w:id="187"/>
      <w:bookmarkEnd w:id="188"/>
      <w:bookmarkEnd w:id="189"/>
      <w:bookmarkEnd w:id="190"/>
    </w:p>
    <w:p w14:paraId="42EDC36E">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632A6895">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DCAA4A6">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.3采购代理机构应当在评审结束后2个工作日内将评审报告送采购人确认。</w:t>
      </w:r>
    </w:p>
    <w:p w14:paraId="6216D017">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52D5AEBE">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.5采购人逾期未确定成交供应商且不提出异议的，视为确定评审报告提出的最后报价最低的供应商为成交供应商。</w:t>
      </w:r>
    </w:p>
    <w:p w14:paraId="1009CF56">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91" w:name="_Toc20869_WPSOffice_Level3"/>
      <w:bookmarkStart w:id="192" w:name="_Toc24684"/>
      <w:bookmarkStart w:id="193" w:name="_Toc10295"/>
      <w:bookmarkStart w:id="194" w:name="_Toc17639_WPSOffice_Level3"/>
      <w:bookmarkStart w:id="195" w:name="_Toc24009"/>
      <w:bookmarkStart w:id="196" w:name="_Toc11040"/>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3</w:t>
      </w:r>
      <w:r>
        <w:rPr>
          <w:rFonts w:hint="eastAsia" w:ascii="宋体" w:hAnsi="宋体" w:eastAsia="宋体" w:cs="宋体"/>
          <w:b/>
          <w:bCs/>
          <w:kern w:val="2"/>
          <w:sz w:val="28"/>
          <w:szCs w:val="28"/>
          <w:highlight w:val="none"/>
          <w:lang w:val="en-US" w:eastAsia="zh-CN" w:bidi="ar-SA"/>
        </w:rPr>
        <w:t>.重新评审</w:t>
      </w:r>
      <w:bookmarkEnd w:id="191"/>
      <w:bookmarkEnd w:id="192"/>
      <w:bookmarkEnd w:id="193"/>
      <w:bookmarkEnd w:id="194"/>
      <w:bookmarkEnd w:id="195"/>
      <w:bookmarkEnd w:id="196"/>
    </w:p>
    <w:p w14:paraId="152FEA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.1除资格审查认定错误和价格计算错误外，采购人、采购代理机构不以任何理由组织重新评审。</w:t>
      </w:r>
    </w:p>
    <w:p w14:paraId="05FE516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.2采购人、采购代理机构发现谈判小组未按照谈判文件规定的评定成交标准进行评审的，应当重新开展采购活动，并同时书面报告同级财政部门。</w:t>
      </w:r>
    </w:p>
    <w:p w14:paraId="7ED8BA94">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97" w:name="_Toc12673"/>
      <w:bookmarkStart w:id="198" w:name="_Toc1388_WPSOffice_Level3"/>
      <w:bookmarkStart w:id="199" w:name="_Toc3509"/>
      <w:bookmarkStart w:id="200" w:name="_Toc26374_WPSOffice_Level3"/>
      <w:bookmarkStart w:id="201" w:name="_Toc26525"/>
      <w:bookmarkStart w:id="202" w:name="_Toc24240"/>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4</w:t>
      </w:r>
      <w:r>
        <w:rPr>
          <w:rFonts w:hint="eastAsia" w:ascii="宋体" w:hAnsi="宋体" w:eastAsia="宋体" w:cs="宋体"/>
          <w:b/>
          <w:bCs/>
          <w:kern w:val="2"/>
          <w:sz w:val="28"/>
          <w:szCs w:val="28"/>
          <w:highlight w:val="none"/>
          <w:lang w:val="en-US" w:eastAsia="zh-CN" w:bidi="ar-SA"/>
        </w:rPr>
        <w:t>.谈判终止</w:t>
      </w:r>
      <w:bookmarkEnd w:id="197"/>
      <w:bookmarkEnd w:id="198"/>
      <w:bookmarkEnd w:id="199"/>
      <w:bookmarkEnd w:id="200"/>
      <w:bookmarkEnd w:id="201"/>
      <w:bookmarkEnd w:id="202"/>
    </w:p>
    <w:p w14:paraId="5E226E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 xml:space="preserve">.1出现下列情形之一的，采购人、采购代理机构应当终止竞争性谈判采购活动，在指定的媒体上发布项目终止公告并说明原因，重新开展采购活动： </w:t>
      </w:r>
    </w:p>
    <w:p w14:paraId="4CD00C6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（1）因情况变化，不再符合规定的竞争性谈判采购方式适用情形的；</w:t>
      </w:r>
    </w:p>
    <w:p w14:paraId="55A7DCA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（2）出现影响采购公正的违法、违规行为的；</w:t>
      </w:r>
    </w:p>
    <w:p w14:paraId="6A90F26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（3）在采购过程中符合谈判要求的供应商或者报价未超过采购预算的供应商不足3家的，或者提交最后报价的供应商少于3家的；</w:t>
      </w:r>
    </w:p>
    <w:p w14:paraId="170D32A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（4）因重大变故，采购任务取消的。</w:t>
      </w:r>
    </w:p>
    <w:p w14:paraId="7BE7C1B8">
      <w:pPr>
        <w:pStyle w:val="4"/>
        <w:keepNext/>
        <w:keepLines/>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203" w:name="_Toc20688_WPSOffice_Level3"/>
      <w:bookmarkStart w:id="204" w:name="_Toc11721"/>
      <w:bookmarkStart w:id="205" w:name="_Toc18635_WPSOffice_Level3"/>
      <w:bookmarkStart w:id="206" w:name="_Toc32730"/>
      <w:bookmarkStart w:id="207" w:name="_Toc27289"/>
      <w:bookmarkStart w:id="208" w:name="_Toc28200"/>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5</w:t>
      </w:r>
      <w:r>
        <w:rPr>
          <w:rFonts w:hint="eastAsia" w:ascii="宋体" w:hAnsi="宋体" w:eastAsia="宋体" w:cs="宋体"/>
          <w:b/>
          <w:bCs/>
          <w:kern w:val="2"/>
          <w:sz w:val="28"/>
          <w:szCs w:val="28"/>
          <w:highlight w:val="none"/>
          <w:lang w:val="en-US" w:eastAsia="zh-CN" w:bidi="ar-SA"/>
        </w:rPr>
        <w:t>.串通情形认定及处理</w:t>
      </w:r>
      <w:bookmarkEnd w:id="203"/>
      <w:bookmarkEnd w:id="204"/>
      <w:bookmarkEnd w:id="205"/>
      <w:bookmarkEnd w:id="206"/>
      <w:bookmarkEnd w:id="207"/>
      <w:bookmarkEnd w:id="208"/>
    </w:p>
    <w:p w14:paraId="16794EF0">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.1供应商不得与采购人、采购代理机构、其他供应商恶意串通；不得向采购人、采购代理机构或者谈判小组成员行贿或者提供其他不正当利益；不得提供虚假材料谋取成交；不得以任何方式干扰、影响</w:t>
      </w:r>
      <w:r>
        <w:rPr>
          <w:rFonts w:hint="eastAsia" w:ascii="宋体" w:hAnsi="宋体" w:eastAsia="宋体" w:cs="宋体"/>
          <w:sz w:val="24"/>
          <w:szCs w:val="24"/>
          <w:highlight w:val="none"/>
          <w:lang w:val="en-US" w:eastAsia="zh-CN"/>
        </w:rPr>
        <w:t>采购工作。</w:t>
      </w:r>
    </w:p>
    <w:p w14:paraId="6F1CC288">
      <w:pPr>
        <w:keepNext w:val="0"/>
        <w:keepLines w:val="0"/>
        <w:pageBreakBefore w:val="0"/>
        <w:widowControl w:val="0"/>
        <w:kinsoku/>
        <w:wordWrap/>
        <w:overflowPunct/>
        <w:topLinePunct w:val="0"/>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.2有下列情形之一的，成交无效，对供应商</w:t>
      </w:r>
      <w:r>
        <w:rPr>
          <w:rFonts w:hint="eastAsia" w:ascii="宋体" w:hAnsi="宋体" w:eastAsia="宋体" w:cs="宋体"/>
          <w:sz w:val="24"/>
          <w:szCs w:val="24"/>
          <w:highlight w:val="none"/>
          <w:lang w:val="zh-CN" w:eastAsia="zh-CN"/>
        </w:rPr>
        <w:t>依照《政府采购法》第七十七条的规定追究法律责任：</w:t>
      </w:r>
    </w:p>
    <w:p w14:paraId="12E33714">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bookmarkStart w:id="209" w:name="_Toc22761"/>
      <w:bookmarkStart w:id="210" w:name="_Toc34637770"/>
      <w:r>
        <w:rPr>
          <w:rFonts w:hint="eastAsia" w:ascii="宋体" w:hAnsi="宋体" w:eastAsia="宋体" w:cs="宋体"/>
          <w:sz w:val="24"/>
          <w:szCs w:val="24"/>
          <w:highlight w:val="none"/>
          <w:lang w:val="en-US" w:eastAsia="zh-CN"/>
        </w:rPr>
        <w:t xml:space="preserve">   （1）供应商直接或者间接从采购人或者采购代理机构处获得其他供应商的相关情况并修改其响应文件；</w:t>
      </w:r>
    </w:p>
    <w:p w14:paraId="1CEC4974">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（2）供应商按照采购人或者采购代理机构的授意撤换、修改响应文件；</w:t>
      </w:r>
    </w:p>
    <w:p w14:paraId="727692D3">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（3）供应商之间协商报价、技术方案等响应文件的实质性内容；</w:t>
      </w:r>
    </w:p>
    <w:p w14:paraId="400C838C">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（4）属于同一集团、协会、商会等组织成员的供应商按照该组织要求协同参加政府采购活动；</w:t>
      </w:r>
    </w:p>
    <w:p w14:paraId="639D0EBA">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（5）供应商之间事先约定由某一特定供应商成交；</w:t>
      </w:r>
    </w:p>
    <w:p w14:paraId="45F3B5EC">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（6）供应商之间商定部分供应商放弃参加政府采购活动或者放弃成交；</w:t>
      </w:r>
    </w:p>
    <w:p w14:paraId="444BDDED">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（7）供应商与采购人或者采购代理机构之间、供应商相互之间，为谋求特定供应商成交或者排斥其他供应商的其他串通行为。</w:t>
      </w:r>
    </w:p>
    <w:p w14:paraId="31AB9CAE">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.3 有下列情形之一的，视为供应商串通，其响应无效：</w:t>
      </w:r>
    </w:p>
    <w:p w14:paraId="1F3D6964">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（1）不同供应商的响应文件由同一单位或者个人编制；</w:t>
      </w:r>
    </w:p>
    <w:p w14:paraId="7ABA6D38">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（2）不同供应商委托同一单位或者个人办理谈判事宜；</w:t>
      </w:r>
    </w:p>
    <w:p w14:paraId="29800729">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（3）不同供应商的响应文件载明的项目管理成员或者联系人员为同一人；</w:t>
      </w:r>
    </w:p>
    <w:p w14:paraId="116470AE">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（4）不同供应商的响应文件异常一致或者报价呈规律性差异；</w:t>
      </w:r>
    </w:p>
    <w:p w14:paraId="30A6F936">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（5）不同供应商的响应文件相互混装；</w:t>
      </w:r>
    </w:p>
    <w:p w14:paraId="4E655E64">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sz w:val="24"/>
          <w:szCs w:val="24"/>
          <w:highlight w:val="none"/>
          <w:lang w:val="en-US" w:eastAsia="zh-CN"/>
        </w:rPr>
        <w:t>（6）不同供应商的保证金从同一单位或者个人的账户转出。</w:t>
      </w:r>
    </w:p>
    <w:p w14:paraId="792BB2C5">
      <w:pPr>
        <w:wordWrap/>
        <w:adjustRightInd w:val="0"/>
        <w:snapToGrid w:val="0"/>
        <w:spacing w:before="157" w:beforeLines="50" w:line="560" w:lineRule="exact"/>
        <w:jc w:val="center"/>
        <w:outlineLvl w:val="1"/>
        <w:rPr>
          <w:rFonts w:hint="eastAsia" w:ascii="宋体" w:hAnsi="宋体" w:eastAsia="宋体" w:cs="宋体"/>
          <w:b w:val="0"/>
          <w:bCs w:val="0"/>
          <w:kern w:val="2"/>
          <w:sz w:val="28"/>
          <w:szCs w:val="28"/>
          <w:highlight w:val="none"/>
          <w:lang w:val="en-US" w:eastAsia="zh-CN" w:bidi="ar-SA"/>
        </w:rPr>
      </w:pPr>
      <w:bookmarkStart w:id="211" w:name="_Toc32249"/>
      <w:r>
        <w:rPr>
          <w:rFonts w:hint="eastAsia" w:ascii="宋体" w:hAnsi="宋体" w:eastAsia="宋体" w:cs="宋体"/>
          <w:b/>
          <w:bCs/>
          <w:kern w:val="2"/>
          <w:sz w:val="28"/>
          <w:szCs w:val="28"/>
          <w:highlight w:val="none"/>
          <w:lang w:val="en-US" w:eastAsia="zh-CN" w:bidi="ar-SA"/>
        </w:rPr>
        <w:t>六</w:t>
      </w:r>
      <w:r>
        <w:rPr>
          <w:rFonts w:hint="eastAsia" w:ascii="宋体" w:hAnsi="宋体" w:eastAsia="宋体" w:cs="宋体"/>
          <w:b/>
          <w:bCs/>
          <w:kern w:val="2"/>
          <w:sz w:val="28"/>
          <w:szCs w:val="28"/>
          <w:highlight w:val="none"/>
          <w:lang w:val="en-US" w:eastAsia="zh-CN" w:bidi="ar-SA"/>
        </w:rPr>
        <w:t>、成交结果信息公布与授予合同</w:t>
      </w:r>
      <w:bookmarkEnd w:id="209"/>
      <w:bookmarkEnd w:id="210"/>
      <w:bookmarkEnd w:id="211"/>
    </w:p>
    <w:p w14:paraId="461184C8">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12" w:name="_Toc23126"/>
      <w:bookmarkStart w:id="213" w:name="_Toc30784_WPSOffice_Level3"/>
      <w:bookmarkStart w:id="214" w:name="_Toc8339_WPSOffice_Level3"/>
      <w:bookmarkStart w:id="215" w:name="_Toc947"/>
      <w:bookmarkStart w:id="216" w:name="_Toc31632"/>
      <w:bookmarkStart w:id="217" w:name="_Toc7626"/>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6</w:t>
      </w:r>
      <w:r>
        <w:rPr>
          <w:rFonts w:hint="eastAsia" w:ascii="宋体" w:hAnsi="宋体" w:eastAsia="宋体" w:cs="宋体"/>
          <w:b/>
          <w:bCs/>
          <w:kern w:val="2"/>
          <w:sz w:val="28"/>
          <w:szCs w:val="28"/>
          <w:highlight w:val="none"/>
          <w:lang w:val="en-US" w:eastAsia="zh-CN" w:bidi="ar-SA"/>
        </w:rPr>
        <w:t>.成交信息的公布与通知</w:t>
      </w:r>
      <w:bookmarkEnd w:id="212"/>
      <w:bookmarkEnd w:id="213"/>
      <w:bookmarkEnd w:id="214"/>
      <w:bookmarkEnd w:id="215"/>
      <w:bookmarkEnd w:id="216"/>
      <w:bookmarkEnd w:id="217"/>
    </w:p>
    <w:p w14:paraId="1B44F9C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.1代理机构应自确定成交供应商之日起2个工作日内在青海政府采购信息网上公告成交结果，同时向成交供应商发出《成交通知书》。成交通知书对采购人和成交供应商具有同等法律效力。</w:t>
      </w:r>
    </w:p>
    <w:p w14:paraId="633EA69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.2成交结果公告应当包括以下内容：</w:t>
      </w:r>
    </w:p>
    <w:p w14:paraId="4800DFF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（1）采购人和采购代理机构的名称、地址和联系方式；</w:t>
      </w:r>
    </w:p>
    <w:p w14:paraId="563A88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（2）项目名称和项目编号；</w:t>
      </w:r>
    </w:p>
    <w:p w14:paraId="1B1DB33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（3）成交供应商名称、地址和成交金额；</w:t>
      </w:r>
    </w:p>
    <w:p w14:paraId="012AF6D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（4）主要成交标的的名称、规格型号、数量、单价、服务要求；</w:t>
      </w:r>
    </w:p>
    <w:p w14:paraId="21D3194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（5）谈判小组成员名单。</w:t>
      </w:r>
    </w:p>
    <w:p w14:paraId="3E4B9C9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.3《成交通知书》发出后，采购人不得违法改变采购结果，成交供应商无正当理由不得放弃。</w:t>
      </w:r>
    </w:p>
    <w:p w14:paraId="3EFB3959">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18" w:name="_Toc5068_WPSOffice_Level3"/>
      <w:bookmarkStart w:id="219" w:name="_Toc13860_WPSOffice_Level3"/>
      <w:bookmarkStart w:id="220" w:name="_Toc29441"/>
      <w:bookmarkStart w:id="221" w:name="_Toc20586"/>
      <w:bookmarkStart w:id="222" w:name="_Toc21063"/>
      <w:bookmarkStart w:id="223" w:name="_Toc29374"/>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7</w:t>
      </w:r>
      <w:r>
        <w:rPr>
          <w:rFonts w:hint="eastAsia" w:ascii="宋体" w:hAnsi="宋体" w:eastAsia="宋体" w:cs="宋体"/>
          <w:b/>
          <w:bCs/>
          <w:kern w:val="2"/>
          <w:sz w:val="28"/>
          <w:szCs w:val="28"/>
          <w:highlight w:val="none"/>
          <w:lang w:val="en-US" w:eastAsia="zh-CN" w:bidi="ar-SA"/>
        </w:rPr>
        <w:t>.授予合同</w:t>
      </w:r>
      <w:bookmarkEnd w:id="218"/>
      <w:bookmarkEnd w:id="219"/>
      <w:bookmarkEnd w:id="220"/>
      <w:bookmarkEnd w:id="221"/>
      <w:bookmarkEnd w:id="222"/>
      <w:bookmarkEnd w:id="223"/>
    </w:p>
    <w:p w14:paraId="5C271E8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.1谈判文件、成交供应商的响应文件及其补充的响应文件、成交通知书等均为签订政府采购合同的依据。</w:t>
      </w:r>
    </w:p>
    <w:p w14:paraId="5B060CC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.2采购人与成交供应商双方应当自《成交通知书》发出之日起30日内，按照谈判文件确定的合同文本以及采购标的、规格型号、采购金额、采购数量、技术和服务要求等事项签订政府采购合同。</w:t>
      </w:r>
    </w:p>
    <w:p w14:paraId="18BCF51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5ACC280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bookmarkStart w:id="224" w:name="_Toc325726030"/>
      <w:bookmarkStart w:id="225" w:name="_Toc376936761"/>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.4采购人或采购代理机构应当自采购合同签订之日起2个工作日内，将采购合同在青海政府采购信息网上公告，但政府采购合同中涉及国家秘密、商业秘密的内容除外。</w:t>
      </w:r>
    </w:p>
    <w:p w14:paraId="4674F492">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26" w:name="_Toc16374"/>
      <w:bookmarkStart w:id="227" w:name="_Toc32538"/>
      <w:bookmarkStart w:id="228" w:name="_Toc16258_WPSOffice_Level3"/>
      <w:bookmarkStart w:id="229" w:name="_Toc8740_WPSOffice_Level3"/>
      <w:bookmarkStart w:id="230" w:name="_Toc15228"/>
      <w:bookmarkStart w:id="231" w:name="_Toc12316"/>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8</w:t>
      </w:r>
      <w:r>
        <w:rPr>
          <w:rFonts w:hint="eastAsia" w:ascii="宋体" w:hAnsi="宋体" w:eastAsia="宋体" w:cs="宋体"/>
          <w:b/>
          <w:bCs/>
          <w:kern w:val="2"/>
          <w:sz w:val="28"/>
          <w:szCs w:val="28"/>
          <w:highlight w:val="none"/>
          <w:lang w:val="en-US" w:eastAsia="zh-CN" w:bidi="ar-SA"/>
        </w:rPr>
        <w:t>.履约验收</w:t>
      </w:r>
      <w:bookmarkEnd w:id="226"/>
      <w:bookmarkEnd w:id="227"/>
      <w:bookmarkEnd w:id="228"/>
      <w:bookmarkEnd w:id="229"/>
      <w:bookmarkEnd w:id="230"/>
      <w:bookmarkEnd w:id="231"/>
    </w:p>
    <w:p w14:paraId="277AB19A">
      <w:pPr>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.1履约保证金：</w:t>
      </w:r>
      <w:r>
        <w:rPr>
          <w:rFonts w:hint="eastAsia" w:ascii="宋体" w:hAnsi="宋体" w:eastAsia="宋体" w:cs="宋体"/>
          <w:kern w:val="2"/>
          <w:sz w:val="24"/>
          <w:szCs w:val="24"/>
          <w:highlight w:val="none"/>
          <w:u w:val="single"/>
          <w:lang w:val="en-US" w:eastAsia="zh-CN" w:bidi="ar-SA"/>
        </w:rPr>
        <w:t>无</w:t>
      </w:r>
      <w:r>
        <w:rPr>
          <w:rFonts w:hint="eastAsia" w:ascii="宋体" w:hAnsi="宋体" w:eastAsia="宋体" w:cs="宋体"/>
          <w:kern w:val="2"/>
          <w:sz w:val="24"/>
          <w:szCs w:val="24"/>
          <w:highlight w:val="none"/>
          <w:lang w:val="en-US" w:eastAsia="zh-CN" w:bidi="ar-SA"/>
        </w:rPr>
        <w:t>（或根据《政府采购实施条例》第四十八条明确约定保证金缴纳数额及方式）</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采购文件要求中标或者成交供应商提交履约保证金的，供应商应当以支票、汇票、本票或者金融机构、担保机构出具的保函等非现金形式提交。履约保证金的数额不得超过政府采购合同金额的10%。</w:t>
      </w:r>
    </w:p>
    <w:p w14:paraId="4696C3D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.2采购人或者采购代理机构应当按照政府采购合同规定的技术、服务、安全标准组织对供应商履约情况进行验收，并出具验收书。验收书应当包括每一项技术、服务、安全标准的履约情况。</w:t>
      </w:r>
    </w:p>
    <w:p w14:paraId="72FBEED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.3采购人可以邀请参加本项目的其他供应商或者第三方机构参与验收。参与验收的供应商或者第三方机构的意见作为验收书的参考资料一并存档。</w:t>
      </w:r>
    </w:p>
    <w:p w14:paraId="7B5B8F1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.4采购人应当加强履约管理，并按照采购合同约定，及时向成交供应商支付采购资金。对于成交供应商违反采购合同约定的行为，采购人应当及时处理，依法追究其违约责任。</w:t>
      </w:r>
    </w:p>
    <w:p w14:paraId="3DD184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.5采购人、采购代理机构应当建立真实完整的谈判档案，妥善保存谈判的相关资料。</w:t>
      </w:r>
    </w:p>
    <w:p w14:paraId="0F8C8F0D">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en-US" w:eastAsia="zh-CN" w:bidi="ar-SA"/>
        </w:rPr>
      </w:pPr>
      <w:bookmarkStart w:id="232" w:name="_Toc31604_WPSOffice_Level2"/>
      <w:bookmarkStart w:id="233" w:name="_Toc6881"/>
      <w:bookmarkStart w:id="234" w:name="_Toc4328"/>
      <w:bookmarkStart w:id="235" w:name="_Toc2658_WPSOffice_Level2"/>
      <w:bookmarkStart w:id="236" w:name="_Toc32362"/>
      <w:bookmarkStart w:id="237" w:name="_Toc3517_WPSOffice_Level2"/>
      <w:bookmarkStart w:id="238" w:name="_Toc22849"/>
      <w:bookmarkStart w:id="239" w:name="_Toc30469"/>
      <w:r>
        <w:rPr>
          <w:rFonts w:hint="eastAsia" w:ascii="宋体" w:hAnsi="宋体" w:eastAsia="宋体" w:cs="宋体"/>
          <w:b/>
          <w:bCs/>
          <w:kern w:val="2"/>
          <w:sz w:val="28"/>
          <w:szCs w:val="28"/>
          <w:highlight w:val="none"/>
          <w:lang w:val="en-US" w:eastAsia="zh-CN" w:bidi="ar-SA"/>
        </w:rPr>
        <w:t>七、询问与质疑</w:t>
      </w:r>
      <w:bookmarkEnd w:id="224"/>
      <w:bookmarkEnd w:id="225"/>
      <w:bookmarkEnd w:id="232"/>
      <w:bookmarkEnd w:id="233"/>
      <w:bookmarkEnd w:id="234"/>
      <w:bookmarkEnd w:id="235"/>
      <w:bookmarkEnd w:id="236"/>
      <w:bookmarkEnd w:id="237"/>
      <w:bookmarkEnd w:id="238"/>
      <w:bookmarkEnd w:id="239"/>
    </w:p>
    <w:p w14:paraId="4F7ACFE5">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40" w:name="_Toc25982_WPSOffice_Level3"/>
      <w:bookmarkStart w:id="241" w:name="_Toc23314_WPSOffice_Level3"/>
      <w:bookmarkStart w:id="242" w:name="_Toc29785"/>
      <w:bookmarkStart w:id="243" w:name="_Toc21641"/>
      <w:bookmarkStart w:id="244" w:name="_Toc20345"/>
      <w:bookmarkStart w:id="245" w:name="_Toc18989"/>
      <w:r>
        <w:rPr>
          <w:rFonts w:hint="eastAsia" w:ascii="宋体" w:hAnsi="宋体" w:cs="宋体"/>
          <w:b/>
          <w:bCs/>
          <w:kern w:val="2"/>
          <w:sz w:val="28"/>
          <w:szCs w:val="28"/>
          <w:highlight w:val="none"/>
          <w:lang w:val="en-US" w:eastAsia="zh-CN" w:bidi="ar-SA"/>
        </w:rPr>
        <w:t>29</w:t>
      </w:r>
      <w:r>
        <w:rPr>
          <w:rFonts w:hint="eastAsia" w:ascii="宋体" w:hAnsi="宋体" w:eastAsia="宋体" w:cs="宋体"/>
          <w:b/>
          <w:bCs/>
          <w:kern w:val="2"/>
          <w:sz w:val="28"/>
          <w:szCs w:val="28"/>
          <w:highlight w:val="none"/>
          <w:lang w:val="en-US" w:eastAsia="zh-CN" w:bidi="ar-SA"/>
        </w:rPr>
        <w:t>.对采购过程、结果的询问及质疑</w:t>
      </w:r>
      <w:bookmarkEnd w:id="240"/>
      <w:bookmarkEnd w:id="241"/>
      <w:bookmarkEnd w:id="242"/>
      <w:bookmarkEnd w:id="243"/>
      <w:bookmarkEnd w:id="244"/>
      <w:bookmarkEnd w:id="245"/>
    </w:p>
    <w:p w14:paraId="13482FC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.1供应商对政府采购过程、结果有疑问的，可以向采购人、采购代理机构提出询问。</w:t>
      </w:r>
    </w:p>
    <w:p w14:paraId="415621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.2参与所质疑项目的供应商认为采购过程、成交结果使自己的权益受到损害的，可以在知道或者应知其权益受到损害之日起7个工作日内，以书面形式向采购人、采购代理机构提出质疑。</w:t>
      </w:r>
    </w:p>
    <w:p w14:paraId="120CF9C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bCs/>
          <w:kern w:val="2"/>
          <w:sz w:val="28"/>
          <w:szCs w:val="28"/>
          <w:highlight w:val="none"/>
          <w:lang w:val="en-US" w:eastAsia="zh-CN" w:bidi="ar-SA"/>
        </w:rPr>
      </w:pPr>
      <w:r>
        <w:rPr>
          <w:rFonts w:hint="eastAsia" w:ascii="宋体" w:hAnsi="宋体"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.3供应商应在法定质疑期内一次性提出针对同一采购程序环节的质疑。</w:t>
      </w:r>
      <w:bookmarkStart w:id="246" w:name="_Toc11509_WPSOffice_Level2"/>
      <w:bookmarkStart w:id="247" w:name="_Toc9701_WPSOffice_Level2"/>
      <w:bookmarkStart w:id="248" w:name="_Toc22889"/>
      <w:bookmarkStart w:id="249" w:name="_Toc34637771"/>
      <w:bookmarkStart w:id="250" w:name="_Toc22201076"/>
      <w:bookmarkStart w:id="251" w:name="_Toc21832"/>
      <w:bookmarkStart w:id="252" w:name="_Toc6866_WPSOffice_Level2"/>
      <w:bookmarkStart w:id="253" w:name="_Toc4534"/>
    </w:p>
    <w:p w14:paraId="5B13CC09">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en-US" w:eastAsia="zh-CN" w:bidi="ar-SA"/>
        </w:rPr>
      </w:pPr>
      <w:bookmarkStart w:id="254" w:name="_Toc11053"/>
      <w:bookmarkStart w:id="255" w:name="_Toc10812"/>
      <w:r>
        <w:rPr>
          <w:rFonts w:hint="eastAsia" w:ascii="宋体" w:hAnsi="宋体" w:eastAsia="宋体" w:cs="宋体"/>
          <w:b/>
          <w:bCs/>
          <w:kern w:val="2"/>
          <w:sz w:val="28"/>
          <w:szCs w:val="28"/>
          <w:highlight w:val="none"/>
          <w:lang w:val="en-US" w:eastAsia="zh-CN" w:bidi="ar-SA"/>
        </w:rPr>
        <w:t>八、政府采购政策</w:t>
      </w:r>
      <w:bookmarkEnd w:id="246"/>
      <w:bookmarkEnd w:id="247"/>
      <w:bookmarkEnd w:id="248"/>
      <w:bookmarkEnd w:id="249"/>
      <w:bookmarkEnd w:id="250"/>
      <w:bookmarkEnd w:id="251"/>
      <w:bookmarkEnd w:id="252"/>
      <w:bookmarkEnd w:id="253"/>
      <w:bookmarkEnd w:id="254"/>
      <w:bookmarkEnd w:id="255"/>
    </w:p>
    <w:p w14:paraId="1C8E789E">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56" w:name="_Toc16893"/>
      <w:bookmarkStart w:id="257" w:name="_Toc19360_WPSOffice_Level3"/>
      <w:bookmarkStart w:id="258" w:name="_Toc27584"/>
      <w:bookmarkStart w:id="259" w:name="_Toc17253_WPSOffice_Level3"/>
      <w:bookmarkStart w:id="260" w:name="_Toc5674"/>
      <w:bookmarkStart w:id="261" w:name="_Toc18920"/>
      <w:r>
        <w:rPr>
          <w:rFonts w:hint="eastAsia" w:ascii="宋体" w:hAnsi="宋体" w:eastAsia="宋体" w:cs="宋体"/>
          <w:b/>
          <w:bCs/>
          <w:kern w:val="2"/>
          <w:sz w:val="28"/>
          <w:szCs w:val="28"/>
          <w:highlight w:val="none"/>
          <w:lang w:val="en-US" w:eastAsia="zh-CN" w:bidi="ar-SA"/>
        </w:rPr>
        <w:t>3</w:t>
      </w:r>
      <w:r>
        <w:rPr>
          <w:rFonts w:hint="eastAsia" w:ascii="宋体" w:hAnsi="宋体" w:cs="宋体"/>
          <w:b/>
          <w:bCs/>
          <w:kern w:val="2"/>
          <w:sz w:val="28"/>
          <w:szCs w:val="28"/>
          <w:highlight w:val="none"/>
          <w:lang w:val="en-US" w:eastAsia="zh-CN" w:bidi="ar-SA"/>
        </w:rPr>
        <w:t>0</w:t>
      </w:r>
      <w:r>
        <w:rPr>
          <w:rFonts w:hint="eastAsia" w:ascii="宋体" w:hAnsi="宋体" w:eastAsia="宋体" w:cs="宋体"/>
          <w:b/>
          <w:bCs/>
          <w:kern w:val="2"/>
          <w:sz w:val="28"/>
          <w:szCs w:val="28"/>
          <w:highlight w:val="none"/>
          <w:lang w:val="en-US" w:eastAsia="zh-CN" w:bidi="ar-SA"/>
        </w:rPr>
        <w:t>.政府采购政策</w:t>
      </w:r>
      <w:bookmarkEnd w:id="256"/>
      <w:bookmarkEnd w:id="257"/>
      <w:bookmarkEnd w:id="258"/>
      <w:bookmarkEnd w:id="259"/>
      <w:bookmarkEnd w:id="260"/>
      <w:bookmarkEnd w:id="261"/>
    </w:p>
    <w:p w14:paraId="2264AF8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.1节能产品、环境标志产品的采购：</w:t>
      </w:r>
    </w:p>
    <w:p w14:paraId="11B1F17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40C7C1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.2价格评审优惠：</w:t>
      </w:r>
    </w:p>
    <w:p w14:paraId="0298E7B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（1）供应商为小型、微型企业，且提供本企业生产的货物或者提供其他小型、微型企业生产的货物，价格按相关规定给予</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的价格折扣，用扣除后的价格参与评审。本项所称货物不包括使用大型企业注册商标的货物；</w:t>
      </w:r>
    </w:p>
    <w:p w14:paraId="33F3277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）监狱企业、残疾人福利性单位视同小型、微型企业，享受评审中价格扣除等促进中小企业发展的政府采购政策。 </w:t>
      </w:r>
    </w:p>
    <w:p w14:paraId="55CBF7F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.3供应商同时符合小型、微型企业及监狱企业、残疾人福利性单位要求的，评审时只有一种类型享受价格评审优惠政策；</w:t>
      </w:r>
    </w:p>
    <w:p w14:paraId="07AE4AD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.4响应文件符合本章前款规定的，供应商应提供相关证明资料，且所提供资料必须真实可信。如有虚假，将依法承担相应责任。</w:t>
      </w:r>
    </w:p>
    <w:p w14:paraId="78C67BE9">
      <w:pPr>
        <w:pStyle w:val="5"/>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30.5</w:t>
      </w:r>
      <w:r>
        <w:rPr>
          <w:rFonts w:hint="eastAsia" w:ascii="宋体" w:hAnsi="宋体" w:eastAsia="宋体" w:cs="宋体"/>
          <w:kern w:val="2"/>
          <w:sz w:val="24"/>
          <w:szCs w:val="24"/>
          <w:highlight w:val="none"/>
          <w:lang w:val="en-US" w:eastAsia="zh-CN" w:bidi="ar-SA"/>
        </w:rPr>
        <w:t>进口产品是指符合《政府采购进口产品管理办法》（财库〔2007〕119号）和《关于政府采购进口产品管理有关问题的通知》（财办库〔2008〕248号）文件规定的产品。除【谈判须知前附表】另有规定外，采购项目拒绝进口产品参加谈判。本款规定同意购买进口产品的，不限制满足谈判文件要求的国内产品参与谈判竞争。</w:t>
      </w:r>
      <w:bookmarkStart w:id="262" w:name="_Toc28078_WPSOffice_Level2"/>
      <w:bookmarkStart w:id="263" w:name="_Toc15805"/>
      <w:bookmarkStart w:id="264" w:name="_Toc3719_WPSOffice_Level2"/>
      <w:bookmarkStart w:id="265" w:name="_Toc34637772"/>
      <w:bookmarkStart w:id="266" w:name="_Toc30960"/>
      <w:bookmarkStart w:id="267" w:name="_Toc10843_WPSOffice_Level2"/>
      <w:bookmarkStart w:id="268" w:name="_Toc15316"/>
    </w:p>
    <w:p w14:paraId="0D465375">
      <w:pPr>
        <w:shd w:val="clear"/>
        <w:autoSpaceDE w:val="0"/>
        <w:autoSpaceDN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3</w:t>
      </w:r>
      <w:r>
        <w:rPr>
          <w:rFonts w:hint="eastAsia" w:ascii="宋体" w:hAnsi="宋体" w:cs="宋体"/>
          <w:b w:val="0"/>
          <w:bCs w:val="0"/>
          <w:color w:val="auto"/>
          <w:kern w:val="0"/>
          <w:sz w:val="24"/>
          <w:highlight w:val="none"/>
          <w:lang w:val="en-US" w:eastAsia="zh-CN"/>
        </w:rPr>
        <w:t>0</w:t>
      </w:r>
      <w:r>
        <w:rPr>
          <w:rFonts w:hint="eastAsia" w:ascii="宋体" w:hAnsi="宋体" w:eastAsia="宋体" w:cs="宋体"/>
          <w:b w:val="0"/>
          <w:bCs w:val="0"/>
          <w:color w:val="auto"/>
          <w:kern w:val="0"/>
          <w:sz w:val="24"/>
          <w:highlight w:val="none"/>
          <w:lang w:val="en-US" w:eastAsia="zh-CN"/>
        </w:rPr>
        <w:t>.6 项目是否为本国产品标准的适用范围：是☑  否□</w:t>
      </w:r>
    </w:p>
    <w:p w14:paraId="5F71B80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根据《国务院办公厅关于在政府采购中实施本国产品标准及相关政策的通知》（国办发〔2025〕34号）的规定，属于本国产品的货物（产品），供应商须提供《关于符合本国产品标准的声明函》（详见附件），政府采购活动中既有本国产品又有非本国产品参与竞争的，依法对本国产品给予价格评审优惠，对本国产品的报价给予20%的价格扣除，用扣除后的价格参与评审。</w:t>
      </w:r>
    </w:p>
    <w:p w14:paraId="5E89F94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87ACC6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政策执行要求</w:t>
      </w:r>
    </w:p>
    <w:p w14:paraId="48C9ABC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（一）产品在中国境内生产的组件成本核算规则。产品在中国境内生产的组件成本，按照《中国境内生产的组件成本核算基本规则》计算。</w:t>
      </w:r>
    </w:p>
    <w:p w14:paraId="3C7EC2D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（二）中华人民共和国缔结或者共同参加的国际条约、协定对政府采购中本国产品政策另有规定的，按照有关条约、协定执行。</w:t>
      </w:r>
    </w:p>
    <w:p w14:paraId="67E2751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评标委员会应对《声明函》的完整性、准确性进行审查，评审中发现《声明函》内容含义不明确、同类事项与投标文件表述不一致或者有明显文字错误等情况的，应当以书面形式（通过电子交易系统交换数据电文）要求供应商作出必要的澄清、说明或者补正。未在规定时间</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60分钟</w:t>
      </w:r>
      <w:r>
        <w:rPr>
          <w:rFonts w:hint="eastAsia" w:ascii="宋体" w:hAnsi="宋体" w:cs="宋体"/>
          <w:color w:val="000000"/>
          <w:kern w:val="0"/>
          <w:sz w:val="24"/>
          <w:lang w:val="zh-CN"/>
        </w:rPr>
        <w:t>）</w:t>
      </w:r>
      <w:r>
        <w:rPr>
          <w:rFonts w:hint="eastAsia" w:ascii="宋体" w:hAnsi="宋体" w:eastAsia="宋体" w:cs="宋体"/>
          <w:color w:val="000000"/>
          <w:kern w:val="0"/>
          <w:sz w:val="24"/>
          <w:lang w:val="zh-CN"/>
        </w:rPr>
        <w:t>内进行澄清补正，视同默认原文相关内容。经澄清、说明或者补正的《声明函》仍然不符合《通知》规定要求的，供应商提供的相关产品视为不符合本国产品标准。</w:t>
      </w:r>
    </w:p>
    <w:p w14:paraId="760B6724">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en-US" w:eastAsia="zh-CN" w:bidi="ar-SA"/>
        </w:rPr>
      </w:pPr>
      <w:bookmarkStart w:id="269" w:name="_Toc28502"/>
      <w:bookmarkStart w:id="270" w:name="_Toc1551"/>
      <w:r>
        <w:rPr>
          <w:rFonts w:hint="eastAsia" w:ascii="宋体" w:hAnsi="宋体" w:eastAsia="宋体" w:cs="宋体"/>
          <w:b/>
          <w:bCs/>
          <w:kern w:val="2"/>
          <w:sz w:val="28"/>
          <w:szCs w:val="28"/>
          <w:highlight w:val="none"/>
          <w:lang w:val="en-US" w:eastAsia="zh-CN" w:bidi="ar-SA"/>
        </w:rPr>
        <w:t>九、其他规定</w:t>
      </w:r>
      <w:bookmarkEnd w:id="262"/>
      <w:bookmarkEnd w:id="263"/>
      <w:bookmarkEnd w:id="264"/>
      <w:bookmarkEnd w:id="265"/>
      <w:bookmarkEnd w:id="266"/>
      <w:bookmarkEnd w:id="267"/>
      <w:bookmarkEnd w:id="268"/>
      <w:bookmarkEnd w:id="269"/>
      <w:bookmarkEnd w:id="270"/>
    </w:p>
    <w:p w14:paraId="702B0783">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71" w:name="_Toc10855"/>
      <w:bookmarkStart w:id="272" w:name="_Toc12390_WPSOffice_Level3"/>
      <w:bookmarkStart w:id="273" w:name="_Toc10247"/>
      <w:bookmarkStart w:id="274" w:name="_Toc22185_WPSOffice_Level3"/>
      <w:bookmarkStart w:id="275" w:name="_Toc6175"/>
      <w:bookmarkStart w:id="276" w:name="_Toc12295"/>
      <w:r>
        <w:rPr>
          <w:rFonts w:hint="eastAsia" w:ascii="宋体" w:hAnsi="宋体" w:eastAsia="宋体" w:cs="宋体"/>
          <w:b/>
          <w:bCs/>
          <w:kern w:val="2"/>
          <w:sz w:val="28"/>
          <w:szCs w:val="28"/>
          <w:highlight w:val="none"/>
          <w:lang w:val="en-US" w:eastAsia="zh-CN" w:bidi="ar-SA"/>
        </w:rPr>
        <w:t>3</w:t>
      </w:r>
      <w:r>
        <w:rPr>
          <w:rFonts w:hint="eastAsia" w:ascii="宋体" w:hAnsi="宋体" w:cs="宋体"/>
          <w:b/>
          <w:bCs/>
          <w:kern w:val="2"/>
          <w:sz w:val="28"/>
          <w:szCs w:val="28"/>
          <w:highlight w:val="none"/>
          <w:lang w:val="en-US" w:eastAsia="zh-CN" w:bidi="ar-SA"/>
        </w:rPr>
        <w:t>1</w:t>
      </w:r>
      <w:r>
        <w:rPr>
          <w:rFonts w:hint="eastAsia" w:ascii="宋体" w:hAnsi="宋体" w:eastAsia="宋体" w:cs="宋体"/>
          <w:b/>
          <w:bCs/>
          <w:kern w:val="2"/>
          <w:sz w:val="28"/>
          <w:szCs w:val="28"/>
          <w:highlight w:val="none"/>
          <w:lang w:val="en-US" w:eastAsia="zh-CN" w:bidi="ar-SA"/>
        </w:rPr>
        <w:t>.代理服务费</w:t>
      </w:r>
      <w:bookmarkEnd w:id="271"/>
      <w:bookmarkEnd w:id="272"/>
      <w:bookmarkEnd w:id="273"/>
      <w:bookmarkEnd w:id="274"/>
      <w:bookmarkEnd w:id="275"/>
      <w:bookmarkEnd w:id="276"/>
    </w:p>
    <w:p w14:paraId="7A9EBD0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采购代理服务费由</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支付的，供应商应按【谈判须知前附表】规定向采购代理机构交纳代理服务费，并在谈判文件中提供代理服务费承诺书。</w:t>
      </w:r>
    </w:p>
    <w:p w14:paraId="591D0250">
      <w:pPr>
        <w:autoSpaceDE w:val="0"/>
        <w:autoSpaceDN w:val="0"/>
        <w:adjustRightInd w:val="0"/>
        <w:spacing w:line="540" w:lineRule="exact"/>
        <w:jc w:val="left"/>
        <w:rPr>
          <w:rFonts w:hint="eastAsia" w:ascii="宋体" w:hAnsi="宋体" w:cs="宋体"/>
          <w:b/>
          <w:bCs/>
          <w:color w:val="000000"/>
          <w:sz w:val="30"/>
          <w:szCs w:val="30"/>
          <w:lang w:eastAsia="zh-CN"/>
        </w:rPr>
      </w:pPr>
      <w:bookmarkStart w:id="277" w:name="_Toc22091"/>
      <w:bookmarkStart w:id="278" w:name="_Toc433122950"/>
      <w:r>
        <w:rPr>
          <w:rFonts w:hint="eastAsia" w:ascii="宋体" w:hAnsi="宋体" w:cs="宋体"/>
          <w:b/>
          <w:bCs/>
          <w:color w:val="000000"/>
          <w:sz w:val="30"/>
          <w:szCs w:val="30"/>
          <w:lang w:eastAsia="zh-CN"/>
        </w:rPr>
        <w:t>招标代理服务费账号：</w:t>
      </w:r>
    </w:p>
    <w:p w14:paraId="20C1312E">
      <w:pPr>
        <w:autoSpaceDE w:val="0"/>
        <w:autoSpaceDN w:val="0"/>
        <w:adjustRightInd w:val="0"/>
        <w:spacing w:line="5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rPr>
        <w:t>招标代</w:t>
      </w:r>
      <w:r>
        <w:rPr>
          <w:rFonts w:hint="eastAsia" w:ascii="宋体" w:hAnsi="宋体" w:cs="宋体"/>
          <w:color w:val="000000"/>
          <w:sz w:val="24"/>
          <w:szCs w:val="24"/>
          <w:highlight w:val="none"/>
        </w:rPr>
        <w:t>理服务费按约定由</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支付</w:t>
      </w:r>
    </w:p>
    <w:p w14:paraId="2738007E">
      <w:pPr>
        <w:autoSpaceDE w:val="0"/>
        <w:autoSpaceDN w:val="0"/>
        <w:adjustRightInd w:val="0"/>
        <w:spacing w:line="540" w:lineRule="exact"/>
        <w:ind w:firstLine="482" w:firstLineChars="200"/>
        <w:rPr>
          <w:rFonts w:hint="default"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收费金额：10000元</w:t>
      </w:r>
    </w:p>
    <w:p w14:paraId="272C10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账户名：青海拓鑫工程项目管理有限公司</w:t>
      </w:r>
    </w:p>
    <w:p w14:paraId="4E3D89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账  号：0701201000254447</w:t>
      </w:r>
    </w:p>
    <w:p w14:paraId="302466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kern w:val="0"/>
          <w:lang w:val="zh-CN"/>
        </w:rPr>
      </w:pPr>
      <w:r>
        <w:rPr>
          <w:rFonts w:hint="eastAsia" w:ascii="宋体" w:hAnsi="宋体" w:eastAsia="宋体" w:cs="宋体"/>
          <w:b/>
          <w:bCs/>
          <w:sz w:val="24"/>
          <w:szCs w:val="24"/>
        </w:rPr>
        <w:t>开户行：青海银行股份有限公司海湖新区支行</w:t>
      </w:r>
    </w:p>
    <w:p w14:paraId="6A41A36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说明：根据《关于进一步放开建设项目专项业务服务价格的通知》（发改价格[2015]299号）规定，实行市场调节价，应严格遵守《价格法》、《关于商品和服务实行明码标价的规定》等法律法规的规定，</w:t>
      </w:r>
      <w:r>
        <w:rPr>
          <w:rFonts w:hint="eastAsia" w:ascii="宋体" w:hAnsi="宋体" w:cs="宋体"/>
          <w:color w:val="000000"/>
          <w:kern w:val="0"/>
          <w:sz w:val="24"/>
          <w:szCs w:val="24"/>
          <w:lang w:val="en-US" w:eastAsia="zh-CN"/>
        </w:rPr>
        <w:t>在领取中标通知书前一次性缴纳至谈判文件规定的账户。</w:t>
      </w:r>
    </w:p>
    <w:bookmarkEnd w:id="277"/>
    <w:bookmarkEnd w:id="278"/>
    <w:p w14:paraId="106F5385">
      <w:pPr>
        <w:pStyle w:val="4"/>
        <w:wordWrap/>
        <w:adjustRightInd w:val="0"/>
        <w:snapToGrid w:val="0"/>
        <w:spacing w:before="157" w:beforeLines="50" w:after="0" w:line="560" w:lineRule="exact"/>
        <w:outlineLvl w:val="2"/>
        <w:rPr>
          <w:rFonts w:hint="eastAsia" w:ascii="宋体" w:hAnsi="宋体" w:eastAsia="宋体" w:cs="宋体"/>
          <w:b/>
          <w:bCs/>
          <w:kern w:val="2"/>
          <w:sz w:val="28"/>
          <w:szCs w:val="28"/>
          <w:highlight w:val="none"/>
          <w:lang w:val="en-US" w:eastAsia="zh-CN" w:bidi="ar-SA"/>
        </w:rPr>
      </w:pPr>
      <w:bookmarkStart w:id="279" w:name="_Toc18975"/>
      <w:bookmarkStart w:id="280" w:name="_Toc1461_WPSOffice_Level3"/>
      <w:bookmarkStart w:id="281" w:name="_Toc14580"/>
      <w:bookmarkStart w:id="282" w:name="_Toc27699_WPSOffice_Level3"/>
      <w:bookmarkStart w:id="283" w:name="_Toc14538"/>
      <w:bookmarkStart w:id="284" w:name="_Toc18179"/>
      <w:r>
        <w:rPr>
          <w:rFonts w:hint="eastAsia" w:ascii="宋体" w:hAnsi="宋体" w:eastAsia="宋体" w:cs="宋体"/>
          <w:b/>
          <w:bCs/>
          <w:kern w:val="2"/>
          <w:sz w:val="28"/>
          <w:szCs w:val="28"/>
          <w:highlight w:val="none"/>
          <w:lang w:val="en-US" w:eastAsia="zh-CN" w:bidi="ar-SA"/>
        </w:rPr>
        <w:t>3</w:t>
      </w:r>
      <w:r>
        <w:rPr>
          <w:rFonts w:hint="eastAsia" w:ascii="宋体" w:hAnsi="宋体" w:cs="宋体"/>
          <w:b/>
          <w:bCs/>
          <w:kern w:val="2"/>
          <w:sz w:val="28"/>
          <w:szCs w:val="28"/>
          <w:highlight w:val="none"/>
          <w:lang w:val="en-US" w:eastAsia="zh-CN" w:bidi="ar-SA"/>
        </w:rPr>
        <w:t>2</w:t>
      </w:r>
      <w:r>
        <w:rPr>
          <w:rFonts w:hint="eastAsia" w:ascii="宋体" w:hAnsi="宋体" w:eastAsia="宋体" w:cs="宋体"/>
          <w:b/>
          <w:bCs/>
          <w:kern w:val="2"/>
          <w:sz w:val="28"/>
          <w:szCs w:val="28"/>
          <w:highlight w:val="none"/>
          <w:lang w:val="en-US" w:eastAsia="zh-CN" w:bidi="ar-SA"/>
        </w:rPr>
        <w:t>.其他规定</w:t>
      </w:r>
      <w:bookmarkEnd w:id="279"/>
      <w:bookmarkEnd w:id="280"/>
      <w:bookmarkEnd w:id="281"/>
      <w:bookmarkEnd w:id="282"/>
      <w:bookmarkEnd w:id="283"/>
      <w:bookmarkEnd w:id="284"/>
    </w:p>
    <w:p w14:paraId="39E9054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2"/>
          <w:sz w:val="24"/>
          <w:szCs w:val="24"/>
          <w:highlight w:val="none"/>
          <w:lang w:val="en-US" w:eastAsia="zh-CN" w:bidi="ar-SA"/>
        </w:rPr>
        <w:t>谈判文件的其他规定见【谈判须知前附表】。</w:t>
      </w:r>
    </w:p>
    <w:p w14:paraId="0CC86A85">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宋体" w:hAnsi="宋体" w:eastAsia="宋体" w:cs="宋体"/>
          <w:b w:val="0"/>
          <w:bCs w:val="0"/>
          <w:sz w:val="28"/>
          <w:szCs w:val="28"/>
          <w:highlight w:val="none"/>
          <w:lang w:val="en-US" w:eastAsia="zh-CN"/>
        </w:rPr>
      </w:pPr>
      <w:bookmarkStart w:id="285" w:name="_Toc7566"/>
      <w:bookmarkStart w:id="286" w:name="_Toc31765_WPSOffice_Level1"/>
      <w:bookmarkStart w:id="287" w:name="_Toc13204"/>
      <w:bookmarkStart w:id="288" w:name="_Toc20750"/>
      <w:bookmarkStart w:id="289" w:name="_Toc18130_WPSOffice_Level1"/>
      <w:bookmarkStart w:id="290" w:name="_Toc4912_WPSOffice_Level1"/>
      <w:bookmarkStart w:id="291" w:name="_Toc2404_WPSOffice_Level1"/>
      <w:bookmarkStart w:id="292" w:name="_Toc34637773"/>
      <w:bookmarkStart w:id="293" w:name="_Toc7780_WPSOffice_Level1"/>
      <w:bookmarkStart w:id="294" w:name="_Toc29561_WPSOffice_Level1"/>
      <w:r>
        <w:rPr>
          <w:rFonts w:hint="eastAsia" w:ascii="宋体" w:hAnsi="宋体" w:eastAsia="宋体" w:cs="宋体"/>
          <w:b w:val="0"/>
          <w:bCs w:val="0"/>
          <w:sz w:val="28"/>
          <w:szCs w:val="28"/>
          <w:highlight w:val="none"/>
          <w:lang w:val="en-US" w:eastAsia="zh-CN"/>
        </w:rPr>
        <w:br w:type="page"/>
      </w:r>
      <w:bookmarkStart w:id="295" w:name="_Toc7648"/>
      <w:bookmarkStart w:id="296" w:name="_Toc29392"/>
      <w:r>
        <w:rPr>
          <w:rFonts w:hint="eastAsia" w:ascii="宋体" w:hAnsi="宋体" w:eastAsia="宋体" w:cs="宋体"/>
          <w:b/>
          <w:bCs/>
          <w:sz w:val="44"/>
          <w:szCs w:val="44"/>
          <w:highlight w:val="none"/>
          <w:lang w:val="en-US" w:eastAsia="zh-CN"/>
        </w:rPr>
        <w:t>第三部分 采购需求</w:t>
      </w:r>
      <w:bookmarkEnd w:id="285"/>
      <w:bookmarkEnd w:id="286"/>
      <w:bookmarkEnd w:id="287"/>
      <w:bookmarkEnd w:id="288"/>
      <w:bookmarkEnd w:id="289"/>
      <w:bookmarkEnd w:id="290"/>
      <w:bookmarkEnd w:id="291"/>
      <w:bookmarkEnd w:id="292"/>
      <w:bookmarkEnd w:id="293"/>
      <w:bookmarkEnd w:id="294"/>
      <w:bookmarkEnd w:id="295"/>
      <w:bookmarkEnd w:id="296"/>
    </w:p>
    <w:p w14:paraId="57CC01EE">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zh-CN" w:eastAsia="zh-CN" w:bidi="ar-SA"/>
        </w:rPr>
      </w:pPr>
      <w:bookmarkStart w:id="297" w:name="_Toc515908232"/>
      <w:bookmarkStart w:id="298" w:name="_Toc19812_WPSOffice_Level2"/>
      <w:bookmarkStart w:id="299" w:name="_Toc17070"/>
      <w:bookmarkStart w:id="300" w:name="_Toc8656"/>
      <w:bookmarkStart w:id="301" w:name="_Toc20423_WPSOffice_Level2"/>
      <w:bookmarkStart w:id="302" w:name="_Toc4601"/>
      <w:bookmarkStart w:id="303" w:name="_Toc13326_WPSOffice_Level2"/>
      <w:bookmarkStart w:id="304" w:name="_Toc4298"/>
      <w:bookmarkStart w:id="305" w:name="_Toc20184"/>
      <w:r>
        <w:rPr>
          <w:rFonts w:hint="eastAsia" w:ascii="宋体" w:hAnsi="宋体" w:eastAsia="宋体" w:cs="宋体"/>
          <w:b/>
          <w:bCs/>
          <w:kern w:val="2"/>
          <w:sz w:val="28"/>
          <w:szCs w:val="28"/>
          <w:highlight w:val="none"/>
          <w:lang w:val="zh-CN" w:eastAsia="zh-CN" w:bidi="ar-SA"/>
        </w:rPr>
        <w:t>十、响应说明</w:t>
      </w:r>
      <w:bookmarkEnd w:id="297"/>
      <w:bookmarkEnd w:id="298"/>
      <w:bookmarkEnd w:id="299"/>
      <w:bookmarkEnd w:id="300"/>
      <w:bookmarkEnd w:id="301"/>
      <w:bookmarkEnd w:id="302"/>
      <w:bookmarkEnd w:id="303"/>
      <w:bookmarkEnd w:id="304"/>
      <w:bookmarkEnd w:id="305"/>
    </w:p>
    <w:p w14:paraId="2EB5B48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供应商可以按照谈判文件规定的包号选择响应，但必须对所响应包号中的所有内容作为一个整体进行响应，不能拆分或少报，</w:t>
      </w:r>
      <w:r>
        <w:rPr>
          <w:rFonts w:hint="eastAsia" w:ascii="宋体" w:hAnsi="宋体" w:eastAsia="宋体" w:cs="宋体"/>
          <w:kern w:val="2"/>
          <w:sz w:val="24"/>
          <w:szCs w:val="24"/>
          <w:highlight w:val="none"/>
          <w:lang w:val="en-US" w:eastAsia="zh-CN" w:bidi="ar-SA"/>
        </w:rPr>
        <w:t>如有缺项、漏项，其响应无效。</w:t>
      </w:r>
    </w:p>
    <w:p w14:paraId="557B04D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CN" w:eastAsia="zh-CN" w:bidi="ar-SA"/>
        </w:rPr>
        <w:t>供应商必须如实填写“项目需求及技术参数表”（样表如下），在响应产品“技术参数”栏中列出所响应产品的具体技术参数、指标；如果与谈判文件中提供的产品检验报告或厂家公开发布的资料参数</w:t>
      </w:r>
      <w:r>
        <w:rPr>
          <w:rFonts w:hint="eastAsia" w:ascii="宋体" w:hAnsi="宋体" w:cs="宋体"/>
          <w:kern w:val="2"/>
          <w:sz w:val="24"/>
          <w:szCs w:val="24"/>
          <w:highlight w:val="none"/>
          <w:lang w:val="en-US" w:eastAsia="zh-CN" w:bidi="ar-SA"/>
        </w:rPr>
        <w:t>等</w:t>
      </w:r>
      <w:r>
        <w:rPr>
          <w:rFonts w:hint="eastAsia" w:ascii="宋体" w:hAnsi="宋体" w:eastAsia="宋体" w:cs="宋体"/>
          <w:kern w:val="2"/>
          <w:sz w:val="24"/>
          <w:szCs w:val="24"/>
          <w:highlight w:val="none"/>
          <w:lang w:val="zh-CN" w:eastAsia="zh-CN" w:bidi="ar-SA"/>
        </w:rPr>
        <w:t>证明材料中的实质性响应情况不一致或直接复制谈判文件“技术参数</w:t>
      </w:r>
      <w:r>
        <w:rPr>
          <w:rFonts w:hint="eastAsia" w:ascii="宋体" w:hAnsi="宋体" w:cs="宋体"/>
          <w:kern w:val="2"/>
          <w:sz w:val="24"/>
          <w:szCs w:val="24"/>
          <w:highlight w:val="none"/>
          <w:lang w:val="zh-CN" w:eastAsia="zh-CN" w:bidi="ar-SA"/>
        </w:rPr>
        <w:t>表</w:t>
      </w:r>
      <w:r>
        <w:rPr>
          <w:rFonts w:hint="eastAsia" w:ascii="宋体" w:hAnsi="宋体" w:eastAsia="宋体" w:cs="宋体"/>
          <w:kern w:val="2"/>
          <w:sz w:val="24"/>
          <w:szCs w:val="24"/>
          <w:highlight w:val="none"/>
          <w:lang w:val="zh-CN" w:eastAsia="zh-CN" w:bidi="ar-SA"/>
        </w:rPr>
        <w:t>”内容的，按无效响应处理。</w:t>
      </w:r>
    </w:p>
    <w:p w14:paraId="42C72E74">
      <w:pPr>
        <w:widowControl w:val="0"/>
        <w:wordWrap/>
        <w:adjustRightInd w:val="0"/>
        <w:snapToGrid w:val="0"/>
        <w:spacing w:before="157" w:beforeLines="50" w:line="560" w:lineRule="exact"/>
        <w:ind w:left="0" w:leftChars="0" w:right="0" w:firstLine="2811" w:firstLineChars="1000"/>
        <w:jc w:val="both"/>
        <w:textAlignment w:val="auto"/>
        <w:outlineLvl w:val="1"/>
        <w:rPr>
          <w:rFonts w:hint="eastAsia" w:ascii="宋体" w:hAnsi="宋体" w:eastAsia="宋体" w:cs="宋体"/>
          <w:b/>
          <w:bCs/>
          <w:kern w:val="2"/>
          <w:sz w:val="28"/>
          <w:szCs w:val="28"/>
          <w:highlight w:val="none"/>
          <w:lang w:val="zh-CN" w:eastAsia="zh-CN" w:bidi="ar-SA"/>
        </w:rPr>
      </w:pPr>
      <w:bookmarkStart w:id="306" w:name="_Toc16271_WPSOffice_Level2"/>
      <w:bookmarkStart w:id="307" w:name="_Toc19609_WPSOffice_Level2"/>
      <w:bookmarkStart w:id="308" w:name="_Toc26560_WPSOffice_Level2"/>
      <w:bookmarkStart w:id="309" w:name="_Toc28791"/>
      <w:bookmarkStart w:id="310" w:name="_Toc1475"/>
      <w:bookmarkStart w:id="311" w:name="_Toc515908233"/>
      <w:bookmarkStart w:id="312" w:name="_Toc22092"/>
      <w:bookmarkStart w:id="313" w:name="_Toc11066"/>
      <w:bookmarkStart w:id="314" w:name="_Toc18278"/>
      <w:r>
        <w:rPr>
          <w:rFonts w:hint="eastAsia" w:ascii="宋体" w:hAnsi="宋体" w:eastAsia="宋体" w:cs="宋体"/>
          <w:b/>
          <w:bCs/>
          <w:kern w:val="2"/>
          <w:sz w:val="28"/>
          <w:szCs w:val="28"/>
          <w:highlight w:val="none"/>
          <w:lang w:val="zh-CN" w:eastAsia="zh-CN" w:bidi="ar-SA"/>
        </w:rPr>
        <w:t>十一、重要指标</w:t>
      </w:r>
      <w:bookmarkEnd w:id="306"/>
      <w:bookmarkEnd w:id="307"/>
      <w:bookmarkEnd w:id="308"/>
      <w:bookmarkEnd w:id="309"/>
      <w:bookmarkEnd w:id="310"/>
      <w:bookmarkEnd w:id="311"/>
      <w:bookmarkEnd w:id="312"/>
      <w:bookmarkEnd w:id="313"/>
      <w:bookmarkEnd w:id="314"/>
    </w:p>
    <w:p w14:paraId="171AF4B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zh-CN" w:eastAsia="zh-CN" w:bidi="ar-SA"/>
        </w:rPr>
      </w:pPr>
      <w:bookmarkStart w:id="315" w:name="_Toc18880"/>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谈判文件在技术参数中列出了采购人可以接受的最低技术指标，供应商必须对“项目概况及技术参数表”中各项产品和指标进行实质性响应，所推荐的每一项产品在性能上不能低于所列的各项指标。</w:t>
      </w:r>
    </w:p>
    <w:p w14:paraId="6958E41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新宋体" w:hAnsi="新宋体" w:eastAsia="新宋体" w:cs="新宋体"/>
          <w:color w:val="auto"/>
          <w:kern w:val="0"/>
          <w:sz w:val="24"/>
          <w:szCs w:val="22"/>
          <w:lang w:val="en-US" w:eastAsia="zh-CN"/>
        </w:rPr>
      </w:pPr>
      <w:r>
        <w:rPr>
          <w:rFonts w:hint="eastAsia" w:ascii="宋体" w:hAnsi="宋体" w:cs="宋体"/>
          <w:color w:val="auto"/>
          <w:kern w:val="2"/>
          <w:sz w:val="24"/>
          <w:szCs w:val="24"/>
          <w:highlight w:val="none"/>
          <w:lang w:val="en-US" w:eastAsia="zh-CN" w:bidi="ar-SA"/>
        </w:rPr>
        <w:t>2、</w:t>
      </w:r>
      <w:r>
        <w:rPr>
          <w:rFonts w:hint="eastAsia" w:ascii="新宋体" w:hAnsi="新宋体" w:eastAsia="新宋体" w:cs="新宋体"/>
          <w:color w:val="auto"/>
          <w:kern w:val="0"/>
          <w:sz w:val="24"/>
          <w:szCs w:val="22"/>
          <w:lang w:val="en-US" w:eastAsia="zh-CN"/>
        </w:rPr>
        <w:t>“</w:t>
      </w:r>
      <w:r>
        <w:rPr>
          <w:rFonts w:hint="eastAsia" w:ascii="新宋体" w:hAnsi="新宋体" w:eastAsia="新宋体" w:cs="新宋体"/>
          <w:color w:val="auto"/>
          <w:kern w:val="0"/>
          <w:sz w:val="24"/>
          <w:szCs w:val="22"/>
          <w:lang w:val="zh-CN" w:eastAsia="zh-CN"/>
        </w:rPr>
        <w:t>技术参数”中除注明签订合同时提供</w:t>
      </w:r>
      <w:r>
        <w:rPr>
          <w:rFonts w:hint="eastAsia" w:ascii="新宋体" w:hAnsi="新宋体" w:eastAsia="新宋体" w:cs="新宋体"/>
          <w:color w:val="auto"/>
          <w:kern w:val="0"/>
          <w:sz w:val="24"/>
          <w:szCs w:val="22"/>
          <w:lang w:val="en-US" w:eastAsia="zh-CN"/>
        </w:rPr>
        <w:t>的相关授权、服务承诺等资料以外，其余相关资料在响应时必须附在响应文件中。</w:t>
      </w:r>
    </w:p>
    <w:p w14:paraId="4AEDEBD1">
      <w:pPr>
        <w:tabs>
          <w:tab w:val="left" w:pos="840"/>
        </w:tabs>
        <w:spacing w:line="400" w:lineRule="exact"/>
        <w:ind w:firstLine="360" w:firstLineChars="150"/>
        <w:rPr>
          <w:rFonts w:hint="eastAsia" w:ascii="新宋体" w:hAnsi="新宋体" w:eastAsia="新宋体" w:cs="新宋体"/>
          <w:color w:val="auto"/>
          <w:kern w:val="0"/>
          <w:sz w:val="24"/>
          <w:szCs w:val="22"/>
          <w:lang w:val="zh-CN" w:eastAsia="zh-CN"/>
        </w:rPr>
      </w:pPr>
      <w:r>
        <w:rPr>
          <w:rFonts w:hint="eastAsia" w:ascii="新宋体" w:hAnsi="新宋体" w:eastAsia="新宋体" w:cs="新宋体"/>
          <w:color w:val="auto"/>
          <w:kern w:val="0"/>
          <w:sz w:val="24"/>
          <w:szCs w:val="22"/>
          <w:lang w:val="en-US" w:eastAsia="zh-CN"/>
        </w:rPr>
        <w:t>3、</w:t>
      </w:r>
      <w:r>
        <w:rPr>
          <w:rFonts w:hint="eastAsia" w:ascii="新宋体" w:hAnsi="新宋体" w:eastAsia="新宋体" w:cs="新宋体"/>
          <w:color w:val="auto"/>
          <w:kern w:val="0"/>
          <w:sz w:val="24"/>
          <w:szCs w:val="22"/>
          <w:lang w:val="zh-CN" w:eastAsia="zh-CN"/>
        </w:rPr>
        <w:t>谈判文件中凡需与原有设备、系统并机、兼容、匹配等要求的，请主动和采购人联系，取得原有设备、系统相关资料。若有谈判文件未提及或变更内容的，请及时与采购人或者采购代理机构联系。</w:t>
      </w:r>
    </w:p>
    <w:p w14:paraId="45D4B8A4">
      <w:pPr>
        <w:widowControl w:val="0"/>
        <w:wordWrap/>
        <w:adjustRightInd w:val="0"/>
        <w:snapToGrid w:val="0"/>
        <w:spacing w:line="560" w:lineRule="exact"/>
        <w:jc w:val="center"/>
        <w:textAlignment w:val="auto"/>
        <w:rPr>
          <w:rFonts w:hint="eastAsia" w:eastAsia="宋体"/>
          <w:highlight w:val="none"/>
          <w:lang w:val="en-US" w:eastAsia="zh-CN"/>
        </w:rPr>
      </w:pPr>
      <w:r>
        <w:rPr>
          <w:rFonts w:hint="eastAsia" w:ascii="宋体" w:hAnsi="宋体" w:eastAsia="宋体" w:cs="宋体"/>
          <w:b/>
          <w:bCs/>
          <w:kern w:val="2"/>
          <w:sz w:val="28"/>
          <w:szCs w:val="28"/>
          <w:highlight w:val="none"/>
          <w:lang w:val="en-US" w:eastAsia="zh-CN" w:bidi="ar-SA"/>
        </w:rPr>
        <w:t>项目概况及技术参数</w:t>
      </w:r>
      <w:r>
        <w:rPr>
          <w:rFonts w:hint="eastAsia" w:ascii="宋体" w:hAnsi="宋体" w:cs="宋体"/>
          <w:b/>
          <w:bCs/>
          <w:kern w:val="2"/>
          <w:sz w:val="28"/>
          <w:szCs w:val="28"/>
          <w:highlight w:val="none"/>
          <w:lang w:val="en-US" w:eastAsia="zh-CN" w:bidi="ar-SA"/>
        </w:rPr>
        <w:t>说明</w:t>
      </w:r>
    </w:p>
    <w:p w14:paraId="5DD21E42">
      <w:pPr>
        <w:keepNext w:val="0"/>
        <w:keepLines w:val="0"/>
        <w:pageBreakBefore w:val="0"/>
        <w:widowControl w:val="0"/>
        <w:numPr>
          <w:ilvl w:val="0"/>
          <w:numId w:val="6"/>
        </w:numPr>
        <w:kinsoku/>
        <w:wordWrap/>
        <w:overflowPunct/>
        <w:topLinePunct w:val="0"/>
        <w:autoSpaceDE/>
        <w:autoSpaceDN/>
        <w:bidi w:val="0"/>
        <w:adjustRightInd w:val="0"/>
        <w:snapToGrid w:val="0"/>
        <w:spacing w:line="520" w:lineRule="exact"/>
        <w:ind w:left="0" w:leftChars="0" w:right="0" w:firstLine="482" w:firstLineChars="200"/>
        <w:jc w:val="both"/>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商务要求</w:t>
      </w:r>
    </w:p>
    <w:bookmarkEnd w:id="315"/>
    <w:p w14:paraId="15DAFC1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zh-CN" w:eastAsia="zh-CN" w:bidi="ar-SA"/>
        </w:rPr>
      </w:pPr>
      <w:bookmarkStart w:id="316" w:name="_Toc31138"/>
      <w:bookmarkStart w:id="317" w:name="_Toc955_WPSOffice_Level1"/>
      <w:bookmarkStart w:id="318" w:name="_Toc18208_WPSOffice_Level1"/>
      <w:bookmarkStart w:id="319" w:name="_Toc15487_WPSOffice_Level1"/>
      <w:bookmarkStart w:id="320" w:name="_Toc18643_WPSOffice_Level1"/>
      <w:bookmarkStart w:id="321" w:name="_Toc22544"/>
      <w:bookmarkStart w:id="322" w:name="_Toc6923_WPSOffice_Level1"/>
      <w:bookmarkStart w:id="323" w:name="_Toc5732_WPSOffice_Level1"/>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.1.交货期：</w:t>
      </w:r>
      <w:r>
        <w:rPr>
          <w:rFonts w:hint="eastAsia" w:ascii="宋体" w:hAnsi="宋体" w:eastAsia="宋体" w:cs="宋体"/>
          <w:bCs/>
          <w:sz w:val="24"/>
          <w:szCs w:val="24"/>
          <w:highlight w:val="none"/>
          <w:lang w:val="zh-CN"/>
        </w:rPr>
        <w:t>签订合同后</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0日内</w:t>
      </w:r>
      <w:r>
        <w:rPr>
          <w:rFonts w:hint="eastAsia" w:ascii="宋体" w:hAnsi="宋体" w:cs="宋体"/>
          <w:bCs/>
          <w:sz w:val="24"/>
          <w:szCs w:val="24"/>
          <w:highlight w:val="none"/>
          <w:lang w:val="en-US" w:eastAsia="zh-CN"/>
        </w:rPr>
        <w:t>供货及安装完成</w:t>
      </w:r>
    </w:p>
    <w:p w14:paraId="63B4EE8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.2.交货地点：</w:t>
      </w:r>
      <w:r>
        <w:rPr>
          <w:rFonts w:hint="eastAsia" w:ascii="宋体" w:hAnsi="宋体" w:eastAsia="宋体" w:cs="宋体"/>
          <w:color w:val="auto"/>
          <w:kern w:val="2"/>
          <w:sz w:val="24"/>
          <w:szCs w:val="24"/>
          <w:highlight w:val="none"/>
          <w:lang w:val="en-US" w:eastAsia="zh-CN" w:bidi="ar-SA"/>
        </w:rPr>
        <w:t>甲方指定地点</w:t>
      </w:r>
    </w:p>
    <w:p w14:paraId="6BDF4C23">
      <w:pPr>
        <w:widowControl w:val="0"/>
        <w:wordWrap/>
        <w:adjustRightInd w:val="0"/>
        <w:snapToGrid w:val="0"/>
        <w:spacing w:line="560" w:lineRule="exact"/>
        <w:ind w:firstLine="480" w:firstLineChars="200"/>
        <w:textAlignment w:val="auto"/>
        <w:outlineLvl w:val="9"/>
        <w:rPr>
          <w:rFonts w:hint="eastAsia" w:ascii="宋体" w:hAnsi="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.3.付</w:t>
      </w:r>
      <w:r>
        <w:rPr>
          <w:rFonts w:hint="eastAsia" w:ascii="宋体" w:hAnsi="宋体" w:eastAsia="宋体" w:cs="宋体"/>
          <w:color w:val="auto"/>
          <w:kern w:val="2"/>
          <w:sz w:val="24"/>
          <w:szCs w:val="24"/>
          <w:highlight w:val="none"/>
          <w:lang w:val="en-US" w:eastAsia="zh-CN" w:bidi="ar-SA"/>
        </w:rPr>
        <w:t>款方式：</w:t>
      </w:r>
      <w:r>
        <w:rPr>
          <w:rFonts w:hint="eastAsia" w:ascii="宋体" w:hAnsi="宋体" w:eastAsia="宋体" w:cs="宋体"/>
          <w:color w:val="auto"/>
          <w:kern w:val="2"/>
          <w:sz w:val="24"/>
          <w:szCs w:val="24"/>
          <w:highlight w:val="none"/>
          <w:lang w:val="zh-CN" w:eastAsia="zh-CN" w:bidi="ar-SA"/>
        </w:rPr>
        <w:t>合同签定后，甲方向中标单位支付合同金额的</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0%，待货物送达到</w:t>
      </w:r>
      <w:r>
        <w:rPr>
          <w:rFonts w:hint="eastAsia" w:ascii="宋体" w:hAnsi="宋体" w:cs="宋体"/>
          <w:color w:val="auto"/>
          <w:kern w:val="2"/>
          <w:sz w:val="24"/>
          <w:szCs w:val="24"/>
          <w:highlight w:val="none"/>
          <w:lang w:val="en-US" w:eastAsia="zh-CN" w:bidi="ar-SA"/>
        </w:rPr>
        <w:t>甲方指定地点验收合格且无质量问题后</w:t>
      </w:r>
      <w:r>
        <w:rPr>
          <w:rFonts w:hint="eastAsia" w:ascii="宋体" w:hAnsi="宋体" w:eastAsia="宋体" w:cs="宋体"/>
          <w:color w:val="auto"/>
          <w:kern w:val="2"/>
          <w:sz w:val="24"/>
          <w:szCs w:val="24"/>
          <w:highlight w:val="none"/>
          <w:lang w:val="zh-CN" w:eastAsia="zh-CN" w:bidi="ar-SA"/>
        </w:rPr>
        <w:t>，支付支付合同金额的</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0%</w:t>
      </w:r>
      <w:r>
        <w:rPr>
          <w:rFonts w:hint="eastAsia" w:ascii="宋体" w:hAnsi="宋体" w:cs="宋体"/>
          <w:color w:val="auto"/>
          <w:kern w:val="2"/>
          <w:sz w:val="24"/>
          <w:szCs w:val="24"/>
          <w:highlight w:val="none"/>
          <w:lang w:val="zh-CN" w:eastAsia="zh-CN" w:bidi="ar-SA"/>
        </w:rPr>
        <w:t>。</w:t>
      </w:r>
    </w:p>
    <w:p w14:paraId="62606819">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3.4 </w:t>
      </w:r>
      <w:r>
        <w:rPr>
          <w:rFonts w:hint="eastAsia" w:ascii="宋体" w:hAnsi="宋体" w:cs="宋体"/>
          <w:bCs/>
          <w:sz w:val="24"/>
          <w:szCs w:val="24"/>
          <w:highlight w:val="none"/>
          <w:lang w:val="zh-CN"/>
        </w:rPr>
        <w:t>质保期：</w:t>
      </w:r>
      <w:r>
        <w:rPr>
          <w:rFonts w:hint="eastAsia" w:ascii="宋体" w:hAnsi="宋体" w:cs="宋体"/>
          <w:bCs/>
          <w:sz w:val="24"/>
          <w:szCs w:val="24"/>
          <w:highlight w:val="none"/>
          <w:lang w:val="en-US" w:eastAsia="zh-CN"/>
        </w:rPr>
        <w:t>1年。</w:t>
      </w:r>
    </w:p>
    <w:p w14:paraId="0893BAB4">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3.5 核心产品为：轮式收割机</w:t>
      </w:r>
    </w:p>
    <w:tbl>
      <w:tblPr>
        <w:tblStyle w:val="19"/>
        <w:tblW w:w="9398" w:type="dxa"/>
        <w:jc w:val="center"/>
        <w:tblLayout w:type="fixed"/>
        <w:tblCellMar>
          <w:top w:w="0" w:type="dxa"/>
          <w:left w:w="108" w:type="dxa"/>
          <w:bottom w:w="0" w:type="dxa"/>
          <w:right w:w="108" w:type="dxa"/>
        </w:tblCellMar>
      </w:tblPr>
      <w:tblGrid>
        <w:gridCol w:w="615"/>
        <w:gridCol w:w="885"/>
        <w:gridCol w:w="6452"/>
        <w:gridCol w:w="742"/>
        <w:gridCol w:w="704"/>
      </w:tblGrid>
      <w:tr w14:paraId="338E402C">
        <w:tblPrEx>
          <w:tblCellMar>
            <w:top w:w="0" w:type="dxa"/>
            <w:left w:w="108" w:type="dxa"/>
            <w:bottom w:w="0" w:type="dxa"/>
            <w:right w:w="108" w:type="dxa"/>
          </w:tblCellMar>
        </w:tblPrEx>
        <w:trPr>
          <w:trHeight w:val="747"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14:paraId="643007A1">
            <w:pPr>
              <w:widowControl/>
              <w:jc w:val="center"/>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序号</w:t>
            </w:r>
          </w:p>
        </w:tc>
        <w:tc>
          <w:tcPr>
            <w:tcW w:w="885" w:type="dxa"/>
            <w:tcBorders>
              <w:top w:val="single" w:color="auto" w:sz="4" w:space="0"/>
              <w:left w:val="single" w:color="auto" w:sz="4" w:space="0"/>
              <w:bottom w:val="single" w:color="auto" w:sz="4" w:space="0"/>
              <w:right w:val="single" w:color="auto" w:sz="4" w:space="0"/>
            </w:tcBorders>
            <w:noWrap/>
            <w:vAlign w:val="center"/>
          </w:tcPr>
          <w:p w14:paraId="3A71A5ED">
            <w:pPr>
              <w:widowControl/>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货物名称</w:t>
            </w:r>
          </w:p>
        </w:tc>
        <w:tc>
          <w:tcPr>
            <w:tcW w:w="6452" w:type="dxa"/>
            <w:tcBorders>
              <w:top w:val="single" w:color="auto" w:sz="4" w:space="0"/>
              <w:left w:val="nil"/>
              <w:bottom w:val="single" w:color="auto" w:sz="4" w:space="0"/>
              <w:right w:val="single" w:color="auto" w:sz="4" w:space="0"/>
            </w:tcBorders>
            <w:noWrap w:val="0"/>
            <w:vAlign w:val="center"/>
          </w:tcPr>
          <w:p w14:paraId="7F7ECB94">
            <w:pPr>
              <w:widowControl/>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主要技术参数</w:t>
            </w:r>
          </w:p>
        </w:tc>
        <w:tc>
          <w:tcPr>
            <w:tcW w:w="742" w:type="dxa"/>
            <w:tcBorders>
              <w:top w:val="single" w:color="auto" w:sz="4" w:space="0"/>
              <w:left w:val="nil"/>
              <w:bottom w:val="single" w:color="auto" w:sz="4" w:space="0"/>
              <w:right w:val="single" w:color="auto" w:sz="4" w:space="0"/>
            </w:tcBorders>
            <w:noWrap w:val="0"/>
            <w:vAlign w:val="center"/>
          </w:tcPr>
          <w:p w14:paraId="106EF24B">
            <w:pPr>
              <w:widowControl/>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lang w:val="zh-CN"/>
              </w:rPr>
              <w:t>数量</w:t>
            </w:r>
          </w:p>
        </w:tc>
        <w:tc>
          <w:tcPr>
            <w:tcW w:w="704" w:type="dxa"/>
            <w:tcBorders>
              <w:top w:val="single" w:color="auto" w:sz="4" w:space="0"/>
              <w:left w:val="nil"/>
              <w:bottom w:val="single" w:color="auto" w:sz="4" w:space="0"/>
              <w:right w:val="single" w:color="auto" w:sz="4" w:space="0"/>
            </w:tcBorders>
            <w:noWrap w:val="0"/>
            <w:vAlign w:val="center"/>
          </w:tcPr>
          <w:p w14:paraId="0978EDE3">
            <w:pPr>
              <w:widowControl/>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lang w:val="en-US" w:eastAsia="zh-CN"/>
              </w:rPr>
              <w:t>单位</w:t>
            </w:r>
          </w:p>
        </w:tc>
      </w:tr>
      <w:tr w14:paraId="7AFD172C">
        <w:tblPrEx>
          <w:tblCellMar>
            <w:top w:w="0" w:type="dxa"/>
            <w:left w:w="108" w:type="dxa"/>
            <w:bottom w:w="0" w:type="dxa"/>
            <w:right w:w="108" w:type="dxa"/>
          </w:tblCellMar>
        </w:tblPrEx>
        <w:trPr>
          <w:trHeight w:val="747"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14:paraId="3EAF72BB">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 w:val="0"/>
                <w:bCs/>
                <w:color w:val="000000"/>
                <w:kern w:val="2"/>
                <w:sz w:val="24"/>
                <w:szCs w:val="24"/>
                <w:lang w:val="en-US" w:eastAsia="zh-CN" w:bidi="ar-SA"/>
              </w:rPr>
              <w:t>1</w:t>
            </w:r>
          </w:p>
        </w:tc>
        <w:tc>
          <w:tcPr>
            <w:tcW w:w="885" w:type="dxa"/>
            <w:tcBorders>
              <w:top w:val="single" w:color="auto" w:sz="4" w:space="0"/>
              <w:left w:val="single" w:color="auto" w:sz="4" w:space="0"/>
              <w:bottom w:val="single" w:color="auto" w:sz="4" w:space="0"/>
              <w:right w:val="single" w:color="auto" w:sz="4" w:space="0"/>
            </w:tcBorders>
            <w:noWrap/>
            <w:vAlign w:val="center"/>
          </w:tcPr>
          <w:p w14:paraId="247330DF">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 w:val="0"/>
                <w:bCs/>
                <w:color w:val="000000"/>
                <w:kern w:val="2"/>
                <w:sz w:val="24"/>
                <w:szCs w:val="24"/>
                <w:lang w:val="en-US" w:eastAsia="zh-CN" w:bidi="ar-SA"/>
              </w:rPr>
              <w:t>打捆机</w:t>
            </w:r>
          </w:p>
        </w:tc>
        <w:tc>
          <w:tcPr>
            <w:tcW w:w="6452" w:type="dxa"/>
            <w:tcBorders>
              <w:top w:val="single" w:color="auto" w:sz="4" w:space="0"/>
              <w:left w:val="nil"/>
              <w:bottom w:val="single" w:color="auto" w:sz="4" w:space="0"/>
              <w:right w:val="single" w:color="auto" w:sz="4" w:space="0"/>
            </w:tcBorders>
            <w:noWrap w:val="0"/>
            <w:vAlign w:val="center"/>
          </w:tcPr>
          <w:p w14:paraId="324340B4">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挂接方式：自走式；</w:t>
            </w:r>
          </w:p>
          <w:p w14:paraId="21A9EB53">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捡拾宽度：</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1900mm；</w:t>
            </w:r>
          </w:p>
          <w:p w14:paraId="6EC4B962">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捡拾器结构型式：弹齿式；</w:t>
            </w:r>
          </w:p>
          <w:p w14:paraId="76D28D5E">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喂入器结构型式：拨叉喂入结构；</w:t>
            </w:r>
          </w:p>
          <w:p w14:paraId="728DA6BB">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打结器型式：D型；</w:t>
            </w:r>
          </w:p>
          <w:p w14:paraId="363FA312">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打结器数量：</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2个；</w:t>
            </w:r>
          </w:p>
          <w:p w14:paraId="09EFF4DE">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压缩室截面尺寸（宽×高）：</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460×360mm；</w:t>
            </w:r>
          </w:p>
          <w:p w14:paraId="1662B1CE">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配套发动机额定功率：</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65KW；</w:t>
            </w:r>
          </w:p>
          <w:p w14:paraId="6A3D197B">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额定转速：</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2400r/min；</w:t>
            </w:r>
          </w:p>
          <w:p w14:paraId="327EC4C9">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变速方式：手动变速；</w:t>
            </w:r>
          </w:p>
          <w:p w14:paraId="2CA54E16">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驱动方式：机械驱动；</w:t>
            </w:r>
          </w:p>
          <w:p w14:paraId="330857B2">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制动器型式：湿式摩擦片式；</w:t>
            </w:r>
          </w:p>
          <w:p w14:paraId="78059A45">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履带型式：橡胶履带；</w:t>
            </w:r>
          </w:p>
          <w:p w14:paraId="05D465FF">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履带宽度：</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400mm；</w:t>
            </w:r>
          </w:p>
          <w:p w14:paraId="7E9962E8">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履带接地长：</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1460mm；</w:t>
            </w:r>
          </w:p>
          <w:p w14:paraId="155F1FA2">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轨距：</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1150mm。</w:t>
            </w:r>
          </w:p>
          <w:p w14:paraId="3456B99E">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Cs/>
                <w:kern w:val="0"/>
                <w:sz w:val="24"/>
                <w:szCs w:val="24"/>
              </w:rPr>
            </w:pPr>
            <w:r>
              <w:rPr>
                <w:rFonts w:hint="default" w:ascii="仿宋_GB2312" w:hAnsi="仿宋_GB2312" w:eastAsia="仿宋_GB2312" w:cs="仿宋_GB2312"/>
                <w:b w:val="0"/>
                <w:bCs/>
                <w:kern w:val="0"/>
                <w:sz w:val="24"/>
                <w:szCs w:val="24"/>
                <w:lang w:val="en-US" w:eastAsia="zh-CN"/>
              </w:rPr>
              <w:t>须提供检验报告或推广鉴定报告。</w:t>
            </w:r>
          </w:p>
        </w:tc>
        <w:tc>
          <w:tcPr>
            <w:tcW w:w="742" w:type="dxa"/>
            <w:tcBorders>
              <w:top w:val="single" w:color="auto" w:sz="4" w:space="0"/>
              <w:left w:val="nil"/>
              <w:bottom w:val="single" w:color="auto" w:sz="4" w:space="0"/>
              <w:right w:val="single" w:color="auto" w:sz="4" w:space="0"/>
            </w:tcBorders>
            <w:noWrap w:val="0"/>
            <w:vAlign w:val="center"/>
          </w:tcPr>
          <w:p w14:paraId="61378C23">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704" w:type="dxa"/>
            <w:tcBorders>
              <w:top w:val="single" w:color="auto" w:sz="4" w:space="0"/>
              <w:left w:val="nil"/>
              <w:bottom w:val="single" w:color="auto" w:sz="4" w:space="0"/>
              <w:right w:val="single" w:color="auto" w:sz="4" w:space="0"/>
            </w:tcBorders>
            <w:noWrap w:val="0"/>
            <w:vAlign w:val="center"/>
          </w:tcPr>
          <w:p w14:paraId="289329D1">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r>
      <w:tr w14:paraId="261605F1">
        <w:tblPrEx>
          <w:tblCellMar>
            <w:top w:w="0" w:type="dxa"/>
            <w:left w:w="108" w:type="dxa"/>
            <w:bottom w:w="0" w:type="dxa"/>
            <w:right w:w="108" w:type="dxa"/>
          </w:tblCellMar>
        </w:tblPrEx>
        <w:trPr>
          <w:trHeight w:val="747"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14:paraId="1CD64617">
            <w:pPr>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2</w:t>
            </w:r>
          </w:p>
        </w:tc>
        <w:tc>
          <w:tcPr>
            <w:tcW w:w="885" w:type="dxa"/>
            <w:tcBorders>
              <w:top w:val="single" w:color="auto" w:sz="4" w:space="0"/>
              <w:left w:val="single" w:color="auto" w:sz="4" w:space="0"/>
              <w:bottom w:val="single" w:color="auto" w:sz="4" w:space="0"/>
              <w:right w:val="single" w:color="auto" w:sz="4" w:space="0"/>
            </w:tcBorders>
            <w:noWrap/>
            <w:vAlign w:val="center"/>
          </w:tcPr>
          <w:p w14:paraId="551AFA71">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履带收割机</w:t>
            </w:r>
          </w:p>
        </w:tc>
        <w:tc>
          <w:tcPr>
            <w:tcW w:w="6452" w:type="dxa"/>
            <w:tcBorders>
              <w:top w:val="single" w:color="auto" w:sz="4" w:space="0"/>
              <w:left w:val="nil"/>
              <w:bottom w:val="single" w:color="auto" w:sz="4" w:space="0"/>
              <w:right w:val="single" w:color="auto" w:sz="4" w:space="0"/>
            </w:tcBorders>
            <w:noWrap w:val="0"/>
            <w:vAlign w:val="center"/>
          </w:tcPr>
          <w:p w14:paraId="6055EAEB">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配套发动机气缸数量</w:t>
            </w:r>
            <w:r>
              <w:rPr>
                <w:rFonts w:hint="eastAsia" w:ascii="仿宋_GB2312" w:hAnsi="仿宋_GB2312" w:eastAsia="仿宋_GB2312" w:cs="仿宋_GB2312"/>
                <w:b w:val="0"/>
                <w:bCs/>
                <w:i w:val="0"/>
                <w:iCs w:val="0"/>
                <w:color w:val="000000"/>
                <w:kern w:val="2"/>
                <w:sz w:val="24"/>
                <w:szCs w:val="24"/>
                <w:u w:val="none"/>
                <w:lang w:val="en-US" w:eastAsia="zh-CN" w:bidi="ar-SA"/>
              </w:rPr>
              <w:t>：</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4缸</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1E52FFC9">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配套发动机标定功率：</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92kW；</w:t>
            </w:r>
          </w:p>
          <w:p w14:paraId="5E55EED6">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配套发动机标定转速</w:t>
            </w:r>
            <w:r>
              <w:rPr>
                <w:rFonts w:hint="eastAsia" w:ascii="仿宋_GB2312" w:hAnsi="仿宋_GB2312" w:eastAsia="仿宋_GB2312" w:cs="仿宋_GB2312"/>
                <w:b w:val="0"/>
                <w:bCs/>
                <w:i w:val="0"/>
                <w:iCs w:val="0"/>
                <w:color w:val="000000"/>
                <w:kern w:val="2"/>
                <w:sz w:val="24"/>
                <w:szCs w:val="24"/>
                <w:u w:val="none"/>
                <w:lang w:val="en-US" w:eastAsia="zh-CN" w:bidi="ar-SA"/>
              </w:rPr>
              <w:t>：</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2400r/min</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185FA01B">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整机外形尺寸（长*宽*高）：</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5900*26</w:t>
            </w:r>
            <w:r>
              <w:rPr>
                <w:rFonts w:hint="eastAsia" w:ascii="仿宋_GB2312" w:hAnsi="仿宋_GB2312" w:eastAsia="仿宋_GB2312" w:cs="仿宋_GB2312"/>
                <w:b w:val="0"/>
                <w:bCs/>
                <w:i w:val="0"/>
                <w:iCs w:val="0"/>
                <w:color w:val="000000"/>
                <w:kern w:val="2"/>
                <w:sz w:val="24"/>
                <w:szCs w:val="24"/>
                <w:u w:val="none"/>
                <w:lang w:val="en-US" w:eastAsia="zh-CN" w:bidi="ar-SA"/>
              </w:rPr>
              <w:t>48</w:t>
            </w:r>
            <w:r>
              <w:rPr>
                <w:rFonts w:hint="default" w:ascii="仿宋_GB2312" w:hAnsi="仿宋_GB2312" w:eastAsia="仿宋_GB2312" w:cs="仿宋_GB2312"/>
                <w:b w:val="0"/>
                <w:bCs/>
                <w:i w:val="0"/>
                <w:iCs w:val="0"/>
                <w:color w:val="000000"/>
                <w:kern w:val="2"/>
                <w:sz w:val="24"/>
                <w:szCs w:val="24"/>
                <w:u w:val="none"/>
                <w:lang w:val="en-US" w:eastAsia="zh-CN" w:bidi="ar-SA"/>
              </w:rPr>
              <w:t>*2</w:t>
            </w:r>
            <w:r>
              <w:rPr>
                <w:rFonts w:hint="eastAsia" w:ascii="仿宋_GB2312" w:hAnsi="仿宋_GB2312" w:eastAsia="仿宋_GB2312" w:cs="仿宋_GB2312"/>
                <w:b w:val="0"/>
                <w:bCs/>
                <w:i w:val="0"/>
                <w:iCs w:val="0"/>
                <w:color w:val="000000"/>
                <w:kern w:val="2"/>
                <w:sz w:val="24"/>
                <w:szCs w:val="24"/>
                <w:u w:val="none"/>
                <w:lang w:val="en-US" w:eastAsia="zh-CN" w:bidi="ar-SA"/>
              </w:rPr>
              <w:t>8</w:t>
            </w:r>
            <w:r>
              <w:rPr>
                <w:rFonts w:hint="default" w:ascii="仿宋_GB2312" w:hAnsi="仿宋_GB2312" w:eastAsia="仿宋_GB2312" w:cs="仿宋_GB2312"/>
                <w:b w:val="0"/>
                <w:bCs/>
                <w:i w:val="0"/>
                <w:iCs w:val="0"/>
                <w:color w:val="000000"/>
                <w:kern w:val="2"/>
                <w:sz w:val="24"/>
                <w:szCs w:val="24"/>
                <w:u w:val="none"/>
                <w:lang w:val="en-US" w:eastAsia="zh-CN" w:bidi="ar-SA"/>
              </w:rPr>
              <w:t>9</w:t>
            </w:r>
            <w:r>
              <w:rPr>
                <w:rFonts w:hint="eastAsia" w:ascii="仿宋_GB2312" w:hAnsi="仿宋_GB2312" w:eastAsia="仿宋_GB2312" w:cs="仿宋_GB2312"/>
                <w:b w:val="0"/>
                <w:bCs/>
                <w:i w:val="0"/>
                <w:iCs w:val="0"/>
                <w:color w:val="000000"/>
                <w:kern w:val="2"/>
                <w:sz w:val="24"/>
                <w:szCs w:val="24"/>
                <w:u w:val="none"/>
                <w:lang w:val="en-US" w:eastAsia="zh-CN" w:bidi="ar-SA"/>
              </w:rPr>
              <w:t>5</w:t>
            </w:r>
            <w:r>
              <w:rPr>
                <w:rFonts w:hint="default" w:ascii="仿宋_GB2312" w:hAnsi="仿宋_GB2312" w:eastAsia="仿宋_GB2312" w:cs="仿宋_GB2312"/>
                <w:b w:val="0"/>
                <w:bCs/>
                <w:i w:val="0"/>
                <w:iCs w:val="0"/>
                <w:color w:val="000000"/>
                <w:kern w:val="2"/>
                <w:sz w:val="24"/>
                <w:szCs w:val="24"/>
                <w:u w:val="none"/>
                <w:lang w:val="en-US" w:eastAsia="zh-CN" w:bidi="ar-SA"/>
              </w:rPr>
              <w:t>mm；</w:t>
            </w:r>
          </w:p>
          <w:p w14:paraId="5835D726">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整机质量：</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3800kg；</w:t>
            </w:r>
          </w:p>
          <w:p w14:paraId="31E246BD">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割台工作幅宽：</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2300mm；</w:t>
            </w:r>
          </w:p>
          <w:p w14:paraId="30DDCBC0">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最小离地间隙</w:t>
            </w:r>
            <w:r>
              <w:rPr>
                <w:rFonts w:hint="eastAsia" w:ascii="仿宋_GB2312" w:hAnsi="仿宋_GB2312" w:eastAsia="仿宋_GB2312" w:cs="仿宋_GB2312"/>
                <w:b w:val="0"/>
                <w:bCs/>
                <w:i w:val="0"/>
                <w:iCs w:val="0"/>
                <w:color w:val="000000"/>
                <w:kern w:val="2"/>
                <w:sz w:val="24"/>
                <w:szCs w:val="24"/>
                <w:u w:val="none"/>
                <w:lang w:val="en-US" w:eastAsia="zh-CN" w:bidi="ar-SA"/>
              </w:rPr>
              <w:t>：</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300mm</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5455C472">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割刀型式：II型；</w:t>
            </w:r>
          </w:p>
          <w:p w14:paraId="4AA019E7">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喂入量：</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7kg/s；</w:t>
            </w:r>
          </w:p>
          <w:p w14:paraId="407FAB47">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作业小时生产率：0.10</w:t>
            </w:r>
            <w:r>
              <w:rPr>
                <w:rFonts w:hint="eastAsia" w:ascii="仿宋_GB2312" w:hAnsi="仿宋_GB2312" w:eastAsia="仿宋_GB2312" w:cs="仿宋_GB2312"/>
                <w:b w:val="0"/>
                <w:bCs/>
                <w:i w:val="0"/>
                <w:iCs w:val="0"/>
                <w:color w:val="000000"/>
                <w:kern w:val="2"/>
                <w:sz w:val="24"/>
                <w:szCs w:val="24"/>
                <w:u w:val="none"/>
                <w:lang w:val="en-US" w:eastAsia="zh-CN" w:bidi="ar-SA"/>
              </w:rPr>
              <w:t>-</w:t>
            </w:r>
            <w:r>
              <w:rPr>
                <w:rFonts w:hint="default" w:ascii="仿宋_GB2312" w:hAnsi="仿宋_GB2312" w:eastAsia="仿宋_GB2312" w:cs="仿宋_GB2312"/>
                <w:b w:val="0"/>
                <w:bCs/>
                <w:i w:val="0"/>
                <w:iCs w:val="0"/>
                <w:color w:val="000000"/>
                <w:kern w:val="2"/>
                <w:sz w:val="24"/>
                <w:szCs w:val="24"/>
                <w:u w:val="none"/>
                <w:lang w:val="en-US" w:eastAsia="zh-CN" w:bidi="ar-SA"/>
              </w:rPr>
              <w:t>0.81</w:t>
            </w:r>
            <w:r>
              <w:rPr>
                <w:rFonts w:hint="eastAsia" w:ascii="仿宋_GB2312" w:hAnsi="仿宋_GB2312" w:eastAsia="仿宋_GB2312" w:cs="仿宋_GB2312"/>
                <w:b w:val="0"/>
                <w:bCs/>
                <w:i w:val="0"/>
                <w:iCs w:val="0"/>
                <w:color w:val="000000"/>
                <w:kern w:val="2"/>
                <w:sz w:val="24"/>
                <w:szCs w:val="24"/>
                <w:u w:val="none"/>
                <w:lang w:val="en-US" w:eastAsia="zh-CN" w:bidi="ar-SA"/>
              </w:rPr>
              <w:t>h</w:t>
            </w:r>
            <w:r>
              <w:rPr>
                <w:rFonts w:hint="eastAsia" w:ascii="仿宋_GB2312" w:hAnsi="仿宋_GB2312" w:eastAsia="仿宋_GB2312" w:cs="仿宋_GB2312"/>
                <w:b w:val="0"/>
                <w:bCs/>
                <w:kern w:val="0"/>
                <w:sz w:val="24"/>
                <w:szCs w:val="24"/>
                <w:lang w:val="en-US" w:eastAsia="zh-CN"/>
              </w:rPr>
              <w:t>㎡/h；</w:t>
            </w:r>
          </w:p>
          <w:p w14:paraId="7A8D4AA6">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拨禾轮型式：偏心弹齿式；</w:t>
            </w:r>
          </w:p>
          <w:p w14:paraId="28289225">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拨禾轮直径：</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Φ900mm；</w:t>
            </w:r>
          </w:p>
          <w:p w14:paraId="6AFC4F66">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拨禾轮板数：</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5个；</w:t>
            </w:r>
          </w:p>
          <w:p w14:paraId="5D846783">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脱粒机构布置方式：纵向</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77C7A522">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主脱粒滚筒型式：纵轴流</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7E6DB3F6">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主脱粒滚筒外形尺寸(外径×长度)：</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φ620×20</w:t>
            </w:r>
            <w:r>
              <w:rPr>
                <w:rFonts w:hint="eastAsia" w:ascii="仿宋_GB2312" w:hAnsi="仿宋_GB2312" w:eastAsia="仿宋_GB2312" w:cs="仿宋_GB2312"/>
                <w:b w:val="0"/>
                <w:bCs/>
                <w:i w:val="0"/>
                <w:iCs w:val="0"/>
                <w:color w:val="000000"/>
                <w:kern w:val="2"/>
                <w:sz w:val="24"/>
                <w:szCs w:val="24"/>
                <w:u w:val="none"/>
                <w:lang w:val="en-US" w:eastAsia="zh-CN" w:bidi="ar-SA"/>
              </w:rPr>
              <w:t>47</w:t>
            </w:r>
            <w:r>
              <w:rPr>
                <w:rFonts w:hint="default" w:ascii="仿宋_GB2312" w:hAnsi="仿宋_GB2312" w:eastAsia="仿宋_GB2312" w:cs="仿宋_GB2312"/>
                <w:b w:val="0"/>
                <w:bCs/>
                <w:i w:val="0"/>
                <w:iCs w:val="0"/>
                <w:color w:val="000000"/>
                <w:kern w:val="2"/>
                <w:sz w:val="24"/>
                <w:szCs w:val="24"/>
                <w:u w:val="none"/>
                <w:lang w:val="en-US" w:eastAsia="zh-CN" w:bidi="ar-SA"/>
              </w:rPr>
              <w:t>mm；</w:t>
            </w:r>
          </w:p>
          <w:p w14:paraId="47A56BB7">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风扇直径：</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Φ3</w:t>
            </w:r>
            <w:r>
              <w:rPr>
                <w:rFonts w:hint="eastAsia" w:ascii="仿宋_GB2312" w:hAnsi="仿宋_GB2312" w:eastAsia="仿宋_GB2312" w:cs="仿宋_GB2312"/>
                <w:b w:val="0"/>
                <w:bCs/>
                <w:i w:val="0"/>
                <w:iCs w:val="0"/>
                <w:color w:val="000000"/>
                <w:kern w:val="2"/>
                <w:sz w:val="24"/>
                <w:szCs w:val="24"/>
                <w:u w:val="none"/>
                <w:lang w:val="en-US" w:eastAsia="zh-CN" w:bidi="ar-SA"/>
              </w:rPr>
              <w:t>87</w:t>
            </w:r>
            <w:r>
              <w:rPr>
                <w:rFonts w:hint="default" w:ascii="仿宋_GB2312" w:hAnsi="仿宋_GB2312" w:eastAsia="仿宋_GB2312" w:cs="仿宋_GB2312"/>
                <w:b w:val="0"/>
                <w:bCs/>
                <w:i w:val="0"/>
                <w:iCs w:val="0"/>
                <w:color w:val="000000"/>
                <w:kern w:val="2"/>
                <w:sz w:val="24"/>
                <w:szCs w:val="24"/>
                <w:u w:val="none"/>
                <w:lang w:val="en-US" w:eastAsia="zh-CN" w:bidi="ar-SA"/>
              </w:rPr>
              <w:t>mm；</w:t>
            </w:r>
          </w:p>
          <w:p w14:paraId="0BD01125">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履带节距：</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90mm、履带节数：</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53节、履带宽度：</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500mm；</w:t>
            </w:r>
          </w:p>
          <w:p w14:paraId="2640F853">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履带轨距：</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1250mm；</w:t>
            </w:r>
          </w:p>
          <w:p w14:paraId="006FC122">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变速机构型式</w:t>
            </w:r>
            <w:r>
              <w:rPr>
                <w:rFonts w:hint="eastAsia" w:ascii="仿宋_GB2312" w:hAnsi="仿宋_GB2312" w:eastAsia="仿宋_GB2312" w:cs="仿宋_GB2312"/>
                <w:b w:val="0"/>
                <w:bCs/>
                <w:i w:val="0"/>
                <w:iCs w:val="0"/>
                <w:color w:val="000000"/>
                <w:kern w:val="2"/>
                <w:sz w:val="24"/>
                <w:szCs w:val="24"/>
                <w:u w:val="none"/>
                <w:lang w:val="en-US" w:eastAsia="zh-CN" w:bidi="ar-SA"/>
              </w:rPr>
              <w:t>：</w:t>
            </w:r>
            <w:r>
              <w:rPr>
                <w:rFonts w:hint="default" w:ascii="仿宋_GB2312" w:hAnsi="仿宋_GB2312" w:eastAsia="仿宋_GB2312" w:cs="仿宋_GB2312"/>
                <w:b w:val="0"/>
                <w:bCs/>
                <w:i w:val="0"/>
                <w:iCs w:val="0"/>
                <w:color w:val="000000"/>
                <w:kern w:val="2"/>
                <w:sz w:val="24"/>
                <w:szCs w:val="24"/>
                <w:u w:val="none"/>
                <w:lang w:val="en-US" w:eastAsia="zh-CN" w:bidi="ar-SA"/>
              </w:rPr>
              <w:t>机械变速箱+静液压无级变速</w:t>
            </w:r>
          </w:p>
          <w:p w14:paraId="40FC5CC5">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驱动方式（前、后）</w:t>
            </w:r>
            <w:r>
              <w:rPr>
                <w:rFonts w:hint="eastAsia" w:ascii="仿宋_GB2312" w:hAnsi="仿宋_GB2312" w:eastAsia="仿宋_GB2312" w:cs="仿宋_GB2312"/>
                <w:b w:val="0"/>
                <w:bCs/>
                <w:i w:val="0"/>
                <w:iCs w:val="0"/>
                <w:color w:val="000000"/>
                <w:kern w:val="2"/>
                <w:sz w:val="24"/>
                <w:szCs w:val="24"/>
                <w:u w:val="none"/>
                <w:lang w:val="en-US" w:eastAsia="zh-CN" w:bidi="ar-SA"/>
              </w:rPr>
              <w:t>：</w:t>
            </w:r>
            <w:r>
              <w:rPr>
                <w:rFonts w:hint="default" w:ascii="仿宋_GB2312" w:hAnsi="仿宋_GB2312" w:eastAsia="仿宋_GB2312" w:cs="仿宋_GB2312"/>
                <w:b w:val="0"/>
                <w:bCs/>
                <w:i w:val="0"/>
                <w:iCs w:val="0"/>
                <w:color w:val="000000"/>
                <w:kern w:val="2"/>
                <w:sz w:val="24"/>
                <w:szCs w:val="24"/>
                <w:u w:val="none"/>
                <w:lang w:val="en-US" w:eastAsia="zh-CN" w:bidi="ar-SA"/>
              </w:rPr>
              <w:t>液压驱动</w:t>
            </w:r>
          </w:p>
          <w:p w14:paraId="4B9F7404">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卸粮方式：机械自动卸粮</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4C71FB1D">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i w:val="0"/>
                <w:iCs w:val="0"/>
                <w:color w:val="000000"/>
                <w:kern w:val="2"/>
                <w:sz w:val="24"/>
                <w:szCs w:val="24"/>
                <w:u w:val="none"/>
                <w:lang w:val="en-US" w:eastAsia="zh-CN" w:bidi="ar-SA"/>
              </w:rPr>
              <w:t>须提供检验报告或推广鉴定报告。</w:t>
            </w:r>
          </w:p>
        </w:tc>
        <w:tc>
          <w:tcPr>
            <w:tcW w:w="742" w:type="dxa"/>
            <w:tcBorders>
              <w:top w:val="single" w:color="auto" w:sz="4" w:space="0"/>
              <w:left w:val="nil"/>
              <w:bottom w:val="single" w:color="auto" w:sz="4" w:space="0"/>
              <w:right w:val="single" w:color="auto" w:sz="4" w:space="0"/>
            </w:tcBorders>
            <w:noWrap w:val="0"/>
            <w:vAlign w:val="center"/>
          </w:tcPr>
          <w:p w14:paraId="6CBD04A8">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kern w:val="0"/>
                <w:sz w:val="24"/>
                <w:szCs w:val="24"/>
                <w:lang w:val="en-US" w:eastAsia="zh-CN"/>
              </w:rPr>
              <w:t>1</w:t>
            </w:r>
          </w:p>
        </w:tc>
        <w:tc>
          <w:tcPr>
            <w:tcW w:w="704" w:type="dxa"/>
            <w:tcBorders>
              <w:top w:val="single" w:color="auto" w:sz="4" w:space="0"/>
              <w:left w:val="nil"/>
              <w:bottom w:val="single" w:color="auto" w:sz="4" w:space="0"/>
              <w:right w:val="single" w:color="auto" w:sz="4" w:space="0"/>
            </w:tcBorders>
            <w:noWrap w:val="0"/>
            <w:vAlign w:val="center"/>
          </w:tcPr>
          <w:p w14:paraId="7BDFD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i w:val="0"/>
                <w:iCs w:val="0"/>
                <w:color w:val="000000"/>
                <w:kern w:val="2"/>
                <w:sz w:val="24"/>
                <w:szCs w:val="24"/>
                <w:u w:val="none"/>
                <w:lang w:val="en-US" w:eastAsia="zh-CN" w:bidi="ar-SA"/>
              </w:rPr>
              <w:t>台</w:t>
            </w:r>
          </w:p>
        </w:tc>
      </w:tr>
      <w:tr w14:paraId="06D41FC9">
        <w:tblPrEx>
          <w:tblCellMar>
            <w:top w:w="0" w:type="dxa"/>
            <w:left w:w="108" w:type="dxa"/>
            <w:bottom w:w="0" w:type="dxa"/>
            <w:right w:w="108" w:type="dxa"/>
          </w:tblCellMar>
        </w:tblPrEx>
        <w:trPr>
          <w:trHeight w:val="747"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E61BB">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3</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E3A2E">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kern w:val="0"/>
                <w:sz w:val="24"/>
                <w:szCs w:val="24"/>
                <w:lang w:val="en-US" w:eastAsia="zh-CN" w:bidi="ar-SA"/>
              </w:rPr>
            </w:pPr>
            <w:r>
              <w:rPr>
                <w:rFonts w:hint="eastAsia" w:ascii="仿宋_GB2312" w:hAnsi="仿宋_GB2312" w:eastAsia="仿宋_GB2312" w:cs="仿宋_GB2312"/>
                <w:b w:val="0"/>
                <w:bCs/>
                <w:color w:val="000000"/>
                <w:sz w:val="24"/>
                <w:szCs w:val="24"/>
                <w:lang w:val="en-US" w:eastAsia="zh-CN"/>
              </w:rPr>
              <w:t>轮式收割机</w:t>
            </w:r>
            <w:r>
              <w:rPr>
                <w:rFonts w:hint="eastAsia" w:ascii="仿宋_GB2312" w:hAnsi="仿宋_GB2312" w:eastAsia="仿宋_GB2312" w:cs="仿宋_GB2312"/>
                <w:b/>
                <w:bCs w:val="0"/>
                <w:color w:val="000000"/>
                <w:sz w:val="24"/>
                <w:szCs w:val="24"/>
                <w:lang w:val="en-US" w:eastAsia="zh-CN"/>
              </w:rPr>
              <w:t>（核心产品）</w:t>
            </w:r>
          </w:p>
        </w:tc>
        <w:tc>
          <w:tcPr>
            <w:tcW w:w="6452" w:type="dxa"/>
            <w:tcBorders>
              <w:top w:val="single" w:color="auto" w:sz="4" w:space="0"/>
              <w:left w:val="nil"/>
              <w:bottom w:val="single" w:color="auto" w:sz="4" w:space="0"/>
              <w:right w:val="single" w:color="auto" w:sz="4" w:space="0"/>
            </w:tcBorders>
            <w:shd w:val="clear" w:color="auto" w:fill="auto"/>
            <w:noWrap w:val="0"/>
            <w:vAlign w:val="center"/>
          </w:tcPr>
          <w:p w14:paraId="255B3F3C">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配套发动机结构型式：直列、水冷、四冲程、直喷；</w:t>
            </w:r>
          </w:p>
          <w:p w14:paraId="56DFEE0A">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配套发动机标定功率：</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129kW；</w:t>
            </w:r>
          </w:p>
          <w:p w14:paraId="63DEF00B">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配套发动机标定转速：</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2</w:t>
            </w:r>
            <w:r>
              <w:rPr>
                <w:rFonts w:hint="eastAsia" w:ascii="仿宋_GB2312" w:hAnsi="仿宋_GB2312" w:eastAsia="仿宋_GB2312" w:cs="仿宋_GB2312"/>
                <w:b w:val="0"/>
                <w:bCs/>
                <w:kern w:val="0"/>
                <w:sz w:val="24"/>
                <w:szCs w:val="24"/>
                <w:lang w:val="en-US" w:eastAsia="zh-CN"/>
              </w:rPr>
              <w:t>4</w:t>
            </w:r>
            <w:r>
              <w:rPr>
                <w:rFonts w:hint="default" w:ascii="仿宋_GB2312" w:hAnsi="仿宋_GB2312" w:eastAsia="仿宋_GB2312" w:cs="仿宋_GB2312"/>
                <w:b w:val="0"/>
                <w:bCs/>
                <w:kern w:val="0"/>
                <w:sz w:val="24"/>
                <w:szCs w:val="24"/>
                <w:lang w:val="en-US" w:eastAsia="zh-CN"/>
              </w:rPr>
              <w:t>00r/min；</w:t>
            </w:r>
          </w:p>
          <w:p w14:paraId="5B78EF27">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整机外形尺寸(长*宽*高)：</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6650*</w:t>
            </w:r>
            <w:r>
              <w:rPr>
                <w:rFonts w:hint="eastAsia" w:ascii="仿宋_GB2312" w:hAnsi="仿宋_GB2312" w:eastAsia="仿宋_GB2312" w:cs="仿宋_GB2312"/>
                <w:b w:val="0"/>
                <w:bCs/>
                <w:kern w:val="0"/>
                <w:sz w:val="24"/>
                <w:szCs w:val="24"/>
                <w:lang w:val="en-US" w:eastAsia="zh-CN"/>
              </w:rPr>
              <w:t>3095</w:t>
            </w:r>
            <w:r>
              <w:rPr>
                <w:rFonts w:hint="default" w:ascii="仿宋_GB2312" w:hAnsi="仿宋_GB2312" w:eastAsia="仿宋_GB2312" w:cs="仿宋_GB2312"/>
                <w:b w:val="0"/>
                <w:bCs/>
                <w:kern w:val="0"/>
                <w:sz w:val="24"/>
                <w:szCs w:val="24"/>
                <w:lang w:val="en-US" w:eastAsia="zh-CN"/>
              </w:rPr>
              <w:t>*34</w:t>
            </w:r>
            <w:r>
              <w:rPr>
                <w:rFonts w:hint="eastAsia" w:ascii="仿宋_GB2312" w:hAnsi="仿宋_GB2312" w:eastAsia="仿宋_GB2312" w:cs="仿宋_GB2312"/>
                <w:b w:val="0"/>
                <w:bCs/>
                <w:kern w:val="0"/>
                <w:sz w:val="24"/>
                <w:szCs w:val="24"/>
                <w:lang w:val="en-US" w:eastAsia="zh-CN"/>
              </w:rPr>
              <w:t>48</w:t>
            </w:r>
            <w:r>
              <w:rPr>
                <w:rFonts w:hint="default" w:ascii="仿宋_GB2312" w:hAnsi="仿宋_GB2312" w:eastAsia="仿宋_GB2312" w:cs="仿宋_GB2312"/>
                <w:b w:val="0"/>
                <w:bCs/>
                <w:kern w:val="0"/>
                <w:sz w:val="24"/>
                <w:szCs w:val="24"/>
                <w:lang w:val="en-US" w:eastAsia="zh-CN"/>
              </w:rPr>
              <w:t>mm；</w:t>
            </w:r>
          </w:p>
          <w:p w14:paraId="06F3EEE9">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整机质量：</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5800kg；</w:t>
            </w:r>
          </w:p>
          <w:p w14:paraId="790662F5">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割台工作幅宽：</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2750mm；</w:t>
            </w:r>
          </w:p>
          <w:p w14:paraId="08676A1E">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最小离地间隙：</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2</w:t>
            </w:r>
            <w:r>
              <w:rPr>
                <w:rFonts w:hint="eastAsia" w:ascii="仿宋_GB2312" w:hAnsi="仿宋_GB2312" w:eastAsia="仿宋_GB2312" w:cs="仿宋_GB2312"/>
                <w:b w:val="0"/>
                <w:bCs/>
                <w:kern w:val="0"/>
                <w:sz w:val="24"/>
                <w:szCs w:val="24"/>
                <w:lang w:val="en-US" w:eastAsia="zh-CN"/>
              </w:rPr>
              <w:t>85</w:t>
            </w:r>
            <w:r>
              <w:rPr>
                <w:rFonts w:hint="default" w:ascii="仿宋_GB2312" w:hAnsi="仿宋_GB2312" w:eastAsia="仿宋_GB2312" w:cs="仿宋_GB2312"/>
                <w:b w:val="0"/>
                <w:bCs/>
                <w:kern w:val="0"/>
                <w:sz w:val="24"/>
                <w:szCs w:val="24"/>
                <w:lang w:val="en-US" w:eastAsia="zh-CN"/>
              </w:rPr>
              <w:t>mm；</w:t>
            </w:r>
          </w:p>
          <w:p w14:paraId="2BA7925A">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割刀型式：Ⅱ型；</w:t>
            </w:r>
          </w:p>
          <w:p w14:paraId="0775423A">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喂入量：</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8kg/s；</w:t>
            </w:r>
          </w:p>
          <w:p w14:paraId="4F23DD49">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作业小时生产率：0.3-1.2h㎡/h；</w:t>
            </w:r>
          </w:p>
          <w:p w14:paraId="1730BB08">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割台搅龙型式：螺旋推运式；</w:t>
            </w:r>
          </w:p>
          <w:p w14:paraId="073F9BEB">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拨禾轮型式：偏心弹齿式；</w:t>
            </w:r>
          </w:p>
          <w:p w14:paraId="520A95E0">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拨禾轮直径：</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Φ1000mm；</w:t>
            </w:r>
          </w:p>
          <w:p w14:paraId="06FC76D2">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脱粒机构布置方式：纵向；</w:t>
            </w:r>
          </w:p>
          <w:p w14:paraId="3DFF04B6">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主脱粒滚筒型式：纵轴流齿杆式；</w:t>
            </w:r>
          </w:p>
          <w:p w14:paraId="4B65EA6E">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主脱粒滚筒外形尺寸(外径×长度)：</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φ610×26</w:t>
            </w:r>
            <w:r>
              <w:rPr>
                <w:rFonts w:hint="eastAsia" w:ascii="仿宋_GB2312" w:hAnsi="仿宋_GB2312" w:eastAsia="仿宋_GB2312" w:cs="仿宋_GB2312"/>
                <w:b w:val="0"/>
                <w:bCs/>
                <w:kern w:val="0"/>
                <w:sz w:val="24"/>
                <w:szCs w:val="24"/>
                <w:lang w:val="en-US" w:eastAsia="zh-CN"/>
              </w:rPr>
              <w:t>86</w:t>
            </w:r>
            <w:r>
              <w:rPr>
                <w:rFonts w:hint="default" w:ascii="仿宋_GB2312" w:hAnsi="仿宋_GB2312" w:eastAsia="仿宋_GB2312" w:cs="仿宋_GB2312"/>
                <w:b w:val="0"/>
                <w:bCs/>
                <w:kern w:val="0"/>
                <w:sz w:val="24"/>
                <w:szCs w:val="24"/>
                <w:lang w:val="en-US" w:eastAsia="zh-CN"/>
              </w:rPr>
              <w:t>mm；</w:t>
            </w:r>
          </w:p>
          <w:p w14:paraId="630FB996">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凹板筛型式：栅格式；</w:t>
            </w:r>
          </w:p>
          <w:p w14:paraId="3668EFC8">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复脱方式：杂余回滚筒式；</w:t>
            </w:r>
          </w:p>
          <w:p w14:paraId="2C36B1F0">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风扇型式：离心式；</w:t>
            </w:r>
          </w:p>
          <w:p w14:paraId="69934E3B">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风扇直径：</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Φ4</w:t>
            </w:r>
            <w:r>
              <w:rPr>
                <w:rFonts w:hint="eastAsia" w:ascii="仿宋_GB2312" w:hAnsi="仿宋_GB2312" w:eastAsia="仿宋_GB2312" w:cs="仿宋_GB2312"/>
                <w:b w:val="0"/>
                <w:bCs/>
                <w:kern w:val="0"/>
                <w:sz w:val="24"/>
                <w:szCs w:val="24"/>
                <w:lang w:val="en-US" w:eastAsia="zh-CN"/>
              </w:rPr>
              <w:t>49</w:t>
            </w:r>
            <w:r>
              <w:rPr>
                <w:rFonts w:hint="default" w:ascii="仿宋_GB2312" w:hAnsi="仿宋_GB2312" w:eastAsia="仿宋_GB2312" w:cs="仿宋_GB2312"/>
                <w:b w:val="0"/>
                <w:bCs/>
                <w:kern w:val="0"/>
                <w:sz w:val="24"/>
                <w:szCs w:val="24"/>
                <w:lang w:val="en-US" w:eastAsia="zh-CN"/>
              </w:rPr>
              <w:t>mm；</w:t>
            </w:r>
          </w:p>
          <w:p w14:paraId="16B2B223">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变速机构型式：机械变速箱+静液压无级变速；</w:t>
            </w:r>
          </w:p>
          <w:p w14:paraId="46BDF88F">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导向轮：</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10.0/75-15.3/驱动轮：</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15-24；</w:t>
            </w:r>
          </w:p>
          <w:p w14:paraId="276CF034">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导向轮轮距：</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1850mm；</w:t>
            </w:r>
          </w:p>
          <w:p w14:paraId="35E8ACA8">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驱动轮轮距：</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1900mm；</w:t>
            </w:r>
          </w:p>
          <w:p w14:paraId="09DDC23D">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轴距：</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kern w:val="0"/>
                <w:sz w:val="24"/>
                <w:szCs w:val="24"/>
                <w:lang w:val="en-US" w:eastAsia="zh-CN"/>
              </w:rPr>
              <w:t>2720mm；</w:t>
            </w:r>
          </w:p>
          <w:p w14:paraId="1D8BFD24">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卸粮方式：机械自动卸粮。</w:t>
            </w:r>
          </w:p>
          <w:p w14:paraId="370CC602">
            <w:pPr>
              <w:keepNext w:val="0"/>
              <w:keepLines w:val="0"/>
              <w:pageBreakBefore w:val="0"/>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bidi="ar-SA"/>
              </w:rPr>
            </w:pPr>
            <w:r>
              <w:rPr>
                <w:rFonts w:hint="default" w:ascii="仿宋_GB2312" w:hAnsi="仿宋_GB2312" w:eastAsia="仿宋_GB2312" w:cs="仿宋_GB2312"/>
                <w:b w:val="0"/>
                <w:bCs/>
                <w:kern w:val="0"/>
                <w:sz w:val="24"/>
                <w:szCs w:val="24"/>
                <w:lang w:val="en-US" w:eastAsia="zh-CN"/>
              </w:rPr>
              <w:t>须</w:t>
            </w:r>
            <w:r>
              <w:rPr>
                <w:rFonts w:hint="default" w:ascii="仿宋_GB2312" w:hAnsi="仿宋_GB2312" w:eastAsia="仿宋_GB2312" w:cs="仿宋_GB2312"/>
                <w:b w:val="0"/>
                <w:bCs/>
                <w:kern w:val="0"/>
                <w:sz w:val="24"/>
                <w:szCs w:val="24"/>
                <w:highlight w:val="none"/>
                <w:lang w:val="en-US" w:eastAsia="zh-CN"/>
              </w:rPr>
              <w:t>提供检验报告或推广鉴定报告。</w:t>
            </w:r>
          </w:p>
        </w:tc>
        <w:tc>
          <w:tcPr>
            <w:tcW w:w="742" w:type="dxa"/>
            <w:tcBorders>
              <w:top w:val="single" w:color="auto" w:sz="4" w:space="0"/>
              <w:left w:val="nil"/>
              <w:bottom w:val="single" w:color="auto" w:sz="4" w:space="0"/>
              <w:right w:val="single" w:color="auto" w:sz="4" w:space="0"/>
            </w:tcBorders>
            <w:shd w:val="clear" w:color="auto" w:fill="auto"/>
            <w:noWrap w:val="0"/>
            <w:vAlign w:val="center"/>
          </w:tcPr>
          <w:p w14:paraId="2788CA0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i w:val="0"/>
                <w:iCs w:val="0"/>
                <w:color w:val="000000"/>
                <w:kern w:val="0"/>
                <w:sz w:val="24"/>
                <w:szCs w:val="24"/>
                <w:u w:val="none"/>
                <w:lang w:val="en-US" w:eastAsia="zh-CN" w:bidi="ar-SA"/>
              </w:rPr>
            </w:pPr>
            <w:r>
              <w:rPr>
                <w:rFonts w:hint="eastAsia" w:ascii="仿宋_GB2312" w:hAnsi="仿宋_GB2312" w:eastAsia="仿宋_GB2312" w:cs="仿宋_GB2312"/>
                <w:b w:val="0"/>
                <w:bCs/>
                <w:i w:val="0"/>
                <w:iCs w:val="0"/>
                <w:color w:val="000000"/>
                <w:kern w:val="0"/>
                <w:sz w:val="24"/>
                <w:szCs w:val="24"/>
                <w:u w:val="none"/>
                <w:lang w:val="en-US" w:eastAsia="zh-CN"/>
              </w:rPr>
              <w:t>1</w:t>
            </w:r>
          </w:p>
        </w:tc>
        <w:tc>
          <w:tcPr>
            <w:tcW w:w="704" w:type="dxa"/>
            <w:tcBorders>
              <w:top w:val="single" w:color="auto" w:sz="4" w:space="0"/>
              <w:left w:val="nil"/>
              <w:bottom w:val="single" w:color="auto" w:sz="4" w:space="0"/>
              <w:right w:val="single" w:color="auto" w:sz="4" w:space="0"/>
            </w:tcBorders>
            <w:shd w:val="clear" w:color="auto" w:fill="auto"/>
            <w:noWrap w:val="0"/>
            <w:vAlign w:val="center"/>
          </w:tcPr>
          <w:p w14:paraId="6FE29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iCs w:val="0"/>
                <w:color w:val="000000"/>
                <w:kern w:val="2"/>
                <w:sz w:val="24"/>
                <w:szCs w:val="24"/>
                <w:u w:val="none"/>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台</w:t>
            </w:r>
          </w:p>
        </w:tc>
      </w:tr>
      <w:tr w14:paraId="61A05522">
        <w:tblPrEx>
          <w:tblCellMar>
            <w:top w:w="0" w:type="dxa"/>
            <w:left w:w="108" w:type="dxa"/>
            <w:bottom w:w="0" w:type="dxa"/>
            <w:right w:w="108" w:type="dxa"/>
          </w:tblCellMar>
        </w:tblPrEx>
        <w:trPr>
          <w:trHeight w:val="6013"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14:paraId="587262E9">
            <w:pPr>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w:t>
            </w:r>
          </w:p>
        </w:tc>
        <w:tc>
          <w:tcPr>
            <w:tcW w:w="885" w:type="dxa"/>
            <w:tcBorders>
              <w:top w:val="single" w:color="auto" w:sz="4" w:space="0"/>
              <w:left w:val="single" w:color="auto" w:sz="4" w:space="0"/>
              <w:bottom w:val="single" w:color="auto" w:sz="4" w:space="0"/>
              <w:right w:val="single" w:color="auto" w:sz="4" w:space="0"/>
            </w:tcBorders>
            <w:noWrap/>
            <w:vAlign w:val="center"/>
          </w:tcPr>
          <w:p w14:paraId="72A0C691">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color w:val="000000"/>
                <w:sz w:val="24"/>
                <w:szCs w:val="24"/>
                <w:lang w:eastAsia="zh-CN"/>
              </w:rPr>
              <w:t>拖拉机</w:t>
            </w:r>
          </w:p>
        </w:tc>
        <w:tc>
          <w:tcPr>
            <w:tcW w:w="6452" w:type="dxa"/>
            <w:tcBorders>
              <w:top w:val="single" w:color="auto" w:sz="4" w:space="0"/>
              <w:left w:val="nil"/>
              <w:bottom w:val="single" w:color="auto" w:sz="4" w:space="0"/>
              <w:right w:val="single" w:color="auto" w:sz="4" w:space="0"/>
            </w:tcBorders>
            <w:noWrap w:val="0"/>
            <w:vAlign w:val="center"/>
          </w:tcPr>
          <w:p w14:paraId="1408C16F">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外廓尺寸（长*宽*高）：</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3900*16</w:t>
            </w:r>
            <w:r>
              <w:rPr>
                <w:rFonts w:hint="eastAsia" w:ascii="仿宋_GB2312" w:hAnsi="仿宋_GB2312" w:eastAsia="仿宋_GB2312" w:cs="仿宋_GB2312"/>
                <w:b w:val="0"/>
                <w:bCs/>
                <w:i w:val="0"/>
                <w:iCs w:val="0"/>
                <w:color w:val="000000"/>
                <w:kern w:val="2"/>
                <w:sz w:val="24"/>
                <w:szCs w:val="24"/>
                <w:u w:val="none"/>
                <w:lang w:val="en-US" w:eastAsia="zh-CN" w:bidi="ar-SA"/>
              </w:rPr>
              <w:t>47</w:t>
            </w:r>
            <w:r>
              <w:rPr>
                <w:rFonts w:hint="default" w:ascii="仿宋_GB2312" w:hAnsi="仿宋_GB2312" w:eastAsia="仿宋_GB2312" w:cs="仿宋_GB2312"/>
                <w:b w:val="0"/>
                <w:bCs/>
                <w:i w:val="0"/>
                <w:iCs w:val="0"/>
                <w:color w:val="000000"/>
                <w:kern w:val="2"/>
                <w:sz w:val="24"/>
                <w:szCs w:val="24"/>
                <w:u w:val="none"/>
                <w:lang w:val="en-US" w:eastAsia="zh-CN" w:bidi="ar-SA"/>
              </w:rPr>
              <w:t>*24</w:t>
            </w:r>
            <w:r>
              <w:rPr>
                <w:rFonts w:hint="eastAsia" w:ascii="仿宋_GB2312" w:hAnsi="仿宋_GB2312" w:eastAsia="仿宋_GB2312" w:cs="仿宋_GB2312"/>
                <w:b w:val="0"/>
                <w:bCs/>
                <w:i w:val="0"/>
                <w:iCs w:val="0"/>
                <w:color w:val="000000"/>
                <w:kern w:val="2"/>
                <w:sz w:val="24"/>
                <w:szCs w:val="24"/>
                <w:u w:val="none"/>
                <w:lang w:val="en-US" w:eastAsia="zh-CN" w:bidi="ar-SA"/>
              </w:rPr>
              <w:t>45</w:t>
            </w:r>
            <w:r>
              <w:rPr>
                <w:rFonts w:hint="default" w:ascii="仿宋_GB2312" w:hAnsi="仿宋_GB2312" w:eastAsia="仿宋_GB2312" w:cs="仿宋_GB2312"/>
                <w:b w:val="0"/>
                <w:bCs/>
                <w:i w:val="0"/>
                <w:iCs w:val="0"/>
                <w:color w:val="000000"/>
                <w:kern w:val="2"/>
                <w:sz w:val="24"/>
                <w:szCs w:val="24"/>
                <w:u w:val="none"/>
                <w:lang w:val="en-US" w:eastAsia="zh-CN" w:bidi="ar-SA"/>
              </w:rPr>
              <w:t>mm；</w:t>
            </w:r>
          </w:p>
          <w:p w14:paraId="3C170985">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轴距：19</w:t>
            </w:r>
            <w:r>
              <w:rPr>
                <w:rFonts w:hint="eastAsia" w:ascii="仿宋_GB2312" w:hAnsi="仿宋_GB2312" w:eastAsia="仿宋_GB2312" w:cs="仿宋_GB2312"/>
                <w:b w:val="0"/>
                <w:bCs/>
                <w:i w:val="0"/>
                <w:iCs w:val="0"/>
                <w:color w:val="000000"/>
                <w:kern w:val="2"/>
                <w:sz w:val="24"/>
                <w:szCs w:val="24"/>
                <w:u w:val="none"/>
                <w:lang w:val="en-US" w:eastAsia="zh-CN" w:bidi="ar-SA"/>
              </w:rPr>
              <w:t>15</w:t>
            </w:r>
            <w:r>
              <w:rPr>
                <w:rFonts w:hint="default" w:ascii="仿宋_GB2312" w:hAnsi="仿宋_GB2312" w:eastAsia="仿宋_GB2312" w:cs="仿宋_GB2312"/>
                <w:b w:val="0"/>
                <w:bCs/>
                <w:i w:val="0"/>
                <w:iCs w:val="0"/>
                <w:color w:val="000000"/>
                <w:kern w:val="2"/>
                <w:sz w:val="24"/>
                <w:szCs w:val="24"/>
                <w:u w:val="none"/>
                <w:lang w:val="en-US" w:eastAsia="zh-CN" w:bidi="ar-SA"/>
              </w:rPr>
              <w:t>mm；</w:t>
            </w:r>
          </w:p>
          <w:p w14:paraId="5B37DB48">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常用</w:t>
            </w:r>
            <w:r>
              <w:rPr>
                <w:rFonts w:hint="default" w:ascii="仿宋_GB2312" w:hAnsi="仿宋_GB2312" w:eastAsia="仿宋_GB2312" w:cs="仿宋_GB2312"/>
                <w:b w:val="0"/>
                <w:bCs/>
                <w:i w:val="0"/>
                <w:iCs w:val="0"/>
                <w:color w:val="000000"/>
                <w:kern w:val="2"/>
                <w:sz w:val="24"/>
                <w:szCs w:val="24"/>
                <w:u w:val="none"/>
                <w:lang w:val="en-US" w:eastAsia="zh-CN" w:bidi="ar-SA"/>
              </w:rPr>
              <w:t>轮距（前轮/后轮）：</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1</w:t>
            </w:r>
            <w:r>
              <w:rPr>
                <w:rFonts w:hint="eastAsia" w:ascii="仿宋_GB2312" w:hAnsi="仿宋_GB2312" w:eastAsia="仿宋_GB2312" w:cs="仿宋_GB2312"/>
                <w:b w:val="0"/>
                <w:bCs/>
                <w:i w:val="0"/>
                <w:iCs w:val="0"/>
                <w:color w:val="000000"/>
                <w:kern w:val="2"/>
                <w:sz w:val="24"/>
                <w:szCs w:val="24"/>
                <w:u w:val="none"/>
                <w:lang w:val="en-US" w:eastAsia="zh-CN" w:bidi="ar-SA"/>
              </w:rPr>
              <w:t>24</w:t>
            </w:r>
            <w:r>
              <w:rPr>
                <w:rFonts w:hint="default" w:ascii="仿宋_GB2312" w:hAnsi="仿宋_GB2312" w:eastAsia="仿宋_GB2312" w:cs="仿宋_GB2312"/>
                <w:b w:val="0"/>
                <w:bCs/>
                <w:i w:val="0"/>
                <w:iCs w:val="0"/>
                <w:color w:val="000000"/>
                <w:kern w:val="2"/>
                <w:sz w:val="24"/>
                <w:szCs w:val="24"/>
                <w:u w:val="none"/>
                <w:lang w:val="en-US" w:eastAsia="zh-CN" w:bidi="ar-SA"/>
              </w:rPr>
              <w:t>0/1300mm；</w:t>
            </w:r>
          </w:p>
          <w:p w14:paraId="33379795">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最小离地间隙：</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420mm；</w:t>
            </w:r>
          </w:p>
          <w:p w14:paraId="0375A783">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最小使用比质量</w:t>
            </w:r>
            <w:r>
              <w:rPr>
                <w:rFonts w:hint="eastAsia" w:ascii="仿宋_GB2312" w:hAnsi="仿宋_GB2312" w:eastAsia="仿宋_GB2312" w:cs="仿宋_GB2312"/>
                <w:b w:val="0"/>
                <w:bCs/>
                <w:i w:val="0"/>
                <w:iCs w:val="0"/>
                <w:color w:val="000000"/>
                <w:kern w:val="2"/>
                <w:sz w:val="24"/>
                <w:szCs w:val="24"/>
                <w:u w:val="none"/>
                <w:lang w:val="en-US" w:eastAsia="zh-CN" w:bidi="ar-SA"/>
              </w:rPr>
              <w:t>：</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i w:val="0"/>
                <w:iCs w:val="0"/>
                <w:color w:val="000000"/>
                <w:kern w:val="2"/>
                <w:sz w:val="24"/>
                <w:szCs w:val="24"/>
                <w:u w:val="none"/>
                <w:lang w:val="en-US" w:eastAsia="zh-CN" w:bidi="ar-SA"/>
              </w:rPr>
              <w:t>48.54</w:t>
            </w:r>
            <w:r>
              <w:rPr>
                <w:rFonts w:hint="default" w:ascii="仿宋_GB2312" w:hAnsi="仿宋_GB2312" w:eastAsia="仿宋_GB2312" w:cs="仿宋_GB2312"/>
                <w:b w:val="0"/>
                <w:bCs/>
                <w:i w:val="0"/>
                <w:iCs w:val="0"/>
                <w:color w:val="000000"/>
                <w:kern w:val="2"/>
                <w:sz w:val="24"/>
                <w:szCs w:val="24"/>
                <w:u w:val="none"/>
                <w:lang w:val="en-US" w:eastAsia="zh-CN" w:bidi="ar-SA"/>
              </w:rPr>
              <w:t>kg/kW</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0891E083">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发动机结构型式</w:t>
            </w:r>
            <w:r>
              <w:rPr>
                <w:rFonts w:hint="eastAsia" w:ascii="仿宋_GB2312" w:hAnsi="仿宋_GB2312" w:eastAsia="仿宋_GB2312" w:cs="仿宋_GB2312"/>
                <w:b w:val="0"/>
                <w:bCs/>
                <w:i w:val="0"/>
                <w:iCs w:val="0"/>
                <w:color w:val="000000"/>
                <w:kern w:val="2"/>
                <w:sz w:val="24"/>
                <w:szCs w:val="24"/>
                <w:u w:val="none"/>
                <w:lang w:val="en-US" w:eastAsia="zh-CN" w:bidi="ar-SA"/>
              </w:rPr>
              <w:t>：</w:t>
            </w:r>
            <w:r>
              <w:rPr>
                <w:rFonts w:hint="default" w:ascii="仿宋_GB2312" w:hAnsi="仿宋_GB2312" w:eastAsia="仿宋_GB2312" w:cs="仿宋_GB2312"/>
                <w:b w:val="0"/>
                <w:bCs/>
                <w:i w:val="0"/>
                <w:iCs w:val="0"/>
                <w:color w:val="000000"/>
                <w:kern w:val="2"/>
                <w:sz w:val="24"/>
                <w:szCs w:val="24"/>
                <w:u w:val="none"/>
                <w:lang w:val="en-US" w:eastAsia="zh-CN" w:bidi="ar-SA"/>
              </w:rPr>
              <w:t>立式、直列、四冲程</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31EE0BFE">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发动机进气方式：</w:t>
            </w:r>
            <w:r>
              <w:rPr>
                <w:rFonts w:hint="default" w:ascii="仿宋_GB2312" w:hAnsi="仿宋_GB2312" w:eastAsia="仿宋_GB2312" w:cs="仿宋_GB2312"/>
                <w:b w:val="0"/>
                <w:bCs/>
                <w:i w:val="0"/>
                <w:iCs w:val="0"/>
                <w:color w:val="000000"/>
                <w:kern w:val="2"/>
                <w:sz w:val="24"/>
                <w:szCs w:val="24"/>
                <w:u w:val="none"/>
                <w:lang w:val="en-US" w:eastAsia="zh-CN" w:bidi="ar-SA"/>
              </w:rPr>
              <w:t>增压发动机</w:t>
            </w:r>
            <w:r>
              <w:rPr>
                <w:rFonts w:hint="eastAsia" w:ascii="仿宋_GB2312" w:hAnsi="仿宋_GB2312" w:eastAsia="仿宋_GB2312" w:cs="仿宋_GB2312"/>
                <w:b w:val="0"/>
                <w:bCs/>
                <w:i w:val="0"/>
                <w:iCs w:val="0"/>
                <w:color w:val="000000"/>
                <w:kern w:val="2"/>
                <w:sz w:val="24"/>
                <w:szCs w:val="24"/>
                <w:u w:val="none"/>
                <w:lang w:val="en-US" w:eastAsia="zh-CN" w:bidi="ar-SA"/>
              </w:rPr>
              <w:t>；</w:t>
            </w:r>
          </w:p>
          <w:p w14:paraId="1141CEA1">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发动机气缸数：</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i w:val="0"/>
                <w:iCs w:val="0"/>
                <w:color w:val="000000"/>
                <w:kern w:val="2"/>
                <w:sz w:val="24"/>
                <w:szCs w:val="24"/>
                <w:u w:val="none"/>
                <w:lang w:val="en-US" w:eastAsia="zh-CN" w:bidi="ar-SA"/>
              </w:rPr>
              <w:t>4</w:t>
            </w:r>
            <w:r>
              <w:rPr>
                <w:rFonts w:hint="default" w:ascii="仿宋_GB2312" w:hAnsi="仿宋_GB2312" w:eastAsia="仿宋_GB2312" w:cs="仿宋_GB2312"/>
                <w:b w:val="0"/>
                <w:bCs/>
                <w:i w:val="0"/>
                <w:iCs w:val="0"/>
                <w:color w:val="000000"/>
                <w:kern w:val="2"/>
                <w:sz w:val="24"/>
                <w:szCs w:val="24"/>
                <w:u w:val="none"/>
                <w:lang w:val="en-US" w:eastAsia="zh-CN" w:bidi="ar-SA"/>
              </w:rPr>
              <w:t>；</w:t>
            </w:r>
          </w:p>
          <w:p w14:paraId="4A51C4A2">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发动机</w:t>
            </w:r>
            <w:r>
              <w:rPr>
                <w:rFonts w:hint="default" w:ascii="仿宋_GB2312" w:hAnsi="仿宋_GB2312" w:eastAsia="仿宋_GB2312" w:cs="仿宋_GB2312"/>
                <w:b w:val="0"/>
                <w:bCs/>
                <w:i w:val="0"/>
                <w:iCs w:val="0"/>
                <w:color w:val="000000"/>
                <w:kern w:val="2"/>
                <w:sz w:val="24"/>
                <w:szCs w:val="24"/>
                <w:u w:val="none"/>
                <w:lang w:val="en-US" w:eastAsia="zh-CN" w:bidi="ar-SA"/>
              </w:rPr>
              <w:t>标定功率：</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51.5kW；</w:t>
            </w:r>
          </w:p>
          <w:p w14:paraId="10215D9D">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发动机</w:t>
            </w:r>
            <w:r>
              <w:rPr>
                <w:rFonts w:hint="default" w:ascii="仿宋_GB2312" w:hAnsi="仿宋_GB2312" w:eastAsia="仿宋_GB2312" w:cs="仿宋_GB2312"/>
                <w:b w:val="0"/>
                <w:bCs/>
                <w:i w:val="0"/>
                <w:iCs w:val="0"/>
                <w:color w:val="000000"/>
                <w:kern w:val="2"/>
                <w:sz w:val="24"/>
                <w:szCs w:val="24"/>
                <w:u w:val="none"/>
                <w:lang w:val="en-US" w:eastAsia="zh-CN" w:bidi="ar-SA"/>
              </w:rPr>
              <w:t>标定转速：</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2400r/min；</w:t>
            </w:r>
          </w:p>
          <w:p w14:paraId="3E2743D2">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轮胎规格（前轮/后轮）：</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8.3-24/12.4-3</w:t>
            </w:r>
            <w:r>
              <w:rPr>
                <w:rFonts w:hint="eastAsia" w:ascii="仿宋_GB2312" w:hAnsi="仿宋_GB2312" w:eastAsia="仿宋_GB2312" w:cs="仿宋_GB2312"/>
                <w:b w:val="0"/>
                <w:bCs/>
                <w:i w:val="0"/>
                <w:iCs w:val="0"/>
                <w:color w:val="000000"/>
                <w:kern w:val="2"/>
                <w:sz w:val="24"/>
                <w:szCs w:val="24"/>
                <w:u w:val="none"/>
                <w:lang w:val="en-US" w:eastAsia="zh-CN" w:bidi="ar-SA"/>
              </w:rPr>
              <w:t>0</w:t>
            </w:r>
            <w:r>
              <w:rPr>
                <w:rFonts w:hint="default" w:ascii="仿宋_GB2312" w:hAnsi="仿宋_GB2312" w:eastAsia="仿宋_GB2312" w:cs="仿宋_GB2312"/>
                <w:b w:val="0"/>
                <w:bCs/>
                <w:i w:val="0"/>
                <w:iCs w:val="0"/>
                <w:color w:val="000000"/>
                <w:kern w:val="2"/>
                <w:sz w:val="24"/>
                <w:szCs w:val="24"/>
                <w:u w:val="none"/>
                <w:lang w:val="en-US" w:eastAsia="zh-CN" w:bidi="ar-SA"/>
              </w:rPr>
              <w:t>；</w:t>
            </w:r>
          </w:p>
          <w:p w14:paraId="21A8F423">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最小使用质量：</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2500kg；</w:t>
            </w:r>
          </w:p>
          <w:p w14:paraId="31739148">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档位数（前进/倒退）：</w:t>
            </w:r>
            <w:r>
              <w:rPr>
                <w:rFonts w:hint="eastAsia" w:ascii="仿宋_GB2312" w:hAnsi="仿宋_GB2312" w:eastAsia="仿宋_GB2312" w:cs="仿宋_GB2312"/>
                <w:b w:val="0"/>
                <w:bCs/>
                <w:kern w:val="0"/>
                <w:sz w:val="24"/>
                <w:szCs w:val="24"/>
                <w:lang w:val="en-US" w:eastAsia="zh-CN"/>
              </w:rPr>
              <w:t>≥</w:t>
            </w:r>
            <w:r>
              <w:rPr>
                <w:rFonts w:hint="default" w:ascii="仿宋_GB2312" w:hAnsi="仿宋_GB2312" w:eastAsia="仿宋_GB2312" w:cs="仿宋_GB2312"/>
                <w:b w:val="0"/>
                <w:bCs/>
                <w:i w:val="0"/>
                <w:iCs w:val="0"/>
                <w:color w:val="000000"/>
                <w:kern w:val="2"/>
                <w:sz w:val="24"/>
                <w:szCs w:val="24"/>
                <w:u w:val="none"/>
                <w:lang w:val="en-US" w:eastAsia="zh-CN" w:bidi="ar-SA"/>
              </w:rPr>
              <w:t>12/12；</w:t>
            </w:r>
          </w:p>
          <w:p w14:paraId="66596E83">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i w:val="0"/>
                <w:iCs w:val="0"/>
                <w:color w:val="000000"/>
                <w:kern w:val="2"/>
                <w:sz w:val="24"/>
                <w:szCs w:val="24"/>
                <w:u w:val="none"/>
                <w:lang w:val="en-US" w:eastAsia="zh-CN" w:bidi="ar-SA"/>
              </w:rPr>
            </w:pPr>
            <w:r>
              <w:rPr>
                <w:rFonts w:hint="default" w:ascii="仿宋_GB2312" w:hAnsi="仿宋_GB2312" w:eastAsia="仿宋_GB2312" w:cs="仿宋_GB2312"/>
                <w:b w:val="0"/>
                <w:bCs/>
                <w:i w:val="0"/>
                <w:iCs w:val="0"/>
                <w:color w:val="000000"/>
                <w:kern w:val="2"/>
                <w:sz w:val="24"/>
                <w:szCs w:val="24"/>
                <w:u w:val="none"/>
                <w:lang w:val="en-US" w:eastAsia="zh-CN" w:bidi="ar-SA"/>
              </w:rPr>
              <w:t>驾驶室。</w:t>
            </w:r>
          </w:p>
          <w:p w14:paraId="5B7D21EC">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kern w:val="0"/>
                <w:sz w:val="24"/>
                <w:szCs w:val="24"/>
                <w:lang w:val="en-US" w:eastAsia="zh-CN"/>
              </w:rPr>
            </w:pPr>
            <w:r>
              <w:rPr>
                <w:rFonts w:hint="default" w:ascii="仿宋_GB2312" w:hAnsi="仿宋_GB2312" w:eastAsia="仿宋_GB2312" w:cs="仿宋_GB2312"/>
                <w:b w:val="0"/>
                <w:bCs/>
                <w:kern w:val="0"/>
                <w:sz w:val="24"/>
                <w:szCs w:val="24"/>
                <w:lang w:val="en-US" w:eastAsia="zh-CN"/>
              </w:rPr>
              <w:t>须提供检验报告。</w:t>
            </w:r>
          </w:p>
        </w:tc>
        <w:tc>
          <w:tcPr>
            <w:tcW w:w="742" w:type="dxa"/>
            <w:tcBorders>
              <w:top w:val="single" w:color="auto" w:sz="4" w:space="0"/>
              <w:bottom w:val="single" w:color="auto" w:sz="4" w:space="0"/>
              <w:right w:val="single" w:color="auto" w:sz="4" w:space="0"/>
            </w:tcBorders>
            <w:noWrap w:val="0"/>
            <w:vAlign w:val="center"/>
          </w:tcPr>
          <w:p w14:paraId="36F702B1">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i w:val="0"/>
                <w:iCs w:val="0"/>
                <w:color w:val="000000"/>
                <w:kern w:val="0"/>
                <w:sz w:val="24"/>
                <w:szCs w:val="24"/>
                <w:u w:val="none"/>
                <w:lang w:val="en-US" w:eastAsia="zh-CN"/>
              </w:rPr>
            </w:pPr>
            <w:r>
              <w:rPr>
                <w:rFonts w:hint="eastAsia" w:ascii="仿宋_GB2312" w:hAnsi="仿宋_GB2312" w:eastAsia="仿宋_GB2312" w:cs="仿宋_GB2312"/>
                <w:b w:val="0"/>
                <w:bCs/>
                <w:color w:val="000000"/>
                <w:sz w:val="24"/>
                <w:szCs w:val="24"/>
                <w:lang w:val="en-US" w:eastAsia="zh-CN"/>
              </w:rPr>
              <w:t>1</w:t>
            </w:r>
          </w:p>
        </w:tc>
        <w:tc>
          <w:tcPr>
            <w:tcW w:w="704" w:type="dxa"/>
            <w:tcBorders>
              <w:top w:val="single" w:color="auto" w:sz="4" w:space="0"/>
              <w:bottom w:val="single" w:color="auto" w:sz="4" w:space="0"/>
              <w:right w:val="single" w:color="auto" w:sz="4" w:space="0"/>
            </w:tcBorders>
            <w:noWrap w:val="0"/>
            <w:vAlign w:val="center"/>
          </w:tcPr>
          <w:p w14:paraId="46092E84">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i w:val="0"/>
                <w:iCs w:val="0"/>
                <w:color w:val="000000"/>
                <w:kern w:val="2"/>
                <w:sz w:val="24"/>
                <w:szCs w:val="24"/>
                <w:u w:val="none"/>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台</w:t>
            </w:r>
          </w:p>
        </w:tc>
      </w:tr>
      <w:tr w14:paraId="61A5178B">
        <w:tblPrEx>
          <w:tblCellMar>
            <w:top w:w="0" w:type="dxa"/>
            <w:left w:w="108" w:type="dxa"/>
            <w:bottom w:w="0" w:type="dxa"/>
            <w:right w:w="108" w:type="dxa"/>
          </w:tblCellMar>
        </w:tblPrEx>
        <w:trPr>
          <w:trHeight w:val="1861"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9981E">
            <w:pPr>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5</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4A74B">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旋耕机</w:t>
            </w:r>
          </w:p>
        </w:tc>
        <w:tc>
          <w:tcPr>
            <w:tcW w:w="6452" w:type="dxa"/>
            <w:tcBorders>
              <w:top w:val="single" w:color="auto" w:sz="4" w:space="0"/>
              <w:left w:val="nil"/>
              <w:bottom w:val="single" w:color="auto" w:sz="4" w:space="0"/>
              <w:right w:val="single" w:color="auto" w:sz="4" w:space="0"/>
            </w:tcBorders>
            <w:shd w:val="clear" w:color="auto" w:fill="auto"/>
            <w:noWrap w:val="0"/>
            <w:vAlign w:val="center"/>
          </w:tcPr>
          <w:p w14:paraId="5E463115">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结构型式：框架型；</w:t>
            </w:r>
          </w:p>
          <w:p w14:paraId="5FD16B73">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外形尺寸（长×宽×高）：</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1050×2070×1090mm；</w:t>
            </w:r>
          </w:p>
          <w:p w14:paraId="7E49BCE8">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作业速度范围：0.28-0.83m/s；</w:t>
            </w:r>
          </w:p>
          <w:p w14:paraId="50E93765">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工作幅宽：</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180cm；</w:t>
            </w:r>
          </w:p>
          <w:p w14:paraId="1C115A0D">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耕深：12-16cm；</w:t>
            </w:r>
          </w:p>
          <w:p w14:paraId="2841386C">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刀轴型式：单轴型；</w:t>
            </w:r>
          </w:p>
          <w:p w14:paraId="1BBBC3EB">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刀轴连接型式：接盘式；</w:t>
            </w:r>
          </w:p>
          <w:p w14:paraId="40D7F07A">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传动型式：中间传动；</w:t>
            </w:r>
          </w:p>
          <w:p w14:paraId="2FC63FD6">
            <w:pPr>
              <w:keepNext w:val="0"/>
              <w:keepLines w:val="0"/>
              <w:pageBreakBefore w:val="0"/>
              <w:widowControl/>
              <w:kinsoku/>
              <w:wordWrap/>
              <w:overflowPunct/>
              <w:topLinePunct w:val="0"/>
              <w:autoSpaceDE/>
              <w:autoSpaceDN/>
              <w:bidi w:val="0"/>
              <w:adjustRightInd/>
              <w:snapToGrid/>
              <w:spacing w:line="400" w:lineRule="exact"/>
              <w:jc w:val="both"/>
              <w:rPr>
                <w:rFonts w:hint="default"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刀辊总安装刀数：</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50把；</w:t>
            </w:r>
          </w:p>
        </w:tc>
        <w:tc>
          <w:tcPr>
            <w:tcW w:w="742" w:type="dxa"/>
            <w:tcBorders>
              <w:top w:val="single" w:color="auto" w:sz="4" w:space="0"/>
              <w:bottom w:val="single" w:color="auto" w:sz="4" w:space="0"/>
              <w:right w:val="single" w:color="auto" w:sz="4" w:space="0"/>
            </w:tcBorders>
            <w:shd w:val="clear" w:color="auto" w:fill="auto"/>
            <w:noWrap w:val="0"/>
            <w:vAlign w:val="center"/>
          </w:tcPr>
          <w:p w14:paraId="3CCDECEC">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1</w:t>
            </w:r>
          </w:p>
        </w:tc>
        <w:tc>
          <w:tcPr>
            <w:tcW w:w="704" w:type="dxa"/>
            <w:tcBorders>
              <w:top w:val="single" w:color="auto" w:sz="4" w:space="0"/>
              <w:bottom w:val="single" w:color="auto" w:sz="4" w:space="0"/>
              <w:right w:val="single" w:color="auto" w:sz="4" w:space="0"/>
            </w:tcBorders>
            <w:shd w:val="clear" w:color="auto" w:fill="auto"/>
            <w:noWrap w:val="0"/>
            <w:vAlign w:val="center"/>
          </w:tcPr>
          <w:p w14:paraId="4C95B87A">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台</w:t>
            </w:r>
          </w:p>
        </w:tc>
      </w:tr>
      <w:tr w14:paraId="4FACC908">
        <w:tblPrEx>
          <w:tblCellMar>
            <w:top w:w="0" w:type="dxa"/>
            <w:left w:w="108" w:type="dxa"/>
            <w:bottom w:w="0" w:type="dxa"/>
            <w:right w:w="108" w:type="dxa"/>
          </w:tblCellMar>
        </w:tblPrEx>
        <w:trPr>
          <w:trHeight w:val="577" w:hRule="atLeast"/>
          <w:jc w:val="center"/>
        </w:trPr>
        <w:tc>
          <w:tcPr>
            <w:tcW w:w="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73CC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kern w:val="2"/>
                <w:sz w:val="24"/>
                <w:szCs w:val="24"/>
                <w:lang w:val="en-US" w:eastAsia="zh-CN" w:bidi="ar-SA"/>
              </w:rPr>
              <w:t>6</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39BCA">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铧（侧翻）</w:t>
            </w:r>
          </w:p>
        </w:tc>
        <w:tc>
          <w:tcPr>
            <w:tcW w:w="6452" w:type="dxa"/>
            <w:tcBorders>
              <w:top w:val="single" w:color="auto" w:sz="4" w:space="0"/>
              <w:left w:val="nil"/>
              <w:bottom w:val="single" w:color="auto" w:sz="4" w:space="0"/>
              <w:right w:val="single" w:color="auto" w:sz="4" w:space="0"/>
            </w:tcBorders>
            <w:shd w:val="clear" w:color="auto" w:fill="auto"/>
            <w:noWrap w:val="0"/>
            <w:vAlign w:val="center"/>
          </w:tcPr>
          <w:p w14:paraId="350F86BA">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外形尺寸（长×宽×高）：</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1750×1200×1150mm；</w:t>
            </w:r>
          </w:p>
          <w:p w14:paraId="4D23F4E3">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配套拖拉机标定功率：22-40kw；</w:t>
            </w:r>
          </w:p>
          <w:p w14:paraId="5CFCB9BA">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翻转机构型式：液压翻转犁；</w:t>
            </w:r>
          </w:p>
          <w:p w14:paraId="15EEAC0E">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犁体数量：</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6个；</w:t>
            </w:r>
          </w:p>
          <w:p w14:paraId="379E080D">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犁体幅宽：250-290mm；</w:t>
            </w:r>
          </w:p>
          <w:p w14:paraId="248CF4BA">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犁铧类型：梯形；</w:t>
            </w:r>
          </w:p>
          <w:p w14:paraId="33E34C6F">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总工作幅宽：750-870mm；</w:t>
            </w:r>
          </w:p>
          <w:p w14:paraId="20159A4A">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犁体纵向距离：</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475mm；</w:t>
            </w:r>
          </w:p>
        </w:tc>
        <w:tc>
          <w:tcPr>
            <w:tcW w:w="742" w:type="dxa"/>
            <w:tcBorders>
              <w:top w:val="single" w:color="auto" w:sz="4" w:space="0"/>
              <w:bottom w:val="single" w:color="auto" w:sz="4" w:space="0"/>
              <w:right w:val="single" w:color="auto" w:sz="4" w:space="0"/>
            </w:tcBorders>
            <w:shd w:val="clear" w:color="auto" w:fill="auto"/>
            <w:noWrap w:val="0"/>
            <w:vAlign w:val="center"/>
          </w:tcPr>
          <w:p w14:paraId="6441A6E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1</w:t>
            </w:r>
          </w:p>
        </w:tc>
        <w:tc>
          <w:tcPr>
            <w:tcW w:w="704" w:type="dxa"/>
            <w:tcBorders>
              <w:top w:val="single" w:color="auto" w:sz="4" w:space="0"/>
              <w:bottom w:val="single" w:color="auto" w:sz="4" w:space="0"/>
              <w:right w:val="single" w:color="auto" w:sz="4" w:space="0"/>
            </w:tcBorders>
            <w:shd w:val="clear" w:color="auto" w:fill="auto"/>
            <w:noWrap w:val="0"/>
            <w:vAlign w:val="center"/>
          </w:tcPr>
          <w:p w14:paraId="0D4CE27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i w:val="0"/>
                <w:iCs w:val="0"/>
                <w:color w:val="000000"/>
                <w:kern w:val="2"/>
                <w:sz w:val="24"/>
                <w:szCs w:val="24"/>
                <w:u w:val="none"/>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台</w:t>
            </w:r>
          </w:p>
        </w:tc>
      </w:tr>
      <w:tr w14:paraId="620C4E24">
        <w:tblPrEx>
          <w:tblCellMar>
            <w:top w:w="0" w:type="dxa"/>
            <w:left w:w="108" w:type="dxa"/>
            <w:bottom w:w="0" w:type="dxa"/>
            <w:right w:w="108" w:type="dxa"/>
          </w:tblCellMar>
        </w:tblPrEx>
        <w:trPr>
          <w:trHeight w:val="2231" w:hRule="atLeast"/>
          <w:jc w:val="center"/>
        </w:trPr>
        <w:tc>
          <w:tcPr>
            <w:tcW w:w="615" w:type="dxa"/>
            <w:tcBorders>
              <w:top w:val="single" w:color="auto" w:sz="4" w:space="0"/>
              <w:left w:val="single" w:color="auto" w:sz="4" w:space="0"/>
              <w:bottom w:val="single" w:color="auto" w:sz="4" w:space="0"/>
              <w:right w:val="single" w:color="auto" w:sz="4" w:space="0"/>
            </w:tcBorders>
            <w:noWrap/>
            <w:vAlign w:val="center"/>
          </w:tcPr>
          <w:p w14:paraId="18F01157">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7</w:t>
            </w:r>
          </w:p>
        </w:tc>
        <w:tc>
          <w:tcPr>
            <w:tcW w:w="885" w:type="dxa"/>
            <w:tcBorders>
              <w:top w:val="single" w:color="auto" w:sz="4" w:space="0"/>
              <w:left w:val="single" w:color="auto" w:sz="4" w:space="0"/>
              <w:bottom w:val="single" w:color="auto" w:sz="4" w:space="0"/>
              <w:right w:val="single" w:color="auto" w:sz="4" w:space="0"/>
            </w:tcBorders>
            <w:noWrap/>
            <w:vAlign w:val="center"/>
          </w:tcPr>
          <w:p w14:paraId="6C42D7EE">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三轮车</w:t>
            </w:r>
          </w:p>
        </w:tc>
        <w:tc>
          <w:tcPr>
            <w:tcW w:w="6452" w:type="dxa"/>
            <w:tcBorders>
              <w:top w:val="single" w:color="auto" w:sz="4" w:space="0"/>
              <w:left w:val="nil"/>
              <w:bottom w:val="single" w:color="auto" w:sz="4" w:space="0"/>
              <w:right w:val="single" w:color="auto" w:sz="4" w:space="0"/>
            </w:tcBorders>
            <w:noWrap w:val="0"/>
            <w:vAlign w:val="center"/>
          </w:tcPr>
          <w:p w14:paraId="550D8AC0">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驾驶室形式/乘员数：</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半封闭/2人；</w:t>
            </w:r>
          </w:p>
          <w:p w14:paraId="1E6FE29D">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货箱内部尺寸（mm）:</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长2380*宽1520*高490；</w:t>
            </w:r>
          </w:p>
          <w:p w14:paraId="29F85759">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外廓尺寸（mm）:</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长4230*宽1600*高1860；</w:t>
            </w:r>
          </w:p>
          <w:p w14:paraId="0D6B08F1">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发动机功率（kw)：</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18.38；</w:t>
            </w:r>
          </w:p>
          <w:p w14:paraId="047AC01B">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排量（ml）:</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1410；</w:t>
            </w:r>
          </w:p>
          <w:p w14:paraId="3548496E">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转向形式：转向盘；</w:t>
            </w:r>
          </w:p>
          <w:p w14:paraId="493592CD">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轮胎规格：</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前轮6.50-16、后轮：7.50-16；</w:t>
            </w:r>
          </w:p>
          <w:p w14:paraId="57BC7CC1">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总质量（kg)：</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1999；</w:t>
            </w:r>
          </w:p>
          <w:p w14:paraId="4EDA3526">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整备质量（kg)：</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1289；</w:t>
            </w:r>
          </w:p>
          <w:p w14:paraId="7E613E2D">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额定载质量(kg)：</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580；</w:t>
            </w:r>
          </w:p>
          <w:p w14:paraId="1257C1CE">
            <w:pPr>
              <w:keepNext w:val="0"/>
              <w:keepLines w:val="0"/>
              <w:pageBreakBefore w:val="0"/>
              <w:kinsoku/>
              <w:wordWrap/>
              <w:overflowPunct/>
              <w:topLinePunct w:val="0"/>
              <w:autoSpaceDE/>
              <w:autoSpaceDN/>
              <w:bidi w:val="0"/>
              <w:adjustRightInd/>
              <w:snapToGrid/>
              <w:spacing w:line="400" w:lineRule="exact"/>
              <w:jc w:val="both"/>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轴距：</w:t>
            </w:r>
            <w:r>
              <w:rPr>
                <w:rFonts w:hint="eastAsia" w:ascii="仿宋_GB2312" w:hAnsi="仿宋_GB2312" w:eastAsia="仿宋_GB2312" w:cs="仿宋_GB2312"/>
                <w:b w:val="0"/>
                <w:bCs/>
                <w:kern w:val="0"/>
                <w:sz w:val="24"/>
                <w:szCs w:val="24"/>
                <w:lang w:val="en-US" w:eastAsia="zh-CN"/>
              </w:rPr>
              <w:t>≥</w:t>
            </w:r>
            <w:r>
              <w:rPr>
                <w:rFonts w:hint="eastAsia" w:ascii="仿宋_GB2312" w:hAnsi="仿宋_GB2312" w:eastAsia="仿宋_GB2312" w:cs="仿宋_GB2312"/>
                <w:b w:val="0"/>
                <w:bCs/>
                <w:color w:val="000000"/>
                <w:kern w:val="2"/>
                <w:sz w:val="24"/>
                <w:szCs w:val="24"/>
                <w:lang w:val="en-US" w:eastAsia="zh-CN" w:bidi="ar-SA"/>
              </w:rPr>
              <w:t>2780mm；</w:t>
            </w:r>
          </w:p>
        </w:tc>
        <w:tc>
          <w:tcPr>
            <w:tcW w:w="742" w:type="dxa"/>
            <w:tcBorders>
              <w:top w:val="single" w:color="auto" w:sz="4" w:space="0"/>
              <w:bottom w:val="single" w:color="auto" w:sz="4" w:space="0"/>
              <w:right w:val="single" w:color="auto" w:sz="4" w:space="0"/>
            </w:tcBorders>
            <w:noWrap w:val="0"/>
            <w:vAlign w:val="center"/>
          </w:tcPr>
          <w:p w14:paraId="31644BD8">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kern w:val="2"/>
                <w:sz w:val="24"/>
                <w:szCs w:val="24"/>
                <w:lang w:val="en-US" w:eastAsia="zh-CN" w:bidi="ar-SA"/>
              </w:rPr>
              <w:t>1</w:t>
            </w:r>
          </w:p>
        </w:tc>
        <w:tc>
          <w:tcPr>
            <w:tcW w:w="704" w:type="dxa"/>
            <w:tcBorders>
              <w:top w:val="single" w:color="auto" w:sz="4" w:space="0"/>
              <w:bottom w:val="single" w:color="auto" w:sz="4" w:space="0"/>
              <w:right w:val="single" w:color="auto" w:sz="4" w:space="0"/>
            </w:tcBorders>
            <w:noWrap w:val="0"/>
            <w:vAlign w:val="center"/>
          </w:tcPr>
          <w:p w14:paraId="17E2F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i w:val="0"/>
                <w:iCs w:val="0"/>
                <w:color w:val="000000"/>
                <w:kern w:val="2"/>
                <w:sz w:val="24"/>
                <w:szCs w:val="24"/>
                <w:u w:val="none"/>
                <w:lang w:val="en-US" w:eastAsia="zh-CN" w:bidi="ar-SA"/>
              </w:rPr>
              <w:t>辆</w:t>
            </w:r>
          </w:p>
        </w:tc>
      </w:tr>
    </w:tbl>
    <w:p w14:paraId="6BFDE15F">
      <w:pPr>
        <w:widowControl w:val="0"/>
        <w:wordWrap/>
        <w:adjustRightInd w:val="0"/>
        <w:snapToGrid w:val="0"/>
        <w:spacing w:line="560" w:lineRule="exact"/>
        <w:ind w:firstLine="480" w:firstLineChars="200"/>
        <w:textAlignment w:val="auto"/>
        <w:outlineLvl w:val="9"/>
        <w:rPr>
          <w:rFonts w:hint="default" w:ascii="宋体" w:hAnsi="宋体" w:cs="宋体"/>
          <w:bCs/>
          <w:sz w:val="24"/>
          <w:szCs w:val="24"/>
          <w:highlight w:val="none"/>
          <w:lang w:val="en-US" w:eastAsia="zh-CN"/>
        </w:rPr>
      </w:pPr>
    </w:p>
    <w:p w14:paraId="13AA94E6">
      <w:pPr>
        <w:bidi w:val="0"/>
        <w:rPr>
          <w:rFonts w:hint="eastAsia"/>
          <w:lang w:val="en-US" w:eastAsia="zh-CN"/>
        </w:rPr>
      </w:pPr>
      <w:r>
        <w:rPr>
          <w:rFonts w:hint="eastAsia"/>
          <w:lang w:val="en-US" w:eastAsia="zh-CN"/>
        </w:rPr>
        <w:t xml:space="preserve"> </w:t>
      </w:r>
    </w:p>
    <w:p w14:paraId="6C154211">
      <w:pPr>
        <w:bidi w:val="0"/>
        <w:rPr>
          <w:rFonts w:hint="eastAsia"/>
          <w:lang w:val="en-US" w:eastAsia="zh-CN"/>
        </w:rPr>
      </w:pPr>
    </w:p>
    <w:p w14:paraId="5A175F17">
      <w:pPr>
        <w:bidi w:val="0"/>
        <w:rPr>
          <w:rFonts w:hint="eastAsia"/>
          <w:lang w:val="en-US" w:eastAsia="zh-CN"/>
        </w:rPr>
      </w:pPr>
    </w:p>
    <w:p w14:paraId="0AFE5250">
      <w:pPr>
        <w:bidi w:val="0"/>
        <w:rPr>
          <w:rFonts w:hint="eastAsia"/>
          <w:lang w:val="en-US" w:eastAsia="zh-CN"/>
        </w:rPr>
      </w:pPr>
    </w:p>
    <w:p w14:paraId="13196A08">
      <w:pPr>
        <w:bidi w:val="0"/>
        <w:rPr>
          <w:rFonts w:hint="eastAsia"/>
          <w:lang w:val="en-US" w:eastAsia="zh-CN"/>
        </w:rPr>
      </w:pPr>
    </w:p>
    <w:p w14:paraId="7612E83A">
      <w:pPr>
        <w:bidi w:val="0"/>
        <w:rPr>
          <w:rFonts w:hint="eastAsia"/>
          <w:lang w:val="en-US" w:eastAsia="zh-CN"/>
        </w:rPr>
        <w:sectPr>
          <w:footerReference r:id="rId4" w:type="default"/>
          <w:pgSz w:w="11906" w:h="16838"/>
          <w:pgMar w:top="1723" w:right="1746" w:bottom="1440" w:left="1746" w:header="851" w:footer="992" w:gutter="0"/>
          <w:pgNumType w:fmt="numberInDash" w:start="1"/>
          <w:cols w:space="425" w:num="1"/>
          <w:docGrid w:type="lines" w:linePitch="312" w:charSpace="0"/>
        </w:sectPr>
      </w:pPr>
    </w:p>
    <w:p w14:paraId="4E233A98">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宋体" w:hAnsi="宋体" w:eastAsia="宋体" w:cs="宋体"/>
          <w:b/>
          <w:bCs/>
          <w:sz w:val="44"/>
          <w:szCs w:val="44"/>
          <w:highlight w:val="none"/>
          <w:lang w:val="en-US" w:eastAsia="zh-CN"/>
        </w:rPr>
      </w:pPr>
      <w:bookmarkStart w:id="324" w:name="_Toc13643"/>
      <w:bookmarkStart w:id="325" w:name="_Toc30458"/>
      <w:r>
        <w:rPr>
          <w:rFonts w:hint="eastAsia" w:ascii="宋体" w:hAnsi="宋体" w:eastAsia="宋体" w:cs="宋体"/>
          <w:b/>
          <w:bCs/>
          <w:sz w:val="44"/>
          <w:szCs w:val="44"/>
          <w:highlight w:val="none"/>
          <w:lang w:val="en-US" w:eastAsia="zh-CN"/>
        </w:rPr>
        <w:t>第四部分 谈判响应文件格式</w:t>
      </w:r>
      <w:bookmarkEnd w:id="316"/>
      <w:bookmarkEnd w:id="317"/>
      <w:bookmarkEnd w:id="318"/>
      <w:bookmarkEnd w:id="319"/>
      <w:bookmarkEnd w:id="320"/>
      <w:bookmarkEnd w:id="321"/>
      <w:bookmarkEnd w:id="322"/>
      <w:bookmarkEnd w:id="323"/>
      <w:bookmarkEnd w:id="324"/>
      <w:bookmarkEnd w:id="325"/>
    </w:p>
    <w:p w14:paraId="7FEFCAD5">
      <w:pPr>
        <w:widowControl w:val="0"/>
        <w:wordWrap/>
        <w:adjustRightInd w:val="0"/>
        <w:snapToGrid w:val="0"/>
        <w:spacing w:before="157" w:beforeLines="50" w:line="560" w:lineRule="exact"/>
        <w:ind w:left="0" w:leftChars="0" w:right="0" w:firstLine="2811" w:firstLineChars="1000"/>
        <w:jc w:val="both"/>
        <w:textAlignment w:val="auto"/>
        <w:outlineLvl w:val="1"/>
        <w:rPr>
          <w:rFonts w:hint="eastAsia" w:ascii="宋体" w:hAnsi="宋体" w:eastAsia="宋体" w:cs="宋体"/>
          <w:b/>
          <w:bCs/>
          <w:kern w:val="2"/>
          <w:sz w:val="28"/>
          <w:szCs w:val="28"/>
          <w:highlight w:val="none"/>
          <w:lang w:val="en-US" w:eastAsia="zh-CN" w:bidi="ar-SA"/>
        </w:rPr>
      </w:pPr>
      <w:bookmarkStart w:id="326" w:name="_Toc20166_WPSOffice_Level2"/>
      <w:bookmarkStart w:id="327" w:name="_Toc4945_WPSOffice_Level2"/>
      <w:bookmarkStart w:id="328" w:name="_Toc12691_WPSOffice_Level2"/>
      <w:bookmarkStart w:id="329" w:name="_Toc11968"/>
      <w:bookmarkStart w:id="330" w:name="_Toc12841"/>
      <w:bookmarkStart w:id="331" w:name="_Toc7926"/>
      <w:r>
        <w:rPr>
          <w:rFonts w:hint="eastAsia" w:ascii="宋体" w:hAnsi="宋体" w:eastAsia="宋体" w:cs="宋体"/>
          <w:b/>
          <w:bCs/>
          <w:kern w:val="2"/>
          <w:sz w:val="28"/>
          <w:szCs w:val="28"/>
          <w:highlight w:val="none"/>
          <w:lang w:val="en-US" w:eastAsia="zh-CN" w:bidi="ar-SA"/>
        </w:rPr>
        <w:t>十二、谈判响应文件的组成</w:t>
      </w:r>
      <w:bookmarkEnd w:id="326"/>
      <w:bookmarkEnd w:id="327"/>
      <w:bookmarkEnd w:id="328"/>
      <w:bookmarkEnd w:id="329"/>
      <w:bookmarkEnd w:id="330"/>
      <w:bookmarkEnd w:id="331"/>
    </w:p>
    <w:p w14:paraId="2958A67D">
      <w:pPr>
        <w:widowControl w:val="0"/>
        <w:wordWrap/>
        <w:adjustRightInd w:val="0"/>
        <w:snapToGrid w:val="0"/>
        <w:spacing w:line="560" w:lineRule="exact"/>
        <w:jc w:val="left"/>
        <w:textAlignment w:val="auto"/>
        <w:rPr>
          <w:rFonts w:hint="eastAsia" w:ascii="宋体" w:hAnsi="宋体" w:eastAsia="宋体" w:cs="宋体"/>
          <w:b/>
          <w:bCs/>
          <w:kern w:val="2"/>
          <w:sz w:val="28"/>
          <w:szCs w:val="28"/>
          <w:highlight w:val="none"/>
          <w:lang w:val="zh-CN" w:eastAsia="zh-CN" w:bidi="ar-SA"/>
        </w:rPr>
      </w:pPr>
      <w:bookmarkStart w:id="332" w:name="_Toc24010"/>
      <w:bookmarkStart w:id="333" w:name="_Toc22172"/>
      <w:bookmarkStart w:id="334" w:name="_Toc185_WPSOffice_Level2"/>
      <w:bookmarkStart w:id="335" w:name="_Toc31451_WPSOffice_Level3"/>
      <w:r>
        <w:rPr>
          <w:rFonts w:hint="eastAsia" w:ascii="宋体" w:hAnsi="宋体" w:eastAsia="宋体" w:cs="宋体"/>
          <w:b/>
          <w:bCs/>
          <w:kern w:val="2"/>
          <w:sz w:val="28"/>
          <w:szCs w:val="28"/>
          <w:highlight w:val="none"/>
          <w:lang w:val="zh-CN" w:eastAsia="zh-CN" w:bidi="ar-SA"/>
        </w:rPr>
        <w:t>（一）资格审查部分</w:t>
      </w:r>
      <w:bookmarkEnd w:id="332"/>
      <w:bookmarkEnd w:id="333"/>
      <w:bookmarkEnd w:id="334"/>
      <w:bookmarkEnd w:id="335"/>
    </w:p>
    <w:p w14:paraId="466FE773">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36" w:name="_Toc19260_WPSOffice_Level3"/>
      <w:r>
        <w:rPr>
          <w:rFonts w:hint="eastAsia" w:ascii="宋体" w:hAnsi="宋体" w:eastAsia="宋体" w:cs="宋体"/>
          <w:kern w:val="2"/>
          <w:sz w:val="24"/>
          <w:szCs w:val="24"/>
          <w:highlight w:val="none"/>
          <w:lang w:val="zh-CN" w:eastAsia="zh-CN" w:bidi="ar-SA"/>
        </w:rPr>
        <w:t>1、响应函（见附件1）</w:t>
      </w:r>
      <w:bookmarkEnd w:id="336"/>
    </w:p>
    <w:p w14:paraId="1F097F85">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37" w:name="_Toc13122_WPSOffice_Level3"/>
      <w:r>
        <w:rPr>
          <w:rFonts w:hint="eastAsia" w:ascii="宋体" w:hAnsi="宋体" w:eastAsia="宋体" w:cs="宋体"/>
          <w:kern w:val="2"/>
          <w:sz w:val="24"/>
          <w:szCs w:val="24"/>
          <w:highlight w:val="none"/>
          <w:lang w:val="zh-CN" w:eastAsia="zh-CN" w:bidi="ar-SA"/>
        </w:rPr>
        <w:t>2、法定代表人证明书（见附件2）</w:t>
      </w:r>
      <w:bookmarkEnd w:id="337"/>
    </w:p>
    <w:p w14:paraId="0F46A377">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38" w:name="_Toc5677_WPSOffice_Level3"/>
      <w:r>
        <w:rPr>
          <w:rFonts w:hint="eastAsia" w:ascii="宋体" w:hAnsi="宋体" w:eastAsia="宋体" w:cs="宋体"/>
          <w:kern w:val="2"/>
          <w:sz w:val="24"/>
          <w:szCs w:val="24"/>
          <w:highlight w:val="none"/>
          <w:lang w:val="zh-CN" w:eastAsia="zh-CN" w:bidi="ar-SA"/>
        </w:rPr>
        <w:t>3、法定代表人授权书（见附件3）</w:t>
      </w:r>
      <w:bookmarkEnd w:id="338"/>
    </w:p>
    <w:p w14:paraId="0519944C">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39" w:name="_Toc1890_WPSOffice_Level3"/>
      <w:r>
        <w:rPr>
          <w:rFonts w:hint="eastAsia" w:ascii="宋体" w:hAnsi="宋体" w:eastAsia="宋体" w:cs="宋体"/>
          <w:kern w:val="2"/>
          <w:sz w:val="24"/>
          <w:szCs w:val="24"/>
          <w:highlight w:val="none"/>
          <w:lang w:val="zh-CN" w:eastAsia="zh-CN" w:bidi="ar-SA"/>
        </w:rPr>
        <w:t>4、供应商承诺函（见附件4）</w:t>
      </w:r>
      <w:bookmarkEnd w:id="339"/>
    </w:p>
    <w:p w14:paraId="4EEF7B8B">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40" w:name="_Toc25873_WPSOffice_Level3"/>
      <w:r>
        <w:rPr>
          <w:rFonts w:hint="eastAsia" w:ascii="宋体" w:hAnsi="宋体" w:eastAsia="宋体" w:cs="宋体"/>
          <w:kern w:val="2"/>
          <w:sz w:val="24"/>
          <w:szCs w:val="24"/>
          <w:highlight w:val="none"/>
          <w:lang w:val="zh-CN" w:eastAsia="zh-CN" w:bidi="ar-SA"/>
        </w:rPr>
        <w:t>5、供应商诚信承诺书（见附件5）</w:t>
      </w:r>
      <w:bookmarkEnd w:id="340"/>
    </w:p>
    <w:p w14:paraId="43970BCA">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41" w:name="_Toc31370_WPSOffice_Level3"/>
      <w:r>
        <w:rPr>
          <w:rFonts w:hint="eastAsia" w:ascii="宋体" w:hAnsi="宋体" w:eastAsia="宋体" w:cs="宋体"/>
          <w:kern w:val="2"/>
          <w:sz w:val="24"/>
          <w:szCs w:val="24"/>
          <w:highlight w:val="none"/>
          <w:lang w:val="zh-CN" w:eastAsia="zh-CN" w:bidi="ar-SA"/>
        </w:rPr>
        <w:t>6、供应商资格证明文件（见附件6）</w:t>
      </w:r>
      <w:bookmarkEnd w:id="341"/>
    </w:p>
    <w:p w14:paraId="4D3664F1">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42" w:name="_Toc10045_WPSOffice_Level3"/>
      <w:r>
        <w:rPr>
          <w:rFonts w:hint="eastAsia" w:ascii="宋体" w:hAnsi="宋体" w:eastAsia="宋体" w:cs="宋体"/>
          <w:kern w:val="2"/>
          <w:sz w:val="24"/>
          <w:szCs w:val="24"/>
          <w:highlight w:val="none"/>
          <w:lang w:val="zh-CN" w:eastAsia="zh-CN" w:bidi="ar-SA"/>
        </w:rPr>
        <w:t>7、财务状况、缴纳税收和社会保障资金证明（见附件7）</w:t>
      </w:r>
      <w:bookmarkEnd w:id="342"/>
    </w:p>
    <w:p w14:paraId="34AE4071">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43" w:name="_Toc12223_WPSOffice_Level3"/>
      <w:r>
        <w:rPr>
          <w:rFonts w:hint="eastAsia" w:ascii="宋体" w:hAnsi="宋体" w:eastAsia="宋体" w:cs="宋体"/>
          <w:kern w:val="2"/>
          <w:sz w:val="24"/>
          <w:szCs w:val="24"/>
          <w:highlight w:val="none"/>
          <w:lang w:val="zh-CN" w:eastAsia="zh-CN" w:bidi="ar-SA"/>
        </w:rPr>
        <w:t>8、无重大违法记录声明（见附件</w:t>
      </w:r>
      <w:r>
        <w:rPr>
          <w:rFonts w:hint="eastAsia" w:ascii="宋体" w:hAnsi="宋体" w:eastAsia="宋体" w:cs="宋体"/>
          <w:kern w:val="2"/>
          <w:sz w:val="24"/>
          <w:szCs w:val="24"/>
          <w:highlight w:val="none"/>
          <w:lang w:val="en-US" w:eastAsia="zh-CN" w:bidi="ar-SA"/>
        </w:rPr>
        <w:t>8</w:t>
      </w:r>
      <w:r>
        <w:rPr>
          <w:rFonts w:hint="eastAsia" w:ascii="宋体" w:hAnsi="宋体" w:eastAsia="宋体" w:cs="宋体"/>
          <w:kern w:val="2"/>
          <w:sz w:val="24"/>
          <w:szCs w:val="24"/>
          <w:highlight w:val="none"/>
          <w:lang w:val="zh-CN" w:eastAsia="zh-CN" w:bidi="ar-SA"/>
        </w:rPr>
        <w:t>）</w:t>
      </w:r>
      <w:bookmarkEnd w:id="343"/>
    </w:p>
    <w:p w14:paraId="7774DB66">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en-US" w:eastAsia="zh-CN" w:bidi="ar-SA"/>
        </w:rPr>
      </w:pPr>
      <w:bookmarkStart w:id="344" w:name="_Toc10394_WPSOffice_Level3"/>
      <w:r>
        <w:rPr>
          <w:rFonts w:hint="eastAsia" w:ascii="宋体" w:hAnsi="宋体" w:eastAsia="宋体" w:cs="宋体"/>
          <w:kern w:val="2"/>
          <w:sz w:val="24"/>
          <w:szCs w:val="24"/>
          <w:highlight w:val="none"/>
          <w:lang w:val="en-US" w:eastAsia="zh-CN" w:bidi="ar-SA"/>
        </w:rPr>
        <w:t>9、谈判保证金证明（见附件9）</w:t>
      </w:r>
      <w:bookmarkEnd w:id="344"/>
      <w:bookmarkStart w:id="345" w:name="_Toc3154_WPSOffice_Level2"/>
      <w:bookmarkStart w:id="346" w:name="_Toc18301_WPSOffice_Level3"/>
      <w:bookmarkStart w:id="347" w:name="_Toc21135"/>
    </w:p>
    <w:p w14:paraId="7C283CA8">
      <w:pPr>
        <w:widowControl w:val="0"/>
        <w:wordWrap/>
        <w:adjustRightInd w:val="0"/>
        <w:snapToGrid w:val="0"/>
        <w:spacing w:line="560" w:lineRule="exact"/>
        <w:jc w:val="left"/>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10.具备履行合同所必须的设备和专业技术能力证明</w:t>
      </w:r>
      <w:r>
        <w:rPr>
          <w:rFonts w:hint="eastAsia" w:ascii="宋体" w:hAnsi="宋体" w:eastAsia="宋体" w:cs="宋体"/>
          <w:kern w:val="2"/>
          <w:sz w:val="24"/>
          <w:szCs w:val="24"/>
          <w:highlight w:val="none"/>
          <w:lang w:val="en-US" w:eastAsia="zh-CN" w:bidi="ar-SA"/>
        </w:rPr>
        <w:t>（见附件10）</w:t>
      </w:r>
    </w:p>
    <w:p w14:paraId="6F766DF8">
      <w:pPr>
        <w:widowControl w:val="0"/>
        <w:wordWrap/>
        <w:adjustRightInd w:val="0"/>
        <w:snapToGrid w:val="0"/>
        <w:spacing w:line="560" w:lineRule="exact"/>
        <w:jc w:val="left"/>
        <w:textAlignment w:val="auto"/>
        <w:rPr>
          <w:rFonts w:hint="eastAsia" w:ascii="宋体" w:hAnsi="宋体" w:eastAsia="宋体" w:cs="宋体"/>
          <w:b/>
          <w:bCs/>
          <w:kern w:val="2"/>
          <w:sz w:val="28"/>
          <w:szCs w:val="28"/>
          <w:highlight w:val="none"/>
          <w:lang w:val="zh-CN" w:eastAsia="zh-CN" w:bidi="ar-SA"/>
        </w:rPr>
      </w:pPr>
      <w:r>
        <w:rPr>
          <w:rFonts w:hint="eastAsia" w:ascii="宋体" w:hAnsi="宋体" w:eastAsia="宋体" w:cs="宋体"/>
          <w:b/>
          <w:bCs/>
          <w:kern w:val="2"/>
          <w:sz w:val="28"/>
          <w:szCs w:val="28"/>
          <w:highlight w:val="none"/>
          <w:lang w:val="zh-CN" w:eastAsia="zh-CN" w:bidi="ar-SA"/>
        </w:rPr>
        <w:t>（二）有效性、完整性、响应程度审查部分</w:t>
      </w:r>
      <w:bookmarkEnd w:id="345"/>
      <w:bookmarkEnd w:id="346"/>
      <w:bookmarkEnd w:id="347"/>
    </w:p>
    <w:p w14:paraId="5B2AC78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zh-CN" w:eastAsia="zh-CN" w:bidi="ar-SA"/>
        </w:rPr>
      </w:pPr>
      <w:bookmarkStart w:id="348" w:name="_Toc14930_WPSOffice_Level2"/>
      <w:bookmarkStart w:id="349" w:name="_Toc1684_WPSOffice_Level2"/>
      <w:bookmarkStart w:id="350" w:name="_Toc11918"/>
      <w:bookmarkStart w:id="351" w:name="_Toc5252_WPSOffice_Level2"/>
      <w:r>
        <w:rPr>
          <w:rFonts w:hint="eastAsia" w:ascii="宋体" w:hAnsi="宋体" w:eastAsia="宋体" w:cs="宋体"/>
          <w:kern w:val="2"/>
          <w:sz w:val="24"/>
          <w:szCs w:val="24"/>
          <w:highlight w:val="none"/>
          <w:lang w:val="zh-CN" w:eastAsia="zh-CN" w:bidi="ar-SA"/>
        </w:rPr>
        <w:t>1</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、谈判首次报价表</w:t>
      </w:r>
      <w:r>
        <w:rPr>
          <w:rFonts w:hint="eastAsia" w:ascii="宋体" w:hAnsi="宋体" w:eastAsia="宋体" w:cs="宋体"/>
          <w:kern w:val="2"/>
          <w:sz w:val="24"/>
          <w:szCs w:val="24"/>
          <w:highlight w:val="none"/>
          <w:lang w:val="zh-CN" w:eastAsia="zh-CN" w:bidi="ar-SA"/>
        </w:rPr>
        <w:t>（见附件</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1）</w:t>
      </w:r>
    </w:p>
    <w:p w14:paraId="745E774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kern w:val="2"/>
          <w:sz w:val="24"/>
          <w:szCs w:val="24"/>
          <w:highlight w:val="none"/>
          <w:lang w:val="zh-CN" w:eastAsia="zh-CN" w:bidi="ar-SA"/>
        </w:rPr>
      </w:pP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zh-CN" w:eastAsia="zh-CN" w:bidi="ar-SA"/>
        </w:rPr>
        <w:t>、分项报价表</w:t>
      </w:r>
      <w:r>
        <w:rPr>
          <w:rFonts w:hint="eastAsia" w:ascii="宋体" w:hAnsi="宋体" w:eastAsia="宋体" w:cs="宋体"/>
          <w:kern w:val="2"/>
          <w:sz w:val="24"/>
          <w:szCs w:val="24"/>
          <w:highlight w:val="none"/>
          <w:lang w:val="zh-CN" w:eastAsia="zh-CN" w:bidi="ar-SA"/>
        </w:rPr>
        <w:t>（见附件1</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CN" w:eastAsia="zh-CN" w:bidi="ar-SA"/>
        </w:rPr>
        <w:t>）</w:t>
      </w:r>
    </w:p>
    <w:p w14:paraId="20E0029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kern w:val="2"/>
          <w:sz w:val="24"/>
          <w:szCs w:val="24"/>
          <w:highlight w:val="none"/>
          <w:lang w:val="zh-CN" w:eastAsia="zh-CN" w:bidi="ar-SA"/>
        </w:rPr>
      </w:pPr>
      <w:r>
        <w:rPr>
          <w:rFonts w:hint="eastAsia" w:ascii="宋体" w:hAnsi="宋体" w:cs="宋体"/>
          <w:kern w:val="2"/>
          <w:sz w:val="24"/>
          <w:szCs w:val="24"/>
          <w:highlight w:val="none"/>
          <w:lang w:val="en-US" w:eastAsia="zh-CN" w:bidi="ar-SA"/>
        </w:rPr>
        <w:t>13、技</w:t>
      </w:r>
      <w:r>
        <w:rPr>
          <w:rFonts w:hint="eastAsia" w:ascii="宋体" w:hAnsi="宋体" w:eastAsia="宋体" w:cs="宋体"/>
          <w:kern w:val="2"/>
          <w:sz w:val="24"/>
          <w:szCs w:val="24"/>
          <w:highlight w:val="none"/>
          <w:lang w:val="zh-CN" w:eastAsia="zh-CN" w:bidi="ar-SA"/>
        </w:rPr>
        <w:t>术规格响应表</w:t>
      </w:r>
      <w:r>
        <w:rPr>
          <w:rFonts w:hint="eastAsia" w:ascii="宋体" w:hAnsi="宋体" w:eastAsia="宋体" w:cs="宋体"/>
          <w:kern w:val="2"/>
          <w:sz w:val="24"/>
          <w:szCs w:val="24"/>
          <w:highlight w:val="none"/>
          <w:lang w:val="zh-CN" w:eastAsia="zh-CN" w:bidi="ar-SA"/>
        </w:rPr>
        <w:t>（见附件1</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val="zh-CN" w:eastAsia="zh-CN" w:bidi="ar-SA"/>
        </w:rPr>
        <w:t>）</w:t>
      </w:r>
    </w:p>
    <w:p w14:paraId="50003CB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14</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产品相关资料</w:t>
      </w:r>
      <w:r>
        <w:rPr>
          <w:rFonts w:hint="eastAsia" w:ascii="宋体" w:hAnsi="宋体" w:eastAsia="宋体" w:cs="宋体"/>
          <w:kern w:val="2"/>
          <w:sz w:val="24"/>
          <w:szCs w:val="24"/>
          <w:highlight w:val="none"/>
          <w:lang w:val="zh-CN" w:eastAsia="zh-CN" w:bidi="ar-SA"/>
        </w:rPr>
        <w:t>（见附件1</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w:t>
      </w:r>
    </w:p>
    <w:p w14:paraId="214B7A3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zh-CN" w:eastAsia="zh-CN" w:bidi="ar-SA"/>
        </w:rPr>
        <w:t>享受政府采购政策优惠的证明资料</w:t>
      </w:r>
      <w:r>
        <w:rPr>
          <w:rFonts w:hint="eastAsia" w:ascii="宋体" w:hAnsi="宋体" w:eastAsia="宋体" w:cs="宋体"/>
          <w:kern w:val="2"/>
          <w:sz w:val="24"/>
          <w:szCs w:val="24"/>
          <w:highlight w:val="none"/>
          <w:lang w:val="zh-CN" w:eastAsia="zh-CN" w:bidi="ar-SA"/>
        </w:rPr>
        <w:t>（见附件1</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val="zh-CN" w:eastAsia="zh-CN" w:bidi="ar-SA"/>
        </w:rPr>
        <w:t>）</w:t>
      </w:r>
    </w:p>
    <w:p w14:paraId="46D24DF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16、</w:t>
      </w:r>
      <w:r>
        <w:rPr>
          <w:rFonts w:hint="eastAsia" w:ascii="宋体" w:hAnsi="宋体" w:eastAsia="宋体" w:cs="宋体"/>
          <w:kern w:val="2"/>
          <w:sz w:val="24"/>
          <w:szCs w:val="24"/>
          <w:highlight w:val="none"/>
          <w:lang w:val="zh-CN" w:eastAsia="zh-CN" w:bidi="ar-SA"/>
        </w:rPr>
        <w:t>供应商认为在其他方面有必要说明的事项</w:t>
      </w:r>
      <w:r>
        <w:rPr>
          <w:rFonts w:hint="eastAsia" w:ascii="宋体" w:hAnsi="宋体" w:eastAsia="宋体" w:cs="宋体"/>
          <w:kern w:val="2"/>
          <w:sz w:val="24"/>
          <w:szCs w:val="24"/>
          <w:highlight w:val="none"/>
          <w:lang w:val="zh-CN" w:eastAsia="zh-CN" w:bidi="ar-SA"/>
        </w:rPr>
        <w:t>（见附件1</w:t>
      </w:r>
      <w:r>
        <w:rPr>
          <w:rFonts w:hint="eastAsia" w:ascii="宋体" w:hAnsi="宋体" w:eastAsia="宋体" w:cs="宋体"/>
          <w:kern w:val="2"/>
          <w:sz w:val="24"/>
          <w:szCs w:val="24"/>
          <w:highlight w:val="none"/>
          <w:lang w:val="en-US" w:eastAsia="zh-CN" w:bidi="ar-SA"/>
        </w:rPr>
        <w:t>6</w:t>
      </w:r>
      <w:r>
        <w:rPr>
          <w:rFonts w:hint="eastAsia" w:ascii="宋体" w:hAnsi="宋体" w:eastAsia="宋体" w:cs="宋体"/>
          <w:kern w:val="2"/>
          <w:sz w:val="24"/>
          <w:szCs w:val="24"/>
          <w:highlight w:val="none"/>
          <w:lang w:val="zh-CN" w:eastAsia="zh-CN" w:bidi="ar-SA"/>
        </w:rPr>
        <w:t>）</w:t>
      </w:r>
    </w:p>
    <w:p w14:paraId="6D92293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17</w:t>
      </w:r>
      <w:r>
        <w:rPr>
          <w:rFonts w:hint="eastAsia" w:ascii="宋体" w:hAnsi="宋体" w:eastAsia="宋体" w:cs="宋体"/>
          <w:kern w:val="2"/>
          <w:sz w:val="24"/>
          <w:szCs w:val="24"/>
          <w:highlight w:val="none"/>
          <w:lang w:val="en-US" w:eastAsia="zh-CN" w:bidi="ar-SA"/>
        </w:rPr>
        <w:t>、谈判最后报价表</w:t>
      </w:r>
      <w:r>
        <w:rPr>
          <w:rFonts w:hint="eastAsia" w:ascii="宋体" w:hAnsi="宋体" w:eastAsia="宋体" w:cs="宋体"/>
          <w:kern w:val="2"/>
          <w:sz w:val="24"/>
          <w:szCs w:val="24"/>
          <w:highlight w:val="none"/>
          <w:lang w:val="zh-CN" w:eastAsia="zh-CN" w:bidi="ar-SA"/>
        </w:rPr>
        <w:t>（见附件1</w:t>
      </w:r>
      <w:r>
        <w:rPr>
          <w:rFonts w:hint="eastAsia" w:ascii="宋体"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val="zh-CN" w:eastAsia="zh-CN" w:bidi="ar-SA"/>
        </w:rPr>
        <w:t>）</w:t>
      </w:r>
    </w:p>
    <w:p w14:paraId="3F806538">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br w:type="page"/>
      </w:r>
    </w:p>
    <w:p w14:paraId="223A3BDF">
      <w:pPr>
        <w:widowControl w:val="0"/>
        <w:wordWrap/>
        <w:adjustRightInd w:val="0"/>
        <w:snapToGrid w:val="0"/>
        <w:spacing w:before="157" w:beforeLines="50" w:line="560" w:lineRule="exact"/>
        <w:ind w:left="0" w:leftChars="0" w:right="0" w:firstLine="3213" w:firstLineChars="1000"/>
        <w:jc w:val="both"/>
        <w:textAlignment w:val="auto"/>
        <w:outlineLvl w:val="1"/>
        <w:rPr>
          <w:rFonts w:hint="eastAsia" w:ascii="宋体" w:hAnsi="宋体" w:eastAsia="宋体" w:cs="宋体"/>
          <w:b/>
          <w:bCs/>
          <w:kern w:val="2"/>
          <w:sz w:val="32"/>
          <w:szCs w:val="32"/>
          <w:highlight w:val="none"/>
          <w:lang w:val="en-US" w:eastAsia="zh-CN" w:bidi="ar-SA"/>
        </w:rPr>
      </w:pPr>
      <w:bookmarkStart w:id="352" w:name="_Toc13518"/>
      <w:bookmarkStart w:id="353" w:name="_Toc15247"/>
      <w:r>
        <w:rPr>
          <w:rFonts w:hint="eastAsia" w:ascii="宋体" w:hAnsi="宋体" w:eastAsia="宋体" w:cs="宋体"/>
          <w:b/>
          <w:bCs/>
          <w:kern w:val="2"/>
          <w:sz w:val="32"/>
          <w:szCs w:val="32"/>
          <w:highlight w:val="none"/>
          <w:lang w:val="en-US" w:eastAsia="zh-CN" w:bidi="ar-SA"/>
        </w:rPr>
        <w:t>十三、谈判响应文件</w:t>
      </w:r>
      <w:bookmarkEnd w:id="348"/>
      <w:bookmarkEnd w:id="349"/>
      <w:bookmarkEnd w:id="350"/>
      <w:bookmarkEnd w:id="351"/>
      <w:bookmarkEnd w:id="352"/>
      <w:bookmarkEnd w:id="353"/>
    </w:p>
    <w:p w14:paraId="0E634E3E">
      <w:pPr>
        <w:wordWrap/>
        <w:spacing w:before="157" w:beforeLines="50" w:line="560" w:lineRule="exact"/>
        <w:ind w:firstLine="1285" w:firstLineChars="400"/>
        <w:rPr>
          <w:rFonts w:hint="eastAsia" w:ascii="宋体" w:hAnsi="宋体" w:eastAsia="宋体" w:cs="宋体"/>
          <w:b/>
          <w:color w:val="000000"/>
          <w:sz w:val="32"/>
          <w:szCs w:val="32"/>
          <w:highlight w:val="none"/>
        </w:rPr>
      </w:pPr>
      <w:bookmarkStart w:id="354" w:name="_Toc28269_WPSOffice_Level3"/>
    </w:p>
    <w:p w14:paraId="11FA2D6B">
      <w:pPr>
        <w:pStyle w:val="18"/>
        <w:rPr>
          <w:rFonts w:hint="eastAsia"/>
          <w:highlight w:val="none"/>
        </w:rPr>
      </w:pPr>
    </w:p>
    <w:p w14:paraId="6D381F71">
      <w:pPr>
        <w:wordWrap/>
        <w:spacing w:before="157" w:beforeLines="50" w:line="560" w:lineRule="exact"/>
        <w:jc w:val="center"/>
        <w:outlineLvl w:val="9"/>
        <w:rPr>
          <w:rFonts w:hint="eastAsia" w:ascii="宋体" w:hAnsi="宋体" w:eastAsia="宋体" w:cs="宋体"/>
          <w:b/>
          <w:color w:val="000000"/>
          <w:sz w:val="52"/>
          <w:szCs w:val="52"/>
          <w:highlight w:val="none"/>
        </w:rPr>
      </w:pPr>
      <w:bookmarkStart w:id="355" w:name="_Toc31682_WPSOffice_Level2"/>
      <w:bookmarkStart w:id="356" w:name="_Toc10997_WPSOffice_Level2"/>
      <w:r>
        <w:rPr>
          <w:rFonts w:hint="eastAsia" w:ascii="宋体" w:hAnsi="宋体" w:eastAsia="宋体" w:cs="宋体"/>
          <w:b/>
          <w:color w:val="000000"/>
          <w:sz w:val="52"/>
          <w:szCs w:val="52"/>
          <w:highlight w:val="none"/>
        </w:rPr>
        <w:t>青海省政府采购项目</w:t>
      </w:r>
      <w:bookmarkEnd w:id="354"/>
      <w:bookmarkEnd w:id="355"/>
      <w:bookmarkEnd w:id="356"/>
    </w:p>
    <w:p w14:paraId="5B2D7924">
      <w:pPr>
        <w:wordWrap/>
        <w:spacing w:before="157" w:beforeLines="50" w:line="560" w:lineRule="exact"/>
        <w:jc w:val="center"/>
        <w:outlineLvl w:val="9"/>
        <w:rPr>
          <w:rFonts w:hint="eastAsia" w:ascii="宋体" w:hAnsi="宋体" w:eastAsia="宋体" w:cs="宋体"/>
          <w:b/>
          <w:color w:val="000000"/>
          <w:sz w:val="52"/>
          <w:szCs w:val="52"/>
          <w:highlight w:val="none"/>
        </w:rPr>
      </w:pPr>
      <w:bookmarkStart w:id="357" w:name="_Toc23622_WPSOffice_Level2"/>
      <w:bookmarkStart w:id="358" w:name="_Toc25378_WPSOffice_Level2"/>
    </w:p>
    <w:p w14:paraId="3215FF7C">
      <w:pPr>
        <w:wordWrap/>
        <w:spacing w:before="157" w:beforeLines="50" w:line="560" w:lineRule="exact"/>
        <w:jc w:val="center"/>
        <w:outlineLvl w:val="9"/>
        <w:rPr>
          <w:rFonts w:hint="eastAsia" w:ascii="宋体" w:hAnsi="宋体" w:eastAsia="宋体" w:cs="宋体"/>
          <w:b/>
          <w:color w:val="000000"/>
          <w:sz w:val="52"/>
          <w:szCs w:val="52"/>
          <w:highlight w:val="none"/>
        </w:rPr>
      </w:pPr>
      <w:r>
        <w:rPr>
          <w:rFonts w:hint="eastAsia" w:ascii="宋体" w:hAnsi="宋体" w:eastAsia="宋体" w:cs="宋体"/>
          <w:b/>
          <w:color w:val="000000"/>
          <w:sz w:val="52"/>
          <w:szCs w:val="52"/>
          <w:highlight w:val="none"/>
        </w:rPr>
        <w:t>谈判响应文件</w:t>
      </w:r>
      <w:bookmarkEnd w:id="357"/>
      <w:bookmarkEnd w:id="358"/>
    </w:p>
    <w:p w14:paraId="07C46732">
      <w:pPr>
        <w:wordWrap/>
        <w:adjustRightInd w:val="0"/>
        <w:spacing w:before="157" w:beforeLines="50" w:line="560" w:lineRule="exact"/>
        <w:ind w:firstLine="3052" w:firstLineChars="950"/>
        <w:textAlignment w:val="baseline"/>
        <w:outlineLvl w:val="9"/>
        <w:rPr>
          <w:rFonts w:hint="eastAsia" w:ascii="宋体" w:hAnsi="宋体" w:eastAsia="宋体" w:cs="宋体"/>
          <w:b/>
          <w:bCs/>
          <w:color w:val="000000"/>
          <w:sz w:val="32"/>
          <w:szCs w:val="32"/>
          <w:highlight w:val="none"/>
        </w:rPr>
      </w:pPr>
      <w:bookmarkStart w:id="359" w:name="_Toc13231_WPSOffice_Level2"/>
      <w:bookmarkStart w:id="360" w:name="_Toc28825_WPSOffice_Level2"/>
    </w:p>
    <w:p w14:paraId="60BA175F">
      <w:pPr>
        <w:wordWrap/>
        <w:adjustRightInd w:val="0"/>
        <w:spacing w:before="157" w:beforeLines="50" w:line="560" w:lineRule="exact"/>
        <w:jc w:val="center"/>
        <w:textAlignment w:val="baseline"/>
        <w:outlineLvl w:val="9"/>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w:t>
      </w:r>
      <w:r>
        <w:rPr>
          <w:rFonts w:hint="eastAsia" w:ascii="宋体" w:hAnsi="宋体" w:eastAsia="宋体" w:cs="宋体"/>
          <w:b w:val="0"/>
          <w:bCs w:val="0"/>
          <w:kern w:val="2"/>
          <w:sz w:val="32"/>
          <w:szCs w:val="32"/>
          <w:highlight w:val="none"/>
          <w:lang w:val="en-US" w:eastAsia="zh-CN" w:bidi="ar-SA"/>
        </w:rPr>
        <w:t>资格审查部分</w:t>
      </w:r>
      <w:r>
        <w:rPr>
          <w:rFonts w:hint="eastAsia" w:ascii="宋体" w:hAnsi="宋体" w:eastAsia="宋体" w:cs="宋体"/>
          <w:b/>
          <w:bCs/>
          <w:color w:val="000000"/>
          <w:sz w:val="32"/>
          <w:szCs w:val="32"/>
          <w:highlight w:val="none"/>
        </w:rPr>
        <w:t>）</w:t>
      </w:r>
      <w:bookmarkEnd w:id="359"/>
      <w:bookmarkEnd w:id="360"/>
    </w:p>
    <w:p w14:paraId="711DBAB8">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rPr>
      </w:pPr>
    </w:p>
    <w:p w14:paraId="618CEEE2">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rPr>
      </w:pPr>
    </w:p>
    <w:p w14:paraId="07D58EC1">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rPr>
      </w:pPr>
    </w:p>
    <w:p w14:paraId="768DF2C1">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lang w:eastAsia="zh-CN"/>
        </w:rPr>
      </w:pPr>
      <w:bookmarkStart w:id="361" w:name="_Toc19521_WPSOffice_Level2"/>
      <w:bookmarkStart w:id="362" w:name="_Toc29803_WPSOffice_Level2"/>
      <w:r>
        <w:rPr>
          <w:rFonts w:hint="eastAsia" w:ascii="宋体" w:hAnsi="宋体" w:eastAsia="宋体" w:cs="宋体"/>
          <w:b/>
          <w:bCs/>
          <w:color w:val="000000"/>
          <w:sz w:val="32"/>
          <w:szCs w:val="32"/>
          <w:highlight w:val="none"/>
        </w:rPr>
        <w:t>采购项目编号:</w:t>
      </w:r>
      <w:bookmarkEnd w:id="361"/>
      <w:bookmarkEnd w:id="362"/>
      <w:r>
        <w:rPr>
          <w:rFonts w:hint="eastAsia" w:ascii="宋体" w:hAnsi="宋体" w:cs="宋体"/>
          <w:b/>
          <w:color w:val="000000"/>
          <w:kern w:val="0"/>
          <w:sz w:val="30"/>
          <w:szCs w:val="30"/>
          <w:u w:val="single"/>
          <w:lang w:eastAsia="zh-CN"/>
        </w:rPr>
        <w:t xml:space="preserve"> 青海拓鑫竞谈（货物）2026-028-2</w:t>
      </w:r>
      <w:r>
        <w:rPr>
          <w:rFonts w:hint="eastAsia" w:ascii="宋体" w:hAnsi="宋体" w:cs="宋体"/>
          <w:b/>
          <w:color w:val="000000"/>
          <w:kern w:val="0"/>
          <w:sz w:val="30"/>
          <w:szCs w:val="30"/>
          <w:u w:val="single"/>
          <w:lang w:val="en-US" w:eastAsia="zh-CN"/>
        </w:rPr>
        <w:t xml:space="preserve"> </w:t>
      </w:r>
    </w:p>
    <w:p w14:paraId="260276B0">
      <w:pPr>
        <w:pStyle w:val="5"/>
        <w:rPr>
          <w:rFonts w:hint="eastAsia" w:ascii="宋体" w:hAnsi="宋体" w:eastAsia="宋体" w:cs="宋体"/>
          <w:b/>
          <w:bCs/>
          <w:color w:val="000000"/>
          <w:sz w:val="32"/>
          <w:szCs w:val="32"/>
          <w:highlight w:val="none"/>
          <w:lang w:eastAsia="zh-CN"/>
        </w:rPr>
      </w:pPr>
      <w:bookmarkStart w:id="363" w:name="_Toc14786_WPSOffice_Level2"/>
      <w:bookmarkStart w:id="364" w:name="_Toc18713_WPSOffice_Level2"/>
      <w:r>
        <w:rPr>
          <w:rFonts w:hint="eastAsia" w:ascii="宋体" w:hAnsi="宋体" w:eastAsia="宋体" w:cs="宋体"/>
          <w:b/>
          <w:bCs/>
          <w:color w:val="000000"/>
          <w:sz w:val="32"/>
          <w:szCs w:val="32"/>
          <w:highlight w:val="none"/>
        </w:rPr>
        <w:t>采购项目名称:</w:t>
      </w:r>
      <w:bookmarkEnd w:id="363"/>
      <w:bookmarkEnd w:id="364"/>
      <w:bookmarkStart w:id="365" w:name="_Toc22044_WPSOffice_Level2"/>
      <w:bookmarkStart w:id="366" w:name="_Toc14087_WPSOffice_Level2"/>
      <w:r>
        <w:rPr>
          <w:rFonts w:hint="eastAsia" w:ascii="宋体" w:hAnsi="宋体" w:cs="宋体"/>
          <w:b/>
          <w:color w:val="000000"/>
          <w:kern w:val="0"/>
          <w:sz w:val="30"/>
          <w:szCs w:val="30"/>
          <w:u w:val="single"/>
          <w:lang w:val="zh-CN" w:eastAsia="zh-CN"/>
        </w:rPr>
        <w:t>火角村农机具购置项目（第三次）</w:t>
      </w:r>
      <w:r>
        <w:rPr>
          <w:rFonts w:hint="eastAsia" w:ascii="宋体" w:hAnsi="宋体" w:eastAsia="宋体" w:cs="宋体"/>
          <w:b/>
          <w:bCs/>
          <w:color w:val="000000"/>
          <w:sz w:val="32"/>
          <w:szCs w:val="32"/>
          <w:highlight w:val="none"/>
          <w:lang w:eastAsia="zh-CN"/>
        </w:rPr>
        <w:t>供应商名称：</w:t>
      </w:r>
      <w:bookmarkEnd w:id="365"/>
      <w:bookmarkEnd w:id="366"/>
    </w:p>
    <w:p w14:paraId="0B86E412">
      <w:pPr>
        <w:wordWrap/>
        <w:spacing w:before="157" w:beforeLines="50" w:line="560" w:lineRule="exact"/>
        <w:jc w:val="center"/>
        <w:outlineLvl w:val="9"/>
        <w:rPr>
          <w:rFonts w:hint="eastAsia" w:ascii="宋体" w:hAnsi="宋体" w:eastAsia="宋体" w:cs="宋体"/>
          <w:b/>
          <w:bCs/>
          <w:color w:val="000000"/>
          <w:sz w:val="32"/>
          <w:szCs w:val="32"/>
          <w:highlight w:val="none"/>
        </w:rPr>
      </w:pPr>
    </w:p>
    <w:p w14:paraId="78908170">
      <w:pPr>
        <w:wordWrap/>
        <w:spacing w:before="157" w:beforeLines="50" w:line="560" w:lineRule="exact"/>
        <w:jc w:val="center"/>
        <w:outlineLvl w:val="9"/>
        <w:rPr>
          <w:rFonts w:hint="eastAsia" w:ascii="宋体" w:hAnsi="宋体" w:eastAsia="宋体" w:cs="宋体"/>
          <w:b/>
          <w:color w:val="000000"/>
          <w:sz w:val="32"/>
          <w:szCs w:val="32"/>
          <w:highlight w:val="none"/>
        </w:rPr>
      </w:pPr>
      <w:bookmarkStart w:id="367" w:name="_Toc1142_WPSOffice_Level3"/>
      <w:r>
        <w:rPr>
          <w:rFonts w:hint="eastAsia" w:ascii="宋体" w:hAnsi="宋体" w:eastAsia="宋体" w:cs="宋体"/>
          <w:b/>
          <w:color w:val="000000"/>
          <w:sz w:val="32"/>
          <w:szCs w:val="32"/>
          <w:highlight w:val="none"/>
        </w:rPr>
        <w:t>年</w:t>
      </w:r>
      <w:r>
        <w:rPr>
          <w:rFonts w:hint="eastAsia" w:ascii="宋体" w:hAnsi="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rPr>
        <w:t xml:space="preserve">  月 </w:t>
      </w:r>
      <w:r>
        <w:rPr>
          <w:rFonts w:hint="eastAsia" w:ascii="宋体" w:hAnsi="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rPr>
        <w:t xml:space="preserve"> 日</w:t>
      </w:r>
      <w:bookmarkEnd w:id="367"/>
    </w:p>
    <w:p w14:paraId="57F29F1C">
      <w:pPr>
        <w:widowControl/>
        <w:wordWrap/>
        <w:snapToGrid w:val="0"/>
        <w:spacing w:before="157" w:beforeLines="50" w:line="560" w:lineRule="exact"/>
        <w:jc w:val="left"/>
        <w:outlineLvl w:val="9"/>
        <w:rPr>
          <w:rFonts w:hint="eastAsia" w:ascii="宋体" w:hAnsi="宋体" w:eastAsia="宋体" w:cs="宋体"/>
          <w:b/>
          <w:color w:val="000000"/>
          <w:sz w:val="28"/>
          <w:szCs w:val="28"/>
          <w:highlight w:val="none"/>
        </w:rPr>
      </w:pPr>
    </w:p>
    <w:p w14:paraId="27954DE9">
      <w:pPr>
        <w:widowControl/>
        <w:wordWrap/>
        <w:snapToGrid w:val="0"/>
        <w:spacing w:before="157" w:beforeLines="50" w:line="560" w:lineRule="exact"/>
        <w:jc w:val="left"/>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br w:type="page"/>
      </w:r>
      <w:bookmarkStart w:id="368" w:name="_Toc32479_WPSOffice_Level3"/>
      <w:bookmarkStart w:id="369" w:name="_Toc19203"/>
      <w:bookmarkStart w:id="370" w:name="_Toc27597"/>
      <w:bookmarkStart w:id="371" w:name="_Toc27578"/>
      <w:bookmarkStart w:id="372" w:name="_Toc8655"/>
      <w:bookmarkStart w:id="373" w:name="_Toc15885"/>
      <w:r>
        <w:rPr>
          <w:rFonts w:hint="eastAsia" w:ascii="宋体" w:hAnsi="宋体" w:eastAsia="宋体" w:cs="宋体"/>
          <w:b/>
          <w:color w:val="000000"/>
          <w:sz w:val="28"/>
          <w:szCs w:val="28"/>
          <w:highlight w:val="none"/>
          <w:lang w:eastAsia="zh-CN"/>
        </w:rPr>
        <w:t>附件1：响应函</w:t>
      </w:r>
      <w:bookmarkEnd w:id="368"/>
      <w:bookmarkEnd w:id="369"/>
      <w:bookmarkEnd w:id="370"/>
      <w:bookmarkEnd w:id="371"/>
      <w:bookmarkEnd w:id="372"/>
      <w:bookmarkEnd w:id="373"/>
    </w:p>
    <w:p w14:paraId="660CA9E1">
      <w:pPr>
        <w:widowControl w:val="0"/>
        <w:wordWrap/>
        <w:spacing w:before="157" w:beforeLines="50" w:line="560" w:lineRule="exact"/>
        <w:ind w:firstLine="3710" w:firstLineChars="1155"/>
        <w:jc w:val="both"/>
        <w:textAlignment w:val="auto"/>
        <w:outlineLvl w:val="9"/>
        <w:rPr>
          <w:rFonts w:hint="eastAsia" w:ascii="宋体" w:hAnsi="宋体" w:eastAsia="宋体" w:cs="宋体"/>
          <w:b/>
          <w:color w:val="000000"/>
          <w:sz w:val="32"/>
          <w:szCs w:val="32"/>
          <w:highlight w:val="none"/>
        </w:rPr>
      </w:pPr>
      <w:bookmarkStart w:id="374" w:name="_Toc22598_WPSOffice_Level2"/>
      <w:bookmarkStart w:id="375" w:name="_Toc24288_WPSOffice_Level2"/>
      <w:r>
        <w:rPr>
          <w:rFonts w:hint="eastAsia" w:ascii="宋体" w:hAnsi="宋体" w:eastAsia="宋体" w:cs="宋体"/>
          <w:b/>
          <w:color w:val="000000"/>
          <w:sz w:val="32"/>
          <w:szCs w:val="32"/>
          <w:highlight w:val="none"/>
          <w:lang w:eastAsia="zh-CN"/>
        </w:rPr>
        <w:t>响</w:t>
      </w:r>
      <w:r>
        <w:rPr>
          <w:rFonts w:hint="eastAsia" w:ascii="宋体" w:hAnsi="宋体" w:eastAsia="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lang w:eastAsia="zh-CN"/>
        </w:rPr>
        <w:t>应</w:t>
      </w:r>
      <w:r>
        <w:rPr>
          <w:rFonts w:hint="eastAsia" w:ascii="宋体" w:hAnsi="宋体" w:eastAsia="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rPr>
        <w:t>函</w:t>
      </w:r>
      <w:bookmarkEnd w:id="374"/>
      <w:bookmarkEnd w:id="375"/>
      <w:bookmarkStart w:id="376" w:name="_Toc16867_WPSOffice_Level2"/>
    </w:p>
    <w:p w14:paraId="06D9470A">
      <w:pPr>
        <w:widowControl w:val="0"/>
        <w:wordWrap/>
        <w:spacing w:before="157" w:beforeLines="50" w:line="560" w:lineRule="exact"/>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致：</w:t>
      </w:r>
      <w:r>
        <w:rPr>
          <w:rFonts w:hint="eastAsia" w:ascii="宋体" w:hAnsi="宋体" w:eastAsia="宋体" w:cs="宋体"/>
          <w:b w:val="0"/>
          <w:bCs w:val="0"/>
          <w:sz w:val="24"/>
          <w:szCs w:val="24"/>
          <w:highlight w:val="none"/>
          <w:u w:val="single"/>
          <w:lang w:eastAsia="zh-CN"/>
        </w:rPr>
        <w:t>（代理机构名称）</w:t>
      </w:r>
      <w:bookmarkEnd w:id="376"/>
    </w:p>
    <w:p w14:paraId="4359C26E">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我们收到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（项目名称及编号）</w:t>
      </w:r>
      <w:r>
        <w:rPr>
          <w:rFonts w:hint="eastAsia" w:ascii="宋体" w:hAnsi="宋体" w:eastAsia="宋体" w:cs="宋体"/>
          <w:sz w:val="24"/>
          <w:szCs w:val="24"/>
          <w:highlight w:val="none"/>
        </w:rPr>
        <w:t xml:space="preserve">谈判文件，经研究，法定代表人（姓名、职务）正式授权（委托代理人姓名、职务）代表供应商（供应商名称、地址）提交谈判响应文件。    </w:t>
      </w:r>
    </w:p>
    <w:p w14:paraId="3D513A49">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据此函，签字代表宣布同意如下：</w:t>
      </w:r>
    </w:p>
    <w:p w14:paraId="186F7220">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1、我方已详阅谈判文件的全部内容，包括澄清、修改条款等有关附件，承诺对其完全理解并接受。</w:t>
      </w:r>
    </w:p>
    <w:p w14:paraId="7203C362">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若在响应文件发出后，</w:t>
      </w:r>
      <w:r>
        <w:rPr>
          <w:rFonts w:hint="eastAsia" w:ascii="宋体" w:hAnsi="宋体" w:eastAsia="宋体" w:cs="宋体"/>
          <w:sz w:val="24"/>
          <w:szCs w:val="24"/>
          <w:highlight w:val="none"/>
        </w:rPr>
        <w:t>我方在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有效期内撤回或成交后不签约的，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保证金将被贵方没收。</w:t>
      </w:r>
    </w:p>
    <w:p w14:paraId="51A4CE65">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3、我方同意按照贵方要求提供与</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有关的一切数据或资料，理解并接受贵方制定的评标办法。</w:t>
      </w:r>
    </w:p>
    <w:p w14:paraId="490F5533">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4、与本</w:t>
      </w:r>
      <w:r>
        <w:rPr>
          <w:rFonts w:hint="eastAsia" w:ascii="宋体" w:hAnsi="宋体" w:eastAsia="宋体" w:cs="宋体"/>
          <w:sz w:val="24"/>
          <w:szCs w:val="24"/>
          <w:highlight w:val="none"/>
          <w:lang w:eastAsia="zh-CN"/>
        </w:rPr>
        <w:t>次竞争性谈判</w:t>
      </w:r>
      <w:r>
        <w:rPr>
          <w:rFonts w:hint="eastAsia" w:ascii="宋体" w:hAnsi="宋体" w:eastAsia="宋体" w:cs="宋体"/>
          <w:sz w:val="24"/>
          <w:szCs w:val="24"/>
          <w:highlight w:val="none"/>
        </w:rPr>
        <w:t>有关的一切正式往来通讯请寄：</w:t>
      </w:r>
    </w:p>
    <w:p w14:paraId="34D28BE5">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地址：_______________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邮编：______________</w:t>
      </w:r>
    </w:p>
    <w:p w14:paraId="13CFCB7C">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电话：_______________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传真：______________</w:t>
      </w:r>
    </w:p>
    <w:p w14:paraId="72E257D9">
      <w:pPr>
        <w:widowControl w:val="0"/>
        <w:wordWrap/>
        <w:adjustRightInd w:val="0"/>
        <w:snapToGrid w:val="0"/>
        <w:spacing w:line="560" w:lineRule="exact"/>
        <w:ind w:firstLine="48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sz w:val="24"/>
          <w:szCs w:val="24"/>
          <w:highlight w:val="none"/>
        </w:rPr>
        <w:t>法定代表人姓名： ___________ 职务：_________</w:t>
      </w:r>
    </w:p>
    <w:p w14:paraId="3FBAD154">
      <w:pPr>
        <w:wordWrap/>
        <w:spacing w:before="157" w:beforeLines="50" w:line="560" w:lineRule="exact"/>
        <w:ind w:firstLine="440" w:firstLineChars="200"/>
        <w:jc w:val="center"/>
        <w:outlineLvl w:val="9"/>
        <w:rPr>
          <w:rFonts w:hint="eastAsia" w:ascii="宋体" w:hAnsi="宋体" w:eastAsia="宋体" w:cs="宋体"/>
          <w:b w:val="0"/>
          <w:bCs/>
          <w:color w:val="000000"/>
          <w:sz w:val="24"/>
          <w:szCs w:val="24"/>
          <w:highlight w:val="none"/>
        </w:rPr>
      </w:pPr>
      <w:r>
        <w:rPr>
          <w:rFonts w:hint="eastAsia" w:ascii="宋体" w:hAnsi="宋体" w:eastAsia="宋体" w:cs="宋体"/>
          <w:color w:val="000000"/>
          <w:sz w:val="22"/>
          <w:szCs w:val="22"/>
          <w:highlight w:val="none"/>
        </w:rPr>
        <w:t xml:space="preserve">         </w:t>
      </w:r>
      <w:r>
        <w:rPr>
          <w:rFonts w:hint="eastAsia" w:ascii="宋体" w:hAnsi="宋体" w:eastAsia="宋体" w:cs="宋体"/>
          <w:b/>
          <w:color w:val="000000"/>
          <w:sz w:val="21"/>
          <w:szCs w:val="21"/>
          <w:highlight w:val="none"/>
        </w:rPr>
        <w:t xml:space="preserve">  </w:t>
      </w:r>
      <w:r>
        <w:rPr>
          <w:rFonts w:hint="eastAsia" w:ascii="宋体" w:hAnsi="宋体" w:eastAsia="宋体" w:cs="宋体"/>
          <w:b w:val="0"/>
          <w:bCs/>
          <w:color w:val="000000"/>
          <w:sz w:val="24"/>
          <w:szCs w:val="24"/>
          <w:highlight w:val="none"/>
        </w:rPr>
        <w:t xml:space="preserve">  </w:t>
      </w:r>
      <w:bookmarkStart w:id="377" w:name="_Toc1506_WPSOffice_Level3"/>
      <w:r>
        <w:rPr>
          <w:rFonts w:hint="eastAsia" w:ascii="宋体" w:hAnsi="宋体" w:eastAsia="宋体" w:cs="宋体"/>
          <w:b w:val="0"/>
          <w:bCs/>
          <w:color w:val="000000"/>
          <w:sz w:val="24"/>
          <w:szCs w:val="24"/>
          <w:highlight w:val="none"/>
          <w:lang w:val="en-US" w:eastAsia="zh-CN"/>
        </w:rPr>
        <w:t xml:space="preserve">               </w:t>
      </w:r>
      <w:bookmarkStart w:id="378" w:name="_Toc28112_WPSOffice_Level3"/>
      <w:r>
        <w:rPr>
          <w:rFonts w:hint="eastAsia" w:ascii="宋体" w:hAnsi="宋体" w:eastAsia="宋体" w:cs="宋体"/>
          <w:b w:val="0"/>
          <w:bCs/>
          <w:color w:val="000000"/>
          <w:sz w:val="24"/>
          <w:szCs w:val="24"/>
          <w:highlight w:val="none"/>
          <w:lang w:eastAsia="zh-CN"/>
        </w:rPr>
        <w:t>单</w:t>
      </w:r>
      <w:r>
        <w:rPr>
          <w:rFonts w:hint="eastAsia" w:ascii="宋体" w:hAnsi="宋体" w:eastAsia="宋体" w:cs="宋体"/>
          <w:b w:val="0"/>
          <w:bCs/>
          <w:color w:val="000000"/>
          <w:sz w:val="24"/>
          <w:szCs w:val="24"/>
          <w:highlight w:val="none"/>
        </w:rPr>
        <w:t>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377"/>
      <w:bookmarkEnd w:id="378"/>
    </w:p>
    <w:p w14:paraId="31CD002B">
      <w:pPr>
        <w:wordWrap/>
        <w:spacing w:before="157" w:beforeLines="50" w:line="560" w:lineRule="exact"/>
        <w:ind w:firstLine="480" w:firstLineChars="200"/>
        <w:jc w:val="center"/>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379" w:name="_Toc6385_WPSOffice_Level3"/>
      <w:bookmarkStart w:id="380" w:name="_Toc28651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379"/>
      <w:bookmarkEnd w:id="380"/>
    </w:p>
    <w:p w14:paraId="5F2E4501">
      <w:pPr>
        <w:wordWrap/>
        <w:spacing w:before="157" w:beforeLines="50" w:line="560" w:lineRule="exact"/>
        <w:ind w:firstLine="480" w:firstLineChars="200"/>
        <w:jc w:val="center"/>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bookmarkStart w:id="381" w:name="_Toc130_WPSOffice_Level3"/>
      <w:bookmarkStart w:id="382" w:name="_Toc13325_WPSOffice_Level3"/>
      <w:r>
        <w:rPr>
          <w:rFonts w:hint="eastAsia" w:ascii="宋体" w:hAnsi="宋体" w:eastAsia="宋体" w:cs="宋体"/>
          <w:b w:val="0"/>
          <w:bCs/>
          <w:color w:val="000000"/>
          <w:sz w:val="24"/>
          <w:szCs w:val="24"/>
          <w:highlight w:val="none"/>
        </w:rPr>
        <w:t>年   月  日</w:t>
      </w:r>
      <w:bookmarkEnd w:id="381"/>
      <w:bookmarkEnd w:id="382"/>
    </w:p>
    <w:p w14:paraId="007B69AC">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154AF567">
      <w:pPr>
        <w:rPr>
          <w:rFonts w:hint="eastAsia" w:ascii="宋体" w:hAnsi="宋体" w:eastAsia="宋体" w:cs="宋体"/>
          <w:b/>
          <w:color w:val="000000"/>
          <w:sz w:val="28"/>
          <w:szCs w:val="28"/>
          <w:highlight w:val="none"/>
          <w:lang w:eastAsia="zh-CN"/>
        </w:rPr>
      </w:pPr>
      <w:bookmarkStart w:id="383" w:name="_Toc16050"/>
      <w:bookmarkStart w:id="384" w:name="_Toc12487"/>
      <w:bookmarkStart w:id="385" w:name="_Toc20882_WPSOffice_Level3"/>
      <w:bookmarkStart w:id="386" w:name="_Toc26257_WPSOffice_Level2"/>
      <w:bookmarkStart w:id="387" w:name="_Toc3082"/>
      <w:bookmarkStart w:id="388" w:name="_Toc17887_WPSOffice_Level2"/>
      <w:r>
        <w:rPr>
          <w:rFonts w:hint="eastAsia" w:ascii="宋体" w:hAnsi="宋体" w:eastAsia="宋体" w:cs="宋体"/>
          <w:b/>
          <w:color w:val="000000"/>
          <w:sz w:val="28"/>
          <w:szCs w:val="28"/>
          <w:highlight w:val="none"/>
          <w:lang w:eastAsia="zh-CN"/>
        </w:rPr>
        <w:br w:type="page"/>
      </w:r>
    </w:p>
    <w:p w14:paraId="2F8EA0E1">
      <w:pPr>
        <w:widowControl/>
        <w:wordWrap/>
        <w:snapToGrid w:val="0"/>
        <w:spacing w:before="157" w:beforeLines="50" w:line="560" w:lineRule="exact"/>
        <w:jc w:val="left"/>
        <w:outlineLvl w:val="2"/>
        <w:rPr>
          <w:rFonts w:hint="eastAsia" w:ascii="宋体" w:hAnsi="宋体" w:eastAsia="宋体" w:cs="宋体"/>
          <w:b/>
          <w:bCs/>
          <w:color w:val="000000"/>
          <w:sz w:val="32"/>
          <w:szCs w:val="32"/>
          <w:highlight w:val="none"/>
        </w:rPr>
      </w:pPr>
      <w:bookmarkStart w:id="389" w:name="_Toc6640"/>
      <w:bookmarkStart w:id="390" w:name="_Toc11236"/>
      <w:r>
        <w:rPr>
          <w:rFonts w:hint="eastAsia" w:ascii="宋体" w:hAnsi="宋体" w:eastAsia="宋体" w:cs="宋体"/>
          <w:b/>
          <w:color w:val="000000"/>
          <w:sz w:val="28"/>
          <w:szCs w:val="28"/>
          <w:highlight w:val="none"/>
          <w:lang w:eastAsia="zh-CN"/>
        </w:rPr>
        <w:t>附件2：法定代表人证明书</w:t>
      </w:r>
      <w:bookmarkEnd w:id="383"/>
      <w:bookmarkEnd w:id="384"/>
      <w:bookmarkEnd w:id="385"/>
      <w:bookmarkEnd w:id="386"/>
      <w:bookmarkEnd w:id="387"/>
      <w:bookmarkEnd w:id="388"/>
      <w:bookmarkEnd w:id="389"/>
      <w:bookmarkEnd w:id="390"/>
    </w:p>
    <w:p w14:paraId="7DDBE1BC">
      <w:pPr>
        <w:widowControl w:val="0"/>
        <w:wordWrap/>
        <w:spacing w:before="157" w:beforeLines="50" w:line="560" w:lineRule="exact"/>
        <w:ind w:firstLine="2530" w:firstLineChars="900"/>
        <w:jc w:val="both"/>
        <w:textAlignment w:val="auto"/>
        <w:outlineLvl w:val="9"/>
        <w:rPr>
          <w:rFonts w:hint="eastAsia" w:ascii="宋体" w:hAnsi="宋体" w:eastAsia="宋体" w:cs="宋体"/>
          <w:b/>
          <w:color w:val="000000"/>
          <w:sz w:val="28"/>
          <w:szCs w:val="28"/>
          <w:highlight w:val="none"/>
          <w:lang w:eastAsia="zh-CN"/>
        </w:rPr>
      </w:pPr>
      <w:bookmarkStart w:id="391" w:name="_Toc28170_WPSOffice_Level2"/>
      <w:bookmarkStart w:id="392" w:name="_Toc6898_WPSOffice_Level2"/>
      <w:bookmarkStart w:id="393" w:name="_Toc32036_WPSOffice_Level1"/>
      <w:bookmarkStart w:id="394" w:name="_Toc14917_WPSOffice_Level1"/>
      <w:r>
        <w:rPr>
          <w:rFonts w:hint="eastAsia" w:ascii="宋体" w:hAnsi="宋体" w:eastAsia="宋体" w:cs="宋体"/>
          <w:b/>
          <w:color w:val="000000"/>
          <w:sz w:val="28"/>
          <w:szCs w:val="28"/>
          <w:highlight w:val="none"/>
          <w:lang w:eastAsia="zh-CN"/>
        </w:rPr>
        <w:t>法定代表人证明书</w:t>
      </w:r>
      <w:bookmarkEnd w:id="391"/>
      <w:bookmarkEnd w:id="392"/>
      <w:bookmarkEnd w:id="393"/>
      <w:bookmarkEnd w:id="394"/>
    </w:p>
    <w:p w14:paraId="32B12CF3">
      <w:pPr>
        <w:wordWrap/>
        <w:spacing w:before="157" w:beforeLines="50" w:line="560" w:lineRule="exact"/>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致：</w:t>
      </w:r>
      <w:r>
        <w:rPr>
          <w:rFonts w:hint="eastAsia" w:ascii="宋体" w:hAnsi="宋体" w:eastAsia="宋体" w:cs="宋体"/>
          <w:b w:val="0"/>
          <w:bCs w:val="0"/>
          <w:color w:val="000000"/>
          <w:sz w:val="24"/>
          <w:szCs w:val="24"/>
          <w:highlight w:val="none"/>
          <w:u w:val="single"/>
          <w:lang w:eastAsia="zh-CN"/>
        </w:rPr>
        <w:t>（代理机构名称）</w:t>
      </w:r>
    </w:p>
    <w:p w14:paraId="11F053E2">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（法定代表人姓名）  </w:t>
      </w:r>
      <w:r>
        <w:rPr>
          <w:rFonts w:hint="eastAsia" w:ascii="宋体" w:hAnsi="宋体" w:eastAsia="宋体" w:cs="宋体"/>
          <w:b w:val="0"/>
          <w:bCs w:val="0"/>
          <w:color w:val="000000"/>
          <w:sz w:val="24"/>
          <w:szCs w:val="24"/>
          <w:highlight w:val="none"/>
        </w:rPr>
        <w:t>现任我单位</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职务，为法定代表人，特此证明。</w:t>
      </w:r>
    </w:p>
    <w:p w14:paraId="1FE2F43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法定代表人基本情况：</w:t>
      </w:r>
    </w:p>
    <w:p w14:paraId="24E1E67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性别：</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年龄：</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民族：</w:t>
      </w:r>
      <w:r>
        <w:rPr>
          <w:rFonts w:hint="eastAsia" w:ascii="宋体" w:hAnsi="宋体" w:eastAsia="宋体" w:cs="宋体"/>
          <w:b w:val="0"/>
          <w:bCs w:val="0"/>
          <w:color w:val="000000"/>
          <w:sz w:val="24"/>
          <w:szCs w:val="24"/>
          <w:highlight w:val="none"/>
          <w:u w:val="single"/>
        </w:rPr>
        <w:t xml:space="preserve">     </w:t>
      </w:r>
    </w:p>
    <w:p w14:paraId="4412BB69">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地址：</w:t>
      </w:r>
      <w:r>
        <w:rPr>
          <w:rFonts w:hint="eastAsia" w:ascii="宋体" w:hAnsi="宋体" w:eastAsia="宋体" w:cs="宋体"/>
          <w:b w:val="0"/>
          <w:bCs w:val="0"/>
          <w:color w:val="000000"/>
          <w:sz w:val="24"/>
          <w:szCs w:val="24"/>
          <w:highlight w:val="none"/>
          <w:u w:val="single"/>
        </w:rPr>
        <w:t xml:space="preserve">                             </w:t>
      </w:r>
    </w:p>
    <w:p w14:paraId="170E775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身份证号码：</w:t>
      </w:r>
      <w:r>
        <w:rPr>
          <w:rFonts w:hint="eastAsia" w:ascii="宋体" w:hAnsi="宋体" w:eastAsia="宋体" w:cs="宋体"/>
          <w:b w:val="0"/>
          <w:bCs w:val="0"/>
          <w:color w:val="000000"/>
          <w:sz w:val="24"/>
          <w:szCs w:val="24"/>
          <w:highlight w:val="none"/>
          <w:u w:val="single"/>
        </w:rPr>
        <w:t xml:space="preserve">                       </w:t>
      </w:r>
    </w:p>
    <w:p w14:paraId="16B1942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附法定代表人第二代身份证双面扫描</w:t>
      </w:r>
      <w:r>
        <w:rPr>
          <w:rFonts w:hint="eastAsia" w:ascii="宋体" w:hAnsi="宋体" w:eastAsia="宋体" w:cs="宋体"/>
          <w:b w:val="0"/>
          <w:bCs w:val="0"/>
          <w:color w:val="000000"/>
          <w:sz w:val="24"/>
          <w:szCs w:val="24"/>
          <w:highlight w:val="none"/>
          <w:lang w:eastAsia="zh-CN"/>
        </w:rPr>
        <w:t>或其他身份证明材料</w:t>
      </w:r>
      <w:r>
        <w:rPr>
          <w:rFonts w:hint="eastAsia" w:ascii="宋体" w:hAnsi="宋体" w:eastAsia="宋体" w:cs="宋体"/>
          <w:b w:val="0"/>
          <w:bCs w:val="0"/>
          <w:color w:val="000000"/>
          <w:sz w:val="24"/>
          <w:szCs w:val="24"/>
          <w:highlight w:val="none"/>
        </w:rPr>
        <w:t>（复印件</w:t>
      </w:r>
      <w:r>
        <w:rPr>
          <w:rFonts w:hint="eastAsia" w:ascii="宋体" w:hAnsi="宋体" w:eastAsia="宋体" w:cs="宋体"/>
          <w:sz w:val="24"/>
          <w:szCs w:val="24"/>
          <w:highlight w:val="none"/>
          <w:lang w:eastAsia="zh-CN"/>
        </w:rPr>
        <w:t>）</w:t>
      </w:r>
    </w:p>
    <w:p w14:paraId="4055B5F4">
      <w:pPr>
        <w:wordWrap/>
        <w:autoSpaceDE w:val="0"/>
        <w:autoSpaceDN w:val="0"/>
        <w:adjustRightInd w:val="0"/>
        <w:spacing w:before="157" w:beforeLines="50" w:line="560" w:lineRule="exact"/>
        <w:ind w:firstLine="420" w:firstLineChars="200"/>
        <w:jc w:val="left"/>
        <w:outlineLvl w:val="9"/>
        <w:rPr>
          <w:rFonts w:hint="eastAsia" w:ascii="宋体" w:hAnsi="宋体" w:eastAsia="宋体" w:cs="宋体"/>
          <w:color w:val="000000"/>
          <w:kern w:val="0"/>
          <w:sz w:val="21"/>
          <w:szCs w:val="21"/>
          <w:highlight w:val="none"/>
        </w:rPr>
      </w:pPr>
    </w:p>
    <w:p w14:paraId="00A11686">
      <w:pPr>
        <w:wordWrap/>
        <w:autoSpaceDE w:val="0"/>
        <w:autoSpaceDN w:val="0"/>
        <w:adjustRightInd w:val="0"/>
        <w:spacing w:before="157" w:beforeLines="50" w:line="560" w:lineRule="exact"/>
        <w:jc w:val="righ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单位</w:t>
      </w:r>
      <w:r>
        <w:rPr>
          <w:rFonts w:hint="eastAsia" w:ascii="宋体" w:hAnsi="宋体" w:eastAsia="宋体" w:cs="宋体"/>
          <w:b w:val="0"/>
          <w:bCs w:val="0"/>
          <w:color w:val="000000"/>
          <w:sz w:val="24"/>
          <w:szCs w:val="24"/>
          <w:highlight w:val="none"/>
          <w:lang w:eastAsia="zh-CN"/>
        </w:rPr>
        <w:t>名称</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（公章）</w:t>
      </w:r>
    </w:p>
    <w:p w14:paraId="06376DD5">
      <w:pPr>
        <w:widowControl w:val="0"/>
        <w:wordWrap/>
        <w:adjustRightInd/>
        <w:snapToGrid/>
        <w:spacing w:before="157" w:beforeLines="50" w:line="560" w:lineRule="exact"/>
        <w:ind w:firstLine="42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 xml:space="preserve">      </w:t>
      </w: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 xml:space="preserve">法定代表人：  </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（签字或盖章）             </w:t>
      </w:r>
    </w:p>
    <w:p w14:paraId="29222C52">
      <w:pPr>
        <w:wordWrap/>
        <w:autoSpaceDE w:val="0"/>
        <w:autoSpaceDN w:val="0"/>
        <w:adjustRightInd w:val="0"/>
        <w:spacing w:before="157" w:beforeLines="50" w:line="560" w:lineRule="exact"/>
        <w:jc w:val="center"/>
        <w:outlineLvl w:val="9"/>
        <w:rPr>
          <w:rFonts w:hint="eastAsia" w:ascii="宋体" w:hAnsi="宋体" w:eastAsia="宋体" w:cs="宋体"/>
          <w:b w:val="0"/>
          <w:bCs w:val="0"/>
          <w:color w:val="000000"/>
          <w:sz w:val="24"/>
          <w:szCs w:val="24"/>
          <w:highlight w:val="none"/>
        </w:rPr>
      </w:pPr>
      <w:bookmarkStart w:id="395" w:name="_Toc10597_WPSOffice_Level3"/>
      <w:r>
        <w:rPr>
          <w:rFonts w:hint="eastAsia" w:ascii="宋体" w:hAnsi="宋体" w:eastAsia="宋体" w:cs="宋体"/>
          <w:b w:val="0"/>
          <w:bCs w:val="0"/>
          <w:color w:val="000000"/>
          <w:sz w:val="24"/>
          <w:szCs w:val="24"/>
          <w:highlight w:val="none"/>
          <w:lang w:val="en-US" w:eastAsia="zh-CN"/>
        </w:rPr>
        <w:t xml:space="preserve">                                       </w:t>
      </w:r>
      <w:bookmarkStart w:id="396" w:name="_Toc16117_WPSOffice_Level3"/>
      <w:r>
        <w:rPr>
          <w:rFonts w:hint="eastAsia" w:ascii="宋体" w:hAnsi="宋体" w:eastAsia="宋体" w:cs="宋体"/>
          <w:b w:val="0"/>
          <w:bCs w:val="0"/>
          <w:color w:val="000000"/>
          <w:sz w:val="24"/>
          <w:szCs w:val="24"/>
          <w:highlight w:val="none"/>
        </w:rPr>
        <w:t>年   月   日</w:t>
      </w:r>
      <w:bookmarkEnd w:id="395"/>
      <w:bookmarkEnd w:id="396"/>
    </w:p>
    <w:p w14:paraId="268216C0">
      <w:pPr>
        <w:wordWrap/>
        <w:spacing w:before="157" w:beforeLines="50" w:line="560" w:lineRule="exact"/>
        <w:ind w:right="480"/>
        <w:jc w:val="right"/>
        <w:outlineLvl w:val="9"/>
        <w:rPr>
          <w:rFonts w:hint="eastAsia" w:ascii="宋体" w:hAnsi="宋体" w:eastAsia="宋体" w:cs="宋体"/>
          <w:b/>
          <w:color w:val="000000"/>
          <w:sz w:val="32"/>
          <w:szCs w:val="32"/>
          <w:highlight w:val="none"/>
        </w:rPr>
      </w:pPr>
    </w:p>
    <w:p w14:paraId="6D7DD6C7">
      <w:pPr>
        <w:wordWrap/>
        <w:spacing w:before="157" w:beforeLines="50" w:line="560" w:lineRule="exact"/>
        <w:jc w:val="right"/>
        <w:rPr>
          <w:rFonts w:hint="eastAsia" w:ascii="宋体" w:hAnsi="宋体" w:eastAsia="宋体" w:cs="宋体"/>
          <w:b/>
          <w:color w:val="000000"/>
          <w:sz w:val="32"/>
          <w:szCs w:val="32"/>
          <w:highlight w:val="none"/>
        </w:rPr>
      </w:pPr>
    </w:p>
    <w:p w14:paraId="7A9BC641">
      <w:pPr>
        <w:wordWrap/>
        <w:spacing w:before="157" w:beforeLines="50" w:line="560" w:lineRule="exact"/>
        <w:rPr>
          <w:rFonts w:hint="eastAsia" w:ascii="宋体" w:hAnsi="宋体" w:eastAsia="宋体" w:cs="宋体"/>
          <w:b/>
          <w:color w:val="000000"/>
          <w:sz w:val="32"/>
          <w:szCs w:val="32"/>
          <w:highlight w:val="none"/>
        </w:rPr>
      </w:pPr>
    </w:p>
    <w:p w14:paraId="2D3A9875">
      <w:pPr>
        <w:rPr>
          <w:rFonts w:hint="eastAsia" w:ascii="宋体" w:hAnsi="宋体" w:eastAsia="宋体" w:cs="宋体"/>
          <w:b/>
          <w:color w:val="000000"/>
          <w:sz w:val="28"/>
          <w:szCs w:val="28"/>
          <w:highlight w:val="none"/>
          <w:lang w:eastAsia="zh-CN"/>
        </w:rPr>
      </w:pPr>
      <w:bookmarkStart w:id="397" w:name="_Toc23035_WPSOffice_Level2"/>
      <w:bookmarkStart w:id="398" w:name="_Toc27782"/>
      <w:bookmarkStart w:id="399" w:name="_Toc18183"/>
      <w:bookmarkStart w:id="400" w:name="_Toc31901"/>
      <w:bookmarkStart w:id="401" w:name="_Toc21545_WPSOffice_Level3"/>
      <w:r>
        <w:rPr>
          <w:rFonts w:hint="eastAsia" w:ascii="宋体" w:hAnsi="宋体" w:eastAsia="宋体" w:cs="宋体"/>
          <w:b/>
          <w:color w:val="000000"/>
          <w:sz w:val="28"/>
          <w:szCs w:val="28"/>
          <w:highlight w:val="none"/>
          <w:lang w:eastAsia="zh-CN"/>
        </w:rPr>
        <w:br w:type="page"/>
      </w:r>
    </w:p>
    <w:bookmarkEnd w:id="397"/>
    <w:bookmarkEnd w:id="398"/>
    <w:bookmarkEnd w:id="399"/>
    <w:bookmarkEnd w:id="400"/>
    <w:bookmarkEnd w:id="401"/>
    <w:p w14:paraId="24FA6454">
      <w:pPr>
        <w:widowControl/>
        <w:wordWrap/>
        <w:snapToGrid w:val="0"/>
        <w:spacing w:before="157" w:beforeLines="50" w:line="560" w:lineRule="exact"/>
        <w:jc w:val="left"/>
        <w:outlineLvl w:val="2"/>
        <w:rPr>
          <w:rFonts w:hint="eastAsia" w:ascii="宋体" w:hAnsi="宋体" w:eastAsia="宋体" w:cs="宋体"/>
          <w:b/>
          <w:color w:val="000000"/>
          <w:sz w:val="28"/>
          <w:szCs w:val="28"/>
          <w:highlight w:val="none"/>
          <w:lang w:eastAsia="zh-CN"/>
        </w:rPr>
      </w:pPr>
      <w:bookmarkStart w:id="402" w:name="_Toc23122"/>
      <w:bookmarkStart w:id="403" w:name="_Toc18392"/>
      <w:r>
        <w:rPr>
          <w:rFonts w:hint="eastAsia" w:ascii="宋体" w:hAnsi="宋体" w:eastAsia="宋体" w:cs="宋体"/>
          <w:b/>
          <w:color w:val="000000"/>
          <w:sz w:val="28"/>
          <w:szCs w:val="28"/>
          <w:highlight w:val="none"/>
          <w:lang w:eastAsia="zh-CN"/>
        </w:rPr>
        <w:t>附件3：法定代表人授权书</w:t>
      </w:r>
      <w:bookmarkEnd w:id="402"/>
      <w:bookmarkEnd w:id="403"/>
    </w:p>
    <w:p w14:paraId="5FD8DF5F">
      <w:pPr>
        <w:widowControl w:val="0"/>
        <w:wordWrap/>
        <w:spacing w:before="157" w:beforeLines="50" w:line="560" w:lineRule="exact"/>
        <w:ind w:firstLine="2891" w:firstLineChars="900"/>
        <w:jc w:val="both"/>
        <w:textAlignment w:val="auto"/>
        <w:outlineLvl w:val="9"/>
        <w:rPr>
          <w:rFonts w:hint="eastAsia" w:ascii="仿宋_GB2312" w:hAnsi="仿宋_GB2312" w:eastAsia="仿宋_GB2312" w:cs="仿宋_GB2312"/>
          <w:b/>
          <w:color w:val="000000"/>
          <w:sz w:val="32"/>
          <w:szCs w:val="32"/>
          <w:lang w:eastAsia="zh-CN"/>
        </w:rPr>
      </w:pPr>
      <w:bookmarkStart w:id="404" w:name="_Toc1148_WPSOffice_Level3"/>
      <w:bookmarkStart w:id="405" w:name="_Toc5048_WPSOffice_Level2"/>
      <w:bookmarkStart w:id="406" w:name="_Toc26434_WPSOffice_Level2"/>
      <w:r>
        <w:rPr>
          <w:rFonts w:hint="eastAsia" w:ascii="仿宋_GB2312" w:hAnsi="仿宋_GB2312" w:eastAsia="仿宋_GB2312" w:cs="仿宋_GB2312"/>
          <w:b/>
          <w:color w:val="000000"/>
          <w:sz w:val="32"/>
          <w:szCs w:val="32"/>
          <w:lang w:eastAsia="zh-CN"/>
        </w:rPr>
        <w:t>法定代表人授权书</w:t>
      </w:r>
      <w:bookmarkEnd w:id="404"/>
      <w:bookmarkEnd w:id="405"/>
      <w:bookmarkEnd w:id="406"/>
    </w:p>
    <w:p w14:paraId="01D751D2">
      <w:pPr>
        <w:widowControl w:val="0"/>
        <w:wordWrap/>
        <w:adjustRightInd/>
        <w:snapToGrid/>
        <w:spacing w:line="560" w:lineRule="exact"/>
        <w:ind w:firstLine="196" w:firstLineChars="82"/>
        <w:textAlignment w:val="auto"/>
        <w:outlineLvl w:val="9"/>
        <w:rPr>
          <w:rFonts w:hint="eastAsia" w:ascii="宋体" w:hAnsi="宋体" w:eastAsia="宋体" w:cs="宋体"/>
          <w:b w:val="0"/>
          <w:bCs w:val="0"/>
          <w:color w:val="000000"/>
          <w:sz w:val="24"/>
          <w:szCs w:val="24"/>
          <w:u w:val="single"/>
        </w:rPr>
      </w:pPr>
      <w:bookmarkStart w:id="407" w:name="_Toc16084_WPSOffice_Level2"/>
      <w:bookmarkStart w:id="408" w:name="_Toc25306_WPSOffice_Level2"/>
      <w:bookmarkStart w:id="409" w:name="_Toc6307_WPSOffice_Level2"/>
      <w:r>
        <w:rPr>
          <w:rFonts w:hint="eastAsia" w:ascii="宋体" w:hAnsi="宋体" w:eastAsia="宋体" w:cs="宋体"/>
          <w:b w:val="0"/>
          <w:bCs w:val="0"/>
          <w:color w:val="000000"/>
          <w:sz w:val="24"/>
          <w:szCs w:val="24"/>
        </w:rPr>
        <w:t>致：</w:t>
      </w:r>
      <w:r>
        <w:rPr>
          <w:rFonts w:hint="eastAsia" w:ascii="宋体" w:hAnsi="宋体" w:eastAsia="宋体" w:cs="宋体"/>
          <w:b w:val="0"/>
          <w:bCs w:val="0"/>
          <w:color w:val="000000"/>
          <w:sz w:val="24"/>
          <w:szCs w:val="24"/>
          <w:u w:val="single"/>
          <w:lang w:eastAsia="zh-CN"/>
        </w:rPr>
        <w:t>（代理机构名称）</w:t>
      </w:r>
      <w:bookmarkEnd w:id="407"/>
      <w:bookmarkEnd w:id="408"/>
      <w:bookmarkEnd w:id="409"/>
    </w:p>
    <w:p w14:paraId="237A2F4E">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（供应商名称）  </w:t>
      </w:r>
      <w:r>
        <w:rPr>
          <w:rFonts w:hint="eastAsia" w:ascii="宋体" w:hAnsi="宋体" w:eastAsia="宋体" w:cs="宋体"/>
          <w:b w:val="0"/>
          <w:bCs w:val="0"/>
          <w:color w:val="000000"/>
          <w:sz w:val="24"/>
          <w:szCs w:val="24"/>
          <w:highlight w:val="none"/>
        </w:rPr>
        <w:t>系中华人民共和国合法企业，法定地址</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30F73F7B">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（法定代表人姓名）   </w:t>
      </w:r>
      <w:r>
        <w:rPr>
          <w:rFonts w:hint="eastAsia" w:ascii="宋体" w:hAnsi="宋体" w:eastAsia="宋体" w:cs="宋体"/>
          <w:b w:val="0"/>
          <w:bCs w:val="0"/>
          <w:color w:val="000000"/>
          <w:sz w:val="24"/>
          <w:szCs w:val="24"/>
          <w:highlight w:val="none"/>
        </w:rPr>
        <w:t>特授权 （委托代理人姓名）</w:t>
      </w:r>
      <w:r>
        <w:rPr>
          <w:rFonts w:hint="eastAsia" w:ascii="宋体" w:hAnsi="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代表我单位全权办理针对</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项目的</w:t>
      </w:r>
      <w:r>
        <w:rPr>
          <w:rFonts w:hint="eastAsia" w:ascii="宋体" w:hAnsi="宋体" w:eastAsia="宋体" w:cs="宋体"/>
          <w:b w:val="0"/>
          <w:bCs w:val="0"/>
          <w:color w:val="000000"/>
          <w:sz w:val="24"/>
          <w:szCs w:val="24"/>
          <w:highlight w:val="none"/>
          <w:lang w:eastAsia="zh-CN"/>
        </w:rPr>
        <w:t>谈判、答疑</w:t>
      </w:r>
      <w:r>
        <w:rPr>
          <w:rFonts w:hint="eastAsia" w:ascii="宋体" w:hAnsi="宋体" w:eastAsia="宋体" w:cs="宋体"/>
          <w:b w:val="0"/>
          <w:bCs w:val="0"/>
          <w:color w:val="000000"/>
          <w:sz w:val="24"/>
          <w:szCs w:val="24"/>
          <w:highlight w:val="none"/>
        </w:rPr>
        <w:t>等具体工作，并签署全部有关的文件、资料。</w:t>
      </w:r>
    </w:p>
    <w:p w14:paraId="2FAE7B5E">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我单位对被授权人的签名负全部责任。</w:t>
      </w:r>
    </w:p>
    <w:p w14:paraId="56515FC5">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在撤销授权的书面通知以前，本授权书一直有效，被授权人签署的所有文件（在授权书有效期内签署的）不因授权的撤销而失效。</w:t>
      </w:r>
    </w:p>
    <w:p w14:paraId="3F354B7A">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授权期限：</w:t>
      </w:r>
      <w:r>
        <w:rPr>
          <w:rFonts w:hint="eastAsia" w:ascii="宋体" w:hAnsi="宋体" w:eastAsia="宋体" w:cs="宋体"/>
          <w:b w:val="0"/>
          <w:bCs w:val="0"/>
          <w:color w:val="000000"/>
          <w:sz w:val="24"/>
          <w:szCs w:val="24"/>
          <w:highlight w:val="none"/>
          <w:u w:val="single"/>
        </w:rPr>
        <w:t>自      年   月   日起至      年   月   日止。</w:t>
      </w:r>
    </w:p>
    <w:p w14:paraId="0ED9C50C">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被授权人联系电话：          </w:t>
      </w:r>
    </w:p>
    <w:p w14:paraId="2E6BB640">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被授权人（委托代理人）签字或盖章：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职务：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40237A5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授权人（法定代表人）签字或盖章：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职务：</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0A2048F2">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附被授权人第二代身份证双面扫描（或复印）件</w:t>
      </w:r>
    </w:p>
    <w:p w14:paraId="4E2A64D1">
      <w:pPr>
        <w:wordWrap/>
        <w:autoSpaceDE w:val="0"/>
        <w:autoSpaceDN w:val="0"/>
        <w:adjustRightInd w:val="0"/>
        <w:spacing w:before="157" w:beforeLines="50" w:line="560" w:lineRule="exact"/>
        <w:ind w:firstLine="4320" w:firstLineChars="1800"/>
        <w:jc w:val="left"/>
        <w:outlineLvl w:val="9"/>
        <w:rPr>
          <w:rFonts w:hint="eastAsia" w:ascii="宋体" w:hAnsi="宋体" w:eastAsia="宋体" w:cs="宋体"/>
          <w:b w:val="0"/>
          <w:bCs w:val="0"/>
          <w:color w:val="000000"/>
          <w:sz w:val="24"/>
          <w:szCs w:val="24"/>
          <w:highlight w:val="none"/>
        </w:rPr>
      </w:pPr>
      <w:bookmarkStart w:id="410" w:name="_Toc13837_WPSOffice_Level3"/>
      <w:r>
        <w:rPr>
          <w:rFonts w:hint="eastAsia" w:ascii="宋体" w:hAnsi="宋体" w:eastAsia="宋体" w:cs="宋体"/>
          <w:b w:val="0"/>
          <w:bCs w:val="0"/>
          <w:color w:val="000000"/>
          <w:sz w:val="24"/>
          <w:szCs w:val="24"/>
          <w:highlight w:val="none"/>
        </w:rPr>
        <w:t>单位</w:t>
      </w:r>
      <w:r>
        <w:rPr>
          <w:rFonts w:hint="eastAsia" w:ascii="宋体" w:hAnsi="宋体" w:eastAsia="宋体" w:cs="宋体"/>
          <w:b w:val="0"/>
          <w:bCs w:val="0"/>
          <w:color w:val="000000"/>
          <w:sz w:val="24"/>
          <w:szCs w:val="24"/>
          <w:highlight w:val="none"/>
          <w:lang w:eastAsia="zh-CN"/>
        </w:rPr>
        <w:t>名称</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（公章）</w:t>
      </w:r>
      <w:bookmarkEnd w:id="410"/>
      <w:r>
        <w:rPr>
          <w:rFonts w:hint="eastAsia" w:ascii="宋体" w:hAnsi="宋体" w:eastAsia="宋体" w:cs="宋体"/>
          <w:b w:val="0"/>
          <w:bCs w:val="0"/>
          <w:color w:val="000000"/>
          <w:sz w:val="24"/>
          <w:szCs w:val="24"/>
          <w:highlight w:val="none"/>
        </w:rPr>
        <w:t xml:space="preserve">    </w:t>
      </w:r>
    </w:p>
    <w:p w14:paraId="13589816">
      <w:pPr>
        <w:wordWrap/>
        <w:autoSpaceDE w:val="0"/>
        <w:autoSpaceDN w:val="0"/>
        <w:adjustRightInd w:val="0"/>
        <w:spacing w:before="157" w:beforeLines="50" w:line="560" w:lineRule="exact"/>
        <w:ind w:firstLine="480" w:firstLineChars="200"/>
        <w:jc w:val="right"/>
        <w:outlineLvl w:val="9"/>
        <w:rPr>
          <w:rFonts w:hint="eastAsia" w:ascii="宋体" w:hAnsi="宋体" w:eastAsia="宋体" w:cs="宋体"/>
          <w:b w:val="0"/>
          <w:bCs w:val="0"/>
          <w:color w:val="000000"/>
          <w:sz w:val="24"/>
          <w:szCs w:val="24"/>
          <w:highlight w:val="none"/>
        </w:rPr>
      </w:pP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 xml:space="preserve">法定代表人：  </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（签字或盖章）                  </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sz w:val="24"/>
          <w:szCs w:val="24"/>
          <w:highlight w:val="none"/>
          <w:lang w:val="en-US" w:eastAsia="zh-CN"/>
        </w:rPr>
        <w:t xml:space="preserve">  </w:t>
      </w:r>
      <w:bookmarkStart w:id="411" w:name="_Toc32599_WPSOffice_Level3"/>
      <w:bookmarkStart w:id="412" w:name="_Toc6591_WPSOffice_Level3"/>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年   月   日</w:t>
      </w:r>
      <w:bookmarkEnd w:id="411"/>
      <w:bookmarkEnd w:id="412"/>
    </w:p>
    <w:p w14:paraId="55D8BBD8">
      <w:pPr>
        <w:wordWrap/>
        <w:spacing w:before="157" w:beforeLines="50" w:line="560" w:lineRule="exact"/>
        <w:outlineLvl w:val="9"/>
        <w:rPr>
          <w:rFonts w:hint="eastAsia" w:ascii="宋体" w:hAnsi="宋体"/>
          <w:b/>
          <w:bCs/>
          <w:color w:val="000000"/>
          <w:sz w:val="24"/>
        </w:rPr>
      </w:pPr>
    </w:p>
    <w:p w14:paraId="76D3C46F">
      <w:pPr>
        <w:wordWrap/>
        <w:spacing w:before="157" w:beforeLines="50" w:line="560" w:lineRule="exact"/>
        <w:outlineLvl w:val="9"/>
        <w:rPr>
          <w:rFonts w:hint="eastAsia" w:ascii="宋体" w:hAnsi="宋体" w:eastAsia="宋体" w:cs="宋体"/>
          <w:b/>
          <w:bCs/>
          <w:color w:val="000000"/>
          <w:sz w:val="22"/>
          <w:szCs w:val="22"/>
          <w:highlight w:val="none"/>
        </w:rPr>
      </w:pPr>
    </w:p>
    <w:p w14:paraId="091E7BCF">
      <w:pPr>
        <w:rPr>
          <w:rFonts w:hint="eastAsia" w:ascii="宋体" w:hAnsi="宋体" w:eastAsia="宋体" w:cs="宋体"/>
          <w:b/>
          <w:color w:val="000000"/>
          <w:sz w:val="28"/>
          <w:szCs w:val="28"/>
          <w:highlight w:val="none"/>
          <w:lang w:eastAsia="zh-CN"/>
        </w:rPr>
      </w:pPr>
      <w:bookmarkStart w:id="413" w:name="_Toc26653_WPSOffice_Level3"/>
      <w:bookmarkStart w:id="414" w:name="_Toc23618"/>
      <w:bookmarkStart w:id="415" w:name="_Toc30919"/>
      <w:bookmarkStart w:id="416" w:name="_Toc7737_WPSOffice_Level3"/>
      <w:bookmarkStart w:id="417" w:name="_Toc16704"/>
      <w:r>
        <w:rPr>
          <w:rFonts w:hint="eastAsia" w:ascii="宋体" w:hAnsi="宋体" w:eastAsia="宋体" w:cs="宋体"/>
          <w:b/>
          <w:color w:val="000000"/>
          <w:sz w:val="28"/>
          <w:szCs w:val="28"/>
          <w:highlight w:val="none"/>
          <w:lang w:eastAsia="zh-CN"/>
        </w:rPr>
        <w:br w:type="page"/>
      </w:r>
    </w:p>
    <w:bookmarkEnd w:id="413"/>
    <w:bookmarkEnd w:id="414"/>
    <w:bookmarkEnd w:id="415"/>
    <w:bookmarkEnd w:id="416"/>
    <w:bookmarkEnd w:id="417"/>
    <w:p w14:paraId="7EEF17CE">
      <w:pPr>
        <w:keepNext w:val="0"/>
        <w:keepLines w:val="0"/>
        <w:pageBreakBefore w:val="0"/>
        <w:widowControl/>
        <w:kinsoku/>
        <w:wordWrap/>
        <w:overflowPunct/>
        <w:topLinePunct w:val="0"/>
        <w:autoSpaceDE/>
        <w:autoSpaceDN/>
        <w:bidi w:val="0"/>
        <w:adjustRightInd/>
        <w:snapToGrid w:val="0"/>
        <w:spacing w:before="157" w:beforeLines="50" w:line="520" w:lineRule="exact"/>
        <w:textAlignment w:val="auto"/>
        <w:outlineLvl w:val="1"/>
        <w:rPr>
          <w:rFonts w:hint="eastAsia" w:ascii="宋体" w:hAnsi="宋体" w:eastAsia="宋体" w:cs="宋体"/>
          <w:b/>
          <w:color w:val="000000"/>
          <w:sz w:val="28"/>
          <w:szCs w:val="28"/>
          <w:highlight w:val="none"/>
          <w:lang w:eastAsia="zh-CN"/>
        </w:rPr>
      </w:pPr>
      <w:bookmarkStart w:id="418" w:name="_Toc11342"/>
      <w:bookmarkStart w:id="419" w:name="_Toc13124"/>
      <w:bookmarkStart w:id="420" w:name="_Toc653_WPSOffice_Level3"/>
      <w:bookmarkStart w:id="421" w:name="_Toc20884"/>
      <w:bookmarkStart w:id="422" w:name="_Toc6416"/>
      <w:bookmarkStart w:id="423" w:name="_Toc26773_WPSOffice_Level3"/>
      <w:bookmarkStart w:id="424" w:name="_Toc25740"/>
      <w:r>
        <w:rPr>
          <w:rFonts w:hint="eastAsia" w:ascii="宋体" w:hAnsi="宋体" w:eastAsia="宋体" w:cs="宋体"/>
          <w:b/>
          <w:color w:val="000000"/>
          <w:sz w:val="28"/>
          <w:szCs w:val="28"/>
          <w:highlight w:val="none"/>
          <w:lang w:eastAsia="zh-CN"/>
        </w:rPr>
        <w:t>附件4：供应商承诺函</w:t>
      </w:r>
      <w:bookmarkEnd w:id="418"/>
      <w:bookmarkEnd w:id="419"/>
    </w:p>
    <w:p w14:paraId="3C1441ED">
      <w:pPr>
        <w:widowControl w:val="0"/>
        <w:wordWrap/>
        <w:spacing w:before="157" w:beforeLines="50" w:line="560" w:lineRule="exact"/>
        <w:ind w:firstLine="2891" w:firstLineChars="900"/>
        <w:jc w:val="both"/>
        <w:textAlignment w:val="auto"/>
        <w:outlineLvl w:val="9"/>
        <w:rPr>
          <w:rFonts w:hint="eastAsia" w:ascii="仿宋_GB2312" w:hAnsi="仿宋_GB2312" w:eastAsia="仿宋_GB2312" w:cs="仿宋_GB2312"/>
          <w:b/>
          <w:color w:val="000000"/>
          <w:sz w:val="32"/>
          <w:szCs w:val="32"/>
          <w:lang w:eastAsia="zh-CN"/>
        </w:rPr>
      </w:pPr>
      <w:bookmarkStart w:id="425" w:name="_Toc27597_WPSOffice_Level3"/>
      <w:bookmarkStart w:id="426" w:name="_Toc17639_WPSOffice_Level2"/>
      <w:bookmarkStart w:id="427" w:name="_Toc2453_WPSOffice_Level2"/>
      <w:r>
        <w:rPr>
          <w:rFonts w:hint="eastAsia" w:ascii="仿宋_GB2312" w:hAnsi="仿宋_GB2312" w:eastAsia="仿宋_GB2312" w:cs="仿宋_GB2312"/>
          <w:b/>
          <w:color w:val="000000"/>
          <w:sz w:val="32"/>
          <w:szCs w:val="32"/>
          <w:lang w:eastAsia="zh-CN"/>
        </w:rPr>
        <w:t>供应商承诺函</w:t>
      </w:r>
      <w:bookmarkEnd w:id="425"/>
      <w:bookmarkEnd w:id="426"/>
      <w:bookmarkEnd w:id="427"/>
    </w:p>
    <w:p w14:paraId="240B45C4">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致：</w:t>
      </w:r>
      <w:r>
        <w:rPr>
          <w:rFonts w:hint="eastAsia" w:ascii="宋体" w:hAnsi="宋体" w:eastAsia="宋体" w:cs="宋体"/>
          <w:b w:val="0"/>
          <w:bCs w:val="0"/>
          <w:color w:val="000000"/>
          <w:sz w:val="24"/>
          <w:szCs w:val="24"/>
          <w:highlight w:val="none"/>
          <w:u w:val="single"/>
          <w:lang w:eastAsia="zh-CN"/>
        </w:rPr>
        <w:t>（代理机构名称）</w:t>
      </w:r>
    </w:p>
    <w:p w14:paraId="14BAC3AF">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关于贵方</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 xml:space="preserve">年  月  日  </w:t>
      </w:r>
      <w:r>
        <w:rPr>
          <w:rFonts w:hint="eastAsia" w:ascii="宋体" w:hAnsi="宋体" w:eastAsia="宋体" w:cs="宋体"/>
          <w:b w:val="0"/>
          <w:bCs w:val="0"/>
          <w:color w:val="000000"/>
          <w:sz w:val="24"/>
          <w:szCs w:val="24"/>
          <w:highlight w:val="none"/>
          <w:u w:val="single"/>
          <w:lang w:eastAsia="zh-CN"/>
        </w:rPr>
        <w:t xml:space="preserve">       </w:t>
      </w:r>
      <w:r>
        <w:rPr>
          <w:rFonts w:hint="eastAsia" w:ascii="宋体" w:hAnsi="宋体" w:eastAsia="宋体" w:cs="宋体"/>
          <w:b w:val="0"/>
          <w:bCs w:val="0"/>
          <w:color w:val="000000"/>
          <w:sz w:val="24"/>
          <w:szCs w:val="24"/>
          <w:highlight w:val="none"/>
          <w:lang w:eastAsia="zh-CN"/>
        </w:rPr>
        <w:t>（项目名称及编号）采购项目，本签字人愿意参加谈判，提供采购一览表中要求的所有产品，并证实提交的所有资料是准确的和真实的。同时，我代表</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eastAsia="zh-CN"/>
        </w:rPr>
        <w:t>（供应商名称），在此作如下承诺：</w:t>
      </w:r>
    </w:p>
    <w:p w14:paraId="65FF763C">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1、完全理解和接受谈判文件的一切规定和要求；</w:t>
      </w:r>
    </w:p>
    <w:p w14:paraId="7BE99969">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若成交，我方将按照谈判文件的具体规定与采购人签订采购合同，并且严格履行合同义务，按时交货，提供优质的产品和服务。如果在合同执行过程中，发现质量、数量出现问题，我方一定尽快更换或补退货，并承担相应的经济责任；</w:t>
      </w:r>
    </w:p>
    <w:p w14:paraId="26C85367">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3、我方保证甲方在使用该产品或其任何一部分时，不受第三方提出的侵犯专利权、著作权、商标权和工业设计权等知识产权的起诉，若有违反，愿承担相应的一切责任。</w:t>
      </w:r>
    </w:p>
    <w:p w14:paraId="080CDB91">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4、我方承诺，除谈判文件中规定的优质产品外，所投的产品均为国产产品，且均符合国家强制性标准。若有不实，愿承担相应的责任。</w:t>
      </w:r>
    </w:p>
    <w:p w14:paraId="31C08122">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5、在整个谈判过程中我方若有违规行为，贵方可按谈判文件之规定给予处罚，我方完全接受。</w:t>
      </w:r>
    </w:p>
    <w:p w14:paraId="2876D26A">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6、若成交，本承诺将成为合同不可分割的一部分，与合同具有同等的法律效力。</w:t>
      </w:r>
    </w:p>
    <w:p w14:paraId="1D857C65">
      <w:pPr>
        <w:pStyle w:val="18"/>
        <w:rPr>
          <w:rFonts w:hint="eastAsia"/>
          <w:lang w:eastAsia="zh-CN"/>
        </w:rPr>
      </w:pPr>
    </w:p>
    <w:p w14:paraId="29A4BAB8">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28" w:name="_Toc29941_WPSOffice_Level3"/>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val="en-US" w:eastAsia="zh-CN"/>
        </w:rPr>
        <w:t xml:space="preserve"> </w:t>
      </w:r>
      <w:bookmarkStart w:id="429" w:name="_Toc11979_WPSOffice_Level3"/>
      <w:r>
        <w:rPr>
          <w:rFonts w:hint="eastAsia" w:ascii="宋体" w:hAnsi="宋体" w:eastAsia="宋体" w:cs="宋体"/>
          <w:b w:val="0"/>
          <w:bCs w:val="0"/>
          <w:color w:val="000000"/>
          <w:sz w:val="24"/>
          <w:szCs w:val="24"/>
          <w:highlight w:val="none"/>
          <w:lang w:eastAsia="zh-CN"/>
        </w:rPr>
        <w:t>单位名称：       （公章）</w:t>
      </w:r>
      <w:bookmarkEnd w:id="428"/>
      <w:bookmarkEnd w:id="429"/>
    </w:p>
    <w:p w14:paraId="21E733D9">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 xml:space="preserve"> </w:t>
      </w:r>
      <w:bookmarkStart w:id="430" w:name="_Toc15106_WPSOffice_Level3"/>
      <w:bookmarkStart w:id="431" w:name="_Toc22507_WPSOffice_Level3"/>
      <w:r>
        <w:rPr>
          <w:rFonts w:hint="eastAsia" w:ascii="宋体" w:hAnsi="宋体" w:eastAsia="宋体" w:cs="宋体"/>
          <w:b w:val="0"/>
          <w:bCs w:val="0"/>
          <w:color w:val="000000"/>
          <w:sz w:val="24"/>
          <w:szCs w:val="24"/>
          <w:highlight w:val="none"/>
          <w:lang w:eastAsia="zh-CN"/>
        </w:rPr>
        <w:t>法定代表人或委托代理人：       （签字或盖章）</w:t>
      </w:r>
      <w:bookmarkEnd w:id="430"/>
      <w:bookmarkEnd w:id="431"/>
    </w:p>
    <w:p w14:paraId="70500ACA">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32" w:name="_Toc24254_WPSOffice_Level3"/>
      <w:r>
        <w:rPr>
          <w:rFonts w:hint="eastAsia" w:ascii="宋体" w:hAnsi="宋体" w:eastAsia="宋体" w:cs="宋体"/>
          <w:b w:val="0"/>
          <w:bCs w:val="0"/>
          <w:color w:val="000000"/>
          <w:sz w:val="24"/>
          <w:szCs w:val="24"/>
          <w:highlight w:val="none"/>
          <w:lang w:val="en-US" w:eastAsia="zh-CN"/>
        </w:rPr>
        <w:t xml:space="preserve">                      </w:t>
      </w:r>
      <w:bookmarkStart w:id="433" w:name="_Toc9343_WPSOffice_Level3"/>
      <w:r>
        <w:rPr>
          <w:rFonts w:hint="eastAsia" w:ascii="宋体" w:hAnsi="宋体" w:eastAsia="宋体" w:cs="宋体"/>
          <w:b w:val="0"/>
          <w:bCs w:val="0"/>
          <w:color w:val="000000"/>
          <w:sz w:val="24"/>
          <w:szCs w:val="24"/>
          <w:highlight w:val="none"/>
          <w:lang w:eastAsia="zh-CN"/>
        </w:rPr>
        <w:t>年   月  日</w:t>
      </w:r>
      <w:bookmarkEnd w:id="432"/>
      <w:bookmarkEnd w:id="433"/>
    </w:p>
    <w:p w14:paraId="422189E8">
      <w:pPr>
        <w:bidi w:val="0"/>
        <w:rPr>
          <w:rFonts w:hint="eastAsia"/>
          <w:lang w:eastAsia="zh-CN"/>
        </w:rPr>
      </w:pPr>
    </w:p>
    <w:p w14:paraId="534D3E66">
      <w:pPr>
        <w:bidi w:val="0"/>
        <w:rPr>
          <w:rFonts w:hint="eastAsia"/>
          <w:lang w:eastAsia="zh-CN"/>
        </w:rPr>
      </w:pPr>
    </w:p>
    <w:p w14:paraId="5F1D092A">
      <w:pPr>
        <w:bidi w:val="0"/>
        <w:rPr>
          <w:rFonts w:hint="eastAsia"/>
          <w:lang w:eastAsia="zh-CN"/>
        </w:rPr>
      </w:pPr>
    </w:p>
    <w:p w14:paraId="0B423751">
      <w:pPr>
        <w:bidi w:val="0"/>
        <w:rPr>
          <w:rFonts w:hint="eastAsia"/>
          <w:lang w:eastAsia="zh-CN"/>
        </w:rPr>
      </w:pPr>
    </w:p>
    <w:p w14:paraId="771261B7">
      <w:pPr>
        <w:keepNext w:val="0"/>
        <w:keepLines w:val="0"/>
        <w:pageBreakBefore w:val="0"/>
        <w:widowControl/>
        <w:kinsoku/>
        <w:wordWrap/>
        <w:overflowPunct/>
        <w:topLinePunct w:val="0"/>
        <w:autoSpaceDE/>
        <w:autoSpaceDN/>
        <w:bidi w:val="0"/>
        <w:adjustRightInd/>
        <w:snapToGrid w:val="0"/>
        <w:spacing w:before="157" w:beforeLines="50" w:line="520" w:lineRule="exact"/>
        <w:textAlignment w:val="auto"/>
        <w:outlineLvl w:val="1"/>
        <w:rPr>
          <w:rFonts w:hint="eastAsia" w:ascii="宋体" w:hAnsi="宋体" w:eastAsia="宋体" w:cs="宋体"/>
          <w:b/>
          <w:color w:val="000000"/>
          <w:sz w:val="28"/>
          <w:szCs w:val="28"/>
          <w:highlight w:val="none"/>
          <w:lang w:eastAsia="zh-CN"/>
        </w:rPr>
        <w:sectPr>
          <w:pgSz w:w="11906" w:h="16838"/>
          <w:pgMar w:top="1440" w:right="1800" w:bottom="1440" w:left="1800" w:header="851" w:footer="992" w:gutter="0"/>
          <w:pgNumType w:fmt="numberInDash"/>
          <w:cols w:space="425" w:num="1"/>
          <w:docGrid w:type="lines" w:linePitch="312" w:charSpace="0"/>
        </w:sectPr>
      </w:pPr>
    </w:p>
    <w:p w14:paraId="110FE5D8">
      <w:pPr>
        <w:keepNext w:val="0"/>
        <w:keepLines w:val="0"/>
        <w:pageBreakBefore w:val="0"/>
        <w:widowControl/>
        <w:kinsoku/>
        <w:wordWrap/>
        <w:overflowPunct/>
        <w:topLinePunct w:val="0"/>
        <w:autoSpaceDE/>
        <w:autoSpaceDN/>
        <w:bidi w:val="0"/>
        <w:adjustRightInd/>
        <w:snapToGrid w:val="0"/>
        <w:spacing w:before="157" w:beforeLines="50" w:line="520" w:lineRule="exact"/>
        <w:textAlignment w:val="auto"/>
        <w:outlineLvl w:val="1"/>
        <w:rPr>
          <w:rFonts w:hint="eastAsia" w:ascii="宋体" w:hAnsi="宋体" w:eastAsia="宋体" w:cs="宋体"/>
          <w:b/>
          <w:color w:val="000000"/>
          <w:sz w:val="32"/>
          <w:szCs w:val="32"/>
          <w:highlight w:val="none"/>
        </w:rPr>
      </w:pPr>
      <w:bookmarkStart w:id="434" w:name="_Toc5284"/>
      <w:bookmarkStart w:id="435" w:name="_Toc9241"/>
      <w:r>
        <w:rPr>
          <w:rFonts w:hint="eastAsia" w:ascii="宋体" w:hAnsi="宋体" w:eastAsia="宋体" w:cs="宋体"/>
          <w:b/>
          <w:color w:val="000000"/>
          <w:sz w:val="28"/>
          <w:szCs w:val="28"/>
          <w:highlight w:val="none"/>
          <w:lang w:eastAsia="zh-CN"/>
        </w:rPr>
        <w:t>附件5：供应商诚信承诺书</w:t>
      </w:r>
      <w:bookmarkEnd w:id="420"/>
      <w:bookmarkEnd w:id="421"/>
      <w:bookmarkEnd w:id="422"/>
      <w:bookmarkEnd w:id="423"/>
      <w:bookmarkEnd w:id="424"/>
      <w:bookmarkEnd w:id="434"/>
      <w:bookmarkEnd w:id="435"/>
    </w:p>
    <w:p w14:paraId="29554BA4">
      <w:pPr>
        <w:wordWrap/>
        <w:spacing w:before="157" w:beforeLines="50" w:line="560" w:lineRule="exact"/>
        <w:jc w:val="center"/>
        <w:outlineLvl w:val="9"/>
        <w:rPr>
          <w:rFonts w:hint="eastAsia" w:ascii="宋体" w:hAnsi="宋体" w:eastAsia="宋体" w:cs="宋体"/>
          <w:b/>
          <w:color w:val="000000"/>
          <w:sz w:val="32"/>
          <w:szCs w:val="32"/>
          <w:highlight w:val="none"/>
        </w:rPr>
      </w:pPr>
      <w:bookmarkStart w:id="436" w:name="_Toc22989_WPSOffice_Level3"/>
      <w:bookmarkStart w:id="437" w:name="_Toc22537_WPSOffice_Level3"/>
      <w:r>
        <w:rPr>
          <w:rFonts w:hint="eastAsia" w:ascii="宋体" w:hAnsi="宋体" w:eastAsia="宋体" w:cs="宋体"/>
          <w:b/>
          <w:color w:val="000000"/>
          <w:sz w:val="28"/>
          <w:szCs w:val="28"/>
          <w:highlight w:val="none"/>
          <w:lang w:eastAsia="zh-CN"/>
        </w:rPr>
        <w:t>供应商诚信承诺书</w:t>
      </w:r>
      <w:bookmarkEnd w:id="436"/>
      <w:bookmarkEnd w:id="437"/>
    </w:p>
    <w:p w14:paraId="63687DC6">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致：（代理机构名称）</w:t>
      </w:r>
    </w:p>
    <w:p w14:paraId="6CBEEBC3">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为了诚实、客观、有序地参与青海省政府采购活动，愿就以下内容作出承诺：</w:t>
      </w:r>
    </w:p>
    <w:p w14:paraId="38172769">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、自觉遵守各项法律、法规、规章、制度以及社会公德，维护廉洁环境，与同场竞争的供应商平等参加政府采购活动。</w:t>
      </w:r>
    </w:p>
    <w:p w14:paraId="74394378">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eastAsia="zh-CN"/>
        </w:rPr>
        <w:t>、参加</w:t>
      </w:r>
      <w:r>
        <w:rPr>
          <w:rFonts w:hint="eastAsia" w:ascii="宋体" w:hAnsi="宋体" w:cs="宋体"/>
          <w:b w:val="0"/>
          <w:bCs w:val="0"/>
          <w:color w:val="000000"/>
          <w:sz w:val="24"/>
          <w:szCs w:val="24"/>
          <w:highlight w:val="none"/>
          <w:lang w:eastAsia="zh-CN"/>
        </w:rPr>
        <w:t>青海拓鑫工程项目管理有限公司</w:t>
      </w:r>
      <w:r>
        <w:rPr>
          <w:rFonts w:hint="eastAsia" w:ascii="宋体" w:hAnsi="宋体" w:eastAsia="宋体" w:cs="宋体"/>
          <w:b w:val="0"/>
          <w:bCs w:val="0"/>
          <w:color w:val="000000"/>
          <w:sz w:val="24"/>
          <w:szCs w:val="24"/>
          <w:highlight w:val="none"/>
          <w:lang w:eastAsia="zh-CN"/>
        </w:rPr>
        <w:t>组织的政府采购活动时，严格按照谈判文件的规定和要求提供所需的相关材料，并对所提供的各类资料的真实性负责，不虚假响应，不虚列业绩。</w:t>
      </w:r>
    </w:p>
    <w:p w14:paraId="1DCDA79E">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eastAsia="zh-CN"/>
        </w:rPr>
        <w:t>、尊重参与政府采购活动各相关方的合法行为，接受政府采购活动依法形成的意见、结果。</w:t>
      </w:r>
    </w:p>
    <w:p w14:paraId="4830D6B5">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lang w:eastAsia="zh-CN"/>
        </w:rPr>
        <w:t>、依法参加政府采购活动，不围标、串标，维护市场秩序，不提供“三无”产品、以次充好。</w:t>
      </w:r>
    </w:p>
    <w:p w14:paraId="104CD975">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lang w:eastAsia="zh-CN"/>
        </w:rPr>
        <w:t>、积极推动政府采购活动健康开展，对采购活动有疑问、异议时，按法律规定的程序实名（加盖单位公章和法定代表人签名）反映情况，不恶意中伤、无事生非，以和谐、平等的心态参加政府采购活动。</w:t>
      </w:r>
    </w:p>
    <w:p w14:paraId="5D7CC264">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eastAsia="zh-CN"/>
        </w:rPr>
        <w:t>、认真履行成交供应商应承担的责任和义务，全面执行采购合同规定的各项内容，保质保量地按时提供采购物品。</w:t>
      </w:r>
    </w:p>
    <w:p w14:paraId="1C4D975A">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若本企业（单位）发生有悖于上述承诺的行为，愿意接受《中华人民共和国政府采购法》和《政府采购法实施条例》中对供应商的相关处理。</w:t>
      </w:r>
    </w:p>
    <w:p w14:paraId="2FDBCCA5">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本承诺是采购项目谈判响应文件的组成部分。</w:t>
      </w:r>
    </w:p>
    <w:p w14:paraId="0117B24D">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righ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38" w:name="_Toc23784_WPSOffice_Level3"/>
      <w:bookmarkStart w:id="439" w:name="_Toc2830_WPSOffice_Level3"/>
      <w:r>
        <w:rPr>
          <w:rFonts w:hint="eastAsia" w:ascii="宋体" w:hAnsi="宋体" w:eastAsia="宋体" w:cs="宋体"/>
          <w:b w:val="0"/>
          <w:bCs w:val="0"/>
          <w:color w:val="000000"/>
          <w:sz w:val="24"/>
          <w:szCs w:val="24"/>
          <w:highlight w:val="none"/>
          <w:lang w:eastAsia="zh-CN"/>
        </w:rPr>
        <w:t>单位名称：       （公章）</w:t>
      </w:r>
      <w:bookmarkEnd w:id="438"/>
      <w:bookmarkEnd w:id="439"/>
    </w:p>
    <w:p w14:paraId="56F1BA9D">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righ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40" w:name="_Toc25026_WPSOffice_Level3"/>
      <w:bookmarkStart w:id="441" w:name="_Toc13573_WPSOffice_Level3"/>
      <w:r>
        <w:rPr>
          <w:rFonts w:hint="eastAsia" w:ascii="宋体" w:hAnsi="宋体" w:eastAsia="宋体" w:cs="宋体"/>
          <w:b w:val="0"/>
          <w:bCs w:val="0"/>
          <w:color w:val="000000"/>
          <w:sz w:val="24"/>
          <w:szCs w:val="24"/>
          <w:highlight w:val="none"/>
          <w:lang w:eastAsia="zh-CN"/>
        </w:rPr>
        <w:t>法定代表人或委托代理人：       （签字或盖章）</w:t>
      </w:r>
      <w:bookmarkEnd w:id="440"/>
      <w:bookmarkEnd w:id="441"/>
    </w:p>
    <w:p w14:paraId="259EC6B0">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righ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42" w:name="_Toc5564_WPSOffice_Level3"/>
      <w:r>
        <w:rPr>
          <w:rFonts w:hint="eastAsia" w:ascii="宋体" w:hAnsi="宋体" w:eastAsia="宋体" w:cs="宋体"/>
          <w:b w:val="0"/>
          <w:bCs w:val="0"/>
          <w:color w:val="000000"/>
          <w:sz w:val="24"/>
          <w:szCs w:val="24"/>
          <w:highlight w:val="none"/>
          <w:lang w:val="en-US" w:eastAsia="zh-CN"/>
        </w:rPr>
        <w:t xml:space="preserve">                      </w:t>
      </w:r>
      <w:bookmarkStart w:id="443" w:name="_Toc12645_WPSOffice_Level3"/>
      <w:r>
        <w:rPr>
          <w:rFonts w:hint="eastAsia" w:ascii="宋体" w:hAnsi="宋体" w:eastAsia="宋体" w:cs="宋体"/>
          <w:b w:val="0"/>
          <w:bCs w:val="0"/>
          <w:color w:val="000000"/>
          <w:sz w:val="24"/>
          <w:szCs w:val="24"/>
          <w:highlight w:val="none"/>
          <w:lang w:eastAsia="zh-CN"/>
        </w:rPr>
        <w:t>年   月  日</w:t>
      </w:r>
      <w:bookmarkEnd w:id="442"/>
      <w:bookmarkEnd w:id="443"/>
    </w:p>
    <w:p w14:paraId="362F4409">
      <w:pPr>
        <w:jc w:val="right"/>
        <w:rPr>
          <w:rFonts w:hint="eastAsia" w:ascii="宋体" w:hAnsi="宋体" w:eastAsia="宋体" w:cs="宋体"/>
          <w:b/>
          <w:color w:val="000000"/>
          <w:sz w:val="28"/>
          <w:szCs w:val="28"/>
          <w:highlight w:val="none"/>
          <w:lang w:eastAsia="zh-CN"/>
        </w:rPr>
      </w:pPr>
      <w:bookmarkStart w:id="444" w:name="_Toc25242"/>
      <w:bookmarkStart w:id="445" w:name="_Toc16847"/>
      <w:bookmarkStart w:id="446" w:name="_Toc19930_WPSOffice_Level3"/>
      <w:bookmarkStart w:id="447" w:name="_Toc8368_WPSOffice_Level3"/>
      <w:bookmarkStart w:id="448" w:name="_Toc6033"/>
      <w:r>
        <w:rPr>
          <w:rFonts w:hint="eastAsia" w:ascii="宋体" w:hAnsi="宋体" w:eastAsia="宋体" w:cs="宋体"/>
          <w:b/>
          <w:color w:val="000000"/>
          <w:sz w:val="28"/>
          <w:szCs w:val="28"/>
          <w:highlight w:val="none"/>
          <w:lang w:eastAsia="zh-CN"/>
        </w:rPr>
        <w:br w:type="page"/>
      </w:r>
    </w:p>
    <w:p w14:paraId="11846EAE">
      <w:pPr>
        <w:widowControl/>
        <w:wordWrap/>
        <w:snapToGrid w:val="0"/>
        <w:spacing w:before="157" w:beforeLines="50" w:line="560" w:lineRule="exact"/>
        <w:outlineLvl w:val="1"/>
        <w:rPr>
          <w:rFonts w:hint="eastAsia" w:ascii="宋体" w:hAnsi="宋体" w:eastAsia="宋体" w:cs="宋体"/>
          <w:b/>
          <w:color w:val="000000"/>
          <w:sz w:val="32"/>
          <w:szCs w:val="32"/>
          <w:highlight w:val="none"/>
        </w:rPr>
      </w:pPr>
      <w:bookmarkStart w:id="449" w:name="_Toc14772"/>
      <w:bookmarkStart w:id="450" w:name="_Toc9596"/>
      <w:r>
        <w:rPr>
          <w:rFonts w:hint="eastAsia" w:ascii="宋体" w:hAnsi="宋体" w:eastAsia="宋体" w:cs="宋体"/>
          <w:b/>
          <w:color w:val="000000"/>
          <w:sz w:val="28"/>
          <w:szCs w:val="28"/>
          <w:highlight w:val="none"/>
          <w:lang w:eastAsia="zh-CN"/>
        </w:rPr>
        <w:t>附件6：供应商资格证明文件</w:t>
      </w:r>
      <w:bookmarkEnd w:id="444"/>
      <w:bookmarkEnd w:id="445"/>
      <w:bookmarkEnd w:id="446"/>
      <w:bookmarkEnd w:id="447"/>
      <w:bookmarkEnd w:id="448"/>
      <w:bookmarkEnd w:id="449"/>
      <w:bookmarkEnd w:id="450"/>
    </w:p>
    <w:p w14:paraId="50BCC96F">
      <w:pPr>
        <w:wordWrap/>
        <w:spacing w:before="157" w:beforeLines="50" w:line="560" w:lineRule="exact"/>
        <w:jc w:val="center"/>
        <w:outlineLvl w:val="9"/>
        <w:rPr>
          <w:rFonts w:hint="eastAsia" w:ascii="宋体" w:hAnsi="宋体" w:eastAsia="宋体" w:cs="宋体"/>
          <w:color w:val="000000"/>
          <w:sz w:val="20"/>
          <w:szCs w:val="20"/>
          <w:highlight w:val="none"/>
        </w:rPr>
      </w:pPr>
      <w:bookmarkStart w:id="451" w:name="_Toc23997_WPSOffice_Level3"/>
      <w:bookmarkStart w:id="452" w:name="_Toc9360_WPSOffice_Level3"/>
      <w:r>
        <w:rPr>
          <w:rFonts w:hint="eastAsia" w:ascii="宋体" w:hAnsi="宋体" w:eastAsia="宋体" w:cs="宋体"/>
          <w:b/>
          <w:color w:val="000000"/>
          <w:sz w:val="28"/>
          <w:szCs w:val="28"/>
          <w:highlight w:val="none"/>
          <w:lang w:eastAsia="zh-CN"/>
        </w:rPr>
        <w:t>供应商资格证明文件</w:t>
      </w:r>
      <w:bookmarkEnd w:id="451"/>
      <w:bookmarkEnd w:id="452"/>
    </w:p>
    <w:p w14:paraId="24A27927">
      <w:pPr>
        <w:widowControl w:val="0"/>
        <w:wordWrap/>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资格证明材料包括：提供有效的营业执照、税务登记证、机构代码证或三证（五证）合一统一社会代码证及其他资格证明文件（扫描或复印件）。</w:t>
      </w:r>
    </w:p>
    <w:p w14:paraId="2EDAF824">
      <w:pPr>
        <w:widowControl w:val="0"/>
        <w:wordWrap/>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1F9AA278">
      <w:pPr>
        <w:widowControl w:val="0"/>
        <w:wordWrap/>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2、根据采购项目内容，提供供应商的相关资质证书、许可证等。</w:t>
      </w:r>
    </w:p>
    <w:p w14:paraId="77170013">
      <w:pPr>
        <w:widowControl w:val="0"/>
        <w:wordWrap/>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p>
    <w:p w14:paraId="5EA3C65B">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29E53B85">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0E0BDFB7">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2FC89664">
      <w:pPr>
        <w:rPr>
          <w:rFonts w:hint="eastAsia" w:ascii="宋体" w:hAnsi="宋体" w:eastAsia="宋体" w:cs="宋体"/>
          <w:b/>
          <w:color w:val="000000"/>
          <w:sz w:val="28"/>
          <w:szCs w:val="28"/>
          <w:highlight w:val="none"/>
          <w:lang w:eastAsia="zh-CN"/>
        </w:rPr>
      </w:pPr>
      <w:bookmarkStart w:id="453" w:name="_Toc5898"/>
      <w:bookmarkStart w:id="454" w:name="_Toc7499_WPSOffice_Level3"/>
      <w:bookmarkStart w:id="455" w:name="_Toc29082_WPSOffice_Level3"/>
      <w:bookmarkStart w:id="456" w:name="_Toc12925"/>
      <w:bookmarkStart w:id="457" w:name="_Toc6573"/>
      <w:r>
        <w:rPr>
          <w:rFonts w:hint="eastAsia" w:ascii="宋体" w:hAnsi="宋体" w:eastAsia="宋体" w:cs="宋体"/>
          <w:b/>
          <w:color w:val="000000"/>
          <w:sz w:val="28"/>
          <w:szCs w:val="28"/>
          <w:highlight w:val="none"/>
          <w:lang w:eastAsia="zh-CN"/>
        </w:rPr>
        <w:br w:type="page"/>
      </w:r>
    </w:p>
    <w:p w14:paraId="00080A4F">
      <w:pPr>
        <w:widowControl/>
        <w:wordWrap/>
        <w:snapToGrid w:val="0"/>
        <w:spacing w:before="157" w:beforeLines="50" w:line="560" w:lineRule="exact"/>
        <w:outlineLvl w:val="1"/>
        <w:rPr>
          <w:rFonts w:hint="eastAsia" w:ascii="宋体" w:hAnsi="宋体" w:eastAsia="宋体" w:cs="宋体"/>
          <w:b/>
          <w:color w:val="000000"/>
          <w:sz w:val="32"/>
          <w:szCs w:val="32"/>
          <w:highlight w:val="none"/>
        </w:rPr>
      </w:pPr>
      <w:bookmarkStart w:id="458" w:name="_Toc1401"/>
      <w:bookmarkStart w:id="459" w:name="_Toc7706"/>
      <w:r>
        <w:rPr>
          <w:rFonts w:hint="eastAsia" w:ascii="宋体" w:hAnsi="宋体" w:eastAsia="宋体" w:cs="宋体"/>
          <w:b/>
          <w:color w:val="000000"/>
          <w:sz w:val="28"/>
          <w:szCs w:val="28"/>
          <w:highlight w:val="none"/>
          <w:lang w:eastAsia="zh-CN"/>
        </w:rPr>
        <w:t>附件7：财务状况、缴纳税收和社会保障资金证明</w:t>
      </w:r>
      <w:bookmarkEnd w:id="453"/>
      <w:bookmarkEnd w:id="454"/>
      <w:bookmarkEnd w:id="455"/>
      <w:bookmarkEnd w:id="456"/>
      <w:bookmarkEnd w:id="457"/>
      <w:bookmarkEnd w:id="458"/>
      <w:bookmarkEnd w:id="459"/>
    </w:p>
    <w:p w14:paraId="119DE41E">
      <w:pPr>
        <w:wordWrap/>
        <w:spacing w:before="157" w:beforeLines="50" w:line="560" w:lineRule="exact"/>
        <w:jc w:val="center"/>
        <w:outlineLvl w:val="9"/>
        <w:rPr>
          <w:rFonts w:hint="eastAsia" w:ascii="宋体" w:hAnsi="宋体" w:eastAsia="宋体" w:cs="宋体"/>
          <w:b/>
          <w:color w:val="000000"/>
          <w:sz w:val="32"/>
          <w:szCs w:val="32"/>
          <w:highlight w:val="none"/>
        </w:rPr>
      </w:pPr>
      <w:bookmarkStart w:id="460" w:name="_Toc2355_WPSOffice_Level3"/>
      <w:bookmarkStart w:id="461" w:name="_Toc22184_WPSOffice_Level3"/>
      <w:r>
        <w:rPr>
          <w:rFonts w:hint="eastAsia" w:ascii="宋体" w:hAnsi="宋体" w:eastAsia="宋体" w:cs="宋体"/>
          <w:b/>
          <w:color w:val="000000"/>
          <w:sz w:val="28"/>
          <w:szCs w:val="28"/>
          <w:highlight w:val="none"/>
          <w:lang w:eastAsia="zh-CN"/>
        </w:rPr>
        <w:t>财务状况、缴纳税收和社会保障资金证明</w:t>
      </w:r>
      <w:bookmarkEnd w:id="460"/>
      <w:bookmarkEnd w:id="461"/>
    </w:p>
    <w:p w14:paraId="2888AD88">
      <w:pPr>
        <w:wordWrap/>
        <w:adjustRightIn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按照《政府采购法》第22条规定提供以下相关材料</w:t>
      </w:r>
      <w:r>
        <w:rPr>
          <w:rFonts w:hint="eastAsia" w:ascii="宋体" w:hAnsi="宋体" w:eastAsia="宋体" w:cs="宋体"/>
          <w:color w:val="000000"/>
          <w:sz w:val="24"/>
          <w:szCs w:val="24"/>
          <w:highlight w:val="none"/>
          <w:lang w:eastAsia="zh-CN"/>
        </w:rPr>
        <w:t>：</w:t>
      </w:r>
    </w:p>
    <w:p w14:paraId="449BEFE2">
      <w:pPr>
        <w:wordWrap/>
        <w:adjustRightInd/>
        <w:spacing w:line="560" w:lineRule="exact"/>
        <w:ind w:firstLine="480" w:firstLineChars="200"/>
        <w:textAlignment w:val="auto"/>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须</w:t>
      </w:r>
      <w:r>
        <w:rPr>
          <w:rFonts w:hint="eastAsia" w:ascii="宋体" w:hAnsi="宋体" w:eastAsia="宋体" w:cs="宋体"/>
          <w:color w:val="000000"/>
          <w:sz w:val="24"/>
          <w:szCs w:val="24"/>
          <w:highlight w:val="none"/>
          <w:lang w:val="zh-CN"/>
        </w:rPr>
        <w:t>提供2024年度</w:t>
      </w:r>
      <w:r>
        <w:rPr>
          <w:rFonts w:hint="eastAsia" w:ascii="宋体" w:hAnsi="宋体" w:cs="宋体"/>
          <w:color w:val="000000"/>
          <w:sz w:val="24"/>
          <w:szCs w:val="24"/>
          <w:highlight w:val="none"/>
          <w:lang w:val="en-US" w:eastAsia="zh-CN"/>
        </w:rPr>
        <w:t>或2025年度</w:t>
      </w:r>
      <w:r>
        <w:rPr>
          <w:rFonts w:hint="eastAsia" w:ascii="宋体" w:hAnsi="宋体" w:eastAsia="宋体" w:cs="宋体"/>
          <w:color w:val="000000"/>
          <w:sz w:val="24"/>
          <w:szCs w:val="24"/>
          <w:highlight w:val="none"/>
          <w:lang w:val="zh-CN"/>
        </w:rPr>
        <w:t>经第三方审计的财务状况报告(扫描或复印件应全面、完整、清晰)，包括资产负债表、现金流量表、利润表和财务(会计)报表附注，并提供第三方机构的营业执照、执业证书。</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没有经审计的财务报告，可以提供基本开户银行</w:t>
      </w:r>
      <w:r>
        <w:rPr>
          <w:rFonts w:hint="eastAsia" w:ascii="宋体" w:hAnsi="宋体" w:cs="宋体"/>
          <w:color w:val="000000"/>
          <w:sz w:val="24"/>
          <w:szCs w:val="24"/>
          <w:highlight w:val="none"/>
          <w:lang w:eastAsia="zh-CN"/>
        </w:rPr>
        <w:t>近</w:t>
      </w:r>
      <w:r>
        <w:rPr>
          <w:rFonts w:hint="eastAsia" w:ascii="宋体" w:hAnsi="宋体" w:eastAsia="宋体" w:cs="宋体"/>
          <w:color w:val="000000"/>
          <w:sz w:val="24"/>
          <w:szCs w:val="24"/>
          <w:highlight w:val="none"/>
          <w:lang w:val="en-US" w:eastAsia="zh-CN"/>
        </w:rPr>
        <w:t>三个月</w:t>
      </w:r>
      <w:r>
        <w:rPr>
          <w:rFonts w:hint="eastAsia" w:ascii="宋体" w:hAnsi="宋体" w:cs="宋体"/>
          <w:color w:val="000000"/>
          <w:sz w:val="24"/>
          <w:szCs w:val="24"/>
          <w:highlight w:val="none"/>
          <w:lang w:val="en-US" w:eastAsia="zh-CN"/>
        </w:rPr>
        <w:t>内</w:t>
      </w:r>
      <w:r>
        <w:rPr>
          <w:rFonts w:hint="eastAsia" w:ascii="宋体" w:hAnsi="宋体" w:eastAsia="宋体" w:cs="宋体"/>
          <w:color w:val="000000"/>
          <w:sz w:val="24"/>
          <w:szCs w:val="24"/>
          <w:highlight w:val="none"/>
          <w:lang w:val="zh-CN"/>
        </w:rPr>
        <w:t>出具的资信证明(同时提供基本存款账户开户许可证)。</w:t>
      </w:r>
    </w:p>
    <w:p w14:paraId="688C7421">
      <w:pPr>
        <w:wordWrap/>
        <w:adjustRightIn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提供</w:t>
      </w:r>
      <w:r>
        <w:rPr>
          <w:rFonts w:hint="eastAsia" w:ascii="宋体" w:hAnsi="宋体" w:eastAsia="宋体" w:cs="宋体"/>
          <w:color w:val="000000"/>
          <w:sz w:val="24"/>
          <w:szCs w:val="24"/>
          <w:highlight w:val="none"/>
        </w:rPr>
        <w:t>近</w:t>
      </w:r>
      <w:r>
        <w:rPr>
          <w:rFonts w:hint="eastAsia" w:ascii="宋体" w:hAnsi="宋体" w:cs="宋体"/>
          <w:color w:val="000000"/>
          <w:sz w:val="24"/>
          <w:szCs w:val="24"/>
          <w:highlight w:val="none"/>
          <w:lang w:eastAsia="zh-CN"/>
        </w:rPr>
        <w:t>半年任意</w:t>
      </w:r>
      <w:r>
        <w:rPr>
          <w:rFonts w:hint="eastAsia" w:ascii="宋体" w:hAnsi="宋体" w:cs="宋体"/>
          <w:color w:val="000000"/>
          <w:sz w:val="24"/>
          <w:szCs w:val="24"/>
          <w:highlight w:val="none"/>
          <w:lang w:val="en-US" w:eastAsia="zh-CN"/>
        </w:rPr>
        <w:t>一</w:t>
      </w:r>
      <w:r>
        <w:rPr>
          <w:rFonts w:hint="eastAsia" w:ascii="宋体" w:hAnsi="宋体" w:cs="宋体"/>
          <w:color w:val="000000"/>
          <w:sz w:val="24"/>
          <w:szCs w:val="24"/>
          <w:highlight w:val="none"/>
          <w:lang w:eastAsia="zh-CN"/>
        </w:rPr>
        <w:t>个月</w:t>
      </w:r>
      <w:r>
        <w:rPr>
          <w:rFonts w:hint="eastAsia" w:ascii="宋体" w:hAnsi="宋体" w:eastAsia="宋体" w:cs="宋体"/>
          <w:color w:val="000000"/>
          <w:sz w:val="24"/>
          <w:szCs w:val="24"/>
          <w:highlight w:val="none"/>
        </w:rPr>
        <w:t>依法缴纳税收和社会保障资金记录的证明材料</w:t>
      </w:r>
      <w:r>
        <w:rPr>
          <w:rFonts w:hint="eastAsia" w:ascii="宋体" w:hAnsi="宋体" w:eastAsia="宋体" w:cs="宋体"/>
          <w:color w:val="000000"/>
          <w:sz w:val="24"/>
          <w:szCs w:val="24"/>
          <w:highlight w:val="none"/>
          <w:lang w:eastAsia="zh-CN"/>
        </w:rPr>
        <w:t>，或相关行政机关出具无欠缴应纳税款或社会保障资金的证明材料</w:t>
      </w:r>
      <w:r>
        <w:rPr>
          <w:rFonts w:hint="eastAsia" w:ascii="宋体" w:hAnsi="宋体" w:eastAsia="宋体" w:cs="宋体"/>
          <w:color w:val="000000"/>
          <w:sz w:val="24"/>
          <w:szCs w:val="24"/>
          <w:highlight w:val="none"/>
        </w:rPr>
        <w:t>。依法免税或不需要缴纳社会保障资金的供应商，应提供相应文件证明其依法免税或不需要缴纳社会保障资金。</w:t>
      </w:r>
    </w:p>
    <w:p w14:paraId="2B51113E">
      <w:pPr>
        <w:widowControl/>
        <w:wordWrap/>
        <w:adjustRightInd/>
        <w:snapToGrid w:val="0"/>
        <w:spacing w:line="560" w:lineRule="exact"/>
        <w:textAlignment w:val="auto"/>
        <w:outlineLvl w:val="9"/>
        <w:rPr>
          <w:rFonts w:hint="eastAsia" w:ascii="宋体" w:hAnsi="宋体" w:eastAsia="宋体" w:cs="宋体"/>
          <w:color w:val="000000"/>
          <w:sz w:val="28"/>
          <w:szCs w:val="28"/>
          <w:highlight w:val="none"/>
        </w:rPr>
      </w:pPr>
    </w:p>
    <w:p w14:paraId="42491F54">
      <w:pPr>
        <w:wordWrap/>
        <w:spacing w:before="157" w:beforeLines="50" w:line="560" w:lineRule="exact"/>
        <w:rPr>
          <w:rFonts w:hint="eastAsia" w:ascii="宋体" w:hAnsi="宋体" w:eastAsia="宋体" w:cs="宋体"/>
          <w:b/>
          <w:bCs/>
          <w:color w:val="000000"/>
          <w:sz w:val="24"/>
          <w:szCs w:val="24"/>
          <w:highlight w:val="none"/>
        </w:rPr>
      </w:pPr>
    </w:p>
    <w:p w14:paraId="4CD59610">
      <w:pPr>
        <w:wordWrap/>
        <w:spacing w:before="157" w:beforeLines="50" w:line="560" w:lineRule="exact"/>
        <w:rPr>
          <w:rFonts w:hint="eastAsia" w:ascii="宋体" w:hAnsi="宋体" w:eastAsia="宋体" w:cs="宋体"/>
          <w:b/>
          <w:bCs/>
          <w:color w:val="000000"/>
          <w:sz w:val="24"/>
          <w:szCs w:val="24"/>
          <w:highlight w:val="none"/>
        </w:rPr>
      </w:pPr>
    </w:p>
    <w:p w14:paraId="5D27873E">
      <w:pPr>
        <w:wordWrap/>
        <w:spacing w:before="157" w:beforeLines="50" w:line="560" w:lineRule="exact"/>
        <w:rPr>
          <w:rFonts w:hint="eastAsia" w:ascii="宋体" w:hAnsi="宋体" w:eastAsia="宋体" w:cs="宋体"/>
          <w:b/>
          <w:bCs/>
          <w:color w:val="000000"/>
          <w:sz w:val="24"/>
          <w:szCs w:val="24"/>
          <w:highlight w:val="none"/>
        </w:rPr>
      </w:pPr>
    </w:p>
    <w:p w14:paraId="3F8A695F">
      <w:pPr>
        <w:rPr>
          <w:rFonts w:hint="eastAsia" w:ascii="宋体" w:hAnsi="宋体" w:eastAsia="宋体" w:cs="宋体"/>
          <w:b/>
          <w:color w:val="000000"/>
          <w:sz w:val="28"/>
          <w:szCs w:val="28"/>
          <w:highlight w:val="none"/>
          <w:lang w:eastAsia="zh-CN"/>
        </w:rPr>
      </w:pPr>
      <w:bookmarkStart w:id="462" w:name="_Toc21984"/>
      <w:bookmarkStart w:id="463" w:name="_Toc16098"/>
      <w:bookmarkStart w:id="464" w:name="_Toc17387_WPSOffice_Level3"/>
      <w:bookmarkStart w:id="465" w:name="_Toc22959_WPSOffice_Level3"/>
      <w:bookmarkStart w:id="466" w:name="_Toc13266"/>
      <w:r>
        <w:rPr>
          <w:rFonts w:hint="eastAsia" w:ascii="宋体" w:hAnsi="宋体" w:eastAsia="宋体" w:cs="宋体"/>
          <w:b/>
          <w:color w:val="000000"/>
          <w:sz w:val="28"/>
          <w:szCs w:val="28"/>
          <w:highlight w:val="none"/>
          <w:lang w:eastAsia="zh-CN"/>
        </w:rPr>
        <w:br w:type="page"/>
      </w:r>
    </w:p>
    <w:p w14:paraId="36C39965">
      <w:pPr>
        <w:widowControl/>
        <w:wordWrap/>
        <w:snapToGrid w:val="0"/>
        <w:spacing w:before="157" w:beforeLines="50" w:line="560" w:lineRule="exact"/>
        <w:outlineLvl w:val="1"/>
        <w:rPr>
          <w:rFonts w:hint="eastAsia" w:ascii="宋体" w:hAnsi="宋体" w:eastAsia="宋体" w:cs="宋体"/>
          <w:b/>
          <w:color w:val="000000"/>
          <w:sz w:val="28"/>
          <w:szCs w:val="28"/>
          <w:highlight w:val="none"/>
          <w:lang w:eastAsia="zh-CN"/>
        </w:rPr>
      </w:pPr>
      <w:bookmarkStart w:id="467" w:name="_Toc12730"/>
      <w:bookmarkStart w:id="468" w:name="_Toc5279"/>
      <w:r>
        <w:rPr>
          <w:rFonts w:hint="eastAsia" w:ascii="宋体" w:hAnsi="宋体" w:eastAsia="宋体" w:cs="宋体"/>
          <w:b/>
          <w:color w:val="000000"/>
          <w:sz w:val="28"/>
          <w:szCs w:val="28"/>
          <w:highlight w:val="none"/>
          <w:lang w:eastAsia="zh-CN"/>
        </w:rPr>
        <w:t>附件8：</w:t>
      </w:r>
      <w:bookmarkEnd w:id="462"/>
      <w:r>
        <w:rPr>
          <w:rFonts w:hint="eastAsia" w:ascii="宋体" w:hAnsi="宋体" w:eastAsia="宋体" w:cs="宋体"/>
          <w:b/>
          <w:color w:val="000000"/>
          <w:sz w:val="28"/>
          <w:szCs w:val="28"/>
          <w:highlight w:val="none"/>
          <w:lang w:eastAsia="zh-CN"/>
        </w:rPr>
        <w:t>无重大违法记录声明</w:t>
      </w:r>
      <w:bookmarkEnd w:id="463"/>
      <w:bookmarkEnd w:id="464"/>
      <w:bookmarkEnd w:id="467"/>
      <w:bookmarkEnd w:id="468"/>
    </w:p>
    <w:p w14:paraId="21AFEF25">
      <w:pPr>
        <w:wordWrap/>
        <w:spacing w:before="157" w:beforeLines="50" w:line="560" w:lineRule="exact"/>
        <w:jc w:val="center"/>
        <w:outlineLvl w:val="9"/>
        <w:rPr>
          <w:rFonts w:hint="eastAsia" w:ascii="宋体" w:hAnsi="宋体" w:eastAsia="宋体" w:cs="宋体"/>
          <w:b/>
          <w:bCs/>
          <w:color w:val="000000"/>
          <w:sz w:val="24"/>
          <w:szCs w:val="24"/>
          <w:highlight w:val="none"/>
        </w:rPr>
      </w:pPr>
      <w:bookmarkStart w:id="469" w:name="_Toc25610_WPSOffice_Level3"/>
      <w:r>
        <w:rPr>
          <w:rFonts w:hint="eastAsia" w:ascii="宋体" w:hAnsi="宋体" w:eastAsia="宋体" w:cs="宋体"/>
          <w:b/>
          <w:color w:val="000000"/>
          <w:sz w:val="28"/>
          <w:szCs w:val="28"/>
          <w:highlight w:val="none"/>
          <w:lang w:val="zh-CN" w:eastAsia="zh-CN"/>
        </w:rPr>
        <w:t>无重大违法记录声明</w:t>
      </w:r>
      <w:bookmarkEnd w:id="469"/>
    </w:p>
    <w:p w14:paraId="6F648B7A">
      <w:pPr>
        <w:widowControl w:val="0"/>
        <w:wordWrap/>
        <w:adjustRightInd/>
        <w:snapToGrid/>
        <w:spacing w:line="5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18"/>
          <w:szCs w:val="21"/>
          <w:highlight w:val="none"/>
          <w:lang w:val="en-US" w:eastAsia="zh-CN"/>
        </w:rPr>
        <w:t xml:space="preserve">  </w:t>
      </w:r>
      <w:r>
        <w:rPr>
          <w:rFonts w:hint="eastAsia" w:ascii="宋体" w:hAnsi="宋体" w:eastAsia="宋体" w:cs="宋体"/>
          <w:b w:val="0"/>
          <w:bCs w:val="0"/>
          <w:color w:val="000000"/>
          <w:sz w:val="24"/>
          <w:szCs w:val="24"/>
          <w:highlight w:val="none"/>
        </w:rPr>
        <w:t>致：</w:t>
      </w:r>
      <w:r>
        <w:rPr>
          <w:rFonts w:hint="eastAsia" w:ascii="宋体" w:hAnsi="宋体" w:eastAsia="宋体" w:cs="宋体"/>
          <w:b w:val="0"/>
          <w:bCs w:val="0"/>
          <w:color w:val="000000"/>
          <w:sz w:val="24"/>
          <w:szCs w:val="24"/>
          <w:highlight w:val="none"/>
          <w:u w:val="single"/>
          <w:lang w:eastAsia="zh-CN"/>
        </w:rPr>
        <w:t>（代理机构名称）</w:t>
      </w:r>
    </w:p>
    <w:p w14:paraId="23BE9AB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sz w:val="24"/>
          <w:szCs w:val="24"/>
          <w:highlight w:val="none"/>
        </w:rPr>
        <w:t>我单位参加本次政府采购项目活动前三年内，在经营活动中无重大违法活动记录，符合《政府采购法》规定的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资格条</w:t>
      </w:r>
      <w:r>
        <w:rPr>
          <w:rFonts w:hint="eastAsia" w:ascii="宋体" w:hAnsi="宋体" w:eastAsia="宋体" w:cs="宋体"/>
          <w:color w:val="000000"/>
          <w:sz w:val="24"/>
          <w:szCs w:val="24"/>
          <w:highlight w:val="none"/>
          <w:shd w:val="clear" w:color="auto" w:fill="FFFFFF"/>
        </w:rPr>
        <w:t>件。我方对此声明负全部法律责任。</w:t>
      </w:r>
    </w:p>
    <w:p w14:paraId="754F3A4F">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特此声明。</w:t>
      </w:r>
    </w:p>
    <w:p w14:paraId="232E1CB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p>
    <w:p w14:paraId="701EEE6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附“信用中国”网站“下载信用信息”栏中的信用信息，时间为</w:t>
      </w:r>
      <w:r>
        <w:rPr>
          <w:rFonts w:hint="eastAsia" w:ascii="宋体" w:hAnsi="宋体" w:eastAsia="宋体" w:cs="宋体"/>
          <w:color w:val="000000"/>
          <w:kern w:val="0"/>
          <w:sz w:val="24"/>
          <w:szCs w:val="24"/>
          <w:highlight w:val="none"/>
          <w:lang w:val="zh-CN" w:eastAsia="zh-CN"/>
        </w:rPr>
        <w:t>谈判响应文件递交</w:t>
      </w:r>
      <w:r>
        <w:rPr>
          <w:rFonts w:hint="eastAsia" w:ascii="宋体" w:hAnsi="宋体" w:eastAsia="宋体" w:cs="宋体"/>
          <w:color w:val="000000"/>
          <w:kern w:val="0"/>
          <w:sz w:val="24"/>
          <w:szCs w:val="24"/>
          <w:highlight w:val="none"/>
          <w:lang w:val="zh-CN"/>
        </w:rPr>
        <w:t>截止时间前。</w:t>
      </w:r>
    </w:p>
    <w:p w14:paraId="22AE6733">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49A3DEDC">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lang w:val="en-US" w:eastAsia="zh-CN"/>
        </w:rPr>
      </w:pPr>
    </w:p>
    <w:p w14:paraId="59540A53">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bookmarkStart w:id="470" w:name="_Toc21607_WPSOffice_Level3"/>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470"/>
    </w:p>
    <w:p w14:paraId="199209A6">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471" w:name="_Toc14292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471"/>
    </w:p>
    <w:p w14:paraId="4C2C329A">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bookmarkStart w:id="472" w:name="_Toc15350_WPSOffice_Level3"/>
      <w:r>
        <w:rPr>
          <w:rFonts w:hint="eastAsia" w:ascii="宋体" w:hAnsi="宋体" w:eastAsia="宋体" w:cs="宋体"/>
          <w:b w:val="0"/>
          <w:bCs/>
          <w:color w:val="000000"/>
          <w:sz w:val="24"/>
          <w:szCs w:val="24"/>
          <w:highlight w:val="none"/>
        </w:rPr>
        <w:t>年   月  日</w:t>
      </w:r>
      <w:bookmarkEnd w:id="472"/>
    </w:p>
    <w:p w14:paraId="45CBCCEE">
      <w:pPr>
        <w:widowControl/>
        <w:wordWrap/>
        <w:snapToGrid w:val="0"/>
        <w:spacing w:before="157" w:beforeLines="50" w:line="560" w:lineRule="exact"/>
        <w:outlineLvl w:val="1"/>
        <w:rPr>
          <w:rFonts w:hint="eastAsia" w:ascii="宋体" w:hAnsi="宋体" w:eastAsia="宋体" w:cs="宋体"/>
          <w:color w:val="000000"/>
          <w:sz w:val="24"/>
          <w:szCs w:val="24"/>
          <w:highlight w:val="none"/>
          <w:lang w:val="zh-CN"/>
        </w:rPr>
      </w:pPr>
      <w:r>
        <w:rPr>
          <w:rFonts w:hint="eastAsia" w:ascii="宋体" w:hAnsi="宋体" w:eastAsia="宋体" w:cs="宋体"/>
          <w:b/>
          <w:color w:val="000000"/>
          <w:sz w:val="28"/>
          <w:szCs w:val="28"/>
          <w:highlight w:val="none"/>
          <w:lang w:eastAsia="zh-CN"/>
        </w:rPr>
        <w:br w:type="page"/>
      </w:r>
      <w:bookmarkStart w:id="473" w:name="_Toc24810"/>
      <w:bookmarkStart w:id="474" w:name="_Toc132_WPSOffice_Level3"/>
      <w:bookmarkStart w:id="475" w:name="_Toc31991"/>
      <w:bookmarkStart w:id="476" w:name="_Toc19429"/>
      <w:r>
        <w:rPr>
          <w:rFonts w:hint="eastAsia" w:ascii="宋体" w:hAnsi="宋体" w:eastAsia="宋体" w:cs="宋体"/>
          <w:b/>
          <w:bCs w:val="0"/>
          <w:color w:val="000000"/>
          <w:kern w:val="2"/>
          <w:sz w:val="28"/>
          <w:szCs w:val="28"/>
          <w:highlight w:val="none"/>
          <w:lang w:val="en-US" w:eastAsia="zh-CN" w:bidi="ar-SA"/>
        </w:rPr>
        <w:t>附件9：谈判</w:t>
      </w:r>
      <w:r>
        <w:rPr>
          <w:rFonts w:hint="eastAsia" w:ascii="宋体" w:hAnsi="宋体" w:eastAsia="宋体" w:cs="宋体"/>
          <w:b/>
          <w:bCs w:val="0"/>
          <w:color w:val="000000"/>
          <w:kern w:val="2"/>
          <w:sz w:val="28"/>
          <w:szCs w:val="28"/>
          <w:highlight w:val="none"/>
          <w:lang w:val="zh-CN" w:eastAsia="zh-CN" w:bidi="ar-SA"/>
        </w:rPr>
        <w:t>保证金证明</w:t>
      </w:r>
      <w:bookmarkEnd w:id="465"/>
      <w:bookmarkEnd w:id="466"/>
      <w:bookmarkEnd w:id="473"/>
      <w:bookmarkEnd w:id="474"/>
      <w:bookmarkEnd w:id="475"/>
      <w:bookmarkEnd w:id="476"/>
    </w:p>
    <w:p w14:paraId="2AE8E261">
      <w:pPr>
        <w:wordWrap/>
        <w:spacing w:before="157" w:beforeLines="50" w:line="560" w:lineRule="exact"/>
        <w:jc w:val="center"/>
        <w:outlineLvl w:val="9"/>
        <w:rPr>
          <w:rFonts w:hint="eastAsia" w:ascii="宋体" w:hAnsi="宋体" w:eastAsia="宋体" w:cs="宋体"/>
          <w:b/>
          <w:bCs/>
          <w:color w:val="000000"/>
          <w:kern w:val="0"/>
          <w:sz w:val="24"/>
          <w:szCs w:val="24"/>
          <w:highlight w:val="none"/>
          <w:lang w:val="zh-CN"/>
        </w:rPr>
      </w:pPr>
      <w:bookmarkStart w:id="477" w:name="_Toc27502_WPSOffice_Level3"/>
      <w:r>
        <w:rPr>
          <w:rFonts w:hint="eastAsia" w:ascii="宋体" w:hAnsi="宋体" w:eastAsia="宋体" w:cs="宋体"/>
          <w:b/>
          <w:color w:val="000000"/>
          <w:sz w:val="28"/>
          <w:szCs w:val="28"/>
          <w:highlight w:val="none"/>
          <w:lang w:val="zh-CN" w:eastAsia="zh-CN"/>
        </w:rPr>
        <w:t>谈判保证金证明</w:t>
      </w:r>
      <w:bookmarkEnd w:id="477"/>
    </w:p>
    <w:p w14:paraId="3C81709A">
      <w:pPr>
        <w:widowControl w:val="0"/>
        <w:wordWrap/>
        <w:autoSpaceDE w:val="0"/>
        <w:autoSpaceDN w:val="0"/>
        <w:adjustRightInd/>
        <w:snapToGrid/>
        <w:spacing w:line="560" w:lineRule="exact"/>
        <w:textAlignment w:val="auto"/>
        <w:outlineLvl w:val="9"/>
        <w:rPr>
          <w:rFonts w:hint="eastAsia" w:ascii="宋体" w:hAnsi="宋体" w:eastAsia="宋体" w:cs="宋体"/>
          <w:b w:val="0"/>
          <w:bCs w:val="0"/>
          <w:color w:val="000000"/>
          <w:kern w:val="0"/>
          <w:sz w:val="24"/>
          <w:szCs w:val="24"/>
          <w:highlight w:val="none"/>
          <w:lang w:val="zh-CN"/>
        </w:rPr>
      </w:pPr>
      <w:bookmarkStart w:id="478" w:name="_Toc1388_WPSOffice_Level2"/>
      <w:bookmarkStart w:id="479" w:name="_Toc12243_WPSOffice_Level2"/>
      <w:bookmarkStart w:id="480" w:name="_Toc21234_WPSOffice_Level2"/>
      <w:r>
        <w:rPr>
          <w:rFonts w:hint="eastAsia" w:ascii="宋体" w:hAnsi="宋体" w:eastAsia="宋体" w:cs="宋体"/>
          <w:b w:val="0"/>
          <w:bCs w:val="0"/>
          <w:color w:val="000000"/>
          <w:kern w:val="0"/>
          <w:sz w:val="24"/>
          <w:szCs w:val="24"/>
          <w:highlight w:val="none"/>
          <w:lang w:val="zh-CN"/>
        </w:rPr>
        <w:t>致：</w:t>
      </w:r>
      <w:r>
        <w:rPr>
          <w:rFonts w:hint="eastAsia" w:ascii="宋体" w:hAnsi="宋体" w:eastAsia="宋体" w:cs="宋体"/>
          <w:b w:val="0"/>
          <w:bCs w:val="0"/>
          <w:color w:val="000000"/>
          <w:kern w:val="0"/>
          <w:sz w:val="24"/>
          <w:szCs w:val="24"/>
          <w:highlight w:val="none"/>
          <w:u w:val="single"/>
          <w:lang w:val="zh-CN"/>
        </w:rPr>
        <w:t>采购代理机构</w:t>
      </w:r>
      <w:bookmarkEnd w:id="478"/>
      <w:bookmarkEnd w:id="479"/>
      <w:bookmarkEnd w:id="480"/>
    </w:p>
    <w:p w14:paraId="3EF7C28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我方为</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zh-CN"/>
        </w:rPr>
        <w:t>（采购项目名称）项目（采购项目编号为：</w:t>
      </w:r>
      <w:r>
        <w:rPr>
          <w:rFonts w:hint="eastAsia" w:ascii="宋体" w:hAnsi="宋体" w:eastAsia="宋体" w:cs="宋体"/>
          <w:color w:val="000000"/>
          <w:kern w:val="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 xml:space="preserve">）递交保证金人民币 </w:t>
      </w:r>
      <w:r>
        <w:rPr>
          <w:rFonts w:hint="eastAsia" w:ascii="宋体" w:hAnsi="宋体" w:eastAsia="宋体" w:cs="宋体"/>
          <w:color w:val="000000"/>
          <w:kern w:val="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（大写：人民币</w:t>
      </w:r>
      <w:r>
        <w:rPr>
          <w:rFonts w:hint="eastAsia" w:ascii="宋体" w:hAnsi="宋体" w:eastAsia="宋体" w:cs="宋体"/>
          <w:color w:val="000000"/>
          <w:kern w:val="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元）已于</w:t>
      </w:r>
      <w:r>
        <w:rPr>
          <w:rFonts w:hint="eastAsia" w:ascii="宋体" w:hAnsi="宋体" w:eastAsia="宋体" w:cs="宋体"/>
          <w:color w:val="000000"/>
          <w:kern w:val="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年</w:t>
      </w:r>
      <w:r>
        <w:rPr>
          <w:rFonts w:hint="eastAsia" w:ascii="宋体" w:hAnsi="宋体" w:eastAsia="宋体" w:cs="宋体"/>
          <w:color w:val="000000"/>
          <w:kern w:val="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月</w:t>
      </w:r>
      <w:r>
        <w:rPr>
          <w:rFonts w:hint="eastAsia" w:ascii="宋体" w:hAnsi="宋体" w:eastAsia="宋体" w:cs="宋体"/>
          <w:color w:val="000000"/>
          <w:kern w:val="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日以转账方式汇入你方账户。</w:t>
      </w:r>
    </w:p>
    <w:p w14:paraId="62B8777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附</w:t>
      </w:r>
      <w:r>
        <w:rPr>
          <w:rFonts w:hint="eastAsia" w:ascii="宋体" w:hAnsi="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val="zh-CN"/>
        </w:rPr>
        <w:t>保证金交款证明复印件</w:t>
      </w:r>
      <w:r>
        <w:rPr>
          <w:rFonts w:hint="eastAsia" w:ascii="宋体" w:hAnsi="宋体" w:cs="宋体"/>
          <w:color w:val="000000"/>
          <w:kern w:val="0"/>
          <w:sz w:val="24"/>
          <w:szCs w:val="24"/>
          <w:highlight w:val="none"/>
          <w:lang w:val="zh-CN" w:eastAsia="zh-CN"/>
        </w:rPr>
        <w:t>及开户许可证</w:t>
      </w:r>
      <w:r>
        <w:rPr>
          <w:rFonts w:hint="eastAsia" w:ascii="宋体" w:hAnsi="宋体" w:cs="宋体"/>
          <w:color w:val="000000"/>
          <w:kern w:val="0"/>
          <w:sz w:val="24"/>
          <w:szCs w:val="24"/>
          <w:highlight w:val="none"/>
          <w:lang w:val="zh-CN"/>
        </w:rPr>
        <w:t>复印件</w:t>
      </w:r>
      <w:r>
        <w:rPr>
          <w:rFonts w:hint="eastAsia" w:ascii="宋体" w:hAnsi="宋体" w:eastAsia="宋体" w:cs="宋体"/>
          <w:color w:val="000000"/>
          <w:sz w:val="24"/>
          <w:szCs w:val="24"/>
          <w:highlight w:val="none"/>
          <w:lang w:eastAsia="zh-CN"/>
        </w:rPr>
        <w:t>或基本存款账户信息</w:t>
      </w:r>
      <w:r>
        <w:rPr>
          <w:rFonts w:hint="eastAsia" w:ascii="宋体" w:hAnsi="宋体" w:cs="宋体"/>
          <w:color w:val="000000"/>
          <w:kern w:val="0"/>
          <w:sz w:val="24"/>
          <w:szCs w:val="24"/>
          <w:highlight w:val="none"/>
          <w:lang w:val="zh-CN"/>
        </w:rPr>
        <w:t>（加盖公章）</w:t>
      </w:r>
    </w:p>
    <w:p w14:paraId="79116C21">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0BA0B046">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户    名：</w:t>
      </w:r>
    </w:p>
    <w:p w14:paraId="1933C429">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开户银行：</w:t>
      </w:r>
    </w:p>
    <w:p w14:paraId="4CF038B6">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18"/>
          <w:szCs w:val="21"/>
          <w:highlight w:val="none"/>
          <w:lang w:val="zh-CN"/>
        </w:rPr>
      </w:pPr>
      <w:r>
        <w:rPr>
          <w:rFonts w:hint="eastAsia" w:ascii="宋体" w:hAnsi="宋体" w:eastAsia="宋体" w:cs="宋体"/>
          <w:color w:val="000000"/>
          <w:kern w:val="0"/>
          <w:sz w:val="24"/>
          <w:szCs w:val="24"/>
          <w:highlight w:val="none"/>
          <w:lang w:val="zh-CN"/>
        </w:rPr>
        <w:t>开户帐号：</w:t>
      </w:r>
    </w:p>
    <w:p w14:paraId="1E69C8C5">
      <w:pPr>
        <w:widowControl w:val="0"/>
        <w:wordWrap/>
        <w:adjustRightInd/>
        <w:snapToGrid/>
        <w:spacing w:before="157" w:beforeLines="50" w:line="560" w:lineRule="exact"/>
        <w:ind w:firstLine="480" w:firstLineChars="200"/>
        <w:jc w:val="right"/>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139D5AD9">
      <w:pPr>
        <w:widowControl w:val="0"/>
        <w:wordWrap/>
        <w:adjustRightInd/>
        <w:snapToGrid/>
        <w:spacing w:before="157" w:beforeLines="50"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bookmarkStart w:id="481" w:name="_Toc16036_WPSOffice_Level3"/>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481"/>
    </w:p>
    <w:p w14:paraId="6C280A38">
      <w:pPr>
        <w:widowControl w:val="0"/>
        <w:wordWrap/>
        <w:adjustRightInd/>
        <w:snapToGrid/>
        <w:spacing w:before="157" w:beforeLines="50"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482" w:name="_Toc4114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482"/>
    </w:p>
    <w:p w14:paraId="126DAE0D">
      <w:pPr>
        <w:widowControl w:val="0"/>
        <w:wordWrap/>
        <w:adjustRightInd/>
        <w:snapToGrid/>
        <w:spacing w:before="157" w:beforeLines="50"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bookmarkStart w:id="483" w:name="_Toc26055_WPSOffice_Level3"/>
      <w:r>
        <w:rPr>
          <w:rFonts w:hint="eastAsia" w:ascii="宋体" w:hAnsi="宋体" w:eastAsia="宋体" w:cs="宋体"/>
          <w:b w:val="0"/>
          <w:bCs/>
          <w:color w:val="000000"/>
          <w:sz w:val="24"/>
          <w:szCs w:val="24"/>
          <w:highlight w:val="none"/>
        </w:rPr>
        <w:t>年   月  日</w:t>
      </w:r>
      <w:bookmarkEnd w:id="483"/>
    </w:p>
    <w:p w14:paraId="76507E0E">
      <w:pPr>
        <w:wordWrap/>
        <w:autoSpaceDE w:val="0"/>
        <w:autoSpaceDN w:val="0"/>
        <w:spacing w:before="157" w:beforeLines="50" w:line="560" w:lineRule="exact"/>
        <w:outlineLvl w:val="9"/>
        <w:rPr>
          <w:rFonts w:hint="default" w:ascii="宋体" w:hAnsi="宋体" w:eastAsia="宋体" w:cs="宋体"/>
          <w:b/>
          <w:bCs/>
          <w:color w:val="000000"/>
          <w:kern w:val="0"/>
          <w:sz w:val="20"/>
          <w:szCs w:val="22"/>
          <w:highlight w:val="none"/>
          <w:lang w:val="en-US" w:eastAsia="zh-CN"/>
        </w:rPr>
      </w:pPr>
      <w:r>
        <w:rPr>
          <w:rFonts w:hint="eastAsia" w:ascii="宋体" w:hAnsi="宋体" w:cs="宋体"/>
          <w:b/>
          <w:bCs/>
          <w:color w:val="000000"/>
          <w:kern w:val="0"/>
          <w:sz w:val="20"/>
          <w:szCs w:val="22"/>
          <w:highlight w:val="none"/>
          <w:lang w:val="en-US" w:eastAsia="zh-CN"/>
        </w:rPr>
        <w:t>保函格式自拟</w:t>
      </w:r>
    </w:p>
    <w:p w14:paraId="2DBECF18">
      <w:pPr>
        <w:wordWrap/>
        <w:spacing w:before="157" w:beforeLines="50" w:line="560" w:lineRule="exact"/>
        <w:rPr>
          <w:rFonts w:hint="eastAsia" w:ascii="宋体" w:hAnsi="宋体" w:eastAsia="宋体" w:cs="宋体"/>
          <w:kern w:val="0"/>
          <w:sz w:val="20"/>
          <w:szCs w:val="22"/>
          <w:highlight w:val="none"/>
          <w:lang w:val="zh-CN"/>
        </w:rPr>
      </w:pPr>
      <w:r>
        <w:rPr>
          <w:rFonts w:hint="eastAsia" w:ascii="宋体" w:hAnsi="宋体" w:eastAsia="宋体" w:cs="宋体"/>
          <w:kern w:val="0"/>
          <w:sz w:val="20"/>
          <w:szCs w:val="22"/>
          <w:highlight w:val="none"/>
          <w:lang w:val="zh-CN"/>
        </w:rPr>
        <w:br w:type="page"/>
      </w:r>
    </w:p>
    <w:p w14:paraId="2DE06B06">
      <w:pPr>
        <w:widowControl/>
        <w:wordWrap/>
        <w:snapToGrid w:val="0"/>
        <w:spacing w:before="157" w:beforeLines="50" w:line="560" w:lineRule="exact"/>
        <w:outlineLvl w:val="1"/>
        <w:rPr>
          <w:rFonts w:hint="eastAsia" w:ascii="宋体" w:hAnsi="宋体" w:eastAsia="宋体" w:cs="宋体"/>
          <w:kern w:val="0"/>
          <w:sz w:val="20"/>
          <w:szCs w:val="22"/>
          <w:highlight w:val="none"/>
          <w:lang w:val="zh-CN"/>
        </w:rPr>
      </w:pPr>
      <w:bookmarkStart w:id="484" w:name="_Toc28464"/>
      <w:bookmarkStart w:id="485" w:name="_Toc25028"/>
      <w:r>
        <w:rPr>
          <w:rFonts w:hint="eastAsia" w:ascii="宋体" w:hAnsi="宋体" w:eastAsia="宋体" w:cs="宋体"/>
          <w:b/>
          <w:bCs w:val="0"/>
          <w:color w:val="000000"/>
          <w:kern w:val="2"/>
          <w:sz w:val="28"/>
          <w:szCs w:val="28"/>
          <w:highlight w:val="none"/>
          <w:lang w:val="en-US" w:eastAsia="zh-CN" w:bidi="ar-SA"/>
        </w:rPr>
        <w:t>附件</w:t>
      </w:r>
      <w:r>
        <w:rPr>
          <w:rFonts w:hint="eastAsia" w:ascii="宋体" w:hAnsi="宋体" w:cs="宋体"/>
          <w:b/>
          <w:bCs w:val="0"/>
          <w:color w:val="000000"/>
          <w:kern w:val="2"/>
          <w:sz w:val="28"/>
          <w:szCs w:val="28"/>
          <w:highlight w:val="none"/>
          <w:lang w:val="en-US" w:eastAsia="zh-CN" w:bidi="ar-SA"/>
        </w:rPr>
        <w:t>10</w:t>
      </w:r>
      <w:r>
        <w:rPr>
          <w:rFonts w:hint="eastAsia" w:ascii="宋体" w:hAnsi="宋体" w:eastAsia="宋体" w:cs="宋体"/>
          <w:b/>
          <w:bCs w:val="0"/>
          <w:color w:val="000000"/>
          <w:kern w:val="2"/>
          <w:sz w:val="28"/>
          <w:szCs w:val="28"/>
          <w:highlight w:val="none"/>
          <w:lang w:val="en-US" w:eastAsia="zh-CN" w:bidi="ar-SA"/>
        </w:rPr>
        <w:t>：具备履行合同所必须的设备和专业技术能力证明</w:t>
      </w:r>
      <w:bookmarkEnd w:id="484"/>
      <w:bookmarkEnd w:id="485"/>
    </w:p>
    <w:p w14:paraId="25743274">
      <w:pPr>
        <w:wordWrap/>
        <w:spacing w:before="157" w:beforeLines="50" w:line="560" w:lineRule="exact"/>
        <w:jc w:val="center"/>
        <w:outlineLvl w:val="9"/>
        <w:rPr>
          <w:rFonts w:hint="eastAsia" w:ascii="仿宋_GB2312" w:hAnsi="仿宋_GB2312" w:eastAsia="仿宋_GB2312" w:cs="仿宋_GB2312"/>
          <w:b/>
          <w:color w:val="000000"/>
          <w:sz w:val="32"/>
          <w:szCs w:val="32"/>
          <w:lang w:val="zh-CN" w:eastAsia="zh-CN"/>
        </w:rPr>
      </w:pPr>
      <w:r>
        <w:rPr>
          <w:rFonts w:hint="eastAsia" w:ascii="仿宋_GB2312" w:hAnsi="仿宋_GB2312" w:eastAsia="仿宋_GB2312" w:cs="仿宋_GB2312"/>
          <w:b/>
          <w:color w:val="000000"/>
          <w:sz w:val="32"/>
          <w:szCs w:val="32"/>
          <w:lang w:val="en-US" w:eastAsia="zh-CN"/>
        </w:rPr>
        <w:t>具备履行合同所必须的设备和专业技术能力证明</w:t>
      </w:r>
    </w:p>
    <w:p w14:paraId="27486445">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36"/>
          <w:szCs w:val="36"/>
          <w:highlight w:val="none"/>
        </w:rPr>
      </w:pPr>
      <w:bookmarkStart w:id="486" w:name="_Toc20688_WPSOffice_Level2"/>
      <w:bookmarkStart w:id="487" w:name="_Toc24560_WPSOffice_Level2"/>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根据采购项目内容，</w:t>
      </w:r>
      <w:r>
        <w:rPr>
          <w:rFonts w:hint="eastAsia" w:ascii="宋体" w:hAnsi="宋体" w:eastAsia="宋体" w:cs="宋体"/>
          <w:color w:val="000000"/>
          <w:sz w:val="24"/>
          <w:szCs w:val="24"/>
          <w:highlight w:val="none"/>
          <w:lang w:val="zh-CN" w:eastAsia="zh-CN"/>
        </w:rPr>
        <w:t>为保证本项目合同的顺利履行，须提供具备履行合同的设备和专业技术能力的承诺函</w:t>
      </w:r>
      <w:r>
        <w:rPr>
          <w:rFonts w:hint="eastAsia" w:ascii="宋体" w:hAnsi="Cambria" w:cs="宋体"/>
          <w:color w:val="000000"/>
          <w:kern w:val="0"/>
          <w:sz w:val="24"/>
          <w:szCs w:val="24"/>
          <w:lang w:val="en-US" w:eastAsia="zh-CN"/>
        </w:rPr>
        <w:t>及</w:t>
      </w:r>
      <w:r>
        <w:rPr>
          <w:rFonts w:ascii="Arial" w:hAnsi="Arial" w:cs="Arial"/>
          <w:kern w:val="0"/>
          <w:sz w:val="24"/>
          <w:szCs w:val="24"/>
          <w:lang w:val="zh-CN"/>
        </w:rPr>
        <w:t>相关设备的购置发票</w:t>
      </w:r>
      <w:r>
        <w:rPr>
          <w:rFonts w:hint="eastAsia" w:ascii="Arial" w:hAnsi="Arial" w:cs="Arial"/>
          <w:kern w:val="0"/>
          <w:sz w:val="24"/>
          <w:szCs w:val="24"/>
          <w:lang w:val="zh-CN"/>
        </w:rPr>
        <w:t>或</w:t>
      </w:r>
      <w:r>
        <w:rPr>
          <w:rFonts w:ascii="Arial" w:hAnsi="Arial" w:cs="Arial"/>
          <w:kern w:val="0"/>
          <w:sz w:val="24"/>
          <w:szCs w:val="24"/>
          <w:lang w:val="zh-CN"/>
        </w:rPr>
        <w:t>相关人员的证书</w:t>
      </w:r>
      <w:r>
        <w:rPr>
          <w:rFonts w:hint="eastAsia" w:ascii="Arial" w:hAnsi="Arial" w:cs="Arial"/>
          <w:kern w:val="0"/>
          <w:sz w:val="24"/>
          <w:szCs w:val="24"/>
          <w:lang w:val="en-US" w:eastAsia="zh-CN"/>
        </w:rPr>
        <w:t>或</w:t>
      </w:r>
      <w:r>
        <w:rPr>
          <w:rFonts w:ascii="Arial" w:hAnsi="Arial" w:cs="Arial"/>
          <w:kern w:val="0"/>
          <w:sz w:val="24"/>
          <w:szCs w:val="24"/>
          <w:lang w:val="zh-CN"/>
        </w:rPr>
        <w:t>用工合同等证明材料</w:t>
      </w:r>
      <w:r>
        <w:rPr>
          <w:rFonts w:hint="eastAsia" w:ascii="宋体" w:hAnsi="Cambria" w:cs="宋体"/>
          <w:color w:val="000000"/>
          <w:kern w:val="0"/>
          <w:sz w:val="24"/>
          <w:szCs w:val="24"/>
          <w:lang w:val="zh-CN"/>
        </w:rPr>
        <w:t>；</w:t>
      </w:r>
    </w:p>
    <w:p w14:paraId="1B08613A">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36"/>
          <w:szCs w:val="36"/>
          <w:highlight w:val="none"/>
        </w:rPr>
      </w:pPr>
    </w:p>
    <w:p w14:paraId="2ACE7924">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sectPr>
          <w:pgSz w:w="11906" w:h="16838"/>
          <w:pgMar w:top="1440" w:right="1800" w:bottom="1440" w:left="1800" w:header="851" w:footer="992" w:gutter="0"/>
          <w:pgNumType w:fmt="numberInDash"/>
          <w:cols w:space="425" w:num="1"/>
          <w:docGrid w:type="lines" w:linePitch="312" w:charSpace="0"/>
        </w:sectPr>
      </w:pPr>
    </w:p>
    <w:p w14:paraId="0DD03D58">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p>
    <w:p w14:paraId="17476DF7">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p>
    <w:p w14:paraId="4A423776">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p>
    <w:p w14:paraId="6CC8B13A">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青海省政府采购项目</w:t>
      </w:r>
      <w:bookmarkEnd w:id="486"/>
      <w:bookmarkEnd w:id="487"/>
    </w:p>
    <w:p w14:paraId="7CFC13FD">
      <w:pPr>
        <w:pStyle w:val="9"/>
        <w:rPr>
          <w:rFonts w:hint="eastAsia"/>
          <w:highlight w:val="none"/>
        </w:rPr>
      </w:pPr>
    </w:p>
    <w:p w14:paraId="53F1FCCD">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bookmarkStart w:id="488" w:name="_Toc1190_WPSOffice_Level2"/>
      <w:bookmarkStart w:id="489" w:name="_Toc30784_WPSOffice_Level2"/>
      <w:r>
        <w:rPr>
          <w:rFonts w:hint="eastAsia" w:ascii="宋体" w:hAnsi="宋体" w:eastAsia="宋体" w:cs="宋体"/>
          <w:b/>
          <w:color w:val="000000"/>
          <w:sz w:val="44"/>
          <w:szCs w:val="44"/>
          <w:highlight w:val="none"/>
        </w:rPr>
        <w:t>谈判响应文件</w:t>
      </w:r>
      <w:bookmarkEnd w:id="488"/>
      <w:bookmarkEnd w:id="489"/>
    </w:p>
    <w:p w14:paraId="6FFCA937">
      <w:pPr>
        <w:wordWrap/>
        <w:adjustRightInd w:val="0"/>
        <w:spacing w:before="157" w:beforeLines="50" w:line="560" w:lineRule="exact"/>
        <w:jc w:val="center"/>
        <w:textAlignment w:val="baseline"/>
        <w:outlineLvl w:val="9"/>
        <w:rPr>
          <w:rFonts w:hint="eastAsia" w:ascii="宋体" w:hAnsi="宋体" w:eastAsia="宋体" w:cs="宋体"/>
          <w:b/>
          <w:bCs/>
          <w:color w:val="000000"/>
          <w:sz w:val="28"/>
          <w:szCs w:val="28"/>
          <w:highlight w:val="none"/>
        </w:rPr>
      </w:pPr>
      <w:bookmarkStart w:id="490" w:name="_Toc5068_WPSOffice_Level2"/>
      <w:bookmarkStart w:id="491" w:name="_Toc24224_WPSOffice_Level2"/>
      <w:r>
        <w:rPr>
          <w:rFonts w:hint="eastAsia" w:ascii="宋体" w:hAnsi="宋体" w:eastAsia="宋体" w:cs="宋体"/>
          <w:b/>
          <w:bCs/>
          <w:color w:val="000000"/>
          <w:sz w:val="28"/>
          <w:szCs w:val="28"/>
          <w:highlight w:val="none"/>
        </w:rPr>
        <w:t>（</w:t>
      </w:r>
      <w:r>
        <w:rPr>
          <w:rFonts w:hint="eastAsia" w:ascii="宋体" w:hAnsi="宋体" w:eastAsia="宋体" w:cs="宋体"/>
          <w:kern w:val="2"/>
          <w:sz w:val="24"/>
          <w:szCs w:val="24"/>
          <w:lang w:val="en-US" w:eastAsia="zh-CN" w:bidi="zh-CN"/>
        </w:rPr>
        <w:t>有效性、完整性、响应程度审查部分</w:t>
      </w:r>
      <w:r>
        <w:rPr>
          <w:rFonts w:hint="eastAsia" w:ascii="宋体" w:hAnsi="宋体" w:eastAsia="宋体" w:cs="宋体"/>
          <w:b/>
          <w:bCs/>
          <w:color w:val="000000"/>
          <w:sz w:val="28"/>
          <w:szCs w:val="28"/>
          <w:highlight w:val="none"/>
        </w:rPr>
        <w:t>）</w:t>
      </w:r>
      <w:bookmarkEnd w:id="490"/>
      <w:bookmarkEnd w:id="491"/>
    </w:p>
    <w:p w14:paraId="7BF513C2">
      <w:pPr>
        <w:wordWrap/>
        <w:adjustRightInd w:val="0"/>
        <w:spacing w:before="157" w:beforeLines="50" w:line="560" w:lineRule="exact"/>
        <w:textAlignment w:val="baseline"/>
        <w:outlineLvl w:val="9"/>
        <w:rPr>
          <w:rFonts w:hint="eastAsia" w:ascii="宋体" w:hAnsi="宋体" w:eastAsia="宋体" w:cs="宋体"/>
          <w:b/>
          <w:bCs/>
          <w:color w:val="000000"/>
          <w:sz w:val="28"/>
          <w:szCs w:val="28"/>
          <w:highlight w:val="none"/>
        </w:rPr>
      </w:pPr>
    </w:p>
    <w:p w14:paraId="67253ABB">
      <w:pPr>
        <w:wordWrap/>
        <w:adjustRightInd w:val="0"/>
        <w:spacing w:before="157" w:beforeLines="50" w:line="560" w:lineRule="exact"/>
        <w:textAlignment w:val="baseline"/>
        <w:outlineLvl w:val="9"/>
        <w:rPr>
          <w:rFonts w:hint="eastAsia" w:ascii="宋体" w:hAnsi="宋体" w:eastAsia="宋体" w:cs="宋体"/>
          <w:b/>
          <w:bCs/>
          <w:color w:val="000000"/>
          <w:sz w:val="28"/>
          <w:szCs w:val="28"/>
          <w:highlight w:val="none"/>
        </w:rPr>
      </w:pPr>
    </w:p>
    <w:p w14:paraId="754D7970">
      <w:pPr>
        <w:wordWrap/>
        <w:adjustRightInd w:val="0"/>
        <w:spacing w:before="157" w:beforeLines="50" w:line="560" w:lineRule="exact"/>
        <w:textAlignment w:val="baseline"/>
        <w:outlineLvl w:val="9"/>
        <w:rPr>
          <w:rFonts w:hint="eastAsia" w:ascii="宋体" w:hAnsi="宋体" w:eastAsia="宋体" w:cs="宋体"/>
          <w:b/>
          <w:bCs/>
          <w:color w:val="000000"/>
          <w:sz w:val="28"/>
          <w:szCs w:val="28"/>
          <w:highlight w:val="none"/>
        </w:rPr>
      </w:pPr>
    </w:p>
    <w:p w14:paraId="04FE6573">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lang w:eastAsia="zh-CN"/>
        </w:rPr>
      </w:pPr>
      <w:bookmarkStart w:id="492" w:name="_Toc24014_WPSOffice_Level2"/>
      <w:bookmarkStart w:id="493" w:name="_Toc19360_WPSOffice_Level2"/>
      <w:r>
        <w:rPr>
          <w:rFonts w:hint="eastAsia" w:ascii="宋体" w:hAnsi="宋体" w:eastAsia="宋体" w:cs="宋体"/>
          <w:b/>
          <w:bCs/>
          <w:color w:val="000000"/>
          <w:sz w:val="32"/>
          <w:szCs w:val="32"/>
          <w:highlight w:val="none"/>
        </w:rPr>
        <w:t>采购项目编号</w:t>
      </w:r>
      <w:r>
        <w:rPr>
          <w:rFonts w:hint="eastAsia" w:ascii="宋体" w:hAnsi="宋体" w:cs="宋体"/>
          <w:b/>
          <w:bCs/>
          <w:color w:val="000000"/>
          <w:sz w:val="32"/>
          <w:szCs w:val="32"/>
          <w:highlight w:val="none"/>
          <w:lang w:eastAsia="zh-CN"/>
        </w:rPr>
        <w:t>：</w:t>
      </w:r>
      <w:r>
        <w:rPr>
          <w:rFonts w:hint="eastAsia" w:ascii="宋体" w:hAnsi="宋体" w:cs="宋体"/>
          <w:b/>
          <w:color w:val="000000"/>
          <w:kern w:val="0"/>
          <w:sz w:val="30"/>
          <w:szCs w:val="30"/>
          <w:u w:val="single"/>
          <w:lang w:eastAsia="zh-CN"/>
        </w:rPr>
        <w:t xml:space="preserve"> 青海拓鑫竞谈（货物）2026-028-2</w:t>
      </w:r>
      <w:r>
        <w:rPr>
          <w:rFonts w:hint="eastAsia" w:ascii="宋体" w:hAnsi="宋体" w:cs="宋体"/>
          <w:b/>
          <w:color w:val="000000"/>
          <w:kern w:val="0"/>
          <w:sz w:val="30"/>
          <w:szCs w:val="30"/>
          <w:u w:val="single"/>
          <w:lang w:val="en-US" w:eastAsia="zh-CN"/>
        </w:rPr>
        <w:t xml:space="preserve"> </w:t>
      </w:r>
    </w:p>
    <w:p w14:paraId="668C95CC">
      <w:pPr>
        <w:wordWrap/>
        <w:spacing w:before="157" w:beforeLines="50" w:line="560" w:lineRule="exact"/>
        <w:jc w:val="left"/>
        <w:outlineLvl w:val="9"/>
        <w:rPr>
          <w:rFonts w:hint="eastAsia" w:ascii="宋体" w:hAnsi="宋体" w:cs="宋体"/>
          <w:b/>
          <w:bCs/>
          <w:color w:val="000000"/>
          <w:sz w:val="32"/>
          <w:szCs w:val="32"/>
          <w:highlight w:val="none"/>
          <w:lang w:eastAsia="zh-CN"/>
        </w:rPr>
      </w:pPr>
      <w:r>
        <w:rPr>
          <w:rFonts w:hint="eastAsia" w:ascii="宋体" w:hAnsi="宋体" w:eastAsia="宋体" w:cs="宋体"/>
          <w:b/>
          <w:bCs/>
          <w:color w:val="000000"/>
          <w:sz w:val="32"/>
          <w:szCs w:val="32"/>
          <w:highlight w:val="none"/>
        </w:rPr>
        <w:t>采购项目名称</w:t>
      </w:r>
      <w:r>
        <w:rPr>
          <w:rFonts w:hint="eastAsia" w:ascii="宋体" w:hAnsi="宋体" w:cs="宋体"/>
          <w:b/>
          <w:bCs/>
          <w:color w:val="000000"/>
          <w:sz w:val="32"/>
          <w:szCs w:val="32"/>
          <w:highlight w:val="none"/>
          <w:lang w:eastAsia="zh-CN"/>
        </w:rPr>
        <w:t>：火角村农机具购置项目（第三次）</w:t>
      </w:r>
    </w:p>
    <w:p w14:paraId="593B1523">
      <w:pPr>
        <w:wordWrap/>
        <w:spacing w:before="157" w:beforeLines="50" w:line="560" w:lineRule="exact"/>
        <w:jc w:val="left"/>
        <w:outlineLvl w:val="9"/>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eastAsia="zh-CN"/>
        </w:rPr>
        <w:t>供应商名称：</w:t>
      </w:r>
      <w:bookmarkEnd w:id="492"/>
      <w:bookmarkEnd w:id="493"/>
    </w:p>
    <w:p w14:paraId="017CF39E">
      <w:pPr>
        <w:wordWrap/>
        <w:spacing w:before="157" w:beforeLines="50" w:line="560" w:lineRule="exact"/>
        <w:jc w:val="center"/>
        <w:outlineLvl w:val="9"/>
        <w:rPr>
          <w:rFonts w:hint="eastAsia" w:ascii="宋体" w:hAnsi="宋体" w:eastAsia="宋体" w:cs="宋体"/>
          <w:b/>
          <w:bCs/>
          <w:color w:val="000000"/>
          <w:sz w:val="28"/>
          <w:szCs w:val="28"/>
          <w:highlight w:val="none"/>
        </w:rPr>
      </w:pPr>
    </w:p>
    <w:p w14:paraId="7091EEB3">
      <w:pPr>
        <w:wordWrap/>
        <w:spacing w:before="157" w:beforeLines="50" w:line="560" w:lineRule="exact"/>
        <w:jc w:val="center"/>
        <w:outlineLvl w:val="9"/>
        <w:rPr>
          <w:rFonts w:hint="eastAsia" w:ascii="宋体" w:hAnsi="宋体" w:eastAsia="宋体" w:cs="宋体"/>
          <w:b/>
          <w:color w:val="000000"/>
          <w:sz w:val="28"/>
          <w:szCs w:val="28"/>
          <w:highlight w:val="none"/>
        </w:rPr>
      </w:pPr>
      <w:bookmarkStart w:id="494" w:name="_Toc17697_WPSOffice_Level3"/>
      <w:r>
        <w:rPr>
          <w:rFonts w:hint="eastAsia" w:ascii="宋体" w:hAnsi="宋体" w:eastAsia="宋体" w:cs="宋体"/>
          <w:b/>
          <w:color w:val="000000"/>
          <w:sz w:val="28"/>
          <w:szCs w:val="28"/>
          <w:highlight w:val="none"/>
        </w:rPr>
        <w:t>年  月  日</w:t>
      </w:r>
      <w:bookmarkEnd w:id="494"/>
    </w:p>
    <w:p w14:paraId="557C6B54">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51143D81">
      <w:pPr>
        <w:wordWrap/>
        <w:spacing w:before="157" w:beforeLines="50" w:line="560" w:lineRule="exact"/>
        <w:ind w:firstLine="482"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color w:val="000000"/>
          <w:sz w:val="24"/>
          <w:szCs w:val="24"/>
          <w:highlight w:val="none"/>
        </w:rPr>
        <w:br w:type="page"/>
      </w:r>
    </w:p>
    <w:p w14:paraId="1ADFBDA7">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495" w:name="_Toc3360"/>
      <w:bookmarkStart w:id="496" w:name="_Toc13416_WPSOffice_Level3"/>
      <w:bookmarkStart w:id="497" w:name="_Toc2646_WPSOffice_Level3"/>
      <w:bookmarkStart w:id="498" w:name="_Toc28116"/>
      <w:bookmarkStart w:id="499" w:name="_Toc18715"/>
      <w:bookmarkStart w:id="500" w:name="_Toc4327"/>
      <w:bookmarkStart w:id="501" w:name="_Toc2182"/>
      <w:r>
        <w:rPr>
          <w:rFonts w:hint="eastAsia" w:ascii="宋体" w:hAnsi="宋体" w:eastAsia="宋体" w:cs="宋体"/>
          <w:b/>
          <w:bCs w:val="0"/>
          <w:color w:val="000000"/>
          <w:kern w:val="2"/>
          <w:sz w:val="28"/>
          <w:szCs w:val="28"/>
          <w:highlight w:val="none"/>
          <w:lang w:val="en-US" w:eastAsia="zh-CN" w:bidi="ar-SA"/>
        </w:rPr>
        <w:t>附件</w:t>
      </w:r>
      <w:r>
        <w:rPr>
          <w:rFonts w:hint="eastAsia" w:ascii="宋体" w:hAnsi="宋体" w:cs="宋体"/>
          <w:b/>
          <w:bCs w:val="0"/>
          <w:color w:val="000000"/>
          <w:kern w:val="2"/>
          <w:sz w:val="28"/>
          <w:szCs w:val="28"/>
          <w:highlight w:val="none"/>
          <w:lang w:val="en-US" w:eastAsia="zh-CN" w:bidi="ar-SA"/>
        </w:rPr>
        <w:t>11</w:t>
      </w:r>
      <w:r>
        <w:rPr>
          <w:rFonts w:hint="eastAsia" w:ascii="宋体" w:hAnsi="宋体" w:eastAsia="宋体" w:cs="宋体"/>
          <w:b/>
          <w:bCs w:val="0"/>
          <w:color w:val="000000"/>
          <w:kern w:val="2"/>
          <w:sz w:val="28"/>
          <w:szCs w:val="28"/>
          <w:highlight w:val="none"/>
          <w:lang w:val="en-US" w:eastAsia="zh-CN" w:bidi="ar-SA"/>
        </w:rPr>
        <w:t>：谈判首次报价表</w:t>
      </w:r>
      <w:bookmarkEnd w:id="495"/>
      <w:bookmarkEnd w:id="496"/>
      <w:bookmarkEnd w:id="497"/>
      <w:bookmarkEnd w:id="498"/>
      <w:bookmarkEnd w:id="499"/>
      <w:bookmarkEnd w:id="500"/>
      <w:bookmarkEnd w:id="501"/>
    </w:p>
    <w:p w14:paraId="09C19B04">
      <w:pPr>
        <w:wordWrap/>
        <w:spacing w:before="157" w:beforeLines="50" w:line="560" w:lineRule="exact"/>
        <w:jc w:val="center"/>
        <w:outlineLvl w:val="9"/>
        <w:rPr>
          <w:rFonts w:hint="eastAsia" w:ascii="宋体" w:hAnsi="宋体"/>
          <w:b/>
          <w:color w:val="000000"/>
          <w:sz w:val="36"/>
          <w:szCs w:val="36"/>
        </w:rPr>
      </w:pPr>
      <w:bookmarkStart w:id="502" w:name="_Toc17115_WPSOffice_Level3"/>
      <w:bookmarkStart w:id="503" w:name="_Toc8724_WPSOffice_Level1"/>
      <w:bookmarkStart w:id="504" w:name="_Toc17322_WPSOffice_Level1"/>
      <w:r>
        <w:rPr>
          <w:rFonts w:hint="eastAsia" w:ascii="仿宋_GB2312" w:hAnsi="仿宋_GB2312" w:eastAsia="仿宋_GB2312" w:cs="仿宋_GB2312"/>
          <w:b/>
          <w:color w:val="000000"/>
          <w:sz w:val="32"/>
          <w:szCs w:val="32"/>
          <w:lang w:val="zh-CN" w:eastAsia="zh-CN"/>
        </w:rPr>
        <w:t>谈判首次报价表</w:t>
      </w:r>
      <w:bookmarkEnd w:id="502"/>
      <w:bookmarkEnd w:id="503"/>
      <w:bookmarkEnd w:id="504"/>
    </w:p>
    <w:p w14:paraId="2EFD24B1">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bookmarkStart w:id="505" w:name="_Toc14507_WPSOffice_Level2"/>
      <w:r>
        <w:rPr>
          <w:rFonts w:hint="eastAsia" w:ascii="宋体" w:hAnsi="宋体" w:eastAsia="宋体" w:cs="宋体"/>
          <w:kern w:val="2"/>
          <w:sz w:val="24"/>
          <w:szCs w:val="24"/>
          <w:lang w:val="en-US" w:eastAsia="zh-CN" w:bidi="zh-CN"/>
        </w:rPr>
        <w:t>供应商名称：</w:t>
      </w:r>
      <w:bookmarkEnd w:id="505"/>
      <w:r>
        <w:rPr>
          <w:rFonts w:hint="eastAsia" w:ascii="宋体" w:hAnsi="宋体" w:eastAsia="宋体" w:cs="宋体"/>
          <w:kern w:val="2"/>
          <w:sz w:val="24"/>
          <w:szCs w:val="24"/>
          <w:lang w:val="en-US" w:eastAsia="zh-CN" w:bidi="zh-CN"/>
        </w:rPr>
        <w:t xml:space="preserve">          </w:t>
      </w:r>
      <w:r>
        <w:rPr>
          <w:rFonts w:hint="eastAsia" w:ascii="宋体" w:hAnsi="宋体" w:cs="宋体"/>
          <w:kern w:val="2"/>
          <w:sz w:val="24"/>
          <w:szCs w:val="24"/>
          <w:lang w:val="en-US" w:eastAsia="zh-CN" w:bidi="zh-CN"/>
        </w:rPr>
        <w:t xml:space="preserve">    </w:t>
      </w:r>
      <w:r>
        <w:rPr>
          <w:rFonts w:hint="eastAsia" w:ascii="宋体" w:hAnsi="宋体" w:eastAsia="宋体" w:cs="宋体"/>
          <w:kern w:val="2"/>
          <w:sz w:val="24"/>
          <w:szCs w:val="24"/>
          <w:lang w:val="en-US" w:eastAsia="zh-CN" w:bidi="zh-CN"/>
        </w:rPr>
        <w:t xml:space="preserve">              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7B24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092" w:type="dxa"/>
            <w:vAlign w:val="center"/>
          </w:tcPr>
          <w:p w14:paraId="53464365">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项目名称</w:t>
            </w:r>
          </w:p>
        </w:tc>
        <w:tc>
          <w:tcPr>
            <w:tcW w:w="2717" w:type="dxa"/>
            <w:vAlign w:val="center"/>
          </w:tcPr>
          <w:p w14:paraId="030EF0C5">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报价</w:t>
            </w:r>
          </w:p>
        </w:tc>
        <w:tc>
          <w:tcPr>
            <w:tcW w:w="2670" w:type="dxa"/>
            <w:vAlign w:val="center"/>
          </w:tcPr>
          <w:p w14:paraId="27D5A643">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交货期</w:t>
            </w:r>
          </w:p>
        </w:tc>
        <w:tc>
          <w:tcPr>
            <w:tcW w:w="1560" w:type="dxa"/>
            <w:vAlign w:val="center"/>
          </w:tcPr>
          <w:p w14:paraId="4ECA539B">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备注</w:t>
            </w:r>
          </w:p>
        </w:tc>
      </w:tr>
      <w:tr w14:paraId="2C50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74F4C7F5">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c>
          <w:tcPr>
            <w:tcW w:w="2717" w:type="dxa"/>
            <w:vAlign w:val="top"/>
          </w:tcPr>
          <w:p w14:paraId="66EDDF88">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大写：</w:t>
            </w:r>
          </w:p>
        </w:tc>
        <w:tc>
          <w:tcPr>
            <w:tcW w:w="2670" w:type="dxa"/>
            <w:vMerge w:val="restart"/>
            <w:vAlign w:val="top"/>
          </w:tcPr>
          <w:p w14:paraId="3E309B81">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c>
          <w:tcPr>
            <w:tcW w:w="1560" w:type="dxa"/>
            <w:vMerge w:val="restart"/>
            <w:vAlign w:val="top"/>
          </w:tcPr>
          <w:p w14:paraId="2BF3D279">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r>
      <w:tr w14:paraId="3DA9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686EDFB2">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c>
          <w:tcPr>
            <w:tcW w:w="2717" w:type="dxa"/>
            <w:vAlign w:val="top"/>
          </w:tcPr>
          <w:p w14:paraId="77FA7098">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小写：</w:t>
            </w:r>
          </w:p>
        </w:tc>
        <w:tc>
          <w:tcPr>
            <w:tcW w:w="2670" w:type="dxa"/>
            <w:vMerge w:val="continue"/>
            <w:vAlign w:val="top"/>
          </w:tcPr>
          <w:p w14:paraId="09E52A45">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c>
          <w:tcPr>
            <w:tcW w:w="1560" w:type="dxa"/>
            <w:vMerge w:val="continue"/>
            <w:vAlign w:val="top"/>
          </w:tcPr>
          <w:p w14:paraId="4835B6A6">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r>
      <w:tr w14:paraId="326C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2CBAE514">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其他承诺及需要说明的事项：</w:t>
            </w:r>
          </w:p>
        </w:tc>
      </w:tr>
    </w:tbl>
    <w:p w14:paraId="030C6448">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注：1、填写此表时不得改变表格形式。</w:t>
      </w:r>
    </w:p>
    <w:p w14:paraId="7A9044FC">
      <w:pPr>
        <w:autoSpaceDE w:val="0"/>
        <w:autoSpaceDN w:val="0"/>
        <w:spacing w:line="360" w:lineRule="auto"/>
        <w:ind w:firstLine="360"/>
        <w:rPr>
          <w:rFonts w:hint="eastAsia" w:ascii="宋体" w:hAnsi="宋体" w:cs="宋体"/>
          <w:color w:val="000000"/>
          <w:kern w:val="0"/>
          <w:sz w:val="18"/>
          <w:szCs w:val="21"/>
          <w:highlight w:val="none"/>
        </w:rPr>
      </w:pPr>
      <w:r>
        <w:rPr>
          <w:rFonts w:hint="eastAsia" w:ascii="宋体" w:hAnsi="宋体" w:eastAsia="宋体" w:cs="宋体"/>
          <w:kern w:val="2"/>
          <w:sz w:val="24"/>
          <w:szCs w:val="24"/>
          <w:lang w:val="en-US" w:eastAsia="zh-CN" w:bidi="zh-CN"/>
        </w:rPr>
        <w:t>2、响应文件报价为总价</w:t>
      </w:r>
      <w:r>
        <w:rPr>
          <w:rFonts w:hint="eastAsia" w:ascii="宋体" w:hAnsi="宋体" w:cs="宋体"/>
          <w:kern w:val="2"/>
          <w:sz w:val="24"/>
          <w:szCs w:val="24"/>
          <w:lang w:val="en-US" w:eastAsia="zh-CN" w:bidi="zh-CN"/>
        </w:rPr>
        <w:t>：</w:t>
      </w:r>
      <w:r>
        <w:rPr>
          <w:rFonts w:hint="eastAsia" w:ascii="宋体" w:hAnsi="宋体" w:eastAsia="宋体" w:cs="宋体"/>
          <w:bCs/>
          <w:sz w:val="24"/>
          <w:szCs w:val="24"/>
          <w:highlight w:val="none"/>
          <w:lang w:val="zh-CN"/>
        </w:rPr>
        <w:t>产品费、验收费、手续费、包装费、运输费、保险费、培训费、售前售中售后服务费、税金及不可预见费等全部费用。</w:t>
      </w:r>
    </w:p>
    <w:p w14:paraId="70D616E8">
      <w:pPr>
        <w:wordWrap/>
        <w:adjustRightInd w:val="0"/>
        <w:spacing w:before="157" w:beforeLines="50" w:line="560" w:lineRule="exact"/>
        <w:ind w:firstLine="480" w:firstLineChars="200"/>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3、“交货期”是指产品能够交付使用的具体时间（</w:t>
      </w:r>
      <w:r>
        <w:rPr>
          <w:rFonts w:hint="eastAsia" w:ascii="宋体" w:hAnsi="宋体" w:cs="宋体"/>
          <w:kern w:val="2"/>
          <w:sz w:val="24"/>
          <w:szCs w:val="24"/>
          <w:lang w:val="en-US" w:eastAsia="zh-CN" w:bidi="zh-CN"/>
        </w:rPr>
        <w:t>日历日</w:t>
      </w:r>
      <w:r>
        <w:rPr>
          <w:rFonts w:hint="eastAsia" w:ascii="宋体" w:hAnsi="宋体" w:eastAsia="宋体" w:cs="宋体"/>
          <w:kern w:val="2"/>
          <w:sz w:val="24"/>
          <w:szCs w:val="24"/>
          <w:lang w:val="en-US" w:eastAsia="zh-CN" w:bidi="zh-CN"/>
        </w:rPr>
        <w:t xml:space="preserve">）。               </w:t>
      </w:r>
    </w:p>
    <w:p w14:paraId="0489C86B">
      <w:pPr>
        <w:wordWrap/>
        <w:adjustRightInd w:val="0"/>
        <w:spacing w:before="157" w:beforeLines="50" w:line="560" w:lineRule="exact"/>
        <w:jc w:val="both"/>
        <w:textAlignment w:val="baseline"/>
        <w:outlineLvl w:val="9"/>
        <w:rPr>
          <w:rFonts w:hint="eastAsia" w:ascii="宋体" w:hAnsi="宋体" w:eastAsia="宋体" w:cs="宋体"/>
          <w:kern w:val="2"/>
          <w:sz w:val="24"/>
          <w:szCs w:val="24"/>
          <w:lang w:val="en-US" w:eastAsia="zh-CN" w:bidi="zh-CN"/>
        </w:rPr>
      </w:pPr>
    </w:p>
    <w:p w14:paraId="5D78727C">
      <w:pPr>
        <w:wordWrap/>
        <w:adjustRightInd w:val="0"/>
        <w:spacing w:before="157" w:beforeLines="50" w:line="560" w:lineRule="exact"/>
        <w:jc w:val="both"/>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 xml:space="preserve">  </w:t>
      </w:r>
      <w:bookmarkStart w:id="506" w:name="_Toc27526_WPSOffice_Level3"/>
      <w:r>
        <w:rPr>
          <w:rFonts w:hint="eastAsia" w:ascii="宋体" w:hAnsi="宋体" w:eastAsia="宋体" w:cs="宋体"/>
          <w:kern w:val="2"/>
          <w:sz w:val="24"/>
          <w:szCs w:val="24"/>
          <w:lang w:val="en-US" w:eastAsia="zh-CN" w:bidi="zh-CN"/>
        </w:rPr>
        <w:t xml:space="preserve"> </w:t>
      </w:r>
      <w:bookmarkStart w:id="507" w:name="_Toc11022_WPSOffice_Level3"/>
      <w:r>
        <w:rPr>
          <w:rFonts w:hint="eastAsia" w:ascii="宋体" w:hAnsi="宋体" w:cs="宋体"/>
          <w:kern w:val="2"/>
          <w:sz w:val="24"/>
          <w:szCs w:val="24"/>
          <w:lang w:val="en-US" w:eastAsia="zh-CN" w:bidi="zh-CN"/>
        </w:rPr>
        <w:t xml:space="preserve">                      </w:t>
      </w: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kern w:val="2"/>
          <w:sz w:val="24"/>
          <w:szCs w:val="24"/>
          <w:lang w:val="en-US" w:eastAsia="zh-CN" w:bidi="zh-CN"/>
        </w:rPr>
        <w:t xml:space="preserve">： </w:t>
      </w:r>
      <w:r>
        <w:rPr>
          <w:rFonts w:hint="eastAsia" w:ascii="宋体" w:hAnsi="宋体" w:eastAsia="宋体" w:cs="宋体"/>
          <w:kern w:val="2"/>
          <w:sz w:val="24"/>
          <w:szCs w:val="24"/>
          <w:u w:val="single"/>
          <w:lang w:val="en-US" w:eastAsia="zh-CN" w:bidi="zh-CN"/>
        </w:rPr>
        <w:t xml:space="preserve">     </w:t>
      </w:r>
      <w:r>
        <w:rPr>
          <w:rFonts w:hint="eastAsia" w:ascii="宋体" w:hAnsi="宋体" w:cs="宋体"/>
          <w:kern w:val="2"/>
          <w:sz w:val="24"/>
          <w:szCs w:val="24"/>
          <w:u w:val="single"/>
          <w:lang w:val="en-US" w:eastAsia="zh-CN" w:bidi="zh-CN"/>
        </w:rPr>
        <w:t xml:space="preserve">               </w:t>
      </w:r>
      <w:r>
        <w:rPr>
          <w:rFonts w:hint="eastAsia" w:ascii="宋体" w:hAnsi="宋体" w:eastAsia="宋体" w:cs="宋体"/>
          <w:kern w:val="2"/>
          <w:sz w:val="24"/>
          <w:szCs w:val="24"/>
          <w:u w:val="single"/>
          <w:lang w:val="en-US" w:eastAsia="zh-CN" w:bidi="zh-CN"/>
        </w:rPr>
        <w:t xml:space="preserve"> </w:t>
      </w:r>
      <w:r>
        <w:rPr>
          <w:rFonts w:hint="eastAsia" w:ascii="宋体" w:hAnsi="宋体" w:eastAsia="宋体" w:cs="宋体"/>
          <w:kern w:val="2"/>
          <w:sz w:val="24"/>
          <w:szCs w:val="24"/>
          <w:lang w:val="en-US" w:eastAsia="zh-CN" w:bidi="zh-CN"/>
        </w:rPr>
        <w:t>（公章）</w:t>
      </w:r>
      <w:bookmarkEnd w:id="506"/>
      <w:bookmarkEnd w:id="507"/>
    </w:p>
    <w:p w14:paraId="237A7C90">
      <w:pPr>
        <w:wordWrap/>
        <w:adjustRightInd w:val="0"/>
        <w:spacing w:before="157" w:beforeLines="50" w:line="560" w:lineRule="exact"/>
        <w:jc w:val="righ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 xml:space="preserve">     </w:t>
      </w:r>
      <w:bookmarkStart w:id="508" w:name="_Toc32417_WPSOffice_Level3"/>
      <w:bookmarkStart w:id="509" w:name="_Toc23931_WPSOffice_Level3"/>
      <w:r>
        <w:rPr>
          <w:rFonts w:hint="eastAsia" w:ascii="宋体" w:hAnsi="宋体" w:eastAsia="宋体" w:cs="宋体"/>
          <w:kern w:val="2"/>
          <w:sz w:val="24"/>
          <w:szCs w:val="24"/>
          <w:lang w:val="en-US" w:eastAsia="zh-CN" w:bidi="zh-CN"/>
        </w:rPr>
        <w:t>法定代表人或委托代理人：</w:t>
      </w:r>
      <w:r>
        <w:rPr>
          <w:rFonts w:hint="eastAsia" w:ascii="宋体" w:hAnsi="宋体" w:eastAsia="宋体" w:cs="宋体"/>
          <w:kern w:val="2"/>
          <w:sz w:val="24"/>
          <w:szCs w:val="24"/>
          <w:u w:val="single"/>
          <w:lang w:val="en-US" w:eastAsia="zh-CN" w:bidi="zh-CN"/>
        </w:rPr>
        <w:t xml:space="preserve">       </w:t>
      </w:r>
      <w:r>
        <w:rPr>
          <w:rFonts w:hint="eastAsia" w:ascii="宋体" w:hAnsi="宋体" w:eastAsia="宋体" w:cs="宋体"/>
          <w:kern w:val="2"/>
          <w:sz w:val="24"/>
          <w:szCs w:val="24"/>
          <w:lang w:val="en-US" w:eastAsia="zh-CN" w:bidi="zh-CN"/>
        </w:rPr>
        <w:t>（签字或盖章）</w:t>
      </w:r>
      <w:bookmarkEnd w:id="508"/>
      <w:bookmarkEnd w:id="509"/>
    </w:p>
    <w:p w14:paraId="0E9ACB6C">
      <w:pPr>
        <w:wordWrap/>
        <w:spacing w:before="157" w:beforeLines="50" w:line="560" w:lineRule="exact"/>
        <w:ind w:firstLine="640" w:firstLineChars="200"/>
        <w:jc w:val="right"/>
        <w:outlineLvl w:val="9"/>
        <w:rPr>
          <w:rFonts w:hint="eastAsia" w:ascii="宋体" w:hAnsi="宋体" w:eastAsia="宋体" w:cs="宋体"/>
          <w:kern w:val="2"/>
          <w:sz w:val="24"/>
          <w:szCs w:val="24"/>
          <w:lang w:val="en-US" w:eastAsia="zh-CN" w:bidi="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kern w:val="2"/>
          <w:sz w:val="24"/>
          <w:szCs w:val="24"/>
          <w:lang w:val="en-US" w:eastAsia="zh-CN" w:bidi="zh-CN"/>
        </w:rPr>
        <w:t xml:space="preserve">    </w:t>
      </w:r>
      <w:bookmarkStart w:id="510" w:name="_Toc23319_WPSOffice_Level3"/>
      <w:bookmarkStart w:id="511" w:name="_Toc19388_WPSOffice_Level3"/>
      <w:r>
        <w:rPr>
          <w:rFonts w:hint="eastAsia" w:ascii="宋体" w:hAnsi="宋体" w:eastAsia="宋体" w:cs="宋体"/>
          <w:kern w:val="2"/>
          <w:sz w:val="24"/>
          <w:szCs w:val="24"/>
          <w:lang w:val="en-US" w:eastAsia="zh-CN" w:bidi="zh-CN"/>
        </w:rPr>
        <w:t>年   月  日</w:t>
      </w:r>
      <w:bookmarkEnd w:id="510"/>
      <w:bookmarkEnd w:id="511"/>
    </w:p>
    <w:p w14:paraId="210579B5">
      <w:pPr>
        <w:keepNext w:val="0"/>
        <w:keepLines w:val="0"/>
        <w:pageBreakBefore w:val="0"/>
        <w:widowControl/>
        <w:kinsoku/>
        <w:wordWrap/>
        <w:overflowPunct/>
        <w:topLinePunct w:val="0"/>
        <w:autoSpaceDE/>
        <w:autoSpaceDN/>
        <w:bidi w:val="0"/>
        <w:adjustRightInd/>
        <w:snapToGrid w:val="0"/>
        <w:spacing w:line="560" w:lineRule="exact"/>
        <w:textAlignment w:val="auto"/>
        <w:outlineLvl w:val="1"/>
        <w:rPr>
          <w:rFonts w:hint="eastAsia" w:ascii="宋体" w:hAnsi="宋体" w:eastAsia="宋体" w:cs="宋体"/>
          <w:b/>
          <w:color w:val="000000"/>
          <w:sz w:val="32"/>
          <w:szCs w:val="32"/>
          <w:highlight w:val="none"/>
        </w:rPr>
      </w:pPr>
      <w:r>
        <w:rPr>
          <w:rFonts w:hint="eastAsia" w:ascii="宋体" w:hAnsi="宋体" w:eastAsia="宋体" w:cs="宋体"/>
          <w:b/>
          <w:color w:val="000000"/>
          <w:sz w:val="22"/>
          <w:szCs w:val="22"/>
          <w:highlight w:val="none"/>
        </w:rPr>
        <w:br w:type="page"/>
      </w:r>
      <w:bookmarkStart w:id="512" w:name="_Toc18824_WPSOffice_Level3"/>
      <w:bookmarkStart w:id="513" w:name="_Toc13192"/>
      <w:bookmarkStart w:id="514" w:name="_Toc7532"/>
      <w:bookmarkStart w:id="515" w:name="_Toc3352_WPSOffice_Level3"/>
      <w:bookmarkStart w:id="516" w:name="_Toc31202"/>
      <w:bookmarkStart w:id="517" w:name="_Toc9740"/>
      <w:bookmarkStart w:id="518" w:name="_Toc18642"/>
      <w:r>
        <w:rPr>
          <w:rFonts w:hint="eastAsia" w:ascii="宋体" w:hAnsi="宋体" w:eastAsia="宋体" w:cs="宋体"/>
          <w:b/>
          <w:bCs w:val="0"/>
          <w:color w:val="000000"/>
          <w:kern w:val="2"/>
          <w:sz w:val="28"/>
          <w:szCs w:val="28"/>
          <w:highlight w:val="none"/>
          <w:lang w:val="en-US" w:eastAsia="zh-CN" w:bidi="ar-SA"/>
        </w:rPr>
        <w:t>附件</w:t>
      </w:r>
      <w:r>
        <w:rPr>
          <w:rFonts w:hint="eastAsia" w:ascii="宋体" w:hAnsi="宋体" w:cs="宋体"/>
          <w:b/>
          <w:bCs w:val="0"/>
          <w:color w:val="000000"/>
          <w:kern w:val="2"/>
          <w:sz w:val="28"/>
          <w:szCs w:val="28"/>
          <w:highlight w:val="none"/>
          <w:lang w:val="en-US" w:eastAsia="zh-CN" w:bidi="ar-SA"/>
        </w:rPr>
        <w:t>12</w:t>
      </w:r>
      <w:r>
        <w:rPr>
          <w:rFonts w:hint="eastAsia" w:ascii="宋体" w:hAnsi="宋体" w:eastAsia="宋体" w:cs="宋体"/>
          <w:b/>
          <w:bCs w:val="0"/>
          <w:color w:val="000000"/>
          <w:kern w:val="2"/>
          <w:sz w:val="28"/>
          <w:szCs w:val="28"/>
          <w:highlight w:val="none"/>
          <w:lang w:val="en-US" w:eastAsia="zh-CN" w:bidi="ar-SA"/>
        </w:rPr>
        <w:t>：分项报价表</w:t>
      </w:r>
      <w:bookmarkEnd w:id="512"/>
      <w:bookmarkEnd w:id="513"/>
      <w:bookmarkEnd w:id="514"/>
      <w:bookmarkEnd w:id="515"/>
      <w:bookmarkEnd w:id="516"/>
      <w:bookmarkEnd w:id="517"/>
      <w:bookmarkEnd w:id="518"/>
    </w:p>
    <w:p w14:paraId="4CBE1228">
      <w:pPr>
        <w:wordWrap/>
        <w:spacing w:before="157" w:beforeLines="50" w:line="560" w:lineRule="exact"/>
        <w:jc w:val="center"/>
        <w:outlineLvl w:val="9"/>
        <w:rPr>
          <w:rFonts w:hint="eastAsia" w:ascii="宋体" w:hAnsi="宋体"/>
          <w:b/>
          <w:color w:val="000000"/>
          <w:sz w:val="36"/>
          <w:szCs w:val="36"/>
        </w:rPr>
      </w:pPr>
      <w:bookmarkStart w:id="519" w:name="_Toc19937_WPSOffice_Level1"/>
      <w:bookmarkStart w:id="520" w:name="_Toc31256_WPSOffice_Level3"/>
      <w:bookmarkStart w:id="521" w:name="_Toc12587_WPSOffice_Level1"/>
      <w:bookmarkStart w:id="522" w:name="_Toc698"/>
      <w:r>
        <w:rPr>
          <w:rFonts w:hint="eastAsia" w:ascii="仿宋_GB2312" w:hAnsi="仿宋_GB2312" w:eastAsia="仿宋_GB2312" w:cs="仿宋_GB2312"/>
          <w:b/>
          <w:color w:val="000000"/>
          <w:sz w:val="32"/>
          <w:szCs w:val="32"/>
          <w:lang w:val="zh-CN" w:eastAsia="zh-CN"/>
        </w:rPr>
        <w:t>分项报价表</w:t>
      </w:r>
      <w:bookmarkEnd w:id="519"/>
      <w:bookmarkEnd w:id="520"/>
      <w:bookmarkEnd w:id="521"/>
    </w:p>
    <w:p w14:paraId="3CE7AA64">
      <w:pPr>
        <w:pStyle w:val="28"/>
        <w:rPr>
          <w:rFonts w:hint="eastAsia"/>
          <w:sz w:val="24"/>
          <w:lang w:val="en-US" w:eastAsia="zh-CN"/>
        </w:rPr>
      </w:pPr>
      <w:bookmarkStart w:id="523" w:name="_Toc30633_WPSOffice_Level2"/>
    </w:p>
    <w:p w14:paraId="0B8F8892">
      <w:pPr>
        <w:pStyle w:val="28"/>
        <w:rPr>
          <w:rFonts w:hint="eastAsia"/>
          <w:sz w:val="24"/>
          <w:lang w:val="en-US" w:eastAsia="zh-CN"/>
        </w:rPr>
      </w:pPr>
      <w:r>
        <w:rPr>
          <w:rFonts w:hint="eastAsia"/>
          <w:sz w:val="24"/>
          <w:lang w:val="en-US" w:eastAsia="zh-CN"/>
        </w:rPr>
        <w:t>供应商名称:</w:t>
      </w:r>
      <w:bookmarkEnd w:id="523"/>
      <w:r>
        <w:rPr>
          <w:rFonts w:hint="eastAsia"/>
          <w:sz w:val="24"/>
          <w:lang w:val="en-US" w:eastAsia="zh-CN"/>
        </w:rPr>
        <w:t xml:space="preserve">                                      单位：人民币(元)                                          </w:t>
      </w:r>
    </w:p>
    <w:tbl>
      <w:tblPr>
        <w:tblStyle w:val="20"/>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850"/>
      </w:tblGrid>
      <w:tr w14:paraId="1B5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0B9F9B74">
            <w:pPr>
              <w:pStyle w:val="28"/>
              <w:rPr>
                <w:rFonts w:hint="eastAsia"/>
                <w:sz w:val="24"/>
                <w:lang w:val="en-US" w:eastAsia="zh-CN"/>
              </w:rPr>
            </w:pPr>
            <w:r>
              <w:rPr>
                <w:rFonts w:hint="eastAsia"/>
                <w:sz w:val="24"/>
                <w:lang w:val="en-US" w:eastAsia="zh-CN"/>
              </w:rPr>
              <w:t>序号</w:t>
            </w:r>
          </w:p>
        </w:tc>
        <w:tc>
          <w:tcPr>
            <w:tcW w:w="1497" w:type="dxa"/>
            <w:vAlign w:val="center"/>
          </w:tcPr>
          <w:p w14:paraId="2C8122B6">
            <w:pPr>
              <w:pStyle w:val="28"/>
              <w:rPr>
                <w:rFonts w:hint="eastAsia"/>
                <w:sz w:val="24"/>
                <w:lang w:val="en-US" w:eastAsia="zh-CN"/>
              </w:rPr>
            </w:pPr>
            <w:r>
              <w:rPr>
                <w:rFonts w:hint="eastAsia"/>
                <w:sz w:val="24"/>
                <w:lang w:val="en-US" w:eastAsia="zh-CN"/>
              </w:rPr>
              <w:t>产品名称</w:t>
            </w:r>
          </w:p>
        </w:tc>
        <w:tc>
          <w:tcPr>
            <w:tcW w:w="992" w:type="dxa"/>
            <w:vAlign w:val="center"/>
          </w:tcPr>
          <w:p w14:paraId="69140A47">
            <w:pPr>
              <w:pStyle w:val="28"/>
              <w:ind w:firstLine="240" w:firstLineChars="100"/>
              <w:rPr>
                <w:rFonts w:hint="eastAsia"/>
                <w:sz w:val="24"/>
                <w:lang w:val="en-US" w:eastAsia="zh-CN"/>
              </w:rPr>
            </w:pPr>
            <w:r>
              <w:rPr>
                <w:rFonts w:hint="eastAsia"/>
                <w:sz w:val="24"/>
                <w:lang w:val="en-US" w:eastAsia="zh-CN"/>
              </w:rPr>
              <w:t>品牌</w:t>
            </w:r>
          </w:p>
        </w:tc>
        <w:tc>
          <w:tcPr>
            <w:tcW w:w="1052" w:type="dxa"/>
            <w:vAlign w:val="center"/>
          </w:tcPr>
          <w:p w14:paraId="2CCA9B90">
            <w:pPr>
              <w:pStyle w:val="28"/>
              <w:rPr>
                <w:rFonts w:hint="eastAsia"/>
                <w:sz w:val="24"/>
                <w:lang w:val="en-US" w:eastAsia="zh-CN"/>
              </w:rPr>
            </w:pPr>
            <w:r>
              <w:rPr>
                <w:rFonts w:hint="eastAsia"/>
                <w:sz w:val="24"/>
                <w:lang w:val="en-US" w:eastAsia="zh-CN"/>
              </w:rPr>
              <w:t>规格型号</w:t>
            </w:r>
          </w:p>
        </w:tc>
        <w:tc>
          <w:tcPr>
            <w:tcW w:w="1356" w:type="dxa"/>
            <w:vAlign w:val="center"/>
          </w:tcPr>
          <w:p w14:paraId="68AAE368">
            <w:pPr>
              <w:pStyle w:val="28"/>
              <w:rPr>
                <w:rFonts w:hint="eastAsia"/>
                <w:sz w:val="24"/>
                <w:lang w:val="en-US" w:eastAsia="zh-CN"/>
              </w:rPr>
            </w:pPr>
            <w:r>
              <w:rPr>
                <w:rFonts w:hint="eastAsia"/>
                <w:sz w:val="24"/>
                <w:lang w:val="en-US" w:eastAsia="zh-CN"/>
              </w:rPr>
              <w:t>生产厂家</w:t>
            </w:r>
          </w:p>
        </w:tc>
        <w:tc>
          <w:tcPr>
            <w:tcW w:w="953" w:type="dxa"/>
            <w:vAlign w:val="center"/>
          </w:tcPr>
          <w:p w14:paraId="2EBBB626">
            <w:pPr>
              <w:pStyle w:val="28"/>
              <w:rPr>
                <w:rFonts w:hint="eastAsia"/>
                <w:sz w:val="24"/>
                <w:lang w:val="en-US" w:eastAsia="zh-CN"/>
              </w:rPr>
            </w:pPr>
            <w:r>
              <w:rPr>
                <w:rFonts w:hint="eastAsia"/>
                <w:sz w:val="24"/>
                <w:lang w:val="en-US" w:eastAsia="zh-CN"/>
              </w:rPr>
              <w:t>数量及单位</w:t>
            </w:r>
          </w:p>
        </w:tc>
        <w:tc>
          <w:tcPr>
            <w:tcW w:w="710" w:type="dxa"/>
            <w:vAlign w:val="center"/>
          </w:tcPr>
          <w:p w14:paraId="4563F1FC">
            <w:pPr>
              <w:pStyle w:val="28"/>
              <w:rPr>
                <w:rFonts w:hint="eastAsia"/>
                <w:sz w:val="24"/>
                <w:lang w:val="en-US" w:eastAsia="zh-CN"/>
              </w:rPr>
            </w:pPr>
            <w:r>
              <w:rPr>
                <w:rFonts w:hint="eastAsia"/>
                <w:sz w:val="24"/>
                <w:lang w:val="en-US" w:eastAsia="zh-CN"/>
              </w:rPr>
              <w:t>单价</w:t>
            </w:r>
          </w:p>
        </w:tc>
        <w:tc>
          <w:tcPr>
            <w:tcW w:w="851" w:type="dxa"/>
            <w:vAlign w:val="center"/>
          </w:tcPr>
          <w:p w14:paraId="1AFC9B6F">
            <w:pPr>
              <w:pStyle w:val="28"/>
              <w:rPr>
                <w:rFonts w:hint="eastAsia"/>
                <w:sz w:val="24"/>
                <w:lang w:val="en-US" w:eastAsia="zh-CN"/>
              </w:rPr>
            </w:pPr>
            <w:r>
              <w:rPr>
                <w:rFonts w:hint="eastAsia"/>
                <w:sz w:val="24"/>
                <w:lang w:val="en-US" w:eastAsia="zh-CN"/>
              </w:rPr>
              <w:t>合计</w:t>
            </w:r>
          </w:p>
        </w:tc>
        <w:tc>
          <w:tcPr>
            <w:tcW w:w="850" w:type="dxa"/>
            <w:vAlign w:val="center"/>
          </w:tcPr>
          <w:p w14:paraId="4E75CEF7">
            <w:pPr>
              <w:pStyle w:val="28"/>
              <w:rPr>
                <w:rFonts w:hint="eastAsia"/>
                <w:sz w:val="24"/>
                <w:lang w:val="en-US" w:eastAsia="zh-CN"/>
              </w:rPr>
            </w:pPr>
            <w:r>
              <w:rPr>
                <w:rFonts w:hint="eastAsia"/>
                <w:sz w:val="24"/>
                <w:lang w:val="en-US" w:eastAsia="zh-CN"/>
              </w:rPr>
              <w:t>质保期</w:t>
            </w:r>
          </w:p>
        </w:tc>
      </w:tr>
      <w:tr w14:paraId="01CF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1B84C84">
            <w:pPr>
              <w:pStyle w:val="28"/>
              <w:jc w:val="center"/>
              <w:rPr>
                <w:rFonts w:hint="eastAsia"/>
                <w:sz w:val="24"/>
                <w:lang w:val="en-US" w:eastAsia="zh-CN"/>
              </w:rPr>
            </w:pPr>
            <w:r>
              <w:rPr>
                <w:rFonts w:hint="eastAsia"/>
                <w:sz w:val="24"/>
                <w:lang w:val="en-US" w:eastAsia="zh-CN"/>
              </w:rPr>
              <w:t>1</w:t>
            </w:r>
          </w:p>
        </w:tc>
        <w:tc>
          <w:tcPr>
            <w:tcW w:w="1497" w:type="dxa"/>
            <w:vAlign w:val="center"/>
          </w:tcPr>
          <w:p w14:paraId="2B8C23BF">
            <w:pPr>
              <w:pStyle w:val="28"/>
              <w:rPr>
                <w:rFonts w:hint="eastAsia"/>
                <w:sz w:val="24"/>
                <w:lang w:val="en-US" w:eastAsia="zh-CN"/>
              </w:rPr>
            </w:pPr>
          </w:p>
        </w:tc>
        <w:tc>
          <w:tcPr>
            <w:tcW w:w="992" w:type="dxa"/>
            <w:vAlign w:val="center"/>
          </w:tcPr>
          <w:p w14:paraId="4B5F8AFE">
            <w:pPr>
              <w:pStyle w:val="28"/>
              <w:rPr>
                <w:rFonts w:hint="eastAsia"/>
                <w:sz w:val="24"/>
                <w:lang w:val="en-US" w:eastAsia="zh-CN"/>
              </w:rPr>
            </w:pPr>
          </w:p>
        </w:tc>
        <w:tc>
          <w:tcPr>
            <w:tcW w:w="1052" w:type="dxa"/>
            <w:vAlign w:val="center"/>
          </w:tcPr>
          <w:p w14:paraId="143EE62C">
            <w:pPr>
              <w:pStyle w:val="28"/>
              <w:rPr>
                <w:rFonts w:hint="eastAsia"/>
                <w:sz w:val="24"/>
                <w:lang w:val="en-US" w:eastAsia="zh-CN"/>
              </w:rPr>
            </w:pPr>
          </w:p>
        </w:tc>
        <w:tc>
          <w:tcPr>
            <w:tcW w:w="1356" w:type="dxa"/>
            <w:vAlign w:val="center"/>
          </w:tcPr>
          <w:p w14:paraId="51E4077A">
            <w:pPr>
              <w:pStyle w:val="28"/>
              <w:rPr>
                <w:rFonts w:hint="eastAsia"/>
                <w:sz w:val="24"/>
                <w:lang w:val="en-US" w:eastAsia="zh-CN"/>
              </w:rPr>
            </w:pPr>
          </w:p>
        </w:tc>
        <w:tc>
          <w:tcPr>
            <w:tcW w:w="953" w:type="dxa"/>
            <w:vAlign w:val="center"/>
          </w:tcPr>
          <w:p w14:paraId="714FECEB">
            <w:pPr>
              <w:pStyle w:val="28"/>
              <w:rPr>
                <w:rFonts w:hint="eastAsia"/>
                <w:sz w:val="24"/>
                <w:lang w:val="en-US" w:eastAsia="zh-CN"/>
              </w:rPr>
            </w:pPr>
          </w:p>
        </w:tc>
        <w:tc>
          <w:tcPr>
            <w:tcW w:w="710" w:type="dxa"/>
            <w:vAlign w:val="center"/>
          </w:tcPr>
          <w:p w14:paraId="6DCA6F27">
            <w:pPr>
              <w:pStyle w:val="28"/>
              <w:rPr>
                <w:rFonts w:hint="eastAsia"/>
                <w:sz w:val="24"/>
                <w:lang w:val="en-US" w:eastAsia="zh-CN"/>
              </w:rPr>
            </w:pPr>
          </w:p>
        </w:tc>
        <w:tc>
          <w:tcPr>
            <w:tcW w:w="851" w:type="dxa"/>
            <w:vAlign w:val="center"/>
          </w:tcPr>
          <w:p w14:paraId="0785D51C">
            <w:pPr>
              <w:pStyle w:val="28"/>
              <w:rPr>
                <w:rFonts w:hint="eastAsia"/>
                <w:sz w:val="24"/>
                <w:lang w:val="en-US" w:eastAsia="zh-CN"/>
              </w:rPr>
            </w:pPr>
          </w:p>
        </w:tc>
        <w:tc>
          <w:tcPr>
            <w:tcW w:w="850" w:type="dxa"/>
            <w:vAlign w:val="center"/>
          </w:tcPr>
          <w:p w14:paraId="708E1BC1">
            <w:pPr>
              <w:pStyle w:val="28"/>
              <w:rPr>
                <w:rFonts w:hint="eastAsia"/>
                <w:sz w:val="24"/>
                <w:lang w:val="en-US" w:eastAsia="zh-CN"/>
              </w:rPr>
            </w:pPr>
          </w:p>
        </w:tc>
      </w:tr>
      <w:tr w14:paraId="4E5C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4B11913">
            <w:pPr>
              <w:pStyle w:val="28"/>
              <w:jc w:val="center"/>
              <w:rPr>
                <w:rFonts w:hint="eastAsia"/>
                <w:sz w:val="24"/>
                <w:lang w:val="en-US" w:eastAsia="zh-CN"/>
              </w:rPr>
            </w:pPr>
            <w:r>
              <w:rPr>
                <w:rFonts w:hint="eastAsia"/>
                <w:sz w:val="24"/>
                <w:lang w:val="en-US" w:eastAsia="zh-CN"/>
              </w:rPr>
              <w:t>2</w:t>
            </w:r>
          </w:p>
        </w:tc>
        <w:tc>
          <w:tcPr>
            <w:tcW w:w="1497" w:type="dxa"/>
            <w:vAlign w:val="center"/>
          </w:tcPr>
          <w:p w14:paraId="4EEFE992">
            <w:pPr>
              <w:pStyle w:val="28"/>
              <w:rPr>
                <w:rFonts w:hint="eastAsia"/>
                <w:sz w:val="24"/>
                <w:lang w:val="en-US" w:eastAsia="zh-CN"/>
              </w:rPr>
            </w:pPr>
          </w:p>
        </w:tc>
        <w:tc>
          <w:tcPr>
            <w:tcW w:w="992" w:type="dxa"/>
            <w:vAlign w:val="center"/>
          </w:tcPr>
          <w:p w14:paraId="1E2FB329">
            <w:pPr>
              <w:pStyle w:val="28"/>
              <w:rPr>
                <w:rFonts w:hint="eastAsia"/>
                <w:sz w:val="24"/>
                <w:lang w:val="en-US" w:eastAsia="zh-CN"/>
              </w:rPr>
            </w:pPr>
          </w:p>
        </w:tc>
        <w:tc>
          <w:tcPr>
            <w:tcW w:w="1052" w:type="dxa"/>
            <w:vAlign w:val="center"/>
          </w:tcPr>
          <w:p w14:paraId="745C73CE">
            <w:pPr>
              <w:pStyle w:val="28"/>
              <w:rPr>
                <w:rFonts w:hint="eastAsia"/>
                <w:sz w:val="24"/>
                <w:lang w:val="en-US" w:eastAsia="zh-CN"/>
              </w:rPr>
            </w:pPr>
          </w:p>
        </w:tc>
        <w:tc>
          <w:tcPr>
            <w:tcW w:w="1356" w:type="dxa"/>
            <w:vAlign w:val="center"/>
          </w:tcPr>
          <w:p w14:paraId="00A74839">
            <w:pPr>
              <w:pStyle w:val="28"/>
              <w:rPr>
                <w:rFonts w:hint="eastAsia"/>
                <w:sz w:val="24"/>
                <w:lang w:val="en-US" w:eastAsia="zh-CN"/>
              </w:rPr>
            </w:pPr>
          </w:p>
        </w:tc>
        <w:tc>
          <w:tcPr>
            <w:tcW w:w="953" w:type="dxa"/>
            <w:vAlign w:val="center"/>
          </w:tcPr>
          <w:p w14:paraId="655ABD68">
            <w:pPr>
              <w:pStyle w:val="28"/>
              <w:rPr>
                <w:rFonts w:hint="eastAsia"/>
                <w:sz w:val="24"/>
                <w:lang w:val="en-US" w:eastAsia="zh-CN"/>
              </w:rPr>
            </w:pPr>
          </w:p>
        </w:tc>
        <w:tc>
          <w:tcPr>
            <w:tcW w:w="710" w:type="dxa"/>
            <w:vAlign w:val="center"/>
          </w:tcPr>
          <w:p w14:paraId="5C195DE8">
            <w:pPr>
              <w:pStyle w:val="28"/>
              <w:rPr>
                <w:rFonts w:hint="eastAsia"/>
                <w:sz w:val="24"/>
                <w:lang w:val="en-US" w:eastAsia="zh-CN"/>
              </w:rPr>
            </w:pPr>
          </w:p>
        </w:tc>
        <w:tc>
          <w:tcPr>
            <w:tcW w:w="851" w:type="dxa"/>
            <w:vAlign w:val="center"/>
          </w:tcPr>
          <w:p w14:paraId="5C803A84">
            <w:pPr>
              <w:pStyle w:val="28"/>
              <w:rPr>
                <w:rFonts w:hint="eastAsia"/>
                <w:sz w:val="24"/>
                <w:lang w:val="en-US" w:eastAsia="zh-CN"/>
              </w:rPr>
            </w:pPr>
          </w:p>
        </w:tc>
        <w:tc>
          <w:tcPr>
            <w:tcW w:w="850" w:type="dxa"/>
            <w:vAlign w:val="center"/>
          </w:tcPr>
          <w:p w14:paraId="7CE96B48">
            <w:pPr>
              <w:pStyle w:val="28"/>
              <w:rPr>
                <w:rFonts w:hint="eastAsia"/>
                <w:sz w:val="24"/>
                <w:lang w:val="en-US" w:eastAsia="zh-CN"/>
              </w:rPr>
            </w:pPr>
          </w:p>
        </w:tc>
      </w:tr>
      <w:tr w14:paraId="6ED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559D361">
            <w:pPr>
              <w:pStyle w:val="28"/>
              <w:jc w:val="center"/>
              <w:rPr>
                <w:rFonts w:hint="eastAsia"/>
                <w:sz w:val="24"/>
                <w:lang w:val="en-US" w:eastAsia="zh-CN"/>
              </w:rPr>
            </w:pPr>
            <w:r>
              <w:rPr>
                <w:rFonts w:hint="eastAsia"/>
                <w:sz w:val="24"/>
                <w:lang w:val="en-US" w:eastAsia="zh-CN"/>
              </w:rPr>
              <w:t>3</w:t>
            </w:r>
          </w:p>
        </w:tc>
        <w:tc>
          <w:tcPr>
            <w:tcW w:w="1497" w:type="dxa"/>
            <w:vAlign w:val="center"/>
          </w:tcPr>
          <w:p w14:paraId="20D801F0">
            <w:pPr>
              <w:pStyle w:val="28"/>
              <w:rPr>
                <w:rFonts w:hint="eastAsia"/>
                <w:sz w:val="24"/>
                <w:lang w:val="en-US" w:eastAsia="zh-CN"/>
              </w:rPr>
            </w:pPr>
          </w:p>
        </w:tc>
        <w:tc>
          <w:tcPr>
            <w:tcW w:w="992" w:type="dxa"/>
            <w:vAlign w:val="center"/>
          </w:tcPr>
          <w:p w14:paraId="6CEC2191">
            <w:pPr>
              <w:pStyle w:val="28"/>
              <w:rPr>
                <w:rFonts w:hint="eastAsia"/>
                <w:sz w:val="24"/>
                <w:lang w:val="en-US" w:eastAsia="zh-CN"/>
              </w:rPr>
            </w:pPr>
          </w:p>
        </w:tc>
        <w:tc>
          <w:tcPr>
            <w:tcW w:w="1052" w:type="dxa"/>
            <w:vAlign w:val="center"/>
          </w:tcPr>
          <w:p w14:paraId="1218EA55">
            <w:pPr>
              <w:pStyle w:val="28"/>
              <w:rPr>
                <w:rFonts w:hint="eastAsia"/>
                <w:sz w:val="24"/>
                <w:lang w:val="en-US" w:eastAsia="zh-CN"/>
              </w:rPr>
            </w:pPr>
          </w:p>
        </w:tc>
        <w:tc>
          <w:tcPr>
            <w:tcW w:w="1356" w:type="dxa"/>
            <w:vAlign w:val="center"/>
          </w:tcPr>
          <w:p w14:paraId="6EA027A2">
            <w:pPr>
              <w:pStyle w:val="28"/>
              <w:rPr>
                <w:rFonts w:hint="eastAsia"/>
                <w:sz w:val="24"/>
                <w:lang w:val="en-US" w:eastAsia="zh-CN"/>
              </w:rPr>
            </w:pPr>
          </w:p>
        </w:tc>
        <w:tc>
          <w:tcPr>
            <w:tcW w:w="953" w:type="dxa"/>
            <w:vAlign w:val="center"/>
          </w:tcPr>
          <w:p w14:paraId="3C44F6A2">
            <w:pPr>
              <w:pStyle w:val="28"/>
              <w:rPr>
                <w:rFonts w:hint="eastAsia"/>
                <w:sz w:val="24"/>
                <w:lang w:val="en-US" w:eastAsia="zh-CN"/>
              </w:rPr>
            </w:pPr>
          </w:p>
        </w:tc>
        <w:tc>
          <w:tcPr>
            <w:tcW w:w="710" w:type="dxa"/>
            <w:vAlign w:val="center"/>
          </w:tcPr>
          <w:p w14:paraId="5C368DFD">
            <w:pPr>
              <w:pStyle w:val="28"/>
              <w:rPr>
                <w:rFonts w:hint="eastAsia"/>
                <w:sz w:val="24"/>
                <w:lang w:val="en-US" w:eastAsia="zh-CN"/>
              </w:rPr>
            </w:pPr>
          </w:p>
        </w:tc>
        <w:tc>
          <w:tcPr>
            <w:tcW w:w="851" w:type="dxa"/>
            <w:vAlign w:val="center"/>
          </w:tcPr>
          <w:p w14:paraId="02BE70E8">
            <w:pPr>
              <w:pStyle w:val="28"/>
              <w:rPr>
                <w:rFonts w:hint="eastAsia"/>
                <w:sz w:val="24"/>
                <w:lang w:val="en-US" w:eastAsia="zh-CN"/>
              </w:rPr>
            </w:pPr>
          </w:p>
        </w:tc>
        <w:tc>
          <w:tcPr>
            <w:tcW w:w="850" w:type="dxa"/>
            <w:vAlign w:val="center"/>
          </w:tcPr>
          <w:p w14:paraId="040596AB">
            <w:pPr>
              <w:pStyle w:val="28"/>
              <w:rPr>
                <w:rFonts w:hint="eastAsia"/>
                <w:sz w:val="24"/>
                <w:lang w:val="en-US" w:eastAsia="zh-CN"/>
              </w:rPr>
            </w:pPr>
          </w:p>
        </w:tc>
      </w:tr>
      <w:tr w14:paraId="19AD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5BF14065">
            <w:pPr>
              <w:pStyle w:val="28"/>
              <w:jc w:val="center"/>
              <w:rPr>
                <w:rFonts w:hint="eastAsia"/>
                <w:sz w:val="24"/>
                <w:lang w:val="en-US" w:eastAsia="zh-CN"/>
              </w:rPr>
            </w:pPr>
            <w:r>
              <w:rPr>
                <w:rFonts w:hint="eastAsia"/>
                <w:sz w:val="24"/>
                <w:lang w:val="en-US" w:eastAsia="zh-CN"/>
              </w:rPr>
              <w:t>4</w:t>
            </w:r>
          </w:p>
        </w:tc>
        <w:tc>
          <w:tcPr>
            <w:tcW w:w="1497" w:type="dxa"/>
            <w:vAlign w:val="center"/>
          </w:tcPr>
          <w:p w14:paraId="574F4E75">
            <w:pPr>
              <w:pStyle w:val="28"/>
              <w:rPr>
                <w:rFonts w:hint="eastAsia"/>
                <w:sz w:val="24"/>
                <w:lang w:val="en-US" w:eastAsia="zh-CN"/>
              </w:rPr>
            </w:pPr>
          </w:p>
        </w:tc>
        <w:tc>
          <w:tcPr>
            <w:tcW w:w="992" w:type="dxa"/>
            <w:vAlign w:val="center"/>
          </w:tcPr>
          <w:p w14:paraId="1B81A296">
            <w:pPr>
              <w:pStyle w:val="28"/>
              <w:rPr>
                <w:rFonts w:hint="eastAsia"/>
                <w:sz w:val="24"/>
                <w:lang w:val="en-US" w:eastAsia="zh-CN"/>
              </w:rPr>
            </w:pPr>
          </w:p>
        </w:tc>
        <w:tc>
          <w:tcPr>
            <w:tcW w:w="1052" w:type="dxa"/>
            <w:vAlign w:val="center"/>
          </w:tcPr>
          <w:p w14:paraId="17595CDF">
            <w:pPr>
              <w:pStyle w:val="28"/>
              <w:rPr>
                <w:rFonts w:hint="eastAsia"/>
                <w:sz w:val="24"/>
                <w:lang w:val="en-US" w:eastAsia="zh-CN"/>
              </w:rPr>
            </w:pPr>
          </w:p>
        </w:tc>
        <w:tc>
          <w:tcPr>
            <w:tcW w:w="1356" w:type="dxa"/>
            <w:vAlign w:val="center"/>
          </w:tcPr>
          <w:p w14:paraId="663AE891">
            <w:pPr>
              <w:pStyle w:val="28"/>
              <w:rPr>
                <w:rFonts w:hint="eastAsia"/>
                <w:sz w:val="24"/>
                <w:lang w:val="en-US" w:eastAsia="zh-CN"/>
              </w:rPr>
            </w:pPr>
          </w:p>
        </w:tc>
        <w:tc>
          <w:tcPr>
            <w:tcW w:w="953" w:type="dxa"/>
            <w:vAlign w:val="center"/>
          </w:tcPr>
          <w:p w14:paraId="226F3C81">
            <w:pPr>
              <w:pStyle w:val="28"/>
              <w:rPr>
                <w:rFonts w:hint="eastAsia"/>
                <w:sz w:val="24"/>
                <w:lang w:val="en-US" w:eastAsia="zh-CN"/>
              </w:rPr>
            </w:pPr>
          </w:p>
        </w:tc>
        <w:tc>
          <w:tcPr>
            <w:tcW w:w="710" w:type="dxa"/>
            <w:vAlign w:val="center"/>
          </w:tcPr>
          <w:p w14:paraId="1BF37523">
            <w:pPr>
              <w:pStyle w:val="28"/>
              <w:rPr>
                <w:rFonts w:hint="eastAsia"/>
                <w:sz w:val="24"/>
                <w:lang w:val="en-US" w:eastAsia="zh-CN"/>
              </w:rPr>
            </w:pPr>
          </w:p>
        </w:tc>
        <w:tc>
          <w:tcPr>
            <w:tcW w:w="851" w:type="dxa"/>
            <w:vAlign w:val="center"/>
          </w:tcPr>
          <w:p w14:paraId="0F52F6D4">
            <w:pPr>
              <w:pStyle w:val="28"/>
              <w:rPr>
                <w:rFonts w:hint="eastAsia"/>
                <w:sz w:val="24"/>
                <w:lang w:val="en-US" w:eastAsia="zh-CN"/>
              </w:rPr>
            </w:pPr>
          </w:p>
        </w:tc>
        <w:tc>
          <w:tcPr>
            <w:tcW w:w="850" w:type="dxa"/>
            <w:vAlign w:val="center"/>
          </w:tcPr>
          <w:p w14:paraId="215D00FC">
            <w:pPr>
              <w:pStyle w:val="28"/>
              <w:rPr>
                <w:rFonts w:hint="eastAsia"/>
                <w:sz w:val="24"/>
                <w:lang w:val="en-US" w:eastAsia="zh-CN"/>
              </w:rPr>
            </w:pPr>
          </w:p>
        </w:tc>
      </w:tr>
      <w:tr w14:paraId="6E7C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4AF65CE9">
            <w:pPr>
              <w:pStyle w:val="28"/>
              <w:rPr>
                <w:rFonts w:hint="eastAsia"/>
                <w:sz w:val="24"/>
                <w:lang w:val="en-US" w:eastAsia="zh-CN"/>
              </w:rPr>
            </w:pPr>
            <w:r>
              <w:rPr>
                <w:rFonts w:hint="eastAsia"/>
                <w:sz w:val="24"/>
                <w:lang w:val="en-US" w:eastAsia="zh-CN"/>
              </w:rPr>
              <w:t>…</w:t>
            </w:r>
          </w:p>
        </w:tc>
        <w:tc>
          <w:tcPr>
            <w:tcW w:w="1497" w:type="dxa"/>
            <w:vAlign w:val="center"/>
          </w:tcPr>
          <w:p w14:paraId="1184C164">
            <w:pPr>
              <w:pStyle w:val="28"/>
              <w:rPr>
                <w:rFonts w:hint="eastAsia"/>
                <w:sz w:val="24"/>
                <w:lang w:val="en-US" w:eastAsia="zh-CN"/>
              </w:rPr>
            </w:pPr>
          </w:p>
        </w:tc>
        <w:tc>
          <w:tcPr>
            <w:tcW w:w="992" w:type="dxa"/>
            <w:vAlign w:val="center"/>
          </w:tcPr>
          <w:p w14:paraId="6ABEC124">
            <w:pPr>
              <w:pStyle w:val="28"/>
              <w:rPr>
                <w:rFonts w:hint="eastAsia"/>
                <w:sz w:val="24"/>
                <w:lang w:val="en-US" w:eastAsia="zh-CN"/>
              </w:rPr>
            </w:pPr>
          </w:p>
        </w:tc>
        <w:tc>
          <w:tcPr>
            <w:tcW w:w="1052" w:type="dxa"/>
            <w:vAlign w:val="center"/>
          </w:tcPr>
          <w:p w14:paraId="61AFCB18">
            <w:pPr>
              <w:pStyle w:val="28"/>
              <w:rPr>
                <w:rFonts w:hint="eastAsia"/>
                <w:sz w:val="24"/>
                <w:lang w:val="en-US" w:eastAsia="zh-CN"/>
              </w:rPr>
            </w:pPr>
          </w:p>
        </w:tc>
        <w:tc>
          <w:tcPr>
            <w:tcW w:w="1356" w:type="dxa"/>
            <w:vAlign w:val="center"/>
          </w:tcPr>
          <w:p w14:paraId="2F77BE23">
            <w:pPr>
              <w:pStyle w:val="28"/>
              <w:rPr>
                <w:rFonts w:hint="eastAsia"/>
                <w:sz w:val="24"/>
                <w:lang w:val="en-US" w:eastAsia="zh-CN"/>
              </w:rPr>
            </w:pPr>
          </w:p>
        </w:tc>
        <w:tc>
          <w:tcPr>
            <w:tcW w:w="953" w:type="dxa"/>
            <w:vAlign w:val="center"/>
          </w:tcPr>
          <w:p w14:paraId="0A8DB750">
            <w:pPr>
              <w:pStyle w:val="28"/>
              <w:rPr>
                <w:rFonts w:hint="eastAsia"/>
                <w:sz w:val="24"/>
                <w:lang w:val="en-US" w:eastAsia="zh-CN"/>
              </w:rPr>
            </w:pPr>
          </w:p>
        </w:tc>
        <w:tc>
          <w:tcPr>
            <w:tcW w:w="710" w:type="dxa"/>
            <w:vAlign w:val="center"/>
          </w:tcPr>
          <w:p w14:paraId="4AB118B7">
            <w:pPr>
              <w:pStyle w:val="28"/>
              <w:rPr>
                <w:rFonts w:hint="eastAsia"/>
                <w:sz w:val="24"/>
                <w:lang w:val="en-US" w:eastAsia="zh-CN"/>
              </w:rPr>
            </w:pPr>
          </w:p>
        </w:tc>
        <w:tc>
          <w:tcPr>
            <w:tcW w:w="851" w:type="dxa"/>
            <w:vAlign w:val="center"/>
          </w:tcPr>
          <w:p w14:paraId="52539A71">
            <w:pPr>
              <w:pStyle w:val="28"/>
              <w:rPr>
                <w:rFonts w:hint="eastAsia"/>
                <w:sz w:val="24"/>
                <w:lang w:val="en-US" w:eastAsia="zh-CN"/>
              </w:rPr>
            </w:pPr>
          </w:p>
        </w:tc>
        <w:tc>
          <w:tcPr>
            <w:tcW w:w="850" w:type="dxa"/>
            <w:vAlign w:val="center"/>
          </w:tcPr>
          <w:p w14:paraId="2307AC05">
            <w:pPr>
              <w:pStyle w:val="28"/>
              <w:rPr>
                <w:rFonts w:hint="eastAsia"/>
                <w:sz w:val="24"/>
                <w:lang w:val="en-US" w:eastAsia="zh-CN"/>
              </w:rPr>
            </w:pPr>
          </w:p>
        </w:tc>
      </w:tr>
      <w:tr w14:paraId="7ADC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vAlign w:val="center"/>
          </w:tcPr>
          <w:p w14:paraId="51C4C184">
            <w:pPr>
              <w:pStyle w:val="28"/>
              <w:rPr>
                <w:rFonts w:hint="eastAsia"/>
                <w:sz w:val="24"/>
                <w:lang w:val="en-US" w:eastAsia="zh-CN"/>
              </w:rPr>
            </w:pPr>
            <w:r>
              <w:rPr>
                <w:rFonts w:hint="eastAsia"/>
                <w:sz w:val="24"/>
                <w:lang w:val="en-US" w:eastAsia="zh-CN"/>
              </w:rPr>
              <w:t>其他承诺及需要说明的事项：</w:t>
            </w:r>
          </w:p>
        </w:tc>
      </w:tr>
      <w:tr w14:paraId="46D2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734520D5">
            <w:pPr>
              <w:pStyle w:val="28"/>
              <w:rPr>
                <w:rFonts w:hint="eastAsia"/>
                <w:sz w:val="24"/>
                <w:lang w:val="en-US" w:eastAsia="zh-CN"/>
              </w:rPr>
            </w:pPr>
            <w:r>
              <w:rPr>
                <w:rFonts w:hint="eastAsia"/>
                <w:sz w:val="24"/>
                <w:lang w:val="en-US" w:eastAsia="zh-CN"/>
              </w:rPr>
              <w:t>总价</w:t>
            </w:r>
          </w:p>
        </w:tc>
        <w:tc>
          <w:tcPr>
            <w:tcW w:w="6764" w:type="dxa"/>
            <w:gridSpan w:val="7"/>
            <w:vAlign w:val="center"/>
          </w:tcPr>
          <w:p w14:paraId="24B904D9">
            <w:pPr>
              <w:pStyle w:val="28"/>
              <w:rPr>
                <w:rFonts w:hint="eastAsia"/>
                <w:sz w:val="24"/>
                <w:lang w:val="en-US" w:eastAsia="zh-CN"/>
              </w:rPr>
            </w:pPr>
            <w:r>
              <w:rPr>
                <w:rFonts w:hint="eastAsia"/>
                <w:sz w:val="24"/>
                <w:lang w:val="en-US" w:eastAsia="zh-CN"/>
              </w:rPr>
              <w:t>大写：                      小写：</w:t>
            </w:r>
          </w:p>
        </w:tc>
      </w:tr>
    </w:tbl>
    <w:p w14:paraId="1873C9B1">
      <w:pPr>
        <w:pStyle w:val="28"/>
        <w:rPr>
          <w:rFonts w:hint="eastAsia"/>
          <w:sz w:val="24"/>
          <w:lang w:val="en-US" w:eastAsia="zh-CN"/>
        </w:rPr>
      </w:pPr>
      <w:r>
        <w:rPr>
          <w:rFonts w:hint="eastAsia"/>
          <w:sz w:val="24"/>
          <w:lang w:val="en-US" w:eastAsia="zh-CN"/>
        </w:rPr>
        <w:t xml:space="preserve">                       </w:t>
      </w:r>
    </w:p>
    <w:p w14:paraId="5755AE01">
      <w:pPr>
        <w:widowControl w:val="0"/>
        <w:wordWrap/>
        <w:adjustRightInd/>
        <w:snapToGrid/>
        <w:spacing w:line="560" w:lineRule="exact"/>
        <w:jc w:val="both"/>
        <w:textAlignment w:val="auto"/>
        <w:outlineLvl w:val="9"/>
        <w:rPr>
          <w:rFonts w:hint="eastAsia" w:ascii="宋体" w:hAnsi="宋体" w:eastAsia="宋体" w:cs="宋体"/>
          <w:b w:val="0"/>
          <w:bCs/>
          <w:color w:val="000000"/>
          <w:sz w:val="24"/>
          <w:szCs w:val="24"/>
          <w:highlight w:val="none"/>
          <w:lang w:val="en-US" w:eastAsia="zh-CN"/>
        </w:rPr>
      </w:pPr>
    </w:p>
    <w:p w14:paraId="7A8C5AF6">
      <w:pPr>
        <w:widowControl w:val="0"/>
        <w:wordWrap/>
        <w:adjustRightInd/>
        <w:snapToGrid/>
        <w:spacing w:line="560" w:lineRule="exact"/>
        <w:jc w:val="both"/>
        <w:textAlignment w:val="auto"/>
        <w:outlineLvl w:val="9"/>
        <w:rPr>
          <w:rFonts w:hint="eastAsia" w:ascii="宋体" w:hAnsi="宋体" w:eastAsia="宋体" w:cs="宋体"/>
          <w:b w:val="0"/>
          <w:bCs/>
          <w:color w:val="000000"/>
          <w:sz w:val="24"/>
          <w:szCs w:val="24"/>
          <w:highlight w:val="none"/>
          <w:lang w:val="en-US" w:eastAsia="zh-CN"/>
        </w:rPr>
      </w:pPr>
    </w:p>
    <w:p w14:paraId="46F998EB">
      <w:pPr>
        <w:widowControl w:val="0"/>
        <w:wordWrap/>
        <w:adjustRightInd/>
        <w:snapToGrid/>
        <w:spacing w:line="560" w:lineRule="exact"/>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p>
    <w:p w14:paraId="1B2E0557">
      <w:pPr>
        <w:widowControl w:val="0"/>
        <w:wordWrap/>
        <w:adjustRightInd/>
        <w:snapToGrid/>
        <w:spacing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524" w:name="_Toc24193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524"/>
    </w:p>
    <w:p w14:paraId="27B9C505">
      <w:pPr>
        <w:widowControl w:val="0"/>
        <w:wordWrap/>
        <w:adjustRightInd/>
        <w:snapToGrid/>
        <w:spacing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bookmarkStart w:id="525" w:name="_Toc20924_WPSOffice_Level3"/>
      <w:r>
        <w:rPr>
          <w:rFonts w:hint="eastAsia" w:ascii="宋体" w:hAnsi="宋体" w:eastAsia="宋体" w:cs="宋体"/>
          <w:b w:val="0"/>
          <w:bCs/>
          <w:color w:val="000000"/>
          <w:sz w:val="24"/>
          <w:szCs w:val="24"/>
          <w:highlight w:val="none"/>
        </w:rPr>
        <w:t>年   月  日</w:t>
      </w:r>
      <w:bookmarkEnd w:id="525"/>
    </w:p>
    <w:p w14:paraId="07930D7A">
      <w:pPr>
        <w:rPr>
          <w:rFonts w:hint="eastAsia" w:ascii="宋体" w:hAnsi="宋体" w:eastAsia="宋体" w:cs="宋体"/>
          <w:b/>
          <w:bCs w:val="0"/>
          <w:color w:val="000000"/>
          <w:kern w:val="2"/>
          <w:sz w:val="24"/>
          <w:szCs w:val="24"/>
          <w:highlight w:val="none"/>
          <w:lang w:val="en-US" w:eastAsia="zh-CN" w:bidi="ar-SA"/>
        </w:rPr>
      </w:pPr>
      <w:bookmarkStart w:id="526" w:name="_Toc20734"/>
      <w:bookmarkStart w:id="527" w:name="_Toc28315_WPSOffice_Level3"/>
      <w:bookmarkStart w:id="528" w:name="_Toc28398"/>
      <w:bookmarkStart w:id="529" w:name="_Toc13098_WPSOffice_Level3"/>
      <w:r>
        <w:rPr>
          <w:rFonts w:hint="eastAsia" w:ascii="宋体" w:hAnsi="宋体" w:eastAsia="宋体" w:cs="宋体"/>
          <w:b/>
          <w:bCs w:val="0"/>
          <w:color w:val="000000"/>
          <w:kern w:val="2"/>
          <w:sz w:val="24"/>
          <w:szCs w:val="24"/>
          <w:highlight w:val="none"/>
          <w:lang w:val="en-US" w:eastAsia="zh-CN" w:bidi="ar-SA"/>
        </w:rPr>
        <w:br w:type="page"/>
      </w:r>
    </w:p>
    <w:p w14:paraId="595B313D">
      <w:pPr>
        <w:keepNext w:val="0"/>
        <w:keepLines w:val="0"/>
        <w:pageBreakBefore w:val="0"/>
        <w:widowControl/>
        <w:kinsoku/>
        <w:wordWrap/>
        <w:overflowPunct/>
        <w:topLinePunct w:val="0"/>
        <w:autoSpaceDE/>
        <w:autoSpaceDN/>
        <w:bidi w:val="0"/>
        <w:adjustRightInd/>
        <w:snapToGrid w:val="0"/>
        <w:spacing w:line="560" w:lineRule="exact"/>
        <w:textAlignment w:val="auto"/>
        <w:outlineLvl w:val="1"/>
        <w:rPr>
          <w:rFonts w:hint="eastAsia" w:ascii="宋体" w:hAnsi="宋体" w:eastAsia="宋体" w:cs="宋体"/>
          <w:b/>
          <w:bCs w:val="0"/>
          <w:color w:val="000000"/>
          <w:kern w:val="2"/>
          <w:sz w:val="28"/>
          <w:szCs w:val="28"/>
          <w:highlight w:val="none"/>
          <w:lang w:val="en-US" w:eastAsia="zh-CN" w:bidi="ar-SA"/>
        </w:rPr>
      </w:pPr>
      <w:bookmarkStart w:id="530" w:name="_Toc3439"/>
      <w:bookmarkStart w:id="531" w:name="_Toc24874"/>
      <w:r>
        <w:rPr>
          <w:rFonts w:hint="eastAsia" w:ascii="宋体" w:hAnsi="宋体" w:eastAsia="宋体" w:cs="宋体"/>
          <w:b/>
          <w:bCs w:val="0"/>
          <w:color w:val="000000"/>
          <w:kern w:val="2"/>
          <w:sz w:val="28"/>
          <w:szCs w:val="28"/>
          <w:highlight w:val="none"/>
          <w:lang w:val="en-US" w:eastAsia="zh-CN" w:bidi="ar-SA"/>
        </w:rPr>
        <w:t>附件1</w:t>
      </w:r>
      <w:r>
        <w:rPr>
          <w:rFonts w:hint="eastAsia" w:ascii="宋体" w:hAnsi="宋体" w:cs="宋体"/>
          <w:b/>
          <w:bCs w:val="0"/>
          <w:color w:val="000000"/>
          <w:kern w:val="2"/>
          <w:sz w:val="28"/>
          <w:szCs w:val="28"/>
          <w:highlight w:val="none"/>
          <w:lang w:val="en-US" w:eastAsia="zh-CN" w:bidi="ar-SA"/>
        </w:rPr>
        <w:t>3</w:t>
      </w:r>
      <w:r>
        <w:rPr>
          <w:rFonts w:hint="eastAsia" w:ascii="宋体" w:hAnsi="宋体" w:eastAsia="宋体" w:cs="宋体"/>
          <w:b/>
          <w:bCs w:val="0"/>
          <w:color w:val="000000"/>
          <w:kern w:val="2"/>
          <w:sz w:val="28"/>
          <w:szCs w:val="28"/>
          <w:highlight w:val="none"/>
          <w:lang w:val="en-US" w:eastAsia="zh-CN" w:bidi="ar-SA"/>
        </w:rPr>
        <w:t>：技术规格响应表</w:t>
      </w:r>
      <w:bookmarkEnd w:id="522"/>
      <w:bookmarkEnd w:id="526"/>
      <w:bookmarkEnd w:id="527"/>
      <w:bookmarkEnd w:id="528"/>
      <w:bookmarkEnd w:id="529"/>
      <w:bookmarkEnd w:id="530"/>
      <w:bookmarkEnd w:id="531"/>
    </w:p>
    <w:p w14:paraId="3236A517">
      <w:pPr>
        <w:spacing w:before="67"/>
        <w:ind w:left="808" w:right="807" w:firstLine="0"/>
        <w:jc w:val="center"/>
        <w:rPr>
          <w:b/>
          <w:sz w:val="9"/>
        </w:rPr>
      </w:pPr>
      <w:r>
        <w:rPr>
          <w:rFonts w:hint="eastAsia"/>
          <w:b/>
          <w:sz w:val="24"/>
          <w:lang w:val="en-US" w:eastAsia="zh-CN"/>
        </w:rPr>
        <w:t xml:space="preserve">   </w:t>
      </w:r>
      <w:r>
        <w:rPr>
          <w:b/>
          <w:sz w:val="24"/>
        </w:rPr>
        <w:t>技术</w:t>
      </w:r>
      <w:r>
        <w:rPr>
          <w:rFonts w:hint="eastAsia"/>
          <w:b/>
          <w:sz w:val="24"/>
          <w:lang w:eastAsia="zh-CN"/>
        </w:rPr>
        <w:t>规格</w:t>
      </w:r>
      <w:r>
        <w:rPr>
          <w:b/>
          <w:sz w:val="24"/>
        </w:rPr>
        <w:t>响应</w:t>
      </w:r>
      <w:r>
        <w:rPr>
          <w:rFonts w:hint="eastAsia"/>
          <w:b/>
          <w:sz w:val="24"/>
          <w:lang w:eastAsia="zh-CN"/>
        </w:rPr>
        <w:t>表</w:t>
      </w:r>
    </w:p>
    <w:tbl>
      <w:tblPr>
        <w:tblStyle w:val="19"/>
        <w:tblpPr w:leftFromText="180" w:rightFromText="180" w:vertAnchor="text" w:horzAnchor="page" w:tblpX="909" w:tblpY="135"/>
        <w:tblOverlap w:val="never"/>
        <w:tblW w:w="99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246"/>
        <w:gridCol w:w="1125"/>
        <w:gridCol w:w="1995"/>
        <w:gridCol w:w="1245"/>
        <w:gridCol w:w="1185"/>
        <w:gridCol w:w="1365"/>
        <w:gridCol w:w="1035"/>
      </w:tblGrid>
      <w:tr w14:paraId="0E4F7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39" w:type="dxa"/>
          </w:tcPr>
          <w:p w14:paraId="24A773C6">
            <w:pPr>
              <w:pStyle w:val="28"/>
              <w:ind w:left="129"/>
              <w:rPr>
                <w:sz w:val="24"/>
              </w:rPr>
            </w:pPr>
          </w:p>
        </w:tc>
        <w:tc>
          <w:tcPr>
            <w:tcW w:w="4366" w:type="dxa"/>
            <w:gridSpan w:val="3"/>
          </w:tcPr>
          <w:p w14:paraId="2D0B039A">
            <w:pPr>
              <w:pStyle w:val="28"/>
              <w:spacing w:before="2"/>
              <w:rPr>
                <w:b/>
                <w:sz w:val="17"/>
              </w:rPr>
            </w:pPr>
          </w:p>
          <w:p w14:paraId="37CD5958">
            <w:pPr>
              <w:pStyle w:val="28"/>
              <w:ind w:left="323" w:firstLine="960" w:firstLineChars="400"/>
              <w:rPr>
                <w:rFonts w:hint="eastAsia" w:eastAsia="宋体"/>
                <w:sz w:val="24"/>
                <w:lang w:eastAsia="zh-CN"/>
              </w:rPr>
            </w:pPr>
            <w:r>
              <w:rPr>
                <w:rFonts w:hint="eastAsia"/>
                <w:sz w:val="24"/>
                <w:lang w:eastAsia="zh-CN"/>
              </w:rPr>
              <w:t>谈判文件技术参数、指标</w:t>
            </w:r>
          </w:p>
        </w:tc>
        <w:tc>
          <w:tcPr>
            <w:tcW w:w="3795" w:type="dxa"/>
            <w:gridSpan w:val="3"/>
          </w:tcPr>
          <w:p w14:paraId="06F28757">
            <w:pPr>
              <w:pStyle w:val="28"/>
              <w:spacing w:before="2"/>
              <w:rPr>
                <w:b/>
                <w:sz w:val="17"/>
              </w:rPr>
            </w:pPr>
          </w:p>
          <w:p w14:paraId="0596EF4C">
            <w:pPr>
              <w:pStyle w:val="28"/>
              <w:ind w:left="331" w:firstLine="480" w:firstLineChars="200"/>
              <w:rPr>
                <w:sz w:val="24"/>
              </w:rPr>
            </w:pPr>
            <w:r>
              <w:rPr>
                <w:rFonts w:hint="eastAsia"/>
                <w:sz w:val="24"/>
                <w:lang w:eastAsia="zh-CN"/>
              </w:rPr>
              <w:t>响应文件技术参数、指标</w:t>
            </w:r>
          </w:p>
        </w:tc>
        <w:tc>
          <w:tcPr>
            <w:tcW w:w="1035" w:type="dxa"/>
          </w:tcPr>
          <w:p w14:paraId="77C6CC2A">
            <w:pPr>
              <w:pStyle w:val="28"/>
              <w:spacing w:before="2"/>
              <w:rPr>
                <w:b/>
                <w:sz w:val="17"/>
              </w:rPr>
            </w:pPr>
          </w:p>
          <w:p w14:paraId="5B85CC10">
            <w:pPr>
              <w:pStyle w:val="28"/>
              <w:ind w:left="181"/>
              <w:rPr>
                <w:sz w:val="24"/>
              </w:rPr>
            </w:pPr>
            <w:r>
              <w:rPr>
                <w:sz w:val="24"/>
              </w:rPr>
              <w:t>偏离</w:t>
            </w:r>
          </w:p>
        </w:tc>
      </w:tr>
      <w:tr w14:paraId="3B45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vAlign w:val="top"/>
          </w:tcPr>
          <w:p w14:paraId="7C309A5D">
            <w:pPr>
              <w:pStyle w:val="28"/>
              <w:ind w:left="129"/>
              <w:rPr>
                <w:sz w:val="24"/>
              </w:rPr>
            </w:pPr>
          </w:p>
          <w:p w14:paraId="48D87415">
            <w:pPr>
              <w:pStyle w:val="28"/>
              <w:ind w:left="129" w:leftChars="0"/>
              <w:rPr>
                <w:rFonts w:ascii="宋体" w:hAnsi="宋体" w:eastAsia="宋体" w:cs="宋体"/>
                <w:kern w:val="2"/>
                <w:sz w:val="24"/>
                <w:szCs w:val="24"/>
                <w:lang w:val="zh-CN" w:eastAsia="zh-CN" w:bidi="zh-CN"/>
              </w:rPr>
            </w:pPr>
            <w:r>
              <w:rPr>
                <w:sz w:val="24"/>
              </w:rPr>
              <w:t>序号</w:t>
            </w:r>
          </w:p>
        </w:tc>
        <w:tc>
          <w:tcPr>
            <w:tcW w:w="1246" w:type="dxa"/>
            <w:vAlign w:val="top"/>
          </w:tcPr>
          <w:p w14:paraId="323DF7F5">
            <w:pPr>
              <w:pStyle w:val="28"/>
              <w:ind w:left="129"/>
              <w:rPr>
                <w:rFonts w:hint="eastAsia"/>
                <w:sz w:val="24"/>
                <w:lang w:val="en-US" w:eastAsia="zh-CN"/>
              </w:rPr>
            </w:pPr>
          </w:p>
          <w:p w14:paraId="255B0518">
            <w:pPr>
              <w:pStyle w:val="28"/>
              <w:ind w:left="129" w:leftChars="0" w:firstLine="240" w:firstLineChars="100"/>
              <w:rPr>
                <w:rFonts w:hint="eastAsia" w:ascii="宋体" w:hAnsi="宋体" w:eastAsia="宋体" w:cs="宋体"/>
                <w:kern w:val="2"/>
                <w:sz w:val="24"/>
                <w:szCs w:val="24"/>
                <w:lang w:val="en-US" w:eastAsia="zh-CN" w:bidi="zh-CN"/>
              </w:rPr>
            </w:pPr>
            <w:r>
              <w:rPr>
                <w:rFonts w:hint="eastAsia"/>
                <w:sz w:val="24"/>
                <w:lang w:val="en-US" w:eastAsia="zh-CN"/>
              </w:rPr>
              <w:t>名称</w:t>
            </w:r>
          </w:p>
        </w:tc>
        <w:tc>
          <w:tcPr>
            <w:tcW w:w="1125" w:type="dxa"/>
            <w:vAlign w:val="top"/>
          </w:tcPr>
          <w:p w14:paraId="1659A709">
            <w:pPr>
              <w:pStyle w:val="28"/>
              <w:rPr>
                <w:rFonts w:hint="eastAsia"/>
                <w:sz w:val="24"/>
                <w:lang w:val="en-US" w:eastAsia="zh-CN"/>
              </w:rPr>
            </w:pPr>
          </w:p>
          <w:p w14:paraId="37E645D8">
            <w:pPr>
              <w:pStyle w:val="28"/>
              <w:ind w:firstLine="480" w:firstLineChars="200"/>
              <w:rPr>
                <w:rFonts w:hint="eastAsia" w:ascii="宋体" w:hAnsi="宋体" w:eastAsia="宋体" w:cs="宋体"/>
                <w:kern w:val="2"/>
                <w:sz w:val="24"/>
                <w:szCs w:val="24"/>
                <w:lang w:val="en-US" w:eastAsia="zh-CN" w:bidi="zh-CN"/>
              </w:rPr>
            </w:pPr>
            <w:r>
              <w:rPr>
                <w:rFonts w:hint="eastAsia"/>
                <w:sz w:val="24"/>
                <w:lang w:val="en-US" w:eastAsia="zh-CN"/>
              </w:rPr>
              <w:t>数量</w:t>
            </w:r>
          </w:p>
        </w:tc>
        <w:tc>
          <w:tcPr>
            <w:tcW w:w="1995" w:type="dxa"/>
            <w:vAlign w:val="top"/>
          </w:tcPr>
          <w:p w14:paraId="40DB65D9">
            <w:pPr>
              <w:pStyle w:val="28"/>
              <w:spacing w:before="2"/>
              <w:rPr>
                <w:b/>
                <w:sz w:val="17"/>
              </w:rPr>
            </w:pPr>
          </w:p>
          <w:p w14:paraId="44D8629F">
            <w:pPr>
              <w:pStyle w:val="28"/>
              <w:ind w:left="323" w:leftChars="0"/>
              <w:rPr>
                <w:rFonts w:hint="eastAsia" w:ascii="宋体" w:hAnsi="宋体" w:eastAsia="宋体" w:cs="宋体"/>
                <w:kern w:val="2"/>
                <w:sz w:val="24"/>
                <w:szCs w:val="24"/>
                <w:lang w:val="zh-CN" w:eastAsia="zh-CN" w:bidi="zh-CN"/>
              </w:rPr>
            </w:pPr>
            <w:r>
              <w:rPr>
                <w:rFonts w:hint="eastAsia"/>
                <w:sz w:val="24"/>
                <w:lang w:eastAsia="zh-CN"/>
              </w:rPr>
              <w:t>技术参数指标</w:t>
            </w:r>
          </w:p>
        </w:tc>
        <w:tc>
          <w:tcPr>
            <w:tcW w:w="1245" w:type="dxa"/>
            <w:vAlign w:val="top"/>
          </w:tcPr>
          <w:p w14:paraId="0508C4B4">
            <w:pPr>
              <w:pStyle w:val="28"/>
              <w:ind w:left="129"/>
              <w:rPr>
                <w:rFonts w:hint="eastAsia"/>
                <w:sz w:val="24"/>
                <w:lang w:val="en-US" w:eastAsia="zh-CN"/>
              </w:rPr>
            </w:pPr>
          </w:p>
          <w:p w14:paraId="3B5F0FF4">
            <w:pPr>
              <w:pStyle w:val="28"/>
              <w:ind w:left="129" w:leftChars="0" w:firstLine="240" w:firstLineChars="100"/>
              <w:rPr>
                <w:rFonts w:ascii="宋体" w:hAnsi="宋体" w:eastAsia="宋体" w:cs="宋体"/>
                <w:kern w:val="2"/>
                <w:sz w:val="24"/>
                <w:szCs w:val="24"/>
                <w:lang w:val="zh-CN" w:eastAsia="zh-CN" w:bidi="zh-CN"/>
              </w:rPr>
            </w:pPr>
            <w:r>
              <w:rPr>
                <w:rFonts w:hint="eastAsia"/>
                <w:sz w:val="24"/>
                <w:lang w:val="en-US" w:eastAsia="zh-CN"/>
              </w:rPr>
              <w:t>名称</w:t>
            </w:r>
          </w:p>
        </w:tc>
        <w:tc>
          <w:tcPr>
            <w:tcW w:w="1185" w:type="dxa"/>
            <w:vAlign w:val="top"/>
          </w:tcPr>
          <w:p w14:paraId="1A0B4B76">
            <w:pPr>
              <w:pStyle w:val="28"/>
              <w:rPr>
                <w:rFonts w:hint="eastAsia"/>
                <w:sz w:val="24"/>
                <w:lang w:val="en-US" w:eastAsia="zh-CN"/>
              </w:rPr>
            </w:pPr>
          </w:p>
          <w:p w14:paraId="122D8F52">
            <w:pPr>
              <w:pStyle w:val="28"/>
              <w:ind w:firstLine="480" w:firstLineChars="200"/>
              <w:rPr>
                <w:rFonts w:ascii="宋体" w:hAnsi="宋体" w:eastAsia="宋体" w:cs="宋体"/>
                <w:kern w:val="2"/>
                <w:sz w:val="24"/>
                <w:szCs w:val="24"/>
                <w:lang w:val="zh-CN" w:eastAsia="zh-CN" w:bidi="zh-CN"/>
              </w:rPr>
            </w:pPr>
            <w:r>
              <w:rPr>
                <w:rFonts w:hint="eastAsia"/>
                <w:sz w:val="24"/>
                <w:lang w:val="en-US" w:eastAsia="zh-CN"/>
              </w:rPr>
              <w:t>数量</w:t>
            </w:r>
          </w:p>
        </w:tc>
        <w:tc>
          <w:tcPr>
            <w:tcW w:w="1365" w:type="dxa"/>
            <w:vAlign w:val="top"/>
          </w:tcPr>
          <w:p w14:paraId="2F992C99">
            <w:pPr>
              <w:pStyle w:val="28"/>
              <w:spacing w:before="2"/>
              <w:rPr>
                <w:b/>
                <w:sz w:val="17"/>
              </w:rPr>
            </w:pPr>
          </w:p>
          <w:p w14:paraId="4F3B585E">
            <w:pPr>
              <w:pStyle w:val="28"/>
              <w:ind w:left="323" w:leftChars="0"/>
              <w:rPr>
                <w:rFonts w:ascii="宋体" w:hAnsi="宋体" w:eastAsia="宋体" w:cs="宋体"/>
                <w:kern w:val="2"/>
                <w:sz w:val="24"/>
                <w:szCs w:val="24"/>
                <w:lang w:val="zh-CN" w:eastAsia="zh-CN" w:bidi="zh-CN"/>
              </w:rPr>
            </w:pPr>
            <w:r>
              <w:rPr>
                <w:rFonts w:hint="eastAsia"/>
                <w:sz w:val="24"/>
                <w:lang w:eastAsia="zh-CN"/>
              </w:rPr>
              <w:t>技术参数指标</w:t>
            </w:r>
          </w:p>
        </w:tc>
        <w:tc>
          <w:tcPr>
            <w:tcW w:w="1035" w:type="dxa"/>
            <w:vAlign w:val="top"/>
          </w:tcPr>
          <w:p w14:paraId="4F69DC2F">
            <w:pPr>
              <w:pStyle w:val="28"/>
              <w:spacing w:before="2"/>
              <w:rPr>
                <w:b/>
                <w:sz w:val="17"/>
              </w:rPr>
            </w:pPr>
          </w:p>
          <w:p w14:paraId="445ED6A5">
            <w:pPr>
              <w:pStyle w:val="28"/>
              <w:ind w:left="181" w:leftChars="0"/>
              <w:rPr>
                <w:rFonts w:ascii="宋体" w:hAnsi="宋体" w:eastAsia="宋体" w:cs="宋体"/>
                <w:kern w:val="2"/>
                <w:sz w:val="24"/>
                <w:szCs w:val="24"/>
                <w:lang w:val="zh-CN" w:eastAsia="zh-CN" w:bidi="zh-CN"/>
              </w:rPr>
            </w:pPr>
          </w:p>
        </w:tc>
      </w:tr>
      <w:tr w14:paraId="7B8B0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033F85FF">
            <w:pPr>
              <w:pStyle w:val="28"/>
              <w:rPr>
                <w:rFonts w:ascii="Times New Roman"/>
                <w:sz w:val="20"/>
              </w:rPr>
            </w:pPr>
          </w:p>
        </w:tc>
        <w:tc>
          <w:tcPr>
            <w:tcW w:w="1246" w:type="dxa"/>
          </w:tcPr>
          <w:p w14:paraId="230E99B2">
            <w:pPr>
              <w:pStyle w:val="28"/>
              <w:rPr>
                <w:rFonts w:ascii="Times New Roman"/>
                <w:sz w:val="20"/>
              </w:rPr>
            </w:pPr>
          </w:p>
        </w:tc>
        <w:tc>
          <w:tcPr>
            <w:tcW w:w="1125" w:type="dxa"/>
          </w:tcPr>
          <w:p w14:paraId="30693521">
            <w:pPr>
              <w:pStyle w:val="28"/>
              <w:rPr>
                <w:rFonts w:ascii="Times New Roman"/>
                <w:sz w:val="20"/>
              </w:rPr>
            </w:pPr>
          </w:p>
        </w:tc>
        <w:tc>
          <w:tcPr>
            <w:tcW w:w="1995" w:type="dxa"/>
          </w:tcPr>
          <w:p w14:paraId="2FE8F93E">
            <w:pPr>
              <w:pStyle w:val="28"/>
              <w:rPr>
                <w:rFonts w:ascii="Times New Roman"/>
                <w:sz w:val="20"/>
              </w:rPr>
            </w:pPr>
          </w:p>
        </w:tc>
        <w:tc>
          <w:tcPr>
            <w:tcW w:w="1245" w:type="dxa"/>
          </w:tcPr>
          <w:p w14:paraId="3126662D">
            <w:pPr>
              <w:pStyle w:val="28"/>
              <w:rPr>
                <w:rFonts w:ascii="Times New Roman"/>
                <w:sz w:val="20"/>
              </w:rPr>
            </w:pPr>
          </w:p>
        </w:tc>
        <w:tc>
          <w:tcPr>
            <w:tcW w:w="1185" w:type="dxa"/>
          </w:tcPr>
          <w:p w14:paraId="311003E5">
            <w:pPr>
              <w:pStyle w:val="28"/>
              <w:rPr>
                <w:rFonts w:ascii="Times New Roman"/>
                <w:sz w:val="20"/>
              </w:rPr>
            </w:pPr>
          </w:p>
        </w:tc>
        <w:tc>
          <w:tcPr>
            <w:tcW w:w="1365" w:type="dxa"/>
          </w:tcPr>
          <w:p w14:paraId="7490FDD0">
            <w:pPr>
              <w:pStyle w:val="28"/>
              <w:rPr>
                <w:rFonts w:ascii="Times New Roman"/>
                <w:sz w:val="20"/>
              </w:rPr>
            </w:pPr>
          </w:p>
        </w:tc>
        <w:tc>
          <w:tcPr>
            <w:tcW w:w="1035" w:type="dxa"/>
          </w:tcPr>
          <w:p w14:paraId="67254BCE">
            <w:pPr>
              <w:pStyle w:val="28"/>
              <w:rPr>
                <w:rFonts w:ascii="Times New Roman"/>
                <w:sz w:val="20"/>
              </w:rPr>
            </w:pPr>
          </w:p>
        </w:tc>
      </w:tr>
      <w:tr w14:paraId="381D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39" w:type="dxa"/>
          </w:tcPr>
          <w:p w14:paraId="647AC331">
            <w:pPr>
              <w:pStyle w:val="28"/>
              <w:rPr>
                <w:rFonts w:ascii="Times New Roman"/>
                <w:sz w:val="20"/>
              </w:rPr>
            </w:pPr>
          </w:p>
        </w:tc>
        <w:tc>
          <w:tcPr>
            <w:tcW w:w="1246" w:type="dxa"/>
          </w:tcPr>
          <w:p w14:paraId="0DCDBB47">
            <w:pPr>
              <w:pStyle w:val="28"/>
              <w:rPr>
                <w:rFonts w:ascii="Times New Roman"/>
                <w:sz w:val="20"/>
              </w:rPr>
            </w:pPr>
          </w:p>
        </w:tc>
        <w:tc>
          <w:tcPr>
            <w:tcW w:w="1125" w:type="dxa"/>
          </w:tcPr>
          <w:p w14:paraId="0058B0A1">
            <w:pPr>
              <w:pStyle w:val="28"/>
              <w:rPr>
                <w:rFonts w:ascii="Times New Roman"/>
                <w:sz w:val="20"/>
              </w:rPr>
            </w:pPr>
          </w:p>
        </w:tc>
        <w:tc>
          <w:tcPr>
            <w:tcW w:w="1995" w:type="dxa"/>
          </w:tcPr>
          <w:p w14:paraId="4E7E842A">
            <w:pPr>
              <w:pStyle w:val="28"/>
              <w:rPr>
                <w:rFonts w:ascii="Times New Roman"/>
                <w:sz w:val="20"/>
              </w:rPr>
            </w:pPr>
          </w:p>
        </w:tc>
        <w:tc>
          <w:tcPr>
            <w:tcW w:w="1245" w:type="dxa"/>
          </w:tcPr>
          <w:p w14:paraId="6ED6C021">
            <w:pPr>
              <w:pStyle w:val="28"/>
              <w:rPr>
                <w:rFonts w:ascii="Times New Roman"/>
                <w:sz w:val="20"/>
              </w:rPr>
            </w:pPr>
          </w:p>
        </w:tc>
        <w:tc>
          <w:tcPr>
            <w:tcW w:w="1185" w:type="dxa"/>
          </w:tcPr>
          <w:p w14:paraId="48265AFE">
            <w:pPr>
              <w:pStyle w:val="28"/>
              <w:rPr>
                <w:rFonts w:ascii="Times New Roman"/>
                <w:sz w:val="20"/>
              </w:rPr>
            </w:pPr>
          </w:p>
        </w:tc>
        <w:tc>
          <w:tcPr>
            <w:tcW w:w="1365" w:type="dxa"/>
          </w:tcPr>
          <w:p w14:paraId="16DF1ABC">
            <w:pPr>
              <w:pStyle w:val="28"/>
              <w:rPr>
                <w:rFonts w:ascii="Times New Roman"/>
                <w:sz w:val="20"/>
              </w:rPr>
            </w:pPr>
          </w:p>
        </w:tc>
        <w:tc>
          <w:tcPr>
            <w:tcW w:w="1035" w:type="dxa"/>
          </w:tcPr>
          <w:p w14:paraId="08B6ECD1">
            <w:pPr>
              <w:pStyle w:val="28"/>
              <w:rPr>
                <w:rFonts w:ascii="Times New Roman"/>
                <w:sz w:val="20"/>
              </w:rPr>
            </w:pPr>
          </w:p>
        </w:tc>
      </w:tr>
      <w:tr w14:paraId="2BF86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71661FB1">
            <w:pPr>
              <w:pStyle w:val="28"/>
              <w:rPr>
                <w:rFonts w:ascii="Times New Roman"/>
                <w:sz w:val="20"/>
              </w:rPr>
            </w:pPr>
          </w:p>
        </w:tc>
        <w:tc>
          <w:tcPr>
            <w:tcW w:w="1246" w:type="dxa"/>
          </w:tcPr>
          <w:p w14:paraId="481737EC">
            <w:pPr>
              <w:pStyle w:val="28"/>
              <w:rPr>
                <w:rFonts w:ascii="Times New Roman"/>
                <w:sz w:val="20"/>
              </w:rPr>
            </w:pPr>
          </w:p>
        </w:tc>
        <w:tc>
          <w:tcPr>
            <w:tcW w:w="1125" w:type="dxa"/>
          </w:tcPr>
          <w:p w14:paraId="5213253D">
            <w:pPr>
              <w:pStyle w:val="28"/>
              <w:rPr>
                <w:rFonts w:ascii="Times New Roman"/>
                <w:sz w:val="20"/>
              </w:rPr>
            </w:pPr>
          </w:p>
        </w:tc>
        <w:tc>
          <w:tcPr>
            <w:tcW w:w="1995" w:type="dxa"/>
          </w:tcPr>
          <w:p w14:paraId="312DF886">
            <w:pPr>
              <w:pStyle w:val="28"/>
              <w:rPr>
                <w:rFonts w:ascii="Times New Roman"/>
                <w:sz w:val="20"/>
              </w:rPr>
            </w:pPr>
          </w:p>
        </w:tc>
        <w:tc>
          <w:tcPr>
            <w:tcW w:w="1245" w:type="dxa"/>
          </w:tcPr>
          <w:p w14:paraId="3A9B55E9">
            <w:pPr>
              <w:pStyle w:val="28"/>
              <w:rPr>
                <w:rFonts w:ascii="Times New Roman"/>
                <w:sz w:val="20"/>
              </w:rPr>
            </w:pPr>
          </w:p>
        </w:tc>
        <w:tc>
          <w:tcPr>
            <w:tcW w:w="1185" w:type="dxa"/>
          </w:tcPr>
          <w:p w14:paraId="37AC10A7">
            <w:pPr>
              <w:pStyle w:val="28"/>
              <w:rPr>
                <w:rFonts w:ascii="Times New Roman"/>
                <w:sz w:val="20"/>
              </w:rPr>
            </w:pPr>
          </w:p>
        </w:tc>
        <w:tc>
          <w:tcPr>
            <w:tcW w:w="1365" w:type="dxa"/>
          </w:tcPr>
          <w:p w14:paraId="7C7EBF6F">
            <w:pPr>
              <w:pStyle w:val="28"/>
              <w:rPr>
                <w:rFonts w:ascii="Times New Roman"/>
                <w:sz w:val="20"/>
              </w:rPr>
            </w:pPr>
          </w:p>
        </w:tc>
        <w:tc>
          <w:tcPr>
            <w:tcW w:w="1035" w:type="dxa"/>
          </w:tcPr>
          <w:p w14:paraId="44CE851A">
            <w:pPr>
              <w:pStyle w:val="28"/>
              <w:rPr>
                <w:rFonts w:ascii="Times New Roman"/>
                <w:sz w:val="20"/>
              </w:rPr>
            </w:pPr>
          </w:p>
        </w:tc>
      </w:tr>
      <w:tr w14:paraId="72677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1A2412EC">
            <w:pPr>
              <w:pStyle w:val="28"/>
              <w:rPr>
                <w:rFonts w:ascii="Times New Roman"/>
                <w:sz w:val="20"/>
              </w:rPr>
            </w:pPr>
          </w:p>
        </w:tc>
        <w:tc>
          <w:tcPr>
            <w:tcW w:w="1246" w:type="dxa"/>
          </w:tcPr>
          <w:p w14:paraId="299BED45">
            <w:pPr>
              <w:pStyle w:val="28"/>
              <w:rPr>
                <w:rFonts w:ascii="Times New Roman"/>
                <w:sz w:val="20"/>
              </w:rPr>
            </w:pPr>
          </w:p>
        </w:tc>
        <w:tc>
          <w:tcPr>
            <w:tcW w:w="1125" w:type="dxa"/>
          </w:tcPr>
          <w:p w14:paraId="339B5AA7">
            <w:pPr>
              <w:pStyle w:val="28"/>
              <w:rPr>
                <w:rFonts w:ascii="Times New Roman"/>
                <w:sz w:val="20"/>
              </w:rPr>
            </w:pPr>
          </w:p>
        </w:tc>
        <w:tc>
          <w:tcPr>
            <w:tcW w:w="1995" w:type="dxa"/>
          </w:tcPr>
          <w:p w14:paraId="123E8C01">
            <w:pPr>
              <w:pStyle w:val="28"/>
              <w:rPr>
                <w:rFonts w:ascii="Times New Roman"/>
                <w:sz w:val="20"/>
              </w:rPr>
            </w:pPr>
          </w:p>
        </w:tc>
        <w:tc>
          <w:tcPr>
            <w:tcW w:w="1245" w:type="dxa"/>
          </w:tcPr>
          <w:p w14:paraId="44901019">
            <w:pPr>
              <w:pStyle w:val="28"/>
              <w:rPr>
                <w:rFonts w:ascii="Times New Roman"/>
                <w:sz w:val="20"/>
              </w:rPr>
            </w:pPr>
          </w:p>
        </w:tc>
        <w:tc>
          <w:tcPr>
            <w:tcW w:w="1185" w:type="dxa"/>
          </w:tcPr>
          <w:p w14:paraId="3086EECB">
            <w:pPr>
              <w:pStyle w:val="28"/>
              <w:rPr>
                <w:rFonts w:ascii="Times New Roman"/>
                <w:sz w:val="20"/>
              </w:rPr>
            </w:pPr>
          </w:p>
        </w:tc>
        <w:tc>
          <w:tcPr>
            <w:tcW w:w="1365" w:type="dxa"/>
          </w:tcPr>
          <w:p w14:paraId="0BD1D47C">
            <w:pPr>
              <w:pStyle w:val="28"/>
              <w:rPr>
                <w:rFonts w:ascii="Times New Roman"/>
                <w:sz w:val="20"/>
              </w:rPr>
            </w:pPr>
          </w:p>
        </w:tc>
        <w:tc>
          <w:tcPr>
            <w:tcW w:w="1035" w:type="dxa"/>
          </w:tcPr>
          <w:p w14:paraId="58BE074F">
            <w:pPr>
              <w:pStyle w:val="28"/>
              <w:rPr>
                <w:rFonts w:ascii="Times New Roman"/>
                <w:sz w:val="20"/>
              </w:rPr>
            </w:pPr>
          </w:p>
        </w:tc>
      </w:tr>
      <w:tr w14:paraId="465F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39" w:type="dxa"/>
          </w:tcPr>
          <w:p w14:paraId="5A808C54">
            <w:pPr>
              <w:pStyle w:val="28"/>
              <w:rPr>
                <w:rFonts w:ascii="Times New Roman"/>
                <w:sz w:val="20"/>
              </w:rPr>
            </w:pPr>
          </w:p>
        </w:tc>
        <w:tc>
          <w:tcPr>
            <w:tcW w:w="1246" w:type="dxa"/>
          </w:tcPr>
          <w:p w14:paraId="752BF583">
            <w:pPr>
              <w:pStyle w:val="28"/>
              <w:rPr>
                <w:rFonts w:ascii="Times New Roman"/>
                <w:sz w:val="20"/>
              </w:rPr>
            </w:pPr>
          </w:p>
        </w:tc>
        <w:tc>
          <w:tcPr>
            <w:tcW w:w="1125" w:type="dxa"/>
          </w:tcPr>
          <w:p w14:paraId="5600B336">
            <w:pPr>
              <w:pStyle w:val="28"/>
              <w:rPr>
                <w:rFonts w:ascii="Times New Roman"/>
                <w:sz w:val="20"/>
              </w:rPr>
            </w:pPr>
          </w:p>
        </w:tc>
        <w:tc>
          <w:tcPr>
            <w:tcW w:w="1995" w:type="dxa"/>
          </w:tcPr>
          <w:p w14:paraId="15BE5141">
            <w:pPr>
              <w:pStyle w:val="28"/>
              <w:rPr>
                <w:rFonts w:ascii="Times New Roman"/>
                <w:sz w:val="20"/>
              </w:rPr>
            </w:pPr>
          </w:p>
        </w:tc>
        <w:tc>
          <w:tcPr>
            <w:tcW w:w="1245" w:type="dxa"/>
          </w:tcPr>
          <w:p w14:paraId="342FA080">
            <w:pPr>
              <w:pStyle w:val="28"/>
              <w:rPr>
                <w:rFonts w:ascii="Times New Roman"/>
                <w:sz w:val="20"/>
              </w:rPr>
            </w:pPr>
          </w:p>
        </w:tc>
        <w:tc>
          <w:tcPr>
            <w:tcW w:w="1185" w:type="dxa"/>
          </w:tcPr>
          <w:p w14:paraId="02EC13F1">
            <w:pPr>
              <w:pStyle w:val="28"/>
              <w:rPr>
                <w:rFonts w:ascii="Times New Roman"/>
                <w:sz w:val="20"/>
              </w:rPr>
            </w:pPr>
          </w:p>
        </w:tc>
        <w:tc>
          <w:tcPr>
            <w:tcW w:w="1365" w:type="dxa"/>
          </w:tcPr>
          <w:p w14:paraId="1C136024">
            <w:pPr>
              <w:pStyle w:val="28"/>
              <w:rPr>
                <w:rFonts w:ascii="Times New Roman"/>
                <w:sz w:val="20"/>
              </w:rPr>
            </w:pPr>
          </w:p>
        </w:tc>
        <w:tc>
          <w:tcPr>
            <w:tcW w:w="1035" w:type="dxa"/>
          </w:tcPr>
          <w:p w14:paraId="2B2C1695">
            <w:pPr>
              <w:pStyle w:val="28"/>
              <w:rPr>
                <w:rFonts w:ascii="Times New Roman"/>
                <w:sz w:val="20"/>
              </w:rPr>
            </w:pPr>
          </w:p>
        </w:tc>
      </w:tr>
      <w:tr w14:paraId="70B5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296119C2">
            <w:pPr>
              <w:pStyle w:val="28"/>
              <w:rPr>
                <w:rFonts w:ascii="Times New Roman"/>
                <w:sz w:val="20"/>
              </w:rPr>
            </w:pPr>
          </w:p>
        </w:tc>
        <w:tc>
          <w:tcPr>
            <w:tcW w:w="1246" w:type="dxa"/>
          </w:tcPr>
          <w:p w14:paraId="235483D4">
            <w:pPr>
              <w:pStyle w:val="28"/>
              <w:rPr>
                <w:rFonts w:ascii="Times New Roman"/>
                <w:sz w:val="20"/>
              </w:rPr>
            </w:pPr>
          </w:p>
        </w:tc>
        <w:tc>
          <w:tcPr>
            <w:tcW w:w="1125" w:type="dxa"/>
          </w:tcPr>
          <w:p w14:paraId="7994B8A2">
            <w:pPr>
              <w:pStyle w:val="28"/>
              <w:rPr>
                <w:rFonts w:ascii="Times New Roman"/>
                <w:sz w:val="20"/>
              </w:rPr>
            </w:pPr>
          </w:p>
        </w:tc>
        <w:tc>
          <w:tcPr>
            <w:tcW w:w="1995" w:type="dxa"/>
          </w:tcPr>
          <w:p w14:paraId="30B1F7D1">
            <w:pPr>
              <w:pStyle w:val="28"/>
              <w:rPr>
                <w:rFonts w:ascii="Times New Roman"/>
                <w:sz w:val="20"/>
              </w:rPr>
            </w:pPr>
          </w:p>
        </w:tc>
        <w:tc>
          <w:tcPr>
            <w:tcW w:w="1245" w:type="dxa"/>
          </w:tcPr>
          <w:p w14:paraId="0F788D72">
            <w:pPr>
              <w:pStyle w:val="28"/>
              <w:rPr>
                <w:rFonts w:ascii="Times New Roman"/>
                <w:sz w:val="20"/>
              </w:rPr>
            </w:pPr>
          </w:p>
        </w:tc>
        <w:tc>
          <w:tcPr>
            <w:tcW w:w="1185" w:type="dxa"/>
          </w:tcPr>
          <w:p w14:paraId="7426D0E9">
            <w:pPr>
              <w:pStyle w:val="28"/>
              <w:rPr>
                <w:rFonts w:ascii="Times New Roman"/>
                <w:sz w:val="20"/>
              </w:rPr>
            </w:pPr>
          </w:p>
        </w:tc>
        <w:tc>
          <w:tcPr>
            <w:tcW w:w="1365" w:type="dxa"/>
          </w:tcPr>
          <w:p w14:paraId="7CEE6A06">
            <w:pPr>
              <w:pStyle w:val="28"/>
              <w:rPr>
                <w:rFonts w:ascii="Times New Roman"/>
                <w:sz w:val="20"/>
              </w:rPr>
            </w:pPr>
          </w:p>
        </w:tc>
        <w:tc>
          <w:tcPr>
            <w:tcW w:w="1035" w:type="dxa"/>
          </w:tcPr>
          <w:p w14:paraId="15BFE0E2">
            <w:pPr>
              <w:pStyle w:val="28"/>
              <w:rPr>
                <w:rFonts w:ascii="Times New Roman"/>
                <w:sz w:val="20"/>
              </w:rPr>
            </w:pPr>
          </w:p>
        </w:tc>
      </w:tr>
      <w:tr w14:paraId="467EE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0E91FFB6">
            <w:pPr>
              <w:pStyle w:val="28"/>
              <w:rPr>
                <w:rFonts w:ascii="Times New Roman"/>
                <w:sz w:val="20"/>
              </w:rPr>
            </w:pPr>
          </w:p>
        </w:tc>
        <w:tc>
          <w:tcPr>
            <w:tcW w:w="1246" w:type="dxa"/>
          </w:tcPr>
          <w:p w14:paraId="4D9B6A18">
            <w:pPr>
              <w:pStyle w:val="28"/>
              <w:rPr>
                <w:rFonts w:ascii="Times New Roman"/>
                <w:sz w:val="20"/>
              </w:rPr>
            </w:pPr>
          </w:p>
        </w:tc>
        <w:tc>
          <w:tcPr>
            <w:tcW w:w="1125" w:type="dxa"/>
          </w:tcPr>
          <w:p w14:paraId="5CAB5FEF">
            <w:pPr>
              <w:pStyle w:val="28"/>
              <w:rPr>
                <w:rFonts w:ascii="Times New Roman"/>
                <w:sz w:val="20"/>
              </w:rPr>
            </w:pPr>
          </w:p>
        </w:tc>
        <w:tc>
          <w:tcPr>
            <w:tcW w:w="1995" w:type="dxa"/>
          </w:tcPr>
          <w:p w14:paraId="4F575369">
            <w:pPr>
              <w:pStyle w:val="28"/>
              <w:rPr>
                <w:rFonts w:ascii="Times New Roman"/>
                <w:sz w:val="20"/>
              </w:rPr>
            </w:pPr>
          </w:p>
        </w:tc>
        <w:tc>
          <w:tcPr>
            <w:tcW w:w="1245" w:type="dxa"/>
          </w:tcPr>
          <w:p w14:paraId="6A675187">
            <w:pPr>
              <w:pStyle w:val="28"/>
              <w:rPr>
                <w:rFonts w:ascii="Times New Roman"/>
                <w:sz w:val="20"/>
              </w:rPr>
            </w:pPr>
          </w:p>
        </w:tc>
        <w:tc>
          <w:tcPr>
            <w:tcW w:w="1185" w:type="dxa"/>
          </w:tcPr>
          <w:p w14:paraId="3B376879">
            <w:pPr>
              <w:pStyle w:val="28"/>
              <w:rPr>
                <w:rFonts w:ascii="Times New Roman"/>
                <w:sz w:val="20"/>
              </w:rPr>
            </w:pPr>
          </w:p>
        </w:tc>
        <w:tc>
          <w:tcPr>
            <w:tcW w:w="1365" w:type="dxa"/>
          </w:tcPr>
          <w:p w14:paraId="529DF883">
            <w:pPr>
              <w:pStyle w:val="28"/>
              <w:rPr>
                <w:rFonts w:ascii="Times New Roman"/>
                <w:sz w:val="20"/>
              </w:rPr>
            </w:pPr>
          </w:p>
        </w:tc>
        <w:tc>
          <w:tcPr>
            <w:tcW w:w="1035" w:type="dxa"/>
          </w:tcPr>
          <w:p w14:paraId="6EF1AB7D">
            <w:pPr>
              <w:pStyle w:val="28"/>
              <w:rPr>
                <w:rFonts w:ascii="Times New Roman"/>
                <w:sz w:val="20"/>
              </w:rPr>
            </w:pPr>
          </w:p>
        </w:tc>
      </w:tr>
      <w:tr w14:paraId="5157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71EF17D4">
            <w:pPr>
              <w:pStyle w:val="28"/>
              <w:rPr>
                <w:rFonts w:ascii="Times New Roman"/>
                <w:sz w:val="20"/>
              </w:rPr>
            </w:pPr>
          </w:p>
        </w:tc>
        <w:tc>
          <w:tcPr>
            <w:tcW w:w="1246" w:type="dxa"/>
          </w:tcPr>
          <w:p w14:paraId="023E4D67">
            <w:pPr>
              <w:pStyle w:val="28"/>
              <w:rPr>
                <w:rFonts w:ascii="Times New Roman"/>
                <w:sz w:val="20"/>
              </w:rPr>
            </w:pPr>
          </w:p>
        </w:tc>
        <w:tc>
          <w:tcPr>
            <w:tcW w:w="1125" w:type="dxa"/>
          </w:tcPr>
          <w:p w14:paraId="205659BD">
            <w:pPr>
              <w:pStyle w:val="28"/>
              <w:rPr>
                <w:rFonts w:ascii="Times New Roman"/>
                <w:sz w:val="20"/>
              </w:rPr>
            </w:pPr>
          </w:p>
        </w:tc>
        <w:tc>
          <w:tcPr>
            <w:tcW w:w="1995" w:type="dxa"/>
          </w:tcPr>
          <w:p w14:paraId="0CEEDD4E">
            <w:pPr>
              <w:pStyle w:val="28"/>
              <w:rPr>
                <w:rFonts w:ascii="Times New Roman"/>
                <w:sz w:val="20"/>
              </w:rPr>
            </w:pPr>
          </w:p>
        </w:tc>
        <w:tc>
          <w:tcPr>
            <w:tcW w:w="1245" w:type="dxa"/>
          </w:tcPr>
          <w:p w14:paraId="4068FB3F">
            <w:pPr>
              <w:pStyle w:val="28"/>
              <w:rPr>
                <w:rFonts w:ascii="Times New Roman"/>
                <w:sz w:val="20"/>
              </w:rPr>
            </w:pPr>
          </w:p>
        </w:tc>
        <w:tc>
          <w:tcPr>
            <w:tcW w:w="1185" w:type="dxa"/>
          </w:tcPr>
          <w:p w14:paraId="31914121">
            <w:pPr>
              <w:pStyle w:val="28"/>
              <w:rPr>
                <w:rFonts w:ascii="Times New Roman"/>
                <w:sz w:val="20"/>
              </w:rPr>
            </w:pPr>
          </w:p>
        </w:tc>
        <w:tc>
          <w:tcPr>
            <w:tcW w:w="1365" w:type="dxa"/>
          </w:tcPr>
          <w:p w14:paraId="4B681220">
            <w:pPr>
              <w:pStyle w:val="28"/>
              <w:rPr>
                <w:rFonts w:ascii="Times New Roman"/>
                <w:sz w:val="20"/>
              </w:rPr>
            </w:pPr>
          </w:p>
        </w:tc>
        <w:tc>
          <w:tcPr>
            <w:tcW w:w="1035" w:type="dxa"/>
          </w:tcPr>
          <w:p w14:paraId="4DEE82B6">
            <w:pPr>
              <w:pStyle w:val="28"/>
              <w:rPr>
                <w:rFonts w:ascii="Times New Roman"/>
                <w:sz w:val="20"/>
              </w:rPr>
            </w:pPr>
          </w:p>
        </w:tc>
      </w:tr>
      <w:tr w14:paraId="05C5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39" w:type="dxa"/>
          </w:tcPr>
          <w:p w14:paraId="1F0CD6D6">
            <w:pPr>
              <w:pStyle w:val="28"/>
              <w:rPr>
                <w:rFonts w:ascii="Times New Roman"/>
                <w:sz w:val="20"/>
              </w:rPr>
            </w:pPr>
          </w:p>
        </w:tc>
        <w:tc>
          <w:tcPr>
            <w:tcW w:w="1246" w:type="dxa"/>
          </w:tcPr>
          <w:p w14:paraId="54C078BF">
            <w:pPr>
              <w:pStyle w:val="28"/>
              <w:rPr>
                <w:rFonts w:ascii="Times New Roman"/>
                <w:sz w:val="20"/>
              </w:rPr>
            </w:pPr>
          </w:p>
        </w:tc>
        <w:tc>
          <w:tcPr>
            <w:tcW w:w="1125" w:type="dxa"/>
          </w:tcPr>
          <w:p w14:paraId="35FDE04C">
            <w:pPr>
              <w:pStyle w:val="28"/>
              <w:rPr>
                <w:rFonts w:ascii="Times New Roman"/>
                <w:sz w:val="20"/>
              </w:rPr>
            </w:pPr>
          </w:p>
        </w:tc>
        <w:tc>
          <w:tcPr>
            <w:tcW w:w="1995" w:type="dxa"/>
          </w:tcPr>
          <w:p w14:paraId="4ED9139A">
            <w:pPr>
              <w:pStyle w:val="28"/>
              <w:rPr>
                <w:rFonts w:ascii="Times New Roman"/>
                <w:sz w:val="20"/>
              </w:rPr>
            </w:pPr>
          </w:p>
        </w:tc>
        <w:tc>
          <w:tcPr>
            <w:tcW w:w="1245" w:type="dxa"/>
          </w:tcPr>
          <w:p w14:paraId="756BD3D1">
            <w:pPr>
              <w:pStyle w:val="28"/>
              <w:rPr>
                <w:rFonts w:ascii="Times New Roman"/>
                <w:sz w:val="20"/>
              </w:rPr>
            </w:pPr>
          </w:p>
        </w:tc>
        <w:tc>
          <w:tcPr>
            <w:tcW w:w="1185" w:type="dxa"/>
          </w:tcPr>
          <w:p w14:paraId="27A7E548">
            <w:pPr>
              <w:pStyle w:val="28"/>
              <w:rPr>
                <w:rFonts w:ascii="Times New Roman"/>
                <w:sz w:val="20"/>
              </w:rPr>
            </w:pPr>
          </w:p>
        </w:tc>
        <w:tc>
          <w:tcPr>
            <w:tcW w:w="1365" w:type="dxa"/>
          </w:tcPr>
          <w:p w14:paraId="36A81539">
            <w:pPr>
              <w:pStyle w:val="28"/>
              <w:rPr>
                <w:rFonts w:ascii="Times New Roman"/>
                <w:sz w:val="20"/>
              </w:rPr>
            </w:pPr>
          </w:p>
        </w:tc>
        <w:tc>
          <w:tcPr>
            <w:tcW w:w="1035" w:type="dxa"/>
          </w:tcPr>
          <w:p w14:paraId="71209855">
            <w:pPr>
              <w:pStyle w:val="28"/>
              <w:rPr>
                <w:rFonts w:ascii="Times New Roman"/>
                <w:sz w:val="20"/>
              </w:rPr>
            </w:pPr>
          </w:p>
        </w:tc>
      </w:tr>
    </w:tbl>
    <w:p w14:paraId="0B9452FC">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注：</w:t>
      </w:r>
      <w:r>
        <w:rPr>
          <w:rFonts w:hint="eastAsia" w:ascii="宋体" w:hAnsi="宋体" w:eastAsia="宋体" w:cs="宋体"/>
          <w:b w:val="0"/>
          <w:bCs/>
          <w:color w:val="000000"/>
          <w:sz w:val="24"/>
          <w:szCs w:val="24"/>
          <w:highlight w:val="none"/>
          <w:lang w:val="en-US" w:eastAsia="zh-CN"/>
        </w:rPr>
        <w:t xml:space="preserve">1、本表应按照采购分项报价表中“产品名称”及采购一览表中产品序号的指标逐 项填写，不得遗漏。否则，按无效投标处理。 </w:t>
      </w:r>
    </w:p>
    <w:p w14:paraId="4AB20489">
      <w:pPr>
        <w:numPr>
          <w:ilvl w:val="0"/>
          <w:numId w:val="0"/>
        </w:numPr>
        <w:tabs>
          <w:tab w:val="left" w:pos="840"/>
        </w:tabs>
        <w:spacing w:line="400" w:lineRule="exact"/>
        <w:ind w:leftChars="200"/>
        <w:rPr>
          <w:rFonts w:hint="eastAsia" w:ascii="新宋体" w:hAnsi="新宋体" w:eastAsia="新宋体" w:cs="新宋体"/>
          <w:color w:val="000000"/>
          <w:kern w:val="0"/>
          <w:sz w:val="24"/>
          <w:szCs w:val="22"/>
          <w:highlight w:val="none"/>
          <w:u w:val="single"/>
          <w:lang w:val="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en-US" w:eastAsia="zh-CN"/>
        </w:rPr>
        <w:t>供应商应按投标产品实际情况填写。</w:t>
      </w:r>
    </w:p>
    <w:p w14:paraId="5D070A5C">
      <w:pPr>
        <w:numPr>
          <w:ilvl w:val="0"/>
          <w:numId w:val="0"/>
        </w:numPr>
        <w:tabs>
          <w:tab w:val="left" w:pos="840"/>
        </w:tabs>
        <w:spacing w:line="400" w:lineRule="exact"/>
        <w:ind w:leftChars="200"/>
        <w:rPr>
          <w:rFonts w:hint="eastAsia" w:ascii="新宋体" w:hAnsi="新宋体" w:eastAsia="新宋体" w:cs="新宋体"/>
          <w:color w:val="000000"/>
          <w:kern w:val="0"/>
          <w:sz w:val="24"/>
          <w:szCs w:val="22"/>
          <w:highlight w:val="none"/>
          <w:u w:val="none"/>
          <w:lang w:val="zh-CN"/>
        </w:rPr>
      </w:pPr>
      <w:r>
        <w:rPr>
          <w:rFonts w:hint="eastAsia" w:ascii="宋体" w:hAnsi="宋体" w:cs="宋体"/>
          <w:b w:val="0"/>
          <w:bCs/>
          <w:color w:val="000000"/>
          <w:sz w:val="24"/>
          <w:szCs w:val="24"/>
          <w:highlight w:val="none"/>
          <w:lang w:val="en-US" w:eastAsia="zh-CN"/>
        </w:rPr>
        <w:t>3、</w:t>
      </w:r>
      <w:r>
        <w:rPr>
          <w:rFonts w:hint="eastAsia" w:ascii="新宋体" w:hAnsi="新宋体" w:eastAsia="新宋体" w:cs="新宋体"/>
          <w:color w:val="000000"/>
          <w:kern w:val="0"/>
          <w:sz w:val="24"/>
          <w:szCs w:val="22"/>
          <w:highlight w:val="none"/>
          <w:lang w:val="zh-CN"/>
        </w:rPr>
        <w:t>“投标产品技术参数、指标”</w:t>
      </w:r>
      <w:r>
        <w:rPr>
          <w:rFonts w:hint="eastAsia" w:ascii="新宋体" w:hAnsi="新宋体" w:eastAsia="新宋体" w:cs="新宋体"/>
          <w:color w:val="000000"/>
          <w:kern w:val="0"/>
          <w:sz w:val="24"/>
          <w:szCs w:val="22"/>
          <w:highlight w:val="none"/>
          <w:u w:val="none"/>
          <w:lang w:val="zh-CN"/>
        </w:rPr>
        <w:t>必须与谈判响应文件中提供的产品检测报告</w:t>
      </w:r>
      <w:r>
        <w:rPr>
          <w:rFonts w:hint="eastAsia" w:ascii="新宋体" w:hAnsi="新宋体" w:eastAsia="新宋体" w:cs="新宋体"/>
          <w:color w:val="000000"/>
          <w:kern w:val="0"/>
          <w:sz w:val="24"/>
          <w:szCs w:val="22"/>
          <w:highlight w:val="none"/>
          <w:u w:val="none"/>
          <w:lang w:val="zh-CN" w:eastAsia="zh-CN"/>
        </w:rPr>
        <w:t>或推广鉴定报告</w:t>
      </w:r>
      <w:r>
        <w:rPr>
          <w:rFonts w:hint="eastAsia" w:ascii="新宋体" w:hAnsi="新宋体" w:eastAsia="新宋体" w:cs="新宋体"/>
          <w:color w:val="000000"/>
          <w:kern w:val="0"/>
          <w:sz w:val="24"/>
          <w:szCs w:val="22"/>
          <w:highlight w:val="none"/>
          <w:u w:val="none"/>
          <w:lang w:val="zh-CN"/>
        </w:rPr>
        <w:t>等证明材料的实质性响应情况相一致。</w:t>
      </w:r>
    </w:p>
    <w:p w14:paraId="73B11935">
      <w:pPr>
        <w:pStyle w:val="18"/>
        <w:spacing w:line="360" w:lineRule="auto"/>
        <w:ind w:left="0" w:leftChars="0" w:firstLine="0" w:firstLineChars="0"/>
        <w:rPr>
          <w:rFonts w:hint="eastAsia" w:ascii="宋体" w:hAnsi="宋体" w:eastAsia="宋体" w:cs="宋体"/>
          <w:b w:val="0"/>
          <w:bCs/>
          <w:color w:val="000000"/>
          <w:sz w:val="24"/>
          <w:szCs w:val="24"/>
          <w:highlight w:val="none"/>
        </w:rPr>
      </w:pPr>
    </w:p>
    <w:p w14:paraId="616A3593">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p>
    <w:p w14:paraId="3FDA61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532" w:name="_Toc3277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532"/>
    </w:p>
    <w:p w14:paraId="2F6831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bookmarkStart w:id="533" w:name="_Toc22450_WPSOffice_Level3"/>
      <w:r>
        <w:rPr>
          <w:rFonts w:hint="eastAsia" w:ascii="宋体" w:hAnsi="宋体" w:eastAsia="宋体" w:cs="宋体"/>
          <w:b w:val="0"/>
          <w:bCs/>
          <w:color w:val="000000"/>
          <w:sz w:val="24"/>
          <w:szCs w:val="24"/>
          <w:highlight w:val="none"/>
        </w:rPr>
        <w:t>年   月  日</w:t>
      </w:r>
      <w:bookmarkEnd w:id="533"/>
      <w:bookmarkStart w:id="534" w:name="_Toc7597"/>
      <w:bookmarkStart w:id="535" w:name="_Toc14547"/>
      <w:bookmarkStart w:id="536" w:name="_Toc6913_WPSOffice_Level3"/>
      <w:bookmarkStart w:id="537" w:name="_Toc18025_WPSOffice_Level3"/>
      <w:bookmarkStart w:id="538" w:name="_Toc28501"/>
    </w:p>
    <w:p w14:paraId="6748C03D">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539" w:name="_Toc25021"/>
      <w:bookmarkStart w:id="540" w:name="_Toc26522"/>
      <w:r>
        <w:rPr>
          <w:rFonts w:hint="eastAsia" w:ascii="宋体" w:hAnsi="宋体" w:eastAsia="宋体" w:cs="宋体"/>
          <w:b/>
          <w:bCs w:val="0"/>
          <w:color w:val="000000"/>
          <w:kern w:val="2"/>
          <w:sz w:val="28"/>
          <w:szCs w:val="28"/>
          <w:highlight w:val="none"/>
          <w:lang w:val="en-US" w:eastAsia="zh-CN" w:bidi="ar-SA"/>
        </w:rPr>
        <w:t>附件1</w:t>
      </w:r>
      <w:r>
        <w:rPr>
          <w:rFonts w:hint="eastAsia" w:ascii="宋体" w:hAnsi="宋体" w:cs="宋体"/>
          <w:b/>
          <w:bCs w:val="0"/>
          <w:color w:val="000000"/>
          <w:kern w:val="2"/>
          <w:sz w:val="28"/>
          <w:szCs w:val="28"/>
          <w:highlight w:val="none"/>
          <w:lang w:val="en-US" w:eastAsia="zh-CN" w:bidi="ar-SA"/>
        </w:rPr>
        <w:t>4</w:t>
      </w:r>
      <w:r>
        <w:rPr>
          <w:rFonts w:hint="eastAsia" w:ascii="宋体" w:hAnsi="宋体" w:eastAsia="宋体" w:cs="宋体"/>
          <w:b/>
          <w:bCs w:val="0"/>
          <w:color w:val="000000"/>
          <w:kern w:val="2"/>
          <w:sz w:val="28"/>
          <w:szCs w:val="28"/>
          <w:highlight w:val="none"/>
          <w:lang w:val="en-US" w:eastAsia="zh-CN" w:bidi="ar-SA"/>
        </w:rPr>
        <w:t>：</w:t>
      </w:r>
      <w:bookmarkEnd w:id="534"/>
      <w:bookmarkEnd w:id="535"/>
      <w:bookmarkEnd w:id="536"/>
      <w:r>
        <w:rPr>
          <w:rFonts w:hint="eastAsia" w:ascii="宋体" w:hAnsi="宋体" w:eastAsia="宋体" w:cs="宋体"/>
          <w:b/>
          <w:bCs w:val="0"/>
          <w:color w:val="000000"/>
          <w:kern w:val="2"/>
          <w:sz w:val="28"/>
          <w:szCs w:val="28"/>
          <w:highlight w:val="none"/>
          <w:lang w:val="en-US" w:eastAsia="zh-CN" w:bidi="ar-SA"/>
        </w:rPr>
        <w:t>产品相关资料</w:t>
      </w:r>
      <w:bookmarkEnd w:id="537"/>
      <w:bookmarkEnd w:id="538"/>
      <w:bookmarkEnd w:id="539"/>
      <w:bookmarkEnd w:id="540"/>
    </w:p>
    <w:p w14:paraId="2A9A61B5">
      <w:pPr>
        <w:wordWrap/>
        <w:spacing w:before="157" w:beforeLines="50" w:line="560" w:lineRule="exact"/>
        <w:jc w:val="center"/>
        <w:outlineLvl w:val="9"/>
        <w:rPr>
          <w:rFonts w:hint="eastAsia" w:ascii="宋体" w:hAnsi="宋体" w:eastAsia="宋体" w:cs="宋体"/>
          <w:bCs/>
          <w:color w:val="000000"/>
          <w:sz w:val="22"/>
          <w:szCs w:val="22"/>
          <w:highlight w:val="none"/>
        </w:rPr>
      </w:pPr>
      <w:bookmarkStart w:id="541" w:name="_Toc2954_WPSOffice_Level1"/>
      <w:bookmarkStart w:id="542" w:name="_Toc19683_WPSOffice_Level1"/>
      <w:bookmarkStart w:id="543" w:name="_Toc21309_WPSOffice_Level3"/>
      <w:r>
        <w:rPr>
          <w:rFonts w:hint="eastAsia" w:ascii="宋体" w:hAnsi="宋体" w:eastAsia="宋体" w:cs="宋体"/>
          <w:b/>
          <w:color w:val="000000"/>
          <w:sz w:val="28"/>
          <w:szCs w:val="28"/>
          <w:highlight w:val="none"/>
          <w:lang w:val="zh-CN" w:eastAsia="zh-CN"/>
        </w:rPr>
        <w:t>产品相关资料</w:t>
      </w:r>
      <w:bookmarkEnd w:id="541"/>
      <w:bookmarkEnd w:id="542"/>
      <w:bookmarkEnd w:id="543"/>
    </w:p>
    <w:p w14:paraId="71233857">
      <w:pPr>
        <w:spacing w:before="2" w:line="374" w:lineRule="auto"/>
        <w:ind w:right="76" w:firstLine="504" w:firstLineChars="200"/>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lang w:val="en-US" w:eastAsia="zh-CN"/>
        </w:rPr>
        <w:t>根据采购项目内容，提供国家认可的质监机构出具的投标产品的检验报告或推广鉴定报告。</w:t>
      </w:r>
    </w:p>
    <w:p w14:paraId="3585C8D6">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44E46FD3">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05CB66A8">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56FABFA8">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68A3219F">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6183C03D">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341FC716">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5A1B9FC9">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72042055">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6E0F08A0">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28FAE4A6">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722A945C">
      <w:pPr>
        <w:rPr>
          <w:rFonts w:hint="eastAsia" w:ascii="宋体" w:hAnsi="宋体" w:eastAsia="宋体" w:cs="宋体"/>
          <w:b/>
          <w:bCs w:val="0"/>
          <w:color w:val="000000"/>
          <w:kern w:val="2"/>
          <w:sz w:val="28"/>
          <w:szCs w:val="28"/>
          <w:highlight w:val="none"/>
          <w:lang w:val="en-US" w:eastAsia="zh-CN" w:bidi="ar-SA"/>
        </w:rPr>
      </w:pPr>
      <w:bookmarkStart w:id="544" w:name="_Toc4925"/>
      <w:bookmarkStart w:id="545" w:name="_Toc11887"/>
      <w:bookmarkStart w:id="546" w:name="_Toc10368"/>
      <w:bookmarkStart w:id="547" w:name="_Toc31301_WPSOffice_Level3"/>
      <w:bookmarkStart w:id="548" w:name="_Toc3146_WPSOffice_Level3"/>
      <w:r>
        <w:rPr>
          <w:rFonts w:hint="eastAsia" w:ascii="宋体" w:hAnsi="宋体" w:eastAsia="宋体" w:cs="宋体"/>
          <w:b/>
          <w:bCs w:val="0"/>
          <w:color w:val="000000"/>
          <w:kern w:val="2"/>
          <w:sz w:val="28"/>
          <w:szCs w:val="28"/>
          <w:highlight w:val="none"/>
          <w:lang w:val="en-US" w:eastAsia="zh-CN" w:bidi="ar-SA"/>
        </w:rPr>
        <w:br w:type="page"/>
      </w:r>
    </w:p>
    <w:p w14:paraId="1277484F">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549" w:name="_Toc2208"/>
      <w:bookmarkStart w:id="550" w:name="_Toc5201"/>
      <w:r>
        <w:rPr>
          <w:rFonts w:hint="eastAsia" w:ascii="宋体" w:hAnsi="宋体" w:eastAsia="宋体" w:cs="宋体"/>
          <w:b/>
          <w:bCs w:val="0"/>
          <w:color w:val="000000"/>
          <w:kern w:val="2"/>
          <w:sz w:val="28"/>
          <w:szCs w:val="28"/>
          <w:highlight w:val="none"/>
          <w:lang w:val="en-US" w:eastAsia="zh-CN" w:bidi="ar-SA"/>
        </w:rPr>
        <w:t>附件1</w:t>
      </w:r>
      <w:r>
        <w:rPr>
          <w:rFonts w:hint="eastAsia" w:ascii="宋体" w:hAnsi="宋体" w:cs="宋体"/>
          <w:b/>
          <w:bCs w:val="0"/>
          <w:color w:val="000000"/>
          <w:kern w:val="2"/>
          <w:sz w:val="28"/>
          <w:szCs w:val="28"/>
          <w:highlight w:val="none"/>
          <w:lang w:val="en-US" w:eastAsia="zh-CN" w:bidi="ar-SA"/>
        </w:rPr>
        <w:t>5</w:t>
      </w:r>
      <w:r>
        <w:rPr>
          <w:rFonts w:hint="eastAsia" w:ascii="宋体" w:hAnsi="宋体" w:eastAsia="宋体" w:cs="宋体"/>
          <w:b/>
          <w:bCs w:val="0"/>
          <w:color w:val="000000"/>
          <w:kern w:val="2"/>
          <w:sz w:val="28"/>
          <w:szCs w:val="28"/>
          <w:highlight w:val="none"/>
          <w:lang w:val="en-US" w:eastAsia="zh-CN" w:bidi="ar-SA"/>
        </w:rPr>
        <w:t>：享受政府采购政策优惠的证明资料</w:t>
      </w:r>
      <w:bookmarkEnd w:id="544"/>
      <w:bookmarkEnd w:id="545"/>
      <w:bookmarkEnd w:id="546"/>
      <w:bookmarkEnd w:id="547"/>
      <w:bookmarkEnd w:id="548"/>
      <w:bookmarkEnd w:id="549"/>
      <w:bookmarkEnd w:id="550"/>
    </w:p>
    <w:p w14:paraId="29FC6E3B">
      <w:pPr>
        <w:pStyle w:val="18"/>
        <w:rPr>
          <w:rFonts w:hint="eastAsia"/>
          <w:lang w:val="en-US" w:eastAsia="zh-CN"/>
        </w:rPr>
      </w:pPr>
    </w:p>
    <w:p w14:paraId="16A9A9F9">
      <w:pPr>
        <w:widowControl/>
        <w:wordWrap/>
        <w:adjustRightInd w:val="0"/>
        <w:snapToGrid w:val="0"/>
        <w:spacing w:line="560" w:lineRule="exact"/>
        <w:ind w:firstLine="2249" w:firstLineChars="800"/>
        <w:jc w:val="both"/>
        <w:textAlignment w:val="auto"/>
        <w:outlineLvl w:val="9"/>
        <w:rPr>
          <w:rFonts w:hint="default"/>
          <w:lang w:val="en-US" w:eastAsia="zh-CN"/>
        </w:rPr>
      </w:pPr>
      <w:r>
        <w:rPr>
          <w:rFonts w:hint="eastAsia" w:ascii="宋体" w:hAnsi="宋体" w:cs="宋体"/>
          <w:b/>
          <w:bCs w:val="0"/>
          <w:color w:val="000000"/>
          <w:kern w:val="2"/>
          <w:sz w:val="28"/>
          <w:szCs w:val="28"/>
          <w:highlight w:val="none"/>
          <w:lang w:val="en-US" w:eastAsia="zh-CN" w:bidi="ar-SA"/>
        </w:rPr>
        <w:t xml:space="preserve"> </w:t>
      </w:r>
      <w:r>
        <w:rPr>
          <w:rFonts w:hint="eastAsia" w:ascii="宋体" w:hAnsi="宋体" w:eastAsia="宋体" w:cs="宋体"/>
          <w:b/>
          <w:spacing w:val="6"/>
          <w:kern w:val="0"/>
          <w:sz w:val="28"/>
          <w:szCs w:val="28"/>
          <w:highlight w:val="none"/>
        </w:rPr>
        <w:t>(不满足以下条件的无需填写)</w:t>
      </w:r>
    </w:p>
    <w:p w14:paraId="640D9E09">
      <w:pPr>
        <w:numPr>
          <w:ilvl w:val="0"/>
          <w:numId w:val="7"/>
        </w:numPr>
        <w:wordWrap/>
        <w:adjustRightInd w:val="0"/>
        <w:snapToGrid w:val="0"/>
        <w:spacing w:before="157" w:beforeLines="50" w:line="560" w:lineRule="exact"/>
        <w:jc w:val="center"/>
        <w:outlineLvl w:val="9"/>
        <w:rPr>
          <w:rFonts w:hint="eastAsia" w:ascii="宋体" w:hAnsi="宋体" w:eastAsia="宋体" w:cs="宋体"/>
          <w:b w:val="0"/>
          <w:bCs w:val="0"/>
          <w:kern w:val="2"/>
          <w:sz w:val="24"/>
          <w:szCs w:val="24"/>
          <w:highlight w:val="none"/>
          <w:lang w:val="en-US" w:eastAsia="zh-CN" w:bidi="ar-SA"/>
        </w:rPr>
      </w:pPr>
      <w:bookmarkStart w:id="551" w:name="_Toc25276"/>
      <w:r>
        <w:rPr>
          <w:rFonts w:hint="eastAsia" w:ascii="宋体" w:hAnsi="宋体" w:eastAsia="宋体" w:cs="宋体"/>
          <w:b w:val="0"/>
          <w:bCs w:val="0"/>
          <w:kern w:val="2"/>
          <w:sz w:val="24"/>
          <w:szCs w:val="24"/>
          <w:highlight w:val="none"/>
          <w:lang w:val="en-US" w:eastAsia="zh-CN" w:bidi="ar-SA"/>
        </w:rPr>
        <w:t>节能产品、环境标志产品证明材料</w:t>
      </w:r>
      <w:bookmarkEnd w:id="551"/>
    </w:p>
    <w:p w14:paraId="24570BD4">
      <w:pPr>
        <w:widowControl/>
        <w:wordWrap/>
        <w:adjustRightInd w:val="0"/>
        <w:snapToGrid w:val="0"/>
        <w:spacing w:before="157" w:beforeLines="50" w:line="56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产品属于品目清单范围的，实施政府优先采购和强制采购。供应商应提供国家确定的认证机构出具的、处于有效期之内的节能产品、环境标志产品认证证书，并加盖供应商单位公章。</w:t>
      </w:r>
    </w:p>
    <w:p w14:paraId="5A0BF681">
      <w:pPr>
        <w:numPr>
          <w:ilvl w:val="0"/>
          <w:numId w:val="0"/>
        </w:numPr>
        <w:wordWrap/>
        <w:adjustRightInd w:val="0"/>
        <w:snapToGrid w:val="0"/>
        <w:spacing w:before="157" w:beforeLines="50" w:line="560" w:lineRule="exact"/>
        <w:jc w:val="left"/>
        <w:rPr>
          <w:rFonts w:hint="eastAsia" w:ascii="宋体" w:hAnsi="宋体" w:eastAsia="宋体" w:cs="宋体"/>
          <w:sz w:val="18"/>
          <w:szCs w:val="18"/>
          <w:highlight w:val="none"/>
        </w:rPr>
      </w:pPr>
    </w:p>
    <w:p w14:paraId="4F31CCCC">
      <w:pPr>
        <w:bidi w:val="0"/>
        <w:rPr>
          <w:rFonts w:hint="eastAsia"/>
        </w:rPr>
      </w:pPr>
    </w:p>
    <w:p w14:paraId="3A096AA3">
      <w:pPr>
        <w:bidi w:val="0"/>
        <w:rPr>
          <w:rFonts w:hint="eastAsia"/>
          <w:lang w:val="en-US" w:eastAsia="zh-CN"/>
        </w:rPr>
      </w:pPr>
    </w:p>
    <w:p w14:paraId="0AB828BA">
      <w:pPr>
        <w:bidi w:val="0"/>
        <w:rPr>
          <w:rFonts w:hint="eastAsia"/>
          <w:lang w:val="en-US" w:eastAsia="zh-CN"/>
        </w:rPr>
      </w:pPr>
    </w:p>
    <w:p w14:paraId="6B6533CE">
      <w:pPr>
        <w:bidi w:val="0"/>
        <w:rPr>
          <w:rFonts w:hint="eastAsia"/>
          <w:lang w:val="en-US" w:eastAsia="zh-CN"/>
        </w:rPr>
      </w:pPr>
    </w:p>
    <w:p w14:paraId="52CB8BEE">
      <w:pPr>
        <w:bidi w:val="0"/>
        <w:rPr>
          <w:rFonts w:hint="eastAsia"/>
          <w:lang w:val="en-US" w:eastAsia="zh-CN"/>
        </w:rPr>
      </w:pPr>
    </w:p>
    <w:p w14:paraId="157959C2">
      <w:pPr>
        <w:bidi w:val="0"/>
        <w:rPr>
          <w:rFonts w:hint="eastAsia"/>
          <w:lang w:val="en-US" w:eastAsia="zh-CN"/>
        </w:rPr>
      </w:pPr>
    </w:p>
    <w:p w14:paraId="0D14A0C0">
      <w:pPr>
        <w:bidi w:val="0"/>
        <w:rPr>
          <w:rFonts w:hint="eastAsia"/>
          <w:lang w:val="en-US" w:eastAsia="zh-CN"/>
        </w:rPr>
      </w:pPr>
    </w:p>
    <w:p w14:paraId="49E2BA99">
      <w:pPr>
        <w:bidi w:val="0"/>
        <w:rPr>
          <w:rFonts w:hint="eastAsia"/>
          <w:lang w:val="en-US" w:eastAsia="zh-CN"/>
        </w:rPr>
      </w:pPr>
    </w:p>
    <w:p w14:paraId="59F739E7">
      <w:pPr>
        <w:bidi w:val="0"/>
        <w:rPr>
          <w:rFonts w:hint="eastAsia"/>
          <w:lang w:val="en-US" w:eastAsia="zh-CN"/>
        </w:rPr>
      </w:pPr>
    </w:p>
    <w:p w14:paraId="2B71FAC1">
      <w:pPr>
        <w:bidi w:val="0"/>
        <w:rPr>
          <w:rFonts w:hint="eastAsia" w:ascii="宋体" w:hAnsi="宋体" w:eastAsia="宋体" w:cs="宋体"/>
          <w:b/>
          <w:color w:val="000000"/>
          <w:szCs w:val="24"/>
          <w:highlight w:val="none"/>
          <w:lang w:val="en-US" w:eastAsia="zh-CN"/>
        </w:rPr>
      </w:pPr>
      <w:r>
        <w:rPr>
          <w:rFonts w:hint="eastAsia"/>
          <w:lang w:val="en-US" w:eastAsia="zh-CN"/>
        </w:rPr>
        <w:br w:type="page"/>
      </w:r>
    </w:p>
    <w:p w14:paraId="15BED0E1">
      <w:pPr>
        <w:widowControl/>
        <w:spacing w:line="320" w:lineRule="atLeas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中小企业声明函（货物）</w:t>
      </w:r>
    </w:p>
    <w:p w14:paraId="51A231EC">
      <w:pPr>
        <w:autoSpaceDE w:val="0"/>
        <w:autoSpaceDN w:val="0"/>
        <w:spacing w:before="2"/>
        <w:jc w:val="left"/>
        <w:rPr>
          <w:rFonts w:hint="eastAsia" w:ascii="宋体" w:hAnsi="宋体" w:eastAsia="宋体" w:cs="宋体"/>
          <w:b/>
          <w:sz w:val="24"/>
          <w:szCs w:val="24"/>
        </w:rPr>
      </w:pPr>
    </w:p>
    <w:p w14:paraId="0CB76DCA">
      <w:pPr>
        <w:autoSpaceDE w:val="0"/>
        <w:autoSpaceDN w:val="0"/>
        <w:adjustRightIn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本公司郑重声明，根据《政府采购促进中小企业发展管理办法》（财库﹝2020﹞46 号）的规定，本公司</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采购活动，提供的货物全部由符合政策要求的中小企业制造。相关企业（的具体情况如下：</w:t>
      </w:r>
    </w:p>
    <w:p w14:paraId="335948D0">
      <w:pPr>
        <w:tabs>
          <w:tab w:val="left" w:pos="1165"/>
          <w:tab w:val="left" w:pos="1183"/>
          <w:tab w:val="left" w:pos="4362"/>
          <w:tab w:val="left" w:pos="6577"/>
        </w:tabs>
        <w:autoSpaceDE w:val="0"/>
        <w:autoSpaceDN w:val="0"/>
        <w:spacing w:line="360" w:lineRule="auto"/>
        <w:ind w:right="169" w:firstLine="462" w:firstLineChars="200"/>
        <w:jc w:val="left"/>
        <w:rPr>
          <w:rFonts w:hint="eastAsia" w:ascii="宋体" w:hAnsi="宋体" w:eastAsia="宋体" w:cs="宋体"/>
          <w:spacing w:val="-3"/>
          <w:w w:val="99"/>
          <w:sz w:val="24"/>
          <w:szCs w:val="24"/>
        </w:rPr>
      </w:pPr>
      <w:r>
        <w:rPr>
          <w:rFonts w:hint="eastAsia" w:ascii="宋体" w:hAnsi="宋体" w:eastAsia="宋体" w:cs="宋体"/>
          <w:spacing w:val="-3"/>
          <w:w w:val="99"/>
          <w:sz w:val="24"/>
          <w:szCs w:val="24"/>
        </w:rPr>
        <w:t>1.</w:t>
      </w:r>
      <w:r>
        <w:rPr>
          <w:rFonts w:hint="eastAsia" w:ascii="宋体" w:hAnsi="宋体" w:eastAsia="宋体" w:cs="宋体"/>
          <w:kern w:val="0"/>
          <w:sz w:val="24"/>
          <w:szCs w:val="24"/>
          <w:u w:val="single"/>
        </w:rPr>
        <w:t>（标的名称）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spacing w:val="-3"/>
          <w:w w:val="99"/>
          <w:sz w:val="24"/>
          <w:szCs w:val="24"/>
        </w:rPr>
        <w:t>，</w:t>
      </w:r>
      <w:r>
        <w:rPr>
          <w:rFonts w:hint="eastAsia" w:ascii="宋体" w:hAnsi="宋体" w:eastAsia="宋体" w:cs="宋体"/>
          <w:kern w:val="0"/>
          <w:sz w:val="24"/>
          <w:szCs w:val="24"/>
        </w:rPr>
        <w:t>从业人员</w:t>
      </w:r>
      <w:r>
        <w:rPr>
          <w:rFonts w:hint="eastAsia" w:ascii="宋体" w:hAnsi="宋体" w:eastAsia="宋体" w:cs="宋体"/>
          <w:spacing w:val="-3"/>
          <w:w w:val="99"/>
          <w:sz w:val="24"/>
          <w:szCs w:val="24"/>
          <w:u w:val="single"/>
        </w:rPr>
        <w:t xml:space="preserve">      </w:t>
      </w:r>
      <w:r>
        <w:rPr>
          <w:rFonts w:hint="eastAsia" w:ascii="宋体" w:hAnsi="宋体" w:eastAsia="宋体" w:cs="宋体"/>
          <w:kern w:val="0"/>
          <w:sz w:val="24"/>
          <w:szCs w:val="24"/>
        </w:rPr>
        <w:t xml:space="preserve">人，营业收入为 </w:t>
      </w:r>
      <w:r>
        <w:rPr>
          <w:rFonts w:hint="eastAsia" w:ascii="宋体" w:hAnsi="宋体" w:eastAsia="宋体" w:cs="宋体"/>
          <w:spacing w:val="-3"/>
          <w:w w:val="99"/>
          <w:sz w:val="24"/>
          <w:szCs w:val="24"/>
          <w:u w:val="single"/>
        </w:rPr>
        <w:t xml:space="preserve">           </w:t>
      </w:r>
      <w:r>
        <w:rPr>
          <w:rFonts w:hint="eastAsia" w:ascii="宋体" w:hAnsi="宋体" w:eastAsia="宋体" w:cs="宋体"/>
          <w:kern w:val="0"/>
          <w:sz w:val="24"/>
          <w:szCs w:val="24"/>
        </w:rPr>
        <w:t xml:space="preserve">万元，资产总额为 </w:t>
      </w:r>
      <w:r>
        <w:rPr>
          <w:rFonts w:hint="eastAsia" w:ascii="宋体" w:hAnsi="宋体" w:eastAsia="宋体" w:cs="宋体"/>
          <w:spacing w:val="-3"/>
          <w:w w:val="99"/>
          <w:sz w:val="24"/>
          <w:szCs w:val="24"/>
          <w:u w:val="single"/>
        </w:rPr>
        <w:t xml:space="preserve">      </w:t>
      </w:r>
      <w:r>
        <w:rPr>
          <w:rFonts w:hint="eastAsia" w:ascii="宋体" w:hAnsi="宋体" w:eastAsia="宋体" w:cs="宋体"/>
          <w:spacing w:val="-3"/>
          <w:w w:val="99"/>
          <w:sz w:val="24"/>
          <w:szCs w:val="24"/>
          <w:u w:val="single"/>
        </w:rPr>
        <w:tab/>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r>
        <w:rPr>
          <w:rFonts w:hint="eastAsia" w:ascii="宋体" w:hAnsi="宋体" w:eastAsia="宋体" w:cs="宋体"/>
          <w:spacing w:val="-3"/>
          <w:w w:val="99"/>
          <w:sz w:val="24"/>
          <w:szCs w:val="24"/>
        </w:rPr>
        <w:t xml:space="preserve">；                                                                                                                                                                                                                                               </w:t>
      </w:r>
    </w:p>
    <w:p w14:paraId="595B1963">
      <w:pPr>
        <w:tabs>
          <w:tab w:val="left" w:pos="1165"/>
          <w:tab w:val="left" w:pos="1183"/>
          <w:tab w:val="left" w:pos="4362"/>
          <w:tab w:val="left" w:pos="6577"/>
        </w:tabs>
        <w:autoSpaceDE w:val="0"/>
        <w:autoSpaceDN w:val="0"/>
        <w:spacing w:line="360" w:lineRule="auto"/>
        <w:ind w:right="169" w:firstLine="462" w:firstLineChars="200"/>
        <w:jc w:val="left"/>
        <w:rPr>
          <w:rFonts w:hint="eastAsia" w:ascii="宋体" w:hAnsi="宋体" w:eastAsia="宋体" w:cs="宋体"/>
          <w:spacing w:val="-3"/>
          <w:w w:val="99"/>
          <w:sz w:val="24"/>
          <w:szCs w:val="24"/>
        </w:rPr>
      </w:pPr>
      <w:r>
        <w:rPr>
          <w:rFonts w:hint="eastAsia" w:ascii="宋体" w:hAnsi="宋体" w:eastAsia="宋体" w:cs="宋体"/>
          <w:spacing w:val="-3"/>
          <w:w w:val="99"/>
          <w:sz w:val="24"/>
          <w:szCs w:val="24"/>
        </w:rPr>
        <w:t>2.</w:t>
      </w:r>
      <w:r>
        <w:rPr>
          <w:rFonts w:hint="eastAsia" w:ascii="宋体" w:hAnsi="宋体" w:eastAsia="宋体" w:cs="宋体"/>
          <w:kern w:val="0"/>
          <w:sz w:val="24"/>
          <w:szCs w:val="24"/>
          <w:u w:val="single"/>
        </w:rPr>
        <w:t>（标的名称）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spacing w:val="-3"/>
          <w:w w:val="99"/>
          <w:sz w:val="24"/>
          <w:szCs w:val="24"/>
        </w:rPr>
        <w:t>，</w:t>
      </w:r>
      <w:r>
        <w:rPr>
          <w:rFonts w:hint="eastAsia" w:ascii="宋体" w:hAnsi="宋体" w:eastAsia="宋体" w:cs="宋体"/>
          <w:kern w:val="0"/>
          <w:sz w:val="24"/>
          <w:szCs w:val="24"/>
        </w:rPr>
        <w:t>从业人员</w:t>
      </w:r>
      <w:r>
        <w:rPr>
          <w:rFonts w:hint="eastAsia" w:ascii="宋体" w:hAnsi="宋体" w:eastAsia="宋体" w:cs="宋体"/>
          <w:spacing w:val="-3"/>
          <w:w w:val="99"/>
          <w:sz w:val="24"/>
          <w:szCs w:val="24"/>
          <w:u w:val="single"/>
        </w:rPr>
        <w:t xml:space="preserve">      </w:t>
      </w:r>
      <w:r>
        <w:rPr>
          <w:rFonts w:hint="eastAsia" w:ascii="宋体" w:hAnsi="宋体" w:eastAsia="宋体" w:cs="宋体"/>
          <w:kern w:val="0"/>
          <w:sz w:val="24"/>
          <w:szCs w:val="24"/>
        </w:rPr>
        <w:t xml:space="preserve">人，营业收入为 </w:t>
      </w:r>
      <w:r>
        <w:rPr>
          <w:rFonts w:hint="eastAsia" w:ascii="宋体" w:hAnsi="宋体" w:eastAsia="宋体" w:cs="宋体"/>
          <w:spacing w:val="-3"/>
          <w:w w:val="99"/>
          <w:sz w:val="24"/>
          <w:szCs w:val="24"/>
          <w:u w:val="single"/>
        </w:rPr>
        <w:t xml:space="preserve">           </w:t>
      </w:r>
      <w:r>
        <w:rPr>
          <w:rFonts w:hint="eastAsia" w:ascii="宋体" w:hAnsi="宋体" w:eastAsia="宋体" w:cs="宋体"/>
          <w:kern w:val="0"/>
          <w:sz w:val="24"/>
          <w:szCs w:val="24"/>
        </w:rPr>
        <w:t xml:space="preserve">万元，资产总额为 </w:t>
      </w:r>
      <w:r>
        <w:rPr>
          <w:rFonts w:hint="eastAsia" w:ascii="宋体" w:hAnsi="宋体" w:eastAsia="宋体" w:cs="宋体"/>
          <w:spacing w:val="-3"/>
          <w:w w:val="99"/>
          <w:sz w:val="24"/>
          <w:szCs w:val="24"/>
          <w:u w:val="single"/>
        </w:rPr>
        <w:t xml:space="preserve">      </w:t>
      </w:r>
      <w:r>
        <w:rPr>
          <w:rFonts w:hint="eastAsia" w:ascii="宋体" w:hAnsi="宋体" w:eastAsia="宋体" w:cs="宋体"/>
          <w:spacing w:val="-3"/>
          <w:w w:val="99"/>
          <w:sz w:val="24"/>
          <w:szCs w:val="24"/>
          <w:u w:val="single"/>
        </w:rPr>
        <w:tab/>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r>
        <w:rPr>
          <w:rFonts w:hint="eastAsia" w:ascii="宋体" w:hAnsi="宋体" w:eastAsia="宋体" w:cs="宋体"/>
          <w:spacing w:val="-3"/>
          <w:w w:val="99"/>
          <w:sz w:val="24"/>
          <w:szCs w:val="24"/>
        </w:rPr>
        <w:t>；</w:t>
      </w:r>
    </w:p>
    <w:p w14:paraId="428EEDF3">
      <w:pPr>
        <w:autoSpaceDE w:val="0"/>
        <w:autoSpaceDN w:val="0"/>
        <w:adjustRightInd w:val="0"/>
        <w:spacing w:line="360" w:lineRule="auto"/>
        <w:ind w:firstLine="480" w:firstLineChars="200"/>
        <w:rPr>
          <w:rFonts w:hint="eastAsia" w:ascii="宋体" w:hAnsi="宋体" w:eastAsia="宋体" w:cs="宋体"/>
          <w:kern w:val="0"/>
          <w:sz w:val="24"/>
          <w:szCs w:val="24"/>
        </w:rPr>
      </w:pPr>
    </w:p>
    <w:p w14:paraId="7AFB31C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p>
    <w:p w14:paraId="1A80B1E8">
      <w:pPr>
        <w:autoSpaceDE w:val="0"/>
        <w:autoSpaceDN w:val="0"/>
        <w:adjustRightInd w:val="0"/>
        <w:spacing w:line="360" w:lineRule="auto"/>
        <w:ind w:firstLine="480"/>
        <w:rPr>
          <w:rFonts w:hint="eastAsia" w:ascii="宋体" w:hAnsi="宋体" w:eastAsia="宋体" w:cs="宋体"/>
          <w:kern w:val="0"/>
          <w:sz w:val="24"/>
          <w:szCs w:val="24"/>
        </w:rPr>
      </w:pPr>
    </w:p>
    <w:p w14:paraId="75C61448">
      <w:pPr>
        <w:autoSpaceDE w:val="0"/>
        <w:autoSpaceDN w:val="0"/>
        <w:adjustRightIn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19FF3326">
      <w:pPr>
        <w:autoSpaceDE w:val="0"/>
        <w:autoSpaceDN w:val="0"/>
        <w:adjustRightIn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14:paraId="6B38175F">
      <w:pPr>
        <w:tabs>
          <w:tab w:val="right" w:pos="4890"/>
        </w:tabs>
        <w:autoSpaceDE w:val="0"/>
        <w:autoSpaceDN w:val="0"/>
        <w:spacing w:before="35" w:line="360" w:lineRule="auto"/>
        <w:ind w:right="2166"/>
        <w:jc w:val="left"/>
        <w:rPr>
          <w:rFonts w:hint="eastAsia" w:ascii="宋体" w:hAnsi="宋体" w:eastAsia="宋体" w:cs="宋体"/>
          <w:spacing w:val="-2"/>
          <w:sz w:val="24"/>
          <w:szCs w:val="24"/>
        </w:rPr>
      </w:pPr>
    </w:p>
    <w:p w14:paraId="0919D993">
      <w:pPr>
        <w:tabs>
          <w:tab w:val="right" w:pos="4890"/>
        </w:tabs>
        <w:autoSpaceDE w:val="0"/>
        <w:autoSpaceDN w:val="0"/>
        <w:spacing w:before="35" w:line="316" w:lineRule="auto"/>
        <w:ind w:right="2166"/>
        <w:jc w:val="left"/>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所属行业为：工业</w:t>
      </w:r>
    </w:p>
    <w:p w14:paraId="1F65BC2F">
      <w:pPr>
        <w:rPr>
          <w:rFonts w:hint="eastAsia" w:ascii="宋体" w:hAnsi="宋体" w:eastAsia="宋体" w:cs="宋体"/>
          <w:kern w:val="0"/>
          <w:sz w:val="24"/>
          <w:szCs w:val="24"/>
        </w:rPr>
      </w:pPr>
    </w:p>
    <w:p w14:paraId="6D88925B">
      <w:pPr>
        <w:tabs>
          <w:tab w:val="right" w:pos="4890"/>
        </w:tabs>
        <w:autoSpaceDE w:val="0"/>
        <w:autoSpaceDN w:val="0"/>
        <w:spacing w:before="35" w:line="316" w:lineRule="auto"/>
        <w:ind w:left="4060" w:right="2166"/>
        <w:jc w:val="left"/>
        <w:rPr>
          <w:rFonts w:hint="eastAsia" w:ascii="宋体" w:hAnsi="宋体" w:eastAsia="宋体" w:cs="宋体"/>
          <w:spacing w:val="-2"/>
          <w:sz w:val="24"/>
          <w:szCs w:val="24"/>
        </w:rPr>
      </w:pPr>
      <w:r>
        <w:rPr>
          <w:rFonts w:hint="eastAsia" w:ascii="宋体" w:hAnsi="宋体" w:eastAsia="宋体" w:cs="宋体"/>
          <w:spacing w:val="-2"/>
          <w:sz w:val="24"/>
          <w:szCs w:val="24"/>
        </w:rPr>
        <w:t>企业名称（盖章）：</w:t>
      </w:r>
    </w:p>
    <w:p w14:paraId="6540E63A">
      <w:pPr>
        <w:tabs>
          <w:tab w:val="right" w:pos="4890"/>
        </w:tabs>
        <w:autoSpaceDE w:val="0"/>
        <w:autoSpaceDN w:val="0"/>
        <w:spacing w:before="35" w:line="316" w:lineRule="auto"/>
        <w:ind w:left="4060" w:right="2166"/>
        <w:jc w:val="left"/>
        <w:rPr>
          <w:rFonts w:hint="eastAsia" w:ascii="宋体" w:hAnsi="宋体" w:eastAsia="宋体" w:cs="宋体"/>
          <w:spacing w:val="-2"/>
          <w:sz w:val="24"/>
          <w:szCs w:val="24"/>
        </w:rPr>
      </w:pPr>
      <w:r>
        <w:rPr>
          <w:rFonts w:hint="eastAsia" w:ascii="宋体" w:hAnsi="宋体" w:eastAsia="宋体" w:cs="宋体"/>
          <w:spacing w:val="-2"/>
          <w:sz w:val="24"/>
          <w:szCs w:val="24"/>
        </w:rPr>
        <w:t>日期：</w:t>
      </w:r>
    </w:p>
    <w:p w14:paraId="71BAA0DC">
      <w:pPr>
        <w:autoSpaceDE w:val="0"/>
        <w:autoSpaceDN w:val="0"/>
        <w:spacing w:line="480" w:lineRule="auto"/>
        <w:ind w:right="420"/>
        <w:jc w:val="left"/>
        <w:rPr>
          <w:rFonts w:ascii="宋体" w:hAnsi="宋体" w:cs="宋体"/>
          <w:spacing w:val="-3"/>
          <w:w w:val="99"/>
          <w:sz w:val="18"/>
          <w:szCs w:val="18"/>
        </w:rPr>
      </w:pPr>
    </w:p>
    <w:p w14:paraId="08A521BD">
      <w:pPr>
        <w:autoSpaceDE w:val="0"/>
        <w:autoSpaceDN w:val="0"/>
        <w:adjustRightIn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注：1 从业人员、营业收入、资产总额填报上一年度数据，无上一年度数据的新成立企业可不填报。</w:t>
      </w:r>
    </w:p>
    <w:p w14:paraId="56E95812">
      <w:pPr>
        <w:jc w:val="center"/>
        <w:rPr>
          <w:rFonts w:hint="eastAsia" w:ascii="宋体" w:hAnsi="宋体" w:eastAsia="宋体" w:cs="宋体"/>
          <w:b w:val="0"/>
          <w:bCs w:val="0"/>
          <w:kern w:val="2"/>
          <w:sz w:val="28"/>
          <w:szCs w:val="28"/>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bookmarkStart w:id="552" w:name="_Toc12160"/>
      <w:bookmarkStart w:id="553" w:name="_Toc11740"/>
      <w:bookmarkStart w:id="554" w:name="_Toc14211_WPSOffice_Level3"/>
      <w:r>
        <w:rPr>
          <w:rFonts w:hint="eastAsia" w:ascii="宋体" w:hAnsi="宋体" w:eastAsia="宋体" w:cs="宋体"/>
          <w:b w:val="0"/>
          <w:bCs w:val="0"/>
          <w:kern w:val="2"/>
          <w:sz w:val="28"/>
          <w:szCs w:val="28"/>
          <w:highlight w:val="none"/>
          <w:lang w:val="en-US" w:eastAsia="zh-CN" w:bidi="ar-SA"/>
        </w:rPr>
        <w:br w:type="page"/>
      </w:r>
    </w:p>
    <w:p w14:paraId="29CA27AB">
      <w:pPr>
        <w:jc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3.残疾人福利性单位声明函</w:t>
      </w:r>
      <w:bookmarkEnd w:id="552"/>
      <w:bookmarkEnd w:id="553"/>
      <w:bookmarkEnd w:id="554"/>
    </w:p>
    <w:p w14:paraId="6A21DA56">
      <w:pPr>
        <w:widowControl w:val="0"/>
        <w:wordWrap/>
        <w:adjustRightInd w:val="0"/>
        <w:snapToGrid w:val="0"/>
        <w:spacing w:line="560" w:lineRule="exact"/>
        <w:jc w:val="center"/>
        <w:textAlignment w:val="auto"/>
        <w:outlineLvl w:val="9"/>
        <w:rPr>
          <w:rFonts w:hint="eastAsia" w:ascii="宋体" w:hAnsi="宋体" w:eastAsia="宋体" w:cs="宋体"/>
          <w:spacing w:val="6"/>
          <w:sz w:val="28"/>
          <w:szCs w:val="28"/>
          <w:highlight w:val="none"/>
        </w:rPr>
      </w:pPr>
      <w:bookmarkStart w:id="555" w:name="_Toc12079_WPSOffice_Level3"/>
      <w:bookmarkStart w:id="556" w:name="_Toc17469_WPSOffice_Level3"/>
      <w:r>
        <w:rPr>
          <w:rFonts w:hint="eastAsia" w:ascii="宋体" w:hAnsi="宋体" w:eastAsia="宋体" w:cs="宋体"/>
          <w:b/>
          <w:spacing w:val="6"/>
          <w:sz w:val="28"/>
          <w:szCs w:val="28"/>
          <w:highlight w:val="none"/>
        </w:rPr>
        <w:t>(不属于残疾人福利性单位的无需填写)</w:t>
      </w:r>
      <w:bookmarkEnd w:id="555"/>
      <w:bookmarkEnd w:id="556"/>
    </w:p>
    <w:p w14:paraId="7F4043FC">
      <w:pPr>
        <w:widowControl w:val="0"/>
        <w:wordWrap/>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人，安置的残疾人人数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人。且本单位参加</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47A60827">
      <w:pPr>
        <w:widowControl w:val="0"/>
        <w:wordWrap/>
        <w:spacing w:line="560" w:lineRule="exact"/>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0BD52E5C">
      <w:pPr>
        <w:widowControl w:val="0"/>
        <w:wordWrap/>
        <w:adjustRightInd w:val="0"/>
        <w:snapToGrid w:val="0"/>
        <w:spacing w:line="560" w:lineRule="exact"/>
        <w:ind w:firstLine="504" w:firstLineChars="200"/>
        <w:textAlignment w:val="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242A1404">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bookmarkStart w:id="557" w:name="_Toc17628_WPSOffice_Level3"/>
    </w:p>
    <w:p w14:paraId="1ECFEA36">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p>
    <w:p w14:paraId="4402913C">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p>
    <w:p w14:paraId="613E3445">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557"/>
    </w:p>
    <w:p w14:paraId="18CB104C">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558" w:name="_Toc32124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558"/>
    </w:p>
    <w:p w14:paraId="04582954">
      <w:pPr>
        <w:wordWrap/>
        <w:spacing w:before="157" w:beforeLines="50" w:line="560" w:lineRule="exact"/>
        <w:ind w:firstLine="480" w:firstLineChars="200"/>
        <w:jc w:val="right"/>
        <w:outlineLvl w:val="9"/>
        <w:rPr>
          <w:rFonts w:hint="eastAsia" w:ascii="宋体" w:hAnsi="宋体" w:eastAsia="宋体" w:cs="宋体"/>
          <w:spacing w:val="6"/>
          <w:sz w:val="18"/>
          <w:szCs w:val="21"/>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bookmarkStart w:id="559" w:name="_Toc1871_WPSOffice_Level3"/>
      <w:r>
        <w:rPr>
          <w:rFonts w:hint="eastAsia" w:ascii="宋体" w:hAnsi="宋体" w:eastAsia="宋体" w:cs="宋体"/>
          <w:b w:val="0"/>
          <w:bCs/>
          <w:color w:val="000000"/>
          <w:sz w:val="24"/>
          <w:szCs w:val="24"/>
          <w:highlight w:val="none"/>
        </w:rPr>
        <w:t xml:space="preserve">年   月  </w:t>
      </w:r>
      <w:r>
        <w:rPr>
          <w:rFonts w:hint="eastAsia" w:ascii="宋体" w:hAnsi="宋体" w:eastAsia="宋体" w:cs="宋体"/>
          <w:b w:val="0"/>
          <w:bCs/>
          <w:color w:val="000000"/>
          <w:sz w:val="24"/>
          <w:szCs w:val="24"/>
          <w:highlight w:val="none"/>
          <w:lang w:eastAsia="zh-CN"/>
        </w:rPr>
        <w:t>日</w:t>
      </w:r>
      <w:bookmarkEnd w:id="559"/>
    </w:p>
    <w:p w14:paraId="285F0E24">
      <w:pPr>
        <w:widowControl w:val="0"/>
        <w:wordWrap/>
        <w:adjustRightInd w:val="0"/>
        <w:snapToGrid w:val="0"/>
        <w:spacing w:line="560" w:lineRule="exact"/>
        <w:ind w:firstLine="584" w:firstLineChars="200"/>
        <w:textAlignment w:val="auto"/>
        <w:outlineLvl w:val="9"/>
        <w:rPr>
          <w:rFonts w:hint="eastAsia" w:ascii="宋体" w:hAnsi="宋体" w:eastAsia="宋体" w:cs="宋体"/>
          <w:spacing w:val="6"/>
          <w:sz w:val="28"/>
          <w:szCs w:val="28"/>
          <w:highlight w:val="none"/>
        </w:rPr>
      </w:pPr>
    </w:p>
    <w:p w14:paraId="64FEF0F5">
      <w:pPr>
        <w:widowControl w:val="0"/>
        <w:wordWrap/>
        <w:adjustRightInd w:val="0"/>
        <w:snapToGrid w:val="0"/>
        <w:spacing w:line="560" w:lineRule="exact"/>
        <w:ind w:firstLine="584" w:firstLineChars="200"/>
        <w:textAlignment w:val="auto"/>
        <w:outlineLvl w:val="9"/>
        <w:rPr>
          <w:rFonts w:hint="eastAsia" w:ascii="宋体" w:hAnsi="宋体" w:eastAsia="宋体" w:cs="宋体"/>
          <w:spacing w:val="6"/>
          <w:sz w:val="28"/>
          <w:szCs w:val="28"/>
          <w:highlight w:val="none"/>
        </w:rPr>
      </w:pPr>
    </w:p>
    <w:p w14:paraId="3366A23F">
      <w:pPr>
        <w:wordWrap/>
        <w:adjustRightInd w:val="0"/>
        <w:snapToGrid w:val="0"/>
        <w:spacing w:before="157" w:beforeLines="50" w:line="560" w:lineRule="exact"/>
        <w:ind w:firstLine="424" w:firstLineChars="200"/>
        <w:outlineLvl w:val="9"/>
        <w:rPr>
          <w:rFonts w:hint="eastAsia" w:ascii="宋体" w:hAnsi="宋体" w:eastAsia="宋体" w:cs="宋体"/>
          <w:spacing w:val="6"/>
          <w:sz w:val="20"/>
          <w:szCs w:val="20"/>
          <w:highlight w:val="none"/>
        </w:rPr>
      </w:pPr>
    </w:p>
    <w:p w14:paraId="3C697CC5">
      <w:pPr>
        <w:wordWrap/>
        <w:spacing w:before="157" w:beforeLines="50" w:line="560" w:lineRule="exact"/>
        <w:jc w:val="both"/>
        <w:outlineLvl w:val="9"/>
        <w:rPr>
          <w:rFonts w:hint="eastAsia" w:ascii="宋体" w:hAnsi="宋体" w:eastAsia="宋体" w:cs="宋体"/>
          <w:b w:val="0"/>
          <w:bCs w:val="0"/>
          <w:kern w:val="2"/>
          <w:sz w:val="28"/>
          <w:szCs w:val="28"/>
          <w:highlight w:val="none"/>
          <w:lang w:val="en-US" w:eastAsia="zh-CN" w:bidi="ar-SA"/>
        </w:rPr>
      </w:pPr>
    </w:p>
    <w:p w14:paraId="660CFC29">
      <w:pPr>
        <w:rPr>
          <w:rFonts w:hint="eastAsia" w:ascii="宋体" w:hAnsi="宋体" w:eastAsia="宋体" w:cs="宋体"/>
          <w:b w:val="0"/>
          <w:bCs w:val="0"/>
          <w:kern w:val="2"/>
          <w:sz w:val="28"/>
          <w:szCs w:val="28"/>
          <w:highlight w:val="none"/>
          <w:lang w:val="en-US" w:eastAsia="zh-CN" w:bidi="ar-SA"/>
        </w:rPr>
      </w:pPr>
      <w:bookmarkStart w:id="560" w:name="_Toc30801"/>
      <w:bookmarkStart w:id="561" w:name="_Toc9477"/>
      <w:r>
        <w:rPr>
          <w:rFonts w:hint="eastAsia" w:ascii="宋体" w:hAnsi="宋体" w:eastAsia="宋体" w:cs="宋体"/>
          <w:b w:val="0"/>
          <w:bCs w:val="0"/>
          <w:kern w:val="2"/>
          <w:sz w:val="28"/>
          <w:szCs w:val="28"/>
          <w:highlight w:val="none"/>
          <w:lang w:val="en-US" w:eastAsia="zh-CN" w:bidi="ar-SA"/>
        </w:rPr>
        <w:br w:type="page"/>
      </w:r>
    </w:p>
    <w:p w14:paraId="56003246">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4.监狱企业证明资料</w:t>
      </w:r>
      <w:bookmarkEnd w:id="560"/>
      <w:bookmarkEnd w:id="561"/>
    </w:p>
    <w:p w14:paraId="14E2788B">
      <w:pPr>
        <w:widowControl w:val="0"/>
        <w:wordWrap/>
        <w:adjustRightInd w:val="0"/>
        <w:snapToGrid w:val="0"/>
        <w:spacing w:line="560" w:lineRule="exact"/>
        <w:jc w:val="center"/>
        <w:textAlignment w:val="auto"/>
        <w:outlineLvl w:val="9"/>
        <w:rPr>
          <w:rFonts w:hint="eastAsia" w:ascii="宋体" w:hAnsi="宋体" w:eastAsia="宋体" w:cs="宋体"/>
          <w:sz w:val="28"/>
          <w:szCs w:val="28"/>
          <w:highlight w:val="none"/>
        </w:rPr>
      </w:pPr>
      <w:bookmarkStart w:id="562" w:name="_Toc28022_WPSOffice_Level3"/>
      <w:bookmarkStart w:id="563" w:name="_Toc25903_WPSOffice_Level3"/>
      <w:r>
        <w:rPr>
          <w:rFonts w:hint="eastAsia" w:ascii="宋体" w:hAnsi="宋体" w:eastAsia="宋体" w:cs="宋体"/>
          <w:b/>
          <w:spacing w:val="6"/>
          <w:sz w:val="28"/>
          <w:szCs w:val="28"/>
          <w:highlight w:val="none"/>
        </w:rPr>
        <w:t>(不属于监狱企业的无需提供)</w:t>
      </w:r>
      <w:bookmarkEnd w:id="562"/>
      <w:bookmarkEnd w:id="563"/>
    </w:p>
    <w:p w14:paraId="2C0C6F9C">
      <w:pPr>
        <w:widowControl w:val="0"/>
        <w:wordWrap/>
        <w:adjustRightInd w:val="0"/>
        <w:snapToGrid w:val="0"/>
        <w:spacing w:line="560" w:lineRule="exact"/>
        <w:ind w:firstLine="504" w:firstLineChars="200"/>
        <w:textAlignment w:val="auto"/>
        <w:outlineLvl w:val="9"/>
        <w:rPr>
          <w:rFonts w:hint="eastAsia" w:ascii="宋体" w:hAnsi="宋体" w:eastAsia="宋体" w:cs="宋体"/>
          <w:sz w:val="24"/>
          <w:szCs w:val="24"/>
          <w:highlight w:val="none"/>
        </w:rPr>
      </w:pPr>
      <w:r>
        <w:rPr>
          <w:rFonts w:hint="eastAsia" w:ascii="宋体" w:hAnsi="宋体" w:eastAsia="宋体" w:cs="宋体"/>
          <w:bCs/>
          <w:spacing w:val="6"/>
          <w:kern w:val="0"/>
          <w:sz w:val="24"/>
          <w:szCs w:val="24"/>
          <w:highlight w:val="none"/>
        </w:rPr>
        <w:t>备注：</w:t>
      </w:r>
      <w:r>
        <w:rPr>
          <w:rFonts w:hint="eastAsia" w:ascii="宋体" w:hAnsi="宋体" w:eastAsia="宋体" w:cs="宋体"/>
          <w:sz w:val="24"/>
          <w:szCs w:val="24"/>
          <w:highlight w:val="none"/>
        </w:rPr>
        <w:t>按</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财政部 司法部关于政府采购支持监狱企业发展有关问题的通知</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(财库〔2014〕68号)文件规定提供证明文件（复印件）。</w:t>
      </w:r>
    </w:p>
    <w:p w14:paraId="4276E49E">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 xml:space="preserve">              </w:t>
      </w:r>
    </w:p>
    <w:p w14:paraId="7CD931F6">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2888A9BD">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55480785">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7028FA85">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1D924984">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51245AE8">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bookmarkStart w:id="564" w:name="_Toc22071_WPSOffice_Level3"/>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564"/>
    </w:p>
    <w:p w14:paraId="27C92D61">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565" w:name="_Toc11539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565"/>
    </w:p>
    <w:p w14:paraId="2FDC3A1B">
      <w:pPr>
        <w:wordWrap/>
        <w:spacing w:before="157" w:beforeLines="50" w:line="560" w:lineRule="exact"/>
        <w:ind w:firstLine="480" w:firstLineChars="200"/>
        <w:jc w:val="right"/>
        <w:outlineLvl w:val="9"/>
        <w:rPr>
          <w:rFonts w:hint="eastAsia" w:ascii="宋体" w:hAnsi="宋体" w:eastAsia="宋体" w:cs="宋体"/>
          <w:spacing w:val="6"/>
          <w:sz w:val="18"/>
          <w:szCs w:val="21"/>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bookmarkStart w:id="566" w:name="_Toc3285_WPSOffice_Level3"/>
      <w:r>
        <w:rPr>
          <w:rFonts w:hint="eastAsia" w:ascii="宋体" w:hAnsi="宋体" w:eastAsia="宋体" w:cs="宋体"/>
          <w:b w:val="0"/>
          <w:bCs/>
          <w:color w:val="000000"/>
          <w:sz w:val="24"/>
          <w:szCs w:val="24"/>
          <w:highlight w:val="none"/>
        </w:rPr>
        <w:t xml:space="preserve">年   月  </w:t>
      </w:r>
      <w:r>
        <w:rPr>
          <w:rFonts w:hint="eastAsia" w:ascii="宋体" w:hAnsi="宋体" w:eastAsia="宋体" w:cs="宋体"/>
          <w:b w:val="0"/>
          <w:bCs/>
          <w:color w:val="000000"/>
          <w:sz w:val="24"/>
          <w:szCs w:val="24"/>
          <w:highlight w:val="none"/>
          <w:lang w:eastAsia="zh-CN"/>
        </w:rPr>
        <w:t>日</w:t>
      </w:r>
      <w:bookmarkEnd w:id="566"/>
    </w:p>
    <w:p w14:paraId="26810099">
      <w:pPr>
        <w:widowControl w:val="0"/>
        <w:wordWrap/>
        <w:adjustRightInd w:val="0"/>
        <w:snapToGrid w:val="0"/>
        <w:spacing w:line="560" w:lineRule="exact"/>
        <w:ind w:firstLine="560" w:firstLineChars="200"/>
        <w:textAlignment w:val="auto"/>
        <w:rPr>
          <w:rFonts w:hint="eastAsia" w:ascii="宋体" w:hAnsi="宋体" w:eastAsia="宋体" w:cs="宋体"/>
          <w:sz w:val="28"/>
          <w:szCs w:val="28"/>
          <w:highlight w:val="none"/>
        </w:rPr>
      </w:pPr>
    </w:p>
    <w:p w14:paraId="019273B9">
      <w:pPr>
        <w:wordWrap/>
        <w:adjustRightInd w:val="0"/>
        <w:snapToGrid w:val="0"/>
        <w:spacing w:before="157" w:beforeLines="50" w:line="560" w:lineRule="exact"/>
        <w:rPr>
          <w:rFonts w:hint="eastAsia" w:ascii="宋体" w:hAnsi="宋体" w:eastAsia="宋体" w:cs="宋体"/>
          <w:sz w:val="20"/>
          <w:szCs w:val="22"/>
          <w:highlight w:val="none"/>
        </w:rPr>
      </w:pPr>
    </w:p>
    <w:p w14:paraId="2D26B3C7">
      <w:pPr>
        <w:wordWrap/>
        <w:adjustRightInd w:val="0"/>
        <w:snapToGrid w:val="0"/>
        <w:spacing w:before="157" w:beforeLines="50" w:line="560" w:lineRule="exact"/>
        <w:rPr>
          <w:rFonts w:hint="eastAsia" w:ascii="宋体" w:hAnsi="宋体" w:eastAsia="宋体" w:cs="宋体"/>
          <w:sz w:val="20"/>
          <w:szCs w:val="22"/>
          <w:highlight w:val="none"/>
        </w:rPr>
      </w:pPr>
    </w:p>
    <w:p w14:paraId="49E99DB4">
      <w:pPr>
        <w:wordWrap/>
        <w:adjustRightInd w:val="0"/>
        <w:snapToGrid w:val="0"/>
        <w:spacing w:before="157" w:beforeLines="50" w:line="560" w:lineRule="exact"/>
        <w:rPr>
          <w:rFonts w:hint="eastAsia" w:ascii="宋体" w:hAnsi="宋体" w:eastAsia="宋体" w:cs="宋体"/>
          <w:sz w:val="20"/>
          <w:szCs w:val="22"/>
          <w:highlight w:val="none"/>
        </w:rPr>
      </w:pPr>
    </w:p>
    <w:p w14:paraId="59A29FB8">
      <w:pPr>
        <w:wordWrap/>
        <w:adjustRightInd w:val="0"/>
        <w:snapToGrid w:val="0"/>
        <w:spacing w:before="157" w:beforeLines="50" w:line="560" w:lineRule="exact"/>
        <w:rPr>
          <w:rFonts w:hint="eastAsia" w:ascii="宋体" w:hAnsi="宋体" w:eastAsia="宋体" w:cs="宋体"/>
          <w:sz w:val="20"/>
          <w:szCs w:val="22"/>
          <w:highlight w:val="none"/>
        </w:rPr>
      </w:pPr>
    </w:p>
    <w:p w14:paraId="0D3AF081">
      <w:pPr>
        <w:rPr>
          <w:rFonts w:hint="eastAsia" w:ascii="宋体" w:hAnsi="宋体" w:eastAsia="宋体" w:cs="宋体"/>
          <w:b/>
          <w:bCs w:val="0"/>
          <w:color w:val="000000"/>
          <w:kern w:val="2"/>
          <w:sz w:val="28"/>
          <w:szCs w:val="28"/>
          <w:highlight w:val="none"/>
          <w:lang w:val="en-US" w:eastAsia="zh-CN" w:bidi="ar-SA"/>
        </w:rPr>
      </w:pPr>
      <w:bookmarkStart w:id="567" w:name="_Toc12068_WPSOffice_Level3"/>
      <w:bookmarkStart w:id="568" w:name="_Toc23033_WPSOffice_Level3"/>
      <w:bookmarkStart w:id="569" w:name="_Toc21346"/>
      <w:r>
        <w:rPr>
          <w:rFonts w:hint="eastAsia" w:ascii="宋体" w:hAnsi="宋体" w:eastAsia="宋体" w:cs="宋体"/>
          <w:b/>
          <w:bCs w:val="0"/>
          <w:color w:val="000000"/>
          <w:kern w:val="2"/>
          <w:sz w:val="28"/>
          <w:szCs w:val="28"/>
          <w:highlight w:val="none"/>
          <w:lang w:val="en-US" w:eastAsia="zh-CN" w:bidi="ar-SA"/>
        </w:rPr>
        <w:br w:type="page"/>
      </w:r>
    </w:p>
    <w:p w14:paraId="4A818E8E">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7F12E3E4">
      <w:pPr>
        <w:pStyle w:val="3"/>
        <w:bidi w:val="0"/>
        <w:jc w:val="center"/>
        <w:rPr>
          <w:rFonts w:hint="eastAsia" w:ascii="宋体" w:hAnsi="宋体" w:eastAsia="宋体" w:cs="宋体"/>
          <w:color w:val="000000"/>
          <w:kern w:val="0"/>
          <w:sz w:val="24"/>
          <w:szCs w:val="24"/>
          <w:highlight w:val="none"/>
        </w:rPr>
      </w:pPr>
      <w:bookmarkStart w:id="570" w:name="_Toc30506"/>
      <w:bookmarkStart w:id="571" w:name="_Toc7943"/>
      <w:bookmarkStart w:id="572" w:name="_Toc716"/>
      <w:r>
        <w:rPr>
          <w:rFonts w:hint="eastAsia"/>
        </w:rPr>
        <w:t>关于符合本国产品标准的声明函</w:t>
      </w:r>
      <w:bookmarkEnd w:id="570"/>
      <w:bookmarkEnd w:id="571"/>
      <w:bookmarkEnd w:id="572"/>
    </w:p>
    <w:p w14:paraId="43112A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A5EB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1.（产品名称1）</w:t>
      </w:r>
      <w:r>
        <w:rPr>
          <w:rFonts w:hint="eastAsia" w:ascii="宋体" w:hAnsi="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，生产厂为（厂名）</w:t>
      </w:r>
      <w:r>
        <w:rPr>
          <w:rFonts w:hint="eastAsia" w:ascii="宋体" w:hAnsi="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，厂址为（生产厂址）</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（规定比例）</w:t>
      </w:r>
      <w:r>
        <w:rPr>
          <w:rFonts w:hint="eastAsia" w:ascii="宋体" w:hAnsi="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的（关键组件）</w:t>
      </w: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在中国境内生产。（产品名称1）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的（关键工序）</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62461B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，生产厂为（厂名）</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，厂址为（生产厂址）</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（规定比例）。（产品名称2）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的（关键组件）</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在中国境内生产。（产品名称2）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的（关键工序）</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612EA1A0">
      <w:pPr>
        <w:spacing w:line="360" w:lineRule="auto"/>
        <w:rPr>
          <w:rFonts w:hint="eastAsia" w:ascii="宋体" w:hAnsi="宋体" w:eastAsia="宋体" w:cs="宋体"/>
          <w:color w:val="000000"/>
          <w:kern w:val="0"/>
          <w:sz w:val="24"/>
          <w:szCs w:val="24"/>
          <w:highlight w:val="none"/>
        </w:rPr>
      </w:pPr>
    </w:p>
    <w:p w14:paraId="0AE5111E">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本公司（单位）对上述声明内容的真实性负责。如有虚假，愿承担相应法律责任。</w:t>
      </w:r>
    </w:p>
    <w:p w14:paraId="46CED12C">
      <w:pPr>
        <w:spacing w:line="360" w:lineRule="auto"/>
        <w:rPr>
          <w:rFonts w:hint="eastAsia" w:ascii="宋体" w:hAnsi="宋体" w:eastAsia="宋体" w:cs="宋体"/>
          <w:color w:val="000000"/>
          <w:kern w:val="0"/>
          <w:sz w:val="24"/>
          <w:szCs w:val="24"/>
          <w:highlight w:val="none"/>
        </w:rPr>
      </w:pPr>
    </w:p>
    <w:p w14:paraId="0A4882AC">
      <w:pPr>
        <w:spacing w:line="360" w:lineRule="auto"/>
        <w:jc w:val="righ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公司（单位）名称（盖章）：</w:t>
      </w:r>
    </w:p>
    <w:p w14:paraId="77CFAB0E">
      <w:pPr>
        <w:spacing w:line="360" w:lineRule="auto"/>
        <w:jc w:val="righ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日期：</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日</w:t>
      </w:r>
    </w:p>
    <w:p w14:paraId="1087192D">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1.产品如有型号，请在“产品名称”栏一并填写。</w:t>
      </w:r>
    </w:p>
    <w:p w14:paraId="1D4AFF26">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2.生产厂名与厂址应与生产厂营业执照载明的相关信息保持一致。</w:t>
      </w:r>
    </w:p>
    <w:p w14:paraId="5015A4C4">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3.该产品的中国境内生产的组件成本占比相关要求实施前，“规定比例”栏可不填，下同。</w:t>
      </w:r>
    </w:p>
    <w:p w14:paraId="3AE3AED9">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4.该产品的关键组件要求实施前，“关键组件”栏可不填，下同。</w:t>
      </w:r>
    </w:p>
    <w:p w14:paraId="58C19967">
      <w:pPr>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rPr>
        <w:t>5.该产品的关键工序要求实施前，“关键工序”栏可不填，下同。</w:t>
      </w:r>
    </w:p>
    <w:p w14:paraId="6D89D650">
      <w:pPr>
        <w:keepNext w:val="0"/>
        <w:keepLines w:val="0"/>
        <w:pageBreakBefore/>
        <w:widowControl w:val="0"/>
        <w:kinsoku/>
        <w:wordWrap/>
        <w:overflowPunct/>
        <w:topLinePunct w:val="0"/>
        <w:autoSpaceDE/>
        <w:autoSpaceDN/>
        <w:bidi w:val="0"/>
        <w:adjustRightInd/>
        <w:snapToGrid/>
        <w:ind w:firstLine="0" w:firstLineChars="0"/>
        <w:textAlignment w:val="auto"/>
        <w:outlineLvl w:val="1"/>
        <w:rPr>
          <w:rFonts w:hint="eastAsia" w:ascii="宋体" w:hAnsi="宋体" w:cs="宋体"/>
          <w:b/>
          <w:color w:val="auto"/>
          <w:sz w:val="28"/>
          <w:szCs w:val="28"/>
          <w:highlight w:val="none"/>
        </w:rPr>
        <w:sectPr>
          <w:pgSz w:w="11906" w:h="16838"/>
          <w:pgMar w:top="1440" w:right="1800" w:bottom="1440" w:left="1800" w:header="851" w:footer="992" w:gutter="0"/>
          <w:pgNumType w:fmt="numberInDash"/>
          <w:cols w:space="425" w:num="1"/>
          <w:docGrid w:type="lines" w:linePitch="312" w:charSpace="0"/>
        </w:sectPr>
      </w:pPr>
    </w:p>
    <w:p w14:paraId="1D6A0E82">
      <w:pPr>
        <w:keepNext w:val="0"/>
        <w:keepLines w:val="0"/>
        <w:pageBreakBefore/>
        <w:widowControl w:val="0"/>
        <w:kinsoku/>
        <w:wordWrap/>
        <w:overflowPunct/>
        <w:topLinePunct w:val="0"/>
        <w:autoSpaceDE/>
        <w:autoSpaceDN/>
        <w:bidi w:val="0"/>
        <w:adjustRightInd/>
        <w:snapToGrid/>
        <w:ind w:firstLine="0" w:firstLineChars="0"/>
        <w:textAlignment w:val="auto"/>
        <w:outlineLvl w:val="1"/>
        <w:rPr>
          <w:rFonts w:hint="eastAsia" w:ascii="宋体" w:hAnsi="宋体" w:cs="宋体"/>
          <w:b/>
          <w:color w:val="auto"/>
          <w:sz w:val="28"/>
          <w:szCs w:val="28"/>
          <w:highlight w:val="none"/>
        </w:rPr>
      </w:pPr>
      <w:bookmarkStart w:id="573" w:name="_Toc5971"/>
      <w:bookmarkStart w:id="574" w:name="_Toc31595"/>
      <w:r>
        <w:rPr>
          <w:rFonts w:hint="eastAsia" w:ascii="宋体" w:hAnsi="宋体" w:cs="宋体"/>
          <w:b/>
          <w:color w:val="auto"/>
          <w:sz w:val="28"/>
          <w:szCs w:val="28"/>
          <w:highlight w:val="none"/>
        </w:rPr>
        <w:t>附件</w:t>
      </w:r>
      <w:r>
        <w:rPr>
          <w:rFonts w:hint="eastAsia" w:ascii="宋体" w:hAnsi="宋体" w:cs="宋体"/>
          <w:b/>
          <w:color w:val="auto"/>
          <w:sz w:val="28"/>
          <w:szCs w:val="28"/>
          <w:highlight w:val="none"/>
          <w:lang w:val="en-US" w:eastAsia="zh-CN"/>
        </w:rPr>
        <w:t>16</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供应商</w:t>
      </w:r>
      <w:r>
        <w:rPr>
          <w:rFonts w:hint="eastAsia" w:ascii="宋体" w:hAnsi="宋体" w:cs="宋体"/>
          <w:b/>
          <w:color w:val="auto"/>
          <w:sz w:val="28"/>
          <w:szCs w:val="28"/>
          <w:highlight w:val="none"/>
        </w:rPr>
        <w:t>在其他方面有必要说明的事项</w:t>
      </w:r>
      <w:bookmarkEnd w:id="573"/>
      <w:bookmarkEnd w:id="574"/>
    </w:p>
    <w:p w14:paraId="68F51562">
      <w:pPr>
        <w:ind w:firstLine="723"/>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63DD856E">
      <w:pPr>
        <w:ind w:firstLine="723"/>
        <w:jc w:val="center"/>
        <w:rPr>
          <w:rFonts w:hint="eastAsia" w:ascii="宋体" w:hAnsi="宋体" w:cs="宋体"/>
          <w:b/>
          <w:color w:val="auto"/>
          <w:sz w:val="28"/>
          <w:szCs w:val="28"/>
          <w:highlight w:val="none"/>
        </w:rPr>
      </w:pPr>
      <w:r>
        <w:rPr>
          <w:rFonts w:hint="eastAsia" w:ascii="宋体" w:hAnsi="宋体" w:eastAsia="宋体" w:cs="Times New Roman"/>
          <w:b/>
          <w:color w:val="auto"/>
          <w:highlight w:val="none"/>
          <w:lang w:val="en-US" w:eastAsia="zh-CN"/>
        </w:rPr>
        <w:t>供应商</w:t>
      </w:r>
      <w:r>
        <w:rPr>
          <w:rFonts w:hint="eastAsia" w:ascii="宋体" w:hAnsi="宋体"/>
          <w:b/>
          <w:color w:val="auto"/>
          <w:highlight w:val="none"/>
        </w:rPr>
        <w:t>在其他方面有必要说明的事项</w:t>
      </w:r>
    </w:p>
    <w:p w14:paraId="28E90EE9">
      <w:pPr>
        <w:ind w:firstLine="480"/>
        <w:rPr>
          <w:rFonts w:hint="eastAsia" w:ascii="宋体" w:hAnsi="宋体" w:cs="宋体"/>
          <w:color w:val="auto"/>
          <w:sz w:val="24"/>
          <w:szCs w:val="24"/>
          <w:highlight w:val="none"/>
        </w:rPr>
      </w:pPr>
    </w:p>
    <w:p w14:paraId="7ADF3632">
      <w:pPr>
        <w:spacing w:line="540" w:lineRule="exact"/>
        <w:ind w:firstLine="480"/>
        <w:rPr>
          <w:rFonts w:hint="eastAsia" w:ascii="宋体" w:hAnsi="宋体" w:cs="宋体"/>
          <w:b/>
          <w:color w:val="auto"/>
          <w:sz w:val="24"/>
          <w:szCs w:val="24"/>
          <w:highlight w:val="none"/>
        </w:rPr>
      </w:pPr>
      <w:r>
        <w:rPr>
          <w:rFonts w:hint="eastAsia" w:ascii="宋体" w:hAnsi="Cambria" w:cs="宋体"/>
          <w:color w:val="auto"/>
          <w:kern w:val="0"/>
          <w:sz w:val="24"/>
          <w:szCs w:val="24"/>
          <w:highlight w:val="none"/>
          <w:lang w:val="en-US" w:eastAsia="zh-CN"/>
        </w:rPr>
        <w:t>供应商</w:t>
      </w:r>
      <w:r>
        <w:rPr>
          <w:rFonts w:hint="eastAsia" w:ascii="宋体" w:hAnsi="Cambria" w:cs="宋体"/>
          <w:color w:val="auto"/>
          <w:kern w:val="0"/>
          <w:sz w:val="24"/>
          <w:szCs w:val="24"/>
          <w:highlight w:val="none"/>
          <w:lang w:val="zh-CN"/>
        </w:rPr>
        <w:t>在参加本项目投标中根据</w:t>
      </w:r>
      <w:r>
        <w:rPr>
          <w:rFonts w:hint="eastAsia" w:ascii="宋体" w:hAnsi="Cambria" w:cs="宋体"/>
          <w:color w:val="auto"/>
          <w:kern w:val="0"/>
          <w:sz w:val="24"/>
          <w:szCs w:val="24"/>
          <w:highlight w:val="none"/>
          <w:lang w:val="en-US" w:eastAsia="zh-CN"/>
        </w:rPr>
        <w:t>谈判</w:t>
      </w:r>
      <w:r>
        <w:rPr>
          <w:rFonts w:hint="eastAsia" w:ascii="宋体" w:hAnsi="Cambria" w:cs="宋体"/>
          <w:color w:val="auto"/>
          <w:kern w:val="0"/>
          <w:sz w:val="24"/>
          <w:szCs w:val="24"/>
          <w:highlight w:val="none"/>
          <w:lang w:val="zh-CN"/>
        </w:rPr>
        <w:t>文件的要求认为需要说明的事项，但不做为评标依据。如没有说明事项，此项可忽略。（格式可自定）</w:t>
      </w:r>
    </w:p>
    <w:p w14:paraId="79AA7499">
      <w:pPr>
        <w:widowControl/>
        <w:wordWrap/>
        <w:snapToGrid w:val="0"/>
        <w:spacing w:before="157" w:beforeLines="50" w:line="560" w:lineRule="exact"/>
        <w:outlineLvl w:val="1"/>
        <w:rPr>
          <w:rFonts w:hint="eastAsia" w:ascii="宋体" w:hAnsi="宋体" w:eastAsia="宋体" w:cs="宋体"/>
          <w:b/>
          <w:bCs w:val="0"/>
          <w:color w:val="000000"/>
          <w:kern w:val="2"/>
          <w:sz w:val="24"/>
          <w:szCs w:val="24"/>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37ABC3DB">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575" w:name="_Toc9689"/>
      <w:bookmarkStart w:id="576" w:name="_Toc8076"/>
      <w:r>
        <w:rPr>
          <w:rFonts w:hint="eastAsia" w:ascii="宋体" w:hAnsi="宋体" w:eastAsia="宋体" w:cs="宋体"/>
          <w:b/>
          <w:bCs w:val="0"/>
          <w:color w:val="000000"/>
          <w:kern w:val="2"/>
          <w:sz w:val="28"/>
          <w:szCs w:val="28"/>
          <w:highlight w:val="none"/>
          <w:lang w:val="en-US" w:eastAsia="zh-CN" w:bidi="ar-SA"/>
        </w:rPr>
        <w:t>附件1</w:t>
      </w:r>
      <w:r>
        <w:rPr>
          <w:rFonts w:hint="eastAsia" w:ascii="宋体" w:hAnsi="宋体" w:cs="宋体"/>
          <w:b/>
          <w:bCs w:val="0"/>
          <w:color w:val="000000"/>
          <w:kern w:val="2"/>
          <w:sz w:val="28"/>
          <w:szCs w:val="28"/>
          <w:highlight w:val="none"/>
          <w:lang w:val="en-US" w:eastAsia="zh-CN" w:bidi="ar-SA"/>
        </w:rPr>
        <w:t>7</w:t>
      </w:r>
      <w:r>
        <w:rPr>
          <w:rFonts w:hint="eastAsia" w:ascii="宋体" w:hAnsi="宋体" w:eastAsia="宋体" w:cs="宋体"/>
          <w:b/>
          <w:bCs w:val="0"/>
          <w:color w:val="000000"/>
          <w:kern w:val="2"/>
          <w:sz w:val="28"/>
          <w:szCs w:val="28"/>
          <w:highlight w:val="none"/>
          <w:lang w:val="en-US" w:eastAsia="zh-CN" w:bidi="ar-SA"/>
        </w:rPr>
        <w:t>：最后报价表</w:t>
      </w:r>
      <w:bookmarkEnd w:id="567"/>
      <w:bookmarkEnd w:id="568"/>
      <w:bookmarkEnd w:id="569"/>
      <w:bookmarkEnd w:id="575"/>
      <w:bookmarkEnd w:id="576"/>
    </w:p>
    <w:p w14:paraId="3A2E9FA0">
      <w:pPr>
        <w:spacing w:before="215"/>
        <w:ind w:left="808" w:right="811" w:firstLine="0"/>
        <w:jc w:val="center"/>
        <w:rPr>
          <w:b/>
          <w:sz w:val="28"/>
        </w:rPr>
      </w:pPr>
      <w:r>
        <w:rPr>
          <w:rFonts w:hint="eastAsia" w:ascii="宋体" w:hAnsi="宋体" w:eastAsia="宋体" w:cs="宋体"/>
          <w:b/>
          <w:bCs w:val="0"/>
          <w:color w:val="000000"/>
          <w:kern w:val="2"/>
          <w:sz w:val="28"/>
          <w:szCs w:val="28"/>
          <w:highlight w:val="none"/>
          <w:lang w:val="en-US" w:eastAsia="zh-CN" w:bidi="ar-SA"/>
        </w:rPr>
        <w:t>最后报价表</w:t>
      </w:r>
    </w:p>
    <w:p w14:paraId="2D06664B">
      <w:pPr>
        <w:pStyle w:val="5"/>
        <w:spacing w:before="6"/>
        <w:rPr>
          <w:b/>
          <w:sz w:val="11"/>
        </w:rPr>
      </w:pPr>
    </w:p>
    <w:p w14:paraId="5D3D31C5">
      <w:pPr>
        <w:wordWrap/>
        <w:spacing w:before="157" w:beforeLines="50" w:line="560" w:lineRule="exact"/>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本表在谈判结束后单独填写并提交）</w:t>
      </w:r>
    </w:p>
    <w:p w14:paraId="3624F19C">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 </w:t>
      </w:r>
    </w:p>
    <w:tbl>
      <w:tblPr>
        <w:tblStyle w:val="19"/>
        <w:tblpPr w:leftFromText="180" w:rightFromText="180" w:vertAnchor="text" w:horzAnchor="page" w:tblpX="1890" w:tblpY="64"/>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4014"/>
        <w:gridCol w:w="1877"/>
      </w:tblGrid>
      <w:tr w14:paraId="41FC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687" w:type="dxa"/>
            <w:vAlign w:val="center"/>
          </w:tcPr>
          <w:p w14:paraId="0AEBC322">
            <w:pPr>
              <w:wordWrap/>
              <w:spacing w:before="157" w:beforeLines="50" w:line="560" w:lineRule="exact"/>
              <w:ind w:firstLine="240" w:firstLineChars="100"/>
              <w:jc w:val="center"/>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最初报价</w:t>
            </w:r>
          </w:p>
        </w:tc>
        <w:tc>
          <w:tcPr>
            <w:tcW w:w="4014" w:type="dxa"/>
            <w:vAlign w:val="center"/>
          </w:tcPr>
          <w:p w14:paraId="2E417372">
            <w:pPr>
              <w:wordWrap/>
              <w:spacing w:before="157" w:beforeLines="50" w:line="560" w:lineRule="exact"/>
              <w:ind w:firstLine="240" w:firstLineChars="100"/>
              <w:jc w:val="center"/>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最后报价</w:t>
            </w:r>
          </w:p>
        </w:tc>
        <w:tc>
          <w:tcPr>
            <w:tcW w:w="1877" w:type="dxa"/>
            <w:vAlign w:val="center"/>
          </w:tcPr>
          <w:p w14:paraId="635C72B9">
            <w:pPr>
              <w:wordWrap/>
              <w:spacing w:before="157" w:beforeLines="50" w:line="560" w:lineRule="exact"/>
              <w:ind w:firstLine="240" w:firstLineChars="100"/>
              <w:jc w:val="center"/>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交货期</w:t>
            </w:r>
          </w:p>
        </w:tc>
      </w:tr>
      <w:tr w14:paraId="7C60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687" w:type="dxa"/>
            <w:vAlign w:val="top"/>
          </w:tcPr>
          <w:p w14:paraId="7CED717B">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大写：</w:t>
            </w:r>
          </w:p>
        </w:tc>
        <w:tc>
          <w:tcPr>
            <w:tcW w:w="4014" w:type="dxa"/>
            <w:vAlign w:val="top"/>
          </w:tcPr>
          <w:p w14:paraId="587B92AD">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大写：</w:t>
            </w:r>
          </w:p>
        </w:tc>
        <w:tc>
          <w:tcPr>
            <w:tcW w:w="1877" w:type="dxa"/>
            <w:vMerge w:val="restart"/>
            <w:vAlign w:val="center"/>
          </w:tcPr>
          <w:p w14:paraId="1368C0C4">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p>
        </w:tc>
      </w:tr>
      <w:tr w14:paraId="5A38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687" w:type="dxa"/>
            <w:vAlign w:val="top"/>
          </w:tcPr>
          <w:p w14:paraId="093F5762">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小写：</w:t>
            </w:r>
          </w:p>
        </w:tc>
        <w:tc>
          <w:tcPr>
            <w:tcW w:w="4014" w:type="dxa"/>
            <w:vAlign w:val="top"/>
          </w:tcPr>
          <w:p w14:paraId="78DEF9A3">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小写：</w:t>
            </w:r>
          </w:p>
        </w:tc>
        <w:tc>
          <w:tcPr>
            <w:tcW w:w="1877" w:type="dxa"/>
            <w:vMerge w:val="continue"/>
            <w:vAlign w:val="center"/>
          </w:tcPr>
          <w:p w14:paraId="5FA51D5D">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p>
        </w:tc>
      </w:tr>
    </w:tbl>
    <w:p w14:paraId="5177E335">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color w:val="000000"/>
          <w:sz w:val="21"/>
          <w:szCs w:val="21"/>
          <w:highlight w:val="none"/>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p>
    <w:p w14:paraId="622FC932">
      <w:pPr>
        <w:jc w:val="right"/>
        <w:rPr>
          <w:rFonts w:hint="eastAsia" w:ascii="宋体" w:hAnsi="宋体" w:eastAsia="宋体" w:cs="宋体"/>
          <w:b w:val="0"/>
          <w:bCs/>
          <w:color w:val="000000"/>
          <w:sz w:val="24"/>
          <w:szCs w:val="24"/>
          <w:highlight w:val="none"/>
        </w:rPr>
      </w:pPr>
    </w:p>
    <w:p w14:paraId="082E72B9">
      <w:pPr>
        <w:widowControl/>
        <w:jc w:val="left"/>
        <w:rPr>
          <w:rFonts w:hint="eastAsia" w:ascii="宋体" w:hAnsi="宋体"/>
          <w:color w:val="000000"/>
          <w:sz w:val="24"/>
          <w:highlight w:val="none"/>
        </w:rPr>
      </w:pPr>
      <w:r>
        <w:rPr>
          <w:rFonts w:hint="eastAsia" w:ascii="宋体" w:hAnsi="宋体"/>
          <w:color w:val="000000"/>
          <w:sz w:val="24"/>
          <w:highlight w:val="none"/>
        </w:rPr>
        <w:t>注</w:t>
      </w:r>
      <w:r>
        <w:rPr>
          <w:rFonts w:ascii="宋体" w:hAnsi="宋体"/>
          <w:color w:val="000000"/>
          <w:sz w:val="24"/>
          <w:highlight w:val="none"/>
        </w:rPr>
        <w:t>：</w:t>
      </w:r>
      <w:r>
        <w:rPr>
          <w:rFonts w:hint="eastAsia" w:ascii="宋体" w:hAnsi="宋体" w:cs="宋体"/>
          <w:color w:val="000000"/>
          <w:kern w:val="0"/>
          <w:sz w:val="24"/>
          <w:highlight w:val="none"/>
        </w:rPr>
        <w:t>此表不需编制在响应文件中，在谈判期间，由谈判小组确定合格的供应商</w:t>
      </w:r>
      <w:r>
        <w:rPr>
          <w:rFonts w:hint="eastAsia" w:ascii="宋体" w:hAnsi="宋体" w:cs="宋体"/>
          <w:color w:val="000000"/>
          <w:kern w:val="0"/>
          <w:sz w:val="24"/>
          <w:highlight w:val="none"/>
          <w:lang w:val="en-US" w:eastAsia="zh-CN"/>
        </w:rPr>
        <w:t>后</w:t>
      </w:r>
      <w:r>
        <w:rPr>
          <w:rFonts w:hint="eastAsia" w:ascii="宋体" w:hAnsi="宋体" w:cs="宋体"/>
          <w:color w:val="000000"/>
          <w:kern w:val="0"/>
          <w:sz w:val="24"/>
          <w:highlight w:val="none"/>
        </w:rPr>
        <w:t>上传至</w:t>
      </w:r>
      <w:r>
        <w:rPr>
          <w:rFonts w:hint="eastAsia" w:ascii="宋体" w:hAnsi="宋体"/>
          <w:color w:val="000000"/>
          <w:sz w:val="24"/>
          <w:highlight w:val="none"/>
        </w:rPr>
        <w:t>政采云平台进行最终报价、盖章。</w:t>
      </w:r>
    </w:p>
    <w:p w14:paraId="2764A7DB">
      <w:pPr>
        <w:widowControl w:val="0"/>
        <w:wordWrap/>
        <w:adjustRightInd/>
        <w:snapToGrid/>
        <w:spacing w:line="560" w:lineRule="exact"/>
        <w:jc w:val="left"/>
        <w:textAlignment w:val="auto"/>
        <w:outlineLvl w:val="9"/>
        <w:rPr>
          <w:rFonts w:hint="default" w:ascii="宋体" w:hAnsi="宋体" w:eastAsia="宋体" w:cs="宋体"/>
          <w:b w:val="0"/>
          <w:bCs/>
          <w:color w:val="000000"/>
          <w:sz w:val="24"/>
          <w:szCs w:val="24"/>
          <w:highlight w:val="none"/>
          <w:lang w:val="en-US"/>
        </w:rPr>
      </w:pPr>
      <w:r>
        <w:rPr>
          <w:rFonts w:hint="eastAsia" w:ascii="宋体" w:hAnsi="宋体"/>
          <w:b/>
          <w:sz w:val="24"/>
          <w:szCs w:val="24"/>
          <w:lang w:val="en-US" w:eastAsia="zh-CN"/>
        </w:rPr>
        <w:t>若在规定的时间内未及时在线报最终报价的，评标委员会按供应商的首次报价做价格修正。</w:t>
      </w:r>
    </w:p>
    <w:p w14:paraId="733A280D">
      <w:pPr>
        <w:widowControl/>
        <w:jc w:val="left"/>
        <w:rPr>
          <w:rFonts w:hint="eastAsia" w:ascii="宋体" w:hAnsi="宋体"/>
          <w:color w:val="000000"/>
          <w:sz w:val="24"/>
          <w:highlight w:val="none"/>
        </w:rPr>
      </w:pPr>
    </w:p>
    <w:p w14:paraId="2024D87E">
      <w:pPr>
        <w:jc w:val="right"/>
        <w:rPr>
          <w:rFonts w:hint="eastAsia" w:ascii="宋体" w:hAnsi="宋体" w:eastAsia="宋体" w:cs="宋体"/>
          <w:b w:val="0"/>
          <w:bCs/>
          <w:color w:val="000000"/>
          <w:sz w:val="24"/>
          <w:szCs w:val="24"/>
          <w:highlight w:val="none"/>
        </w:rPr>
      </w:pPr>
    </w:p>
    <w:p w14:paraId="2AB9C80D">
      <w:pPr>
        <w:jc w:val="righ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p>
    <w:p w14:paraId="37D1DD59">
      <w:pPr>
        <w:widowControl w:val="0"/>
        <w:wordWrap/>
        <w:adjustRightInd/>
        <w:snapToGrid/>
        <w:spacing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p>
    <w:p w14:paraId="23303EC6">
      <w:pPr>
        <w:widowControl w:val="0"/>
        <w:wordWrap/>
        <w:adjustRightInd/>
        <w:snapToGrid/>
        <w:spacing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年   月  日</w:t>
      </w:r>
    </w:p>
    <w:p w14:paraId="646AD58F">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br w:type="page"/>
      </w:r>
    </w:p>
    <w:p w14:paraId="28A0AACD">
      <w:pPr>
        <w:spacing w:before="215"/>
        <w:ind w:left="808" w:right="811" w:firstLine="0"/>
        <w:jc w:val="center"/>
        <w:rPr>
          <w:rFonts w:hint="eastAsia"/>
          <w:b/>
          <w:sz w:val="28"/>
        </w:rPr>
      </w:pPr>
      <w:bookmarkStart w:id="577" w:name="_Toc376936766"/>
      <w:bookmarkStart w:id="578" w:name="_Toc24112_WPSOffice_Level1"/>
      <w:bookmarkStart w:id="579" w:name="_Toc7329_WPSOffice_Level1"/>
      <w:bookmarkStart w:id="580" w:name="_Toc5169"/>
      <w:bookmarkStart w:id="581" w:name="_Toc416183225"/>
      <w:bookmarkStart w:id="582" w:name="_Toc23740"/>
      <w:bookmarkStart w:id="583" w:name="_Toc16082_WPSOffice_Level1"/>
      <w:bookmarkStart w:id="584" w:name="_Toc23722_WPSOffice_Level1"/>
      <w:bookmarkStart w:id="585" w:name="_Toc16779_WPSOffice_Level1"/>
      <w:bookmarkStart w:id="586" w:name="_Toc27557_WPSOffice_Level1"/>
      <w:bookmarkStart w:id="587" w:name="_Toc5233"/>
      <w:bookmarkStart w:id="588" w:name="_Toc12949996"/>
      <w:r>
        <w:rPr>
          <w:rFonts w:hint="eastAsia"/>
          <w:b/>
          <w:sz w:val="28"/>
          <w:lang w:val="en-US" w:eastAsia="zh-CN"/>
        </w:rPr>
        <w:t>2.最终</w:t>
      </w:r>
      <w:r>
        <w:rPr>
          <w:rFonts w:hint="eastAsia"/>
          <w:b/>
          <w:sz w:val="28"/>
          <w:lang w:val="zh-CN" w:eastAsia="zh-CN"/>
        </w:rPr>
        <w:t>分项报价表</w:t>
      </w:r>
    </w:p>
    <w:p w14:paraId="75040C56">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供应商名称:</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单位：人民币(元)</w:t>
      </w:r>
      <w:r>
        <w:rPr>
          <w:rFonts w:hint="eastAsia" w:ascii="宋体" w:hAnsi="宋体" w:eastAsia="宋体" w:cs="宋体"/>
          <w:b w:val="0"/>
          <w:bCs/>
          <w:color w:val="000000"/>
          <w:sz w:val="24"/>
          <w:szCs w:val="24"/>
          <w:highlight w:val="none"/>
          <w:lang w:val="en-US" w:eastAsia="zh-CN"/>
        </w:rPr>
        <w:t xml:space="preserve">                                          </w:t>
      </w:r>
    </w:p>
    <w:tbl>
      <w:tblPr>
        <w:tblStyle w:val="20"/>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850"/>
      </w:tblGrid>
      <w:tr w14:paraId="343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7808B3E3">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序号</w:t>
            </w:r>
          </w:p>
        </w:tc>
        <w:tc>
          <w:tcPr>
            <w:tcW w:w="1497" w:type="dxa"/>
            <w:vAlign w:val="center"/>
          </w:tcPr>
          <w:p w14:paraId="08940D78">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产品名称</w:t>
            </w:r>
          </w:p>
        </w:tc>
        <w:tc>
          <w:tcPr>
            <w:tcW w:w="992" w:type="dxa"/>
            <w:vAlign w:val="center"/>
          </w:tcPr>
          <w:p w14:paraId="7D129C79">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品牌</w:t>
            </w:r>
          </w:p>
        </w:tc>
        <w:tc>
          <w:tcPr>
            <w:tcW w:w="1052" w:type="dxa"/>
            <w:vAlign w:val="center"/>
          </w:tcPr>
          <w:p w14:paraId="3F6387D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规格型号</w:t>
            </w:r>
          </w:p>
        </w:tc>
        <w:tc>
          <w:tcPr>
            <w:tcW w:w="1356" w:type="dxa"/>
            <w:vAlign w:val="center"/>
          </w:tcPr>
          <w:p w14:paraId="626A69A2">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生产厂家</w:t>
            </w:r>
          </w:p>
        </w:tc>
        <w:tc>
          <w:tcPr>
            <w:tcW w:w="953" w:type="dxa"/>
            <w:vAlign w:val="center"/>
          </w:tcPr>
          <w:p w14:paraId="58542227">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数量及单位</w:t>
            </w:r>
          </w:p>
        </w:tc>
        <w:tc>
          <w:tcPr>
            <w:tcW w:w="710" w:type="dxa"/>
            <w:vAlign w:val="center"/>
          </w:tcPr>
          <w:p w14:paraId="7B5403A8">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单价</w:t>
            </w:r>
          </w:p>
        </w:tc>
        <w:tc>
          <w:tcPr>
            <w:tcW w:w="851" w:type="dxa"/>
            <w:vAlign w:val="center"/>
          </w:tcPr>
          <w:p w14:paraId="3F6D5AED">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合计</w:t>
            </w:r>
          </w:p>
        </w:tc>
        <w:tc>
          <w:tcPr>
            <w:tcW w:w="850" w:type="dxa"/>
            <w:vAlign w:val="center"/>
          </w:tcPr>
          <w:p w14:paraId="5C88428B">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质保期</w:t>
            </w:r>
          </w:p>
        </w:tc>
      </w:tr>
      <w:tr w14:paraId="77AB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757BBFB4">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w:t>
            </w:r>
          </w:p>
        </w:tc>
        <w:tc>
          <w:tcPr>
            <w:tcW w:w="1497" w:type="dxa"/>
            <w:vAlign w:val="center"/>
          </w:tcPr>
          <w:p w14:paraId="308318E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26E0EC7D">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2606DA1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4825A83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0253998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190225C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186DDC14">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5D1159A4">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5EF6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3BB6B267">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2</w:t>
            </w:r>
          </w:p>
        </w:tc>
        <w:tc>
          <w:tcPr>
            <w:tcW w:w="1497" w:type="dxa"/>
            <w:vAlign w:val="center"/>
          </w:tcPr>
          <w:p w14:paraId="545EC5FA">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4021FA7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61A619C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316B969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09D5D7F0">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2D55EA72">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1E6EC47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7927688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4975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379ACE0">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w:t>
            </w:r>
          </w:p>
        </w:tc>
        <w:tc>
          <w:tcPr>
            <w:tcW w:w="1497" w:type="dxa"/>
            <w:vAlign w:val="center"/>
          </w:tcPr>
          <w:p w14:paraId="2B0D80B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5BC6F62A">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160DB32C">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482D15FF">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5F054A5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1262BBC8">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600629F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1CEC45F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5BB5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B5BB6DA">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4</w:t>
            </w:r>
          </w:p>
        </w:tc>
        <w:tc>
          <w:tcPr>
            <w:tcW w:w="1497" w:type="dxa"/>
            <w:vAlign w:val="center"/>
          </w:tcPr>
          <w:p w14:paraId="2C8C9A4B">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292BADA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38A3E01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2A4E9A1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175BE56A">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190E6EDD">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69173D36">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1BB5B63F">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4506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B650519">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w:t>
            </w:r>
          </w:p>
        </w:tc>
        <w:tc>
          <w:tcPr>
            <w:tcW w:w="1497" w:type="dxa"/>
            <w:vAlign w:val="center"/>
          </w:tcPr>
          <w:p w14:paraId="7E8528BB">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775ACF43">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5111E20A">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2A89D70E">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51B332ED">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7E6110C1">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4D06A52E">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1C07DA42">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4907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vAlign w:val="center"/>
          </w:tcPr>
          <w:p w14:paraId="61401B4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其他承诺及需要说明的事项：</w:t>
            </w:r>
          </w:p>
        </w:tc>
      </w:tr>
      <w:tr w14:paraId="33AB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56BA0E43">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总价</w:t>
            </w:r>
          </w:p>
        </w:tc>
        <w:tc>
          <w:tcPr>
            <w:tcW w:w="6764" w:type="dxa"/>
            <w:gridSpan w:val="7"/>
            <w:vAlign w:val="center"/>
          </w:tcPr>
          <w:p w14:paraId="35429F56">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大写：                      小写：</w:t>
            </w:r>
          </w:p>
        </w:tc>
      </w:tr>
    </w:tbl>
    <w:p w14:paraId="6150F60E">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p>
    <w:p w14:paraId="0133C540">
      <w:pPr>
        <w:widowControl/>
        <w:jc w:val="left"/>
        <w:rPr>
          <w:rFonts w:hint="eastAsia" w:ascii="宋体" w:hAnsi="宋体" w:eastAsia="宋体" w:cs="宋体"/>
          <w:b w:val="0"/>
          <w:bCs/>
          <w:color w:val="000000"/>
          <w:sz w:val="24"/>
          <w:szCs w:val="24"/>
          <w:highlight w:val="none"/>
          <w:lang w:val="en-US" w:eastAsia="zh-CN"/>
        </w:rPr>
      </w:pPr>
      <w:r>
        <w:rPr>
          <w:rFonts w:hint="eastAsia" w:ascii="宋体" w:hAnsi="宋体"/>
          <w:color w:val="000000"/>
          <w:sz w:val="24"/>
          <w:highlight w:val="none"/>
        </w:rPr>
        <w:t>注</w:t>
      </w:r>
      <w:r>
        <w:rPr>
          <w:rFonts w:ascii="宋体" w:hAnsi="宋体"/>
          <w:color w:val="000000"/>
          <w:sz w:val="24"/>
          <w:highlight w:val="none"/>
        </w:rPr>
        <w:t>：</w:t>
      </w:r>
      <w:r>
        <w:rPr>
          <w:rFonts w:hint="eastAsia" w:ascii="宋体" w:hAnsi="宋体" w:cs="宋体"/>
          <w:color w:val="000000"/>
          <w:kern w:val="0"/>
          <w:sz w:val="24"/>
          <w:highlight w:val="none"/>
        </w:rPr>
        <w:t>此表不需编制在响应文件中，在谈判期间，由谈判小组确定合格的供应商</w:t>
      </w:r>
      <w:r>
        <w:rPr>
          <w:rFonts w:hint="eastAsia" w:ascii="宋体" w:hAnsi="宋体" w:cs="宋体"/>
          <w:color w:val="000000"/>
          <w:kern w:val="0"/>
          <w:sz w:val="24"/>
          <w:highlight w:val="none"/>
          <w:lang w:val="en-US" w:eastAsia="zh-CN"/>
        </w:rPr>
        <w:t>后</w:t>
      </w:r>
      <w:r>
        <w:rPr>
          <w:rFonts w:hint="eastAsia" w:ascii="宋体" w:hAnsi="宋体" w:cs="宋体"/>
          <w:color w:val="000000"/>
          <w:kern w:val="0"/>
          <w:sz w:val="24"/>
          <w:highlight w:val="none"/>
        </w:rPr>
        <w:t>上传至</w:t>
      </w:r>
      <w:r>
        <w:rPr>
          <w:rFonts w:hint="eastAsia" w:ascii="宋体" w:hAnsi="宋体"/>
          <w:color w:val="000000"/>
          <w:sz w:val="24"/>
          <w:highlight w:val="none"/>
        </w:rPr>
        <w:t>政采云平台进行最终报价、盖章。</w:t>
      </w:r>
    </w:p>
    <w:p w14:paraId="25A61209">
      <w:pPr>
        <w:widowControl w:val="0"/>
        <w:wordWrap/>
        <w:adjustRightInd/>
        <w:snapToGrid/>
        <w:spacing w:line="560" w:lineRule="exact"/>
        <w:jc w:val="left"/>
        <w:textAlignment w:val="auto"/>
        <w:outlineLvl w:val="9"/>
        <w:rPr>
          <w:rFonts w:hint="eastAsia" w:ascii="宋体" w:hAnsi="宋体" w:eastAsia="宋体" w:cs="宋体"/>
          <w:b w:val="0"/>
          <w:bCs/>
          <w:color w:val="000000"/>
          <w:sz w:val="24"/>
          <w:szCs w:val="24"/>
          <w:highlight w:val="none"/>
        </w:rPr>
      </w:pPr>
      <w:r>
        <w:rPr>
          <w:rFonts w:hint="eastAsia" w:ascii="宋体" w:hAnsi="宋体"/>
          <w:b/>
          <w:sz w:val="24"/>
          <w:szCs w:val="24"/>
          <w:lang w:val="en-US" w:eastAsia="zh-CN"/>
        </w:rPr>
        <w:t>若在规定的时间内未及时在线报最终报价的，评标委员会按供应商的首次报价做价格修正。</w:t>
      </w:r>
    </w:p>
    <w:p w14:paraId="41D784EC">
      <w:pPr>
        <w:widowControl w:val="0"/>
        <w:wordWrap/>
        <w:adjustRightInd/>
        <w:snapToGrid/>
        <w:spacing w:line="560" w:lineRule="exact"/>
        <w:ind w:firstLine="3840" w:firstLineChars="16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       （公章）</w:t>
      </w:r>
    </w:p>
    <w:p w14:paraId="737D2E20">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法定代表人或委托代理人：       （签字或盖章）</w:t>
      </w:r>
    </w:p>
    <w:p w14:paraId="1EC9A37B">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p>
    <w:p w14:paraId="75F2380D">
      <w:pPr>
        <w:widowControl w:val="0"/>
        <w:wordWrap/>
        <w:adjustRightInd/>
        <w:snapToGrid/>
        <w:spacing w:line="560" w:lineRule="exact"/>
        <w:ind w:firstLine="4560" w:firstLineChars="19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年   月  日</w:t>
      </w:r>
    </w:p>
    <w:p w14:paraId="33071BE8">
      <w:pPr>
        <w:rPr>
          <w:rFonts w:hint="eastAsia" w:ascii="宋体" w:hAnsi="宋体"/>
          <w:b/>
          <w:color w:val="000000"/>
          <w:sz w:val="24"/>
        </w:rPr>
      </w:pPr>
      <w:r>
        <w:rPr>
          <w:rFonts w:hint="eastAsia" w:ascii="宋体" w:hAnsi="宋体"/>
          <w:b/>
          <w:color w:val="000000"/>
          <w:sz w:val="24"/>
        </w:rPr>
        <w:br w:type="page"/>
      </w:r>
    </w:p>
    <w:p w14:paraId="4CA6882F">
      <w:pPr>
        <w:pStyle w:val="2"/>
        <w:wordWrap/>
        <w:adjustRightInd w:val="0"/>
        <w:snapToGrid w:val="0"/>
        <w:spacing w:before="157" w:beforeLines="50" w:line="560" w:lineRule="exact"/>
        <w:jc w:val="center"/>
        <w:outlineLvl w:val="0"/>
        <w:rPr>
          <w:rFonts w:hint="eastAsia" w:ascii="宋体" w:hAnsi="宋体" w:eastAsia="宋体" w:cs="宋体"/>
          <w:b/>
          <w:bCs/>
          <w:sz w:val="44"/>
          <w:szCs w:val="44"/>
          <w:highlight w:val="none"/>
        </w:rPr>
      </w:pPr>
      <w:bookmarkStart w:id="589" w:name="_Toc22071"/>
      <w:bookmarkStart w:id="590" w:name="_Toc15007"/>
      <w:r>
        <w:rPr>
          <w:rFonts w:hint="eastAsia" w:ascii="宋体" w:hAnsi="宋体" w:eastAsia="宋体" w:cs="宋体"/>
          <w:b/>
          <w:bCs/>
          <w:sz w:val="44"/>
          <w:szCs w:val="44"/>
          <w:highlight w:val="none"/>
          <w:lang w:eastAsia="zh-CN"/>
        </w:rPr>
        <w:t>第五部分</w:t>
      </w:r>
      <w:r>
        <w:rPr>
          <w:rFonts w:hint="eastAsia" w:ascii="宋体" w:hAnsi="宋体" w:eastAsia="宋体" w:cs="宋体"/>
          <w:b/>
          <w:bCs/>
          <w:sz w:val="44"/>
          <w:szCs w:val="44"/>
          <w:highlight w:val="none"/>
        </w:rPr>
        <w:t xml:space="preserve"> </w:t>
      </w:r>
      <w:bookmarkEnd w:id="577"/>
      <w:r>
        <w:rPr>
          <w:rFonts w:hint="eastAsia" w:ascii="宋体" w:hAnsi="宋体" w:eastAsia="宋体" w:cs="宋体"/>
          <w:b/>
          <w:bCs/>
          <w:sz w:val="44"/>
          <w:szCs w:val="44"/>
          <w:highlight w:val="none"/>
        </w:rPr>
        <w:t>青海省政府采购项目合同书范本</w:t>
      </w:r>
      <w:bookmarkEnd w:id="578"/>
      <w:bookmarkEnd w:id="579"/>
      <w:bookmarkEnd w:id="580"/>
      <w:bookmarkEnd w:id="589"/>
      <w:bookmarkEnd w:id="590"/>
    </w:p>
    <w:p w14:paraId="5D86C247">
      <w:pPr>
        <w:pStyle w:val="2"/>
        <w:wordWrap/>
        <w:adjustRightInd w:val="0"/>
        <w:snapToGrid w:val="0"/>
        <w:spacing w:before="157" w:beforeLines="50" w:line="560" w:lineRule="exact"/>
        <w:jc w:val="center"/>
        <w:outlineLvl w:val="0"/>
        <w:rPr>
          <w:rFonts w:hint="eastAsia" w:ascii="宋体" w:hAnsi="宋体" w:eastAsia="宋体" w:cs="宋体"/>
          <w:b w:val="0"/>
          <w:bCs w:val="0"/>
          <w:sz w:val="44"/>
          <w:szCs w:val="44"/>
          <w:highlight w:val="none"/>
        </w:rPr>
      </w:pPr>
      <w:bookmarkStart w:id="591" w:name="_Toc29785_WPSOffice_Level1"/>
      <w:bookmarkStart w:id="592" w:name="_Toc32639"/>
      <w:bookmarkStart w:id="593" w:name="_Toc22776_WPSOffice_Level1"/>
      <w:bookmarkStart w:id="594" w:name="_Toc10940"/>
      <w:bookmarkStart w:id="595" w:name="_Toc32431"/>
      <w:r>
        <w:rPr>
          <w:rFonts w:hint="eastAsia" w:ascii="宋体" w:hAnsi="宋体" w:eastAsia="宋体" w:cs="宋体"/>
          <w:b w:val="0"/>
          <w:bCs w:val="0"/>
          <w:sz w:val="44"/>
          <w:szCs w:val="44"/>
          <w:highlight w:val="none"/>
        </w:rPr>
        <w:t>（货物类）</w:t>
      </w:r>
      <w:bookmarkEnd w:id="581"/>
      <w:bookmarkEnd w:id="582"/>
      <w:bookmarkEnd w:id="583"/>
      <w:bookmarkEnd w:id="584"/>
      <w:bookmarkEnd w:id="585"/>
      <w:bookmarkEnd w:id="586"/>
      <w:bookmarkEnd w:id="587"/>
      <w:bookmarkEnd w:id="588"/>
      <w:bookmarkEnd w:id="591"/>
      <w:bookmarkEnd w:id="592"/>
      <w:bookmarkEnd w:id="593"/>
      <w:bookmarkEnd w:id="594"/>
      <w:bookmarkEnd w:id="595"/>
    </w:p>
    <w:p w14:paraId="18E7274C">
      <w:pPr>
        <w:wordWrap/>
        <w:adjustRightInd w:val="0"/>
        <w:snapToGrid w:val="0"/>
        <w:spacing w:before="157" w:beforeLines="50" w:line="560" w:lineRule="exact"/>
        <w:outlineLvl w:val="0"/>
        <w:rPr>
          <w:rFonts w:hint="eastAsia" w:ascii="宋体" w:hAnsi="宋体" w:eastAsia="宋体" w:cs="宋体"/>
          <w:bCs/>
          <w:szCs w:val="21"/>
          <w:highlight w:val="none"/>
        </w:rPr>
      </w:pPr>
      <w:bookmarkStart w:id="596" w:name="_Toc373954603"/>
      <w:bookmarkStart w:id="597" w:name="_Toc373936315"/>
      <w:bookmarkStart w:id="598" w:name="_Toc375576842"/>
    </w:p>
    <w:p w14:paraId="240164C0">
      <w:pPr>
        <w:pStyle w:val="18"/>
        <w:rPr>
          <w:rFonts w:hint="eastAsia" w:ascii="宋体" w:hAnsi="宋体" w:eastAsia="宋体" w:cs="宋体"/>
          <w:bCs/>
          <w:szCs w:val="21"/>
          <w:highlight w:val="none"/>
        </w:rPr>
      </w:pPr>
    </w:p>
    <w:p w14:paraId="7DA946C1">
      <w:pPr>
        <w:pStyle w:val="18"/>
        <w:rPr>
          <w:rFonts w:hint="eastAsia" w:ascii="宋体" w:hAnsi="宋体" w:eastAsia="宋体" w:cs="宋体"/>
          <w:bCs/>
          <w:szCs w:val="21"/>
          <w:highlight w:val="none"/>
        </w:rPr>
      </w:pPr>
    </w:p>
    <w:p w14:paraId="50C4F027">
      <w:pPr>
        <w:pStyle w:val="18"/>
        <w:rPr>
          <w:rFonts w:hint="eastAsia" w:ascii="宋体" w:hAnsi="宋体" w:eastAsia="宋体" w:cs="宋体"/>
          <w:bCs/>
          <w:szCs w:val="21"/>
          <w:highlight w:val="none"/>
        </w:rPr>
      </w:pPr>
    </w:p>
    <w:p w14:paraId="217B0CD3">
      <w:pPr>
        <w:pStyle w:val="18"/>
        <w:rPr>
          <w:rFonts w:hint="eastAsia" w:ascii="宋体" w:hAnsi="宋体" w:eastAsia="宋体" w:cs="宋体"/>
          <w:bCs/>
          <w:szCs w:val="21"/>
          <w:highlight w:val="none"/>
        </w:rPr>
      </w:pPr>
    </w:p>
    <w:p w14:paraId="755CAB07">
      <w:pPr>
        <w:pStyle w:val="18"/>
        <w:rPr>
          <w:rFonts w:hint="eastAsia" w:ascii="宋体" w:hAnsi="宋体" w:eastAsia="宋体" w:cs="宋体"/>
          <w:bCs/>
          <w:szCs w:val="21"/>
          <w:highlight w:val="none"/>
        </w:rPr>
      </w:pPr>
    </w:p>
    <w:bookmarkEnd w:id="596"/>
    <w:bookmarkEnd w:id="597"/>
    <w:bookmarkEnd w:id="598"/>
    <w:p w14:paraId="716431CF">
      <w:pPr>
        <w:keepNext/>
        <w:keepLines/>
        <w:widowControl/>
        <w:wordWrap/>
        <w:snapToGrid w:val="0"/>
        <w:spacing w:before="157" w:beforeLines="50" w:line="560" w:lineRule="exact"/>
        <w:jc w:val="center"/>
        <w:outlineLvl w:val="9"/>
        <w:rPr>
          <w:rFonts w:hint="eastAsia" w:ascii="宋体" w:hAnsi="宋体" w:eastAsia="宋体" w:cs="宋体"/>
          <w:b w:val="0"/>
          <w:bCs/>
          <w:color w:val="000000"/>
          <w:kern w:val="28"/>
          <w:sz w:val="36"/>
          <w:szCs w:val="36"/>
          <w:highlight w:val="none"/>
        </w:rPr>
      </w:pPr>
      <w:bookmarkStart w:id="599" w:name="_Toc9715"/>
      <w:bookmarkStart w:id="600" w:name="_Toc10999_WPSOffice_Level1"/>
      <w:bookmarkStart w:id="601" w:name="_Toc4308"/>
      <w:bookmarkStart w:id="602" w:name="_Toc3676_WPSOffice_Level1"/>
      <w:bookmarkStart w:id="603" w:name="_Toc416183226"/>
      <w:bookmarkStart w:id="604" w:name="_Toc9152_WPSOffice_Level1"/>
      <w:bookmarkStart w:id="605" w:name="_Toc8067_WPSOffice_Level1"/>
      <w:bookmarkStart w:id="606" w:name="_Toc31604_WPSOffice_Level1"/>
      <w:bookmarkStart w:id="607" w:name="_Toc12949997"/>
      <w:r>
        <w:rPr>
          <w:rFonts w:hint="eastAsia" w:ascii="宋体" w:hAnsi="宋体" w:eastAsia="宋体" w:cs="宋体"/>
          <w:b w:val="0"/>
          <w:bCs/>
          <w:color w:val="000000"/>
          <w:kern w:val="28"/>
          <w:sz w:val="36"/>
          <w:szCs w:val="36"/>
          <w:highlight w:val="none"/>
        </w:rPr>
        <w:t>青海省政府采购项目合同书</w:t>
      </w:r>
      <w:bookmarkEnd w:id="599"/>
      <w:bookmarkEnd w:id="600"/>
      <w:bookmarkEnd w:id="601"/>
      <w:bookmarkEnd w:id="602"/>
      <w:bookmarkEnd w:id="603"/>
      <w:bookmarkEnd w:id="604"/>
      <w:bookmarkEnd w:id="605"/>
      <w:bookmarkEnd w:id="606"/>
      <w:bookmarkEnd w:id="607"/>
    </w:p>
    <w:p w14:paraId="0E668038">
      <w:pPr>
        <w:wordWrap/>
        <w:spacing w:before="157" w:beforeLines="50" w:line="560" w:lineRule="exact"/>
        <w:jc w:val="center"/>
        <w:outlineLvl w:val="9"/>
        <w:rPr>
          <w:rFonts w:hint="eastAsia" w:ascii="宋体" w:hAnsi="宋体" w:eastAsia="宋体" w:cs="宋体"/>
          <w:b w:val="0"/>
          <w:bCs/>
          <w:color w:val="000000"/>
          <w:sz w:val="32"/>
          <w:szCs w:val="32"/>
          <w:highlight w:val="none"/>
        </w:rPr>
      </w:pPr>
    </w:p>
    <w:p w14:paraId="1158653D">
      <w:pPr>
        <w:wordWrap/>
        <w:spacing w:before="157" w:beforeLines="50" w:line="560" w:lineRule="exact"/>
        <w:ind w:firstLine="640" w:firstLineChars="200"/>
        <w:outlineLvl w:val="9"/>
        <w:rPr>
          <w:rFonts w:hint="eastAsia" w:ascii="宋体" w:hAnsi="宋体" w:eastAsia="宋体" w:cs="宋体"/>
          <w:b w:val="0"/>
          <w:bCs/>
          <w:color w:val="000000"/>
          <w:sz w:val="32"/>
          <w:szCs w:val="32"/>
          <w:highlight w:val="none"/>
        </w:rPr>
      </w:pPr>
    </w:p>
    <w:p w14:paraId="044C523E">
      <w:pPr>
        <w:pStyle w:val="18"/>
        <w:ind w:left="0" w:leftChars="0" w:firstLine="0" w:firstLineChars="0"/>
        <w:rPr>
          <w:rFonts w:hint="eastAsia" w:ascii="宋体" w:hAnsi="宋体" w:eastAsia="宋体" w:cs="宋体"/>
          <w:b w:val="0"/>
          <w:bCs/>
          <w:color w:val="000000"/>
          <w:sz w:val="32"/>
          <w:szCs w:val="32"/>
          <w:highlight w:val="none"/>
        </w:rPr>
      </w:pPr>
    </w:p>
    <w:p w14:paraId="682AF395">
      <w:pPr>
        <w:pStyle w:val="18"/>
        <w:rPr>
          <w:rFonts w:hint="eastAsia" w:ascii="宋体" w:hAnsi="宋体" w:eastAsia="宋体" w:cs="宋体"/>
          <w:b w:val="0"/>
          <w:bCs/>
          <w:color w:val="000000"/>
          <w:sz w:val="32"/>
          <w:szCs w:val="32"/>
          <w:highlight w:val="none"/>
        </w:rPr>
      </w:pPr>
    </w:p>
    <w:p w14:paraId="38881283">
      <w:pPr>
        <w:wordWrap/>
        <w:spacing w:before="157" w:beforeLines="50" w:line="560" w:lineRule="exact"/>
        <w:ind w:left="0" w:leftChars="0" w:firstLine="419" w:firstLineChars="131"/>
        <w:outlineLvl w:val="9"/>
        <w:rPr>
          <w:rFonts w:hint="eastAsia" w:ascii="宋体" w:hAnsi="宋体" w:eastAsia="宋体" w:cs="宋体"/>
          <w:b w:val="0"/>
          <w:bCs/>
          <w:color w:val="000000"/>
          <w:sz w:val="32"/>
          <w:szCs w:val="32"/>
          <w:highlight w:val="none"/>
          <w:u w:val="single"/>
        </w:rPr>
      </w:pPr>
      <w:bookmarkStart w:id="608" w:name="_Toc18140_WPSOffice_Level1"/>
      <w:bookmarkStart w:id="609" w:name="_Toc19373_WPSOffice_Level1"/>
      <w:bookmarkStart w:id="610" w:name="_Toc23548_WPSOffice_Level1"/>
      <w:bookmarkStart w:id="611" w:name="_Toc23338_WPSOffice_Level1"/>
      <w:r>
        <w:rPr>
          <w:rFonts w:hint="eastAsia" w:ascii="宋体" w:hAnsi="宋体" w:eastAsia="宋体" w:cs="宋体"/>
          <w:b w:val="0"/>
          <w:bCs/>
          <w:color w:val="000000"/>
          <w:sz w:val="32"/>
          <w:szCs w:val="32"/>
          <w:highlight w:val="none"/>
        </w:rPr>
        <w:t>采购项目名称：</w:t>
      </w:r>
      <w:bookmarkEnd w:id="608"/>
      <w:bookmarkEnd w:id="609"/>
      <w:bookmarkEnd w:id="610"/>
      <w:bookmarkEnd w:id="611"/>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eastAsia="zh-CN"/>
        </w:rPr>
        <w:t>火角村农机具购置项目（第三次）</w:t>
      </w:r>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val="en-US" w:eastAsia="zh-CN"/>
        </w:rPr>
        <w:t xml:space="preserve"> </w:t>
      </w:r>
    </w:p>
    <w:p w14:paraId="0EF3A1F8">
      <w:pPr>
        <w:wordWrap/>
        <w:spacing w:before="157" w:beforeLines="50" w:line="560" w:lineRule="exact"/>
        <w:ind w:left="0" w:leftChars="0" w:firstLine="419" w:firstLineChars="131"/>
        <w:outlineLvl w:val="9"/>
        <w:rPr>
          <w:rFonts w:hint="eastAsia" w:ascii="宋体" w:hAnsi="宋体" w:eastAsia="宋体" w:cs="宋体"/>
          <w:b w:val="0"/>
          <w:bCs/>
          <w:color w:val="000000"/>
          <w:sz w:val="32"/>
          <w:szCs w:val="32"/>
          <w:highlight w:val="none"/>
          <w:u w:val="single"/>
        </w:rPr>
      </w:pPr>
      <w:bookmarkStart w:id="612" w:name="_Toc2770_WPSOffice_Level1"/>
      <w:bookmarkStart w:id="613" w:name="_Toc20437_WPSOffice_Level1"/>
      <w:bookmarkStart w:id="614" w:name="_Toc2957_WPSOffice_Level1"/>
      <w:bookmarkStart w:id="615" w:name="_Toc19950_WPSOffice_Level1"/>
      <w:r>
        <w:rPr>
          <w:rFonts w:hint="eastAsia" w:ascii="宋体" w:hAnsi="宋体" w:eastAsia="宋体" w:cs="宋体"/>
          <w:b w:val="0"/>
          <w:bCs/>
          <w:color w:val="000000"/>
          <w:sz w:val="32"/>
          <w:szCs w:val="32"/>
          <w:highlight w:val="none"/>
        </w:rPr>
        <w:t>采购项目编号：</w:t>
      </w:r>
      <w:bookmarkEnd w:id="612"/>
      <w:bookmarkEnd w:id="613"/>
      <w:bookmarkEnd w:id="614"/>
      <w:bookmarkEnd w:id="615"/>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val="en-US" w:eastAsia="zh-CN"/>
        </w:rPr>
        <w:t xml:space="preserve">青海拓鑫竞谈（货物）2026-028-2  </w:t>
      </w:r>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val="en-US" w:eastAsia="zh-CN"/>
        </w:rPr>
        <w:t xml:space="preserve"> </w:t>
      </w:r>
      <w:r>
        <w:rPr>
          <w:rFonts w:hint="eastAsia" w:ascii="宋体" w:hAnsi="宋体" w:eastAsia="宋体" w:cs="宋体"/>
          <w:b w:val="0"/>
          <w:bCs/>
          <w:color w:val="000000"/>
          <w:sz w:val="32"/>
          <w:szCs w:val="32"/>
          <w:highlight w:val="none"/>
          <w:u w:val="single"/>
        </w:rPr>
        <w:t xml:space="preserve"> </w:t>
      </w:r>
      <w:r>
        <w:rPr>
          <w:rFonts w:hint="eastAsia" w:ascii="宋体" w:hAnsi="宋体" w:eastAsia="宋体" w:cs="宋体"/>
          <w:b w:val="0"/>
          <w:bCs/>
          <w:color w:val="000000"/>
          <w:sz w:val="32"/>
          <w:szCs w:val="32"/>
          <w:highlight w:val="none"/>
        </w:rPr>
        <w:t xml:space="preserve">                                              </w:t>
      </w:r>
    </w:p>
    <w:p w14:paraId="4AF73D48">
      <w:pPr>
        <w:wordWrap/>
        <w:spacing w:before="157" w:beforeLines="50" w:line="560" w:lineRule="exact"/>
        <w:ind w:left="0" w:leftChars="0" w:firstLine="419" w:firstLineChars="131"/>
        <w:outlineLvl w:val="9"/>
        <w:rPr>
          <w:rFonts w:hint="eastAsia" w:ascii="宋体" w:hAnsi="宋体" w:eastAsia="宋体" w:cs="宋体"/>
          <w:b w:val="0"/>
          <w:bCs/>
          <w:color w:val="000000"/>
          <w:sz w:val="32"/>
          <w:szCs w:val="32"/>
          <w:highlight w:val="none"/>
        </w:rPr>
      </w:pPr>
      <w:bookmarkStart w:id="616" w:name="_Toc19490_WPSOffice_Level1"/>
      <w:bookmarkStart w:id="617" w:name="_Toc1998_WPSOffice_Level1"/>
      <w:bookmarkStart w:id="618" w:name="_Toc31508_WPSOffice_Level1"/>
      <w:bookmarkStart w:id="619" w:name="_Toc3022_WPSOffice_Level1"/>
      <w:r>
        <w:rPr>
          <w:rFonts w:hint="eastAsia" w:ascii="宋体" w:hAnsi="宋体" w:eastAsia="宋体" w:cs="宋体"/>
          <w:b w:val="0"/>
          <w:bCs/>
          <w:color w:val="000000"/>
          <w:sz w:val="32"/>
          <w:szCs w:val="32"/>
          <w:highlight w:val="none"/>
        </w:rPr>
        <w:t>采购合同编号：</w:t>
      </w:r>
      <w:bookmarkEnd w:id="616"/>
      <w:bookmarkEnd w:id="617"/>
      <w:bookmarkEnd w:id="618"/>
      <w:bookmarkEnd w:id="619"/>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val="en-US" w:eastAsia="zh-CN"/>
        </w:rPr>
        <w:t>QHTX-2026-028-2</w:t>
      </w:r>
      <w:r>
        <w:rPr>
          <w:rFonts w:hint="eastAsia" w:ascii="宋体" w:hAnsi="宋体" w:eastAsia="宋体" w:cs="宋体"/>
          <w:b w:val="0"/>
          <w:bCs/>
          <w:color w:val="000000"/>
          <w:sz w:val="32"/>
          <w:szCs w:val="32"/>
          <w:highlight w:val="none"/>
          <w:u w:val="single"/>
          <w:lang w:val="en-US" w:eastAsia="zh-CN"/>
        </w:rPr>
        <w:t xml:space="preserve">                </w:t>
      </w:r>
      <w:r>
        <w:rPr>
          <w:rFonts w:hint="eastAsia" w:ascii="宋体" w:hAnsi="宋体" w:eastAsia="宋体" w:cs="宋体"/>
          <w:b w:val="0"/>
          <w:bCs/>
          <w:color w:val="000000"/>
          <w:sz w:val="32"/>
          <w:szCs w:val="32"/>
          <w:highlight w:val="none"/>
        </w:rPr>
        <w:t xml:space="preserve">                                                 </w:t>
      </w:r>
    </w:p>
    <w:p w14:paraId="0DC568E3">
      <w:pPr>
        <w:wordWrap/>
        <w:spacing w:before="157" w:beforeLines="50" w:line="560" w:lineRule="exact"/>
        <w:ind w:left="0" w:leftChars="0" w:firstLine="419" w:firstLineChars="131"/>
        <w:outlineLvl w:val="9"/>
        <w:rPr>
          <w:rFonts w:hint="eastAsia" w:ascii="宋体" w:hAnsi="宋体" w:eastAsia="宋体" w:cs="宋体"/>
          <w:b w:val="0"/>
          <w:bCs/>
          <w:color w:val="000000"/>
          <w:sz w:val="32"/>
          <w:szCs w:val="32"/>
          <w:highlight w:val="none"/>
        </w:rPr>
      </w:pPr>
      <w:bookmarkStart w:id="620" w:name="_Toc8063_WPSOffice_Level1"/>
      <w:bookmarkStart w:id="621" w:name="_Toc5994_WPSOffice_Level1"/>
      <w:bookmarkStart w:id="622" w:name="_Toc2711_WPSOffice_Level1"/>
      <w:bookmarkStart w:id="623" w:name="_Toc24942_WPSOffice_Level1"/>
      <w:r>
        <w:rPr>
          <w:rFonts w:hint="eastAsia" w:ascii="宋体" w:hAnsi="宋体" w:eastAsia="宋体" w:cs="宋体"/>
          <w:b w:val="0"/>
          <w:bCs/>
          <w:color w:val="000000"/>
          <w:sz w:val="32"/>
          <w:szCs w:val="32"/>
          <w:highlight w:val="none"/>
        </w:rPr>
        <w:t>合同金额（人民币）：</w:t>
      </w:r>
      <w:bookmarkEnd w:id="620"/>
      <w:bookmarkEnd w:id="621"/>
      <w:bookmarkEnd w:id="622"/>
      <w:bookmarkEnd w:id="623"/>
      <w:r>
        <w:rPr>
          <w:rFonts w:hint="eastAsia" w:ascii="宋体" w:hAnsi="宋体" w:eastAsia="宋体" w:cs="宋体"/>
          <w:b w:val="0"/>
          <w:bCs/>
          <w:color w:val="000000"/>
          <w:sz w:val="32"/>
          <w:szCs w:val="32"/>
          <w:highlight w:val="none"/>
          <w:u w:val="single"/>
        </w:rPr>
        <w:t xml:space="preserve">                            </w:t>
      </w:r>
      <w:r>
        <w:rPr>
          <w:rFonts w:hint="eastAsia" w:ascii="宋体" w:hAnsi="宋体" w:eastAsia="宋体" w:cs="宋体"/>
          <w:b w:val="0"/>
          <w:bCs/>
          <w:color w:val="000000"/>
          <w:sz w:val="32"/>
          <w:szCs w:val="32"/>
          <w:highlight w:val="none"/>
        </w:rPr>
        <w:t xml:space="preserve">                                   </w:t>
      </w:r>
    </w:p>
    <w:p w14:paraId="1155E3B4">
      <w:pPr>
        <w:wordWrap/>
        <w:spacing w:before="157" w:beforeLines="50" w:line="560" w:lineRule="exact"/>
        <w:ind w:left="0" w:leftChars="0" w:firstLine="419" w:firstLineChars="131"/>
        <w:jc w:val="left"/>
        <w:outlineLvl w:val="9"/>
        <w:rPr>
          <w:rFonts w:hint="eastAsia" w:ascii="宋体" w:hAnsi="宋体" w:eastAsia="宋体" w:cs="宋体"/>
          <w:b w:val="0"/>
          <w:bCs/>
          <w:color w:val="000000"/>
          <w:sz w:val="32"/>
          <w:szCs w:val="32"/>
          <w:highlight w:val="none"/>
        </w:rPr>
      </w:pPr>
      <w:bookmarkStart w:id="624" w:name="_Toc3522_WPSOffice_Level1"/>
      <w:bookmarkStart w:id="625" w:name="_Toc6126_WPSOffice_Level1"/>
      <w:bookmarkStart w:id="626" w:name="_Toc10610_WPSOffice_Level1"/>
      <w:bookmarkStart w:id="627" w:name="_Toc31793_WPSOffice_Level1"/>
      <w:r>
        <w:rPr>
          <w:rFonts w:hint="eastAsia" w:ascii="宋体" w:hAnsi="宋体" w:eastAsia="宋体" w:cs="宋体"/>
          <w:b w:val="0"/>
          <w:bCs/>
          <w:color w:val="000000"/>
          <w:sz w:val="32"/>
          <w:szCs w:val="32"/>
          <w:highlight w:val="none"/>
        </w:rPr>
        <w:t>采购单位（甲方）：</w:t>
      </w:r>
      <w:r>
        <w:rPr>
          <w:rFonts w:hint="eastAsia" w:ascii="宋体" w:hAnsi="宋体" w:eastAsia="宋体" w:cs="宋体"/>
          <w:b w:val="0"/>
          <w:bCs/>
          <w:color w:val="000000"/>
          <w:sz w:val="32"/>
          <w:szCs w:val="32"/>
          <w:highlight w:val="none"/>
          <w:u w:val="single"/>
        </w:rPr>
        <w:t xml:space="preserve">                        </w:t>
      </w:r>
      <w:r>
        <w:rPr>
          <w:rFonts w:hint="eastAsia" w:ascii="宋体" w:hAnsi="宋体" w:eastAsia="宋体" w:cs="宋体"/>
          <w:b w:val="0"/>
          <w:bCs/>
          <w:color w:val="000000"/>
          <w:sz w:val="32"/>
          <w:szCs w:val="32"/>
          <w:highlight w:val="none"/>
        </w:rPr>
        <w:t>（盖章）</w:t>
      </w:r>
      <w:bookmarkEnd w:id="624"/>
      <w:bookmarkEnd w:id="625"/>
      <w:bookmarkEnd w:id="626"/>
      <w:bookmarkEnd w:id="627"/>
    </w:p>
    <w:p w14:paraId="57AF3ACA">
      <w:pPr>
        <w:wordWrap/>
        <w:spacing w:before="157" w:beforeLines="50" w:line="560" w:lineRule="exact"/>
        <w:ind w:left="0" w:leftChars="0" w:firstLine="419" w:firstLineChars="131"/>
        <w:jc w:val="left"/>
        <w:outlineLvl w:val="9"/>
        <w:rPr>
          <w:rFonts w:hint="eastAsia" w:ascii="宋体" w:hAnsi="宋体" w:eastAsia="宋体" w:cs="宋体"/>
          <w:b w:val="0"/>
          <w:bCs/>
          <w:color w:val="000000"/>
          <w:sz w:val="32"/>
          <w:szCs w:val="32"/>
          <w:highlight w:val="none"/>
          <w:u w:val="single"/>
        </w:rPr>
      </w:pPr>
      <w:bookmarkStart w:id="628" w:name="_Toc382_WPSOffice_Level1"/>
      <w:bookmarkStart w:id="629" w:name="_Toc22516_WPSOffice_Level1"/>
      <w:bookmarkStart w:id="630" w:name="_Toc7246_WPSOffice_Level1"/>
      <w:bookmarkStart w:id="631" w:name="_Toc14960_WPSOffice_Level1"/>
      <w:r>
        <w:rPr>
          <w:rFonts w:hint="eastAsia" w:ascii="宋体" w:hAnsi="宋体" w:eastAsia="宋体" w:cs="宋体"/>
          <w:b w:val="0"/>
          <w:bCs/>
          <w:color w:val="000000"/>
          <w:sz w:val="32"/>
          <w:szCs w:val="32"/>
          <w:highlight w:val="none"/>
        </w:rPr>
        <w:t>成交供应商（乙方）：</w:t>
      </w:r>
      <w:r>
        <w:rPr>
          <w:rFonts w:hint="eastAsia" w:ascii="宋体" w:hAnsi="宋体" w:eastAsia="宋体" w:cs="宋体"/>
          <w:b w:val="0"/>
          <w:bCs/>
          <w:color w:val="000000"/>
          <w:sz w:val="32"/>
          <w:szCs w:val="32"/>
          <w:highlight w:val="none"/>
          <w:u w:val="single"/>
        </w:rPr>
        <w:t xml:space="preserve">                      </w:t>
      </w:r>
      <w:r>
        <w:rPr>
          <w:rFonts w:hint="eastAsia" w:ascii="宋体" w:hAnsi="宋体" w:eastAsia="宋体" w:cs="宋体"/>
          <w:b w:val="0"/>
          <w:bCs/>
          <w:color w:val="000000"/>
          <w:sz w:val="32"/>
          <w:szCs w:val="32"/>
          <w:highlight w:val="none"/>
        </w:rPr>
        <w:t>（盖章）</w:t>
      </w:r>
      <w:bookmarkEnd w:id="628"/>
      <w:bookmarkEnd w:id="629"/>
      <w:bookmarkEnd w:id="630"/>
      <w:bookmarkEnd w:id="631"/>
    </w:p>
    <w:p w14:paraId="7ADEBE7B">
      <w:pPr>
        <w:widowControl w:val="0"/>
        <w:wordWrap/>
        <w:adjustRightInd w:val="0"/>
        <w:snapToGrid w:val="0"/>
        <w:spacing w:line="560" w:lineRule="exact"/>
        <w:ind w:firstLine="420" w:firstLineChars="200"/>
        <w:textAlignment w:val="auto"/>
        <w:outlineLvl w:val="9"/>
        <w:rPr>
          <w:rFonts w:hint="eastAsia" w:ascii="宋体" w:hAnsi="宋体" w:eastAsia="宋体" w:cs="宋体"/>
          <w:bCs/>
          <w:sz w:val="24"/>
          <w:szCs w:val="24"/>
          <w:highlight w:val="none"/>
        </w:rPr>
      </w:pPr>
      <w:bookmarkStart w:id="813" w:name="_GoBack"/>
      <w:bookmarkEnd w:id="813"/>
      <w:r>
        <w:rPr>
          <w:rFonts w:hint="eastAsia" w:ascii="宋体" w:hAnsi="宋体" w:eastAsia="宋体" w:cs="宋体"/>
          <w:bCs/>
          <w:szCs w:val="21"/>
          <w:highlight w:val="none"/>
        </w:rPr>
        <w:br w:type="page"/>
      </w:r>
      <w:r>
        <w:rPr>
          <w:rFonts w:hint="eastAsia" w:ascii="宋体" w:hAnsi="宋体" w:eastAsia="宋体" w:cs="宋体"/>
          <w:bCs/>
          <w:sz w:val="24"/>
          <w:szCs w:val="24"/>
          <w:highlight w:val="none"/>
        </w:rPr>
        <w:t>甲、乙双方根据</w:t>
      </w:r>
      <w:r>
        <w:rPr>
          <w:rFonts w:hint="eastAsia" w:ascii="宋体" w:hAnsi="宋体" w:cs="宋体"/>
          <w:bCs/>
          <w:sz w:val="24"/>
          <w:szCs w:val="24"/>
          <w:highlight w:val="none"/>
          <w:lang w:val="en-US"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日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w:t>
      </w:r>
      <w:r>
        <w:rPr>
          <w:rFonts w:hint="eastAsia" w:ascii="宋体" w:hAnsi="宋体" w:eastAsia="宋体" w:cs="宋体"/>
          <w:bCs/>
          <w:sz w:val="24"/>
          <w:szCs w:val="24"/>
          <w:highlight w:val="none"/>
          <w:lang w:eastAsia="zh-CN"/>
        </w:rPr>
        <w:t>项目编号</w:t>
      </w:r>
      <w:r>
        <w:rPr>
          <w:rFonts w:hint="eastAsia" w:ascii="宋体" w:hAnsi="宋体" w:eastAsia="宋体" w:cs="宋体"/>
          <w:bCs/>
          <w:sz w:val="24"/>
          <w:szCs w:val="24"/>
          <w:highlight w:val="none"/>
        </w:rPr>
        <w:t>）的谈判文件要求和采购机构出具的《成交通知书》，并经双方协商一致，达成合同总价款为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的</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项目采购合同：</w:t>
      </w:r>
    </w:p>
    <w:p w14:paraId="6286C0BA">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lang w:val="zh-CN"/>
        </w:rPr>
      </w:pPr>
      <w:bookmarkStart w:id="632" w:name="_Toc96_WPSOffice_Level1"/>
      <w:bookmarkStart w:id="633" w:name="_Toc6055_WPSOffice_Level1"/>
      <w:bookmarkStart w:id="634" w:name="_Toc6866_WPSOffice_Level1"/>
      <w:bookmarkStart w:id="635" w:name="_Toc29795_WPSOffice_Level1"/>
      <w:bookmarkStart w:id="636" w:name="_Toc16675_WPSOffice_Level1"/>
      <w:bookmarkStart w:id="637" w:name="_Toc28036_WPSOffice_Level1"/>
      <w:r>
        <w:rPr>
          <w:rFonts w:hint="eastAsia" w:ascii="宋体" w:hAnsi="宋体" w:eastAsia="宋体" w:cs="宋体"/>
          <w:b/>
          <w:bCs w:val="0"/>
          <w:sz w:val="28"/>
          <w:szCs w:val="28"/>
          <w:highlight w:val="none"/>
          <w:lang w:val="zh-CN"/>
        </w:rPr>
        <w:t>一、签订本政府采购合同的依据</w:t>
      </w:r>
      <w:bookmarkEnd w:id="632"/>
      <w:bookmarkEnd w:id="633"/>
      <w:bookmarkEnd w:id="634"/>
      <w:bookmarkEnd w:id="635"/>
      <w:bookmarkEnd w:id="636"/>
      <w:bookmarkEnd w:id="637"/>
    </w:p>
    <w:p w14:paraId="56AF5E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本政府采购合同所附下列文件是构成本政府采购合同不可分割的部分：</w:t>
      </w:r>
    </w:p>
    <w:p w14:paraId="0BC17BE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38" w:name="_Toc7329_WPSOffice_Level2"/>
      <w:bookmarkStart w:id="639" w:name="_Toc29065_WPSOffice_Level2"/>
      <w:bookmarkStart w:id="640" w:name="_Toc32479_WPSOffice_Level2"/>
      <w:r>
        <w:rPr>
          <w:rFonts w:hint="eastAsia" w:ascii="宋体" w:hAnsi="宋体" w:eastAsia="宋体" w:cs="宋体"/>
          <w:bCs/>
          <w:sz w:val="24"/>
          <w:szCs w:val="24"/>
          <w:highlight w:val="none"/>
          <w:lang w:val="zh-CN"/>
        </w:rPr>
        <w:t>1.谈判文件；</w:t>
      </w:r>
      <w:bookmarkEnd w:id="638"/>
      <w:bookmarkEnd w:id="639"/>
      <w:bookmarkEnd w:id="640"/>
    </w:p>
    <w:p w14:paraId="6009F15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41" w:name="_Toc8989_WPSOffice_Level2"/>
      <w:bookmarkStart w:id="642" w:name="_Toc22776_WPSOffice_Level2"/>
      <w:bookmarkStart w:id="643" w:name="_Toc28112_WPSOffice_Level2"/>
      <w:r>
        <w:rPr>
          <w:rFonts w:hint="eastAsia" w:ascii="宋体" w:hAnsi="宋体" w:eastAsia="宋体" w:cs="宋体"/>
          <w:bCs/>
          <w:sz w:val="24"/>
          <w:szCs w:val="24"/>
          <w:highlight w:val="none"/>
          <w:lang w:val="zh-CN"/>
        </w:rPr>
        <w:t>2.谈判文件的更正、变更公告；</w:t>
      </w:r>
      <w:bookmarkEnd w:id="641"/>
      <w:bookmarkEnd w:id="642"/>
      <w:bookmarkEnd w:id="643"/>
    </w:p>
    <w:p w14:paraId="5C64647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44" w:name="_Toc29795_WPSOffice_Level2"/>
      <w:bookmarkStart w:id="645" w:name="_Toc29221_WPSOffice_Level2"/>
      <w:bookmarkStart w:id="646" w:name="_Toc28651_WPSOffice_Level2"/>
      <w:r>
        <w:rPr>
          <w:rFonts w:hint="eastAsia" w:ascii="宋体" w:hAnsi="宋体" w:eastAsia="宋体" w:cs="宋体"/>
          <w:bCs/>
          <w:sz w:val="24"/>
          <w:szCs w:val="24"/>
          <w:highlight w:val="none"/>
          <w:lang w:val="zh-CN"/>
        </w:rPr>
        <w:t>3.成交供应商提交的谈判响应文件；</w:t>
      </w:r>
      <w:bookmarkEnd w:id="644"/>
      <w:bookmarkEnd w:id="645"/>
      <w:bookmarkEnd w:id="646"/>
    </w:p>
    <w:p w14:paraId="3A308C1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47" w:name="_Toc130_WPSOffice_Level2"/>
      <w:bookmarkStart w:id="648" w:name="_Toc13685_WPSOffice_Level2"/>
      <w:bookmarkStart w:id="649" w:name="_Toc10173_WPSOffice_Level2"/>
      <w:r>
        <w:rPr>
          <w:rFonts w:hint="eastAsia" w:ascii="宋体" w:hAnsi="宋体" w:eastAsia="宋体" w:cs="宋体"/>
          <w:bCs/>
          <w:sz w:val="24"/>
          <w:szCs w:val="24"/>
          <w:highlight w:val="none"/>
          <w:lang w:val="zh-CN"/>
        </w:rPr>
        <w:t>4.政府采购合同通用条款；</w:t>
      </w:r>
      <w:bookmarkEnd w:id="647"/>
      <w:bookmarkEnd w:id="648"/>
      <w:bookmarkEnd w:id="649"/>
    </w:p>
    <w:p w14:paraId="2B57485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50" w:name="_Toc16117_WPSOffice_Level2"/>
      <w:bookmarkStart w:id="651" w:name="_Toc22537_WPSOffice_Level2"/>
      <w:bookmarkStart w:id="652" w:name="_Toc1858_WPSOffice_Level2"/>
      <w:r>
        <w:rPr>
          <w:rFonts w:hint="eastAsia" w:ascii="宋体" w:hAnsi="宋体" w:eastAsia="宋体" w:cs="宋体"/>
          <w:bCs/>
          <w:sz w:val="24"/>
          <w:szCs w:val="24"/>
          <w:highlight w:val="none"/>
          <w:lang w:val="zh-CN"/>
        </w:rPr>
        <w:t>5.成交通知书；</w:t>
      </w:r>
      <w:bookmarkEnd w:id="650"/>
      <w:bookmarkEnd w:id="651"/>
      <w:bookmarkEnd w:id="652"/>
    </w:p>
    <w:p w14:paraId="2844B7F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53" w:name="_Toc21545_WPSOffice_Level2"/>
      <w:bookmarkStart w:id="654" w:name="_Toc5771_WPSOffice_Level2"/>
      <w:bookmarkStart w:id="655" w:name="_Toc30677_WPSOffice_Level2"/>
      <w:r>
        <w:rPr>
          <w:rFonts w:hint="eastAsia" w:ascii="宋体" w:hAnsi="宋体" w:eastAsia="宋体" w:cs="宋体"/>
          <w:bCs/>
          <w:sz w:val="24"/>
          <w:szCs w:val="24"/>
          <w:highlight w:val="none"/>
          <w:lang w:val="zh-CN"/>
        </w:rPr>
        <w:t>6.履约保证金缴费证明</w:t>
      </w:r>
      <w:r>
        <w:rPr>
          <w:rFonts w:hint="eastAsia" w:ascii="宋体" w:hAnsi="宋体" w:cs="宋体"/>
          <w:bCs/>
          <w:sz w:val="24"/>
          <w:szCs w:val="24"/>
          <w:highlight w:val="none"/>
          <w:lang w:val="zh-CN"/>
        </w:rPr>
        <w:t>（如有）</w:t>
      </w:r>
      <w:r>
        <w:rPr>
          <w:rFonts w:hint="eastAsia" w:ascii="宋体" w:hAnsi="宋体" w:eastAsia="宋体" w:cs="宋体"/>
          <w:bCs/>
          <w:sz w:val="24"/>
          <w:szCs w:val="24"/>
          <w:highlight w:val="none"/>
          <w:lang w:val="zh-CN"/>
        </w:rPr>
        <w:t>；</w:t>
      </w:r>
      <w:bookmarkEnd w:id="653"/>
      <w:bookmarkEnd w:id="654"/>
      <w:bookmarkEnd w:id="655"/>
    </w:p>
    <w:p w14:paraId="0405990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656" w:name="_Toc8581_WPSOffice_Level2"/>
      <w:bookmarkStart w:id="657" w:name="_Toc32599_WPSOffice_Level2"/>
      <w:bookmarkStart w:id="658" w:name="_Toc2205_WPSOffice_Level2"/>
      <w:r>
        <w:rPr>
          <w:rFonts w:hint="eastAsia" w:ascii="宋体" w:hAnsi="宋体" w:eastAsia="宋体" w:cs="宋体"/>
          <w:bCs/>
          <w:sz w:val="24"/>
          <w:szCs w:val="24"/>
          <w:highlight w:val="none"/>
        </w:rPr>
        <w:t>7.预算单位政府采购计划备案表。</w:t>
      </w:r>
      <w:bookmarkEnd w:id="656"/>
      <w:bookmarkEnd w:id="657"/>
      <w:bookmarkEnd w:id="658"/>
    </w:p>
    <w:p w14:paraId="6A4DDCFE">
      <w:pPr>
        <w:widowControl w:val="0"/>
        <w:wordWrap/>
        <w:adjustRightInd w:val="0"/>
        <w:snapToGrid w:val="0"/>
        <w:spacing w:line="560" w:lineRule="exact"/>
        <w:ind w:firstLine="562" w:firstLineChars="200"/>
        <w:jc w:val="left"/>
        <w:textAlignment w:val="auto"/>
        <w:outlineLvl w:val="9"/>
        <w:rPr>
          <w:rFonts w:hint="eastAsia" w:ascii="宋体" w:hAnsi="宋体" w:eastAsia="宋体" w:cs="宋体"/>
          <w:bCs/>
          <w:sz w:val="24"/>
          <w:szCs w:val="24"/>
          <w:highlight w:val="none"/>
          <w:lang w:val="zh-CN"/>
        </w:rPr>
      </w:pPr>
      <w:bookmarkStart w:id="659" w:name="_Toc29813_WPSOffice_Level1"/>
      <w:bookmarkStart w:id="660" w:name="_Toc12658_WPSOffice_Level1"/>
      <w:bookmarkStart w:id="661" w:name="_Toc7426_WPSOffice_Level1"/>
      <w:bookmarkStart w:id="662" w:name="_Toc10173_WPSOffice_Level1"/>
      <w:bookmarkStart w:id="663" w:name="_Toc10843_WPSOffice_Level1"/>
      <w:bookmarkStart w:id="664" w:name="_Toc4921_WPSOffice_Level1"/>
      <w:r>
        <w:rPr>
          <w:rFonts w:hint="eastAsia" w:ascii="宋体" w:hAnsi="宋体" w:eastAsia="宋体" w:cs="宋体"/>
          <w:b/>
          <w:bCs w:val="0"/>
          <w:sz w:val="28"/>
          <w:szCs w:val="28"/>
          <w:highlight w:val="none"/>
          <w:lang w:val="zh-CN"/>
        </w:rPr>
        <w:t xml:space="preserve">二、合同标的及金额  </w:t>
      </w:r>
      <w:r>
        <w:rPr>
          <w:rFonts w:hint="eastAsia" w:ascii="宋体" w:hAnsi="宋体" w:eastAsia="宋体" w:cs="宋体"/>
          <w:bCs/>
          <w:sz w:val="28"/>
          <w:szCs w:val="28"/>
          <w:highlight w:val="none"/>
          <w:lang w:val="zh-CN"/>
        </w:rPr>
        <w:t xml:space="preserve">                                     </w:t>
      </w:r>
      <w:r>
        <w:rPr>
          <w:rFonts w:hint="eastAsia" w:ascii="宋体" w:hAnsi="宋体" w:eastAsia="宋体" w:cs="宋体"/>
          <w:bCs/>
          <w:sz w:val="24"/>
          <w:szCs w:val="24"/>
          <w:highlight w:val="none"/>
          <w:lang w:val="zh-CN"/>
        </w:rPr>
        <w:t>单位：元</w:t>
      </w:r>
      <w:bookmarkEnd w:id="659"/>
      <w:bookmarkEnd w:id="660"/>
      <w:bookmarkEnd w:id="661"/>
      <w:bookmarkEnd w:id="662"/>
      <w:bookmarkEnd w:id="663"/>
      <w:bookmarkEnd w:id="664"/>
    </w:p>
    <w:tbl>
      <w:tblPr>
        <w:tblStyle w:val="19"/>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8"/>
        <w:gridCol w:w="1330"/>
        <w:gridCol w:w="2229"/>
        <w:gridCol w:w="1279"/>
        <w:gridCol w:w="1151"/>
        <w:gridCol w:w="1149"/>
        <w:gridCol w:w="1444"/>
      </w:tblGrid>
      <w:tr w14:paraId="2E58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0928968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cs="宋体"/>
                <w:bCs/>
                <w:sz w:val="24"/>
                <w:szCs w:val="24"/>
                <w:highlight w:val="none"/>
                <w:lang w:val="zh-CN"/>
              </w:rPr>
              <w:t>序</w:t>
            </w:r>
            <w:r>
              <w:rPr>
                <w:rFonts w:hint="eastAsia" w:ascii="宋体" w:hAnsi="宋体" w:eastAsia="宋体" w:cs="宋体"/>
                <w:bCs/>
                <w:sz w:val="24"/>
                <w:szCs w:val="24"/>
                <w:highlight w:val="none"/>
                <w:lang w:val="zh-CN"/>
              </w:rPr>
              <w:t>号</w:t>
            </w:r>
          </w:p>
        </w:tc>
        <w:tc>
          <w:tcPr>
            <w:tcW w:w="1330" w:type="dxa"/>
            <w:tcBorders>
              <w:top w:val="single" w:color="auto" w:sz="4" w:space="0"/>
              <w:left w:val="single" w:color="auto" w:sz="4" w:space="0"/>
              <w:bottom w:val="single" w:color="auto" w:sz="4" w:space="0"/>
              <w:right w:val="single" w:color="auto" w:sz="4" w:space="0"/>
            </w:tcBorders>
            <w:vAlign w:val="center"/>
          </w:tcPr>
          <w:p w14:paraId="072F4DF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标的名称</w:t>
            </w:r>
          </w:p>
        </w:tc>
        <w:tc>
          <w:tcPr>
            <w:tcW w:w="2229" w:type="dxa"/>
            <w:tcBorders>
              <w:top w:val="single" w:color="auto" w:sz="4" w:space="0"/>
              <w:left w:val="single" w:color="auto" w:sz="4" w:space="0"/>
              <w:bottom w:val="single" w:color="auto" w:sz="4" w:space="0"/>
              <w:right w:val="single" w:color="auto" w:sz="4" w:space="0"/>
            </w:tcBorders>
            <w:vAlign w:val="center"/>
          </w:tcPr>
          <w:p w14:paraId="0EAF461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型号规格</w:t>
            </w:r>
          </w:p>
        </w:tc>
        <w:tc>
          <w:tcPr>
            <w:tcW w:w="1279" w:type="dxa"/>
            <w:tcBorders>
              <w:top w:val="single" w:color="auto" w:sz="4" w:space="0"/>
              <w:left w:val="single" w:color="auto" w:sz="4" w:space="0"/>
              <w:bottom w:val="single" w:color="auto" w:sz="4" w:space="0"/>
              <w:right w:val="single" w:color="auto" w:sz="4" w:space="0"/>
            </w:tcBorders>
            <w:vAlign w:val="center"/>
          </w:tcPr>
          <w:p w14:paraId="3EB7062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数量</w:t>
            </w:r>
          </w:p>
        </w:tc>
        <w:tc>
          <w:tcPr>
            <w:tcW w:w="1151" w:type="dxa"/>
            <w:tcBorders>
              <w:top w:val="single" w:color="auto" w:sz="4" w:space="0"/>
              <w:left w:val="single" w:color="auto" w:sz="4" w:space="0"/>
              <w:bottom w:val="single" w:color="auto" w:sz="4" w:space="0"/>
              <w:right w:val="single" w:color="auto" w:sz="4" w:space="0"/>
            </w:tcBorders>
            <w:vAlign w:val="center"/>
          </w:tcPr>
          <w:p w14:paraId="44D3994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14:paraId="327B7D3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总价</w:t>
            </w:r>
          </w:p>
        </w:tc>
        <w:tc>
          <w:tcPr>
            <w:tcW w:w="1444" w:type="dxa"/>
            <w:tcBorders>
              <w:top w:val="single" w:color="auto" w:sz="4" w:space="0"/>
              <w:left w:val="single" w:color="auto" w:sz="4" w:space="0"/>
              <w:bottom w:val="single" w:color="auto" w:sz="4" w:space="0"/>
              <w:right w:val="single" w:color="auto" w:sz="4" w:space="0"/>
            </w:tcBorders>
            <w:vAlign w:val="center"/>
          </w:tcPr>
          <w:p w14:paraId="0530C05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备注</w:t>
            </w:r>
          </w:p>
        </w:tc>
      </w:tr>
      <w:tr w14:paraId="6911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4B3450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330" w:type="dxa"/>
            <w:tcBorders>
              <w:top w:val="single" w:color="auto" w:sz="4" w:space="0"/>
              <w:left w:val="single" w:color="auto" w:sz="4" w:space="0"/>
              <w:bottom w:val="single" w:color="auto" w:sz="4" w:space="0"/>
              <w:right w:val="single" w:color="auto" w:sz="4" w:space="0"/>
            </w:tcBorders>
            <w:vAlign w:val="center"/>
          </w:tcPr>
          <w:p w14:paraId="76EEEC2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vAlign w:val="center"/>
          </w:tcPr>
          <w:p w14:paraId="766B405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77BE051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1722ACF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4ED5D8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444" w:type="dxa"/>
            <w:tcBorders>
              <w:top w:val="single" w:color="auto" w:sz="4" w:space="0"/>
              <w:left w:val="single" w:color="auto" w:sz="4" w:space="0"/>
              <w:bottom w:val="single" w:color="auto" w:sz="4" w:space="0"/>
              <w:right w:val="single" w:color="auto" w:sz="4" w:space="0"/>
            </w:tcBorders>
            <w:vAlign w:val="center"/>
          </w:tcPr>
          <w:p w14:paraId="123213B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r>
      <w:tr w14:paraId="0991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4947505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330" w:type="dxa"/>
            <w:tcBorders>
              <w:top w:val="single" w:color="auto" w:sz="4" w:space="0"/>
              <w:left w:val="single" w:color="auto" w:sz="4" w:space="0"/>
              <w:bottom w:val="single" w:color="auto" w:sz="4" w:space="0"/>
              <w:right w:val="single" w:color="auto" w:sz="4" w:space="0"/>
            </w:tcBorders>
            <w:vAlign w:val="center"/>
          </w:tcPr>
          <w:p w14:paraId="4A97296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vAlign w:val="center"/>
          </w:tcPr>
          <w:p w14:paraId="051B1FF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09823B4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138C03F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70E779F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444" w:type="dxa"/>
            <w:tcBorders>
              <w:top w:val="single" w:color="auto" w:sz="4" w:space="0"/>
              <w:left w:val="single" w:color="auto" w:sz="4" w:space="0"/>
              <w:bottom w:val="single" w:color="auto" w:sz="4" w:space="0"/>
              <w:right w:val="single" w:color="auto" w:sz="4" w:space="0"/>
            </w:tcBorders>
            <w:vAlign w:val="center"/>
          </w:tcPr>
          <w:p w14:paraId="4956160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r>
    </w:tbl>
    <w:p w14:paraId="75540A4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根据上述政府采购合同文件要求，本政府采购合同的总金额为人民币</w:t>
      </w:r>
      <w:r>
        <w:rPr>
          <w:rFonts w:hint="eastAsia" w:ascii="宋体" w:hAnsi="宋体" w:cs="宋体"/>
          <w:bCs/>
          <w:sz w:val="24"/>
          <w:szCs w:val="24"/>
          <w:highlight w:val="none"/>
          <w:lang w:val="zh-CN"/>
        </w:rPr>
        <w:t>（小写）</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none"/>
          <w:lang w:val="en-US" w:eastAsia="zh-CN"/>
        </w:rPr>
        <w:t>元，</w:t>
      </w:r>
      <w:r>
        <w:rPr>
          <w:rFonts w:hint="eastAsia" w:ascii="宋体" w:hAnsi="宋体" w:eastAsia="宋体" w:cs="宋体"/>
          <w:bCs/>
          <w:sz w:val="24"/>
          <w:szCs w:val="24"/>
          <w:highlight w:val="none"/>
          <w:lang w:val="zh-CN"/>
        </w:rPr>
        <w:t>（大写）</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 xml:space="preserve"> 。</w:t>
      </w:r>
    </w:p>
    <w:p w14:paraId="403711C0">
      <w:pPr>
        <w:autoSpaceDE w:val="0"/>
        <w:autoSpaceDN w:val="0"/>
        <w:spacing w:line="360" w:lineRule="auto"/>
        <w:ind w:firstLine="360"/>
        <w:rPr>
          <w:rFonts w:hint="eastAsia" w:ascii="宋体" w:hAnsi="宋体" w:cs="宋体"/>
          <w:color w:val="000000"/>
          <w:kern w:val="0"/>
          <w:sz w:val="18"/>
          <w:szCs w:val="21"/>
          <w:highlight w:val="none"/>
        </w:rPr>
      </w:pPr>
      <w:r>
        <w:rPr>
          <w:rFonts w:hint="eastAsia" w:ascii="宋体" w:hAnsi="宋体" w:eastAsia="宋体" w:cs="宋体"/>
          <w:bCs/>
          <w:sz w:val="24"/>
          <w:szCs w:val="24"/>
          <w:highlight w:val="none"/>
          <w:lang w:val="zh-CN"/>
        </w:rPr>
        <w:t>本合同以人民币进行结算，合同总价包括</w:t>
      </w:r>
      <w:bookmarkStart w:id="665" w:name="_Toc7098_WPSOffice_Level1"/>
      <w:bookmarkStart w:id="666" w:name="_Toc23899_WPSOffice_Level1"/>
      <w:bookmarkStart w:id="667" w:name="_Toc20423_WPSOffice_Level1"/>
      <w:bookmarkStart w:id="668" w:name="_Toc22537_WPSOffice_Level1"/>
      <w:bookmarkStart w:id="669" w:name="_Toc28888_WPSOffice_Level1"/>
      <w:bookmarkStart w:id="670" w:name="_Toc6168_WPSOffice_Level1"/>
      <w:r>
        <w:rPr>
          <w:rFonts w:hint="eastAsia" w:ascii="宋体" w:hAnsi="宋体" w:cs="宋体"/>
          <w:bCs/>
          <w:sz w:val="24"/>
          <w:szCs w:val="24"/>
          <w:highlight w:val="none"/>
          <w:lang w:val="zh-CN"/>
        </w:rPr>
        <w:t>：</w:t>
      </w:r>
      <w:r>
        <w:rPr>
          <w:rFonts w:hint="eastAsia" w:ascii="宋体" w:hAnsi="宋体" w:eastAsia="宋体" w:cs="宋体"/>
          <w:bCs/>
          <w:sz w:val="24"/>
          <w:szCs w:val="24"/>
          <w:highlight w:val="none"/>
          <w:lang w:val="zh-CN"/>
        </w:rPr>
        <w:t>产品费、验收费、手续费、包装费、运输费、保险费、培训费、售前售中售后服务费、税金及不可预见费等全部费用。</w:t>
      </w:r>
    </w:p>
    <w:p w14:paraId="6DFF03BF">
      <w:pPr>
        <w:widowControl w:val="0"/>
        <w:shd w:val="clear"/>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lang w:val="zh-CN"/>
        </w:rPr>
        <w:t>三、交付时间、地点和要求</w:t>
      </w:r>
      <w:bookmarkEnd w:id="665"/>
      <w:bookmarkEnd w:id="666"/>
      <w:bookmarkEnd w:id="667"/>
      <w:bookmarkEnd w:id="668"/>
      <w:bookmarkEnd w:id="669"/>
      <w:bookmarkEnd w:id="670"/>
    </w:p>
    <w:p w14:paraId="7D96ABD2">
      <w:pPr>
        <w:widowControl w:val="0"/>
        <w:shd w:val="clear"/>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交</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zh-CN"/>
        </w:rPr>
        <w:t>货</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zh-CN"/>
        </w:rPr>
        <w:t>期：签订合同后</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val="en-US" w:eastAsia="zh-CN"/>
        </w:rPr>
        <w:t>0日内</w:t>
      </w:r>
      <w:r>
        <w:rPr>
          <w:rFonts w:hint="eastAsia" w:ascii="宋体" w:hAnsi="宋体" w:cs="宋体"/>
          <w:bCs/>
          <w:sz w:val="24"/>
          <w:szCs w:val="24"/>
          <w:highlight w:val="none"/>
          <w:lang w:val="en-US" w:eastAsia="zh-CN"/>
        </w:rPr>
        <w:t>供货及安装完成</w:t>
      </w:r>
      <w:r>
        <w:rPr>
          <w:rFonts w:hint="eastAsia" w:ascii="宋体" w:hAnsi="宋体" w:eastAsia="宋体" w:cs="宋体"/>
          <w:bCs/>
          <w:sz w:val="24"/>
          <w:szCs w:val="24"/>
          <w:highlight w:val="none"/>
          <w:lang w:val="en-US" w:eastAsia="zh-CN"/>
        </w:rPr>
        <w:t>；</w:t>
      </w:r>
    </w:p>
    <w:p w14:paraId="09C97E10">
      <w:pPr>
        <w:widowControl w:val="0"/>
        <w:shd w:val="clear"/>
        <w:wordWrap/>
        <w:adjustRightInd w:val="0"/>
        <w:snapToGrid w:val="0"/>
        <w:spacing w:line="560" w:lineRule="exact"/>
        <w:ind w:firstLine="720" w:firstLineChars="3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交货地点：甲方指定地点。</w:t>
      </w:r>
    </w:p>
    <w:p w14:paraId="7DB768AB">
      <w:pPr>
        <w:widowControl w:val="0"/>
        <w:shd w:val="clear"/>
        <w:wordWrap/>
        <w:adjustRightInd w:val="0"/>
        <w:snapToGrid w:val="0"/>
        <w:spacing w:line="560" w:lineRule="exact"/>
        <w:ind w:firstLine="720" w:firstLineChars="300"/>
        <w:textAlignment w:val="auto"/>
        <w:outlineLvl w:val="9"/>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zh-CN"/>
        </w:rPr>
        <w:t>质保期：</w:t>
      </w:r>
      <w:r>
        <w:rPr>
          <w:rFonts w:hint="eastAsia" w:ascii="宋体" w:hAnsi="宋体" w:cs="宋体"/>
          <w:bCs/>
          <w:sz w:val="24"/>
          <w:szCs w:val="24"/>
          <w:highlight w:val="none"/>
          <w:lang w:val="en-US" w:eastAsia="zh-CN"/>
        </w:rPr>
        <w:t>1年。</w:t>
      </w:r>
    </w:p>
    <w:p w14:paraId="33AB755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乙方提供不符合谈判文件、谈判响应文件和本合同规定的产品，甲方有权拒绝接受。</w:t>
      </w:r>
    </w:p>
    <w:p w14:paraId="6A11BF4E">
      <w:pPr>
        <w:pStyle w:val="29"/>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3.</w:t>
      </w:r>
      <w:r>
        <w:rPr>
          <w:rFonts w:hint="eastAsia" w:ascii="宋体" w:hAnsi="宋体" w:eastAsia="宋体" w:cs="宋体"/>
          <w:bCs/>
          <w:kern w:val="2"/>
          <w:sz w:val="24"/>
          <w:szCs w:val="24"/>
          <w:highlight w:val="none"/>
          <w:lang w:val="zh-CN" w:eastAsia="zh-CN" w:bidi="ar-SA"/>
        </w:rPr>
        <w:t>乙方在签订合同时</w:t>
      </w:r>
      <w:r>
        <w:rPr>
          <w:rFonts w:hint="eastAsia" w:ascii="宋体" w:hAnsi="宋体" w:eastAsia="宋体" w:cs="宋体"/>
          <w:bCs/>
          <w:kern w:val="2"/>
          <w:sz w:val="24"/>
          <w:szCs w:val="24"/>
          <w:highlight w:val="none"/>
          <w:lang w:val="en-US" w:eastAsia="zh-CN" w:bidi="ar-SA"/>
        </w:rPr>
        <w:t>必须提供有效的</w:t>
      </w:r>
      <w:r>
        <w:rPr>
          <w:rFonts w:hint="eastAsia" w:ascii="宋体" w:hAnsi="宋体" w:eastAsia="宋体" w:cs="宋体"/>
          <w:color w:val="000000"/>
          <w:sz w:val="24"/>
          <w:szCs w:val="24"/>
          <w:lang w:val="en-US" w:eastAsia="zh-CN"/>
        </w:rPr>
        <w:t>产地检疫证</w:t>
      </w:r>
      <w:r>
        <w:rPr>
          <w:rFonts w:hint="eastAsia" w:ascii="宋体" w:hAnsi="宋体" w:eastAsia="宋体" w:cs="宋体"/>
          <w:bCs/>
          <w:kern w:val="2"/>
          <w:sz w:val="24"/>
          <w:szCs w:val="24"/>
          <w:highlight w:val="none"/>
          <w:lang w:val="en-US" w:eastAsia="zh-CN" w:bidi="ar-SA"/>
        </w:rPr>
        <w:t>，否则甲方拒绝接受。</w:t>
      </w:r>
    </w:p>
    <w:p w14:paraId="0843DEDB">
      <w:pPr>
        <w:pStyle w:val="29"/>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4. 甲方应当在到货（安装）后个工作日内进行验收。验收合格后，由甲乙双方签署产品验收单并加盖采购人公章，甲乙双方各执一份。</w:t>
      </w:r>
    </w:p>
    <w:p w14:paraId="55FAEC80">
      <w:pPr>
        <w:pStyle w:val="29"/>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5. 甲方应提供该项目验收报告交同级财政监管部门，由财政部门按规定程序抽验后办理资金拨付。</w:t>
      </w:r>
    </w:p>
    <w:p w14:paraId="7AA0D4FE">
      <w:pPr>
        <w:pStyle w:val="29"/>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6. 甲方在履行合同过程中发现乙方有违约问题，可按谈判文件、谈判响应文件的规定要求乙方及时予以解决。</w:t>
      </w:r>
    </w:p>
    <w:p w14:paraId="006186A2">
      <w:pPr>
        <w:pStyle w:val="29"/>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7.乙方向甲方提供产品相关完税销售发票。</w:t>
      </w:r>
    </w:p>
    <w:p w14:paraId="5F9F1C29">
      <w:pPr>
        <w:pStyle w:val="29"/>
        <w:numPr>
          <w:ilvl w:val="0"/>
          <w:numId w:val="0"/>
        </w:numPr>
        <w:spacing w:before="40" w:line="360" w:lineRule="auto"/>
        <w:ind w:left="0" w:leftChars="0" w:right="58" w:rightChars="0" w:firstLine="480" w:firstLineChars="200"/>
        <w:rPr>
          <w:rFonts w:hint="eastAsia" w:ascii="宋体" w:hAnsi="宋体" w:eastAsia="宋体" w:cs="宋体"/>
          <w:b/>
          <w:bCs w:val="0"/>
          <w:sz w:val="28"/>
          <w:szCs w:val="28"/>
          <w:highlight w:val="none"/>
        </w:rPr>
      </w:pPr>
      <w:r>
        <w:rPr>
          <w:rFonts w:hint="eastAsia" w:ascii="宋体" w:hAnsi="宋体" w:eastAsia="宋体" w:cs="宋体"/>
          <w:bCs/>
          <w:kern w:val="2"/>
          <w:sz w:val="24"/>
          <w:szCs w:val="24"/>
          <w:highlight w:val="none"/>
          <w:lang w:val="en-US" w:eastAsia="zh-CN" w:bidi="ar-SA"/>
        </w:rPr>
        <w:t xml:space="preserve">    </w:t>
      </w:r>
      <w:bookmarkStart w:id="671" w:name="_Toc5771_WPSOffice_Level1"/>
      <w:bookmarkStart w:id="672" w:name="_Toc32406_WPSOffice_Level1"/>
      <w:bookmarkStart w:id="673" w:name="_Toc23122_WPSOffice_Level1"/>
      <w:bookmarkStart w:id="674" w:name="_Toc2306_WPSOffice_Level1"/>
      <w:bookmarkStart w:id="675" w:name="_Toc29015_WPSOffice_Level1"/>
      <w:bookmarkStart w:id="676" w:name="_Toc19609_WPSOffice_Level1"/>
      <w:r>
        <w:rPr>
          <w:rFonts w:hint="eastAsia" w:ascii="宋体" w:hAnsi="宋体" w:eastAsia="宋体" w:cs="宋体"/>
          <w:b/>
          <w:bCs w:val="0"/>
          <w:sz w:val="28"/>
          <w:szCs w:val="28"/>
          <w:highlight w:val="none"/>
        </w:rPr>
        <w:t>四、付款方式</w:t>
      </w:r>
      <w:bookmarkEnd w:id="671"/>
      <w:bookmarkEnd w:id="672"/>
      <w:bookmarkEnd w:id="673"/>
      <w:bookmarkEnd w:id="674"/>
      <w:bookmarkEnd w:id="675"/>
      <w:bookmarkEnd w:id="676"/>
    </w:p>
    <w:p w14:paraId="79D901FD">
      <w:pPr>
        <w:widowControl w:val="0"/>
        <w:wordWrap/>
        <w:adjustRightInd w:val="0"/>
        <w:snapToGrid w:val="0"/>
        <w:spacing w:line="560" w:lineRule="exact"/>
        <w:ind w:firstLine="480" w:firstLineChars="200"/>
        <w:textAlignment w:val="auto"/>
        <w:outlineLvl w:val="9"/>
        <w:rPr>
          <w:rFonts w:hint="eastAsia" w:ascii="宋体" w:hAnsi="宋体" w:cs="宋体"/>
          <w:color w:val="auto"/>
          <w:kern w:val="2"/>
          <w:sz w:val="24"/>
          <w:szCs w:val="24"/>
          <w:highlight w:val="none"/>
          <w:lang w:val="zh-CN" w:eastAsia="zh-CN" w:bidi="ar-SA"/>
        </w:rPr>
      </w:pPr>
      <w:bookmarkStart w:id="677" w:name="_Toc4945_WPSOffice_Level1"/>
      <w:bookmarkStart w:id="678" w:name="_Toc9071_WPSOffice_Level1"/>
      <w:bookmarkStart w:id="679" w:name="_Toc26468_WPSOffice_Level1"/>
      <w:bookmarkStart w:id="680" w:name="_Toc4233_WPSOffice_Level1"/>
      <w:bookmarkStart w:id="681" w:name="_Toc8581_WPSOffice_Level1"/>
      <w:bookmarkStart w:id="682" w:name="_Toc1156_WPSOffice_Level1"/>
      <w:r>
        <w:rPr>
          <w:rFonts w:hint="eastAsia" w:ascii="宋体" w:hAnsi="宋体" w:eastAsia="宋体" w:cs="宋体"/>
          <w:color w:val="auto"/>
          <w:kern w:val="2"/>
          <w:sz w:val="24"/>
          <w:szCs w:val="24"/>
          <w:highlight w:val="none"/>
          <w:lang w:val="zh-CN" w:eastAsia="zh-CN" w:bidi="ar-SA"/>
        </w:rPr>
        <w:t>合同签定后，甲方向中标单位支付合同金额的</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0%，待货物送达到</w:t>
      </w:r>
      <w:r>
        <w:rPr>
          <w:rFonts w:hint="eastAsia" w:ascii="宋体" w:hAnsi="宋体" w:cs="宋体"/>
          <w:color w:val="auto"/>
          <w:kern w:val="2"/>
          <w:sz w:val="24"/>
          <w:szCs w:val="24"/>
          <w:highlight w:val="none"/>
          <w:lang w:val="en-US" w:eastAsia="zh-CN" w:bidi="ar-SA"/>
        </w:rPr>
        <w:t>甲方指定地点验收合格且无质量问题后</w:t>
      </w:r>
      <w:r>
        <w:rPr>
          <w:rFonts w:hint="eastAsia" w:ascii="宋体" w:hAnsi="宋体" w:eastAsia="宋体" w:cs="宋体"/>
          <w:color w:val="auto"/>
          <w:kern w:val="2"/>
          <w:sz w:val="24"/>
          <w:szCs w:val="24"/>
          <w:highlight w:val="none"/>
          <w:lang w:val="zh-CN" w:eastAsia="zh-CN" w:bidi="ar-SA"/>
        </w:rPr>
        <w:t>，支付支付合同金额的</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0%</w:t>
      </w:r>
      <w:r>
        <w:rPr>
          <w:rFonts w:hint="eastAsia" w:ascii="宋体" w:hAnsi="宋体" w:cs="宋体"/>
          <w:color w:val="auto"/>
          <w:kern w:val="2"/>
          <w:sz w:val="24"/>
          <w:szCs w:val="24"/>
          <w:highlight w:val="none"/>
          <w:lang w:val="zh-CN" w:eastAsia="zh-CN" w:bidi="ar-SA"/>
        </w:rPr>
        <w:t>。</w:t>
      </w:r>
    </w:p>
    <w:p w14:paraId="4CB5055B">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lang w:val="zh-CN"/>
        </w:rPr>
        <w:t>五、合同的变更、终止与转让</w:t>
      </w:r>
      <w:bookmarkEnd w:id="677"/>
      <w:bookmarkEnd w:id="678"/>
      <w:bookmarkEnd w:id="679"/>
      <w:bookmarkEnd w:id="680"/>
      <w:bookmarkEnd w:id="681"/>
      <w:bookmarkEnd w:id="682"/>
    </w:p>
    <w:p w14:paraId="05FB1A4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除《中华人民共和国政府采购法》第</w:t>
      </w:r>
      <w:r>
        <w:rPr>
          <w:rFonts w:hint="eastAsia" w:ascii="宋体" w:hAnsi="宋体" w:eastAsia="宋体" w:cs="宋体"/>
          <w:bCs/>
          <w:sz w:val="24"/>
          <w:szCs w:val="24"/>
          <w:highlight w:val="none"/>
        </w:rPr>
        <w:t>50</w:t>
      </w:r>
      <w:r>
        <w:rPr>
          <w:rFonts w:hint="eastAsia" w:ascii="宋体" w:hAnsi="宋体" w:eastAsia="宋体" w:cs="宋体"/>
          <w:bCs/>
          <w:sz w:val="24"/>
          <w:szCs w:val="24"/>
          <w:highlight w:val="none"/>
          <w:lang w:val="zh-CN"/>
        </w:rPr>
        <w:t>条规定的情形外，本合同一经签订，甲乙双方不得擅自变更、中止或终止。</w:t>
      </w:r>
    </w:p>
    <w:p w14:paraId="15AA85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乙方不得擅自转让其应履行的合同义务。</w:t>
      </w:r>
    </w:p>
    <w:p w14:paraId="102E3D0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683" w:name="_Toc29941_WPSOffice_Level1"/>
      <w:bookmarkStart w:id="684" w:name="_Toc20231_WPSOffice_Level1"/>
      <w:bookmarkStart w:id="685" w:name="_Toc27090_WPSOffice_Level1"/>
      <w:bookmarkStart w:id="686" w:name="_Toc2669_WPSOffice_Level1"/>
      <w:bookmarkStart w:id="687" w:name="_Toc14930_WPSOffice_Level1"/>
      <w:bookmarkStart w:id="688" w:name="_Toc21200_WPSOffice_Level1"/>
      <w:r>
        <w:rPr>
          <w:rFonts w:hint="eastAsia" w:ascii="宋体" w:hAnsi="宋体" w:eastAsia="宋体" w:cs="宋体"/>
          <w:bCs/>
          <w:sz w:val="24"/>
          <w:szCs w:val="24"/>
          <w:highlight w:val="none"/>
          <w:lang w:val="zh-CN"/>
        </w:rPr>
        <w:t>六、违约责任</w:t>
      </w:r>
      <w:bookmarkEnd w:id="683"/>
      <w:bookmarkEnd w:id="684"/>
      <w:bookmarkEnd w:id="685"/>
      <w:bookmarkEnd w:id="686"/>
      <w:bookmarkEnd w:id="687"/>
      <w:bookmarkEnd w:id="688"/>
    </w:p>
    <w:p w14:paraId="023B4E0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乙方所提供的产品规格、技术标准、材料等质量不合格的，应及时更换；更换不及时的，按逾期交货承担违约责任；因质量问题甲方不同意接收的，甲方有权扣除质保金（或履约保证金），并由乙方赔偿由此引起的甲方的一切经济损失。</w:t>
      </w:r>
    </w:p>
    <w:p w14:paraId="67EBB5D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乙方提供的货物如侵犯了第三方权益而引发纠纷或诉讼的，均由乙方负责交涉并承担全部责任。</w:t>
      </w:r>
    </w:p>
    <w:p w14:paraId="19FC9DC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zh-CN"/>
        </w:rPr>
        <w:t>因包装、运输引起的货物损坏，甲方有权拒收。</w:t>
      </w:r>
    </w:p>
    <w:p w14:paraId="1C3C446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zh-CN"/>
        </w:rPr>
        <w:t>甲方无故延期接受货物和乙方逾期交货的，每天应向对方偿付未交货物的货款</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lang w:val="zh-CN"/>
        </w:rPr>
        <w:t>的违约金，但违约金累计不得超过违约货款的</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，超过</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val="zh-CN"/>
        </w:rPr>
        <w:t>天对方有权解除合同，违约方承担因此给对方造成的经济损失</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zh-CN"/>
        </w:rPr>
        <w:t>。</w:t>
      </w:r>
    </w:p>
    <w:p w14:paraId="3329BC4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乙方未按本合同和响应文件中规定的服务承诺提供售后服务的，乙方应按本合同合计金额的</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向甲方支付违约金。</w:t>
      </w:r>
    </w:p>
    <w:p w14:paraId="563482F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zh-CN"/>
        </w:rPr>
        <w:t>乙方提供的货物在质量保证期内，因设计、工艺或材料的缺陷和其它质量原因造成的问题，由乙方负责，费用从质量保证金中扣除，不足另补。</w:t>
      </w:r>
    </w:p>
    <w:p w14:paraId="253AA44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8"/>
          <w:szCs w:val="28"/>
          <w:highlight w:val="none"/>
        </w:rPr>
      </w:pPr>
      <w:r>
        <w:rPr>
          <w:rFonts w:hint="eastAsia" w:ascii="宋体" w:hAnsi="宋体" w:eastAsia="宋体" w:cs="宋体"/>
          <w:bCs/>
          <w:sz w:val="24"/>
          <w:szCs w:val="24"/>
          <w:highlight w:val="none"/>
        </w:rPr>
        <w:t>7.</w:t>
      </w:r>
      <w:r>
        <w:rPr>
          <w:rFonts w:hint="eastAsia" w:ascii="宋体" w:hAnsi="宋体" w:eastAsia="宋体" w:cs="宋体"/>
          <w:bCs/>
          <w:sz w:val="24"/>
          <w:szCs w:val="24"/>
          <w:highlight w:val="none"/>
          <w:lang w:val="zh-CN"/>
        </w:rPr>
        <w:t>其它违约行为按违约货款额</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收取违约金并赔偿经济损失。</w:t>
      </w:r>
    </w:p>
    <w:p w14:paraId="1819BA22">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bookmarkStart w:id="689" w:name="_Toc2021_WPSOffice_Level1"/>
      <w:bookmarkStart w:id="690" w:name="_Toc31682_WPSOffice_Level1"/>
      <w:bookmarkStart w:id="691" w:name="_Toc4924_WPSOffice_Level1"/>
      <w:bookmarkStart w:id="692" w:name="_Toc13664_WPSOffice_Level1"/>
      <w:bookmarkStart w:id="693" w:name="_Toc2639_WPSOffice_Level1"/>
      <w:bookmarkStart w:id="694" w:name="_Toc29473_WPSOffice_Level1"/>
      <w:r>
        <w:rPr>
          <w:rFonts w:hint="eastAsia" w:ascii="宋体" w:hAnsi="宋体" w:eastAsia="宋体" w:cs="宋体"/>
          <w:b/>
          <w:bCs w:val="0"/>
          <w:sz w:val="28"/>
          <w:szCs w:val="28"/>
          <w:highlight w:val="none"/>
          <w:lang w:val="zh-CN"/>
        </w:rPr>
        <w:t>七、不可抗力</w:t>
      </w:r>
      <w:bookmarkEnd w:id="689"/>
      <w:bookmarkEnd w:id="690"/>
      <w:bookmarkEnd w:id="691"/>
      <w:bookmarkEnd w:id="692"/>
      <w:bookmarkEnd w:id="693"/>
      <w:bookmarkEnd w:id="694"/>
    </w:p>
    <w:p w14:paraId="34193FE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不可抗力使合同的某些内容有变更必要的，双方应通过协商在</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zh-CN"/>
        </w:rPr>
        <w:t>天内达成进一步履行合同的协议，因不可抗力致使合同不能履行的，合同终止。</w:t>
      </w:r>
    </w:p>
    <w:p w14:paraId="4ECE862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除法律、法规规定的不可抗力情形外，双方约定出现</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val="zh-CN"/>
        </w:rPr>
        <w:t>情况亦视为不可抗力。</w:t>
      </w:r>
    </w:p>
    <w:p w14:paraId="24628C02">
      <w:pPr>
        <w:widowControl w:val="0"/>
        <w:wordWrap/>
        <w:adjustRightInd w:val="0"/>
        <w:snapToGrid w:val="0"/>
        <w:spacing w:line="560" w:lineRule="exact"/>
        <w:ind w:firstLine="562" w:firstLineChars="200"/>
        <w:textAlignment w:val="auto"/>
        <w:outlineLvl w:val="9"/>
        <w:rPr>
          <w:rFonts w:hint="eastAsia" w:ascii="宋体" w:hAnsi="宋体" w:eastAsia="宋体" w:cs="宋体"/>
          <w:bCs/>
          <w:sz w:val="28"/>
          <w:szCs w:val="28"/>
          <w:highlight w:val="none"/>
        </w:rPr>
      </w:pPr>
      <w:bookmarkStart w:id="695" w:name="_Toc23622_WPSOffice_Level1"/>
      <w:bookmarkStart w:id="696" w:name="_Toc3848_WPSOffice_Level1"/>
      <w:bookmarkStart w:id="697" w:name="_Toc10383_WPSOffice_Level1"/>
      <w:bookmarkStart w:id="698" w:name="_Toc26412_WPSOffice_Level1"/>
      <w:bookmarkStart w:id="699" w:name="_Toc18318_WPSOffice_Level1"/>
      <w:bookmarkStart w:id="700" w:name="_Toc19414_WPSOffice_Level1"/>
      <w:r>
        <w:rPr>
          <w:rFonts w:hint="eastAsia" w:ascii="宋体" w:hAnsi="宋体" w:eastAsia="宋体" w:cs="宋体"/>
          <w:b/>
          <w:bCs w:val="0"/>
          <w:sz w:val="28"/>
          <w:szCs w:val="28"/>
          <w:highlight w:val="none"/>
          <w:lang w:val="zh-CN"/>
        </w:rPr>
        <w:t>八、知识产权</w:t>
      </w:r>
      <w:r>
        <w:rPr>
          <w:rFonts w:hint="eastAsia" w:ascii="宋体" w:hAnsi="宋体" w:eastAsia="宋体" w:cs="宋体"/>
          <w:bCs/>
          <w:sz w:val="28"/>
          <w:szCs w:val="28"/>
          <w:highlight w:val="none"/>
          <w:lang w:val="zh-CN"/>
        </w:rPr>
        <w:t>：</w:t>
      </w:r>
      <w:bookmarkEnd w:id="695"/>
      <w:bookmarkEnd w:id="696"/>
      <w:bookmarkEnd w:id="697"/>
      <w:bookmarkEnd w:id="698"/>
      <w:bookmarkEnd w:id="699"/>
      <w:bookmarkEnd w:id="700"/>
    </w:p>
    <w:p w14:paraId="7833C4F4">
      <w:pPr>
        <w:widowControl w:val="0"/>
        <w:wordWrap/>
        <w:adjustRightInd w:val="0"/>
        <w:snapToGrid w:val="0"/>
        <w:spacing w:line="560" w:lineRule="exact"/>
        <w:ind w:firstLine="562" w:firstLineChars="200"/>
        <w:textAlignment w:val="auto"/>
        <w:outlineLvl w:val="9"/>
        <w:rPr>
          <w:rFonts w:hint="eastAsia" w:ascii="宋体" w:hAnsi="宋体" w:eastAsia="宋体" w:cs="宋体"/>
          <w:bCs/>
          <w:sz w:val="28"/>
          <w:szCs w:val="28"/>
          <w:highlight w:val="none"/>
        </w:rPr>
      </w:pPr>
      <w:bookmarkStart w:id="701" w:name="_Toc13231_WPSOffice_Level1"/>
      <w:bookmarkStart w:id="702" w:name="_Toc10217_WPSOffice_Level1"/>
      <w:bookmarkStart w:id="703" w:name="_Toc19749_WPSOffice_Level1"/>
      <w:bookmarkStart w:id="704" w:name="_Toc19632_WPSOffice_Level1"/>
      <w:bookmarkStart w:id="705" w:name="_Toc20210_WPSOffice_Level1"/>
      <w:bookmarkStart w:id="706" w:name="_Toc2260_WPSOffice_Level1"/>
      <w:r>
        <w:rPr>
          <w:rFonts w:hint="eastAsia" w:ascii="宋体" w:hAnsi="宋体" w:eastAsia="宋体" w:cs="宋体"/>
          <w:b/>
          <w:bCs w:val="0"/>
          <w:sz w:val="28"/>
          <w:szCs w:val="28"/>
          <w:highlight w:val="none"/>
          <w:lang w:val="zh-CN"/>
        </w:rPr>
        <w:t>九、其他约定</w:t>
      </w:r>
      <w:r>
        <w:rPr>
          <w:rFonts w:hint="eastAsia" w:ascii="宋体" w:hAnsi="宋体" w:eastAsia="宋体" w:cs="宋体"/>
          <w:bCs/>
          <w:sz w:val="28"/>
          <w:szCs w:val="28"/>
          <w:highlight w:val="none"/>
          <w:lang w:val="zh-CN"/>
        </w:rPr>
        <w:t>：</w:t>
      </w:r>
      <w:bookmarkEnd w:id="701"/>
      <w:bookmarkEnd w:id="702"/>
      <w:bookmarkEnd w:id="703"/>
      <w:bookmarkEnd w:id="704"/>
      <w:bookmarkEnd w:id="705"/>
      <w:bookmarkEnd w:id="706"/>
    </w:p>
    <w:p w14:paraId="3B89395A">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bookmarkStart w:id="707" w:name="_Toc20133_WPSOffice_Level1"/>
      <w:bookmarkStart w:id="708" w:name="_Toc19521_WPSOffice_Level1"/>
      <w:bookmarkStart w:id="709" w:name="_Toc2032_WPSOffice_Level1"/>
      <w:bookmarkStart w:id="710" w:name="_Toc23823_WPSOffice_Level1"/>
      <w:bookmarkStart w:id="711" w:name="_Toc18552_WPSOffice_Level1"/>
      <w:bookmarkStart w:id="712" w:name="_Toc6985_WPSOffice_Level1"/>
      <w:r>
        <w:rPr>
          <w:rFonts w:hint="eastAsia" w:ascii="宋体" w:hAnsi="宋体" w:eastAsia="宋体" w:cs="宋体"/>
          <w:b/>
          <w:bCs w:val="0"/>
          <w:sz w:val="28"/>
          <w:szCs w:val="28"/>
          <w:highlight w:val="none"/>
          <w:lang w:val="zh-CN"/>
        </w:rPr>
        <w:t>十、合同争议解决</w:t>
      </w:r>
      <w:bookmarkEnd w:id="707"/>
      <w:bookmarkEnd w:id="708"/>
      <w:bookmarkEnd w:id="709"/>
      <w:bookmarkEnd w:id="710"/>
      <w:bookmarkEnd w:id="711"/>
      <w:bookmarkEnd w:id="712"/>
    </w:p>
    <w:p w14:paraId="7009575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因产品质量问题发生争议的，应邀请国家认可的质量检测机构进行鉴定。产品符合标准的，鉴定费由甲方承担；产品不符合标准的，鉴定费由乙方承担。</w:t>
      </w:r>
    </w:p>
    <w:p w14:paraId="36ECB83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因履行本合同引起的或与本合同有关的争议，甲乙双方应首先通过友好协商解决，如果协商不能解决，可</w:t>
      </w:r>
      <w:r>
        <w:rPr>
          <w:rFonts w:hint="eastAsia" w:ascii="宋体" w:hAnsi="宋体" w:eastAsia="宋体" w:cs="宋体"/>
          <w:bCs/>
          <w:sz w:val="24"/>
          <w:szCs w:val="24"/>
          <w:highlight w:val="none"/>
        </w:rPr>
        <w:t>按下列第</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种方式解决：</w:t>
      </w:r>
    </w:p>
    <w:p w14:paraId="0977691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）向</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人民法院起诉。</w:t>
      </w:r>
    </w:p>
    <w:p w14:paraId="18EBFED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val="zh-CN"/>
        </w:rPr>
        <w:t>）向</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仲裁委员会申请仲裁；</w:t>
      </w:r>
    </w:p>
    <w:p w14:paraId="4D7FB20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3.诉讼期间，本合同继续履行。</w:t>
      </w:r>
    </w:p>
    <w:p w14:paraId="5C4691BB">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bookmarkStart w:id="713" w:name="_Toc18713_WPSOffice_Level1"/>
      <w:bookmarkStart w:id="714" w:name="_Toc12915_WPSOffice_Level1"/>
      <w:bookmarkStart w:id="715" w:name="_Toc20057_WPSOffice_Level1"/>
      <w:bookmarkStart w:id="716" w:name="_Toc27544_WPSOffice_Level1"/>
      <w:bookmarkStart w:id="717" w:name="_Toc8439_WPSOffice_Level1"/>
      <w:bookmarkStart w:id="718" w:name="_Toc25759_WPSOffice_Level1"/>
      <w:r>
        <w:rPr>
          <w:rFonts w:hint="eastAsia" w:ascii="宋体" w:hAnsi="宋体" w:eastAsia="宋体" w:cs="宋体"/>
          <w:b/>
          <w:bCs w:val="0"/>
          <w:sz w:val="28"/>
          <w:szCs w:val="28"/>
          <w:highlight w:val="none"/>
          <w:lang w:val="zh-CN"/>
        </w:rPr>
        <w:t>十一、合同生效及其它</w:t>
      </w:r>
      <w:r>
        <w:rPr>
          <w:rFonts w:hint="eastAsia" w:ascii="宋体" w:hAnsi="宋体" w:eastAsia="宋体" w:cs="宋体"/>
          <w:b/>
          <w:bCs w:val="0"/>
          <w:sz w:val="28"/>
          <w:szCs w:val="28"/>
          <w:highlight w:val="none"/>
        </w:rPr>
        <w:t>：</w:t>
      </w:r>
      <w:bookmarkEnd w:id="713"/>
      <w:bookmarkEnd w:id="714"/>
      <w:bookmarkEnd w:id="715"/>
      <w:bookmarkEnd w:id="716"/>
      <w:bookmarkEnd w:id="717"/>
      <w:bookmarkEnd w:id="718"/>
    </w:p>
    <w:p w14:paraId="49BDFCB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719" w:name="_Toc20231_WPSOffice_Level2"/>
      <w:bookmarkStart w:id="720" w:name="_Toc26653_WPSOffice_Level2"/>
      <w:bookmarkStart w:id="721" w:name="_Toc15526_WPSOffice_Level2"/>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本合同一式</w:t>
      </w:r>
      <w:r>
        <w:rPr>
          <w:rFonts w:hint="eastAsia" w:ascii="宋体" w:hAnsi="宋体" w:cs="宋体"/>
          <w:bCs/>
          <w:sz w:val="24"/>
          <w:szCs w:val="24"/>
          <w:highlight w:val="none"/>
          <w:lang w:val="zh-CN"/>
        </w:rPr>
        <w:t>捌</w:t>
      </w:r>
      <w:r>
        <w:rPr>
          <w:rFonts w:hint="eastAsia" w:ascii="宋体" w:hAnsi="宋体" w:eastAsia="宋体" w:cs="宋体"/>
          <w:bCs/>
          <w:sz w:val="24"/>
          <w:szCs w:val="24"/>
          <w:highlight w:val="none"/>
          <w:lang w:val="zh-CN"/>
        </w:rPr>
        <w:t>份，经双方签字，并加盖公章即为生效。</w:t>
      </w:r>
      <w:bookmarkEnd w:id="719"/>
      <w:bookmarkEnd w:id="720"/>
      <w:bookmarkEnd w:id="721"/>
    </w:p>
    <w:p w14:paraId="12595A7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722" w:name="_Toc13664_WPSOffice_Level2"/>
      <w:bookmarkStart w:id="723" w:name="_Toc16154_WPSOffice_Level2"/>
      <w:bookmarkStart w:id="724" w:name="_Toc11979_WPSOffice_Level2"/>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本合同未尽事宜，按《民法典》有关规定处理。</w:t>
      </w:r>
      <w:bookmarkEnd w:id="722"/>
      <w:bookmarkEnd w:id="723"/>
      <w:bookmarkEnd w:id="724"/>
    </w:p>
    <w:p w14:paraId="099F5E59">
      <w:pPr>
        <w:keepNext w:val="0"/>
        <w:keepLines w:val="0"/>
        <w:pageBreakBefore w:val="0"/>
        <w:widowControl w:val="0"/>
        <w:kinsoku/>
        <w:wordWrap/>
        <w:overflowPunct/>
        <w:topLinePunct w:val="0"/>
        <w:autoSpaceDE/>
        <w:autoSpaceDN/>
        <w:bidi w:val="0"/>
        <w:adjustRightInd w:val="0"/>
        <w:snapToGrid w:val="0"/>
        <w:spacing w:line="140" w:lineRule="exact"/>
        <w:textAlignment w:val="auto"/>
        <w:outlineLvl w:val="9"/>
        <w:rPr>
          <w:rFonts w:hint="eastAsia" w:ascii="宋体" w:hAnsi="宋体" w:eastAsia="宋体" w:cs="宋体"/>
          <w:bCs/>
          <w:sz w:val="24"/>
          <w:szCs w:val="24"/>
          <w:highlight w:val="none"/>
        </w:rPr>
      </w:pPr>
    </w:p>
    <w:p w14:paraId="248AB54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14:paraId="772B68B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                              地址：</w:t>
      </w:r>
    </w:p>
    <w:p w14:paraId="021958F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法定代表人或委托代理人：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法定代表人或委托代理人：</w:t>
      </w:r>
    </w:p>
    <w:p w14:paraId="166A2D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开户银行：</w:t>
      </w:r>
    </w:p>
    <w:p w14:paraId="2D8E81A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                          账号：</w:t>
      </w:r>
    </w:p>
    <w:p w14:paraId="7466CAB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联系电话：</w:t>
      </w:r>
    </w:p>
    <w:p w14:paraId="47CC2D7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签约时间：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年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月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日</w:t>
      </w:r>
    </w:p>
    <w:p w14:paraId="7AF928A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p>
    <w:p w14:paraId="3981A5A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宋体" w:hAnsi="宋体" w:eastAsia="宋体" w:cs="宋体"/>
          <w:bCs/>
          <w:sz w:val="24"/>
          <w:szCs w:val="24"/>
          <w:highlight w:val="none"/>
        </w:rPr>
      </w:pPr>
    </w:p>
    <w:p w14:paraId="2D72FA11">
      <w:pPr>
        <w:keepNext w:val="0"/>
        <w:keepLines w:val="0"/>
        <w:widowControl/>
        <w:suppressLineNumbers w:val="0"/>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合同备案部门： </w:t>
      </w:r>
      <w:r>
        <w:rPr>
          <w:rFonts w:hint="eastAsia" w:ascii="宋体" w:hAnsi="宋体" w:cs="宋体"/>
          <w:color w:val="000000"/>
          <w:kern w:val="0"/>
          <w:sz w:val="24"/>
          <w:szCs w:val="24"/>
          <w:lang w:val="en-US" w:eastAsia="zh-CN" w:bidi="ar"/>
        </w:rPr>
        <w:t>青海拓鑫工程项目管理有限公司</w:t>
      </w:r>
    </w:p>
    <w:p w14:paraId="25187A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负责人：                                经办人：</w:t>
      </w:r>
    </w:p>
    <w:p w14:paraId="5E1890D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合同备案时间：</w:t>
      </w:r>
      <w:r>
        <w:rPr>
          <w:rFonts w:hint="eastAsia" w:ascii="宋体" w:hAnsi="宋体" w:eastAsia="宋体" w:cs="宋体"/>
          <w:bCs/>
          <w:sz w:val="24"/>
          <w:szCs w:val="24"/>
          <w:highlight w:val="none"/>
          <w:lang w:val="en-US" w:eastAsia="zh-CN"/>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年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日</w:t>
      </w:r>
    </w:p>
    <w:p w14:paraId="2E7D277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6AD4968C">
      <w:pPr>
        <w:widowControl w:val="0"/>
        <w:wordWrap/>
        <w:adjustRightInd w:val="0"/>
        <w:snapToGrid w:val="0"/>
        <w:spacing w:line="360" w:lineRule="auto"/>
        <w:jc w:val="center"/>
        <w:textAlignment w:val="auto"/>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合同通用条款</w:t>
      </w:r>
    </w:p>
    <w:p w14:paraId="20F1A5D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根据《民法典》、《中华人民共和国政府采购法》的规定，合同双方经协商达成一致，自愿订立本合同，遵循公平原则明确双方的权利、义务，确保双方诚实守信地履行合同。</w:t>
      </w:r>
    </w:p>
    <w:p w14:paraId="5C32BF7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25" w:name="_Toc26412_WPSOffice_Level2"/>
      <w:bookmarkStart w:id="726" w:name="_Toc20198_WPSOffice_Level2"/>
      <w:bookmarkStart w:id="727" w:name="_Toc22507_WPSOffice_Level2"/>
      <w:r>
        <w:rPr>
          <w:rFonts w:hint="eastAsia" w:ascii="宋体" w:hAnsi="宋体" w:eastAsia="宋体" w:cs="宋体"/>
          <w:bCs/>
          <w:sz w:val="24"/>
          <w:szCs w:val="24"/>
          <w:highlight w:val="none"/>
        </w:rPr>
        <w:t>1.定义</w:t>
      </w:r>
      <w:bookmarkEnd w:id="725"/>
      <w:bookmarkEnd w:id="726"/>
      <w:bookmarkEnd w:id="727"/>
    </w:p>
    <w:p w14:paraId="0B8F682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本合同中的下列术语应解释为：</w:t>
      </w:r>
    </w:p>
    <w:p w14:paraId="3517F1E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 “合同”指甲乙双方签署的、载明的甲乙双方权利义务的协议，包括所有的附件、附录和上述文件所提到的构成合同的所有文件。</w:t>
      </w:r>
    </w:p>
    <w:p w14:paraId="37A975C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1.2 “合同金额”指根据合同规定，乙方在正确地完全履行合同义务后甲方应付给乙方的价款。</w:t>
      </w:r>
    </w:p>
    <w:p w14:paraId="7FC4DA1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 “合同条款”指本合同条款。</w:t>
      </w:r>
    </w:p>
    <w:p w14:paraId="596C5BF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 “货物”指乙方根据合同约定须向甲方提供的一切产品、设备、机械、仪表、备件等，包括辅助工具、使用手册等相关资料。</w:t>
      </w:r>
    </w:p>
    <w:p w14:paraId="2BC6415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 “服务”指根据本合同规定乙方承担与供货有关的辅助服务，如运输、保险及安装、调试、提供技术援助、培训和合同中规定乙方应承担的其它义务。</w:t>
      </w:r>
    </w:p>
    <w:p w14:paraId="34E3C3A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1.6 “甲方”指购买货物和服务的单位。</w:t>
      </w:r>
    </w:p>
    <w:p w14:paraId="50F4499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1.7 “乙方”指提供本合同条款下货物和服务的公司或其他实体。</w:t>
      </w:r>
    </w:p>
    <w:p w14:paraId="4DD9F5F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1.8 “现场”指合同规定货物将要运至和安装的地点。</w:t>
      </w:r>
    </w:p>
    <w:p w14:paraId="0EA9A45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1.9 “验收”指合同双方依据强制性的国家技术质量规范和合同约定，确认合同条款下的货物符合合同规定的活动。</w:t>
      </w:r>
    </w:p>
    <w:p w14:paraId="277E1E7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1.10原厂商：产品制造商或其在中国境内设立的办事或技术服务机构。除另有说明外，本合同文件所述的制造商、产品制造商、制造厂家、产品制造厂家均为原厂商。</w:t>
      </w:r>
    </w:p>
    <w:p w14:paraId="1DB4AA8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 原产地：指产品的生产地，或提供服务的来源地。</w:t>
      </w:r>
    </w:p>
    <w:p w14:paraId="7D569E7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 “工作日”指国家法定工作日，“天”指日历天数。</w:t>
      </w:r>
    </w:p>
    <w:p w14:paraId="1DD997B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28" w:name="_Toc21237_WPSOffice_Level2"/>
      <w:bookmarkStart w:id="729" w:name="_Toc20210_WPSOffice_Level2"/>
      <w:bookmarkStart w:id="730" w:name="_Toc9343_WPSOffice_Level2"/>
      <w:r>
        <w:rPr>
          <w:rFonts w:hint="eastAsia" w:ascii="宋体" w:hAnsi="宋体" w:eastAsia="宋体" w:cs="宋体"/>
          <w:bCs/>
          <w:sz w:val="24"/>
          <w:szCs w:val="24"/>
          <w:highlight w:val="none"/>
        </w:rPr>
        <w:t>2.技术规格要求</w:t>
      </w:r>
      <w:bookmarkEnd w:id="728"/>
      <w:bookmarkEnd w:id="729"/>
      <w:bookmarkEnd w:id="730"/>
    </w:p>
    <w:p w14:paraId="58B3F9C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2.1 本合同条款下提交货物的技术规格要求应等于或优于谈判文件、谈判响应文件技术规格要求。若技术规格要求中无相应规定，则应符合相应的国家有关部门最新颁布的相应正式标准。</w:t>
      </w:r>
    </w:p>
    <w:p w14:paraId="7D55010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2.2 乙方应向甲方提供货物及服务有关的标准的中文文本。</w:t>
      </w:r>
    </w:p>
    <w:p w14:paraId="6C21796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2.3 除非技术规范中另有规定，计量单位均采用中华人民共和国法定计量单位。</w:t>
      </w:r>
    </w:p>
    <w:p w14:paraId="192C99A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31" w:name="_Toc415_WPSOffice_Level2"/>
      <w:bookmarkStart w:id="732" w:name="_Toc26773_WPSOffice_Level2"/>
      <w:bookmarkStart w:id="733" w:name="_Toc23823_WPSOffice_Level2"/>
      <w:r>
        <w:rPr>
          <w:rFonts w:hint="eastAsia" w:ascii="宋体" w:hAnsi="宋体" w:eastAsia="宋体" w:cs="宋体"/>
          <w:bCs/>
          <w:sz w:val="24"/>
          <w:szCs w:val="24"/>
          <w:highlight w:val="none"/>
        </w:rPr>
        <w:t>3.合同范围</w:t>
      </w:r>
      <w:bookmarkEnd w:id="731"/>
      <w:bookmarkEnd w:id="732"/>
      <w:bookmarkEnd w:id="733"/>
    </w:p>
    <w:p w14:paraId="2B7D7D9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A36E00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3.2 乙方应负责培训甲方的技术人员。</w:t>
      </w:r>
    </w:p>
    <w:p w14:paraId="5433F8E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F0E064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34" w:name="_Toc27544_WPSOffice_Level2"/>
      <w:bookmarkStart w:id="735" w:name="_Toc22989_WPSOffice_Level2"/>
      <w:bookmarkStart w:id="736" w:name="_Toc1426_WPSOffice_Level2"/>
      <w:r>
        <w:rPr>
          <w:rFonts w:hint="eastAsia" w:ascii="宋体" w:hAnsi="宋体" w:eastAsia="宋体" w:cs="宋体"/>
          <w:bCs/>
          <w:sz w:val="24"/>
          <w:szCs w:val="24"/>
          <w:highlight w:val="none"/>
        </w:rPr>
        <w:t>4.合同文件和资料</w:t>
      </w:r>
      <w:bookmarkEnd w:id="734"/>
      <w:bookmarkEnd w:id="735"/>
      <w:bookmarkEnd w:id="736"/>
    </w:p>
    <w:p w14:paraId="0A788C4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4.1乙方在提供仪器设备时应同时提供中文版相关的技术资料，如目录索引、图纸、操作手册、使用指南、维修指南、服务手册等。</w:t>
      </w:r>
    </w:p>
    <w:p w14:paraId="5912EA4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4F7C67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37" w:name="_Toc14802_WPSOffice_Level2"/>
      <w:bookmarkStart w:id="738" w:name="_Toc18584_WPSOffice_Level2"/>
      <w:bookmarkStart w:id="739" w:name="_Toc23784_WPSOffice_Level2"/>
      <w:r>
        <w:rPr>
          <w:rFonts w:hint="eastAsia" w:ascii="宋体" w:hAnsi="宋体" w:eastAsia="宋体" w:cs="宋体"/>
          <w:bCs/>
          <w:sz w:val="24"/>
          <w:szCs w:val="24"/>
          <w:highlight w:val="none"/>
        </w:rPr>
        <w:t>5.知识产权</w:t>
      </w:r>
      <w:bookmarkEnd w:id="737"/>
      <w:bookmarkEnd w:id="738"/>
      <w:bookmarkEnd w:id="739"/>
    </w:p>
    <w:p w14:paraId="71280E2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5.1乙方应保证甲方在使用该货物或其任何一部分时不受第三方提出的侵犯专利权、 著作权、商标权和工业设计权等的起诉。</w:t>
      </w:r>
    </w:p>
    <w:p w14:paraId="5456D1B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5.2任何第三方提出侵权指控，乙方须与第三方交涉并承担由此产生的一切责任、费用和经济赔偿。</w:t>
      </w:r>
    </w:p>
    <w:p w14:paraId="1154032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5.3双方应共同遵守国家有关版权、专利、商标等知识产权方面的法律规定，相互尊重对方的知识产权，对本合同内容、对方的技术秘密和商业秘密负有保密责任。如有违反，违约方负相关法律责任。</w:t>
      </w:r>
    </w:p>
    <w:p w14:paraId="72D44A2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5.4在本合同生效时已经存在并为各方合法拥有或使用的所有技术、资料和信息的知识产权，仍应属于其各自的原权利人所有或享有，另有约定的除外。</w:t>
      </w:r>
    </w:p>
    <w:p w14:paraId="5088267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2F05C6E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40" w:name="_Toc22229_WPSOffice_Level2"/>
      <w:bookmarkStart w:id="741" w:name="_Toc13395_WPSOffice_Level2"/>
      <w:bookmarkStart w:id="742" w:name="_Toc25026_WPSOffice_Level2"/>
      <w:r>
        <w:rPr>
          <w:rFonts w:hint="eastAsia" w:ascii="宋体" w:hAnsi="宋体" w:eastAsia="宋体" w:cs="宋体"/>
          <w:bCs/>
          <w:sz w:val="24"/>
          <w:szCs w:val="24"/>
          <w:highlight w:val="none"/>
        </w:rPr>
        <w:t>6.保密</w:t>
      </w:r>
      <w:bookmarkEnd w:id="740"/>
      <w:bookmarkEnd w:id="741"/>
      <w:bookmarkEnd w:id="742"/>
    </w:p>
    <w:p w14:paraId="10FD41C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5AB16F4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6.2保密信息指任何一方因履行本合同所知悉的任何以口头、书面、图表或电子形式存在的对方信息，具体包括：</w:t>
      </w:r>
    </w:p>
    <w:p w14:paraId="4696801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6.2.1任何涉及对方过去、现在或将来的商业计划、规章制度、操作规程、处理手段、财务信息；</w:t>
      </w:r>
    </w:p>
    <w:p w14:paraId="650D84B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6.2.2任何对方的技术措施、技术方案、软件应用及开发，硬件设备的品种、质量、数量、品牌等；</w:t>
      </w:r>
    </w:p>
    <w:p w14:paraId="06A16B0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6.2.3任何对方的技术秘密或专有知识、文件 、报告、数据、客户软件、流程图、数据库、发明、知识、贸易秘密。</w:t>
      </w:r>
    </w:p>
    <w:p w14:paraId="39E5E55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6.3乙方应根据甲方的要求签署相应的保密协议，保密协议与本条款存在不一致的，以保密协议为准。</w:t>
      </w:r>
    </w:p>
    <w:p w14:paraId="412E4F4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43" w:name="_Toc23853_WPSOffice_Level2"/>
      <w:bookmarkStart w:id="744" w:name="_Toc6752_WPSOffice_Level2"/>
      <w:bookmarkStart w:id="745" w:name="_Toc12645_WPSOffice_Level2"/>
      <w:r>
        <w:rPr>
          <w:rFonts w:hint="eastAsia" w:ascii="宋体" w:hAnsi="宋体" w:eastAsia="宋体" w:cs="宋体"/>
          <w:bCs/>
          <w:sz w:val="24"/>
          <w:szCs w:val="24"/>
          <w:highlight w:val="none"/>
        </w:rPr>
        <w:t>7. 质量保证</w:t>
      </w:r>
      <w:bookmarkEnd w:id="743"/>
      <w:bookmarkEnd w:id="744"/>
      <w:bookmarkEnd w:id="745"/>
    </w:p>
    <w:p w14:paraId="20C981B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46" w:name="_Toc26729_WPSOffice_Level3"/>
      <w:bookmarkStart w:id="747" w:name="_Toc8450_WPSOffice_Level3"/>
      <w:r>
        <w:rPr>
          <w:rFonts w:hint="eastAsia" w:ascii="宋体" w:hAnsi="宋体" w:eastAsia="宋体" w:cs="宋体"/>
          <w:bCs/>
          <w:sz w:val="24"/>
          <w:szCs w:val="24"/>
          <w:highlight w:val="none"/>
        </w:rPr>
        <w:t>7.1货物质量保证</w:t>
      </w:r>
      <w:bookmarkEnd w:id="746"/>
      <w:bookmarkEnd w:id="747"/>
    </w:p>
    <w:p w14:paraId="6CE5F74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7.1.1乙方必须保证货物是全新、未使用过的，并完全符合强制性的国家技术质量规范和合同规定的质量、规格、性能和技术规范等的要求。</w:t>
      </w:r>
    </w:p>
    <w:p w14:paraId="5F9F628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08F24D0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0EF1797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7E01A7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7.1.5 合同条款下货物的质量保证期自货物通过最终验收起算，合同另行规定除外。</w:t>
      </w:r>
    </w:p>
    <w:p w14:paraId="5A98728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48" w:name="_Toc18945_WPSOffice_Level3"/>
      <w:bookmarkStart w:id="749" w:name="_Toc9593_WPSOffice_Level3"/>
      <w:r>
        <w:rPr>
          <w:rFonts w:hint="eastAsia" w:ascii="宋体" w:hAnsi="宋体" w:eastAsia="宋体" w:cs="宋体"/>
          <w:bCs/>
          <w:sz w:val="24"/>
          <w:szCs w:val="24"/>
          <w:highlight w:val="none"/>
        </w:rPr>
        <w:t>7.2辅助服务质量保证</w:t>
      </w:r>
      <w:bookmarkEnd w:id="748"/>
      <w:bookmarkEnd w:id="749"/>
    </w:p>
    <w:p w14:paraId="355FF6E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6DD5B5F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7.2.2乙方应保证合同条款下所提供的服务包括培训、安装指导、单机调试、系统联调和试验等，按合同规定方式进行，并保证不存在因乙方工作人员的过失、错误或疏忽而产生的缺陷。</w:t>
      </w:r>
    </w:p>
    <w:p w14:paraId="126CD23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50" w:name="_Toc16656_WPSOffice_Level2"/>
      <w:bookmarkStart w:id="751" w:name="_Toc19930_WPSOffice_Level2"/>
      <w:bookmarkStart w:id="752" w:name="_Toc444_WPSOffice_Level2"/>
      <w:r>
        <w:rPr>
          <w:rFonts w:hint="eastAsia" w:ascii="宋体" w:hAnsi="宋体" w:eastAsia="宋体" w:cs="宋体"/>
          <w:bCs/>
          <w:sz w:val="24"/>
          <w:szCs w:val="24"/>
          <w:highlight w:val="none"/>
        </w:rPr>
        <w:t>8.包装要求</w:t>
      </w:r>
      <w:bookmarkEnd w:id="750"/>
      <w:bookmarkEnd w:id="751"/>
      <w:bookmarkEnd w:id="752"/>
    </w:p>
    <w:p w14:paraId="30DACBC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8.1 除合同另有约定外，乙方提供的全部货物，均应采用本行业通用的方式进行包装，且该包装应符合国家有关包装的法律、法规的规定。</w:t>
      </w:r>
    </w:p>
    <w:p w14:paraId="2670CA3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8.2 包装应适应于远距离运输，并有良好的防潮、防震、防锈和防粗暴装卸等保护措施，以确保货物安全运抵现场。由于包装不善所引起的货物锈蚀、损坏和损失均由乙方承担。</w:t>
      </w:r>
    </w:p>
    <w:p w14:paraId="61AC41B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乙方应提供货物运至合同规定的最终目的地所需要的包装，以防止货物在转运中损坏或变质。</w:t>
      </w:r>
    </w:p>
    <w:p w14:paraId="371DE47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8.3 乙方所提供的货物包装均为出厂时原包装。</w:t>
      </w:r>
    </w:p>
    <w:p w14:paraId="69AC387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8.4 乙方所提供货物必须附有质量合格证，装箱清单，主机、附件、各种零部件和消耗品，有清楚的与装箱单相对应的名称和编号。</w:t>
      </w:r>
    </w:p>
    <w:p w14:paraId="1BA686D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8.5 货物运输中的运输费用和保险费用均由乙方承担。运输过程中的一切损失、损坏均由乙方负责。</w:t>
      </w:r>
    </w:p>
    <w:p w14:paraId="0F43124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53" w:name="_Toc9360_WPSOffice_Level2"/>
      <w:bookmarkStart w:id="754" w:name="_Toc19342_WPSOffice_Level2"/>
      <w:bookmarkStart w:id="755" w:name="_Toc15918_WPSOffice_Level2"/>
      <w:r>
        <w:rPr>
          <w:rFonts w:hint="eastAsia" w:ascii="宋体" w:hAnsi="宋体" w:eastAsia="宋体" w:cs="宋体"/>
          <w:bCs/>
          <w:sz w:val="24"/>
          <w:szCs w:val="24"/>
          <w:highlight w:val="none"/>
        </w:rPr>
        <w:t>9. 价格</w:t>
      </w:r>
      <w:bookmarkEnd w:id="753"/>
      <w:bookmarkEnd w:id="754"/>
      <w:bookmarkEnd w:id="755"/>
    </w:p>
    <w:p w14:paraId="1934DC6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62E5BF8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9.2 本合同价格为固定价格，包括了乙方履行合同全过程产生的所有成本和费用以及乙方应承担的一切税费。</w:t>
      </w:r>
    </w:p>
    <w:p w14:paraId="6F97CA2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9.3检验费用 </w:t>
      </w:r>
    </w:p>
    <w:p w14:paraId="1DC97C2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9.3.1 乙方必须负担本条款下属于乙方负责的检验、测试、调试、试运行和验收的所有费用，并负责乙方派往买方组织的检验、测试和验收人员的所有费用。</w:t>
      </w:r>
    </w:p>
    <w:p w14:paraId="0106D4C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9.3.2 甲方按合同计划参加在乙方工厂所在地检验、测试和验收的费用全部由乙方负责并已包含在合同总价中。</w:t>
      </w:r>
    </w:p>
    <w:p w14:paraId="4B123F8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9.3.3甲方检验人员已到卖方所在地，测试无法依照合同进行， 而引起甲方人员延长逗留时间，所有由此产生的包括甲方人员在内的直接费用及成本由乙方承担。 </w:t>
      </w:r>
    </w:p>
    <w:p w14:paraId="3462CAE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56" w:name="_Toc21379_WPSOffice_Level2"/>
      <w:bookmarkStart w:id="757" w:name="_Toc29082_WPSOffice_Level2"/>
      <w:bookmarkStart w:id="758" w:name="_Toc13355_WPSOffice_Level2"/>
      <w:r>
        <w:rPr>
          <w:rFonts w:hint="eastAsia" w:ascii="宋体" w:hAnsi="宋体" w:eastAsia="宋体" w:cs="宋体"/>
          <w:bCs/>
          <w:sz w:val="24"/>
          <w:szCs w:val="24"/>
          <w:highlight w:val="none"/>
        </w:rPr>
        <w:t>10.交货方式及交货日期</w:t>
      </w:r>
      <w:bookmarkEnd w:id="756"/>
      <w:bookmarkEnd w:id="757"/>
      <w:bookmarkEnd w:id="758"/>
    </w:p>
    <w:p w14:paraId="6644238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交货方式：现场交货，乙方负责办理运输和保险，将货物运抵现场。</w:t>
      </w:r>
    </w:p>
    <w:p w14:paraId="4204D02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交货日期：所有货物运抵现场并经双方开箱验收合格之日。</w:t>
      </w:r>
    </w:p>
    <w:p w14:paraId="4204FD4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59" w:name="_Toc4905_WPSOffice_Level2"/>
      <w:bookmarkStart w:id="760" w:name="_Toc8711_WPSOffice_Level2"/>
      <w:bookmarkStart w:id="761" w:name="_Toc22184_WPSOffice_Level2"/>
      <w:r>
        <w:rPr>
          <w:rFonts w:hint="eastAsia" w:ascii="宋体" w:hAnsi="宋体" w:eastAsia="宋体" w:cs="宋体"/>
          <w:bCs/>
          <w:sz w:val="24"/>
          <w:szCs w:val="24"/>
          <w:highlight w:val="none"/>
        </w:rPr>
        <w:t>11.检验和验收</w:t>
      </w:r>
      <w:bookmarkEnd w:id="759"/>
      <w:bookmarkEnd w:id="760"/>
      <w:bookmarkEnd w:id="761"/>
    </w:p>
    <w:p w14:paraId="14D26A8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62" w:name="_Toc11588_WPSOffice_Level3"/>
      <w:bookmarkStart w:id="763" w:name="_Toc7309_WPSOffice_Level3"/>
      <w:r>
        <w:rPr>
          <w:rFonts w:hint="eastAsia" w:ascii="宋体" w:hAnsi="宋体" w:eastAsia="宋体" w:cs="宋体"/>
          <w:bCs/>
          <w:sz w:val="24"/>
          <w:szCs w:val="24"/>
          <w:highlight w:val="none"/>
        </w:rPr>
        <w:t>11.1开箱验收</w:t>
      </w:r>
      <w:bookmarkEnd w:id="762"/>
      <w:bookmarkEnd w:id="763"/>
    </w:p>
    <w:p w14:paraId="749931B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11.1.1货物运抵现场后，双方应及时开箱验收，并制作验收记录，以确认与本合同约定的数量、型号等是否一致。</w:t>
      </w:r>
    </w:p>
    <w:p w14:paraId="6C5E4D2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11.1.2 乙方应在交货前对货物的质量、规格、数量等进行详细而全面的检验，并出具证明货物符合合同规定的文件。该文件将作为申请付款单据的一部分，但有关质量、规格、数量的检验不应视为最终检验。</w:t>
      </w:r>
    </w:p>
    <w:p w14:paraId="5CE45D6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11.1.3 开箱验收中如发现货物的数量、规格与合同约定不符，甲方有权拒收货物，乙方应及时按甲方要求免费对拒收货物采取更换或其他必要的补救措施，直至开箱验收合格，方视为乙方完成交货。</w:t>
      </w:r>
    </w:p>
    <w:p w14:paraId="68AD514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64" w:name="_Toc13911_WPSOffice_Level3"/>
      <w:bookmarkStart w:id="765" w:name="_Toc26974_WPSOffice_Level3"/>
      <w:r>
        <w:rPr>
          <w:rFonts w:hint="eastAsia" w:ascii="宋体" w:hAnsi="宋体" w:eastAsia="宋体" w:cs="宋体"/>
          <w:bCs/>
          <w:sz w:val="24"/>
          <w:szCs w:val="24"/>
          <w:highlight w:val="none"/>
        </w:rPr>
        <w:t>11.2  检验验收</w:t>
      </w:r>
      <w:bookmarkEnd w:id="764"/>
      <w:bookmarkEnd w:id="765"/>
    </w:p>
    <w:p w14:paraId="32BCE8C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11.2.1 交货完成后，乙方应及时组装、调试、试运行，按照合同专用条款规定的试运行完成后，双方及时组织对货物检验验收。合同双方均须派人参加合同要求双方参加的试验、检验。</w:t>
      </w:r>
    </w:p>
    <w:p w14:paraId="3D0F7F7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11.2.2 在具体实施合同规定的检验验收之前，乙方需提前提交相应的测试计划（包括测试程序、测试内容和检验标准、试验时间安排等）供甲方确认。</w:t>
      </w:r>
    </w:p>
    <w:p w14:paraId="27FB73A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11.2.3  除需甲方确认的试验验收外，乙方还应对所有检验验收测试的结果、步骤、原始数据等作妥善记录。如甲方要求，乙方应提供这些记录给买方。</w:t>
      </w:r>
    </w:p>
    <w:p w14:paraId="6B61202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11.2.4  检验测试出现全部或部分未达到本合同所约定的技术指标，甲方有权选择下列任一处理方式：</w:t>
      </w:r>
    </w:p>
    <w:p w14:paraId="6FE9D60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a.重新测试直至合格为止；</w:t>
      </w:r>
    </w:p>
    <w:p w14:paraId="45100C3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b.要求乙方对货物进行免费更换，然后重新测试直至合格为止；</w:t>
      </w:r>
    </w:p>
    <w:p w14:paraId="6F0A4C1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无论选择何种方式，甲方因此而发生的因卖方原因引起的所有费用均由乙方负担。</w:t>
      </w:r>
    </w:p>
    <w:p w14:paraId="5034A39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66" w:name="_Toc1685_WPSOffice_Level3"/>
      <w:bookmarkStart w:id="767" w:name="_Toc5393_WPSOffice_Level3"/>
      <w:r>
        <w:rPr>
          <w:rFonts w:hint="eastAsia" w:ascii="宋体" w:hAnsi="宋体" w:eastAsia="宋体" w:cs="宋体"/>
          <w:bCs/>
          <w:sz w:val="24"/>
          <w:szCs w:val="24"/>
          <w:highlight w:val="none"/>
        </w:rPr>
        <w:t>11.3  使用过程检验</w:t>
      </w:r>
      <w:bookmarkEnd w:id="766"/>
      <w:bookmarkEnd w:id="767"/>
    </w:p>
    <w:p w14:paraId="32B9321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DCC6E4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11.3.2如果合同双方对乙方提供的上述试验结果报告的解释有分歧，双方须于出现分歧后10天内给对方声明，以陈述己方的观点。声明须附有关证据。分歧应通过协商解决。</w:t>
      </w:r>
    </w:p>
    <w:p w14:paraId="5F5461B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68" w:name="_Toc17387_WPSOffice_Level2"/>
      <w:bookmarkStart w:id="769" w:name="_Toc17827_WPSOffice_Level2"/>
      <w:bookmarkStart w:id="770" w:name="_Toc10883_WPSOffice_Level2"/>
      <w:r>
        <w:rPr>
          <w:rFonts w:hint="eastAsia" w:ascii="宋体" w:hAnsi="宋体" w:eastAsia="宋体" w:cs="宋体"/>
          <w:bCs/>
          <w:sz w:val="24"/>
          <w:szCs w:val="24"/>
          <w:highlight w:val="none"/>
        </w:rPr>
        <w:t>12.付款条件</w:t>
      </w:r>
      <w:bookmarkEnd w:id="768"/>
      <w:bookmarkEnd w:id="769"/>
      <w:bookmarkEnd w:id="770"/>
    </w:p>
    <w:p w14:paraId="58C517A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本合同条款下的付款方法和条件在“合同专用条款”中具体规定。</w:t>
      </w:r>
    </w:p>
    <w:p w14:paraId="74A8789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71" w:name="_Toc24025_WPSOffice_Level2"/>
      <w:bookmarkStart w:id="772" w:name="_Toc25610_WPSOffice_Level2"/>
      <w:bookmarkStart w:id="773" w:name="_Toc8681_WPSOffice_Level2"/>
      <w:r>
        <w:rPr>
          <w:rFonts w:hint="eastAsia" w:ascii="宋体" w:hAnsi="宋体" w:eastAsia="宋体" w:cs="宋体"/>
          <w:bCs/>
          <w:sz w:val="24"/>
          <w:szCs w:val="24"/>
          <w:highlight w:val="none"/>
        </w:rPr>
        <w:t>13.履约保证金</w:t>
      </w:r>
      <w:bookmarkEnd w:id="771"/>
      <w:bookmarkEnd w:id="772"/>
      <w:bookmarkEnd w:id="773"/>
    </w:p>
    <w:p w14:paraId="2205B51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13.1乙方应在合同签订后，按合同专用条款的约定提交履约保证金。</w:t>
      </w:r>
    </w:p>
    <w:p w14:paraId="21B334B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13.2履约保证金用于补偿甲方因卖方不能履行其合同义务而蒙受的损失。</w:t>
      </w:r>
    </w:p>
    <w:p w14:paraId="67B1C6A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13.3履约保证金应使用本合同货币，按下述方式之一提交（谈判文件中另有约定的除外）：</w:t>
      </w:r>
    </w:p>
    <w:p w14:paraId="63A2E47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13.3.1甲方可接受的在中华人民共和国注册和营业的银行出具的履约保函； </w:t>
      </w:r>
    </w:p>
    <w:p w14:paraId="3FDFB28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13.3.2 应当以支票、汇票、本票或者金融机构、担保机构出具的保函等非现金形式提交。</w:t>
      </w:r>
    </w:p>
    <w:p w14:paraId="11BDD1C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13.4乙方未能按合同规定履行其义务，甲方有权从履约保证金中取得补偿。货物验收合格后，甲方将履约保证金退还乙方或转为质量保证金。</w:t>
      </w:r>
    </w:p>
    <w:p w14:paraId="4BF7B3F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74" w:name="_Toc21607_WPSOffice_Level2"/>
      <w:bookmarkStart w:id="775" w:name="_Toc13321_WPSOffice_Level2"/>
      <w:bookmarkStart w:id="776" w:name="_Toc2215_WPSOffice_Level2"/>
      <w:r>
        <w:rPr>
          <w:rFonts w:hint="eastAsia" w:ascii="宋体" w:hAnsi="宋体" w:eastAsia="宋体" w:cs="宋体"/>
          <w:bCs/>
          <w:sz w:val="24"/>
          <w:szCs w:val="24"/>
          <w:highlight w:val="none"/>
        </w:rPr>
        <w:t>14.索赔</w:t>
      </w:r>
      <w:bookmarkEnd w:id="774"/>
      <w:bookmarkEnd w:id="775"/>
      <w:bookmarkEnd w:id="776"/>
    </w:p>
    <w:p w14:paraId="1E79C17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1C5A92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14.2在履约保证期和检验期内，乙方对甲方提出的索赔负有责任，乙方应按照甲方同意的下列一种或多种方式解决索赔事宜：</w:t>
      </w:r>
    </w:p>
    <w:p w14:paraId="46CD5F3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75A368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14.2.2根据货物低劣程度、损坏程度以及甲方所遭受损失的数额，经甲乙双方商定降低货物的价格，或由有资质的中介机构评估，以降低后的价格或评估价格为准。</w:t>
      </w:r>
    </w:p>
    <w:p w14:paraId="2B8D0A8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157B95A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14.3乙方收到甲方发出的索赔通知之日起5个工作日内未作答复的，甲方可从合同款或履约保证金中扣回索赔金额，如金额不足以补偿索赔金额，乙方应补足差额部分。</w:t>
      </w:r>
    </w:p>
    <w:p w14:paraId="628004E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77" w:name="_Toc6747_WPSOffice_Level2"/>
      <w:bookmarkStart w:id="778" w:name="_Toc14292_WPSOffice_Level2"/>
      <w:bookmarkStart w:id="779" w:name="_Toc17056_WPSOffice_Level2"/>
      <w:r>
        <w:rPr>
          <w:rFonts w:hint="eastAsia" w:ascii="宋体" w:hAnsi="宋体" w:eastAsia="宋体" w:cs="宋体"/>
          <w:bCs/>
          <w:sz w:val="24"/>
          <w:szCs w:val="24"/>
          <w:highlight w:val="none"/>
        </w:rPr>
        <w:t>15.迟延交货</w:t>
      </w:r>
      <w:bookmarkEnd w:id="777"/>
      <w:bookmarkEnd w:id="778"/>
      <w:bookmarkEnd w:id="779"/>
    </w:p>
    <w:p w14:paraId="12A8973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 乙方应按照合同约定的时间交货和提供服务。</w:t>
      </w:r>
    </w:p>
    <w:p w14:paraId="32C43F2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除不可抗力因素外，乙方迟延交货，甲方有权提出违约损失赔偿或解除合同。</w:t>
      </w:r>
    </w:p>
    <w:p w14:paraId="2E01269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15.3在履行合同过程中，乙方遇到不能按时交货和提供服务的情况，应及时以书面形式将不能按时交货的理由、预期延误时间通知甲方。甲方收到乙方通知后，认为其理由正当的，可酌情延长交货时间。</w:t>
      </w:r>
    </w:p>
    <w:p w14:paraId="5172F52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80" w:name="_Toc10642_WPSOffice_Level2"/>
      <w:bookmarkStart w:id="781" w:name="_Toc15350_WPSOffice_Level2"/>
      <w:bookmarkStart w:id="782" w:name="_Toc32293_WPSOffice_Level2"/>
      <w:r>
        <w:rPr>
          <w:rFonts w:hint="eastAsia" w:ascii="宋体" w:hAnsi="宋体" w:eastAsia="宋体" w:cs="宋体"/>
          <w:bCs/>
          <w:sz w:val="24"/>
          <w:szCs w:val="24"/>
          <w:highlight w:val="none"/>
        </w:rPr>
        <w:t>16.违约赔偿</w:t>
      </w:r>
      <w:bookmarkEnd w:id="780"/>
      <w:bookmarkEnd w:id="781"/>
      <w:bookmarkEnd w:id="782"/>
    </w:p>
    <w:p w14:paraId="57C945F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除不可抗力因素外，乙方没有按照合同规定的时间交货和提供服务，甲方可要求乙方支付违约金。违约金每日按合同总价款的千分之五计收。</w:t>
      </w:r>
    </w:p>
    <w:p w14:paraId="0099539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83" w:name="_Toc132_WPSOffice_Level2"/>
      <w:bookmarkStart w:id="784" w:name="_Toc32484_WPSOffice_Level2"/>
      <w:bookmarkStart w:id="785" w:name="_Toc13101_WPSOffice_Level2"/>
      <w:r>
        <w:rPr>
          <w:rFonts w:hint="eastAsia" w:ascii="宋体" w:hAnsi="宋体" w:eastAsia="宋体" w:cs="宋体"/>
          <w:bCs/>
          <w:sz w:val="24"/>
          <w:szCs w:val="24"/>
          <w:highlight w:val="none"/>
        </w:rPr>
        <w:t>17.不可抗力</w:t>
      </w:r>
      <w:bookmarkEnd w:id="783"/>
      <w:bookmarkEnd w:id="784"/>
      <w:bookmarkEnd w:id="785"/>
    </w:p>
    <w:p w14:paraId="597F0E8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17.1.双方中任何一方遭遇法律规定的不可抗力，致使合同履行受阻时，履行合同的期限应予延长，延长的期限应相当于不可抗力所影响的时间。</w:t>
      </w:r>
    </w:p>
    <w:p w14:paraId="68DD40C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17.2受事故影响的一方应在不可抗力的事故发生后以书面形式通知另一方。</w:t>
      </w:r>
    </w:p>
    <w:p w14:paraId="40601C2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17.3不可抗力使合同的某些内容有变更必要的， 双方应通过协商达成进一步履行合同的协议，因不可抗力致使合同不能履行的，合同终止。</w:t>
      </w:r>
    </w:p>
    <w:p w14:paraId="7D0E26E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86" w:name="_Toc27502_WPSOffice_Level2"/>
      <w:bookmarkStart w:id="787" w:name="_Toc17666_WPSOffice_Level2"/>
      <w:bookmarkStart w:id="788" w:name="_Toc17980_WPSOffice_Level2"/>
      <w:r>
        <w:rPr>
          <w:rFonts w:hint="eastAsia" w:ascii="宋体" w:hAnsi="宋体" w:eastAsia="宋体" w:cs="宋体"/>
          <w:bCs/>
          <w:sz w:val="24"/>
          <w:szCs w:val="24"/>
          <w:highlight w:val="none"/>
        </w:rPr>
        <w:t>18.税费</w:t>
      </w:r>
      <w:bookmarkEnd w:id="786"/>
      <w:bookmarkEnd w:id="787"/>
      <w:bookmarkEnd w:id="788"/>
    </w:p>
    <w:p w14:paraId="2C8AA4C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与本合同有关的一切税费均由乙方承担。</w:t>
      </w:r>
    </w:p>
    <w:p w14:paraId="52810C0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89" w:name="_Toc16036_WPSOffice_Level2"/>
      <w:bookmarkStart w:id="790" w:name="_Toc27070_WPSOffice_Level2"/>
      <w:bookmarkStart w:id="791" w:name="_Toc1449_WPSOffice_Level2"/>
      <w:r>
        <w:rPr>
          <w:rFonts w:hint="eastAsia" w:ascii="宋体" w:hAnsi="宋体" w:eastAsia="宋体" w:cs="宋体"/>
          <w:bCs/>
          <w:sz w:val="24"/>
          <w:szCs w:val="24"/>
          <w:highlight w:val="none"/>
        </w:rPr>
        <w:t>19.合同争议的解决</w:t>
      </w:r>
      <w:bookmarkEnd w:id="789"/>
      <w:bookmarkEnd w:id="790"/>
      <w:bookmarkEnd w:id="791"/>
    </w:p>
    <w:p w14:paraId="5C00C12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19.1甲方和乙方由于本合同的履行而发生任何争议时，双方可先通过协商解决。</w:t>
      </w:r>
    </w:p>
    <w:p w14:paraId="5E3A175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19.2任何一方不愿通过协商或通过协商仍不能解决争议，则双方中任何一方均应向甲方所在地人民法院起诉。</w:t>
      </w:r>
    </w:p>
    <w:p w14:paraId="514EFC8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92" w:name="_Toc25678_WPSOffice_Level2"/>
      <w:bookmarkStart w:id="793" w:name="_Toc4114_WPSOffice_Level2"/>
      <w:bookmarkStart w:id="794" w:name="_Toc1645_WPSOffice_Level2"/>
      <w:r>
        <w:rPr>
          <w:rFonts w:hint="eastAsia" w:ascii="宋体" w:hAnsi="宋体" w:eastAsia="宋体" w:cs="宋体"/>
          <w:bCs/>
          <w:sz w:val="24"/>
          <w:szCs w:val="24"/>
          <w:highlight w:val="none"/>
        </w:rPr>
        <w:t>20.违约解除合同</w:t>
      </w:r>
      <w:bookmarkEnd w:id="792"/>
      <w:bookmarkEnd w:id="793"/>
      <w:bookmarkEnd w:id="794"/>
    </w:p>
    <w:p w14:paraId="772F91E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20.1出现下列情形之一的，视为乙方违约。甲方可向乙方发出书面通知，部分或全部终止合同，同时保留向乙方索赔的权利。</w:t>
      </w:r>
    </w:p>
    <w:p w14:paraId="3F30AAB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20.1.1乙方未能在合同规定的限期或甲方同意延长的限期内，提供全部或部分货物的； </w:t>
      </w:r>
    </w:p>
    <w:p w14:paraId="56916D9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20.1.2乙方未能履行合同规定的其它主要义务的；</w:t>
      </w:r>
    </w:p>
    <w:p w14:paraId="0EDD86E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20.1.3乙方在本合同履行过程中有欺诈行为的。</w:t>
      </w:r>
    </w:p>
    <w:p w14:paraId="1CFF6A9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779432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95" w:name="_Toc4171_WPSOffice_Level2"/>
      <w:bookmarkStart w:id="796" w:name="_Toc3174_WPSOffice_Level2"/>
      <w:bookmarkStart w:id="797" w:name="_Toc26055_WPSOffice_Level2"/>
      <w:r>
        <w:rPr>
          <w:rFonts w:hint="eastAsia" w:ascii="宋体" w:hAnsi="宋体" w:eastAsia="宋体" w:cs="宋体"/>
          <w:bCs/>
          <w:sz w:val="24"/>
          <w:szCs w:val="24"/>
          <w:highlight w:val="none"/>
        </w:rPr>
        <w:t>21.破产终止合同</w:t>
      </w:r>
      <w:bookmarkEnd w:id="795"/>
      <w:bookmarkEnd w:id="796"/>
      <w:bookmarkEnd w:id="797"/>
    </w:p>
    <w:p w14:paraId="5DCC704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4380B83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98" w:name="_Toc12382_WPSOffice_Level2"/>
      <w:bookmarkStart w:id="799" w:name="_Toc6264_WPSOffice_Level2"/>
      <w:bookmarkStart w:id="800" w:name="_Toc17697_WPSOffice_Level2"/>
      <w:r>
        <w:rPr>
          <w:rFonts w:hint="eastAsia" w:ascii="宋体" w:hAnsi="宋体" w:eastAsia="宋体" w:cs="宋体"/>
          <w:bCs/>
          <w:sz w:val="24"/>
          <w:szCs w:val="24"/>
          <w:highlight w:val="none"/>
        </w:rPr>
        <w:t>22.转让和分包</w:t>
      </w:r>
      <w:bookmarkEnd w:id="798"/>
      <w:bookmarkEnd w:id="799"/>
      <w:bookmarkEnd w:id="800"/>
    </w:p>
    <w:p w14:paraId="33E6384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22.1政府采购合同不能转让。</w:t>
      </w:r>
    </w:p>
    <w:p w14:paraId="67F5B21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F36EDC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801" w:name="_Toc2646_WPSOffice_Level2"/>
      <w:bookmarkStart w:id="802" w:name="_Toc32240_WPSOffice_Level2"/>
      <w:bookmarkStart w:id="803" w:name="_Toc30393_WPSOffice_Level2"/>
      <w:r>
        <w:rPr>
          <w:rFonts w:hint="eastAsia" w:ascii="宋体" w:hAnsi="宋体" w:eastAsia="宋体" w:cs="宋体"/>
          <w:bCs/>
          <w:sz w:val="24"/>
          <w:szCs w:val="24"/>
          <w:highlight w:val="none"/>
        </w:rPr>
        <w:t>23.合同修改</w:t>
      </w:r>
      <w:bookmarkEnd w:id="801"/>
      <w:bookmarkEnd w:id="802"/>
      <w:bookmarkEnd w:id="803"/>
    </w:p>
    <w:p w14:paraId="1EE582A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甲方和乙方都不得擅自变更本合同，但合同继续履行将损害国家和社会公共利益的除外。如必须对合同条款进行改动时，当事人双方须共同签署书面文件，做为合同的补充。</w:t>
      </w:r>
    </w:p>
    <w:p w14:paraId="6B06DC8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bookmarkStart w:id="804" w:name="_Toc11324_WPSOffice_Level2"/>
      <w:bookmarkStart w:id="805" w:name="_Toc17115_WPSOffice_Level2"/>
      <w:bookmarkStart w:id="806" w:name="_Toc20751_WPSOffice_Level2"/>
      <w:r>
        <w:rPr>
          <w:rFonts w:hint="eastAsia" w:ascii="宋体" w:hAnsi="宋体" w:eastAsia="宋体" w:cs="宋体"/>
          <w:bCs/>
          <w:sz w:val="24"/>
          <w:szCs w:val="24"/>
        </w:rPr>
        <w:t>24.通知</w:t>
      </w:r>
      <w:bookmarkEnd w:id="804"/>
      <w:bookmarkEnd w:id="805"/>
      <w:bookmarkEnd w:id="806"/>
    </w:p>
    <w:p w14:paraId="1EF5121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本合同任何一方给另一方的通知，都应以书面形式发送，而另一方也应以书面形式确认并发送到对方明确的地址。</w:t>
      </w:r>
    </w:p>
    <w:p w14:paraId="7B02D0D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bookmarkStart w:id="807" w:name="_Toc15147_WPSOffice_Level2"/>
      <w:bookmarkStart w:id="808" w:name="_Toc11594_WPSOffice_Level2"/>
      <w:bookmarkStart w:id="809" w:name="_Toc11022_WPSOffice_Level2"/>
      <w:r>
        <w:rPr>
          <w:rFonts w:hint="eastAsia" w:ascii="宋体" w:hAnsi="宋体" w:eastAsia="宋体" w:cs="宋体"/>
          <w:bCs/>
          <w:sz w:val="24"/>
          <w:szCs w:val="24"/>
        </w:rPr>
        <w:t>25.计量单位</w:t>
      </w:r>
      <w:bookmarkEnd w:id="807"/>
      <w:bookmarkEnd w:id="808"/>
      <w:bookmarkEnd w:id="809"/>
    </w:p>
    <w:p w14:paraId="49E6799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除技术规范中另有规定外，计量单位均使用国家法定计量单位。</w:t>
      </w:r>
    </w:p>
    <w:p w14:paraId="06CE1B7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bookmarkStart w:id="810" w:name="_Toc24346_WPSOffice_Level2"/>
      <w:bookmarkStart w:id="811" w:name="_Toc32417_WPSOffice_Level2"/>
      <w:bookmarkStart w:id="812" w:name="_Toc15506_WPSOffice_Level2"/>
      <w:r>
        <w:rPr>
          <w:rFonts w:hint="eastAsia" w:ascii="宋体" w:hAnsi="宋体" w:eastAsia="宋体" w:cs="宋体"/>
          <w:bCs/>
          <w:sz w:val="24"/>
          <w:szCs w:val="24"/>
        </w:rPr>
        <w:t>26.适用法律</w:t>
      </w:r>
      <w:bookmarkEnd w:id="810"/>
      <w:bookmarkEnd w:id="811"/>
      <w:bookmarkEnd w:id="812"/>
    </w:p>
    <w:p w14:paraId="2907416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本合同按照中华人民共和国的相关法律进行解释。</w:t>
      </w:r>
    </w:p>
    <w:p w14:paraId="1593E8EF">
      <w:pPr>
        <w:bidi w:val="0"/>
        <w:rPr>
          <w:rFonts w:hint="eastAsia" w:ascii="Times New Roman" w:hAnsi="Times New Roman" w:eastAsia="宋体" w:cs="Times New Roman"/>
          <w:kern w:val="2"/>
          <w:sz w:val="21"/>
          <w:szCs w:val="24"/>
          <w:lang w:val="en-US" w:eastAsia="zh-CN" w:bidi="ar-SA"/>
        </w:rPr>
      </w:pPr>
    </w:p>
    <w:p w14:paraId="141E5463">
      <w:pPr>
        <w:bidi w:val="0"/>
        <w:rPr>
          <w:rFonts w:hint="eastAsia"/>
          <w:lang w:val="en-US" w:eastAsia="zh-CN"/>
        </w:rPr>
      </w:pPr>
    </w:p>
    <w:p w14:paraId="2DB24D65">
      <w:pPr>
        <w:tabs>
          <w:tab w:val="left" w:pos="6772"/>
        </w:tabs>
        <w:bidi w:val="0"/>
        <w:jc w:val="left"/>
        <w:rPr>
          <w:rFonts w:hint="eastAsia"/>
          <w:lang w:val="en-US" w:eastAsia="zh-CN"/>
        </w:rPr>
      </w:pPr>
      <w:r>
        <w:rPr>
          <w:rFonts w:hint="eastAsia"/>
          <w:lang w:val="en-US" w:eastAsia="zh-CN"/>
        </w:rPr>
        <w:tab/>
      </w:r>
    </w:p>
    <w:p w14:paraId="22CB27AE">
      <w:pPr>
        <w:rPr>
          <w:rFonts w:hint="eastAsia" w:ascii="宋体" w:hAnsi="宋体" w:eastAsia="宋体" w:cs="宋体"/>
          <w:kern w:val="2"/>
          <w:szCs w:val="32"/>
          <w:highlight w:val="none"/>
          <w:lang w:val="en-US" w:eastAsia="zh-CN" w:bidi="ar-S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F18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CDBC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1CDBC6">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31D4">
    <w:pPr>
      <w:pStyle w:val="12"/>
      <w:jc w:val="both"/>
      <w:rPr>
        <w:rFonts w:hint="default"/>
        <w:lang w:val="en-US"/>
      </w:rPr>
    </w:pPr>
    <w:r>
      <w:rPr>
        <w:sz w:val="18"/>
      </w:rPr>
      <w:pict>
        <v:shape id="PowerPlusWaterMarkObject110242" o:spid="_x0000_s4097" o:spt="136" type="#_x0000_t136" style="position:absolute;left:0pt;height:48.3pt;width:593.4pt;mso-position-horizontal:center;mso-position-horizontal-relative:margin;mso-position-vertical:center;mso-position-vertical-relative:margin;rotation:-2949120f;z-index:-251657216;mso-width-relative:page;mso-height-relative:page;" fillcolor="#B9CDE5" filled="t" stroked="f" coordsize="21600,21600" adj="10800">
          <v:path/>
          <v:fill on="t" opacity="53084f" focussize="0,0"/>
          <v:stroke on="f"/>
          <v:imagedata o:title=""/>
          <o:lock v:ext="edit" aspectratio="t"/>
          <v:textpath on="t" fitshape="t" fitpath="t" trim="t" xscale="f" string="青海拓鑫工程项目管理有限公司" style="font-family:楷体;font-size:48pt;v-same-letter-heights:f;v-text-align:center;"/>
        </v:shape>
      </w:pict>
    </w:r>
    <w:r>
      <w:rPr>
        <w:rFonts w:hint="eastAsia" w:ascii="新宋体" w:hAnsi="新宋体" w:eastAsia="新宋体" w:cs="新宋体"/>
        <w:color w:val="000000"/>
        <w:sz w:val="21"/>
        <w:szCs w:val="21"/>
        <w:lang w:eastAsia="zh-CN"/>
      </w:rPr>
      <w:t>青海拓鑫工程项目管理有限公司</w:t>
    </w:r>
    <w:r>
      <w:rPr>
        <w:rFonts w:hint="eastAsia" w:ascii="新宋体" w:hAnsi="新宋体" w:eastAsia="新宋体" w:cs="新宋体"/>
        <w:sz w:val="21"/>
        <w:szCs w:val="21"/>
        <w:lang w:val="zh-CN"/>
      </w:rPr>
      <w:t xml:space="preserve">   </w:t>
    </w:r>
    <w:r>
      <w:rPr>
        <w:rFonts w:hint="eastAsia" w:ascii="新宋体" w:hAnsi="新宋体" w:eastAsia="新宋体" w:cs="新宋体"/>
        <w:sz w:val="21"/>
        <w:szCs w:val="21"/>
        <w:lang w:val="zh-CN" w:eastAsia="zh-CN"/>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lang w:val="zh-CN" w:eastAsia="zh-CN"/>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lang w:val="zh-CN"/>
      </w:rPr>
      <w:t xml:space="preserve"> </w:t>
    </w:r>
    <w:r>
      <w:rPr>
        <w:rFonts w:hint="eastAsia" w:ascii="新宋体" w:hAnsi="新宋体" w:eastAsia="新宋体" w:cs="新宋体"/>
        <w:color w:val="000000"/>
        <w:sz w:val="21"/>
        <w:szCs w:val="21"/>
        <w:lang w:val="en-US" w:eastAsia="zh-CN"/>
      </w:rPr>
      <w:t xml:space="preserve"> </w:t>
    </w:r>
    <w:r>
      <w:rPr>
        <w:rFonts w:hint="eastAsia" w:ascii="新宋体" w:hAnsi="新宋体" w:eastAsia="新宋体" w:cs="新宋体"/>
        <w:color w:val="000000"/>
        <w:sz w:val="21"/>
        <w:szCs w:val="21"/>
        <w:lang w:eastAsia="zh-CN"/>
      </w:rPr>
      <w:t xml:space="preserve">  青海拓鑫竞谈（货物）2026-028-2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9EDE0"/>
    <w:multiLevelType w:val="singleLevel"/>
    <w:tmpl w:val="8F79EDE0"/>
    <w:lvl w:ilvl="0" w:tentative="0">
      <w:start w:val="1"/>
      <w:numFmt w:val="decimal"/>
      <w:lvlText w:val="%1."/>
      <w:lvlJc w:val="left"/>
      <w:pPr>
        <w:tabs>
          <w:tab w:val="left" w:pos="312"/>
        </w:tabs>
      </w:pPr>
    </w:lvl>
  </w:abstractNum>
  <w:abstractNum w:abstractNumId="1">
    <w:nsid w:val="AFE535C4"/>
    <w:multiLevelType w:val="singleLevel"/>
    <w:tmpl w:val="AFE535C4"/>
    <w:lvl w:ilvl="0" w:tentative="0">
      <w:start w:val="1"/>
      <w:numFmt w:val="chineseCounting"/>
      <w:suff w:val="nothing"/>
      <w:lvlText w:val="%1、"/>
      <w:lvlJc w:val="left"/>
      <w:rPr>
        <w:rFonts w:hint="eastAsia"/>
      </w:rPr>
    </w:lvl>
  </w:abstractNum>
  <w:abstractNum w:abstractNumId="2">
    <w:nsid w:val="ED3C41CC"/>
    <w:multiLevelType w:val="singleLevel"/>
    <w:tmpl w:val="ED3C41CC"/>
    <w:lvl w:ilvl="0" w:tentative="0">
      <w:start w:val="6"/>
      <w:numFmt w:val="decimal"/>
      <w:suff w:val="nothing"/>
      <w:lvlText w:val="%1、"/>
      <w:lvlJc w:val="left"/>
    </w:lvl>
  </w:abstractNum>
  <w:abstractNum w:abstractNumId="3">
    <w:nsid w:val="14FED333"/>
    <w:multiLevelType w:val="singleLevel"/>
    <w:tmpl w:val="14FED333"/>
    <w:lvl w:ilvl="0" w:tentative="0">
      <w:start w:val="1"/>
      <w:numFmt w:val="chineseCounting"/>
      <w:suff w:val="space"/>
      <w:lvlText w:val="第%1部分"/>
      <w:lvlJc w:val="left"/>
      <w:rPr>
        <w:rFonts w:hint="eastAsia"/>
      </w:rPr>
    </w:lvl>
  </w:abstractNum>
  <w:abstractNum w:abstractNumId="4">
    <w:nsid w:val="5EC64F27"/>
    <w:multiLevelType w:val="singleLevel"/>
    <w:tmpl w:val="5EC64F27"/>
    <w:lvl w:ilvl="0" w:tentative="0">
      <w:start w:val="1"/>
      <w:numFmt w:val="decimal"/>
      <w:suff w:val="nothing"/>
      <w:lvlText w:val="（%1）"/>
      <w:lvlJc w:val="left"/>
    </w:lvl>
  </w:abstractNum>
  <w:abstractNum w:abstractNumId="5">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26"/>
      <w:suff w:val="nothing"/>
      <w:lvlText w:val="%1%2　"/>
      <w:lvlJc w:val="left"/>
      <w:rPr>
        <w:rFonts w:hint="eastAsia" w:ascii="黑体" w:hAnsi="Times New Roman" w:eastAsia="黑体" w:cs="Times New Roman"/>
        <w:b w:val="0"/>
        <w:i w:val="0"/>
        <w:sz w:val="21"/>
      </w:rPr>
    </w:lvl>
    <w:lvl w:ilvl="2" w:tentative="0">
      <w:start w:val="1"/>
      <w:numFmt w:val="decimal"/>
      <w:pStyle w:val="25"/>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6F2D1F78"/>
    <w:multiLevelType w:val="singleLevel"/>
    <w:tmpl w:val="6F2D1F78"/>
    <w:lvl w:ilvl="0" w:tentative="0">
      <w:start w:val="1"/>
      <w:numFmt w:val="decimal"/>
      <w:suff w:val="nothing"/>
      <w:lvlText w:val="%1、"/>
      <w:lvlJc w:val="left"/>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441DC"/>
    <w:rsid w:val="007F0A1D"/>
    <w:rsid w:val="01057174"/>
    <w:rsid w:val="01773039"/>
    <w:rsid w:val="01D95F0B"/>
    <w:rsid w:val="02083ADE"/>
    <w:rsid w:val="02144855"/>
    <w:rsid w:val="0236335D"/>
    <w:rsid w:val="02693733"/>
    <w:rsid w:val="02A9449A"/>
    <w:rsid w:val="03157E45"/>
    <w:rsid w:val="032B6C3A"/>
    <w:rsid w:val="0350044F"/>
    <w:rsid w:val="03BB1D6C"/>
    <w:rsid w:val="05017C52"/>
    <w:rsid w:val="051839E7"/>
    <w:rsid w:val="054D10EA"/>
    <w:rsid w:val="054E7AA5"/>
    <w:rsid w:val="05597A8E"/>
    <w:rsid w:val="05A131E3"/>
    <w:rsid w:val="06127C3D"/>
    <w:rsid w:val="06C13B3D"/>
    <w:rsid w:val="06CE625A"/>
    <w:rsid w:val="0755558D"/>
    <w:rsid w:val="07CF71F4"/>
    <w:rsid w:val="08626A20"/>
    <w:rsid w:val="096A04BC"/>
    <w:rsid w:val="098F1CD1"/>
    <w:rsid w:val="09E813E1"/>
    <w:rsid w:val="0A402FCB"/>
    <w:rsid w:val="0ABD461B"/>
    <w:rsid w:val="0AED1E2B"/>
    <w:rsid w:val="0B7A075E"/>
    <w:rsid w:val="0B9C2483"/>
    <w:rsid w:val="0C28640C"/>
    <w:rsid w:val="0C2D57D1"/>
    <w:rsid w:val="0C37664F"/>
    <w:rsid w:val="0C6F7B97"/>
    <w:rsid w:val="0C8C1744"/>
    <w:rsid w:val="0CB63A18"/>
    <w:rsid w:val="0CCC4FEA"/>
    <w:rsid w:val="0DA22D56"/>
    <w:rsid w:val="0E721BC1"/>
    <w:rsid w:val="0EA95DFA"/>
    <w:rsid w:val="0F5D461F"/>
    <w:rsid w:val="127A7296"/>
    <w:rsid w:val="130E12B9"/>
    <w:rsid w:val="1340228E"/>
    <w:rsid w:val="146D2C0E"/>
    <w:rsid w:val="153B748B"/>
    <w:rsid w:val="154020D1"/>
    <w:rsid w:val="15594DBE"/>
    <w:rsid w:val="1573694A"/>
    <w:rsid w:val="16007AB2"/>
    <w:rsid w:val="161B669A"/>
    <w:rsid w:val="16A62408"/>
    <w:rsid w:val="16DC051F"/>
    <w:rsid w:val="16EF1F1B"/>
    <w:rsid w:val="1767428D"/>
    <w:rsid w:val="1767603B"/>
    <w:rsid w:val="17712A16"/>
    <w:rsid w:val="18BF5A03"/>
    <w:rsid w:val="19600E18"/>
    <w:rsid w:val="19A36AAD"/>
    <w:rsid w:val="19FD2C86"/>
    <w:rsid w:val="1A0B3094"/>
    <w:rsid w:val="1B7C407F"/>
    <w:rsid w:val="1BA7543F"/>
    <w:rsid w:val="1BAA3C74"/>
    <w:rsid w:val="1BB27AA1"/>
    <w:rsid w:val="1BFE2CE6"/>
    <w:rsid w:val="1C9251BD"/>
    <w:rsid w:val="1DCA7323"/>
    <w:rsid w:val="1E6C363C"/>
    <w:rsid w:val="1E8079E2"/>
    <w:rsid w:val="1E965458"/>
    <w:rsid w:val="1EEE0420"/>
    <w:rsid w:val="1FD75D28"/>
    <w:rsid w:val="215B0293"/>
    <w:rsid w:val="230476A6"/>
    <w:rsid w:val="23323BC3"/>
    <w:rsid w:val="24D34D10"/>
    <w:rsid w:val="255D4AAB"/>
    <w:rsid w:val="25D16D75"/>
    <w:rsid w:val="270D0281"/>
    <w:rsid w:val="277D0F63"/>
    <w:rsid w:val="27EB4DB3"/>
    <w:rsid w:val="285D1F3E"/>
    <w:rsid w:val="294A30C6"/>
    <w:rsid w:val="29C015DB"/>
    <w:rsid w:val="29DC547F"/>
    <w:rsid w:val="2A1F27A5"/>
    <w:rsid w:val="2BE710A1"/>
    <w:rsid w:val="2C274A89"/>
    <w:rsid w:val="2C37663D"/>
    <w:rsid w:val="2C534988"/>
    <w:rsid w:val="2D4D7629"/>
    <w:rsid w:val="2DC53663"/>
    <w:rsid w:val="2E450300"/>
    <w:rsid w:val="2E8E53AA"/>
    <w:rsid w:val="2ED77DAC"/>
    <w:rsid w:val="2F464330"/>
    <w:rsid w:val="2FC25ACD"/>
    <w:rsid w:val="30733A05"/>
    <w:rsid w:val="30B359F5"/>
    <w:rsid w:val="30F249B4"/>
    <w:rsid w:val="318D4921"/>
    <w:rsid w:val="322070BA"/>
    <w:rsid w:val="325925CC"/>
    <w:rsid w:val="33022C64"/>
    <w:rsid w:val="334A4A1D"/>
    <w:rsid w:val="33AB20D6"/>
    <w:rsid w:val="340C3D9A"/>
    <w:rsid w:val="34A249C4"/>
    <w:rsid w:val="353335A8"/>
    <w:rsid w:val="35D46B3A"/>
    <w:rsid w:val="35E14349"/>
    <w:rsid w:val="36377275"/>
    <w:rsid w:val="38591578"/>
    <w:rsid w:val="39074B30"/>
    <w:rsid w:val="39E62997"/>
    <w:rsid w:val="3AAA60BB"/>
    <w:rsid w:val="3B4E6A46"/>
    <w:rsid w:val="3B911029"/>
    <w:rsid w:val="3C792CFD"/>
    <w:rsid w:val="3CBB45AF"/>
    <w:rsid w:val="3D6C0E55"/>
    <w:rsid w:val="3D810994"/>
    <w:rsid w:val="3DF5764D"/>
    <w:rsid w:val="3E074214"/>
    <w:rsid w:val="3E4573F0"/>
    <w:rsid w:val="3E9450B8"/>
    <w:rsid w:val="3ED12BB6"/>
    <w:rsid w:val="3EDE6333"/>
    <w:rsid w:val="3F3A3B5A"/>
    <w:rsid w:val="3F917849"/>
    <w:rsid w:val="40703903"/>
    <w:rsid w:val="407B78CA"/>
    <w:rsid w:val="411C3143"/>
    <w:rsid w:val="41CF6407"/>
    <w:rsid w:val="43061489"/>
    <w:rsid w:val="43D12111"/>
    <w:rsid w:val="448B4867"/>
    <w:rsid w:val="45611A6C"/>
    <w:rsid w:val="45824860"/>
    <w:rsid w:val="462F1B6A"/>
    <w:rsid w:val="46EE5581"/>
    <w:rsid w:val="474E6020"/>
    <w:rsid w:val="47B2035D"/>
    <w:rsid w:val="48EF24D9"/>
    <w:rsid w:val="49994111"/>
    <w:rsid w:val="49B06B1E"/>
    <w:rsid w:val="49E14F29"/>
    <w:rsid w:val="4A280DAA"/>
    <w:rsid w:val="4A502E66"/>
    <w:rsid w:val="4A6C6EE9"/>
    <w:rsid w:val="4AAC152E"/>
    <w:rsid w:val="4AF60EA8"/>
    <w:rsid w:val="4B0B67DE"/>
    <w:rsid w:val="4C5365B2"/>
    <w:rsid w:val="4CED0E09"/>
    <w:rsid w:val="4D023B34"/>
    <w:rsid w:val="4D6E11CA"/>
    <w:rsid w:val="4DB85647"/>
    <w:rsid w:val="50812FC2"/>
    <w:rsid w:val="508B430C"/>
    <w:rsid w:val="50B43398"/>
    <w:rsid w:val="525A7F6F"/>
    <w:rsid w:val="52E64F13"/>
    <w:rsid w:val="53452312"/>
    <w:rsid w:val="537B1F4B"/>
    <w:rsid w:val="538B4884"/>
    <w:rsid w:val="53A05E55"/>
    <w:rsid w:val="545C6276"/>
    <w:rsid w:val="55807CEC"/>
    <w:rsid w:val="56A90B99"/>
    <w:rsid w:val="57323268"/>
    <w:rsid w:val="57772158"/>
    <w:rsid w:val="58311A13"/>
    <w:rsid w:val="59060509"/>
    <w:rsid w:val="5A290952"/>
    <w:rsid w:val="5B8441DC"/>
    <w:rsid w:val="5CA00C74"/>
    <w:rsid w:val="5D02548B"/>
    <w:rsid w:val="5DFB43B4"/>
    <w:rsid w:val="5E2751A9"/>
    <w:rsid w:val="5ECB647C"/>
    <w:rsid w:val="60126868"/>
    <w:rsid w:val="60645613"/>
    <w:rsid w:val="60B60A66"/>
    <w:rsid w:val="61073070"/>
    <w:rsid w:val="61883090"/>
    <w:rsid w:val="61CD42B9"/>
    <w:rsid w:val="6252166E"/>
    <w:rsid w:val="64986E00"/>
    <w:rsid w:val="64C6037A"/>
    <w:rsid w:val="64CD637E"/>
    <w:rsid w:val="64D1726D"/>
    <w:rsid w:val="64EB23EC"/>
    <w:rsid w:val="65295CAB"/>
    <w:rsid w:val="653464E4"/>
    <w:rsid w:val="657A02B4"/>
    <w:rsid w:val="657C569B"/>
    <w:rsid w:val="659A0956"/>
    <w:rsid w:val="6603588E"/>
    <w:rsid w:val="6694184A"/>
    <w:rsid w:val="669730E8"/>
    <w:rsid w:val="669E7FD2"/>
    <w:rsid w:val="66C043ED"/>
    <w:rsid w:val="671E1113"/>
    <w:rsid w:val="678E0047"/>
    <w:rsid w:val="698C2CAC"/>
    <w:rsid w:val="69B144C0"/>
    <w:rsid w:val="6A350C4E"/>
    <w:rsid w:val="6B715CB5"/>
    <w:rsid w:val="6B767770"/>
    <w:rsid w:val="6C411B2C"/>
    <w:rsid w:val="6CF50B68"/>
    <w:rsid w:val="6D8223FC"/>
    <w:rsid w:val="6DC21BB9"/>
    <w:rsid w:val="6DF42BCE"/>
    <w:rsid w:val="6E3D6323"/>
    <w:rsid w:val="6FA10C39"/>
    <w:rsid w:val="6FA6187D"/>
    <w:rsid w:val="71E44AB3"/>
    <w:rsid w:val="735760D9"/>
    <w:rsid w:val="73A330CC"/>
    <w:rsid w:val="74831487"/>
    <w:rsid w:val="757F5473"/>
    <w:rsid w:val="764547A0"/>
    <w:rsid w:val="77732DB5"/>
    <w:rsid w:val="77E4723A"/>
    <w:rsid w:val="77ED0DBA"/>
    <w:rsid w:val="790A599B"/>
    <w:rsid w:val="7A1C7734"/>
    <w:rsid w:val="7AD41DBD"/>
    <w:rsid w:val="7B25086A"/>
    <w:rsid w:val="7BA45C33"/>
    <w:rsid w:val="7C1032C9"/>
    <w:rsid w:val="7C3A64E7"/>
    <w:rsid w:val="7C662EE9"/>
    <w:rsid w:val="7CD73DE6"/>
    <w:rsid w:val="7DFC1D56"/>
    <w:rsid w:val="7EAA3560"/>
    <w:rsid w:val="7EE04C53"/>
    <w:rsid w:val="7F3D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sz w:val="21"/>
    </w:rPr>
  </w:style>
  <w:style w:type="paragraph" w:styleId="6">
    <w:name w:val="Body Text Indent"/>
    <w:basedOn w:val="1"/>
    <w:next w:val="7"/>
    <w:qFormat/>
    <w:uiPriority w:val="0"/>
    <w:pPr>
      <w:spacing w:after="120"/>
      <w:ind w:left="420" w:leftChars="200"/>
    </w:pPr>
    <w:rPr>
      <w:sz w:val="21"/>
    </w:rPr>
  </w:style>
  <w:style w:type="paragraph" w:styleId="7">
    <w:name w:val="Body Text First Indent 2"/>
    <w:basedOn w:val="6"/>
    <w:next w:val="1"/>
    <w:qFormat/>
    <w:uiPriority w:val="0"/>
    <w:pPr>
      <w:spacing w:line="480" w:lineRule="auto"/>
      <w:ind w:left="418" w:leftChars="0" w:firstLine="216" w:firstLineChars="200"/>
    </w:pPr>
    <w:rPr>
      <w:rFonts w:ascii="宋体" w:hAnsi="宋体" w:eastAsia="仿宋_GB2312"/>
      <w:sz w:val="24"/>
      <w:szCs w:val="21"/>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rFonts w:ascii="Arial" w:hAnsi="Arial" w:cs="Arial"/>
      <w:b/>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1"/>
      <w:szCs w:val="21"/>
    </w:rPr>
  </w:style>
  <w:style w:type="paragraph" w:styleId="16">
    <w:name w:val="Normal (Web)"/>
    <w:basedOn w:val="1"/>
    <w:qFormat/>
    <w:uiPriority w:val="0"/>
    <w:pPr>
      <w:spacing w:before="100" w:beforeAutospacing="1" w:after="100" w:afterAutospacing="1"/>
      <w:ind w:left="0" w:right="0"/>
      <w:jc w:val="left"/>
    </w:pPr>
    <w:rPr>
      <w:kern w:val="0"/>
      <w:szCs w:val="20"/>
    </w:rPr>
  </w:style>
  <w:style w:type="paragraph" w:styleId="17">
    <w:name w:val="Title"/>
    <w:basedOn w:val="1"/>
    <w:next w:val="1"/>
    <w:qFormat/>
    <w:uiPriority w:val="0"/>
    <w:pPr>
      <w:spacing w:before="240" w:after="60"/>
      <w:jc w:val="center"/>
      <w:outlineLvl w:val="0"/>
    </w:pPr>
    <w:rPr>
      <w:rFonts w:ascii="Cambria" w:hAnsi="Cambria"/>
      <w:b/>
      <w:bCs/>
      <w:sz w:val="36"/>
      <w:szCs w:val="32"/>
    </w:rPr>
  </w:style>
  <w:style w:type="paragraph" w:styleId="18">
    <w:name w:val="Body Text First Indent"/>
    <w:basedOn w:val="5"/>
    <w:next w:val="1"/>
    <w:qFormat/>
    <w:uiPriority w:val="0"/>
    <w:pPr>
      <w:ind w:firstLine="420" w:firstLineChars="100"/>
    </w:pPr>
    <w:rPr>
      <w:lang w:val="en-US" w:eastAsia="zh-C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HTML Sample"/>
    <w:basedOn w:val="21"/>
    <w:unhideWhenUsed/>
    <w:qFormat/>
    <w:uiPriority w:val="99"/>
    <w:rPr>
      <w:rFonts w:ascii="Courier New" w:hAnsi="Courier New"/>
    </w:rPr>
  </w:style>
  <w:style w:type="paragraph" w:customStyle="1" w:styleId="25">
    <w:name w:val="一级条标题"/>
    <w:basedOn w:val="26"/>
    <w:next w:val="27"/>
    <w:qFormat/>
    <w:uiPriority w:val="99"/>
    <w:pPr>
      <w:widowControl/>
      <w:numPr>
        <w:ilvl w:val="2"/>
        <w:numId w:val="1"/>
      </w:numPr>
      <w:outlineLvl w:val="2"/>
    </w:pPr>
    <w:rPr>
      <w:rFonts w:ascii="黑体" w:eastAsia="黑体"/>
      <w:kern w:val="0"/>
      <w:szCs w:val="20"/>
    </w:rPr>
  </w:style>
  <w:style w:type="paragraph" w:customStyle="1" w:styleId="26">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7">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Table Paragraph"/>
    <w:basedOn w:val="1"/>
    <w:autoRedefine/>
    <w:qFormat/>
    <w:uiPriority w:val="1"/>
    <w:rPr>
      <w:rFonts w:ascii="宋体" w:hAnsi="宋体" w:eastAsia="宋体" w:cs="宋体"/>
      <w:lang w:val="zh-CN" w:eastAsia="zh-CN" w:bidi="zh-CN"/>
    </w:rPr>
  </w:style>
  <w:style w:type="paragraph" w:customStyle="1" w:styleId="29">
    <w:name w:val="List Paragraph"/>
    <w:basedOn w:val="1"/>
    <w:autoRedefine/>
    <w:qFormat/>
    <w:uiPriority w:val="1"/>
    <w:pPr>
      <w:spacing w:before="161"/>
      <w:ind w:left="508" w:firstLine="480"/>
    </w:pPr>
  </w:style>
  <w:style w:type="character" w:customStyle="1" w:styleId="30">
    <w:name w:val="标题 1 Char"/>
    <w:link w:val="2"/>
    <w:qFormat/>
    <w:uiPriority w:val="0"/>
    <w:rPr>
      <w:b/>
      <w:bCs/>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12728</Words>
  <Characters>13439</Characters>
  <Lines>0</Lines>
  <Paragraphs>0</Paragraphs>
  <TotalTime>19</TotalTime>
  <ScaleCrop>false</ScaleCrop>
  <LinksUpToDate>false</LinksUpToDate>
  <CharactersWithSpaces>13914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2025-01-15T06:38:00Z</dcterms:created>
  <dc:creator>一城一人</dc:creator>
  <cp:lastModifiedBy>栀夏如初</cp:lastModifiedBy>
  <dcterms:modified xsi:type="dcterms:W3CDTF">2026-05-18T04:08:45Z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53AE34F009D549CAAA3D79E42296FBD6_13</vt:lpwstr>
  </property>
  <property fmtid="{D5CDD505-2E9C-101B-9397-08002B2CF9AE}" pid="4" name="KSOTemplateDocerSaveRecord">
    <vt:lpwstr>eyJoZGlkIjoiNTYwNmIzNjI1ZGQxYTUwMTFiYjYxNTc0NDNkM2NkZmUiLCJ1c2VySWQiOiI0MjA1NTI2MTUifQ==</vt:lpwstr>
  </property>
</Properties>
</file>