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F3BDD">
      <w:pPr>
        <w:tabs>
          <w:tab w:val="left" w:pos="864"/>
        </w:tabs>
        <w:rPr>
          <w:highlight w:val="none"/>
          <w:lang w:val="zh-CN"/>
        </w:rPr>
      </w:pPr>
    </w:p>
    <w:p w14:paraId="146365C6">
      <w:pPr>
        <w:tabs>
          <w:tab w:val="left" w:pos="864"/>
        </w:tabs>
        <w:rPr>
          <w:highlight w:val="none"/>
          <w:lang w:val="zh-CN"/>
        </w:rPr>
      </w:pPr>
    </w:p>
    <w:p w14:paraId="0719410D">
      <w:pPr>
        <w:tabs>
          <w:tab w:val="left" w:pos="864"/>
        </w:tabs>
        <w:rPr>
          <w:highlight w:val="none"/>
          <w:lang w:val="zh-CN"/>
        </w:rPr>
      </w:pPr>
    </w:p>
    <w:p w14:paraId="65B22C0B">
      <w:pPr>
        <w:tabs>
          <w:tab w:val="left" w:pos="864"/>
        </w:tabs>
        <w:rPr>
          <w:highlight w:val="none"/>
          <w:lang w:val="zh-CN"/>
        </w:rPr>
      </w:pPr>
    </w:p>
    <w:p w14:paraId="6B4837EB">
      <w:pPr>
        <w:autoSpaceDE w:val="0"/>
        <w:autoSpaceDN w:val="0"/>
        <w:adjustRightInd w:val="0"/>
        <w:spacing w:line="360" w:lineRule="auto"/>
        <w:jc w:val="center"/>
        <w:rPr>
          <w:rFonts w:hint="eastAsia" w:ascii="宋体" w:hAnsi="宋体" w:cs="宋体"/>
          <w:b/>
          <w:bCs/>
          <w:kern w:val="0"/>
          <w:sz w:val="96"/>
          <w:szCs w:val="96"/>
          <w:highlight w:val="none"/>
        </w:rPr>
      </w:pPr>
      <w:r>
        <w:rPr>
          <w:rFonts w:hint="eastAsia" w:ascii="宋体" w:hAnsi="宋体" w:cs="宋体"/>
          <w:b/>
          <w:bCs/>
          <w:kern w:val="0"/>
          <w:sz w:val="96"/>
          <w:szCs w:val="96"/>
          <w:highlight w:val="none"/>
          <w:lang w:val="zh-CN"/>
        </w:rPr>
        <w:t>公开招标文件</w:t>
      </w:r>
    </w:p>
    <w:p w14:paraId="4C9619C6">
      <w:pPr>
        <w:autoSpaceDE w:val="0"/>
        <w:autoSpaceDN w:val="0"/>
        <w:adjustRightInd w:val="0"/>
        <w:spacing w:line="360" w:lineRule="auto"/>
        <w:jc w:val="left"/>
        <w:rPr>
          <w:rFonts w:hint="eastAsia" w:ascii="宋体" w:hAnsi="宋体" w:cs="宋体"/>
          <w:kern w:val="0"/>
          <w:sz w:val="36"/>
          <w:szCs w:val="36"/>
          <w:highlight w:val="none"/>
        </w:rPr>
      </w:pPr>
    </w:p>
    <w:p w14:paraId="35678DE2">
      <w:pPr>
        <w:tabs>
          <w:tab w:val="left" w:pos="864"/>
        </w:tabs>
        <w:rPr>
          <w:rFonts w:hint="eastAsia" w:ascii="宋体" w:hAnsi="宋体" w:cs="宋体"/>
          <w:kern w:val="0"/>
          <w:sz w:val="36"/>
          <w:szCs w:val="36"/>
          <w:highlight w:val="none"/>
          <w:u w:val="dotDash"/>
        </w:rPr>
      </w:pPr>
    </w:p>
    <w:p w14:paraId="60BADF7B">
      <w:pPr>
        <w:rPr>
          <w:rFonts w:hint="eastAsia" w:ascii="宋体" w:hAnsi="宋体" w:cs="宋体"/>
          <w:kern w:val="0"/>
          <w:sz w:val="36"/>
          <w:szCs w:val="36"/>
          <w:highlight w:val="none"/>
          <w:u w:val="dotDash"/>
        </w:rPr>
      </w:pPr>
    </w:p>
    <w:p w14:paraId="7C1C5D5A">
      <w:pPr>
        <w:pStyle w:val="41"/>
        <w:rPr>
          <w:rFonts w:hint="eastAsia" w:ascii="宋体" w:hAnsi="宋体" w:cs="宋体"/>
          <w:kern w:val="0"/>
          <w:sz w:val="36"/>
          <w:szCs w:val="36"/>
          <w:highlight w:val="none"/>
          <w:u w:val="dotDash"/>
        </w:rPr>
      </w:pPr>
    </w:p>
    <w:p w14:paraId="67364692">
      <w:pPr>
        <w:pStyle w:val="41"/>
        <w:rPr>
          <w:rFonts w:hint="eastAsia" w:ascii="宋体" w:hAnsi="宋体" w:cs="宋体"/>
          <w:kern w:val="0"/>
          <w:sz w:val="36"/>
          <w:szCs w:val="36"/>
          <w:highlight w:val="none"/>
          <w:u w:val="dotDash"/>
        </w:rPr>
      </w:pPr>
    </w:p>
    <w:p w14:paraId="283E3910">
      <w:pPr>
        <w:tabs>
          <w:tab w:val="left" w:pos="864"/>
        </w:tabs>
        <w:rPr>
          <w:highlight w:val="none"/>
        </w:rPr>
      </w:pPr>
    </w:p>
    <w:p w14:paraId="761FF579">
      <w:pPr>
        <w:pStyle w:val="102"/>
        <w:spacing w:line="360" w:lineRule="auto"/>
        <w:ind w:left="2249" w:hanging="2249" w:hangingChars="700"/>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t>采购项目编号：青海浩驰公招（服务）2026-090号</w:t>
      </w:r>
    </w:p>
    <w:p w14:paraId="43191AEB">
      <w:pPr>
        <w:pStyle w:val="102"/>
        <w:spacing w:line="360" w:lineRule="auto"/>
        <w:ind w:left="2249" w:hanging="2249" w:hangingChars="700"/>
        <w:rPr>
          <w:rFonts w:hint="eastAsia" w:ascii="宋体" w:hAnsi="宋体" w:eastAsia="宋体" w:cs="宋体"/>
          <w:b/>
          <w:bCs/>
          <w:color w:val="000000"/>
          <w:sz w:val="32"/>
          <w:szCs w:val="32"/>
          <w:highlight w:val="none"/>
          <w:u w:val="dashDotHeavy"/>
          <w:lang w:val="en-US" w:eastAsia="zh-CN"/>
        </w:rPr>
      </w:pPr>
      <w:r>
        <w:rPr>
          <w:rFonts w:hint="eastAsia" w:ascii="宋体" w:hAnsi="宋体" w:cs="宋体"/>
          <w:b/>
          <w:bCs/>
          <w:sz w:val="32"/>
          <w:szCs w:val="32"/>
          <w:highlight w:val="none"/>
          <w:lang w:val="zh-CN"/>
        </w:rPr>
        <w:t>采购项目名称：</w:t>
      </w:r>
      <w:r>
        <w:rPr>
          <w:rFonts w:hint="eastAsia" w:ascii="宋体" w:hAnsi="宋体" w:cs="宋体"/>
          <w:b/>
          <w:bCs/>
          <w:color w:val="000000"/>
          <w:sz w:val="32"/>
          <w:szCs w:val="32"/>
          <w:highlight w:val="none"/>
          <w:lang w:val="en-US" w:eastAsia="zh-CN"/>
        </w:rPr>
        <w:t>生物园区2026年市政基础设施养护项目</w:t>
      </w:r>
    </w:p>
    <w:p w14:paraId="352A7BDE">
      <w:pPr>
        <w:pStyle w:val="102"/>
        <w:spacing w:line="360" w:lineRule="auto"/>
        <w:jc w:val="center"/>
        <w:rPr>
          <w:rFonts w:hint="eastAsia" w:ascii="宋体" w:hAnsi="宋体" w:cs="宋体"/>
          <w:sz w:val="32"/>
          <w:szCs w:val="32"/>
          <w:highlight w:val="none"/>
        </w:rPr>
      </w:pPr>
      <w:r>
        <w:rPr>
          <w:rFonts w:hint="eastAsia" w:ascii="宋体" w:hAnsi="宋体" w:cs="宋体"/>
          <w:b/>
          <w:bCs/>
          <w:sz w:val="32"/>
          <w:szCs w:val="32"/>
          <w:highlight w:val="none"/>
          <w:lang w:val="zh-CN"/>
        </w:rPr>
        <w:t>采   购   人：西宁经济技术开发区生物科技产业园区管理</w:t>
      </w:r>
      <w:bookmarkStart w:id="218" w:name="_GoBack"/>
      <w:bookmarkEnd w:id="218"/>
      <w:r>
        <w:rPr>
          <w:rFonts w:hint="eastAsia" w:ascii="宋体" w:hAnsi="宋体" w:cs="宋体"/>
          <w:b/>
          <w:bCs/>
          <w:sz w:val="32"/>
          <w:szCs w:val="32"/>
          <w:highlight w:val="none"/>
          <w:lang w:val="zh-CN"/>
        </w:rPr>
        <w:t>委员会</w:t>
      </w:r>
    </w:p>
    <w:p w14:paraId="39DECCF7">
      <w:pPr>
        <w:autoSpaceDE w:val="0"/>
        <w:autoSpaceDN w:val="0"/>
        <w:adjustRightInd w:val="0"/>
        <w:spacing w:line="360" w:lineRule="auto"/>
        <w:rPr>
          <w:rFonts w:hint="eastAsia" w:ascii="宋体" w:hAnsi="宋体" w:cs="宋体"/>
          <w:b/>
          <w:bCs/>
          <w:kern w:val="0"/>
          <w:sz w:val="32"/>
          <w:szCs w:val="32"/>
          <w:highlight w:val="none"/>
          <w:u w:val="single"/>
          <w:lang w:val="zh-CN"/>
        </w:rPr>
      </w:pPr>
      <w:r>
        <w:rPr>
          <w:rFonts w:hint="eastAsia" w:ascii="宋体" w:hAnsi="宋体" w:cs="宋体"/>
          <w:b/>
          <w:bCs/>
          <w:kern w:val="0"/>
          <w:sz w:val="32"/>
          <w:szCs w:val="32"/>
          <w:highlight w:val="none"/>
          <w:lang w:val="zh-CN"/>
        </w:rPr>
        <w:t>采购代理机构：青海浩驰招标代理有限公司</w:t>
      </w:r>
    </w:p>
    <w:p w14:paraId="3369E6FD">
      <w:pPr>
        <w:autoSpaceDE w:val="0"/>
        <w:autoSpaceDN w:val="0"/>
        <w:adjustRightInd w:val="0"/>
        <w:spacing w:line="360" w:lineRule="auto"/>
        <w:jc w:val="center"/>
        <w:rPr>
          <w:rFonts w:hint="eastAsia" w:ascii="宋体" w:hAnsi="宋体" w:cs="宋体"/>
          <w:b/>
          <w:bCs/>
          <w:kern w:val="0"/>
          <w:sz w:val="36"/>
          <w:szCs w:val="36"/>
          <w:highlight w:val="none"/>
          <w:lang w:val="zh-CN"/>
        </w:rPr>
      </w:pPr>
    </w:p>
    <w:p w14:paraId="00CF47CA">
      <w:pPr>
        <w:autoSpaceDE w:val="0"/>
        <w:autoSpaceDN w:val="0"/>
        <w:adjustRightInd w:val="0"/>
        <w:spacing w:line="360" w:lineRule="auto"/>
        <w:jc w:val="center"/>
        <w:rPr>
          <w:rFonts w:hint="eastAsia" w:ascii="宋体" w:hAnsi="宋体" w:cs="宋体"/>
          <w:b/>
          <w:bCs/>
          <w:kern w:val="0"/>
          <w:sz w:val="36"/>
          <w:szCs w:val="36"/>
          <w:highlight w:val="none"/>
          <w:lang w:val="zh-CN"/>
        </w:rPr>
      </w:pPr>
    </w:p>
    <w:p w14:paraId="2B01B5A0">
      <w:pPr>
        <w:autoSpaceDE w:val="0"/>
        <w:autoSpaceDN w:val="0"/>
        <w:adjustRightInd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20</w:t>
      </w:r>
      <w:r>
        <w:rPr>
          <w:rFonts w:hint="eastAsia" w:ascii="宋体" w:hAnsi="宋体" w:cs="宋体"/>
          <w:b/>
          <w:bCs/>
          <w:kern w:val="0"/>
          <w:sz w:val="36"/>
          <w:szCs w:val="36"/>
          <w:highlight w:val="none"/>
        </w:rPr>
        <w:t>2</w:t>
      </w:r>
      <w:r>
        <w:rPr>
          <w:rFonts w:hint="eastAsia" w:ascii="宋体" w:hAnsi="宋体" w:cs="宋体"/>
          <w:b/>
          <w:bCs/>
          <w:kern w:val="0"/>
          <w:sz w:val="36"/>
          <w:szCs w:val="36"/>
          <w:highlight w:val="none"/>
          <w:lang w:val="en-US" w:eastAsia="zh-CN"/>
        </w:rPr>
        <w:t>6</w:t>
      </w:r>
      <w:r>
        <w:rPr>
          <w:rFonts w:hint="eastAsia" w:ascii="宋体" w:hAnsi="宋体" w:cs="宋体"/>
          <w:b/>
          <w:bCs/>
          <w:kern w:val="0"/>
          <w:sz w:val="36"/>
          <w:szCs w:val="36"/>
          <w:highlight w:val="none"/>
          <w:lang w:val="zh-CN"/>
        </w:rPr>
        <w:t>年</w:t>
      </w:r>
      <w:r>
        <w:rPr>
          <w:rFonts w:hint="eastAsia" w:ascii="宋体" w:hAnsi="宋体" w:cs="宋体"/>
          <w:b/>
          <w:bCs/>
          <w:kern w:val="0"/>
          <w:sz w:val="36"/>
          <w:szCs w:val="36"/>
          <w:highlight w:val="none"/>
        </w:rPr>
        <w:t>0</w:t>
      </w:r>
      <w:r>
        <w:rPr>
          <w:rFonts w:hint="eastAsia" w:ascii="宋体" w:hAnsi="宋体" w:cs="宋体"/>
          <w:b/>
          <w:bCs/>
          <w:kern w:val="0"/>
          <w:sz w:val="36"/>
          <w:szCs w:val="36"/>
          <w:highlight w:val="none"/>
          <w:lang w:val="en-US" w:eastAsia="zh-CN"/>
        </w:rPr>
        <w:t>4</w:t>
      </w:r>
      <w:r>
        <w:rPr>
          <w:rFonts w:hint="eastAsia" w:ascii="宋体" w:hAnsi="宋体" w:cs="宋体"/>
          <w:b/>
          <w:bCs/>
          <w:kern w:val="0"/>
          <w:sz w:val="36"/>
          <w:szCs w:val="36"/>
          <w:highlight w:val="none"/>
          <w:lang w:val="zh-CN"/>
        </w:rPr>
        <w:t>月</w:t>
      </w:r>
    </w:p>
    <w:p w14:paraId="7BA1792A">
      <w:pPr>
        <w:adjustRightInd w:val="0"/>
        <w:spacing w:line="360" w:lineRule="auto"/>
        <w:jc w:val="center"/>
        <w:textAlignment w:val="baseline"/>
        <w:rPr>
          <w:rFonts w:hint="eastAsia" w:ascii="宋体" w:hAnsi="宋体" w:cs="宋体"/>
          <w:b/>
          <w:sz w:val="40"/>
          <w:szCs w:val="30"/>
          <w:highlight w:val="none"/>
        </w:rPr>
        <w:sectPr>
          <w:pgSz w:w="11906" w:h="16838"/>
          <w:pgMar w:top="1440" w:right="1800" w:bottom="1440" w:left="1800" w:header="851" w:footer="992" w:gutter="0"/>
          <w:cols w:space="720" w:num="1"/>
          <w:docGrid w:type="lines" w:linePitch="312" w:charSpace="0"/>
        </w:sectPr>
      </w:pPr>
    </w:p>
    <w:p w14:paraId="63862043">
      <w:pPr>
        <w:adjustRightInd w:val="0"/>
        <w:spacing w:line="360" w:lineRule="auto"/>
        <w:jc w:val="center"/>
        <w:textAlignment w:val="baseline"/>
        <w:rPr>
          <w:rFonts w:hint="eastAsia" w:ascii="宋体" w:hAnsi="宋体" w:cs="宋体"/>
          <w:bCs/>
          <w:highlight w:val="none"/>
        </w:rPr>
      </w:pPr>
      <w:bookmarkStart w:id="0" w:name="_Toc29790"/>
      <w:r>
        <w:rPr>
          <w:rFonts w:hint="eastAsia" w:ascii="宋体" w:hAnsi="宋体" w:cs="宋体"/>
          <w:bCs/>
          <w:highlight w:val="none"/>
        </w:rPr>
        <w:t>目  录</w:t>
      </w:r>
    </w:p>
    <w:p w14:paraId="62B33B12">
      <w:pPr>
        <w:pStyle w:val="24"/>
        <w:tabs>
          <w:tab w:val="right" w:leader="dot" w:pos="8306"/>
        </w:tabs>
        <w:ind w:firstLine="723" w:firstLineChars="300"/>
        <w:rPr>
          <w:highlight w:val="none"/>
        </w:rPr>
      </w:pPr>
      <w:r>
        <w:rPr>
          <w:rFonts w:hint="eastAsia"/>
          <w:b/>
          <w:kern w:val="0"/>
          <w:highlight w:val="none"/>
        </w:rPr>
        <w:fldChar w:fldCharType="begin"/>
      </w:r>
      <w:r>
        <w:rPr>
          <w:rStyle w:val="38"/>
          <w:rFonts w:hint="eastAsia" w:ascii="宋体" w:hAnsi="宋体" w:cs="宋体"/>
          <w:color w:val="auto"/>
          <w:kern w:val="0"/>
          <w:szCs w:val="24"/>
          <w:highlight w:val="none"/>
        </w:rPr>
        <w:instrText xml:space="preserve"> TOC \o "3-3" \h \z \t "标题 1,2,标题 2,3,标题,1" </w:instrText>
      </w:r>
      <w:r>
        <w:rPr>
          <w:rFonts w:hint="eastAsia"/>
          <w:b/>
          <w:kern w:val="0"/>
          <w:highlight w:val="none"/>
        </w:rPr>
        <w:fldChar w:fldCharType="separate"/>
      </w:r>
      <w:r>
        <w:rPr>
          <w:highlight w:val="none"/>
        </w:rPr>
        <w:fldChar w:fldCharType="begin"/>
      </w:r>
      <w:r>
        <w:rPr>
          <w:highlight w:val="none"/>
        </w:rPr>
        <w:instrText xml:space="preserve"> HYPERLINK \l "_Toc15716" </w:instrText>
      </w:r>
      <w:r>
        <w:rPr>
          <w:highlight w:val="none"/>
        </w:rPr>
        <w:fldChar w:fldCharType="separate"/>
      </w:r>
      <w:r>
        <w:rPr>
          <w:rFonts w:hint="eastAsia"/>
          <w:highlight w:val="none"/>
        </w:rPr>
        <w:t>第一部分  投标邀请</w:t>
      </w:r>
      <w:r>
        <w:rPr>
          <w:highlight w:val="none"/>
        </w:rPr>
        <w:tab/>
      </w:r>
      <w:r>
        <w:rPr>
          <w:rFonts w:hint="eastAsia"/>
          <w:highlight w:val="none"/>
          <w:lang w:val="en-US" w:eastAsia="zh-CN"/>
        </w:rPr>
        <w:t>4</w:t>
      </w:r>
      <w:r>
        <w:rPr>
          <w:highlight w:val="none"/>
        </w:rPr>
        <w:fldChar w:fldCharType="end"/>
      </w:r>
    </w:p>
    <w:p w14:paraId="44D9C37C">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"_Toc5083" </w:instrText>
      </w:r>
      <w:r>
        <w:rPr>
          <w:highlight w:val="none"/>
        </w:rPr>
        <w:fldChar w:fldCharType="separate"/>
      </w:r>
      <w:r>
        <w:rPr>
          <w:rFonts w:hint="eastAsia" w:ascii="宋体" w:hAnsi="宋体" w:cs="宋体"/>
          <w:szCs w:val="36"/>
          <w:highlight w:val="none"/>
        </w:rPr>
        <w:t>第二部分  投标人须知</w:t>
      </w:r>
      <w:r>
        <w:rPr>
          <w:highlight w:val="none"/>
        </w:rPr>
        <w:tab/>
      </w:r>
      <w:r>
        <w:rPr>
          <w:rFonts w:hint="eastAsia"/>
          <w:highlight w:val="none"/>
          <w:lang w:val="en-US" w:eastAsia="zh-CN"/>
        </w:rPr>
        <w:t>7</w:t>
      </w:r>
      <w:r>
        <w:rPr>
          <w:highlight w:val="none"/>
        </w:rPr>
        <w:fldChar w:fldCharType="end"/>
      </w:r>
    </w:p>
    <w:p w14:paraId="562E0194">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"_Toc22652" </w:instrText>
      </w:r>
      <w:r>
        <w:rPr>
          <w:highlight w:val="none"/>
        </w:rPr>
        <w:fldChar w:fldCharType="separate"/>
      </w:r>
      <w:r>
        <w:rPr>
          <w:rFonts w:hint="eastAsia" w:ascii="宋体" w:hAnsi="宋体" w:cs="宋体"/>
          <w:highlight w:val="none"/>
        </w:rPr>
        <w:t>一、说明</w:t>
      </w:r>
      <w:r>
        <w:rPr>
          <w:highlight w:val="none"/>
        </w:rPr>
        <w:tab/>
      </w:r>
      <w:r>
        <w:rPr>
          <w:rFonts w:hint="eastAsia"/>
          <w:highlight w:val="none"/>
          <w:lang w:val="en-US" w:eastAsia="zh-CN"/>
        </w:rPr>
        <w:t>7</w:t>
      </w:r>
      <w:r>
        <w:rPr>
          <w:highlight w:val="none"/>
        </w:rPr>
        <w:fldChar w:fldCharType="end"/>
      </w:r>
    </w:p>
    <w:p w14:paraId="0DB2EB4B">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"_Toc14393" </w:instrText>
      </w:r>
      <w:r>
        <w:rPr>
          <w:highlight w:val="none"/>
        </w:rPr>
        <w:fldChar w:fldCharType="separate"/>
      </w:r>
      <w:r>
        <w:rPr>
          <w:rFonts w:hint="eastAsia" w:ascii="宋体" w:hAnsi="宋体" w:cs="宋体"/>
          <w:szCs w:val="28"/>
          <w:highlight w:val="none"/>
        </w:rPr>
        <w:t>1.适用范围</w:t>
      </w:r>
      <w:r>
        <w:rPr>
          <w:highlight w:val="none"/>
        </w:rPr>
        <w:tab/>
      </w:r>
      <w:r>
        <w:rPr>
          <w:rFonts w:hint="eastAsia"/>
          <w:highlight w:val="none"/>
          <w:lang w:val="en-US" w:eastAsia="zh-CN"/>
        </w:rPr>
        <w:t>7</w:t>
      </w:r>
      <w:r>
        <w:rPr>
          <w:highlight w:val="none"/>
        </w:rPr>
        <w:fldChar w:fldCharType="end"/>
      </w:r>
    </w:p>
    <w:p w14:paraId="374230ED">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"_Toc16148" </w:instrText>
      </w:r>
      <w:r>
        <w:rPr>
          <w:highlight w:val="none"/>
        </w:rPr>
        <w:fldChar w:fldCharType="separate"/>
      </w:r>
      <w:r>
        <w:rPr>
          <w:rFonts w:hint="eastAsia" w:ascii="宋体" w:hAnsi="宋体" w:cs="宋体"/>
          <w:szCs w:val="28"/>
          <w:highlight w:val="none"/>
        </w:rPr>
        <w:t>2.采购方式、合格的投标人</w:t>
      </w:r>
      <w:r>
        <w:rPr>
          <w:highlight w:val="none"/>
        </w:rPr>
        <w:tab/>
      </w:r>
      <w:r>
        <w:rPr>
          <w:rFonts w:hint="eastAsia"/>
          <w:highlight w:val="none"/>
          <w:lang w:val="en-US" w:eastAsia="zh-CN"/>
        </w:rPr>
        <w:t>7</w:t>
      </w:r>
      <w:r>
        <w:rPr>
          <w:highlight w:val="none"/>
        </w:rPr>
        <w:fldChar w:fldCharType="end"/>
      </w:r>
    </w:p>
    <w:p w14:paraId="400A8F8C">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"_Toc27515" </w:instrText>
      </w:r>
      <w:r>
        <w:rPr>
          <w:highlight w:val="none"/>
        </w:rPr>
        <w:fldChar w:fldCharType="separate"/>
      </w:r>
      <w:r>
        <w:rPr>
          <w:rFonts w:hint="eastAsia" w:ascii="宋体" w:hAnsi="宋体" w:cs="宋体"/>
          <w:szCs w:val="28"/>
          <w:highlight w:val="none"/>
        </w:rPr>
        <w:t>3.投标费用</w:t>
      </w:r>
      <w:r>
        <w:rPr>
          <w:highlight w:val="none"/>
        </w:rPr>
        <w:tab/>
      </w:r>
      <w:r>
        <w:rPr>
          <w:rFonts w:hint="eastAsia"/>
          <w:highlight w:val="none"/>
          <w:lang w:val="en-US" w:eastAsia="zh-CN"/>
        </w:rPr>
        <w:t>7</w:t>
      </w:r>
      <w:r>
        <w:rPr>
          <w:highlight w:val="none"/>
        </w:rPr>
        <w:fldChar w:fldCharType="end"/>
      </w:r>
    </w:p>
    <w:p w14:paraId="321D6B5B">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"_Toc18898" </w:instrText>
      </w:r>
      <w:r>
        <w:rPr>
          <w:highlight w:val="none"/>
        </w:rPr>
        <w:fldChar w:fldCharType="separate"/>
      </w:r>
      <w:r>
        <w:rPr>
          <w:rFonts w:hint="eastAsia" w:ascii="宋体" w:hAnsi="宋体" w:cs="宋体"/>
          <w:highlight w:val="none"/>
        </w:rPr>
        <w:t>二、招标文件说明</w:t>
      </w:r>
      <w:r>
        <w:rPr>
          <w:highlight w:val="none"/>
        </w:rPr>
        <w:tab/>
      </w:r>
      <w:r>
        <w:rPr>
          <w:rFonts w:hint="eastAsia"/>
          <w:highlight w:val="none"/>
          <w:lang w:val="en-US" w:eastAsia="zh-CN"/>
        </w:rPr>
        <w:t>7</w:t>
      </w:r>
      <w:r>
        <w:rPr>
          <w:highlight w:val="none"/>
        </w:rPr>
        <w:fldChar w:fldCharType="end"/>
      </w:r>
    </w:p>
    <w:p w14:paraId="514BED0A">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"_Toc20698" </w:instrText>
      </w:r>
      <w:r>
        <w:rPr>
          <w:highlight w:val="none"/>
        </w:rPr>
        <w:fldChar w:fldCharType="separate"/>
      </w:r>
      <w:r>
        <w:rPr>
          <w:rFonts w:hint="eastAsia" w:ascii="宋体" w:hAnsi="宋体" w:cs="宋体"/>
          <w:szCs w:val="28"/>
          <w:highlight w:val="none"/>
        </w:rPr>
        <w:t>4.招标文件的构成</w:t>
      </w:r>
      <w:r>
        <w:rPr>
          <w:highlight w:val="none"/>
        </w:rPr>
        <w:tab/>
      </w:r>
      <w:r>
        <w:rPr>
          <w:rFonts w:hint="eastAsia"/>
          <w:highlight w:val="none"/>
          <w:lang w:val="en-US" w:eastAsia="zh-CN"/>
        </w:rPr>
        <w:t>7</w:t>
      </w:r>
      <w:r>
        <w:rPr>
          <w:highlight w:val="none"/>
        </w:rPr>
        <w:fldChar w:fldCharType="end"/>
      </w:r>
    </w:p>
    <w:p w14:paraId="185AF3CA">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"_Toc12169" </w:instrText>
      </w:r>
      <w:r>
        <w:rPr>
          <w:highlight w:val="none"/>
        </w:rPr>
        <w:fldChar w:fldCharType="separate"/>
      </w:r>
      <w:r>
        <w:rPr>
          <w:rFonts w:hint="eastAsia" w:ascii="宋体" w:hAnsi="宋体" w:cs="宋体"/>
          <w:szCs w:val="28"/>
          <w:highlight w:val="none"/>
        </w:rPr>
        <w:t>5.招标文件、采购活动和中标结果的质疑</w:t>
      </w:r>
      <w:r>
        <w:rPr>
          <w:highlight w:val="none"/>
        </w:rPr>
        <w:tab/>
      </w:r>
      <w:r>
        <w:rPr>
          <w:rFonts w:hint="eastAsia"/>
          <w:highlight w:val="none"/>
          <w:lang w:val="en-US" w:eastAsia="zh-CN"/>
        </w:rPr>
        <w:t>7</w:t>
      </w:r>
      <w:r>
        <w:rPr>
          <w:highlight w:val="none"/>
        </w:rPr>
        <w:fldChar w:fldCharType="end"/>
      </w:r>
    </w:p>
    <w:p w14:paraId="4815C116">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"_Toc27223" </w:instrText>
      </w:r>
      <w:r>
        <w:rPr>
          <w:highlight w:val="none"/>
        </w:rPr>
        <w:fldChar w:fldCharType="separate"/>
      </w:r>
      <w:r>
        <w:rPr>
          <w:rFonts w:hint="eastAsia" w:ascii="宋体" w:hAnsi="宋体" w:cs="宋体"/>
          <w:szCs w:val="28"/>
          <w:highlight w:val="none"/>
        </w:rPr>
        <w:t>6.招标文件的澄清或修改</w:t>
      </w:r>
      <w:r>
        <w:rPr>
          <w:highlight w:val="none"/>
        </w:rPr>
        <w:tab/>
      </w:r>
      <w:r>
        <w:rPr>
          <w:rFonts w:hint="eastAsia"/>
          <w:highlight w:val="none"/>
          <w:lang w:val="en-US" w:eastAsia="zh-CN"/>
        </w:rPr>
        <w:t>8</w:t>
      </w:r>
      <w:r>
        <w:rPr>
          <w:highlight w:val="none"/>
        </w:rPr>
        <w:fldChar w:fldCharType="end"/>
      </w:r>
    </w:p>
    <w:p w14:paraId="6372C941">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"_Toc24268" </w:instrText>
      </w:r>
      <w:r>
        <w:rPr>
          <w:highlight w:val="none"/>
        </w:rPr>
        <w:fldChar w:fldCharType="separate"/>
      </w:r>
      <w:r>
        <w:rPr>
          <w:rFonts w:hint="eastAsia" w:ascii="宋体" w:hAnsi="宋体" w:cs="宋体"/>
          <w:highlight w:val="none"/>
        </w:rPr>
        <w:t>三、投标文件的编制</w:t>
      </w:r>
      <w:r>
        <w:rPr>
          <w:highlight w:val="none"/>
        </w:rPr>
        <w:tab/>
      </w:r>
      <w:r>
        <w:rPr>
          <w:rFonts w:hint="eastAsia"/>
          <w:highlight w:val="none"/>
          <w:lang w:val="en-US" w:eastAsia="zh-CN"/>
        </w:rPr>
        <w:t>8</w:t>
      </w:r>
      <w:r>
        <w:rPr>
          <w:highlight w:val="none"/>
        </w:rPr>
        <w:fldChar w:fldCharType="end"/>
      </w:r>
    </w:p>
    <w:p w14:paraId="26363335">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"_Toc22149" </w:instrText>
      </w:r>
      <w:r>
        <w:rPr>
          <w:highlight w:val="none"/>
        </w:rPr>
        <w:fldChar w:fldCharType="separate"/>
      </w:r>
      <w:r>
        <w:rPr>
          <w:rFonts w:hint="eastAsia" w:ascii="宋体" w:hAnsi="宋体" w:cs="宋体"/>
          <w:szCs w:val="28"/>
          <w:highlight w:val="none"/>
        </w:rPr>
        <w:t>7.投标文件的语言及度量衡单位</w:t>
      </w:r>
      <w:r>
        <w:rPr>
          <w:highlight w:val="none"/>
        </w:rPr>
        <w:tab/>
      </w:r>
      <w:r>
        <w:rPr>
          <w:rFonts w:hint="eastAsia"/>
          <w:highlight w:val="none"/>
          <w:lang w:val="en-US" w:eastAsia="zh-CN"/>
        </w:rPr>
        <w:t>8</w:t>
      </w:r>
      <w:r>
        <w:rPr>
          <w:highlight w:val="none"/>
        </w:rPr>
        <w:fldChar w:fldCharType="end"/>
      </w:r>
    </w:p>
    <w:p w14:paraId="5F93A896">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"_Toc25856" </w:instrText>
      </w:r>
      <w:r>
        <w:rPr>
          <w:highlight w:val="none"/>
        </w:rPr>
        <w:fldChar w:fldCharType="separate"/>
      </w:r>
      <w:r>
        <w:rPr>
          <w:rFonts w:hint="eastAsia" w:ascii="宋体" w:hAnsi="宋体" w:cs="宋体"/>
          <w:szCs w:val="28"/>
          <w:highlight w:val="none"/>
        </w:rPr>
        <w:t>8.投标报价及币种</w:t>
      </w:r>
      <w:r>
        <w:rPr>
          <w:highlight w:val="none"/>
        </w:rPr>
        <w:tab/>
      </w:r>
      <w:r>
        <w:rPr>
          <w:rFonts w:hint="eastAsia"/>
          <w:highlight w:val="none"/>
          <w:lang w:val="en-US" w:eastAsia="zh-CN"/>
        </w:rPr>
        <w:t>9</w:t>
      </w:r>
      <w:r>
        <w:rPr>
          <w:highlight w:val="none"/>
        </w:rPr>
        <w:fldChar w:fldCharType="end"/>
      </w:r>
    </w:p>
    <w:p w14:paraId="459436FA">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"_Toc14796" </w:instrText>
      </w:r>
      <w:r>
        <w:rPr>
          <w:highlight w:val="none"/>
        </w:rPr>
        <w:fldChar w:fldCharType="separate"/>
      </w:r>
      <w:r>
        <w:rPr>
          <w:rFonts w:hint="eastAsia" w:ascii="宋体" w:hAnsi="宋体" w:cs="宋体"/>
          <w:szCs w:val="28"/>
          <w:highlight w:val="none"/>
        </w:rPr>
        <w:t>9.投标保证金</w:t>
      </w:r>
      <w:r>
        <w:rPr>
          <w:highlight w:val="none"/>
        </w:rPr>
        <w:tab/>
      </w:r>
      <w:r>
        <w:rPr>
          <w:rFonts w:hint="eastAsia"/>
          <w:highlight w:val="none"/>
          <w:lang w:val="en-US" w:eastAsia="zh-CN"/>
        </w:rPr>
        <w:t>9</w:t>
      </w:r>
      <w:r>
        <w:rPr>
          <w:highlight w:val="none"/>
        </w:rPr>
        <w:fldChar w:fldCharType="end"/>
      </w:r>
    </w:p>
    <w:p w14:paraId="39553466">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"_Toc22307" </w:instrText>
      </w:r>
      <w:r>
        <w:rPr>
          <w:highlight w:val="none"/>
        </w:rPr>
        <w:fldChar w:fldCharType="separate"/>
      </w:r>
      <w:r>
        <w:rPr>
          <w:rFonts w:hint="eastAsia" w:ascii="宋体" w:hAnsi="宋体" w:cs="宋体"/>
          <w:szCs w:val="28"/>
          <w:highlight w:val="none"/>
        </w:rPr>
        <w:t>10.投标有效期</w:t>
      </w:r>
      <w:r>
        <w:rPr>
          <w:highlight w:val="none"/>
        </w:rPr>
        <w:tab/>
      </w:r>
      <w:r>
        <w:rPr>
          <w:rFonts w:hint="eastAsia"/>
          <w:highlight w:val="none"/>
          <w:lang w:val="en-US" w:eastAsia="zh-CN"/>
        </w:rPr>
        <w:t>9</w:t>
      </w:r>
      <w:r>
        <w:rPr>
          <w:highlight w:val="none"/>
        </w:rPr>
        <w:fldChar w:fldCharType="end"/>
      </w:r>
    </w:p>
    <w:p w14:paraId="60D00D60">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Cs w:val="28"/>
          <w:highlight w:val="none"/>
        </w:rPr>
        <w:t>11.投标文件构成</w:t>
      </w:r>
      <w:r>
        <w:rPr>
          <w:highlight w:val="none"/>
        </w:rPr>
        <w:tab/>
      </w:r>
      <w:r>
        <w:rPr>
          <w:rFonts w:hint="eastAsia"/>
          <w:highlight w:val="none"/>
          <w:lang w:val="en-US" w:eastAsia="zh-CN"/>
        </w:rPr>
        <w:t>9</w:t>
      </w:r>
      <w:r>
        <w:rPr>
          <w:highlight w:val="none"/>
        </w:rPr>
        <w:fldChar w:fldCharType="end"/>
      </w:r>
    </w:p>
    <w:p w14:paraId="265C0096">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"_Toc4513" </w:instrText>
      </w:r>
      <w:r>
        <w:rPr>
          <w:highlight w:val="none"/>
        </w:rPr>
        <w:fldChar w:fldCharType="separate"/>
      </w:r>
      <w:r>
        <w:rPr>
          <w:rFonts w:hint="eastAsia" w:ascii="宋体" w:hAnsi="宋体" w:cs="宋体"/>
          <w:szCs w:val="28"/>
          <w:highlight w:val="none"/>
        </w:rPr>
        <w:t>12.投标文件的编制要求</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3C67F564">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"_Toc13423" </w:instrText>
      </w:r>
      <w:r>
        <w:rPr>
          <w:highlight w:val="none"/>
        </w:rPr>
        <w:fldChar w:fldCharType="separate"/>
      </w:r>
      <w:r>
        <w:rPr>
          <w:rFonts w:hint="eastAsia" w:ascii="宋体" w:hAnsi="宋体" w:cs="宋体"/>
          <w:highlight w:val="none"/>
        </w:rPr>
        <w:t>四、投标文件的提交</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1C684B7E">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"_Toc4072" </w:instrText>
      </w:r>
      <w:r>
        <w:rPr>
          <w:highlight w:val="none"/>
        </w:rPr>
        <w:fldChar w:fldCharType="separate"/>
      </w:r>
      <w:r>
        <w:rPr>
          <w:rFonts w:hint="eastAsia" w:ascii="宋体" w:hAnsi="宋体" w:cs="宋体"/>
          <w:szCs w:val="28"/>
          <w:highlight w:val="none"/>
        </w:rPr>
        <w:t>13.投标文件的密封和标记</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778B75D2">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"_Toc7074" </w:instrText>
      </w:r>
      <w:r>
        <w:rPr>
          <w:highlight w:val="none"/>
        </w:rPr>
        <w:fldChar w:fldCharType="separate"/>
      </w:r>
      <w:r>
        <w:rPr>
          <w:rFonts w:hint="eastAsia" w:ascii="宋体" w:hAnsi="宋体" w:cs="宋体"/>
          <w:szCs w:val="28"/>
          <w:highlight w:val="none"/>
        </w:rPr>
        <w:t>14.提交投标文件的时间、地点、方式</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1720887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"_Toc13001" </w:instrText>
      </w:r>
      <w:r>
        <w:rPr>
          <w:highlight w:val="none"/>
        </w:rPr>
        <w:fldChar w:fldCharType="separate"/>
      </w:r>
      <w:r>
        <w:rPr>
          <w:rFonts w:hint="eastAsia" w:ascii="宋体" w:hAnsi="宋体" w:cs="宋体"/>
          <w:szCs w:val="28"/>
          <w:highlight w:val="none"/>
        </w:rPr>
        <w:t>15.投标文件的补充、修改或者撤回</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6409E8FA">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"_Toc26292" </w:instrText>
      </w:r>
      <w:r>
        <w:rPr>
          <w:highlight w:val="none"/>
        </w:rPr>
        <w:fldChar w:fldCharType="separate"/>
      </w:r>
      <w:r>
        <w:rPr>
          <w:rFonts w:hint="eastAsia" w:ascii="宋体" w:hAnsi="宋体" w:cs="宋体"/>
          <w:highlight w:val="none"/>
        </w:rPr>
        <w:t>五、开标</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629DAA1E">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"_Toc17599" </w:instrText>
      </w:r>
      <w:r>
        <w:rPr>
          <w:highlight w:val="none"/>
        </w:rPr>
        <w:fldChar w:fldCharType="separate"/>
      </w:r>
      <w:r>
        <w:rPr>
          <w:rFonts w:hint="eastAsia" w:ascii="宋体" w:hAnsi="宋体" w:cs="宋体"/>
          <w:szCs w:val="28"/>
          <w:highlight w:val="none"/>
        </w:rPr>
        <w:t>16.开标</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486CB79E">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"_Toc19301" </w:instrText>
      </w:r>
      <w:r>
        <w:rPr>
          <w:highlight w:val="none"/>
        </w:rPr>
        <w:fldChar w:fldCharType="separate"/>
      </w:r>
      <w:r>
        <w:rPr>
          <w:rFonts w:hint="eastAsia" w:ascii="宋体" w:hAnsi="宋体" w:cs="宋体"/>
          <w:kern w:val="0"/>
          <w:szCs w:val="36"/>
          <w:highlight w:val="none"/>
        </w:rPr>
        <w:t>六、资格</w:t>
      </w:r>
      <w:r>
        <w:rPr>
          <w:rFonts w:hint="eastAsia" w:ascii="宋体" w:hAnsi="宋体" w:cs="宋体"/>
          <w:highlight w:val="none"/>
        </w:rPr>
        <w:t>审查</w:t>
      </w:r>
      <w:r>
        <w:rPr>
          <w:rFonts w:hint="eastAsia" w:ascii="宋体" w:hAnsi="宋体" w:cs="宋体"/>
          <w:kern w:val="0"/>
          <w:szCs w:val="36"/>
          <w:highlight w:val="none"/>
        </w:rPr>
        <w:t>程序</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3C36748C">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"_Toc27280" </w:instrText>
      </w:r>
      <w:r>
        <w:rPr>
          <w:highlight w:val="none"/>
        </w:rPr>
        <w:fldChar w:fldCharType="separate"/>
      </w:r>
      <w:r>
        <w:rPr>
          <w:rFonts w:hint="eastAsia" w:ascii="宋体" w:hAnsi="宋体" w:cs="宋体"/>
          <w:szCs w:val="28"/>
          <w:highlight w:val="none"/>
        </w:rPr>
        <w:t>17.资格审查</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4EF7F05C">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"_Toc29548" </w:instrText>
      </w:r>
      <w:r>
        <w:rPr>
          <w:highlight w:val="none"/>
        </w:rPr>
        <w:fldChar w:fldCharType="separate"/>
      </w:r>
      <w:r>
        <w:rPr>
          <w:rFonts w:hint="eastAsia" w:ascii="宋体" w:hAnsi="宋体" w:cs="宋体"/>
          <w:highlight w:val="none"/>
        </w:rPr>
        <w:t>七、评审程序及方法</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2</w:t>
      </w:r>
    </w:p>
    <w:p w14:paraId="6913CD49">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"_Toc26293" </w:instrText>
      </w:r>
      <w:r>
        <w:rPr>
          <w:highlight w:val="none"/>
        </w:rPr>
        <w:fldChar w:fldCharType="separate"/>
      </w:r>
      <w:r>
        <w:rPr>
          <w:rFonts w:hint="eastAsia" w:ascii="宋体" w:hAnsi="宋体" w:cs="宋体"/>
          <w:szCs w:val="28"/>
          <w:highlight w:val="none"/>
        </w:rPr>
        <w:t>18.评标委员会</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2</w:t>
      </w:r>
    </w:p>
    <w:p w14:paraId="7792CE4F">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"_Toc24687" </w:instrText>
      </w:r>
      <w:r>
        <w:rPr>
          <w:highlight w:val="none"/>
        </w:rPr>
        <w:fldChar w:fldCharType="separate"/>
      </w:r>
      <w:r>
        <w:rPr>
          <w:rFonts w:hint="eastAsia" w:ascii="宋体" w:hAnsi="宋体" w:cs="宋体"/>
          <w:szCs w:val="28"/>
          <w:highlight w:val="none"/>
        </w:rPr>
        <w:t>19.评审工作程序</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3</w:t>
      </w:r>
    </w:p>
    <w:p w14:paraId="780DA538">
      <w:pPr>
        <w:pStyle w:val="24"/>
        <w:tabs>
          <w:tab w:val="right" w:leader="dot" w:pos="8306"/>
        </w:tabs>
        <w:ind w:firstLine="720" w:firstLineChars="300"/>
        <w:rPr>
          <w:highlight w:val="none"/>
        </w:rPr>
      </w:pPr>
      <w:r>
        <w:rPr>
          <w:highlight w:val="none"/>
        </w:rPr>
        <w:fldChar w:fldCharType="begin"/>
      </w:r>
      <w:r>
        <w:rPr>
          <w:highlight w:val="none"/>
        </w:rPr>
        <w:instrText xml:space="preserve"> HYPERLINK \l "_Toc16620" </w:instrText>
      </w:r>
      <w:r>
        <w:rPr>
          <w:highlight w:val="none"/>
        </w:rPr>
        <w:fldChar w:fldCharType="separate"/>
      </w:r>
      <w:r>
        <w:rPr>
          <w:rFonts w:hint="eastAsia" w:ascii="宋体" w:hAnsi="宋体" w:cs="宋体"/>
          <w:szCs w:val="28"/>
          <w:highlight w:val="none"/>
        </w:rPr>
        <w:t>20.</w:t>
      </w:r>
      <w:r>
        <w:rPr>
          <w:rFonts w:hint="eastAsia"/>
          <w:highlight w:val="none"/>
        </w:rPr>
        <w:t>评审方法和标准</w:t>
      </w:r>
      <w:r>
        <w:rPr>
          <w:highlight w:val="none"/>
        </w:rPr>
        <w:tab/>
      </w:r>
      <w:r>
        <w:rPr>
          <w:highlight w:val="none"/>
        </w:rPr>
        <w:fldChar w:fldCharType="begin"/>
      </w:r>
      <w:r>
        <w:rPr>
          <w:highlight w:val="none"/>
        </w:rPr>
        <w:instrText xml:space="preserve"> PAGEREF _Toc16620 \h </w:instrText>
      </w:r>
      <w:r>
        <w:rPr>
          <w:highlight w:val="none"/>
        </w:rPr>
        <w:fldChar w:fldCharType="separate"/>
      </w:r>
      <w:r>
        <w:rPr>
          <w:highlight w:val="none"/>
        </w:rPr>
        <w:t>1</w:t>
      </w:r>
      <w:r>
        <w:rPr>
          <w:rFonts w:hint="eastAsia"/>
          <w:highlight w:val="none"/>
          <w:lang w:val="en-US" w:eastAsia="zh-CN"/>
        </w:rPr>
        <w:t>6</w:t>
      </w:r>
      <w:r>
        <w:rPr>
          <w:highlight w:val="none"/>
        </w:rPr>
        <w:fldChar w:fldCharType="end"/>
      </w:r>
      <w:r>
        <w:rPr>
          <w:highlight w:val="none"/>
        </w:rPr>
        <w:fldChar w:fldCharType="end"/>
      </w:r>
    </w:p>
    <w:p w14:paraId="67434AA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"_Toc7463" </w:instrText>
      </w:r>
      <w:r>
        <w:rPr>
          <w:highlight w:val="none"/>
        </w:rPr>
        <w:fldChar w:fldCharType="separate"/>
      </w:r>
      <w:r>
        <w:rPr>
          <w:rFonts w:hint="eastAsia" w:ascii="宋体" w:hAnsi="宋体" w:cs="宋体"/>
          <w:highlight w:val="none"/>
        </w:rPr>
        <w:t>八、中标</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14:paraId="7AFB08B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"_Toc6990" </w:instrText>
      </w:r>
      <w:r>
        <w:rPr>
          <w:highlight w:val="none"/>
        </w:rPr>
        <w:fldChar w:fldCharType="separate"/>
      </w:r>
      <w:r>
        <w:rPr>
          <w:rFonts w:hint="eastAsia" w:ascii="宋体" w:hAnsi="宋体" w:cs="宋体"/>
          <w:szCs w:val="28"/>
          <w:highlight w:val="none"/>
        </w:rPr>
        <w:t>21.推荐并确定中标人</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14:paraId="226C231C">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"_Toc1150" </w:instrText>
      </w:r>
      <w:r>
        <w:rPr>
          <w:highlight w:val="none"/>
        </w:rPr>
        <w:fldChar w:fldCharType="separate"/>
      </w:r>
      <w:r>
        <w:rPr>
          <w:rFonts w:hint="eastAsia" w:ascii="宋体" w:hAnsi="宋体" w:cs="宋体"/>
          <w:szCs w:val="28"/>
          <w:highlight w:val="none"/>
        </w:rPr>
        <w:t>22.中标通知</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0</w:t>
      </w:r>
    </w:p>
    <w:p w14:paraId="0DF9AF67">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"_Toc2420" </w:instrText>
      </w:r>
      <w:r>
        <w:rPr>
          <w:highlight w:val="none"/>
        </w:rPr>
        <w:fldChar w:fldCharType="separate"/>
      </w:r>
      <w:r>
        <w:rPr>
          <w:rFonts w:hint="eastAsia" w:ascii="宋体" w:hAnsi="宋体" w:cs="宋体"/>
          <w:highlight w:val="none"/>
        </w:rPr>
        <w:t>九、授予合同</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0</w:t>
      </w:r>
    </w:p>
    <w:p w14:paraId="55DF0724">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"_Toc14006" </w:instrText>
      </w:r>
      <w:r>
        <w:rPr>
          <w:highlight w:val="none"/>
        </w:rPr>
        <w:fldChar w:fldCharType="separate"/>
      </w:r>
      <w:r>
        <w:rPr>
          <w:rFonts w:hint="eastAsia" w:ascii="宋体" w:hAnsi="宋体" w:cs="宋体"/>
          <w:szCs w:val="28"/>
          <w:highlight w:val="none"/>
        </w:rPr>
        <w:t>23.签订合同</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0</w:t>
      </w:r>
    </w:p>
    <w:p w14:paraId="410231F9">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"_Toc16754" </w:instrText>
      </w:r>
      <w:r>
        <w:rPr>
          <w:highlight w:val="none"/>
        </w:rPr>
        <w:fldChar w:fldCharType="separate"/>
      </w:r>
      <w:r>
        <w:rPr>
          <w:rFonts w:hint="eastAsia" w:ascii="宋体" w:hAnsi="宋体" w:cs="宋体"/>
          <w:highlight w:val="none"/>
        </w:rPr>
        <w:t>十、其他</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355ADD3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"_Toc21739" </w:instrText>
      </w:r>
      <w:r>
        <w:rPr>
          <w:highlight w:val="none"/>
        </w:rPr>
        <w:fldChar w:fldCharType="separate"/>
      </w:r>
      <w:r>
        <w:rPr>
          <w:rFonts w:hint="eastAsia" w:ascii="宋体" w:hAnsi="宋体" w:cs="宋体"/>
          <w:szCs w:val="28"/>
          <w:highlight w:val="none"/>
        </w:rPr>
        <w:t>2</w:t>
      </w:r>
      <w:r>
        <w:rPr>
          <w:rFonts w:ascii="宋体" w:hAnsi="宋体" w:cs="宋体"/>
          <w:szCs w:val="28"/>
          <w:highlight w:val="none"/>
        </w:rPr>
        <w:t>4</w:t>
      </w:r>
      <w:r>
        <w:rPr>
          <w:rFonts w:hint="eastAsia" w:ascii="宋体" w:hAnsi="宋体" w:cs="宋体"/>
          <w:szCs w:val="28"/>
          <w:highlight w:val="none"/>
        </w:rPr>
        <w:t>. 串通投标的情形</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5E522DB4">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"_Toc32233" </w:instrText>
      </w:r>
      <w:r>
        <w:rPr>
          <w:highlight w:val="none"/>
        </w:rPr>
        <w:fldChar w:fldCharType="separate"/>
      </w:r>
      <w:r>
        <w:rPr>
          <w:rFonts w:hint="eastAsia" w:ascii="宋体" w:hAnsi="宋体" w:cs="宋体"/>
          <w:szCs w:val="28"/>
          <w:highlight w:val="none"/>
        </w:rPr>
        <w:t>2</w:t>
      </w:r>
      <w:r>
        <w:rPr>
          <w:rFonts w:ascii="宋体" w:hAnsi="宋体" w:cs="宋体"/>
          <w:szCs w:val="28"/>
          <w:highlight w:val="none"/>
        </w:rPr>
        <w:t>5</w:t>
      </w:r>
      <w:r>
        <w:rPr>
          <w:rFonts w:hint="eastAsia" w:ascii="宋体" w:hAnsi="宋体" w:cs="宋体"/>
          <w:szCs w:val="28"/>
          <w:highlight w:val="none"/>
        </w:rPr>
        <w:t>. 废标</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2</w:t>
      </w:r>
    </w:p>
    <w:p w14:paraId="2C5D5B83">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"_Toc7522" </w:instrText>
      </w:r>
      <w:r>
        <w:rPr>
          <w:highlight w:val="none"/>
        </w:rPr>
        <w:fldChar w:fldCharType="separate"/>
      </w:r>
      <w:r>
        <w:rPr>
          <w:rFonts w:hint="eastAsia" w:ascii="宋体" w:hAnsi="宋体" w:cs="宋体"/>
          <w:szCs w:val="28"/>
          <w:highlight w:val="none"/>
        </w:rPr>
        <w:t>2</w:t>
      </w:r>
      <w:r>
        <w:rPr>
          <w:rFonts w:ascii="宋体" w:hAnsi="宋体" w:cs="宋体"/>
          <w:szCs w:val="28"/>
          <w:highlight w:val="none"/>
        </w:rPr>
        <w:t>6</w:t>
      </w:r>
      <w:r>
        <w:rPr>
          <w:rFonts w:hint="eastAsia" w:ascii="宋体" w:hAnsi="宋体" w:cs="宋体"/>
          <w:szCs w:val="28"/>
          <w:highlight w:val="none"/>
        </w:rPr>
        <w:t>. 中标服务费</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2</w:t>
      </w:r>
    </w:p>
    <w:p w14:paraId="2BA7582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"_Toc24971" </w:instrText>
      </w:r>
      <w:r>
        <w:rPr>
          <w:highlight w:val="none"/>
        </w:rPr>
        <w:fldChar w:fldCharType="separate"/>
      </w:r>
      <w:r>
        <w:rPr>
          <w:rFonts w:hint="eastAsia" w:ascii="宋体" w:hAnsi="宋体" w:cs="宋体"/>
          <w:szCs w:val="36"/>
          <w:highlight w:val="none"/>
        </w:rPr>
        <w:t>第三部分  青海省政府采购项目合同书范本</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3</w:t>
      </w:r>
    </w:p>
    <w:p w14:paraId="1A790597">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"_Toc28603" </w:instrText>
      </w:r>
      <w:r>
        <w:rPr>
          <w:highlight w:val="none"/>
        </w:rPr>
        <w:fldChar w:fldCharType="separate"/>
      </w:r>
      <w:r>
        <w:rPr>
          <w:rFonts w:hint="eastAsia" w:ascii="宋体" w:hAnsi="宋体" w:cs="宋体"/>
          <w:szCs w:val="36"/>
          <w:highlight w:val="none"/>
        </w:rPr>
        <w:t>第四部分  投标文件格式</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5</w:t>
      </w:r>
    </w:p>
    <w:p w14:paraId="58330CA6">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"_Toc13419" </w:instrText>
      </w:r>
      <w:r>
        <w:rPr>
          <w:highlight w:val="none"/>
        </w:rPr>
        <w:fldChar w:fldCharType="separate"/>
      </w:r>
      <w:r>
        <w:rPr>
          <w:rFonts w:hint="eastAsia" w:ascii="宋体" w:hAnsi="宋体" w:cs="宋体"/>
          <w:szCs w:val="30"/>
          <w:highlight w:val="none"/>
        </w:rPr>
        <w:t>封面（上册）</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14:paraId="3F9F2F2E">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"_Toc2866" </w:instrText>
      </w:r>
      <w:r>
        <w:rPr>
          <w:highlight w:val="none"/>
        </w:rPr>
        <w:fldChar w:fldCharType="separate"/>
      </w:r>
      <w:r>
        <w:rPr>
          <w:rFonts w:hint="eastAsia" w:ascii="宋体" w:hAnsi="宋体" w:cs="宋体"/>
          <w:szCs w:val="30"/>
          <w:highlight w:val="none"/>
        </w:rPr>
        <w:t>目录（上册）</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14:paraId="6A654739">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"_Toc12687" </w:instrText>
      </w:r>
      <w:r>
        <w:rPr>
          <w:highlight w:val="none"/>
        </w:rPr>
        <w:fldChar w:fldCharType="separate"/>
      </w:r>
      <w:r>
        <w:rPr>
          <w:rFonts w:hint="eastAsia" w:ascii="宋体" w:hAnsi="宋体" w:cs="宋体"/>
          <w:szCs w:val="30"/>
          <w:highlight w:val="none"/>
        </w:rPr>
        <w:t>（1）投标函</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7</w:t>
      </w:r>
    </w:p>
    <w:p w14:paraId="28BA201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"_Toc13492" </w:instrText>
      </w:r>
      <w:r>
        <w:rPr>
          <w:highlight w:val="none"/>
        </w:rPr>
        <w:fldChar w:fldCharType="separate"/>
      </w:r>
      <w:r>
        <w:rPr>
          <w:rFonts w:hint="eastAsia" w:ascii="宋体" w:hAnsi="宋体" w:cs="宋体"/>
          <w:kern w:val="0"/>
          <w:szCs w:val="30"/>
          <w:highlight w:val="none"/>
        </w:rPr>
        <w:t>（2）</w:t>
      </w:r>
      <w:r>
        <w:rPr>
          <w:rFonts w:hint="eastAsia" w:ascii="宋体" w:hAnsi="宋体" w:cs="宋体"/>
          <w:szCs w:val="30"/>
          <w:highlight w:val="none"/>
        </w:rPr>
        <w:t>法定代表人证明书</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8</w:t>
      </w:r>
    </w:p>
    <w:p w14:paraId="6C03B613">
      <w:pPr>
        <w:pStyle w:val="24"/>
        <w:tabs>
          <w:tab w:val="right" w:leader="dot" w:pos="8306"/>
        </w:tabs>
        <w:ind w:firstLine="720" w:firstLineChars="300"/>
        <w:rPr>
          <w:rFonts w:hint="default" w:eastAsia="宋体"/>
          <w:highlight w:val="none"/>
          <w:lang w:val="en-US" w:eastAsia="zh-CN"/>
        </w:rPr>
      </w:pPr>
      <w:r>
        <w:rPr>
          <w:highlight w:val="none"/>
        </w:rPr>
        <w:fldChar w:fldCharType="begin"/>
      </w:r>
      <w:r>
        <w:rPr>
          <w:highlight w:val="none"/>
        </w:rPr>
        <w:instrText xml:space="preserve"> HYPERLINK \l "_Toc5436" </w:instrText>
      </w:r>
      <w:r>
        <w:rPr>
          <w:highlight w:val="none"/>
        </w:rPr>
        <w:fldChar w:fldCharType="separate"/>
      </w:r>
      <w:r>
        <w:rPr>
          <w:rFonts w:ascii="宋体" w:hAnsi="宋体" w:cs="宋体"/>
          <w:szCs w:val="30"/>
          <w:highlight w:val="none"/>
        </w:rPr>
        <w:t>（3）</w:t>
      </w:r>
      <w:r>
        <w:rPr>
          <w:rFonts w:hint="eastAsia" w:ascii="宋体" w:hAnsi="宋体" w:cs="宋体"/>
          <w:szCs w:val="30"/>
          <w:highlight w:val="none"/>
        </w:rPr>
        <w:t>法定代表人授权书</w:t>
      </w:r>
      <w:r>
        <w:rPr>
          <w:highlight w:val="none"/>
        </w:rPr>
        <w:tab/>
      </w:r>
      <w:r>
        <w:rPr>
          <w:highlight w:val="none"/>
        </w:rPr>
        <w:fldChar w:fldCharType="end"/>
      </w:r>
      <w:r>
        <w:rPr>
          <w:rFonts w:hint="eastAsia"/>
          <w:highlight w:val="none"/>
          <w:lang w:val="en-US" w:eastAsia="zh-CN"/>
        </w:rPr>
        <w:t>39</w:t>
      </w:r>
    </w:p>
    <w:p w14:paraId="36947C25">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"_Toc9404" </w:instrText>
      </w:r>
      <w:r>
        <w:rPr>
          <w:highlight w:val="none"/>
        </w:rPr>
        <w:fldChar w:fldCharType="separate"/>
      </w:r>
      <w:r>
        <w:rPr>
          <w:rFonts w:ascii="宋体" w:hAnsi="宋体" w:cs="宋体"/>
          <w:szCs w:val="30"/>
          <w:highlight w:val="none"/>
        </w:rPr>
        <w:t>（4）</w:t>
      </w:r>
      <w:r>
        <w:rPr>
          <w:rFonts w:hint="eastAsia" w:ascii="宋体" w:hAnsi="宋体" w:cs="宋体"/>
          <w:szCs w:val="30"/>
          <w:highlight w:val="none"/>
        </w:rPr>
        <w:t>投标人承诺函</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0</w:t>
      </w:r>
    </w:p>
    <w:p w14:paraId="00669ECC">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"_Toc6427" </w:instrText>
      </w:r>
      <w:r>
        <w:rPr>
          <w:highlight w:val="none"/>
        </w:rPr>
        <w:fldChar w:fldCharType="separate"/>
      </w:r>
      <w:r>
        <w:rPr>
          <w:rFonts w:hint="eastAsia" w:ascii="宋体" w:hAnsi="宋体" w:cs="宋体"/>
          <w:szCs w:val="30"/>
          <w:highlight w:val="none"/>
        </w:rPr>
        <w:t>（5）投标人诚信承诺书</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1</w:t>
      </w:r>
    </w:p>
    <w:p w14:paraId="22854F5F">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"_Toc3280" </w:instrText>
      </w:r>
      <w:r>
        <w:rPr>
          <w:highlight w:val="none"/>
        </w:rPr>
        <w:fldChar w:fldCharType="separate"/>
      </w:r>
      <w:r>
        <w:rPr>
          <w:rFonts w:hint="eastAsia" w:ascii="宋体" w:hAnsi="宋体" w:cs="宋体"/>
          <w:szCs w:val="30"/>
          <w:highlight w:val="none"/>
        </w:rPr>
        <w:t>（6）资格证明材料</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2</w:t>
      </w:r>
    </w:p>
    <w:p w14:paraId="6AF5D1E7">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"_Toc28159" </w:instrText>
      </w:r>
      <w:r>
        <w:rPr>
          <w:highlight w:val="none"/>
        </w:rPr>
        <w:fldChar w:fldCharType="separate"/>
      </w:r>
      <w:r>
        <w:rPr>
          <w:rFonts w:hint="eastAsia" w:ascii="宋体" w:hAnsi="宋体" w:cs="宋体"/>
          <w:szCs w:val="30"/>
          <w:highlight w:val="none"/>
        </w:rPr>
        <w:t>（7）财务状况报告，依法缴纳税收和社会保障资金的相关材料</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14:paraId="2DCEC2CD">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"_Toc9296" </w:instrText>
      </w:r>
      <w:r>
        <w:rPr>
          <w:highlight w:val="none"/>
        </w:rPr>
        <w:fldChar w:fldCharType="separate"/>
      </w:r>
      <w:r>
        <w:rPr>
          <w:rFonts w:hint="eastAsia" w:ascii="宋体" w:hAnsi="宋体" w:cs="宋体"/>
          <w:szCs w:val="30"/>
          <w:highlight w:val="none"/>
        </w:rPr>
        <w:t>（8）具备履行合同所必需的设备和专业技术能力的证明材料</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4</w:t>
      </w:r>
    </w:p>
    <w:p w14:paraId="4F0133D1">
      <w:pPr>
        <w:pStyle w:val="24"/>
        <w:tabs>
          <w:tab w:val="right" w:leader="dot" w:pos="8306"/>
        </w:tabs>
        <w:ind w:firstLine="720" w:firstLineChars="300"/>
        <w:rPr>
          <w:rFonts w:hint="eastAsia" w:eastAsia="宋体"/>
          <w:highlight w:val="none"/>
          <w:lang w:val="en-US" w:eastAsia="zh-CN"/>
        </w:rPr>
      </w:pPr>
      <w:r>
        <w:rPr>
          <w:highlight w:val="none"/>
        </w:rPr>
        <w:fldChar w:fldCharType="begin"/>
      </w:r>
      <w:r>
        <w:rPr>
          <w:highlight w:val="none"/>
        </w:rPr>
        <w:instrText xml:space="preserve"> HYPERLINK \l "_Toc15231" </w:instrText>
      </w:r>
      <w:r>
        <w:rPr>
          <w:highlight w:val="none"/>
        </w:rPr>
        <w:fldChar w:fldCharType="separate"/>
      </w:r>
      <w:r>
        <w:rPr>
          <w:rFonts w:hint="eastAsia" w:ascii="宋体" w:hAnsi="宋体" w:cs="宋体"/>
          <w:szCs w:val="30"/>
          <w:highlight w:val="none"/>
        </w:rPr>
        <w:t>（9）无重大违法记录声明</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5</w:t>
      </w:r>
    </w:p>
    <w:p w14:paraId="14CB5F7B">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"_Toc8317" </w:instrText>
      </w:r>
      <w:r>
        <w:rPr>
          <w:highlight w:val="none"/>
        </w:rPr>
        <w:fldChar w:fldCharType="separate"/>
      </w:r>
      <w:r>
        <w:rPr>
          <w:rFonts w:hint="eastAsia" w:ascii="宋体" w:hAnsi="宋体" w:cs="宋体"/>
          <w:szCs w:val="30"/>
          <w:highlight w:val="none"/>
        </w:rPr>
        <w:t>目录（下册）</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7</w:t>
      </w:r>
    </w:p>
    <w:p w14:paraId="31D892E7">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"_Toc10001"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0</w:t>
      </w:r>
      <w:r>
        <w:rPr>
          <w:rFonts w:hint="eastAsia" w:ascii="宋体" w:hAnsi="宋体" w:cs="宋体"/>
          <w:szCs w:val="30"/>
          <w:highlight w:val="none"/>
        </w:rPr>
        <w:t>）评分对照表</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8</w:t>
      </w:r>
    </w:p>
    <w:p w14:paraId="6E14BF74">
      <w:pPr>
        <w:pStyle w:val="24"/>
        <w:tabs>
          <w:tab w:val="right" w:leader="dot" w:pos="8306"/>
        </w:tabs>
        <w:ind w:firstLine="480" w:firstLineChars="200"/>
        <w:rPr>
          <w:rFonts w:hint="default" w:eastAsia="宋体"/>
          <w:highlight w:val="none"/>
          <w:lang w:val="en-US" w:eastAsia="zh-CN"/>
        </w:rPr>
      </w:pPr>
      <w:r>
        <w:rPr>
          <w:highlight w:val="none"/>
        </w:rPr>
        <w:fldChar w:fldCharType="begin"/>
      </w:r>
      <w:r>
        <w:rPr>
          <w:highlight w:val="none"/>
        </w:rPr>
        <w:instrText xml:space="preserve"> HYPERLINK \l "_Toc4894"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1</w:t>
      </w:r>
      <w:r>
        <w:rPr>
          <w:rFonts w:hint="eastAsia" w:ascii="宋体" w:hAnsi="宋体" w:cs="宋体"/>
          <w:szCs w:val="30"/>
          <w:highlight w:val="none"/>
        </w:rPr>
        <w:t>）开标一览表（报价表）</w:t>
      </w:r>
      <w:r>
        <w:rPr>
          <w:highlight w:val="none"/>
        </w:rPr>
        <w:tab/>
      </w:r>
      <w:r>
        <w:rPr>
          <w:highlight w:val="none"/>
        </w:rPr>
        <w:fldChar w:fldCharType="end"/>
      </w:r>
      <w:r>
        <w:rPr>
          <w:rFonts w:hint="eastAsia"/>
          <w:highlight w:val="none"/>
          <w:lang w:val="en-US" w:eastAsia="zh-CN"/>
        </w:rPr>
        <w:t>49</w:t>
      </w:r>
    </w:p>
    <w:p w14:paraId="5AE206A5">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"_Toc11855"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2</w:t>
      </w:r>
      <w:r>
        <w:rPr>
          <w:rFonts w:hint="eastAsia" w:ascii="宋体" w:hAnsi="宋体" w:cs="宋体"/>
          <w:szCs w:val="30"/>
          <w:highlight w:val="none"/>
        </w:rPr>
        <w:t>）服务响应表</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1</w:t>
      </w:r>
    </w:p>
    <w:p w14:paraId="51E529A7">
      <w:pPr>
        <w:pStyle w:val="24"/>
        <w:tabs>
          <w:tab w:val="right" w:leader="dot" w:pos="8306"/>
        </w:tabs>
        <w:ind w:firstLine="480" w:firstLineChars="200"/>
        <w:rPr>
          <w:rFonts w:hint="default" w:eastAsia="宋体"/>
          <w:highlight w:val="none"/>
          <w:lang w:val="en-US" w:eastAsia="zh-CN"/>
        </w:rPr>
      </w:pPr>
      <w:r>
        <w:rPr>
          <w:highlight w:val="none"/>
        </w:rPr>
        <w:fldChar w:fldCharType="begin"/>
      </w:r>
      <w:r>
        <w:rPr>
          <w:highlight w:val="none"/>
        </w:rPr>
        <w:instrText xml:space="preserve"> HYPERLINK \l "_Toc25251"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3</w:t>
      </w:r>
      <w:r>
        <w:rPr>
          <w:rFonts w:hint="eastAsia" w:ascii="宋体" w:hAnsi="宋体" w:cs="宋体"/>
          <w:szCs w:val="30"/>
          <w:highlight w:val="none"/>
        </w:rPr>
        <w:t>）服务方案</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2</w:t>
      </w:r>
    </w:p>
    <w:p w14:paraId="3D2A502D">
      <w:pPr>
        <w:pStyle w:val="24"/>
        <w:tabs>
          <w:tab w:val="right" w:leader="dot" w:pos="8306"/>
        </w:tabs>
        <w:ind w:firstLine="480" w:firstLineChars="200"/>
        <w:rPr>
          <w:rFonts w:hint="default" w:ascii="宋体" w:hAnsi="宋体" w:eastAsia="宋体" w:cs="宋体"/>
          <w:szCs w:val="30"/>
          <w:highlight w:val="none"/>
          <w:lang w:val="en-US" w:eastAsia="zh-CN"/>
        </w:rPr>
      </w:pPr>
      <w:r>
        <w:rPr>
          <w:rFonts w:hint="eastAsia" w:ascii="宋体" w:hAnsi="宋体" w:eastAsia="宋体" w:cs="宋体"/>
          <w:szCs w:val="30"/>
          <w:highlight w:val="none"/>
          <w:lang w:val="zh-CN"/>
        </w:rPr>
        <w:t>（</w:t>
      </w:r>
      <w:r>
        <w:rPr>
          <w:rFonts w:hint="eastAsia" w:ascii="宋体" w:hAnsi="宋体" w:eastAsia="宋体" w:cs="宋体"/>
          <w:szCs w:val="30"/>
          <w:highlight w:val="none"/>
          <w:lang w:val="en-US" w:eastAsia="zh-CN"/>
        </w:rPr>
        <w:t>1</w:t>
      </w:r>
      <w:r>
        <w:rPr>
          <w:rFonts w:hint="eastAsia" w:ascii="宋体" w:hAnsi="宋体" w:cs="宋体"/>
          <w:szCs w:val="30"/>
          <w:highlight w:val="none"/>
          <w:lang w:val="en-US" w:eastAsia="zh-CN"/>
        </w:rPr>
        <w:t>4</w:t>
      </w:r>
      <w:r>
        <w:rPr>
          <w:rFonts w:hint="eastAsia" w:ascii="宋体" w:hAnsi="宋体" w:eastAsia="宋体" w:cs="宋体"/>
          <w:szCs w:val="30"/>
          <w:highlight w:val="none"/>
          <w:lang w:val="en-US" w:eastAsia="zh-CN"/>
        </w:rPr>
        <w:t>）</w:t>
      </w:r>
      <w:r>
        <w:rPr>
          <w:rFonts w:hint="eastAsia" w:ascii="宋体" w:hAnsi="宋体" w:eastAsia="宋体" w:cs="宋体"/>
          <w:szCs w:val="30"/>
          <w:highlight w:val="none"/>
          <w:lang w:val="zh-CN"/>
        </w:rPr>
        <w:t>投标人的业绩证明材料</w:t>
      </w:r>
      <w:r>
        <w:rPr>
          <w:highlight w:val="none"/>
        </w:rPr>
        <w:tab/>
      </w:r>
      <w:r>
        <w:rPr>
          <w:rFonts w:hint="eastAsia"/>
          <w:highlight w:val="none"/>
          <w:lang w:val="en-US" w:eastAsia="zh-CN"/>
        </w:rPr>
        <w:t>53</w:t>
      </w:r>
    </w:p>
    <w:p w14:paraId="35398EEF">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"_Toc2079"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5</w:t>
      </w:r>
      <w:r>
        <w:rPr>
          <w:rFonts w:hint="eastAsia" w:ascii="宋体" w:hAnsi="宋体" w:cs="宋体"/>
          <w:szCs w:val="30"/>
          <w:highlight w:val="none"/>
        </w:rPr>
        <w:t>）中小企业声明函</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4</w:t>
      </w:r>
    </w:p>
    <w:p w14:paraId="2EA91D46">
      <w:pPr>
        <w:pStyle w:val="24"/>
        <w:tabs>
          <w:tab w:val="right" w:leader="dot" w:pos="8306"/>
        </w:tabs>
        <w:ind w:firstLine="480" w:firstLineChars="200"/>
        <w:rPr>
          <w:rFonts w:hint="default" w:eastAsia="宋体"/>
          <w:highlight w:val="none"/>
          <w:lang w:val="en-US" w:eastAsia="zh-CN"/>
        </w:rPr>
      </w:pPr>
      <w:r>
        <w:rPr>
          <w:highlight w:val="none"/>
        </w:rPr>
        <w:fldChar w:fldCharType="begin"/>
      </w:r>
      <w:r>
        <w:rPr>
          <w:highlight w:val="none"/>
        </w:rPr>
        <w:instrText xml:space="preserve"> HYPERLINK \l "_Toc5037" </w:instrText>
      </w:r>
      <w:r>
        <w:rPr>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6</w:t>
      </w:r>
      <w:r>
        <w:rPr>
          <w:rFonts w:hint="eastAsia" w:ascii="宋体" w:hAnsi="宋体" w:cs="宋体"/>
          <w:szCs w:val="30"/>
          <w:highlight w:val="none"/>
        </w:rPr>
        <w:t>）残疾人福利性单位声明函</w:t>
      </w:r>
      <w:r>
        <w:rPr>
          <w:highlight w:val="none"/>
        </w:rPr>
        <w:tab/>
      </w:r>
      <w:r>
        <w:rPr>
          <w:highlight w:val="none"/>
        </w:rPr>
        <w:fldChar w:fldCharType="end"/>
      </w:r>
      <w:r>
        <w:rPr>
          <w:rFonts w:hint="eastAsia"/>
          <w:highlight w:val="none"/>
          <w:lang w:val="en-US" w:eastAsia="zh-CN"/>
        </w:rPr>
        <w:t>55</w:t>
      </w:r>
    </w:p>
    <w:p w14:paraId="7377D917">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"_Toc29358" </w:instrText>
      </w:r>
      <w:r>
        <w:rPr>
          <w:highlight w:val="none"/>
        </w:rPr>
        <w:fldChar w:fldCharType="separate"/>
      </w:r>
      <w:r>
        <w:rPr>
          <w:rFonts w:hint="eastAsia" w:ascii="宋体" w:hAnsi="宋体" w:cs="宋体"/>
          <w:szCs w:val="30"/>
          <w:highlight w:val="none"/>
        </w:rPr>
        <w:t>（</w:t>
      </w:r>
      <w:r>
        <w:rPr>
          <w:rFonts w:hint="eastAsia" w:ascii="宋体" w:hAnsi="宋体" w:cs="宋体"/>
          <w:szCs w:val="30"/>
          <w:highlight w:val="none"/>
          <w:lang w:val="en-US"/>
        </w:rPr>
        <w:t>1</w:t>
      </w:r>
      <w:r>
        <w:rPr>
          <w:rFonts w:hint="eastAsia" w:ascii="宋体" w:hAnsi="宋体" w:cs="宋体"/>
          <w:szCs w:val="30"/>
          <w:highlight w:val="none"/>
          <w:lang w:val="en-US" w:eastAsia="zh-CN"/>
        </w:rPr>
        <w:t>7</w:t>
      </w:r>
      <w:r>
        <w:rPr>
          <w:rFonts w:hint="eastAsia" w:ascii="宋体" w:hAnsi="宋体" w:cs="宋体"/>
          <w:szCs w:val="30"/>
          <w:highlight w:val="none"/>
        </w:rPr>
        <w:t>）监狱企业证明资料</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6</w:t>
      </w:r>
    </w:p>
    <w:p w14:paraId="32E996D9">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"_Toc12187" </w:instrText>
      </w:r>
      <w:r>
        <w:rPr>
          <w:highlight w:val="none"/>
        </w:rPr>
        <w:fldChar w:fldCharType="separate"/>
      </w:r>
      <w:r>
        <w:rPr>
          <w:rFonts w:hint="eastAsia" w:ascii="宋体" w:hAnsi="宋体" w:cs="宋体"/>
          <w:szCs w:val="30"/>
          <w:highlight w:val="none"/>
        </w:rPr>
        <w:t>（</w:t>
      </w:r>
      <w:r>
        <w:rPr>
          <w:rFonts w:hint="eastAsia" w:ascii="宋体" w:hAnsi="宋体" w:cs="宋体"/>
          <w:szCs w:val="30"/>
          <w:highlight w:val="none"/>
          <w:lang w:val="en-US"/>
        </w:rPr>
        <w:t>1</w:t>
      </w:r>
      <w:r>
        <w:rPr>
          <w:rFonts w:hint="eastAsia" w:ascii="宋体" w:hAnsi="宋体" w:cs="宋体"/>
          <w:szCs w:val="30"/>
          <w:highlight w:val="none"/>
          <w:lang w:val="en-US" w:eastAsia="zh-CN"/>
        </w:rPr>
        <w:t>8</w:t>
      </w:r>
      <w:r>
        <w:rPr>
          <w:rFonts w:hint="eastAsia" w:ascii="宋体" w:hAnsi="宋体" w:cs="宋体"/>
          <w:szCs w:val="30"/>
          <w:highlight w:val="none"/>
        </w:rPr>
        <w:t>）投标人认为在其他方面有必要说明的事项</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7</w:t>
      </w:r>
    </w:p>
    <w:p w14:paraId="1AAECDE1">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"_Toc3639" </w:instrText>
      </w:r>
      <w:r>
        <w:rPr>
          <w:highlight w:val="none"/>
        </w:rPr>
        <w:fldChar w:fldCharType="separate"/>
      </w:r>
      <w:r>
        <w:rPr>
          <w:rFonts w:hint="eastAsia" w:ascii="宋体" w:hAnsi="宋体" w:cs="宋体"/>
          <w:szCs w:val="30"/>
          <w:highlight w:val="none"/>
        </w:rPr>
        <w:t>第五部分  采购项目要求及服务内容</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8</w:t>
      </w:r>
    </w:p>
    <w:p w14:paraId="7D3FCA26">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"_Toc2218" </w:instrText>
      </w:r>
      <w:r>
        <w:rPr>
          <w:highlight w:val="none"/>
        </w:rPr>
        <w:fldChar w:fldCharType="separate"/>
      </w:r>
      <w:r>
        <w:rPr>
          <w:rFonts w:hint="eastAsia" w:ascii="宋体" w:hAnsi="宋体" w:cs="宋体"/>
          <w:szCs w:val="28"/>
          <w:highlight w:val="none"/>
        </w:rPr>
        <w:t>（一）投标要求</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8</w:t>
      </w:r>
    </w:p>
    <w:p w14:paraId="4C57B00B">
      <w:pPr>
        <w:pStyle w:val="24"/>
        <w:tabs>
          <w:tab w:val="right" w:leader="dot" w:pos="8306"/>
        </w:tabs>
        <w:ind w:firstLine="480" w:firstLineChars="200"/>
        <w:rPr>
          <w:rFonts w:hint="eastAsia" w:eastAsia="宋体"/>
          <w:highlight w:val="none"/>
          <w:lang w:val="en-US" w:eastAsia="zh-CN"/>
        </w:rPr>
      </w:pPr>
      <w:r>
        <w:rPr>
          <w:highlight w:val="none"/>
        </w:rPr>
        <w:fldChar w:fldCharType="begin"/>
      </w:r>
      <w:r>
        <w:rPr>
          <w:highlight w:val="none"/>
        </w:rPr>
        <w:instrText xml:space="preserve"> HYPERLINK \l "_Toc4106" </w:instrText>
      </w:r>
      <w:r>
        <w:rPr>
          <w:highlight w:val="none"/>
        </w:rPr>
        <w:fldChar w:fldCharType="separate"/>
      </w:r>
      <w:r>
        <w:rPr>
          <w:rFonts w:hint="eastAsia" w:ascii="宋体" w:hAnsi="宋体" w:cs="宋体"/>
          <w:szCs w:val="28"/>
          <w:highlight w:val="none"/>
        </w:rPr>
        <w:t>（二）服务内容</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9</w:t>
      </w:r>
    </w:p>
    <w:p w14:paraId="6919B8C7">
      <w:r>
        <w:rPr>
          <w:rFonts w:hint="eastAsia" w:ascii="宋体" w:hAnsi="宋体" w:cs="宋体"/>
          <w:szCs w:val="24"/>
          <w:highlight w:val="none"/>
        </w:rPr>
        <w:fldChar w:fldCharType="end"/>
      </w:r>
    </w:p>
    <w:p w14:paraId="046A8E22">
      <w:pPr>
        <w:pStyle w:val="28"/>
        <w:spacing w:before="0" w:after="0" w:line="360" w:lineRule="auto"/>
        <w:outlineLvl w:val="9"/>
        <w:rPr>
          <w:rFonts w:hint="eastAsia" w:ascii="宋体" w:hAnsi="宋体" w:cs="宋体"/>
          <w:b w:val="0"/>
          <w:sz w:val="24"/>
          <w:szCs w:val="24"/>
          <w:highlight w:val="none"/>
        </w:rPr>
      </w:pPr>
    </w:p>
    <w:bookmarkEnd w:id="0"/>
    <w:p w14:paraId="3FDD118F">
      <w:pPr>
        <w:pStyle w:val="28"/>
        <w:ind w:firstLine="723"/>
        <w:outlineLvl w:val="9"/>
        <w:rPr>
          <w:highlight w:val="none"/>
          <w:lang w:val="zh-CN"/>
        </w:rPr>
      </w:pPr>
      <w:bookmarkStart w:id="1" w:name="_Toc428180535"/>
    </w:p>
    <w:p w14:paraId="041464CF">
      <w:pPr>
        <w:rPr>
          <w:highlight w:val="none"/>
          <w:lang w:val="zh-CN"/>
        </w:rPr>
      </w:pPr>
    </w:p>
    <w:p w14:paraId="1D6C0FF9">
      <w:pPr>
        <w:rPr>
          <w:highlight w:val="none"/>
          <w:lang w:val="zh-CN"/>
        </w:rPr>
      </w:pPr>
    </w:p>
    <w:p w14:paraId="55AD94D4">
      <w:pPr>
        <w:rPr>
          <w:highlight w:val="none"/>
          <w:lang w:val="zh-CN"/>
        </w:rPr>
      </w:pPr>
    </w:p>
    <w:p w14:paraId="74E05DA1">
      <w:pPr>
        <w:pStyle w:val="28"/>
        <w:ind w:firstLine="723"/>
        <w:rPr>
          <w:rFonts w:hint="eastAsia"/>
          <w:highlight w:val="none"/>
          <w:lang w:val="zh-CN"/>
        </w:rPr>
      </w:pPr>
      <w:bookmarkStart w:id="2" w:name="_Toc15716"/>
    </w:p>
    <w:p w14:paraId="210E04E8">
      <w:pPr>
        <w:pStyle w:val="28"/>
        <w:ind w:firstLine="723"/>
        <w:rPr>
          <w:rFonts w:hint="eastAsia"/>
          <w:highlight w:val="none"/>
          <w:lang w:val="zh-CN"/>
        </w:rPr>
      </w:pPr>
    </w:p>
    <w:p w14:paraId="51DA2242">
      <w:pPr>
        <w:rPr>
          <w:rFonts w:hint="eastAsia"/>
          <w:highlight w:val="none"/>
          <w:lang w:val="zh-CN"/>
        </w:rPr>
      </w:pPr>
    </w:p>
    <w:p w14:paraId="2D1CF076">
      <w:pPr>
        <w:rPr>
          <w:rFonts w:hint="eastAsia"/>
          <w:highlight w:val="none"/>
          <w:lang w:val="zh-CN"/>
        </w:rPr>
      </w:pPr>
    </w:p>
    <w:p w14:paraId="0FF5E715">
      <w:pPr>
        <w:rPr>
          <w:rFonts w:hint="eastAsia"/>
          <w:highlight w:val="none"/>
          <w:lang w:val="zh-CN"/>
        </w:rPr>
      </w:pPr>
    </w:p>
    <w:p w14:paraId="6BBE50B6">
      <w:pPr>
        <w:pStyle w:val="28"/>
        <w:ind w:firstLine="723"/>
        <w:rPr>
          <w:rFonts w:hint="eastAsia"/>
          <w:highlight w:val="none"/>
          <w:lang w:val="zh-CN"/>
        </w:rPr>
      </w:pPr>
    </w:p>
    <w:p w14:paraId="20F2FB28">
      <w:pPr>
        <w:pStyle w:val="28"/>
        <w:ind w:firstLine="723"/>
        <w:rPr>
          <w:rFonts w:hint="eastAsia"/>
          <w:highlight w:val="none"/>
          <w:lang w:val="zh-CN"/>
        </w:rPr>
      </w:pPr>
    </w:p>
    <w:p w14:paraId="5634EA2C">
      <w:pPr>
        <w:rPr>
          <w:rFonts w:hint="eastAsia"/>
          <w:highlight w:val="none"/>
          <w:lang w:val="zh-CN"/>
        </w:rPr>
      </w:pPr>
    </w:p>
    <w:p w14:paraId="649C4003">
      <w:pPr>
        <w:pStyle w:val="28"/>
        <w:jc w:val="both"/>
        <w:rPr>
          <w:rFonts w:hint="eastAsia"/>
          <w:highlight w:val="none"/>
          <w:lang w:val="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7F336CE4">
      <w:pPr>
        <w:pStyle w:val="28"/>
        <w:jc w:val="center"/>
        <w:rPr>
          <w:highlight w:val="none"/>
          <w:lang w:val="zh-CN"/>
        </w:rPr>
      </w:pPr>
      <w:r>
        <w:rPr>
          <w:rFonts w:hint="eastAsia"/>
          <w:highlight w:val="none"/>
          <w:lang w:val="zh-CN"/>
        </w:rPr>
        <w:t>第一部分  投标邀请</w:t>
      </w:r>
      <w:bookmarkEnd w:id="2"/>
    </w:p>
    <w:p w14:paraId="72E56BE6">
      <w:pPr>
        <w:pStyle w:val="102"/>
        <w:spacing w:line="360" w:lineRule="auto"/>
        <w:ind w:firstLine="480" w:firstLineChars="200"/>
        <w:rPr>
          <w:rFonts w:hint="eastAsia" w:ascii="宋体" w:hAnsi="宋体" w:cs="宋体"/>
          <w:color w:val="000000"/>
          <w:sz w:val="24"/>
          <w:szCs w:val="24"/>
          <w:highlight w:val="none"/>
          <w:lang w:val="zh-CN"/>
        </w:rPr>
      </w:pPr>
      <w:r>
        <w:rPr>
          <w:rFonts w:hint="eastAsia" w:ascii="宋体" w:hAnsi="宋体" w:cs="宋体"/>
          <w:sz w:val="24"/>
          <w:szCs w:val="24"/>
          <w:highlight w:val="none"/>
          <w:lang w:val="zh-CN"/>
        </w:rPr>
        <w:t>青海浩驰招标代理有限公司（以下均简称“采购代理机构”）受西宁经济技术开发区生物科技产业园区管理委员会（以下均简称“采购人”）委托,拟</w:t>
      </w:r>
      <w:r>
        <w:rPr>
          <w:rFonts w:hint="eastAsia" w:ascii="宋体" w:hAnsi="宋体" w:cs="宋体"/>
          <w:color w:val="000000"/>
          <w:sz w:val="24"/>
          <w:szCs w:val="24"/>
          <w:highlight w:val="none"/>
          <w:lang w:val="zh-CN"/>
        </w:rPr>
        <w:t>对</w:t>
      </w:r>
      <w:r>
        <w:rPr>
          <w:rFonts w:hint="eastAsia" w:ascii="宋体" w:hAnsi="宋体" w:cs="宋体"/>
          <w:color w:val="000000"/>
          <w:sz w:val="24"/>
          <w:szCs w:val="24"/>
          <w:highlight w:val="none"/>
          <w:lang w:val="en-US" w:eastAsia="zh-CN"/>
        </w:rPr>
        <w:t>生物园区2026年市政基础设施养护项目</w:t>
      </w:r>
      <w:r>
        <w:rPr>
          <w:rFonts w:hint="eastAsia" w:ascii="宋体" w:hAnsi="宋体" w:cs="宋体"/>
          <w:color w:val="000000"/>
          <w:sz w:val="24"/>
          <w:szCs w:val="24"/>
          <w:highlight w:val="none"/>
          <w:lang w:val="zh-CN"/>
        </w:rPr>
        <w:t>进行国内公开招标，现予以公告，欢迎潜在的投标人参加本次政府采购活动。</w:t>
      </w:r>
    </w:p>
    <w:tbl>
      <w:tblPr>
        <w:tblStyle w:val="31"/>
        <w:tblW w:w="4930" w:type="pct"/>
        <w:jc w:val="center"/>
        <w:tblLayout w:type="autofit"/>
        <w:tblCellMar>
          <w:top w:w="0" w:type="dxa"/>
          <w:left w:w="108" w:type="dxa"/>
          <w:bottom w:w="0" w:type="dxa"/>
          <w:right w:w="108" w:type="dxa"/>
        </w:tblCellMar>
      </w:tblPr>
      <w:tblGrid>
        <w:gridCol w:w="1995"/>
        <w:gridCol w:w="6408"/>
      </w:tblGrid>
      <w:tr w14:paraId="6F21BBCE">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6669472B">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采购项目编号</w:t>
            </w:r>
          </w:p>
        </w:tc>
        <w:tc>
          <w:tcPr>
            <w:tcW w:w="3812" w:type="pct"/>
            <w:tcBorders>
              <w:top w:val="single" w:color="000000" w:sz="6" w:space="0"/>
              <w:left w:val="single" w:color="000000" w:sz="6" w:space="0"/>
              <w:bottom w:val="single" w:color="000000" w:sz="6" w:space="0"/>
              <w:right w:val="single" w:color="000000" w:sz="6" w:space="0"/>
            </w:tcBorders>
            <w:vAlign w:val="center"/>
          </w:tcPr>
          <w:p w14:paraId="6FDC3D1F">
            <w:pPr>
              <w:spacing w:line="312" w:lineRule="auto"/>
              <w:rPr>
                <w:rFonts w:hint="eastAsia" w:ascii="宋体" w:hAnsi="宋体" w:cs="宋体"/>
                <w:b/>
                <w:bCs/>
                <w:color w:val="auto"/>
                <w:highlight w:val="none"/>
                <w:lang w:val="zh-CN"/>
              </w:rPr>
            </w:pPr>
            <w:r>
              <w:rPr>
                <w:rFonts w:hint="eastAsia" w:ascii="宋体" w:hAnsi="宋体" w:cs="宋体"/>
                <w:color w:val="auto"/>
                <w:highlight w:val="none"/>
                <w:lang w:val="zh-CN"/>
              </w:rPr>
              <w:t>青海浩驰公招（服务）2026-090号</w:t>
            </w:r>
          </w:p>
        </w:tc>
      </w:tr>
      <w:tr w14:paraId="528DED29">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7C2EBD40">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采购项目名称</w:t>
            </w:r>
          </w:p>
        </w:tc>
        <w:tc>
          <w:tcPr>
            <w:tcW w:w="3812" w:type="pct"/>
            <w:tcBorders>
              <w:top w:val="single" w:color="000000" w:sz="6" w:space="0"/>
              <w:left w:val="single" w:color="000000" w:sz="6" w:space="0"/>
              <w:bottom w:val="single" w:color="000000" w:sz="6" w:space="0"/>
              <w:right w:val="single" w:color="000000" w:sz="6" w:space="0"/>
            </w:tcBorders>
            <w:vAlign w:val="center"/>
          </w:tcPr>
          <w:p w14:paraId="281F445A">
            <w:pPr>
              <w:spacing w:line="312" w:lineRule="auto"/>
              <w:rPr>
                <w:rFonts w:hint="eastAsia" w:ascii="宋体" w:hAnsi="宋体" w:eastAsia="宋体" w:cs="宋体"/>
                <w:b/>
                <w:bCs/>
                <w:color w:val="auto"/>
                <w:highlight w:val="none"/>
                <w:u w:val="dashDotHeavy"/>
                <w:lang w:val="en-US" w:eastAsia="zh-CN"/>
              </w:rPr>
            </w:pPr>
            <w:r>
              <w:rPr>
                <w:rFonts w:hint="eastAsia" w:ascii="宋体" w:hAnsi="宋体" w:cs="宋体"/>
                <w:color w:val="auto"/>
                <w:highlight w:val="none"/>
                <w:lang w:val="en-US" w:eastAsia="zh-CN"/>
              </w:rPr>
              <w:t>生物园区2026年市政基础设施养护项目</w:t>
            </w:r>
          </w:p>
        </w:tc>
      </w:tr>
      <w:tr w14:paraId="793EA8CA">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29D02E24">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采购方式</w:t>
            </w:r>
          </w:p>
        </w:tc>
        <w:tc>
          <w:tcPr>
            <w:tcW w:w="3812" w:type="pct"/>
            <w:tcBorders>
              <w:top w:val="single" w:color="000000" w:sz="6" w:space="0"/>
              <w:left w:val="single" w:color="000000" w:sz="6" w:space="0"/>
              <w:bottom w:val="single" w:color="000000" w:sz="6" w:space="0"/>
              <w:right w:val="single" w:color="000000" w:sz="6" w:space="0"/>
            </w:tcBorders>
            <w:vAlign w:val="center"/>
          </w:tcPr>
          <w:p w14:paraId="3286D24D">
            <w:pPr>
              <w:autoSpaceDE w:val="0"/>
              <w:autoSpaceDN w:val="0"/>
              <w:adjustRightInd w:val="0"/>
              <w:spacing w:line="360" w:lineRule="auto"/>
              <w:rPr>
                <w:rFonts w:hint="eastAsia" w:ascii="宋体" w:hAnsi="宋体" w:cs="宋体"/>
                <w:color w:val="auto"/>
                <w:highlight w:val="none"/>
                <w:lang w:val="zh-CN"/>
              </w:rPr>
            </w:pPr>
            <w:r>
              <w:rPr>
                <w:rFonts w:hint="eastAsia" w:ascii="宋体" w:hAnsi="宋体" w:eastAsia="宋体" w:cs="宋体"/>
                <w:color w:val="auto"/>
                <w:kern w:val="0"/>
                <w:highlight w:val="none"/>
                <w:lang w:val="zh-CN"/>
              </w:rPr>
              <w:t>公开招标</w:t>
            </w:r>
          </w:p>
        </w:tc>
      </w:tr>
      <w:tr w14:paraId="51AB0306">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73DE3EE5">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采购预算额度</w:t>
            </w:r>
          </w:p>
        </w:tc>
        <w:tc>
          <w:tcPr>
            <w:tcW w:w="3812" w:type="pct"/>
            <w:tcBorders>
              <w:top w:val="single" w:color="000000" w:sz="6" w:space="0"/>
              <w:left w:val="single" w:color="000000" w:sz="6" w:space="0"/>
              <w:bottom w:val="single" w:color="000000" w:sz="6" w:space="0"/>
              <w:right w:val="single" w:color="000000" w:sz="6" w:space="0"/>
            </w:tcBorders>
            <w:vAlign w:val="center"/>
          </w:tcPr>
          <w:p w14:paraId="301FDE97">
            <w:pPr>
              <w:autoSpaceDE w:val="0"/>
              <w:autoSpaceDN w:val="0"/>
              <w:adjustRightInd w:val="0"/>
              <w:spacing w:line="360" w:lineRule="auto"/>
              <w:rPr>
                <w:rFonts w:hint="eastAsia" w:ascii="宋体" w:hAnsi="宋体" w:cs="宋体"/>
                <w:color w:val="auto"/>
                <w:highlight w:val="none"/>
              </w:rPr>
            </w:pPr>
            <w:r>
              <w:rPr>
                <w:rFonts w:hint="eastAsia" w:ascii="宋体" w:hAnsi="宋体" w:cs="宋体"/>
                <w:color w:val="auto"/>
                <w:kern w:val="0"/>
                <w:highlight w:val="none"/>
                <w:lang w:val="en-US" w:eastAsia="zh-CN"/>
              </w:rPr>
              <w:t>471.6</w:t>
            </w:r>
            <w:r>
              <w:rPr>
                <w:rFonts w:hint="eastAsia" w:ascii="宋体" w:hAnsi="宋体" w:eastAsia="宋体" w:cs="宋体"/>
                <w:color w:val="auto"/>
                <w:kern w:val="0"/>
                <w:highlight w:val="none"/>
                <w:lang w:val="zh-CN" w:eastAsia="zh-CN"/>
              </w:rPr>
              <w:t>万元</w:t>
            </w:r>
          </w:p>
        </w:tc>
      </w:tr>
      <w:tr w14:paraId="62A85AC3">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23CDB845">
            <w:pPr>
              <w:spacing w:line="312" w:lineRule="auto"/>
              <w:rPr>
                <w:rFonts w:hint="eastAsia" w:ascii="宋体" w:hAnsi="宋体" w:cs="宋体"/>
                <w:color w:val="auto"/>
                <w:highlight w:val="none"/>
                <w:lang w:val="zh-CN"/>
              </w:rPr>
            </w:pPr>
            <w:r>
              <w:rPr>
                <w:rFonts w:hint="eastAsia" w:ascii="宋体" w:hAnsi="宋体" w:cs="宋体"/>
                <w:color w:val="auto"/>
                <w:highlight w:val="none"/>
                <w:lang w:val="en-US" w:eastAsia="zh-CN"/>
              </w:rPr>
              <w:t>单价合计</w:t>
            </w:r>
            <w:r>
              <w:rPr>
                <w:rFonts w:hint="eastAsia" w:ascii="宋体" w:hAnsi="宋体" w:cs="宋体"/>
                <w:color w:val="auto"/>
                <w:highlight w:val="none"/>
              </w:rPr>
              <w:t>最高限价</w:t>
            </w:r>
          </w:p>
        </w:tc>
        <w:tc>
          <w:tcPr>
            <w:tcW w:w="3812" w:type="pct"/>
            <w:tcBorders>
              <w:top w:val="single" w:color="000000" w:sz="6" w:space="0"/>
              <w:left w:val="single" w:color="000000" w:sz="6" w:space="0"/>
              <w:bottom w:val="single" w:color="000000" w:sz="6" w:space="0"/>
              <w:right w:val="single" w:color="000000" w:sz="6" w:space="0"/>
            </w:tcBorders>
            <w:vAlign w:val="center"/>
          </w:tcPr>
          <w:p w14:paraId="733C72F0">
            <w:pPr>
              <w:autoSpaceDE w:val="0"/>
              <w:autoSpaceDN w:val="0"/>
              <w:adjustRightInd w:val="0"/>
              <w:spacing w:line="360" w:lineRule="auto"/>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1.733162万元</w:t>
            </w:r>
          </w:p>
        </w:tc>
      </w:tr>
      <w:tr w14:paraId="207A9C77">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05A477E6">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项目分包个数</w:t>
            </w:r>
          </w:p>
        </w:tc>
        <w:tc>
          <w:tcPr>
            <w:tcW w:w="3812" w:type="pct"/>
            <w:tcBorders>
              <w:top w:val="single" w:color="000000" w:sz="6" w:space="0"/>
              <w:left w:val="single" w:color="000000" w:sz="6" w:space="0"/>
              <w:bottom w:val="single" w:color="000000" w:sz="6" w:space="0"/>
              <w:right w:val="single" w:color="000000" w:sz="6" w:space="0"/>
            </w:tcBorders>
            <w:vAlign w:val="center"/>
          </w:tcPr>
          <w:p w14:paraId="119872D9">
            <w:pPr>
              <w:autoSpaceDE w:val="0"/>
              <w:autoSpaceDN w:val="0"/>
              <w:adjustRightInd w:val="0"/>
              <w:spacing w:line="360" w:lineRule="auto"/>
              <w:rPr>
                <w:rFonts w:hint="eastAsia" w:ascii="宋体" w:hAnsi="宋体" w:cs="宋体"/>
                <w:color w:val="auto"/>
                <w:highlight w:val="none"/>
                <w:lang w:val="zh-CN"/>
              </w:rPr>
            </w:pPr>
            <w:r>
              <w:rPr>
                <w:rFonts w:hint="eastAsia" w:ascii="宋体" w:hAnsi="宋体" w:eastAsia="宋体" w:cs="宋体"/>
                <w:color w:val="auto"/>
                <w:kern w:val="0"/>
                <w:highlight w:val="none"/>
                <w:u w:val="none"/>
                <w:lang w:val="zh-CN"/>
              </w:rPr>
              <w:t>不分包</w:t>
            </w:r>
          </w:p>
        </w:tc>
      </w:tr>
      <w:tr w14:paraId="413CAF54">
        <w:tblPrEx>
          <w:tblCellMar>
            <w:top w:w="0" w:type="dxa"/>
            <w:left w:w="108" w:type="dxa"/>
            <w:bottom w:w="0" w:type="dxa"/>
            <w:right w:w="108" w:type="dxa"/>
          </w:tblCellMar>
        </w:tblPrEx>
        <w:trPr>
          <w:trHeight w:val="90"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1AD14C76">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采购要求</w:t>
            </w:r>
          </w:p>
        </w:tc>
        <w:tc>
          <w:tcPr>
            <w:tcW w:w="3812" w:type="pct"/>
            <w:tcBorders>
              <w:top w:val="single" w:color="000000" w:sz="6" w:space="0"/>
              <w:left w:val="single" w:color="000000" w:sz="6" w:space="0"/>
              <w:bottom w:val="single" w:color="000000" w:sz="6" w:space="0"/>
              <w:right w:val="single" w:color="000000" w:sz="6" w:space="0"/>
            </w:tcBorders>
            <w:vAlign w:val="center"/>
          </w:tcPr>
          <w:p w14:paraId="6A6F0C6D">
            <w:pPr>
              <w:spacing w:line="312" w:lineRule="auto"/>
              <w:rPr>
                <w:rFonts w:hint="eastAsia" w:ascii="宋体" w:hAnsi="宋体" w:cs="宋体"/>
                <w:color w:val="auto"/>
                <w:highlight w:val="none"/>
                <w:u w:val="dashDotHeavy"/>
                <w:lang w:val="zh-CN"/>
              </w:rPr>
            </w:pPr>
            <w:r>
              <w:rPr>
                <w:rFonts w:hint="eastAsia" w:ascii="宋体" w:hAnsi="宋体" w:cs="宋体"/>
                <w:color w:val="auto"/>
                <w:highlight w:val="none"/>
                <w:lang w:val="zh-CN"/>
              </w:rPr>
              <w:t>具体内容详见《招标文件》</w:t>
            </w:r>
          </w:p>
        </w:tc>
      </w:tr>
      <w:tr w14:paraId="1B20D548">
        <w:tblPrEx>
          <w:tblCellMar>
            <w:top w:w="0" w:type="dxa"/>
            <w:left w:w="108" w:type="dxa"/>
            <w:bottom w:w="0" w:type="dxa"/>
            <w:right w:w="108" w:type="dxa"/>
          </w:tblCellMar>
        </w:tblPrEx>
        <w:trPr>
          <w:trHeight w:val="5636"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501EFB69">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投标人资格要求</w:t>
            </w:r>
          </w:p>
        </w:tc>
        <w:tc>
          <w:tcPr>
            <w:tcW w:w="3812" w:type="pct"/>
            <w:tcBorders>
              <w:top w:val="single" w:color="000000" w:sz="6" w:space="0"/>
              <w:left w:val="single" w:color="000000" w:sz="6" w:space="0"/>
              <w:bottom w:val="single" w:color="000000" w:sz="6" w:space="0"/>
              <w:right w:val="single" w:color="000000" w:sz="6" w:space="0"/>
            </w:tcBorders>
            <w:vAlign w:val="center"/>
          </w:tcPr>
          <w:p w14:paraId="7C7E5E5B">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（1） 符合《政府采购法》第22条条件，并提供下列材料：</w:t>
            </w:r>
          </w:p>
          <w:p w14:paraId="791B115C">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&lt;1&gt;投标人的营业执照等证明文件，自然人的身份证明。</w:t>
            </w:r>
          </w:p>
          <w:p w14:paraId="39541A13">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&lt;2&gt;财务状况报告，依法缴纳税收和社会保障资金的相关材料。</w:t>
            </w:r>
          </w:p>
          <w:p w14:paraId="13ADCD89">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&lt;3&gt;具备履行合同所必需的资质、设备和专业技术能力的证明材料。</w:t>
            </w:r>
          </w:p>
          <w:p w14:paraId="34050A80">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&lt;4&gt;参加政府采购活动前3年内在经营活动中没有重大违法记录的书面声明。</w:t>
            </w:r>
          </w:p>
          <w:p w14:paraId="4E082158">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&lt;5&gt;具备法律、行政法规规定的其他条件的证明材料。</w:t>
            </w:r>
          </w:p>
          <w:p w14:paraId="51CF3702">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2）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p>
          <w:p w14:paraId="3F059446">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（3） 为本采购项目提供整体设计、规范编制或者项目管理、监理、检测等服务的投标人，不得再参加该采购项目的其他采购活动；</w:t>
            </w:r>
          </w:p>
          <w:p w14:paraId="44741C43">
            <w:pPr>
              <w:pStyle w:val="14"/>
              <w:tabs>
                <w:tab w:val="left" w:pos="360"/>
              </w:tabs>
              <w:spacing w:line="240" w:lineRule="auto"/>
              <w:rPr>
                <w:rFonts w:hint="eastAsia" w:eastAsia="宋体" w:cs="宋体"/>
                <w:b w:val="0"/>
                <w:bCs w:val="0"/>
                <w:color w:val="auto"/>
                <w:kern w:val="0"/>
                <w:highlight w:val="none"/>
              </w:rPr>
            </w:pPr>
            <w:r>
              <w:rPr>
                <w:rFonts w:hint="eastAsia" w:eastAsia="宋体" w:cs="宋体"/>
                <w:b w:val="0"/>
                <w:bCs w:val="0"/>
                <w:color w:val="auto"/>
                <w:kern w:val="0"/>
                <w:highlight w:val="none"/>
              </w:rPr>
              <w:t>（4）本项目不接受投标人以联合体方式进行投标；</w:t>
            </w:r>
          </w:p>
          <w:p w14:paraId="18867885">
            <w:pPr>
              <w:autoSpaceDE w:val="0"/>
              <w:autoSpaceDN w:val="0"/>
              <w:spacing w:line="360" w:lineRule="auto"/>
              <w:ind w:left="0" w:leftChars="0" w:firstLine="0" w:firstLineChars="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5</w:t>
            </w:r>
            <w:r>
              <w:rPr>
                <w:rFonts w:hint="eastAsia" w:ascii="宋体" w:hAnsi="宋体" w:eastAsia="宋体" w:cs="宋体"/>
                <w:color w:val="auto"/>
                <w:kern w:val="0"/>
                <w:highlight w:val="none"/>
                <w:lang w:val="en-US" w:eastAsia="zh-CN"/>
              </w:rPr>
              <w:t>）特定资质：</w:t>
            </w:r>
          </w:p>
          <w:p w14:paraId="407F1762">
            <w:pPr>
              <w:autoSpaceDE w:val="0"/>
              <w:autoSpaceDN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①</w:t>
            </w:r>
            <w:r>
              <w:rPr>
                <w:rFonts w:hint="eastAsia" w:ascii="宋体" w:hAnsi="宋体" w:eastAsia="宋体" w:cs="宋体"/>
                <w:color w:val="auto"/>
                <w:sz w:val="24"/>
                <w:szCs w:val="24"/>
                <w:highlight w:val="none"/>
                <w:lang w:val="en-US" w:eastAsia="zh-CN"/>
              </w:rPr>
              <w:t>供应商须具备市政公用工程施工总承包三级（含三级）及以上资质；</w:t>
            </w:r>
          </w:p>
          <w:p w14:paraId="5770F812">
            <w:pPr>
              <w:autoSpaceDE w:val="0"/>
              <w:autoSpaceDN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②</w:t>
            </w:r>
            <w:r>
              <w:rPr>
                <w:rFonts w:hint="eastAsia" w:ascii="宋体" w:hAnsi="宋体" w:eastAsia="宋体" w:cs="宋体"/>
                <w:color w:val="auto"/>
                <w:sz w:val="24"/>
                <w:szCs w:val="24"/>
                <w:highlight w:val="none"/>
                <w:lang w:val="en-US" w:eastAsia="zh-CN"/>
              </w:rPr>
              <w:t>供应商具有有效的安全生产许可证；</w:t>
            </w:r>
          </w:p>
          <w:p w14:paraId="039FB509">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lang w:eastAsia="zh-CN"/>
              </w:rPr>
              <w:t>③</w:t>
            </w:r>
            <w:r>
              <w:rPr>
                <w:rFonts w:hint="eastAsia" w:ascii="宋体" w:hAnsi="宋体" w:eastAsia="宋体" w:cs="宋体"/>
                <w:color w:val="auto"/>
                <w:sz w:val="24"/>
                <w:szCs w:val="24"/>
                <w:highlight w:val="none"/>
                <w:lang w:val="en-US" w:eastAsia="zh-CN"/>
              </w:rPr>
              <w:t>本项目委派的项目经理必须具备市政公用工程二级及以上执业资格证、注册证（注册单位应与投标单位一致），具备有效的安全生产考核合格证书；</w:t>
            </w:r>
          </w:p>
          <w:p w14:paraId="7BB0129B">
            <w:pPr>
              <w:autoSpaceDE w:val="0"/>
              <w:autoSpaceDN w:val="0"/>
              <w:adjustRightInd w:val="0"/>
              <w:spacing w:line="360" w:lineRule="auto"/>
              <w:rPr>
                <w:rFonts w:hint="default"/>
                <w:lang w:val="en-US" w:eastAsia="zh-CN"/>
              </w:rPr>
            </w:pPr>
            <w:r>
              <w:rPr>
                <w:rFonts w:hint="eastAsia" w:ascii="宋体" w:hAnsi="宋体" w:eastAsia="宋体" w:cs="宋体"/>
                <w:color w:val="auto"/>
                <w:sz w:val="24"/>
                <w:szCs w:val="24"/>
                <w:highlight w:val="none"/>
                <w:lang w:val="en-US" w:eastAsia="zh-CN"/>
              </w:rPr>
              <w:t>④省外企业需提供有效的进青备案登记手续。</w:t>
            </w:r>
          </w:p>
        </w:tc>
      </w:tr>
      <w:tr w14:paraId="29725123">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55A2E620">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公告发布时间</w:t>
            </w:r>
          </w:p>
        </w:tc>
        <w:tc>
          <w:tcPr>
            <w:tcW w:w="3812" w:type="pct"/>
            <w:tcBorders>
              <w:top w:val="single" w:color="000000" w:sz="6" w:space="0"/>
              <w:left w:val="single" w:color="000000" w:sz="6" w:space="0"/>
              <w:bottom w:val="single" w:color="000000" w:sz="6" w:space="0"/>
              <w:right w:val="single" w:color="000000" w:sz="6" w:space="0"/>
            </w:tcBorders>
            <w:vAlign w:val="center"/>
          </w:tcPr>
          <w:p w14:paraId="65633197">
            <w:pPr>
              <w:autoSpaceDE w:val="0"/>
              <w:autoSpaceDN w:val="0"/>
              <w:adjustRightInd w:val="0"/>
              <w:spacing w:line="360" w:lineRule="auto"/>
              <w:rPr>
                <w:rFonts w:hint="eastAsia" w:ascii="宋体" w:hAnsi="宋体" w:cs="宋体"/>
                <w:color w:val="auto"/>
                <w:highlight w:val="none"/>
                <w:lang w:val="zh-CN"/>
              </w:rPr>
            </w:pPr>
            <w:r>
              <w:rPr>
                <w:rFonts w:hint="eastAsia" w:ascii="宋体" w:hAnsi="宋体" w:eastAsia="宋体" w:cs="宋体"/>
                <w:color w:val="auto"/>
                <w:kern w:val="0"/>
                <w:highlight w:val="none"/>
                <w:lang w:val="zh-CN"/>
              </w:rPr>
              <w:t>202</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zh-CN"/>
              </w:rPr>
              <w:t>年</w:t>
            </w:r>
            <w:r>
              <w:rPr>
                <w:rFonts w:hint="default" w:ascii="宋体" w:hAnsi="宋体" w:cs="宋体"/>
                <w:color w:val="auto"/>
                <w:kern w:val="0"/>
                <w:highlight w:val="none"/>
                <w:lang w:val="en-US" w:eastAsia="zh-CN"/>
              </w:rPr>
              <w:t>0</w:t>
            </w:r>
            <w:r>
              <w:rPr>
                <w:rFonts w:hint="eastAsia" w:ascii="宋体" w:hAnsi="宋体" w:cs="宋体"/>
                <w:color w:val="auto"/>
                <w:kern w:val="0"/>
                <w:highlight w:val="none"/>
                <w:lang w:val="en-US" w:eastAsia="zh-CN"/>
              </w:rPr>
              <w:t>4</w:t>
            </w:r>
            <w:r>
              <w:rPr>
                <w:rFonts w:hint="eastAsia" w:ascii="宋体" w:hAnsi="宋体" w:eastAsia="宋体" w:cs="宋体"/>
                <w:color w:val="auto"/>
                <w:kern w:val="0"/>
                <w:highlight w:val="none"/>
                <w:lang w:val="zh-CN"/>
              </w:rPr>
              <w:t>月</w:t>
            </w:r>
            <w:r>
              <w:rPr>
                <w:rFonts w:hint="eastAsia" w:ascii="宋体" w:hAnsi="宋体" w:cs="宋体"/>
                <w:color w:val="auto"/>
                <w:kern w:val="0"/>
                <w:highlight w:val="none"/>
                <w:lang w:val="en-US" w:eastAsia="zh-CN"/>
              </w:rPr>
              <w:t>16</w:t>
            </w:r>
            <w:r>
              <w:rPr>
                <w:rFonts w:hint="eastAsia" w:ascii="宋体" w:hAnsi="宋体" w:eastAsia="宋体" w:cs="宋体"/>
                <w:color w:val="auto"/>
                <w:kern w:val="0"/>
                <w:highlight w:val="none"/>
                <w:lang w:val="zh-CN"/>
              </w:rPr>
              <w:t>日</w:t>
            </w:r>
          </w:p>
        </w:tc>
      </w:tr>
      <w:tr w14:paraId="7CB12B9F">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219F790B">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获取招标文件的时间期限</w:t>
            </w:r>
          </w:p>
        </w:tc>
        <w:tc>
          <w:tcPr>
            <w:tcW w:w="3812" w:type="pct"/>
            <w:tcBorders>
              <w:top w:val="single" w:color="000000" w:sz="6" w:space="0"/>
              <w:left w:val="single" w:color="000000" w:sz="6" w:space="0"/>
              <w:bottom w:val="single" w:color="000000" w:sz="6" w:space="0"/>
              <w:right w:val="single" w:color="000000" w:sz="6" w:space="0"/>
            </w:tcBorders>
            <w:vAlign w:val="center"/>
          </w:tcPr>
          <w:p w14:paraId="7DF35FDA">
            <w:pPr>
              <w:autoSpaceDE w:val="0"/>
              <w:autoSpaceDN w:val="0"/>
              <w:adjustRightInd w:val="0"/>
              <w:spacing w:line="360" w:lineRule="auto"/>
              <w:rPr>
                <w:rFonts w:hint="eastAsia" w:ascii="宋体" w:hAnsi="宋体" w:cs="宋体"/>
                <w:color w:val="auto"/>
                <w:highlight w:val="none"/>
                <w:lang w:val="zh-CN"/>
              </w:rPr>
            </w:pPr>
            <w:r>
              <w:rPr>
                <w:rFonts w:hint="eastAsia" w:ascii="宋体" w:hAnsi="宋体" w:eastAsia="宋体" w:cs="宋体"/>
                <w:color w:val="auto"/>
                <w:kern w:val="0"/>
                <w:highlight w:val="none"/>
                <w:lang w:val="zh-CN"/>
              </w:rPr>
              <w:t>202</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zh-CN"/>
              </w:rPr>
              <w:t>年</w:t>
            </w:r>
            <w:r>
              <w:rPr>
                <w:rFonts w:hint="default" w:ascii="宋体" w:hAnsi="宋体" w:cs="宋体"/>
                <w:color w:val="auto"/>
                <w:kern w:val="0"/>
                <w:highlight w:val="none"/>
                <w:lang w:val="en-US" w:eastAsia="zh-CN"/>
              </w:rPr>
              <w:t>0</w:t>
            </w:r>
            <w:r>
              <w:rPr>
                <w:rFonts w:hint="eastAsia" w:ascii="宋体" w:hAnsi="宋体" w:cs="宋体"/>
                <w:color w:val="auto"/>
                <w:kern w:val="0"/>
                <w:highlight w:val="none"/>
                <w:lang w:val="en-US" w:eastAsia="zh-CN"/>
              </w:rPr>
              <w:t>4</w:t>
            </w:r>
            <w:r>
              <w:rPr>
                <w:rFonts w:hint="eastAsia" w:ascii="宋体" w:hAnsi="宋体" w:eastAsia="宋体" w:cs="宋体"/>
                <w:color w:val="auto"/>
                <w:kern w:val="0"/>
                <w:highlight w:val="none"/>
                <w:lang w:val="zh-CN"/>
              </w:rPr>
              <w:t>月</w:t>
            </w:r>
            <w:r>
              <w:rPr>
                <w:rFonts w:hint="eastAsia" w:ascii="宋体" w:hAnsi="宋体" w:cs="宋体"/>
                <w:color w:val="auto"/>
                <w:kern w:val="0"/>
                <w:highlight w:val="none"/>
                <w:lang w:val="en-US" w:eastAsia="zh-CN"/>
              </w:rPr>
              <w:t>16</w:t>
            </w:r>
            <w:r>
              <w:rPr>
                <w:rFonts w:hint="eastAsia" w:ascii="宋体" w:hAnsi="宋体" w:eastAsia="宋体" w:cs="宋体"/>
                <w:color w:val="auto"/>
                <w:kern w:val="0"/>
                <w:highlight w:val="none"/>
                <w:lang w:val="zh-CN"/>
              </w:rPr>
              <w:t>日至202</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zh-CN"/>
              </w:rPr>
              <w:t>年</w:t>
            </w:r>
            <w:r>
              <w:rPr>
                <w:rFonts w:hint="eastAsia" w:ascii="宋体" w:hAnsi="宋体" w:eastAsia="宋体" w:cs="宋体"/>
                <w:color w:val="auto"/>
                <w:kern w:val="0"/>
                <w:highlight w:val="none"/>
                <w:lang w:val="en-US" w:eastAsia="zh-CN"/>
              </w:rPr>
              <w:t>0</w:t>
            </w:r>
            <w:r>
              <w:rPr>
                <w:rFonts w:hint="eastAsia" w:ascii="宋体" w:hAnsi="宋体" w:cs="宋体"/>
                <w:color w:val="auto"/>
                <w:kern w:val="0"/>
                <w:highlight w:val="none"/>
                <w:lang w:val="en-US" w:eastAsia="zh-CN"/>
              </w:rPr>
              <w:t>4</w:t>
            </w:r>
            <w:r>
              <w:rPr>
                <w:rFonts w:hint="eastAsia" w:ascii="宋体" w:hAnsi="宋体" w:eastAsia="宋体" w:cs="宋体"/>
                <w:color w:val="auto"/>
                <w:kern w:val="0"/>
                <w:highlight w:val="none"/>
                <w:lang w:val="zh-CN"/>
              </w:rPr>
              <w:t>月</w:t>
            </w:r>
            <w:r>
              <w:rPr>
                <w:rFonts w:hint="eastAsia" w:ascii="宋体" w:hAnsi="宋体" w:cs="宋体"/>
                <w:color w:val="auto"/>
                <w:kern w:val="0"/>
                <w:highlight w:val="none"/>
                <w:lang w:val="en-US" w:eastAsia="zh-CN"/>
              </w:rPr>
              <w:t>23</w:t>
            </w:r>
            <w:r>
              <w:rPr>
                <w:rFonts w:hint="eastAsia" w:ascii="宋体" w:hAnsi="宋体" w:eastAsia="宋体" w:cs="宋体"/>
                <w:color w:val="auto"/>
                <w:kern w:val="0"/>
                <w:highlight w:val="none"/>
                <w:lang w:val="zh-CN"/>
              </w:rPr>
              <w:t>日</w:t>
            </w:r>
          </w:p>
        </w:tc>
      </w:tr>
      <w:tr w14:paraId="1A7CEFBF">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33E375AA">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获取招标文件方式</w:t>
            </w:r>
          </w:p>
        </w:tc>
        <w:tc>
          <w:tcPr>
            <w:tcW w:w="3812" w:type="pct"/>
            <w:tcBorders>
              <w:top w:val="single" w:color="000000" w:sz="6" w:space="0"/>
              <w:left w:val="single" w:color="000000" w:sz="6" w:space="0"/>
              <w:bottom w:val="single" w:color="000000" w:sz="6" w:space="0"/>
              <w:right w:val="single" w:color="000000" w:sz="6" w:space="0"/>
            </w:tcBorders>
            <w:vAlign w:val="center"/>
          </w:tcPr>
          <w:p w14:paraId="3825BAD3">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线上报名，具体方式请咨询线上电子化交易系统：咨询电话：政采云</w:t>
            </w:r>
            <w:r>
              <w:rPr>
                <w:rFonts w:hint="eastAsia" w:ascii="宋体" w:hAnsi="宋体" w:cs="宋体"/>
                <w:color w:val="auto"/>
                <w:highlight w:val="none"/>
              </w:rPr>
              <w:t>95763.《</w:t>
            </w:r>
            <w:r>
              <w:rPr>
                <w:rFonts w:hint="eastAsia" w:ascii="宋体" w:hAnsi="宋体" w:cs="宋体"/>
                <w:color w:val="auto"/>
                <w:highlight w:val="none"/>
                <w:lang w:eastAsia="zh-CN"/>
              </w:rPr>
              <w:t>青海省政府采购网</w:t>
            </w:r>
            <w:r>
              <w:rPr>
                <w:rFonts w:hint="eastAsia" w:ascii="宋体" w:hAnsi="宋体" w:cs="宋体"/>
                <w:color w:val="auto"/>
                <w:highlight w:val="none"/>
              </w:rPr>
              <w:t>》下载招标文件。（提示：请潜在投标人报名前务必完成网上企业注册及CA锁办理等手续；具体操作详见附件操作指南）</w:t>
            </w:r>
          </w:p>
        </w:tc>
      </w:tr>
      <w:tr w14:paraId="7F3F07AC">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4606239D">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招标文件售价</w:t>
            </w:r>
          </w:p>
        </w:tc>
        <w:tc>
          <w:tcPr>
            <w:tcW w:w="3812" w:type="pct"/>
            <w:tcBorders>
              <w:top w:val="single" w:color="000000" w:sz="6" w:space="0"/>
              <w:left w:val="single" w:color="000000" w:sz="6" w:space="0"/>
              <w:bottom w:val="single" w:color="000000" w:sz="6" w:space="0"/>
              <w:right w:val="single" w:color="000000" w:sz="6" w:space="0"/>
            </w:tcBorders>
            <w:vAlign w:val="center"/>
          </w:tcPr>
          <w:p w14:paraId="749124D5">
            <w:pPr>
              <w:pStyle w:val="12"/>
              <w:spacing w:line="312" w:lineRule="auto"/>
              <w:rPr>
                <w:rFonts w:hint="eastAsia" w:ascii="宋体" w:hAnsi="宋体" w:cs="宋体"/>
                <w:color w:val="auto"/>
                <w:highlight w:val="none"/>
                <w:lang w:val="zh-CN"/>
              </w:rPr>
            </w:pPr>
            <w:r>
              <w:rPr>
                <w:rFonts w:hint="eastAsia" w:ascii="宋体" w:hAnsi="宋体" w:cs="宋体"/>
                <w:color w:val="auto"/>
                <w:highlight w:val="none"/>
              </w:rPr>
              <w:t>0元</w:t>
            </w:r>
            <w:r>
              <w:rPr>
                <w:rFonts w:hint="eastAsia" w:ascii="宋体" w:hAnsi="宋体" w:cs="宋体"/>
                <w:color w:val="auto"/>
                <w:highlight w:val="none"/>
                <w:lang w:val="zh-CN"/>
              </w:rPr>
              <w:t>（</w:t>
            </w:r>
            <w:r>
              <w:rPr>
                <w:rFonts w:hint="eastAsia" w:ascii="宋体" w:hAnsi="宋体" w:cs="宋体"/>
                <w:color w:val="auto"/>
                <w:highlight w:val="none"/>
              </w:rPr>
              <w:t xml:space="preserve"> </w:t>
            </w:r>
            <w:r>
              <w:rPr>
                <w:rFonts w:hint="eastAsia" w:ascii="宋体" w:hAnsi="宋体" w:cs="宋体"/>
                <w:color w:val="auto"/>
                <w:highlight w:val="none"/>
                <w:lang w:val="zh-CN"/>
              </w:rPr>
              <w:t>投标资格不能转让。）</w:t>
            </w:r>
          </w:p>
        </w:tc>
      </w:tr>
      <w:tr w14:paraId="005EC12D">
        <w:tblPrEx>
          <w:tblCellMar>
            <w:top w:w="0" w:type="dxa"/>
            <w:left w:w="108" w:type="dxa"/>
            <w:bottom w:w="0" w:type="dxa"/>
            <w:right w:w="108" w:type="dxa"/>
          </w:tblCellMar>
        </w:tblPrEx>
        <w:trPr>
          <w:trHeight w:val="90"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30163AE9">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获取招标文件地点</w:t>
            </w:r>
          </w:p>
        </w:tc>
        <w:tc>
          <w:tcPr>
            <w:tcW w:w="3812" w:type="pct"/>
            <w:tcBorders>
              <w:top w:val="single" w:color="000000" w:sz="6" w:space="0"/>
              <w:left w:val="single" w:color="000000" w:sz="6" w:space="0"/>
              <w:bottom w:val="single" w:color="000000" w:sz="6" w:space="0"/>
              <w:right w:val="single" w:color="000000" w:sz="6" w:space="0"/>
            </w:tcBorders>
            <w:vAlign w:val="center"/>
          </w:tcPr>
          <w:p w14:paraId="5FDEC5FF">
            <w:pPr>
              <w:spacing w:line="312" w:lineRule="auto"/>
              <w:rPr>
                <w:rFonts w:hint="eastAsia" w:ascii="宋体" w:hAnsi="宋体" w:cs="宋体"/>
                <w:color w:val="auto"/>
                <w:highlight w:val="none"/>
              </w:rPr>
            </w:pPr>
            <w:r>
              <w:rPr>
                <w:rFonts w:hint="eastAsia" w:ascii="宋体" w:hAnsi="宋体" w:cs="宋体"/>
                <w:color w:val="auto"/>
                <w:highlight w:val="none"/>
              </w:rPr>
              <w:t>政采云线上获取</w:t>
            </w:r>
          </w:p>
        </w:tc>
      </w:tr>
      <w:tr w14:paraId="52B9FD8E">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4E258049">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投标截止</w:t>
            </w:r>
            <w:r>
              <w:rPr>
                <w:rFonts w:hint="eastAsia" w:ascii="宋体" w:hAnsi="宋体" w:cs="宋体"/>
                <w:color w:val="auto"/>
                <w:highlight w:val="none"/>
              </w:rPr>
              <w:t>及</w:t>
            </w:r>
            <w:r>
              <w:rPr>
                <w:rFonts w:hint="eastAsia" w:ascii="宋体" w:hAnsi="宋体" w:cs="宋体"/>
                <w:color w:val="auto"/>
                <w:highlight w:val="none"/>
                <w:lang w:val="zh-CN"/>
              </w:rPr>
              <w:t>开标时间</w:t>
            </w:r>
          </w:p>
        </w:tc>
        <w:tc>
          <w:tcPr>
            <w:tcW w:w="3812" w:type="pct"/>
            <w:tcBorders>
              <w:top w:val="single" w:color="000000" w:sz="6" w:space="0"/>
              <w:left w:val="single" w:color="000000" w:sz="6" w:space="0"/>
              <w:bottom w:val="single" w:color="000000" w:sz="6" w:space="0"/>
              <w:right w:val="single" w:color="000000" w:sz="6" w:space="0"/>
            </w:tcBorders>
            <w:vAlign w:val="center"/>
          </w:tcPr>
          <w:p w14:paraId="191605A8">
            <w:pPr>
              <w:autoSpaceDE w:val="0"/>
              <w:autoSpaceDN w:val="0"/>
              <w:adjustRightInd w:val="0"/>
              <w:spacing w:line="360" w:lineRule="auto"/>
              <w:rPr>
                <w:rFonts w:hint="eastAsia" w:ascii="宋体" w:hAnsi="宋体" w:eastAsia="宋体" w:cs="宋体"/>
                <w:color w:val="auto"/>
                <w:highlight w:val="none"/>
                <w:lang w:val="zh-CN"/>
              </w:rPr>
            </w:pPr>
            <w:r>
              <w:rPr>
                <w:rFonts w:hint="eastAsia" w:ascii="宋体" w:hAnsi="宋体" w:eastAsia="宋体" w:cs="宋体"/>
                <w:color w:val="auto"/>
                <w:kern w:val="0"/>
                <w:highlight w:val="none"/>
                <w:lang w:val="zh-CN"/>
              </w:rPr>
              <w:t>202</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zh-CN"/>
              </w:rPr>
              <w:t>年</w:t>
            </w:r>
            <w:r>
              <w:rPr>
                <w:rFonts w:hint="eastAsia" w:ascii="宋体" w:hAnsi="宋体" w:eastAsia="宋体" w:cs="宋体"/>
                <w:color w:val="auto"/>
                <w:kern w:val="0"/>
                <w:highlight w:val="none"/>
                <w:lang w:val="en-US" w:eastAsia="zh-CN"/>
              </w:rPr>
              <w:t>0</w:t>
            </w:r>
            <w:r>
              <w:rPr>
                <w:rFonts w:hint="eastAsia" w:ascii="宋体" w:hAnsi="宋体" w:cs="宋体"/>
                <w:color w:val="auto"/>
                <w:kern w:val="0"/>
                <w:highlight w:val="none"/>
                <w:lang w:val="en-US" w:eastAsia="zh-CN"/>
              </w:rPr>
              <w:t>5</w:t>
            </w:r>
            <w:r>
              <w:rPr>
                <w:rFonts w:hint="eastAsia" w:ascii="宋体" w:hAnsi="宋体" w:eastAsia="宋体" w:cs="宋体"/>
                <w:color w:val="auto"/>
                <w:kern w:val="0"/>
                <w:highlight w:val="none"/>
                <w:lang w:val="zh-CN"/>
              </w:rPr>
              <w:t>月</w:t>
            </w:r>
            <w:r>
              <w:rPr>
                <w:rFonts w:hint="eastAsia" w:ascii="宋体" w:hAnsi="宋体" w:cs="宋体"/>
                <w:color w:val="auto"/>
                <w:kern w:val="0"/>
                <w:highlight w:val="none"/>
                <w:lang w:val="en-US" w:eastAsia="zh-CN"/>
              </w:rPr>
              <w:t>07</w:t>
            </w:r>
            <w:r>
              <w:rPr>
                <w:rFonts w:hint="eastAsia" w:ascii="宋体" w:hAnsi="宋体" w:eastAsia="宋体" w:cs="宋体"/>
                <w:color w:val="auto"/>
                <w:kern w:val="0"/>
                <w:highlight w:val="none"/>
                <w:lang w:val="zh-CN"/>
              </w:rPr>
              <w:t>日</w:t>
            </w:r>
            <w:r>
              <w:rPr>
                <w:rFonts w:hint="eastAsia" w:ascii="宋体" w:hAnsi="宋体" w:eastAsia="宋体" w:cs="宋体"/>
                <w:color w:val="auto"/>
                <w:kern w:val="0"/>
                <w:highlight w:val="none"/>
                <w:lang w:val="en-US" w:eastAsia="zh-CN"/>
              </w:rPr>
              <w:t xml:space="preserve"> </w:t>
            </w:r>
            <w:r>
              <w:rPr>
                <w:rFonts w:hint="eastAsia" w:ascii="宋体" w:hAnsi="宋体" w:cs="宋体"/>
                <w:color w:val="auto"/>
                <w:kern w:val="0"/>
                <w:highlight w:val="none"/>
                <w:lang w:val="en-US" w:eastAsia="zh-CN"/>
              </w:rPr>
              <w:t>09</w:t>
            </w:r>
            <w:r>
              <w:rPr>
                <w:rFonts w:hint="eastAsia" w:ascii="宋体" w:hAnsi="宋体" w:eastAsia="宋体" w:cs="宋体"/>
                <w:color w:val="auto"/>
                <w:highlight w:val="none"/>
                <w:lang w:val="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zh-CN"/>
              </w:rPr>
              <w:t>分（北京时间）</w:t>
            </w:r>
          </w:p>
          <w:p w14:paraId="29EE16A0">
            <w:pPr>
              <w:spacing w:line="312" w:lineRule="auto"/>
              <w:rPr>
                <w:rFonts w:hint="eastAsia" w:ascii="宋体" w:hAnsi="宋体" w:cs="宋体"/>
                <w:color w:val="auto"/>
                <w:highlight w:val="none"/>
                <w:lang w:val="zh-CN"/>
              </w:rPr>
            </w:pPr>
            <w:r>
              <w:rPr>
                <w:rFonts w:hint="eastAsia" w:ascii="宋体" w:hAnsi="宋体" w:eastAsia="宋体" w:cs="宋体"/>
                <w:b/>
                <w:bCs/>
                <w:color w:val="auto"/>
                <w:kern w:val="2"/>
                <w:sz w:val="24"/>
                <w:szCs w:val="24"/>
                <w:highlight w:val="none"/>
                <w:lang w:val="zh-CN" w:eastAsia="zh-CN" w:bidi="ar-SA"/>
              </w:rPr>
              <w:t>注：投标人务必在开标当天</w:t>
            </w:r>
            <w:r>
              <w:rPr>
                <w:rFonts w:hint="eastAsia" w:hAnsi="宋体" w:cs="宋体"/>
                <w:b/>
                <w:bCs/>
                <w:color w:val="auto"/>
                <w:kern w:val="2"/>
                <w:sz w:val="24"/>
                <w:szCs w:val="24"/>
                <w:highlight w:val="none"/>
                <w:lang w:val="en-US" w:eastAsia="zh-CN" w:bidi="ar-SA"/>
              </w:rPr>
              <w:t>09</w:t>
            </w:r>
            <w:r>
              <w:rPr>
                <w:rFonts w:hint="eastAsia" w:ascii="宋体" w:hAnsi="宋体" w:eastAsia="宋体" w:cs="宋体"/>
                <w:b/>
                <w:bCs/>
                <w:color w:val="auto"/>
                <w:kern w:val="2"/>
                <w:sz w:val="24"/>
                <w:szCs w:val="24"/>
                <w:highlight w:val="none"/>
                <w:lang w:val="zh-CN" w:eastAsia="zh-CN" w:bidi="ar-SA"/>
              </w:rPr>
              <w:t>：</w:t>
            </w:r>
            <w:r>
              <w:rPr>
                <w:rFonts w:hint="eastAsia" w:hAnsi="宋体" w:cs="宋体"/>
                <w:b/>
                <w:bCs/>
                <w:color w:val="auto"/>
                <w:kern w:val="2"/>
                <w:sz w:val="24"/>
                <w:szCs w:val="24"/>
                <w:highlight w:val="none"/>
                <w:lang w:val="en-US" w:eastAsia="zh-CN" w:bidi="ar-SA"/>
              </w:rPr>
              <w:t>30</w:t>
            </w:r>
            <w:r>
              <w:rPr>
                <w:rFonts w:hint="eastAsia" w:ascii="宋体" w:hAnsi="宋体" w:eastAsia="宋体" w:cs="宋体"/>
                <w:b/>
                <w:bCs/>
                <w:color w:val="auto"/>
                <w:kern w:val="2"/>
                <w:sz w:val="24"/>
                <w:szCs w:val="24"/>
                <w:highlight w:val="none"/>
                <w:lang w:val="zh-CN" w:eastAsia="zh-CN" w:bidi="ar-SA"/>
              </w:rPr>
              <w:t>分之前进入电子开标系统完成电子签到，如未签到无法解密的视为自动放弃。</w:t>
            </w:r>
          </w:p>
        </w:tc>
      </w:tr>
      <w:tr w14:paraId="796924AA">
        <w:tblPrEx>
          <w:tblCellMar>
            <w:top w:w="0" w:type="dxa"/>
            <w:left w:w="108" w:type="dxa"/>
            <w:bottom w:w="0" w:type="dxa"/>
            <w:right w:w="108" w:type="dxa"/>
          </w:tblCellMar>
        </w:tblPrEx>
        <w:trPr>
          <w:trHeight w:val="301"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44410362">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投标及开标地点</w:t>
            </w:r>
          </w:p>
        </w:tc>
        <w:tc>
          <w:tcPr>
            <w:tcW w:w="3812" w:type="pct"/>
            <w:tcBorders>
              <w:top w:val="single" w:color="000000" w:sz="6" w:space="0"/>
              <w:left w:val="single" w:color="000000" w:sz="6" w:space="0"/>
              <w:bottom w:val="single" w:color="000000" w:sz="6" w:space="0"/>
              <w:right w:val="single" w:color="000000" w:sz="6" w:space="0"/>
            </w:tcBorders>
            <w:vAlign w:val="center"/>
          </w:tcPr>
          <w:p w14:paraId="0D2B956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请登录政采云投标客户端投标</w:t>
            </w:r>
          </w:p>
          <w:p w14:paraId="5C1053BB">
            <w:pPr>
              <w:pStyle w:val="19"/>
              <w:rPr>
                <w:rFonts w:hint="eastAsia" w:hAnsi="宋体" w:cs="宋体"/>
                <w:color w:val="auto"/>
                <w:sz w:val="24"/>
                <w:szCs w:val="24"/>
                <w:highlight w:val="none"/>
              </w:rPr>
            </w:pPr>
            <w:r>
              <w:rPr>
                <w:rFonts w:hint="eastAsia" w:hAnsi="宋体" w:cs="宋体"/>
                <w:b/>
                <w:bCs/>
                <w:color w:val="auto"/>
                <w:sz w:val="24"/>
                <w:szCs w:val="24"/>
                <w:highlight w:val="none"/>
              </w:rPr>
              <w:t>城中区西宁市公共资源交易中心1号开标室（西宁市民中心4楼）</w:t>
            </w:r>
          </w:p>
        </w:tc>
      </w:tr>
      <w:tr w14:paraId="1FD33A2F">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51B09800">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采购人联系</w:t>
            </w:r>
            <w:r>
              <w:rPr>
                <w:rFonts w:hint="eastAsia" w:ascii="宋体" w:hAnsi="宋体" w:cs="宋体"/>
                <w:color w:val="auto"/>
                <w:highlight w:val="none"/>
              </w:rPr>
              <w:t>人</w:t>
            </w:r>
          </w:p>
        </w:tc>
        <w:tc>
          <w:tcPr>
            <w:tcW w:w="3812" w:type="pct"/>
            <w:tcBorders>
              <w:top w:val="single" w:color="000000" w:sz="6" w:space="0"/>
              <w:left w:val="single" w:color="000000" w:sz="6" w:space="0"/>
              <w:bottom w:val="single" w:color="000000" w:sz="6" w:space="0"/>
              <w:right w:val="single" w:color="000000" w:sz="6" w:space="0"/>
            </w:tcBorders>
            <w:vAlign w:val="center"/>
          </w:tcPr>
          <w:p w14:paraId="7EC416C8">
            <w:pPr>
              <w:spacing w:line="312" w:lineRule="auto"/>
              <w:rPr>
                <w:rFonts w:hint="eastAsia" w:ascii="宋体" w:hAnsi="宋体" w:eastAsia="宋体" w:cs="宋体"/>
                <w:color w:val="auto"/>
                <w:highlight w:val="none"/>
                <w:lang w:eastAsia="zh-CN"/>
              </w:rPr>
            </w:pPr>
            <w:r>
              <w:rPr>
                <w:rFonts w:hint="eastAsia" w:ascii="宋体" w:hAnsi="宋体" w:cs="宋体"/>
                <w:color w:val="auto"/>
                <w:highlight w:val="none"/>
                <w:lang w:val="zh-CN"/>
              </w:rPr>
              <w:t>采购人：</w:t>
            </w:r>
            <w:r>
              <w:rPr>
                <w:rFonts w:hint="eastAsia" w:ascii="宋体" w:hAnsi="宋体" w:cs="宋体"/>
                <w:color w:val="auto"/>
                <w:highlight w:val="none"/>
                <w:lang w:eastAsia="zh-CN"/>
              </w:rPr>
              <w:t>西宁经济技术开发区生物科技产业园区管理委员会</w:t>
            </w:r>
          </w:p>
          <w:p w14:paraId="43AAEE3E">
            <w:pPr>
              <w:spacing w:line="312" w:lineRule="auto"/>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val="en-US" w:eastAsia="zh-CN"/>
              </w:rPr>
              <w:t xml:space="preserve">李先生 </w:t>
            </w:r>
          </w:p>
          <w:p w14:paraId="0F829678">
            <w:pPr>
              <w:spacing w:line="312" w:lineRule="auto"/>
              <w:rPr>
                <w:rFonts w:hint="default" w:ascii="宋体" w:hAnsi="宋体" w:cs="宋体"/>
                <w:color w:val="auto"/>
                <w:highlight w:val="none"/>
                <w:lang w:val="en-US" w:eastAsia="zh-CN"/>
              </w:rPr>
            </w:pPr>
            <w:r>
              <w:rPr>
                <w:rFonts w:hint="eastAsia" w:ascii="宋体" w:hAnsi="宋体" w:cs="宋体"/>
                <w:color w:val="auto"/>
                <w:highlight w:val="none"/>
              </w:rPr>
              <w:t>联系电话：</w:t>
            </w:r>
            <w:r>
              <w:rPr>
                <w:rFonts w:hint="eastAsia" w:ascii="宋体" w:hAnsi="宋体" w:cs="宋体"/>
                <w:color w:val="auto"/>
                <w:highlight w:val="none"/>
                <w:lang w:val="en-US" w:eastAsia="zh-CN"/>
              </w:rPr>
              <w:t>0971-5229925</w:t>
            </w:r>
          </w:p>
          <w:p w14:paraId="715502DD">
            <w:pPr>
              <w:pStyle w:val="22"/>
              <w:rPr>
                <w:rFonts w:hint="eastAsia"/>
                <w:highlight w:val="none"/>
                <w:lang w:val="en-US" w:eastAsia="zh-CN"/>
              </w:rPr>
            </w:pPr>
          </w:p>
        </w:tc>
      </w:tr>
      <w:tr w14:paraId="5BE5834B">
        <w:tblPrEx>
          <w:tblCellMar>
            <w:top w:w="0" w:type="dxa"/>
            <w:left w:w="108" w:type="dxa"/>
            <w:bottom w:w="0" w:type="dxa"/>
            <w:right w:w="108" w:type="dxa"/>
          </w:tblCellMar>
        </w:tblPrEx>
        <w:trPr>
          <w:trHeight w:val="327"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056BE695">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代理机构联系人</w:t>
            </w:r>
          </w:p>
        </w:tc>
        <w:tc>
          <w:tcPr>
            <w:tcW w:w="3812" w:type="pct"/>
            <w:tcBorders>
              <w:top w:val="single" w:color="000000" w:sz="6" w:space="0"/>
              <w:left w:val="single" w:color="000000" w:sz="6" w:space="0"/>
              <w:bottom w:val="single" w:color="000000" w:sz="6" w:space="0"/>
              <w:right w:val="single" w:color="000000" w:sz="6" w:space="0"/>
            </w:tcBorders>
            <w:vAlign w:val="center"/>
          </w:tcPr>
          <w:p w14:paraId="17799CE0">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青海浩驰招标代理有限公司</w:t>
            </w:r>
          </w:p>
          <w:p w14:paraId="30E6DB82">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联系人：祁先生</w:t>
            </w:r>
          </w:p>
          <w:p w14:paraId="761191F7">
            <w:pPr>
              <w:spacing w:line="312" w:lineRule="auto"/>
              <w:rPr>
                <w:rFonts w:hint="eastAsia" w:ascii="宋体" w:hAnsi="宋体" w:cs="宋体"/>
                <w:color w:val="auto"/>
                <w:highlight w:val="none"/>
              </w:rPr>
            </w:pPr>
            <w:r>
              <w:rPr>
                <w:rFonts w:hint="eastAsia" w:ascii="宋体" w:hAnsi="宋体" w:cs="宋体"/>
                <w:color w:val="auto"/>
                <w:highlight w:val="none"/>
                <w:lang w:val="zh-CN"/>
              </w:rPr>
              <w:t xml:space="preserve">联系电话：0971-3824137 </w:t>
            </w:r>
          </w:p>
          <w:p w14:paraId="1B19A34C">
            <w:pPr>
              <w:spacing w:line="312" w:lineRule="auto"/>
              <w:rPr>
                <w:rFonts w:hint="eastAsia" w:ascii="宋体" w:hAnsi="宋体" w:cs="宋体"/>
                <w:color w:val="auto"/>
                <w:highlight w:val="none"/>
              </w:rPr>
            </w:pPr>
            <w:r>
              <w:rPr>
                <w:rFonts w:hint="eastAsia" w:ascii="宋体" w:hAnsi="宋体" w:cs="宋体"/>
                <w:color w:val="auto"/>
                <w:highlight w:val="none"/>
                <w:lang w:val="zh-CN"/>
              </w:rPr>
              <w:t>邮箱地址</w:t>
            </w:r>
            <w:r>
              <w:rPr>
                <w:rFonts w:hint="eastAsia" w:ascii="宋体" w:hAnsi="宋体" w:cs="宋体"/>
                <w:color w:val="auto"/>
                <w:highlight w:val="none"/>
              </w:rPr>
              <w:t>：</w:t>
            </w:r>
            <w:r>
              <w:rPr>
                <w:color w:val="auto"/>
                <w:highlight w:val="none"/>
              </w:rPr>
              <w:fldChar w:fldCharType="begin"/>
            </w:r>
            <w:r>
              <w:rPr>
                <w:color w:val="auto"/>
                <w:highlight w:val="none"/>
              </w:rPr>
              <w:instrText xml:space="preserve"> HYPERLINK "mailto:740545637@qq.com" </w:instrText>
            </w:r>
            <w:r>
              <w:rPr>
                <w:color w:val="auto"/>
                <w:highlight w:val="none"/>
              </w:rPr>
              <w:fldChar w:fldCharType="separate"/>
            </w:r>
            <w:r>
              <w:rPr>
                <w:rFonts w:hint="eastAsia" w:ascii="宋体" w:hAnsi="宋体" w:cs="宋体"/>
                <w:color w:val="auto"/>
                <w:highlight w:val="none"/>
              </w:rPr>
              <w:t>qhhczb11@163.com</w:t>
            </w:r>
            <w:r>
              <w:rPr>
                <w:rFonts w:hint="eastAsia" w:ascii="宋体" w:hAnsi="宋体" w:cs="宋体"/>
                <w:color w:val="auto"/>
                <w:highlight w:val="none"/>
              </w:rPr>
              <w:fldChar w:fldCharType="end"/>
            </w:r>
          </w:p>
          <w:p w14:paraId="419A6A1C">
            <w:pPr>
              <w:spacing w:line="312" w:lineRule="auto"/>
              <w:rPr>
                <w:rFonts w:hint="eastAsia" w:ascii="宋体" w:hAnsi="宋体" w:cs="宋体"/>
                <w:color w:val="auto"/>
                <w:highlight w:val="none"/>
              </w:rPr>
            </w:pPr>
            <w:r>
              <w:rPr>
                <w:rFonts w:hint="eastAsia" w:ascii="宋体" w:hAnsi="宋体" w:cs="宋体"/>
                <w:color w:val="auto"/>
                <w:highlight w:val="none"/>
                <w:lang w:val="zh-CN"/>
              </w:rPr>
              <w:t>联系地址：</w:t>
            </w:r>
            <w:r>
              <w:rPr>
                <w:rFonts w:hint="eastAsia" w:ascii="宋体" w:hAnsi="宋体" w:cs="宋体"/>
                <w:color w:val="auto"/>
                <w:highlight w:val="none"/>
              </w:rPr>
              <w:t>青海省西宁市城西区西关大街130号唐道637唐府公寓A座13B-11334室</w:t>
            </w:r>
          </w:p>
        </w:tc>
      </w:tr>
      <w:tr w14:paraId="51738CAA">
        <w:tblPrEx>
          <w:tblCellMar>
            <w:top w:w="0" w:type="dxa"/>
            <w:left w:w="108" w:type="dxa"/>
            <w:bottom w:w="0" w:type="dxa"/>
            <w:right w:w="108" w:type="dxa"/>
          </w:tblCellMar>
        </w:tblPrEx>
        <w:trPr>
          <w:trHeight w:val="26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0EEACD42">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代理机构开户行</w:t>
            </w:r>
          </w:p>
        </w:tc>
        <w:tc>
          <w:tcPr>
            <w:tcW w:w="3812" w:type="pct"/>
            <w:tcBorders>
              <w:top w:val="single" w:color="000000" w:sz="6" w:space="0"/>
              <w:left w:val="single" w:color="000000" w:sz="6" w:space="0"/>
              <w:bottom w:val="single" w:color="000000" w:sz="6" w:space="0"/>
              <w:right w:val="single" w:color="000000" w:sz="6" w:space="0"/>
            </w:tcBorders>
            <w:vAlign w:val="center"/>
          </w:tcPr>
          <w:p w14:paraId="60D11DDD">
            <w:pPr>
              <w:spacing w:line="312" w:lineRule="auto"/>
              <w:rPr>
                <w:rFonts w:hint="eastAsia" w:ascii="宋体" w:hAnsi="宋体" w:cs="宋体"/>
                <w:color w:val="auto"/>
                <w:highlight w:val="none"/>
                <w:lang w:val="zh-CN"/>
              </w:rPr>
            </w:pPr>
            <w:r>
              <w:rPr>
                <w:rFonts w:hint="eastAsia" w:ascii="宋体" w:hAnsi="宋体" w:cs="宋体"/>
                <w:color w:val="auto"/>
                <w:highlight w:val="none"/>
              </w:rPr>
              <w:t>兴业银行股份有限公司西宁分行</w:t>
            </w:r>
          </w:p>
        </w:tc>
      </w:tr>
      <w:tr w14:paraId="13980074">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58E82661">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收款人</w:t>
            </w:r>
          </w:p>
        </w:tc>
        <w:tc>
          <w:tcPr>
            <w:tcW w:w="3812" w:type="pct"/>
            <w:tcBorders>
              <w:top w:val="single" w:color="000000" w:sz="6" w:space="0"/>
              <w:left w:val="single" w:color="000000" w:sz="6" w:space="0"/>
              <w:bottom w:val="single" w:color="000000" w:sz="6" w:space="0"/>
              <w:right w:val="single" w:color="000000" w:sz="6" w:space="0"/>
            </w:tcBorders>
            <w:vAlign w:val="center"/>
          </w:tcPr>
          <w:p w14:paraId="5D154229">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青海浩驰招标代理有限公司</w:t>
            </w:r>
          </w:p>
        </w:tc>
      </w:tr>
      <w:tr w14:paraId="19203C29">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495628A6">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银行账号</w:t>
            </w:r>
          </w:p>
        </w:tc>
        <w:tc>
          <w:tcPr>
            <w:tcW w:w="3812" w:type="pct"/>
            <w:tcBorders>
              <w:top w:val="single" w:color="000000" w:sz="6" w:space="0"/>
              <w:left w:val="single" w:color="000000" w:sz="6" w:space="0"/>
              <w:bottom w:val="single" w:color="000000" w:sz="6" w:space="0"/>
              <w:right w:val="single" w:color="000000" w:sz="6" w:space="0"/>
            </w:tcBorders>
            <w:vAlign w:val="center"/>
          </w:tcPr>
          <w:p w14:paraId="09623F3A">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632010100100197890</w:t>
            </w:r>
          </w:p>
        </w:tc>
      </w:tr>
      <w:tr w14:paraId="1926D65C">
        <w:tblPrEx>
          <w:tblCellMar>
            <w:top w:w="0" w:type="dxa"/>
            <w:left w:w="108" w:type="dxa"/>
            <w:bottom w:w="0" w:type="dxa"/>
            <w:right w:w="108" w:type="dxa"/>
          </w:tblCellMar>
        </w:tblPrEx>
        <w:trPr>
          <w:trHeight w:val="884"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04B0AB31">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其他事项</w:t>
            </w:r>
          </w:p>
        </w:tc>
        <w:tc>
          <w:tcPr>
            <w:tcW w:w="3812" w:type="pct"/>
            <w:tcBorders>
              <w:top w:val="single" w:color="000000" w:sz="6" w:space="0"/>
              <w:left w:val="single" w:color="000000" w:sz="6" w:space="0"/>
              <w:bottom w:val="single" w:color="000000" w:sz="6" w:space="0"/>
              <w:right w:val="single" w:color="000000" w:sz="6" w:space="0"/>
            </w:tcBorders>
            <w:vAlign w:val="center"/>
          </w:tcPr>
          <w:p w14:paraId="08A4366B">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公告期限：自青海省政府采购网发布之日起</w:t>
            </w:r>
            <w:r>
              <w:rPr>
                <w:rFonts w:hint="eastAsia" w:ascii="宋体" w:hAnsi="宋体" w:cs="宋体"/>
                <w:color w:val="auto"/>
                <w:highlight w:val="none"/>
              </w:rPr>
              <w:t>5个工作日；公告内容以</w:t>
            </w:r>
            <w:r>
              <w:rPr>
                <w:rFonts w:hint="eastAsia" w:ascii="宋体" w:hAnsi="宋体" w:cs="宋体"/>
                <w:color w:val="auto"/>
                <w:highlight w:val="none"/>
                <w:lang w:val="zh-CN"/>
              </w:rPr>
              <w:t>青海省政府采购网发布的为准。</w:t>
            </w:r>
          </w:p>
          <w:p w14:paraId="1EC86284">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1、本次项目招标采用线上进行，线上电子加密投标文件必须在投标文件递交截止时间前上传至电子开评标系统；</w:t>
            </w:r>
          </w:p>
          <w:p w14:paraId="08782BE9">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2、线上电子化开评标系统操作及办理CA锁等相关事宜请咨询政采云：咨询电话：95763。</w:t>
            </w:r>
          </w:p>
          <w:p w14:paraId="053947D7">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3、线上CA：</w:t>
            </w:r>
          </w:p>
          <w:p w14:paraId="0185AD72">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PC咨询网址（可及时反馈问题截图，让客服快速定位问题）:http://tseal.cn/k.html，咨询电话：95763。</w:t>
            </w:r>
          </w:p>
          <w:p w14:paraId="005B9395">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4、公示网址：</w:t>
            </w:r>
          </w:p>
          <w:p w14:paraId="3ADF0746">
            <w:pPr>
              <w:pStyle w:val="24"/>
              <w:spacing w:line="312" w:lineRule="auto"/>
              <w:rPr>
                <w:rFonts w:hint="eastAsia" w:ascii="宋体" w:hAnsi="宋体" w:cs="宋体"/>
                <w:caps w:val="0"/>
                <w:color w:val="auto"/>
                <w:szCs w:val="24"/>
                <w:highlight w:val="none"/>
              </w:rPr>
            </w:pPr>
            <w:r>
              <w:rPr>
                <w:rFonts w:hint="eastAsia" w:ascii="宋体" w:hAnsi="宋体" w:cs="宋体"/>
                <w:color w:val="auto"/>
                <w:szCs w:val="24"/>
                <w:highlight w:val="none"/>
              </w:rPr>
              <w:t>青海省政府采购网</w:t>
            </w:r>
            <w:r>
              <w:rPr>
                <w:rFonts w:hint="eastAsia" w:ascii="宋体" w:hAnsi="宋体" w:cs="宋体"/>
                <w:caps w:val="0"/>
                <w:color w:val="auto"/>
                <w:szCs w:val="24"/>
                <w:highlight w:val="none"/>
              </w:rPr>
              <w:t>（http://www.ccgp-qinghai.gov.cn/home.html）</w:t>
            </w:r>
          </w:p>
          <w:p w14:paraId="3A1C500B">
            <w:pPr>
              <w:autoSpaceDE w:val="0"/>
              <w:autoSpaceDN w:val="0"/>
              <w:adjustRightInd w:val="0"/>
              <w:jc w:val="left"/>
              <w:rPr>
                <w:rFonts w:hint="eastAsia" w:ascii="宋体" w:cs="宋体"/>
                <w:b/>
                <w:bCs/>
                <w:color w:val="auto"/>
                <w:kern w:val="0"/>
                <w:highlight w:val="none"/>
                <w:lang w:val="en-US" w:eastAsia="zh-CN"/>
              </w:rPr>
            </w:pPr>
            <w:r>
              <w:rPr>
                <w:rFonts w:hint="eastAsia" w:ascii="宋体" w:cs="宋体"/>
                <w:b/>
                <w:bCs/>
                <w:color w:val="auto"/>
                <w:kern w:val="0"/>
                <w:highlight w:val="none"/>
                <w:lang w:val="en-US" w:eastAsia="zh-CN"/>
              </w:rPr>
              <w:t>5、不同投标人编制或者提交投标文件的计算机网卡MAC地址、IP地址、CPU序列号、硬盘序列号等硬件信息异常一致并触发预警的，由此原因导致投标无效的责任自负。</w:t>
            </w:r>
          </w:p>
          <w:p w14:paraId="72A01680">
            <w:pPr>
              <w:rPr>
                <w:rFonts w:hint="eastAsia"/>
                <w:color w:val="auto"/>
                <w:highlight w:val="none"/>
              </w:rPr>
            </w:pPr>
            <w:r>
              <w:rPr>
                <w:rFonts w:hint="eastAsia" w:ascii="宋体" w:cs="宋体"/>
                <w:b/>
                <w:bCs/>
                <w:color w:val="auto"/>
                <w:kern w:val="0"/>
                <w:highlight w:val="none"/>
                <w:lang w:val="en-US" w:eastAsia="zh-CN"/>
              </w:rPr>
              <w:t>6、答疑方式：评审委员会根据响应情况确定答疑时间，答疑或澄清在政采云平台上进行，投标人可在政采云平台了解答疑时间等信息。如在政采云平台上未回复的答疑者，视同放弃答疑。</w:t>
            </w:r>
          </w:p>
        </w:tc>
      </w:tr>
      <w:tr w14:paraId="13571F5E">
        <w:tblPrEx>
          <w:tblCellMar>
            <w:top w:w="0" w:type="dxa"/>
            <w:left w:w="108" w:type="dxa"/>
            <w:bottom w:w="0" w:type="dxa"/>
            <w:right w:w="108" w:type="dxa"/>
          </w:tblCellMar>
        </w:tblPrEx>
        <w:trPr>
          <w:trHeight w:val="23" w:hRule="atLeast"/>
          <w:jc w:val="center"/>
        </w:trPr>
        <w:tc>
          <w:tcPr>
            <w:tcW w:w="1187" w:type="pct"/>
            <w:tcBorders>
              <w:top w:val="single" w:color="000000" w:sz="6" w:space="0"/>
              <w:left w:val="single" w:color="000000" w:sz="6" w:space="0"/>
              <w:bottom w:val="single" w:color="000000" w:sz="6" w:space="0"/>
              <w:right w:val="single" w:color="000000" w:sz="6" w:space="0"/>
            </w:tcBorders>
            <w:vAlign w:val="center"/>
          </w:tcPr>
          <w:p w14:paraId="01FA374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财政监督部门及电话</w:t>
            </w:r>
          </w:p>
        </w:tc>
        <w:tc>
          <w:tcPr>
            <w:tcW w:w="3812" w:type="pct"/>
            <w:tcBorders>
              <w:top w:val="single" w:color="000000" w:sz="6" w:space="0"/>
              <w:left w:val="single" w:color="000000" w:sz="6" w:space="0"/>
              <w:bottom w:val="single" w:color="000000" w:sz="6" w:space="0"/>
              <w:right w:val="single" w:color="000000" w:sz="6" w:space="0"/>
            </w:tcBorders>
            <w:vAlign w:val="center"/>
          </w:tcPr>
          <w:p w14:paraId="5CA588ED">
            <w:pPr>
              <w:spacing w:line="312" w:lineRule="auto"/>
              <w:rPr>
                <w:rFonts w:hint="eastAsia" w:ascii="宋体" w:hAnsi="宋体" w:cs="宋体"/>
                <w:color w:val="auto"/>
                <w:highlight w:val="none"/>
              </w:rPr>
            </w:pPr>
            <w:r>
              <w:rPr>
                <w:rFonts w:hint="eastAsia" w:ascii="宋体" w:hAnsi="宋体" w:cs="宋体"/>
                <w:color w:val="auto"/>
                <w:highlight w:val="none"/>
              </w:rPr>
              <w:t>西宁经济</w:t>
            </w:r>
            <w:r>
              <w:rPr>
                <w:rFonts w:hint="eastAsia" w:ascii="宋体" w:hAnsi="宋体" w:cs="宋体"/>
                <w:color w:val="auto"/>
                <w:highlight w:val="none"/>
                <w:lang w:val="en-US" w:eastAsia="zh-CN"/>
              </w:rPr>
              <w:t>技术</w:t>
            </w:r>
            <w:r>
              <w:rPr>
                <w:rFonts w:hint="eastAsia" w:ascii="宋体" w:hAnsi="宋体" w:cs="宋体"/>
                <w:color w:val="auto"/>
                <w:highlight w:val="none"/>
              </w:rPr>
              <w:t>开发区生物科技产业园区管</w:t>
            </w:r>
            <w:r>
              <w:rPr>
                <w:rFonts w:hint="eastAsia" w:ascii="宋体" w:hAnsi="宋体" w:cs="宋体"/>
                <w:color w:val="auto"/>
                <w:highlight w:val="none"/>
                <w:lang w:val="en-US" w:eastAsia="zh-CN"/>
              </w:rPr>
              <w:t>理</w:t>
            </w:r>
            <w:r>
              <w:rPr>
                <w:rFonts w:hint="eastAsia" w:ascii="宋体" w:hAnsi="宋体" w:cs="宋体"/>
                <w:color w:val="auto"/>
                <w:highlight w:val="none"/>
              </w:rPr>
              <w:t>委</w:t>
            </w:r>
            <w:r>
              <w:rPr>
                <w:rFonts w:hint="eastAsia" w:ascii="宋体" w:hAnsi="宋体" w:cs="宋体"/>
                <w:color w:val="auto"/>
                <w:highlight w:val="none"/>
                <w:lang w:val="en-US" w:eastAsia="zh-CN"/>
              </w:rPr>
              <w:t>员</w:t>
            </w:r>
            <w:r>
              <w:rPr>
                <w:rFonts w:hint="eastAsia" w:ascii="宋体" w:hAnsi="宋体" w:cs="宋体"/>
                <w:color w:val="auto"/>
                <w:highlight w:val="none"/>
              </w:rPr>
              <w:t>会财政局</w:t>
            </w:r>
          </w:p>
          <w:p w14:paraId="687C1956">
            <w:pPr>
              <w:spacing w:line="312" w:lineRule="auto"/>
              <w:rPr>
                <w:rFonts w:hint="eastAsia" w:ascii="宋体" w:hAnsi="宋体" w:cs="宋体"/>
                <w:color w:val="auto"/>
                <w:highlight w:val="none"/>
              </w:rPr>
            </w:pPr>
            <w:r>
              <w:rPr>
                <w:rFonts w:hint="eastAsia" w:ascii="宋体" w:hAnsi="宋体" w:cs="宋体"/>
                <w:color w:val="auto"/>
                <w:highlight w:val="none"/>
              </w:rPr>
              <w:t>联系电话：0971-5318590</w:t>
            </w:r>
          </w:p>
        </w:tc>
      </w:tr>
    </w:tbl>
    <w:p w14:paraId="105B050F">
      <w:pPr>
        <w:pStyle w:val="28"/>
        <w:spacing w:before="0" w:after="0" w:line="360" w:lineRule="auto"/>
        <w:rPr>
          <w:rFonts w:hint="eastAsia" w:ascii="宋体" w:hAnsi="宋体" w:cs="宋体"/>
          <w:szCs w:val="36"/>
          <w:highlight w:val="none"/>
        </w:rPr>
      </w:pPr>
      <w:r>
        <w:rPr>
          <w:rFonts w:hint="eastAsia" w:ascii="宋体" w:hAnsi="宋体" w:cs="宋体"/>
          <w:highlight w:val="none"/>
          <w:lang w:val="zh-CN"/>
        </w:rPr>
        <w:br w:type="page"/>
      </w:r>
      <w:bookmarkEnd w:id="1"/>
      <w:bookmarkStart w:id="3" w:name="_Toc18292"/>
      <w:bookmarkStart w:id="4" w:name="_Toc5083"/>
      <w:r>
        <w:rPr>
          <w:rFonts w:hint="eastAsia" w:ascii="宋体" w:hAnsi="宋体" w:cs="宋体"/>
          <w:szCs w:val="36"/>
          <w:highlight w:val="none"/>
          <w:lang w:val="zh-CN"/>
        </w:rPr>
        <w:t>第二部分  投标人须知</w:t>
      </w:r>
      <w:bookmarkEnd w:id="3"/>
      <w:bookmarkEnd w:id="4"/>
    </w:p>
    <w:p w14:paraId="0EDDD4DD">
      <w:pPr>
        <w:pStyle w:val="28"/>
        <w:spacing w:before="0" w:after="0" w:line="360" w:lineRule="auto"/>
        <w:rPr>
          <w:rFonts w:hint="eastAsia" w:ascii="宋体" w:hAnsi="宋体" w:cs="宋体"/>
          <w:highlight w:val="none"/>
        </w:rPr>
      </w:pPr>
      <w:bookmarkStart w:id="5" w:name="_Toc22652"/>
      <w:bookmarkStart w:id="6" w:name="_Toc20120"/>
      <w:r>
        <w:rPr>
          <w:rFonts w:hint="eastAsia" w:ascii="宋体" w:hAnsi="宋体" w:cs="宋体"/>
          <w:highlight w:val="none"/>
          <w:lang w:val="zh-CN"/>
        </w:rPr>
        <w:t>一、说明</w:t>
      </w:r>
      <w:bookmarkEnd w:id="5"/>
      <w:bookmarkEnd w:id="6"/>
    </w:p>
    <w:p w14:paraId="6F3BCF8A">
      <w:pPr>
        <w:pStyle w:val="28"/>
        <w:spacing w:before="0" w:after="0" w:line="360" w:lineRule="auto"/>
        <w:jc w:val="left"/>
        <w:rPr>
          <w:rFonts w:hint="eastAsia" w:ascii="宋体" w:hAnsi="宋体" w:cs="宋体"/>
          <w:highlight w:val="none"/>
          <w:lang w:val="zh-CN"/>
        </w:rPr>
      </w:pPr>
      <w:bookmarkStart w:id="7" w:name="_Toc5097"/>
      <w:bookmarkStart w:id="8" w:name="_Toc14393"/>
      <w:r>
        <w:rPr>
          <w:rFonts w:hint="eastAsia" w:ascii="宋体" w:hAnsi="宋体" w:cs="宋体"/>
          <w:sz w:val="28"/>
          <w:szCs w:val="28"/>
          <w:highlight w:val="none"/>
          <w:lang w:val="zh-CN"/>
        </w:rPr>
        <w:t>1.适用范围</w:t>
      </w:r>
      <w:bookmarkEnd w:id="7"/>
      <w:bookmarkEnd w:id="8"/>
    </w:p>
    <w:p w14:paraId="6495D63E">
      <w:pPr>
        <w:autoSpaceDE w:val="0"/>
        <w:autoSpaceDN w:val="0"/>
        <w:spacing w:line="360" w:lineRule="auto"/>
        <w:ind w:firstLine="360" w:firstLineChars="150"/>
        <w:rPr>
          <w:rFonts w:hint="eastAsia" w:ascii="宋体" w:hAnsi="宋体" w:cs="宋体"/>
          <w:kern w:val="0"/>
          <w:highlight w:val="none"/>
          <w:lang w:val="zh-CN"/>
        </w:rPr>
      </w:pPr>
      <w:r>
        <w:rPr>
          <w:rFonts w:hint="eastAsia" w:ascii="宋体" w:hAnsi="宋体" w:cs="宋体"/>
          <w:kern w:val="0"/>
          <w:highlight w:val="none"/>
          <w:lang w:val="zh-CN"/>
        </w:rPr>
        <w:t>本次招标依据采购人的采购计划，仅适用于本招标文件中所叙述的项目。</w:t>
      </w:r>
    </w:p>
    <w:p w14:paraId="63490521">
      <w:pPr>
        <w:pStyle w:val="28"/>
        <w:spacing w:before="0" w:after="0" w:line="360" w:lineRule="auto"/>
        <w:jc w:val="left"/>
        <w:rPr>
          <w:rFonts w:hint="eastAsia" w:ascii="宋体" w:hAnsi="宋体" w:cs="宋体"/>
          <w:highlight w:val="none"/>
          <w:lang w:val="zh-CN"/>
        </w:rPr>
      </w:pPr>
      <w:bookmarkStart w:id="9" w:name="_Toc16148"/>
      <w:bookmarkStart w:id="10" w:name="_Toc24558"/>
      <w:r>
        <w:rPr>
          <w:rFonts w:hint="eastAsia" w:ascii="宋体" w:hAnsi="宋体" w:cs="宋体"/>
          <w:sz w:val="28"/>
          <w:szCs w:val="28"/>
          <w:highlight w:val="none"/>
          <w:lang w:val="zh-CN"/>
        </w:rPr>
        <w:t>2.采购方式、合格的投标人</w:t>
      </w:r>
      <w:bookmarkEnd w:id="9"/>
      <w:bookmarkEnd w:id="10"/>
    </w:p>
    <w:p w14:paraId="03569F74">
      <w:pPr>
        <w:autoSpaceDE w:val="0"/>
        <w:autoSpaceDN w:val="0"/>
        <w:spacing w:line="360" w:lineRule="auto"/>
        <w:ind w:firstLine="360" w:firstLineChars="150"/>
        <w:rPr>
          <w:rFonts w:hint="eastAsia" w:ascii="宋体" w:hAnsi="宋体" w:cs="宋体"/>
          <w:b/>
          <w:bCs/>
          <w:kern w:val="0"/>
          <w:highlight w:val="none"/>
          <w:lang w:val="zh-CN"/>
        </w:rPr>
      </w:pPr>
      <w:r>
        <w:rPr>
          <w:rFonts w:hint="eastAsia" w:ascii="宋体" w:hAnsi="宋体" w:cs="宋体"/>
          <w:kern w:val="0"/>
          <w:highlight w:val="none"/>
          <w:lang w:val="zh-CN"/>
        </w:rPr>
        <w:t>2.1</w:t>
      </w:r>
      <w:r>
        <w:rPr>
          <w:rFonts w:hint="eastAsia" w:ascii="宋体" w:hAnsi="宋体" w:cs="宋体"/>
          <w:kern w:val="0"/>
          <w:highlight w:val="none"/>
        </w:rPr>
        <w:t xml:space="preserve"> </w:t>
      </w:r>
      <w:r>
        <w:rPr>
          <w:rFonts w:hint="eastAsia" w:ascii="宋体" w:hAnsi="宋体" w:cs="宋体"/>
          <w:kern w:val="0"/>
          <w:highlight w:val="none"/>
          <w:lang w:val="zh-CN"/>
        </w:rPr>
        <w:t>本次招标采取公开招标方式。</w:t>
      </w:r>
    </w:p>
    <w:p w14:paraId="2D2FDE2A">
      <w:pPr>
        <w:autoSpaceDE w:val="0"/>
        <w:autoSpaceDN w:val="0"/>
        <w:spacing w:line="360" w:lineRule="auto"/>
        <w:ind w:firstLine="360" w:firstLineChars="150"/>
        <w:rPr>
          <w:rFonts w:hint="eastAsia" w:ascii="宋体" w:hAnsi="宋体" w:cs="宋体"/>
          <w:kern w:val="0"/>
          <w:highlight w:val="none"/>
          <w:lang w:val="zh-CN"/>
        </w:rPr>
      </w:pPr>
      <w:r>
        <w:rPr>
          <w:rFonts w:hint="eastAsia" w:ascii="宋体" w:hAnsi="宋体" w:cs="宋体"/>
          <w:kern w:val="0"/>
          <w:highlight w:val="none"/>
          <w:lang w:val="zh-CN"/>
        </w:rPr>
        <w:t>2.2</w:t>
      </w:r>
      <w:r>
        <w:rPr>
          <w:rFonts w:hint="eastAsia" w:ascii="宋体" w:hAnsi="宋体" w:cs="宋体"/>
          <w:kern w:val="0"/>
          <w:highlight w:val="none"/>
        </w:rPr>
        <w:t xml:space="preserve"> </w:t>
      </w:r>
      <w:r>
        <w:rPr>
          <w:rFonts w:hint="eastAsia" w:ascii="宋体" w:hAnsi="宋体" w:cs="宋体"/>
          <w:kern w:val="0"/>
          <w:highlight w:val="none"/>
          <w:lang w:val="zh-CN"/>
        </w:rPr>
        <w:t>合格的投标人：详见第一部分</w:t>
      </w:r>
      <w:r>
        <w:rPr>
          <w:rFonts w:hint="eastAsia" w:ascii="宋体" w:hAnsi="宋体" w:cs="宋体"/>
          <w:kern w:val="0"/>
          <w:highlight w:val="none"/>
        </w:rPr>
        <w:t>“</w:t>
      </w:r>
      <w:r>
        <w:rPr>
          <w:rFonts w:hint="eastAsia" w:ascii="宋体" w:hAnsi="宋体" w:cs="宋体"/>
          <w:kern w:val="0"/>
          <w:highlight w:val="none"/>
          <w:lang w:val="zh-CN"/>
        </w:rPr>
        <w:t>投标人资格要求</w:t>
      </w:r>
      <w:r>
        <w:rPr>
          <w:rFonts w:hint="eastAsia" w:ascii="宋体" w:hAnsi="宋体" w:cs="宋体"/>
          <w:kern w:val="0"/>
          <w:highlight w:val="none"/>
        </w:rPr>
        <w:t>”。</w:t>
      </w:r>
    </w:p>
    <w:p w14:paraId="206AAD81">
      <w:pPr>
        <w:pStyle w:val="28"/>
        <w:spacing w:before="0" w:after="0" w:line="360" w:lineRule="auto"/>
        <w:jc w:val="left"/>
        <w:rPr>
          <w:rFonts w:hint="eastAsia" w:ascii="宋体" w:hAnsi="宋体" w:cs="宋体"/>
          <w:highlight w:val="none"/>
          <w:lang w:val="zh-CN"/>
        </w:rPr>
      </w:pPr>
      <w:bookmarkStart w:id="11" w:name="_Toc27515"/>
      <w:bookmarkStart w:id="12" w:name="_Toc25446"/>
      <w:r>
        <w:rPr>
          <w:rFonts w:hint="eastAsia" w:ascii="宋体" w:hAnsi="宋体" w:cs="宋体"/>
          <w:sz w:val="28"/>
          <w:szCs w:val="28"/>
          <w:highlight w:val="none"/>
          <w:lang w:val="zh-CN"/>
        </w:rPr>
        <w:t>3.投标费用</w:t>
      </w:r>
      <w:bookmarkEnd w:id="11"/>
      <w:bookmarkEnd w:id="12"/>
    </w:p>
    <w:p w14:paraId="378EE2D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投标人应自愿承担与参加本次投标有关的费用。采购代理机构对投标人发生的费用不承担任何责任。</w:t>
      </w:r>
    </w:p>
    <w:p w14:paraId="7FA115B0">
      <w:pPr>
        <w:pStyle w:val="28"/>
        <w:spacing w:before="0" w:after="0" w:line="360" w:lineRule="auto"/>
        <w:rPr>
          <w:rFonts w:hint="eastAsia" w:ascii="宋体" w:hAnsi="宋体" w:cs="宋体"/>
          <w:highlight w:val="none"/>
        </w:rPr>
      </w:pPr>
      <w:bookmarkStart w:id="13" w:name="_Toc18898"/>
      <w:bookmarkStart w:id="14" w:name="_Toc12310"/>
      <w:r>
        <w:rPr>
          <w:rFonts w:hint="eastAsia" w:ascii="宋体" w:hAnsi="宋体" w:cs="宋体"/>
          <w:highlight w:val="none"/>
          <w:lang w:val="zh-CN"/>
        </w:rPr>
        <w:t>二、招标文件说明</w:t>
      </w:r>
      <w:bookmarkEnd w:id="13"/>
      <w:bookmarkEnd w:id="14"/>
    </w:p>
    <w:p w14:paraId="61C9FAFE">
      <w:pPr>
        <w:pStyle w:val="28"/>
        <w:spacing w:before="0" w:after="0" w:line="360" w:lineRule="auto"/>
        <w:jc w:val="left"/>
        <w:rPr>
          <w:rFonts w:hint="eastAsia" w:ascii="宋体" w:hAnsi="宋体" w:cs="宋体"/>
          <w:highlight w:val="none"/>
          <w:lang w:val="zh-CN"/>
        </w:rPr>
      </w:pPr>
      <w:bookmarkStart w:id="15" w:name="_Toc23469"/>
      <w:bookmarkStart w:id="16" w:name="_Toc20698"/>
      <w:r>
        <w:rPr>
          <w:rFonts w:hint="eastAsia" w:ascii="宋体" w:hAnsi="宋体" w:cs="宋体"/>
          <w:sz w:val="28"/>
          <w:szCs w:val="28"/>
          <w:highlight w:val="none"/>
          <w:lang w:val="zh-CN"/>
        </w:rPr>
        <w:t>4.招标文件的构成</w:t>
      </w:r>
      <w:bookmarkEnd w:id="15"/>
      <w:bookmarkEnd w:id="16"/>
    </w:p>
    <w:p w14:paraId="1CAEDE6F">
      <w:pPr>
        <w:autoSpaceDE w:val="0"/>
        <w:autoSpaceDN w:val="0"/>
        <w:spacing w:line="360" w:lineRule="auto"/>
        <w:ind w:firstLine="360" w:firstLineChars="150"/>
        <w:rPr>
          <w:rFonts w:hint="eastAsia" w:ascii="宋体" w:hAnsi="宋体" w:cs="宋体"/>
          <w:kern w:val="0"/>
          <w:highlight w:val="none"/>
          <w:lang w:val="zh-CN"/>
        </w:rPr>
      </w:pPr>
      <w:r>
        <w:rPr>
          <w:rFonts w:hint="eastAsia" w:ascii="宋体" w:hAnsi="宋体" w:cs="宋体"/>
          <w:kern w:val="0"/>
          <w:highlight w:val="none"/>
          <w:lang w:val="zh-CN"/>
        </w:rPr>
        <w:t>4.1</w:t>
      </w:r>
      <w:r>
        <w:rPr>
          <w:rFonts w:hint="eastAsia" w:ascii="宋体" w:hAnsi="宋体" w:cs="宋体"/>
          <w:kern w:val="0"/>
          <w:highlight w:val="none"/>
        </w:rPr>
        <w:t xml:space="preserve"> </w:t>
      </w:r>
      <w:r>
        <w:rPr>
          <w:rFonts w:hint="eastAsia" w:ascii="宋体" w:hAnsi="宋体" w:cs="宋体"/>
          <w:kern w:val="0"/>
          <w:highlight w:val="none"/>
          <w:lang w:val="zh-CN"/>
        </w:rPr>
        <w:t>招标文件包括：</w:t>
      </w:r>
    </w:p>
    <w:p w14:paraId="7B97FAF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（1）投标邀请</w:t>
      </w:r>
    </w:p>
    <w:p w14:paraId="10841A9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2</w:t>
      </w:r>
      <w:r>
        <w:rPr>
          <w:rFonts w:hint="eastAsia" w:ascii="宋体" w:hAnsi="宋体" w:cs="宋体"/>
          <w:kern w:val="0"/>
          <w:highlight w:val="none"/>
          <w:lang w:val="zh-CN"/>
        </w:rPr>
        <w:t>）投标人须知</w:t>
      </w:r>
    </w:p>
    <w:p w14:paraId="36FC0D1C">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3</w:t>
      </w:r>
      <w:r>
        <w:rPr>
          <w:rFonts w:hint="eastAsia" w:ascii="宋体" w:hAnsi="宋体" w:cs="宋体"/>
          <w:kern w:val="0"/>
          <w:highlight w:val="none"/>
          <w:lang w:val="zh-CN"/>
        </w:rPr>
        <w:t>）青海省政府采购项目合同书范本</w:t>
      </w:r>
    </w:p>
    <w:p w14:paraId="7E8FBC3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4</w:t>
      </w:r>
      <w:r>
        <w:rPr>
          <w:rFonts w:hint="eastAsia" w:ascii="宋体" w:hAnsi="宋体" w:cs="宋体"/>
          <w:kern w:val="0"/>
          <w:highlight w:val="none"/>
          <w:lang w:val="zh-CN"/>
        </w:rPr>
        <w:t>）投标文件格式</w:t>
      </w:r>
    </w:p>
    <w:p w14:paraId="6B3584E4">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5</w:t>
      </w:r>
      <w:r>
        <w:rPr>
          <w:rFonts w:hint="eastAsia" w:ascii="宋体" w:hAnsi="宋体" w:cs="宋体"/>
          <w:kern w:val="0"/>
          <w:highlight w:val="none"/>
          <w:lang w:val="zh-CN"/>
        </w:rPr>
        <w:t>）采购项目要求及技术参数</w:t>
      </w:r>
    </w:p>
    <w:p w14:paraId="7F380E18">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6</w:t>
      </w:r>
      <w:r>
        <w:rPr>
          <w:rFonts w:hint="eastAsia" w:ascii="宋体" w:hAnsi="宋体" w:cs="宋体"/>
          <w:kern w:val="0"/>
          <w:highlight w:val="none"/>
          <w:lang w:val="zh-CN"/>
        </w:rPr>
        <w:t>）采购过程中发生的澄清、变更和补充文件</w:t>
      </w:r>
    </w:p>
    <w:p w14:paraId="2481A4E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 xml:space="preserve">4.2 </w:t>
      </w:r>
      <w:r>
        <w:rPr>
          <w:rFonts w:hint="eastAsia" w:ascii="宋体" w:hAnsi="宋体" w:cs="宋体"/>
          <w:kern w:val="0"/>
          <w:highlight w:val="none"/>
        </w:rPr>
        <w:t>投标人应当按照招标文件的要求编制投标文件。投标文件应当对招标文件提出的要求和条件作出明确响应。</w:t>
      </w:r>
    </w:p>
    <w:p w14:paraId="1C9F36D0">
      <w:pPr>
        <w:pStyle w:val="28"/>
        <w:spacing w:before="0" w:after="0" w:line="360" w:lineRule="auto"/>
        <w:jc w:val="left"/>
        <w:rPr>
          <w:rFonts w:hint="eastAsia" w:ascii="宋体" w:hAnsi="宋体" w:cs="宋体"/>
          <w:sz w:val="28"/>
          <w:szCs w:val="28"/>
          <w:highlight w:val="none"/>
          <w:lang w:val="zh-CN"/>
        </w:rPr>
      </w:pPr>
      <w:bookmarkStart w:id="17" w:name="_Toc12169"/>
      <w:bookmarkStart w:id="18" w:name="_Toc7975"/>
      <w:r>
        <w:rPr>
          <w:rFonts w:hint="eastAsia" w:ascii="宋体" w:hAnsi="宋体" w:cs="宋体"/>
          <w:sz w:val="28"/>
          <w:szCs w:val="28"/>
          <w:highlight w:val="none"/>
          <w:lang w:val="zh-CN"/>
        </w:rPr>
        <w:t>5.招标文件、采购活动和中标结果的质疑</w:t>
      </w:r>
      <w:bookmarkEnd w:id="17"/>
      <w:bookmarkEnd w:id="18"/>
    </w:p>
    <w:p w14:paraId="230692B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ascii="Arial" w:hAnsi="Arial" w:cs="Arial"/>
          <w:highlight w:val="none"/>
        </w:rPr>
        <w:t>潜在</w:t>
      </w:r>
      <w:r>
        <w:rPr>
          <w:rFonts w:hint="eastAsia" w:ascii="Arial" w:hAnsi="Arial" w:cs="Arial"/>
          <w:highlight w:val="none"/>
        </w:rPr>
        <w:t>投标人</w:t>
      </w:r>
      <w:r>
        <w:rPr>
          <w:rFonts w:ascii="Arial" w:hAnsi="Arial" w:cs="Arial"/>
          <w:highlight w:val="none"/>
        </w:rPr>
        <w:t>已依法获取其可质疑的采购文件的，可以对该文件提出质疑</w:t>
      </w:r>
      <w:r>
        <w:rPr>
          <w:rFonts w:hint="eastAsia" w:ascii="Arial" w:hAnsi="Arial" w:cs="Arial"/>
          <w:highlight w:val="none"/>
        </w:rPr>
        <w:t>，</w:t>
      </w:r>
      <w:r>
        <w:rPr>
          <w:rFonts w:ascii="Arial" w:hAnsi="Arial" w:cs="Arial"/>
          <w:highlight w:val="none"/>
        </w:rPr>
        <w:t>对采购文件提出质疑的，应当在获取采购文件或者采购文件公告期限届满之日起7个工作日内提出</w:t>
      </w:r>
      <w:r>
        <w:rPr>
          <w:rFonts w:hint="eastAsia" w:ascii="宋体" w:hAnsi="宋体" w:cs="宋体"/>
          <w:kern w:val="0"/>
          <w:highlight w:val="none"/>
          <w:lang w:bidi="ar"/>
        </w:rPr>
        <w:t>。</w:t>
      </w:r>
      <w:r>
        <w:rPr>
          <w:rFonts w:hint="eastAsia" w:ascii="Arial" w:hAnsi="Arial" w:cs="Arial"/>
          <w:highlight w:val="none"/>
        </w:rPr>
        <w:t>投标人须</w:t>
      </w:r>
      <w:r>
        <w:rPr>
          <w:rFonts w:ascii="Arial" w:hAnsi="Arial" w:cs="Arial"/>
          <w:highlight w:val="none"/>
        </w:rPr>
        <w:t>在法定质疑期内一次性提出针对同一采购程序环节的质疑。</w:t>
      </w:r>
      <w:r>
        <w:rPr>
          <w:rFonts w:hint="eastAsia" w:ascii="宋体" w:hAnsi="宋体" w:cs="宋体"/>
          <w:kern w:val="0"/>
          <w:highlight w:val="none"/>
          <w:lang w:val="zh-CN"/>
        </w:rPr>
        <w:t>采购人或采购代理机构在收到书面</w:t>
      </w:r>
      <w:r>
        <w:rPr>
          <w:rFonts w:ascii="Arial" w:hAnsi="Arial" w:cs="Arial"/>
          <w:highlight w:val="none"/>
        </w:rPr>
        <w:t>质疑函后7个工作日内作出答复</w:t>
      </w:r>
      <w:r>
        <w:rPr>
          <w:rFonts w:hint="eastAsia" w:ascii="宋体" w:hAnsi="宋体" w:cs="宋体"/>
          <w:kern w:val="0"/>
          <w:highlight w:val="none"/>
          <w:lang w:val="zh-CN"/>
        </w:rPr>
        <w:t>。</w:t>
      </w:r>
    </w:p>
    <w:p w14:paraId="4E3674E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1A30A62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投标人应知其权益受到损害之日，是指：</w:t>
      </w:r>
    </w:p>
    <w:p w14:paraId="57620765">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（一）对可以质疑的招标文件提出质疑的，为收到招标文件之日或者招标文件公告期限届满之日；</w:t>
      </w:r>
    </w:p>
    <w:p w14:paraId="66C28B80">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（二）对采购过程提出质疑的，为各采购程序环节结束之日；</w:t>
      </w:r>
    </w:p>
    <w:p w14:paraId="506E973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（三）对中标结果提出质疑的，为中标结果公告期限届满之日。</w:t>
      </w:r>
    </w:p>
    <w:p w14:paraId="3DAC4ADC">
      <w:pPr>
        <w:pStyle w:val="28"/>
        <w:spacing w:before="0" w:after="0" w:line="360" w:lineRule="auto"/>
        <w:jc w:val="left"/>
        <w:rPr>
          <w:rFonts w:hint="eastAsia" w:ascii="宋体" w:hAnsi="宋体" w:cs="宋体"/>
          <w:highlight w:val="none"/>
          <w:lang w:val="zh-CN"/>
        </w:rPr>
      </w:pPr>
      <w:bookmarkStart w:id="19" w:name="_Toc20582"/>
      <w:bookmarkStart w:id="20" w:name="_Toc27223"/>
      <w:r>
        <w:rPr>
          <w:rFonts w:hint="eastAsia" w:ascii="宋体" w:hAnsi="宋体" w:cs="宋体"/>
          <w:sz w:val="28"/>
          <w:szCs w:val="28"/>
          <w:highlight w:val="none"/>
          <w:lang w:val="zh-CN"/>
        </w:rPr>
        <w:t>6.招标文件的澄清或修改</w:t>
      </w:r>
      <w:bookmarkEnd w:id="19"/>
      <w:bookmarkEnd w:id="20"/>
    </w:p>
    <w:p w14:paraId="15C0BC0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DF9434A">
      <w:pPr>
        <w:autoSpaceDE w:val="0"/>
        <w:autoSpaceDN w:val="0"/>
        <w:spacing w:line="360" w:lineRule="auto"/>
        <w:ind w:firstLine="480" w:firstLineChars="200"/>
        <w:rPr>
          <w:rFonts w:hint="eastAsia" w:ascii="宋体" w:hAnsi="宋体" w:cs="宋体"/>
          <w:kern w:val="0"/>
          <w:highlight w:val="none"/>
          <w:lang w:val="zh-CN"/>
        </w:rPr>
      </w:pPr>
      <w:r>
        <w:rPr>
          <w:rFonts w:ascii="宋体" w:hAnsi="宋体" w:cs="宋体"/>
          <w:kern w:val="0"/>
          <w:highlight w:val="none"/>
          <w:lang w:val="zh-CN"/>
        </w:rPr>
        <w:t xml:space="preserve">6.2 </w:t>
      </w:r>
      <w:r>
        <w:rPr>
          <w:rFonts w:hint="eastAsia" w:ascii="宋体" w:hAnsi="宋体" w:cs="宋体"/>
          <w:kern w:val="0"/>
          <w:highlight w:val="none"/>
          <w:lang w:val="zh-CN"/>
        </w:rPr>
        <w:t>澄清或者修改的内容可能影响投标文件编制的，采购人或者采购代理机构应当在投标截止时间至少15日前，以书面形式通知所有获取招标文件的潜在投标人，</w:t>
      </w:r>
      <w:r>
        <w:rPr>
          <w:rFonts w:ascii="宋体" w:hAnsi="宋体" w:cs="宋体"/>
          <w:kern w:val="0"/>
          <w:highlight w:val="none"/>
          <w:lang w:val="zh-CN"/>
        </w:rPr>
        <w:t>并在发布本次招标公告的网站上发布变更公告</w:t>
      </w:r>
      <w:r>
        <w:rPr>
          <w:rFonts w:hint="eastAsia" w:ascii="宋体" w:hAnsi="宋体" w:cs="宋体"/>
          <w:kern w:val="0"/>
          <w:highlight w:val="none"/>
          <w:lang w:val="zh-CN"/>
        </w:rPr>
        <w:t>；不足15日的，采购人或者采购代理机构应当顺延提交投标文件的截止时间。</w:t>
      </w:r>
    </w:p>
    <w:p w14:paraId="7E9727F3">
      <w:pPr>
        <w:pStyle w:val="28"/>
        <w:spacing w:before="0" w:after="0" w:line="360" w:lineRule="auto"/>
        <w:rPr>
          <w:rFonts w:hint="eastAsia" w:ascii="宋体" w:hAnsi="宋体" w:cs="宋体"/>
          <w:highlight w:val="none"/>
        </w:rPr>
      </w:pPr>
      <w:bookmarkStart w:id="21" w:name="_Toc24268"/>
      <w:bookmarkStart w:id="22" w:name="_Toc7762"/>
      <w:r>
        <w:rPr>
          <w:rFonts w:hint="eastAsia" w:ascii="宋体" w:hAnsi="宋体" w:cs="宋体"/>
          <w:highlight w:val="none"/>
          <w:lang w:val="zh-CN"/>
        </w:rPr>
        <w:t>三、投标文件的编制</w:t>
      </w:r>
      <w:bookmarkEnd w:id="21"/>
      <w:bookmarkEnd w:id="22"/>
    </w:p>
    <w:p w14:paraId="07E48CB8">
      <w:pPr>
        <w:pStyle w:val="28"/>
        <w:spacing w:before="0" w:after="0" w:line="360" w:lineRule="auto"/>
        <w:jc w:val="left"/>
        <w:rPr>
          <w:rFonts w:hint="eastAsia" w:ascii="宋体" w:hAnsi="宋体" w:cs="宋体"/>
          <w:highlight w:val="none"/>
          <w:lang w:val="zh-CN"/>
        </w:rPr>
      </w:pPr>
      <w:bookmarkStart w:id="23" w:name="_Toc22149"/>
      <w:bookmarkStart w:id="24" w:name="_Toc20870"/>
      <w:r>
        <w:rPr>
          <w:rFonts w:hint="eastAsia" w:ascii="宋体" w:hAnsi="宋体" w:cs="宋体"/>
          <w:sz w:val="28"/>
          <w:szCs w:val="28"/>
          <w:highlight w:val="none"/>
          <w:lang w:val="zh-CN"/>
        </w:rPr>
        <w:t>7.投标文件的语言及度量衡单位</w:t>
      </w:r>
      <w:bookmarkEnd w:id="23"/>
      <w:bookmarkEnd w:id="24"/>
    </w:p>
    <w:p w14:paraId="65F710A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7.1</w:t>
      </w:r>
      <w:r>
        <w:rPr>
          <w:rFonts w:hint="eastAsia" w:ascii="宋体" w:hAnsi="宋体" w:cs="宋体"/>
          <w:kern w:val="0"/>
          <w:highlight w:val="none"/>
        </w:rPr>
        <w:t xml:space="preserve"> </w:t>
      </w:r>
      <w:r>
        <w:rPr>
          <w:rFonts w:hint="eastAsia" w:ascii="宋体" w:hAnsi="宋体" w:cs="宋体"/>
          <w:kern w:val="0"/>
          <w:highlight w:val="none"/>
          <w:lang w:val="zh-CN"/>
        </w:rPr>
        <w:t>投标人提交的投标文件以及投标人与采购代理机构就此投标发生的所有来往函电均应使用简体中文。</w:t>
      </w:r>
      <w:r>
        <w:rPr>
          <w:rFonts w:hint="eastAsia" w:ascii="宋体" w:hAnsi="宋体" w:cs="宋体"/>
          <w:highlight w:val="none"/>
        </w:rPr>
        <w:t>除签名、盖章、专用名称等特殊情形外，以中文汉语以外的文字表述的投标文件视同未提供。</w:t>
      </w:r>
    </w:p>
    <w:p w14:paraId="524613FB">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7.2 除招标文件中另有规定外，投标文件所使用的度量衡单位，均须采用国家法定计量单位。</w:t>
      </w:r>
    </w:p>
    <w:p w14:paraId="65796B0F">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7.3 附有外文资料的须翻译成中文，并加盖投标人公章，如果翻译的中文资料与外文资料出现差异与矛盾时，以中文为准，其准确性由投标人负责。</w:t>
      </w:r>
    </w:p>
    <w:p w14:paraId="7E0D0758">
      <w:pPr>
        <w:pStyle w:val="28"/>
        <w:spacing w:before="0" w:after="0" w:line="360" w:lineRule="auto"/>
        <w:jc w:val="left"/>
        <w:rPr>
          <w:rFonts w:hint="eastAsia" w:ascii="宋体" w:hAnsi="宋体" w:cs="宋体"/>
          <w:highlight w:val="none"/>
          <w:lang w:val="zh-CN"/>
        </w:rPr>
      </w:pPr>
      <w:bookmarkStart w:id="25" w:name="_Toc23345"/>
      <w:bookmarkStart w:id="26" w:name="_Toc25856"/>
      <w:r>
        <w:rPr>
          <w:rFonts w:hint="eastAsia" w:ascii="宋体" w:hAnsi="宋体" w:cs="宋体"/>
          <w:sz w:val="28"/>
          <w:szCs w:val="28"/>
          <w:highlight w:val="none"/>
          <w:lang w:val="zh-CN"/>
        </w:rPr>
        <w:t>8.投标报价及币种</w:t>
      </w:r>
      <w:bookmarkEnd w:id="25"/>
      <w:bookmarkEnd w:id="26"/>
    </w:p>
    <w:p w14:paraId="54DFC68F">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8.1</w:t>
      </w:r>
      <w:r>
        <w:rPr>
          <w:rFonts w:hint="eastAsia" w:ascii="宋体" w:hAnsi="宋体" w:cs="宋体"/>
          <w:kern w:val="0"/>
          <w:highlight w:val="none"/>
        </w:rPr>
        <w:t xml:space="preserve"> </w:t>
      </w:r>
      <w:r>
        <w:rPr>
          <w:rFonts w:hint="eastAsia" w:ascii="宋体" w:hAnsi="宋体" w:cs="宋体"/>
          <w:kern w:val="0"/>
          <w:highlight w:val="none"/>
          <w:lang w:val="zh-CN"/>
        </w:rPr>
        <w:t>投标报价为投标总价。投标报价必须包括：</w:t>
      </w:r>
      <w:r>
        <w:rPr>
          <w:rFonts w:hint="eastAsia" w:ascii="宋体" w:hAnsi="宋体" w:cs="宋体"/>
          <w:color w:val="auto"/>
          <w:highlight w:val="none"/>
        </w:rPr>
        <w:t>分部分项工程费、措施项目费、其他项目费、规费、税金、招标代理费及不可预见费等全部费用</w:t>
      </w:r>
      <w:r>
        <w:rPr>
          <w:rFonts w:hint="eastAsia" w:ascii="宋体" w:hAnsi="宋体" w:cs="宋体"/>
          <w:kern w:val="0"/>
          <w:highlight w:val="none"/>
          <w:lang w:val="zh-CN"/>
        </w:rPr>
        <w:t>。（说明：具体内容应根据项目特点实事求是的填写）</w:t>
      </w:r>
    </w:p>
    <w:p w14:paraId="27D14513">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8.2</w:t>
      </w:r>
      <w:r>
        <w:rPr>
          <w:rFonts w:hint="eastAsia" w:ascii="宋体" w:hAnsi="宋体" w:cs="宋体"/>
          <w:kern w:val="0"/>
          <w:highlight w:val="none"/>
        </w:rPr>
        <w:t xml:space="preserve"> </w:t>
      </w:r>
      <w:r>
        <w:rPr>
          <w:rFonts w:hint="eastAsia" w:ascii="宋体" w:hAnsi="宋体" w:cs="宋体"/>
          <w:kern w:val="0"/>
          <w:highlight w:val="none"/>
          <w:lang w:val="zh-CN"/>
        </w:rPr>
        <w:t>投标报价有效期与投标有效期一致。</w:t>
      </w:r>
    </w:p>
    <w:p w14:paraId="2253BDAD">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8.</w:t>
      </w:r>
      <w:r>
        <w:rPr>
          <w:rFonts w:hint="eastAsia" w:ascii="宋体" w:hAnsi="宋体" w:cs="宋体"/>
          <w:kern w:val="0"/>
          <w:highlight w:val="none"/>
        </w:rPr>
        <w:t xml:space="preserve">3 </w:t>
      </w:r>
      <w:r>
        <w:rPr>
          <w:rFonts w:hint="eastAsia" w:ascii="宋体" w:hAnsi="宋体" w:cs="宋体"/>
          <w:kern w:val="0"/>
          <w:highlight w:val="none"/>
          <w:lang w:val="zh-CN"/>
        </w:rPr>
        <w:t>投标报价为闭口价，即中标后在合同有效期内价格不变。</w:t>
      </w:r>
    </w:p>
    <w:p w14:paraId="01A04C2D">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8.</w:t>
      </w:r>
      <w:r>
        <w:rPr>
          <w:rFonts w:hint="eastAsia" w:ascii="宋体" w:hAnsi="宋体" w:cs="宋体"/>
          <w:kern w:val="0"/>
          <w:highlight w:val="none"/>
        </w:rPr>
        <w:t xml:space="preserve">4 </w:t>
      </w:r>
      <w:r>
        <w:rPr>
          <w:rFonts w:hint="eastAsia" w:ascii="宋体" w:hAnsi="宋体" w:cs="宋体"/>
          <w:kern w:val="0"/>
          <w:highlight w:val="none"/>
          <w:lang w:val="zh-CN"/>
        </w:rPr>
        <w:t>投标币种是人民币。</w:t>
      </w:r>
    </w:p>
    <w:p w14:paraId="7D9701E8">
      <w:pPr>
        <w:pStyle w:val="28"/>
        <w:spacing w:before="0" w:after="0" w:line="360" w:lineRule="auto"/>
        <w:jc w:val="left"/>
        <w:rPr>
          <w:rFonts w:hint="eastAsia" w:ascii="宋体" w:hAnsi="宋体" w:cs="宋体"/>
          <w:highlight w:val="none"/>
          <w:lang w:val="zh-CN"/>
        </w:rPr>
      </w:pPr>
      <w:bookmarkStart w:id="27" w:name="_Toc14796"/>
      <w:bookmarkStart w:id="28" w:name="_Toc9679"/>
      <w:r>
        <w:rPr>
          <w:rFonts w:hint="eastAsia" w:ascii="宋体" w:hAnsi="宋体" w:cs="宋体"/>
          <w:sz w:val="28"/>
          <w:szCs w:val="28"/>
          <w:highlight w:val="none"/>
          <w:lang w:val="zh-CN"/>
        </w:rPr>
        <w:t>9.投标保证金</w:t>
      </w:r>
      <w:bookmarkEnd w:id="27"/>
      <w:bookmarkEnd w:id="28"/>
    </w:p>
    <w:p w14:paraId="25311DE4">
      <w:pPr>
        <w:autoSpaceDE w:val="0"/>
        <w:autoSpaceDN w:val="0"/>
        <w:spacing w:line="360" w:lineRule="auto"/>
        <w:ind w:firstLine="482" w:firstLineChars="200"/>
        <w:rPr>
          <w:rFonts w:hint="eastAsia" w:ascii="宋体" w:hAnsi="宋体" w:cs="宋体"/>
          <w:kern w:val="0"/>
          <w:highlight w:val="none"/>
          <w:lang w:val="zh-CN"/>
        </w:rPr>
      </w:pPr>
      <w:r>
        <w:rPr>
          <w:rFonts w:hint="eastAsia" w:ascii="宋体" w:hAnsi="宋体" w:cs="宋体"/>
          <w:b/>
          <w:bCs/>
          <w:kern w:val="0"/>
          <w:highlight w:val="none"/>
        </w:rPr>
        <w:t>本项目免缴</w:t>
      </w:r>
    </w:p>
    <w:p w14:paraId="6854758A">
      <w:pPr>
        <w:pStyle w:val="28"/>
        <w:spacing w:before="0" w:after="0" w:line="360" w:lineRule="auto"/>
        <w:jc w:val="left"/>
        <w:rPr>
          <w:rFonts w:hint="eastAsia" w:ascii="宋体" w:hAnsi="宋体" w:cs="宋体"/>
          <w:highlight w:val="none"/>
          <w:lang w:val="zh-CN"/>
        </w:rPr>
      </w:pPr>
      <w:bookmarkStart w:id="29" w:name="_Toc22307"/>
      <w:bookmarkStart w:id="30" w:name="_Toc23240"/>
      <w:r>
        <w:rPr>
          <w:rFonts w:hint="eastAsia" w:ascii="宋体" w:hAnsi="宋体" w:cs="宋体"/>
          <w:sz w:val="28"/>
          <w:szCs w:val="28"/>
          <w:highlight w:val="none"/>
          <w:lang w:val="zh-CN"/>
        </w:rPr>
        <w:t>10.投标有效期</w:t>
      </w:r>
      <w:bookmarkEnd w:id="29"/>
      <w:bookmarkEnd w:id="30"/>
    </w:p>
    <w:p w14:paraId="0B2E1470">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highlight w:val="none"/>
          <w:shd w:val="clear" w:color="auto" w:fill="FFFFFF"/>
        </w:rPr>
        <w:t>从提交投标文件的截止之日起9</w:t>
      </w:r>
      <w:r>
        <w:rPr>
          <w:rFonts w:hint="eastAsia" w:ascii="宋体" w:hAnsi="宋体" w:cs="宋体"/>
          <w:kern w:val="0"/>
          <w:highlight w:val="none"/>
          <w:lang w:val="zh-CN"/>
        </w:rPr>
        <w:t>0日历日。投标文件中承诺的投标有效期应当不少于招标文件中载明的投标有效期。</w:t>
      </w:r>
    </w:p>
    <w:p w14:paraId="01D2D659">
      <w:pPr>
        <w:pStyle w:val="28"/>
        <w:spacing w:before="0" w:after="0" w:line="360" w:lineRule="auto"/>
        <w:jc w:val="left"/>
        <w:rPr>
          <w:rFonts w:hint="eastAsia" w:ascii="宋体" w:hAnsi="宋体" w:cs="宋体"/>
          <w:highlight w:val="none"/>
          <w:lang w:val="zh-CN"/>
        </w:rPr>
      </w:pPr>
      <w:bookmarkStart w:id="31" w:name="_Toc23125"/>
      <w:bookmarkStart w:id="32" w:name="_Toc5789"/>
      <w:r>
        <w:rPr>
          <w:rFonts w:hint="eastAsia" w:ascii="宋体" w:hAnsi="宋体" w:cs="宋体"/>
          <w:sz w:val="28"/>
          <w:szCs w:val="28"/>
          <w:highlight w:val="none"/>
          <w:lang w:val="zh-CN"/>
        </w:rPr>
        <w:t>11.投标文件构成</w:t>
      </w:r>
      <w:bookmarkEnd w:id="31"/>
      <w:bookmarkEnd w:id="32"/>
    </w:p>
    <w:p w14:paraId="1075B6A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投标人应提交相关证明材料，作为其参加投标和中标后有能力履行合同的证明。编写的投标文件须包括以下内容（格式见招标文件第四部分）：</w:t>
      </w:r>
    </w:p>
    <w:p w14:paraId="0EECDF7E">
      <w:pPr>
        <w:autoSpaceDE w:val="0"/>
        <w:autoSpaceDN w:val="0"/>
        <w:spacing w:line="360" w:lineRule="auto"/>
        <w:ind w:firstLine="482" w:firstLineChars="200"/>
        <w:rPr>
          <w:rFonts w:hint="eastAsia" w:ascii="宋体" w:hAnsi="宋体" w:cs="宋体"/>
          <w:highlight w:val="none"/>
        </w:rPr>
      </w:pPr>
      <w:r>
        <w:rPr>
          <w:rFonts w:hint="eastAsia" w:ascii="宋体" w:hAnsi="宋体" w:cs="宋体"/>
          <w:b/>
          <w:bCs/>
          <w:kern w:val="0"/>
          <w:highlight w:val="none"/>
        </w:rPr>
        <w:t>11.1</w:t>
      </w:r>
      <w:r>
        <w:rPr>
          <w:rFonts w:hint="eastAsia" w:ascii="宋体" w:hAnsi="宋体" w:cs="宋体"/>
          <w:b/>
          <w:bCs/>
          <w:kern w:val="0"/>
          <w:highlight w:val="none"/>
          <w:lang w:val="en-US" w:eastAsia="zh-CN"/>
        </w:rPr>
        <w:t xml:space="preserve"> </w:t>
      </w:r>
      <w:r>
        <w:rPr>
          <w:rFonts w:hint="eastAsia" w:ascii="宋体" w:hAnsi="宋体" w:cs="宋体"/>
          <w:b/>
          <w:bCs/>
          <w:kern w:val="0"/>
          <w:highlight w:val="none"/>
          <w:lang w:val="zh-CN"/>
        </w:rPr>
        <w:t>投标文件（上册）（资格审查）</w:t>
      </w:r>
    </w:p>
    <w:p w14:paraId="30469F72">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投标函</w:t>
      </w:r>
    </w:p>
    <w:p w14:paraId="205F9482">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法定代表人证明书</w:t>
      </w:r>
    </w:p>
    <w:p w14:paraId="0DD10CA2">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法定代表人授权书</w:t>
      </w:r>
    </w:p>
    <w:p w14:paraId="27DE4851">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投标人承诺函</w:t>
      </w:r>
    </w:p>
    <w:p w14:paraId="15891E60">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投标人诚信承诺书</w:t>
      </w:r>
    </w:p>
    <w:p w14:paraId="485EFF46">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资格证明材料</w:t>
      </w:r>
    </w:p>
    <w:p w14:paraId="7F73F552">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财务状况报告，依法缴纳税收和社会保障资金的相关材料</w:t>
      </w:r>
    </w:p>
    <w:p w14:paraId="1E974347">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具备履行合同所必需的设备和专业技术能力的证明材料</w:t>
      </w:r>
    </w:p>
    <w:p w14:paraId="2BFCB144">
      <w:pPr>
        <w:numPr>
          <w:ilvl w:val="0"/>
          <w:numId w:val="2"/>
        </w:num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无重大违法记录声明</w:t>
      </w:r>
    </w:p>
    <w:p w14:paraId="18295991">
      <w:pPr>
        <w:autoSpaceDE w:val="0"/>
        <w:autoSpaceDN w:val="0"/>
        <w:spacing w:line="360" w:lineRule="auto"/>
        <w:ind w:firstLine="723" w:firstLineChars="300"/>
        <w:rPr>
          <w:rFonts w:hint="eastAsia" w:ascii="宋体" w:hAnsi="宋体" w:cs="宋体"/>
          <w:kern w:val="0"/>
          <w:highlight w:val="none"/>
          <w:lang w:val="zh-CN"/>
        </w:rPr>
      </w:pPr>
      <w:r>
        <w:rPr>
          <w:rFonts w:hint="eastAsia" w:ascii="宋体" w:hAnsi="宋体" w:cs="宋体"/>
          <w:b/>
          <w:bCs/>
          <w:kern w:val="0"/>
          <w:highlight w:val="none"/>
        </w:rPr>
        <w:t xml:space="preserve">11.2 </w:t>
      </w:r>
      <w:r>
        <w:rPr>
          <w:rFonts w:hint="eastAsia" w:ascii="宋体" w:hAnsi="宋体" w:cs="宋体"/>
          <w:b/>
          <w:bCs/>
          <w:kern w:val="0"/>
          <w:highlight w:val="none"/>
          <w:lang w:val="zh-CN"/>
        </w:rPr>
        <w:t>投标文件（下册）</w:t>
      </w:r>
    </w:p>
    <w:p w14:paraId="055DDDA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0</w:t>
      </w:r>
      <w:r>
        <w:rPr>
          <w:rFonts w:hint="eastAsia" w:ascii="宋体" w:hAnsi="宋体" w:cs="宋体"/>
          <w:kern w:val="0"/>
          <w:highlight w:val="none"/>
          <w:lang w:val="zh-CN"/>
        </w:rPr>
        <w:t>）评分对照表</w:t>
      </w:r>
    </w:p>
    <w:p w14:paraId="7D0E130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1</w:t>
      </w:r>
      <w:r>
        <w:rPr>
          <w:rFonts w:hint="eastAsia" w:ascii="宋体" w:hAnsi="宋体" w:cs="宋体"/>
          <w:kern w:val="0"/>
          <w:highlight w:val="none"/>
          <w:lang w:val="zh-CN"/>
        </w:rPr>
        <w:t>）开标一览表（报价表）</w:t>
      </w:r>
    </w:p>
    <w:p w14:paraId="1FFDFECB">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2</w:t>
      </w:r>
      <w:r>
        <w:rPr>
          <w:rFonts w:hint="eastAsia" w:ascii="宋体" w:hAnsi="宋体" w:cs="宋体"/>
          <w:kern w:val="0"/>
          <w:highlight w:val="none"/>
          <w:lang w:val="zh-CN"/>
        </w:rPr>
        <w:t>）</w:t>
      </w:r>
      <w:r>
        <w:rPr>
          <w:rFonts w:hint="eastAsia" w:ascii="宋体" w:hAnsi="宋体" w:cs="宋体"/>
          <w:kern w:val="0"/>
          <w:highlight w:val="none"/>
        </w:rPr>
        <w:t>服务</w:t>
      </w:r>
      <w:r>
        <w:rPr>
          <w:rFonts w:hint="eastAsia" w:ascii="宋体" w:hAnsi="宋体" w:cs="宋体"/>
          <w:kern w:val="0"/>
          <w:highlight w:val="none"/>
          <w:lang w:val="zh-CN"/>
        </w:rPr>
        <w:t>响应表</w:t>
      </w:r>
    </w:p>
    <w:p w14:paraId="6E246B3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3</w:t>
      </w:r>
      <w:r>
        <w:rPr>
          <w:rFonts w:hint="eastAsia" w:ascii="宋体" w:hAnsi="宋体" w:cs="宋体"/>
          <w:kern w:val="0"/>
          <w:highlight w:val="none"/>
          <w:lang w:val="zh-CN"/>
        </w:rPr>
        <w:t>）</w:t>
      </w:r>
      <w:r>
        <w:rPr>
          <w:rFonts w:hint="eastAsia" w:ascii="宋体" w:hAnsi="宋体" w:cs="宋体"/>
          <w:kern w:val="0"/>
          <w:highlight w:val="none"/>
        </w:rPr>
        <w:t>服务</w:t>
      </w:r>
      <w:r>
        <w:rPr>
          <w:rFonts w:hint="eastAsia" w:ascii="宋体" w:hAnsi="宋体" w:cs="宋体"/>
          <w:kern w:val="0"/>
          <w:highlight w:val="none"/>
          <w:lang w:val="zh-CN"/>
        </w:rPr>
        <w:t>方案</w:t>
      </w:r>
    </w:p>
    <w:p w14:paraId="0632030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4</w:t>
      </w:r>
      <w:r>
        <w:rPr>
          <w:rFonts w:hint="eastAsia" w:ascii="宋体" w:hAnsi="宋体" w:cs="宋体"/>
          <w:kern w:val="0"/>
          <w:highlight w:val="none"/>
          <w:lang w:val="zh-CN"/>
        </w:rPr>
        <w:t>）投标人的业绩证明材料</w:t>
      </w:r>
    </w:p>
    <w:p w14:paraId="53615AA0">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5</w:t>
      </w:r>
      <w:r>
        <w:rPr>
          <w:rFonts w:hint="eastAsia" w:ascii="宋体" w:hAnsi="宋体" w:cs="宋体"/>
          <w:kern w:val="0"/>
          <w:highlight w:val="none"/>
          <w:lang w:val="zh-CN"/>
        </w:rPr>
        <w:t>）中小企业声明函</w:t>
      </w:r>
    </w:p>
    <w:p w14:paraId="0DD18DA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rPr>
        <w:t>6</w:t>
      </w:r>
      <w:r>
        <w:rPr>
          <w:rFonts w:hint="eastAsia" w:ascii="宋体" w:hAnsi="宋体" w:cs="宋体"/>
          <w:kern w:val="0"/>
          <w:highlight w:val="none"/>
          <w:lang w:val="zh-CN"/>
        </w:rPr>
        <w:t>）残疾人福利性单位声明函</w:t>
      </w:r>
    </w:p>
    <w:p w14:paraId="3B35028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17</w:t>
      </w:r>
      <w:r>
        <w:rPr>
          <w:rFonts w:hint="eastAsia" w:ascii="宋体" w:hAnsi="宋体" w:cs="宋体"/>
          <w:kern w:val="0"/>
          <w:highlight w:val="none"/>
          <w:lang w:val="zh-CN"/>
        </w:rPr>
        <w:t>）监狱企业证明资料</w:t>
      </w:r>
    </w:p>
    <w:p w14:paraId="7BAF0FB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18</w:t>
      </w:r>
      <w:r>
        <w:rPr>
          <w:rFonts w:hint="eastAsia" w:ascii="宋体" w:hAnsi="宋体" w:cs="宋体"/>
          <w:kern w:val="0"/>
          <w:highlight w:val="none"/>
          <w:lang w:val="zh-CN"/>
        </w:rPr>
        <w:t>）投标人认为在其他方面有必要说明的事项</w:t>
      </w:r>
    </w:p>
    <w:p w14:paraId="05F9F5E9">
      <w:pPr>
        <w:autoSpaceDE w:val="0"/>
        <w:autoSpaceDN w:val="0"/>
        <w:spacing w:line="360" w:lineRule="auto"/>
        <w:ind w:firstLine="600" w:firstLineChars="250"/>
        <w:rPr>
          <w:rFonts w:hint="eastAsia" w:ascii="宋体" w:hAnsi="宋体" w:cs="宋体"/>
          <w:kern w:val="0"/>
          <w:highlight w:val="none"/>
          <w:lang w:val="zh-CN"/>
        </w:rPr>
      </w:pPr>
      <w:r>
        <w:rPr>
          <w:rFonts w:hint="eastAsia" w:ascii="宋体" w:hAnsi="宋体" w:cs="宋体"/>
          <w:kern w:val="0"/>
          <w:highlight w:val="none"/>
          <w:lang w:val="zh-CN"/>
        </w:rPr>
        <w:t>注：投标人须按上述内容、顺序和格式编制投标文件，并按要求编制目录、页码，并保证所提供的全部资料真实可信，自愿承担相应责任。</w:t>
      </w:r>
    </w:p>
    <w:p w14:paraId="615BA1D1">
      <w:pPr>
        <w:pStyle w:val="28"/>
        <w:spacing w:before="0" w:after="0" w:line="360" w:lineRule="auto"/>
        <w:jc w:val="left"/>
        <w:rPr>
          <w:rFonts w:hint="eastAsia" w:ascii="宋体" w:hAnsi="宋体" w:cs="宋体"/>
          <w:highlight w:val="none"/>
          <w:lang w:val="zh-CN"/>
        </w:rPr>
      </w:pPr>
      <w:bookmarkStart w:id="33" w:name="_Toc4513"/>
      <w:bookmarkStart w:id="34" w:name="_Toc10613"/>
      <w:r>
        <w:rPr>
          <w:rFonts w:hint="eastAsia" w:ascii="宋体" w:hAnsi="宋体" w:cs="宋体"/>
          <w:sz w:val="28"/>
          <w:szCs w:val="28"/>
          <w:highlight w:val="none"/>
          <w:lang w:val="zh-CN"/>
        </w:rPr>
        <w:t>12.投标文件的编制要求</w:t>
      </w:r>
      <w:bookmarkEnd w:id="33"/>
      <w:bookmarkEnd w:id="34"/>
    </w:p>
    <w:p w14:paraId="135BB548">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12.1</w:t>
      </w:r>
      <w:r>
        <w:rPr>
          <w:rFonts w:hint="eastAsia" w:ascii="宋体" w:hAnsi="宋体" w:cs="宋体"/>
          <w:kern w:val="0"/>
          <w:highlight w:val="none"/>
        </w:rPr>
        <w:t xml:space="preserve"> </w:t>
      </w:r>
      <w:r>
        <w:rPr>
          <w:rFonts w:hint="eastAsia" w:ascii="宋体" w:hAnsi="宋体" w:cs="宋体"/>
          <w:kern w:val="0"/>
          <w:highlight w:val="none"/>
          <w:lang w:val="zh-CN"/>
        </w:rPr>
        <w:t>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14:paraId="40464347">
      <w:pPr>
        <w:widowControl/>
        <w:spacing w:line="360" w:lineRule="auto"/>
        <w:ind w:firstLine="480" w:firstLineChars="200"/>
        <w:rPr>
          <w:rFonts w:hint="eastAsia" w:hAnsi="宋体"/>
          <w:highlight w:val="none"/>
        </w:rPr>
      </w:pPr>
      <w:r>
        <w:rPr>
          <w:rFonts w:hint="eastAsia" w:ascii="宋体" w:hAnsi="宋体" w:cs="宋体"/>
          <w:color w:val="000000"/>
          <w:kern w:val="0"/>
          <w:highlight w:val="none"/>
          <w:lang w:val="zh-CN"/>
        </w:rPr>
        <w:t>12.2</w:t>
      </w:r>
      <w:r>
        <w:rPr>
          <w:rFonts w:hint="eastAsia" w:ascii="宋体" w:hAnsi="宋体" w:cs="宋体"/>
          <w:color w:val="000000"/>
          <w:kern w:val="0"/>
          <w:highlight w:val="none"/>
        </w:rPr>
        <w:t xml:space="preserve"> </w:t>
      </w:r>
      <w:r>
        <w:rPr>
          <w:rFonts w:hint="eastAsia" w:ascii="宋体" w:hAnsi="宋体" w:cs="宋体"/>
          <w:b/>
          <w:bCs/>
          <w:color w:val="000000"/>
          <w:kern w:val="0"/>
          <w:highlight w:val="none"/>
          <w:lang w:val="zh-CN"/>
        </w:rPr>
        <w:t>投标人将</w:t>
      </w:r>
      <w:r>
        <w:rPr>
          <w:rFonts w:hint="eastAsia" w:hAnsi="宋体" w:cs="宋体"/>
          <w:b/>
          <w:bCs/>
          <w:color w:val="000000"/>
          <w:kern w:val="0"/>
          <w:highlight w:val="none"/>
          <w:lang w:val="zh-CN"/>
        </w:rPr>
        <w:t>加密电子响应文件</w:t>
      </w:r>
      <w:r>
        <w:rPr>
          <w:rFonts w:hint="eastAsia" w:hAnsi="宋体" w:cs="宋体"/>
          <w:b/>
          <w:bCs/>
          <w:color w:val="000000"/>
          <w:kern w:val="0"/>
          <w:highlight w:val="none"/>
        </w:rPr>
        <w:t>1份务必在开标截止前上传至电子开评标系统</w:t>
      </w:r>
      <w:r>
        <w:rPr>
          <w:rFonts w:hint="eastAsia" w:ascii="宋体" w:hAnsi="宋体" w:cs="宋体"/>
          <w:b/>
          <w:bCs/>
          <w:kern w:val="0"/>
          <w:highlight w:val="none"/>
          <w:lang w:val="zh-CN"/>
        </w:rPr>
        <w:t>。</w:t>
      </w:r>
      <w:r>
        <w:rPr>
          <w:rFonts w:hint="eastAsia" w:hAnsi="宋体" w:cs="宋体"/>
          <w:b/>
          <w:bCs/>
          <w:color w:val="000000"/>
          <w:kern w:val="0"/>
          <w:highlight w:val="none"/>
          <w:lang w:val="zh-CN"/>
        </w:rPr>
        <w:t>加密电子投标文件制作详情请咨询政采云，咨询电话：</w:t>
      </w:r>
      <w:r>
        <w:rPr>
          <w:rFonts w:hint="eastAsia" w:hAnsi="宋体" w:cs="宋体"/>
          <w:b/>
          <w:bCs/>
          <w:color w:val="000000"/>
          <w:kern w:val="0"/>
          <w:highlight w:val="none"/>
        </w:rPr>
        <w:t>95763.</w:t>
      </w:r>
    </w:p>
    <w:p w14:paraId="628FD681">
      <w:pPr>
        <w:autoSpaceDE w:val="0"/>
        <w:autoSpaceDN w:val="0"/>
        <w:spacing w:line="360" w:lineRule="auto"/>
        <w:ind w:firstLine="480" w:firstLineChars="200"/>
        <w:rPr>
          <w:highlight w:val="none"/>
          <w:lang w:val="zh-CN"/>
        </w:rPr>
      </w:pPr>
      <w:r>
        <w:rPr>
          <w:rFonts w:hint="eastAsia" w:ascii="宋体" w:hAnsi="宋体" w:cs="宋体"/>
          <w:color w:val="000000"/>
          <w:kern w:val="0"/>
          <w:highlight w:val="none"/>
          <w:lang w:val="zh-CN"/>
        </w:rPr>
        <w:t>12.</w:t>
      </w:r>
      <w:r>
        <w:rPr>
          <w:rFonts w:hint="eastAsia" w:ascii="宋体" w:hAnsi="宋体" w:cs="宋体"/>
          <w:color w:val="000000"/>
          <w:kern w:val="0"/>
          <w:highlight w:val="none"/>
        </w:rPr>
        <w:t>3</w:t>
      </w:r>
      <w:r>
        <w:rPr>
          <w:rFonts w:hint="eastAsia" w:ascii="宋体" w:hAnsi="宋体" w:cs="宋体"/>
          <w:color w:val="000000"/>
          <w:kern w:val="0"/>
          <w:highlight w:val="none"/>
          <w:lang w:val="zh-CN"/>
        </w:rPr>
        <w:t xml:space="preserve"> 投标文件中不得行间插字、涂改或增删，如有修改错漏处，须由投标人法定代表人或其委托代理人签字、加盖公章。</w:t>
      </w:r>
    </w:p>
    <w:p w14:paraId="4324F94A">
      <w:pPr>
        <w:autoSpaceDE w:val="0"/>
        <w:autoSpaceDN w:val="0"/>
        <w:spacing w:line="360" w:lineRule="auto"/>
        <w:ind w:firstLine="480" w:firstLineChars="200"/>
        <w:rPr>
          <w:rFonts w:hint="eastAsia" w:ascii="宋体" w:hAnsi="宋体" w:cs="宋体"/>
          <w:b/>
          <w:bCs/>
          <w:kern w:val="0"/>
          <w:highlight w:val="none"/>
        </w:rPr>
      </w:pPr>
      <w:r>
        <w:rPr>
          <w:rFonts w:hint="eastAsia" w:ascii="宋体" w:hAnsi="宋体" w:cs="宋体"/>
          <w:b w:val="0"/>
          <w:bCs w:val="0"/>
          <w:kern w:val="0"/>
          <w:highlight w:val="none"/>
        </w:rPr>
        <w:t>12.4</w:t>
      </w:r>
      <w:r>
        <w:rPr>
          <w:rFonts w:hint="eastAsia" w:ascii="宋体" w:hAnsi="宋体" w:cs="宋体"/>
          <w:b w:val="0"/>
          <w:bCs w:val="0"/>
          <w:kern w:val="0"/>
          <w:highlight w:val="none"/>
          <w:lang w:val="en-US" w:eastAsia="zh-CN"/>
        </w:rPr>
        <w:t xml:space="preserve"> </w:t>
      </w:r>
      <w:r>
        <w:rPr>
          <w:rFonts w:hint="eastAsia" w:ascii="宋体" w:hAnsi="宋体" w:cs="宋体"/>
          <w:b/>
          <w:bCs/>
          <w:kern w:val="0"/>
          <w:highlight w:val="none"/>
        </w:rPr>
        <w:t>按照招标文件及电子投标文件格式要求制作电子投标文件并进行上传至政采云评标系统。</w:t>
      </w:r>
    </w:p>
    <w:p w14:paraId="5A52F40F">
      <w:pPr>
        <w:autoSpaceDE w:val="0"/>
        <w:autoSpaceDN w:val="0"/>
        <w:adjustRightInd w:val="0"/>
        <w:ind w:firstLine="482" w:firstLineChars="200"/>
        <w:jc w:val="left"/>
        <w:rPr>
          <w:rFonts w:hint="eastAsia" w:ascii="宋体" w:cs="宋体"/>
          <w:b/>
          <w:bCs/>
          <w:color w:val="auto"/>
          <w:kern w:val="0"/>
          <w:highlight w:val="none"/>
          <w:lang w:val="en-US" w:eastAsia="zh-CN"/>
        </w:rPr>
      </w:pPr>
      <w:r>
        <w:rPr>
          <w:rFonts w:hint="eastAsia" w:ascii="宋体" w:cs="宋体"/>
          <w:b/>
          <w:bCs/>
          <w:color w:val="auto"/>
          <w:kern w:val="0"/>
          <w:highlight w:val="none"/>
          <w:lang w:val="en-US" w:eastAsia="zh-CN"/>
        </w:rPr>
        <w:t>12.5 不同投标人编制或者提交投标文件的计算机网卡MAC地址、IP地址、CPU序列号、硬盘序列号等硬件信息异常一致并触发预警的，由此原因导致投标无效的责任自负。</w:t>
      </w:r>
    </w:p>
    <w:p w14:paraId="10695294">
      <w:pPr>
        <w:autoSpaceDE w:val="0"/>
        <w:autoSpaceDN w:val="0"/>
        <w:spacing w:line="360" w:lineRule="auto"/>
        <w:ind w:firstLine="482" w:firstLineChars="200"/>
        <w:rPr>
          <w:rFonts w:hint="eastAsia" w:ascii="宋体" w:hAnsi="宋体" w:cs="宋体"/>
          <w:b/>
          <w:bCs/>
          <w:kern w:val="0"/>
          <w:highlight w:val="none"/>
        </w:rPr>
      </w:pPr>
    </w:p>
    <w:p w14:paraId="7C7C7155">
      <w:pPr>
        <w:pStyle w:val="28"/>
        <w:spacing w:before="0" w:after="0" w:line="360" w:lineRule="auto"/>
        <w:rPr>
          <w:rFonts w:hint="eastAsia" w:ascii="宋体" w:hAnsi="宋体" w:cs="宋体"/>
          <w:highlight w:val="none"/>
        </w:rPr>
      </w:pPr>
      <w:bookmarkStart w:id="35" w:name="_Toc5937"/>
      <w:bookmarkStart w:id="36" w:name="_Toc13423"/>
      <w:r>
        <w:rPr>
          <w:rFonts w:hint="eastAsia" w:ascii="宋体" w:hAnsi="宋体" w:cs="宋体"/>
          <w:highlight w:val="none"/>
          <w:lang w:val="zh-CN"/>
        </w:rPr>
        <w:t>四、投标文件的提交</w:t>
      </w:r>
      <w:bookmarkEnd w:id="35"/>
      <w:bookmarkEnd w:id="36"/>
    </w:p>
    <w:p w14:paraId="4D14C7D5">
      <w:pPr>
        <w:pStyle w:val="28"/>
        <w:spacing w:before="0" w:after="0" w:line="360" w:lineRule="auto"/>
        <w:jc w:val="left"/>
        <w:rPr>
          <w:rFonts w:hint="eastAsia" w:ascii="宋体" w:hAnsi="宋体" w:cs="宋体"/>
          <w:highlight w:val="none"/>
          <w:lang w:val="zh-CN"/>
        </w:rPr>
      </w:pPr>
      <w:bookmarkStart w:id="37" w:name="_Toc12119"/>
      <w:bookmarkStart w:id="38" w:name="_Toc4072"/>
      <w:bookmarkStart w:id="39" w:name="_Toc4570"/>
      <w:r>
        <w:rPr>
          <w:rFonts w:hint="eastAsia" w:ascii="宋体" w:hAnsi="宋体" w:cs="宋体"/>
          <w:sz w:val="28"/>
          <w:szCs w:val="28"/>
          <w:highlight w:val="none"/>
          <w:lang w:val="zh-CN"/>
        </w:rPr>
        <w:t>13.投标文件的密封和标记</w:t>
      </w:r>
      <w:bookmarkEnd w:id="37"/>
      <w:bookmarkEnd w:id="38"/>
      <w:bookmarkEnd w:id="39"/>
    </w:p>
    <w:p w14:paraId="31431D42">
      <w:pPr>
        <w:pStyle w:val="28"/>
        <w:spacing w:before="0" w:after="0" w:line="360" w:lineRule="auto"/>
        <w:ind w:firstLine="480" w:firstLineChars="200"/>
        <w:jc w:val="left"/>
        <w:rPr>
          <w:rFonts w:hint="eastAsia" w:ascii="宋体" w:hAnsi="宋体" w:cs="宋体"/>
          <w:b w:val="0"/>
          <w:bCs w:val="0"/>
          <w:sz w:val="24"/>
          <w:szCs w:val="24"/>
          <w:highlight w:val="none"/>
          <w:lang w:val="zh-CN"/>
        </w:rPr>
      </w:pPr>
      <w:bookmarkStart w:id="40" w:name="_Toc14771"/>
      <w:bookmarkStart w:id="41" w:name="_Toc10953"/>
      <w:bookmarkStart w:id="42" w:name="_Toc11603"/>
      <w:bookmarkStart w:id="43" w:name="_Toc15107"/>
      <w:bookmarkStart w:id="44" w:name="_Toc17147"/>
      <w:bookmarkStart w:id="45" w:name="_Toc8327"/>
      <w:bookmarkStart w:id="46" w:name="_Toc29566"/>
      <w:r>
        <w:rPr>
          <w:rFonts w:hint="eastAsia" w:ascii="宋体" w:hAnsi="宋体" w:cs="宋体"/>
          <w:b w:val="0"/>
          <w:bCs w:val="0"/>
          <w:sz w:val="24"/>
          <w:szCs w:val="24"/>
          <w:highlight w:val="none"/>
          <w:lang w:val="zh-CN"/>
        </w:rPr>
        <w:t>13.1 投标人将加密电子投标文件1份务必在开标截止前上传至电子开评标系统。</w:t>
      </w:r>
      <w:bookmarkEnd w:id="40"/>
      <w:bookmarkEnd w:id="41"/>
      <w:bookmarkEnd w:id="42"/>
      <w:bookmarkEnd w:id="43"/>
      <w:bookmarkEnd w:id="44"/>
      <w:bookmarkEnd w:id="45"/>
      <w:bookmarkEnd w:id="46"/>
    </w:p>
    <w:p w14:paraId="76C62F83">
      <w:pPr>
        <w:pStyle w:val="28"/>
        <w:spacing w:before="0" w:after="0" w:line="360" w:lineRule="auto"/>
        <w:ind w:firstLine="480" w:firstLineChars="200"/>
        <w:jc w:val="left"/>
        <w:rPr>
          <w:rFonts w:hint="eastAsia" w:ascii="宋体" w:hAnsi="宋体" w:cs="宋体"/>
          <w:b w:val="0"/>
          <w:bCs w:val="0"/>
          <w:sz w:val="24"/>
          <w:szCs w:val="24"/>
          <w:highlight w:val="none"/>
          <w:lang w:val="zh-CN"/>
        </w:rPr>
      </w:pPr>
      <w:bookmarkStart w:id="47" w:name="_Toc16388"/>
      <w:bookmarkStart w:id="48" w:name="_Toc3570"/>
      <w:bookmarkStart w:id="49" w:name="_Toc29943"/>
      <w:bookmarkStart w:id="50" w:name="_Toc19560"/>
      <w:bookmarkStart w:id="51" w:name="_Toc23177"/>
      <w:bookmarkStart w:id="52" w:name="_Toc24998"/>
      <w:bookmarkStart w:id="53" w:name="_Toc2612"/>
      <w:r>
        <w:rPr>
          <w:rFonts w:hint="eastAsia" w:ascii="宋体" w:hAnsi="宋体" w:cs="宋体"/>
          <w:b w:val="0"/>
          <w:bCs w:val="0"/>
          <w:sz w:val="24"/>
          <w:szCs w:val="24"/>
          <w:highlight w:val="none"/>
          <w:lang w:val="zh-CN"/>
        </w:rPr>
        <w:t>13.</w:t>
      </w: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val="zh-CN"/>
        </w:rPr>
        <w:t xml:space="preserve"> 投标人如投多个包，投标文件每包分别按上述规定上传（如果有）。</w:t>
      </w:r>
      <w:bookmarkEnd w:id="47"/>
      <w:bookmarkEnd w:id="48"/>
      <w:bookmarkEnd w:id="49"/>
      <w:bookmarkEnd w:id="50"/>
      <w:bookmarkEnd w:id="51"/>
      <w:bookmarkEnd w:id="52"/>
      <w:bookmarkEnd w:id="53"/>
    </w:p>
    <w:p w14:paraId="2C1999D2">
      <w:pPr>
        <w:pStyle w:val="28"/>
        <w:spacing w:before="0" w:after="0" w:line="360" w:lineRule="auto"/>
        <w:jc w:val="left"/>
        <w:rPr>
          <w:rFonts w:hint="eastAsia" w:ascii="宋体" w:hAnsi="宋体" w:cs="宋体"/>
          <w:highlight w:val="none"/>
          <w:lang w:val="zh-CN"/>
        </w:rPr>
      </w:pPr>
      <w:bookmarkStart w:id="54" w:name="_Toc7074"/>
      <w:bookmarkStart w:id="55" w:name="_Toc2131"/>
      <w:bookmarkStart w:id="56" w:name="_Toc6988"/>
      <w:r>
        <w:rPr>
          <w:rFonts w:hint="eastAsia" w:ascii="宋体" w:hAnsi="宋体" w:cs="宋体"/>
          <w:sz w:val="28"/>
          <w:szCs w:val="28"/>
          <w:highlight w:val="none"/>
          <w:lang w:val="zh-CN"/>
        </w:rPr>
        <w:t>14.提交投标文件的时间、地点、方式</w:t>
      </w:r>
      <w:bookmarkEnd w:id="54"/>
      <w:bookmarkEnd w:id="55"/>
      <w:bookmarkEnd w:id="56"/>
    </w:p>
    <w:p w14:paraId="6D2ED00C">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14.1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投标人应当在招标文件要求提交投标文件的截止时间前，将</w:t>
      </w:r>
      <w:r>
        <w:rPr>
          <w:rFonts w:hint="eastAsia" w:hAnsi="宋体" w:cs="宋体"/>
          <w:color w:val="000000"/>
          <w:kern w:val="0"/>
          <w:highlight w:val="none"/>
          <w:lang w:val="zh-CN"/>
        </w:rPr>
        <w:t>加密电子投标文件</w:t>
      </w:r>
      <w:r>
        <w:rPr>
          <w:rFonts w:hint="eastAsia" w:hAnsi="宋体" w:cs="宋体"/>
          <w:color w:val="000000"/>
          <w:kern w:val="0"/>
          <w:highlight w:val="none"/>
        </w:rPr>
        <w:t>1份务必在开标截止前上传至电子开评标系统，</w:t>
      </w:r>
      <w:r>
        <w:rPr>
          <w:rFonts w:hint="eastAsia" w:ascii="宋体" w:hAnsi="宋体" w:cs="宋体"/>
          <w:highlight w:val="none"/>
        </w:rPr>
        <w:t>在截止时间后上传的，采购人、采购机构或者评标委员会应当拒收</w:t>
      </w:r>
      <w:r>
        <w:rPr>
          <w:rFonts w:hint="eastAsia" w:ascii="宋体" w:hAnsi="宋体" w:cs="宋体"/>
          <w:color w:val="000000"/>
          <w:kern w:val="0"/>
          <w:highlight w:val="none"/>
          <w:lang w:val="zh-CN"/>
        </w:rPr>
        <w:t>。</w:t>
      </w:r>
    </w:p>
    <w:p w14:paraId="37F0567E">
      <w:pPr>
        <w:pStyle w:val="28"/>
        <w:spacing w:before="0" w:after="0" w:line="360" w:lineRule="auto"/>
        <w:jc w:val="left"/>
        <w:rPr>
          <w:rFonts w:hint="eastAsia" w:ascii="宋体" w:hAnsi="宋体" w:cs="宋体"/>
          <w:highlight w:val="none"/>
          <w:lang w:val="zh-CN"/>
        </w:rPr>
      </w:pPr>
      <w:bookmarkStart w:id="57" w:name="_Toc16954"/>
      <w:bookmarkStart w:id="58" w:name="_Toc26708"/>
      <w:bookmarkStart w:id="59" w:name="_Toc13001"/>
      <w:r>
        <w:rPr>
          <w:rFonts w:hint="eastAsia" w:ascii="宋体" w:hAnsi="宋体" w:cs="宋体"/>
          <w:sz w:val="28"/>
          <w:szCs w:val="28"/>
          <w:highlight w:val="none"/>
          <w:lang w:val="zh-CN"/>
        </w:rPr>
        <w:t>15.投标文件的补充、修改或者撤回</w:t>
      </w:r>
      <w:bookmarkEnd w:id="57"/>
      <w:bookmarkEnd w:id="58"/>
      <w:bookmarkEnd w:id="59"/>
    </w:p>
    <w:p w14:paraId="1A32FC9D">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15.1</w:t>
      </w:r>
      <w:r>
        <w:rPr>
          <w:rFonts w:hint="eastAsia" w:ascii="宋体" w:hAnsi="宋体" w:cs="宋体"/>
          <w:kern w:val="0"/>
          <w:highlight w:val="none"/>
        </w:rPr>
        <w:t xml:space="preserve"> 投标人在投标截止时间前，可以对所递交的投标文件进行补充、修改或者撤回，并书面通知采购人或者采购代理机构。补充、修改的内容应当按照招标文件要求签署、盖章后，作为投标文件的组成部分。</w:t>
      </w:r>
    </w:p>
    <w:p w14:paraId="3111C889">
      <w:pPr>
        <w:pStyle w:val="28"/>
        <w:spacing w:before="0" w:after="0" w:line="360" w:lineRule="auto"/>
        <w:outlineLvl w:val="9"/>
        <w:rPr>
          <w:rFonts w:hint="eastAsia" w:ascii="宋体" w:hAnsi="宋体" w:cs="宋体"/>
          <w:highlight w:val="none"/>
          <w:lang w:val="zh-CN"/>
        </w:rPr>
      </w:pPr>
    </w:p>
    <w:p w14:paraId="1246FDC6">
      <w:pPr>
        <w:pStyle w:val="28"/>
        <w:spacing w:before="0" w:after="0" w:line="360" w:lineRule="auto"/>
        <w:rPr>
          <w:rFonts w:hint="eastAsia" w:ascii="宋体" w:hAnsi="宋体" w:cs="宋体"/>
          <w:highlight w:val="none"/>
        </w:rPr>
      </w:pPr>
      <w:bookmarkStart w:id="60" w:name="_Toc7042"/>
      <w:bookmarkStart w:id="61" w:name="_Toc26292"/>
      <w:r>
        <w:rPr>
          <w:rFonts w:hint="eastAsia" w:ascii="宋体" w:hAnsi="宋体" w:cs="宋体"/>
          <w:highlight w:val="none"/>
          <w:lang w:val="zh-CN"/>
        </w:rPr>
        <w:t>五、开标</w:t>
      </w:r>
      <w:bookmarkEnd w:id="60"/>
      <w:bookmarkEnd w:id="61"/>
    </w:p>
    <w:p w14:paraId="48824BC7">
      <w:pPr>
        <w:pStyle w:val="28"/>
        <w:spacing w:before="0" w:after="0" w:line="360" w:lineRule="auto"/>
        <w:jc w:val="left"/>
        <w:outlineLvl w:val="9"/>
        <w:rPr>
          <w:rFonts w:hint="eastAsia" w:ascii="宋体" w:hAnsi="宋体" w:cs="宋体"/>
          <w:highlight w:val="none"/>
          <w:lang w:val="zh-CN"/>
        </w:rPr>
      </w:pPr>
      <w:bookmarkStart w:id="62" w:name="_Toc4581"/>
      <w:bookmarkStart w:id="63" w:name="_Toc17599"/>
      <w:r>
        <w:rPr>
          <w:rFonts w:hint="eastAsia" w:ascii="宋体" w:hAnsi="宋体" w:cs="宋体"/>
          <w:sz w:val="28"/>
          <w:szCs w:val="28"/>
          <w:highlight w:val="none"/>
          <w:lang w:val="zh-CN"/>
        </w:rPr>
        <w:t>16.开标</w:t>
      </w:r>
      <w:bookmarkEnd w:id="62"/>
      <w:bookmarkEnd w:id="63"/>
    </w:p>
    <w:p w14:paraId="49A1E9A2">
      <w:pPr>
        <w:autoSpaceDE w:val="0"/>
        <w:autoSpaceDN w:val="0"/>
        <w:spacing w:line="360" w:lineRule="auto"/>
        <w:ind w:firstLine="480" w:firstLineChars="200"/>
        <w:rPr>
          <w:rFonts w:hint="eastAsia" w:ascii="宋体" w:hAnsi="宋体" w:cs="宋体"/>
          <w:kern w:val="0"/>
          <w:highlight w:val="none"/>
          <w:lang w:val="zh-CN"/>
        </w:rPr>
      </w:pPr>
      <w:bookmarkStart w:id="64" w:name="_Toc496004006"/>
      <w:r>
        <w:rPr>
          <w:rFonts w:hint="eastAsia" w:ascii="宋体" w:hAnsi="宋体" w:cs="宋体"/>
          <w:kern w:val="0"/>
          <w:highlight w:val="none"/>
          <w:lang w:val="zh-CN"/>
        </w:rPr>
        <w:t>16.1</w:t>
      </w:r>
      <w:r>
        <w:rPr>
          <w:rFonts w:hint="eastAsia" w:ascii="宋体" w:hAnsi="宋体" w:cs="宋体"/>
          <w:kern w:val="0"/>
          <w:highlight w:val="none"/>
        </w:rPr>
        <w:t xml:space="preserve"> </w:t>
      </w:r>
      <w:r>
        <w:rPr>
          <w:rFonts w:hint="eastAsia" w:ascii="宋体" w:hAnsi="宋体" w:cs="宋体"/>
          <w:kern w:val="0"/>
          <w:highlight w:val="none"/>
          <w:lang w:val="zh-CN"/>
        </w:rPr>
        <w:t>开标应当在招标文件确定的提交投标文件截止时间的同一时间进行。采购代理机构应当按本文件中确定的时间和地点组织开标活动。</w:t>
      </w:r>
    </w:p>
    <w:p w14:paraId="638CCB9C">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采购人或者采购代理机构应当对开标、评标现场活动进行全程录音录像。录音录像应当清晰可辨，音像资料作为采购文件一并存档。</w:t>
      </w:r>
    </w:p>
    <w:p w14:paraId="2B6BFEC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16.2</w:t>
      </w:r>
      <w:r>
        <w:rPr>
          <w:rFonts w:hint="eastAsia" w:ascii="宋体" w:hAnsi="宋体" w:cs="宋体"/>
          <w:kern w:val="0"/>
          <w:highlight w:val="none"/>
        </w:rPr>
        <w:t xml:space="preserve"> </w:t>
      </w:r>
      <w:r>
        <w:rPr>
          <w:rFonts w:hint="eastAsia" w:ascii="宋体" w:hAnsi="宋体" w:cs="宋体"/>
          <w:highlight w:val="none"/>
          <w:shd w:val="clear" w:color="auto" w:fill="FFFFFF"/>
        </w:rPr>
        <w:t>开标由</w:t>
      </w:r>
      <w:r>
        <w:rPr>
          <w:rFonts w:hint="eastAsia" w:ascii="宋体" w:hAnsi="宋体" w:cs="宋体"/>
          <w:kern w:val="0"/>
          <w:highlight w:val="none"/>
          <w:lang w:val="zh-CN"/>
        </w:rPr>
        <w:t>采购代理机构</w:t>
      </w:r>
      <w:r>
        <w:rPr>
          <w:rFonts w:hint="eastAsia" w:ascii="宋体" w:hAnsi="宋体" w:cs="宋体"/>
          <w:highlight w:val="none"/>
          <w:shd w:val="clear" w:color="auto" w:fill="FFFFFF"/>
        </w:rPr>
        <w:t>主持，邀请投标人参加。评标委员会成员不得参加开标活动。</w:t>
      </w:r>
    </w:p>
    <w:p w14:paraId="69191F35">
      <w:pPr>
        <w:autoSpaceDE w:val="0"/>
        <w:autoSpaceDN w:val="0"/>
        <w:spacing w:line="360" w:lineRule="auto"/>
        <w:ind w:firstLine="480" w:firstLineChars="200"/>
        <w:rPr>
          <w:rFonts w:hint="eastAsia" w:ascii="宋体" w:hAnsi="宋体" w:cs="宋体"/>
          <w:highlight w:val="none"/>
          <w:shd w:val="clear" w:color="auto" w:fill="FFFFFF"/>
          <w:lang w:val="zh-CN"/>
        </w:rPr>
      </w:pPr>
      <w:r>
        <w:rPr>
          <w:rFonts w:hint="eastAsia" w:ascii="宋体" w:hAnsi="宋体" w:cs="宋体"/>
          <w:highlight w:val="none"/>
          <w:shd w:val="clear" w:color="auto" w:fill="FFFFFF"/>
          <w:lang w:val="zh-CN"/>
        </w:rPr>
        <w:t>投标人不足3家的，不得开标。</w:t>
      </w:r>
    </w:p>
    <w:p w14:paraId="03CF2014">
      <w:pPr>
        <w:pStyle w:val="28"/>
        <w:spacing w:before="0" w:after="0" w:line="360" w:lineRule="auto"/>
        <w:outlineLvl w:val="9"/>
        <w:rPr>
          <w:rFonts w:hint="eastAsia" w:ascii="宋体" w:hAnsi="宋体" w:cs="宋体"/>
          <w:kern w:val="0"/>
          <w:szCs w:val="36"/>
          <w:highlight w:val="none"/>
        </w:rPr>
      </w:pPr>
    </w:p>
    <w:p w14:paraId="3C0E615A">
      <w:pPr>
        <w:pStyle w:val="28"/>
        <w:spacing w:before="0" w:after="0" w:line="360" w:lineRule="auto"/>
        <w:rPr>
          <w:rFonts w:hint="eastAsia" w:ascii="宋体" w:hAnsi="宋体" w:cs="宋体"/>
          <w:kern w:val="0"/>
          <w:highlight w:val="none"/>
        </w:rPr>
      </w:pPr>
      <w:bookmarkStart w:id="65" w:name="_Toc8824"/>
      <w:bookmarkStart w:id="66" w:name="_Toc19301"/>
      <w:r>
        <w:rPr>
          <w:rFonts w:hint="eastAsia" w:ascii="宋体" w:hAnsi="宋体" w:cs="宋体"/>
          <w:kern w:val="0"/>
          <w:szCs w:val="36"/>
          <w:highlight w:val="none"/>
        </w:rPr>
        <w:t>六、资格</w:t>
      </w:r>
      <w:r>
        <w:rPr>
          <w:rFonts w:hint="eastAsia" w:ascii="宋体" w:hAnsi="宋体" w:cs="宋体"/>
          <w:highlight w:val="none"/>
          <w:lang w:val="zh-CN"/>
        </w:rPr>
        <w:t>审查</w:t>
      </w:r>
      <w:r>
        <w:rPr>
          <w:rFonts w:hint="eastAsia" w:ascii="宋体" w:hAnsi="宋体" w:cs="宋体"/>
          <w:kern w:val="0"/>
          <w:szCs w:val="36"/>
          <w:highlight w:val="none"/>
        </w:rPr>
        <w:t>程序</w:t>
      </w:r>
      <w:bookmarkEnd w:id="64"/>
      <w:bookmarkEnd w:id="65"/>
      <w:bookmarkEnd w:id="66"/>
    </w:p>
    <w:p w14:paraId="0EB99B7B">
      <w:pPr>
        <w:pStyle w:val="28"/>
        <w:spacing w:before="0" w:after="0" w:line="360" w:lineRule="auto"/>
        <w:jc w:val="left"/>
        <w:rPr>
          <w:rFonts w:hint="eastAsia" w:ascii="宋体" w:hAnsi="宋体" w:cs="宋体"/>
          <w:sz w:val="28"/>
          <w:szCs w:val="28"/>
          <w:highlight w:val="none"/>
        </w:rPr>
      </w:pPr>
      <w:bookmarkStart w:id="67" w:name="_Toc27280"/>
      <w:bookmarkStart w:id="68" w:name="_Toc26169"/>
      <w:r>
        <w:rPr>
          <w:rFonts w:hint="eastAsia" w:ascii="宋体" w:hAnsi="宋体" w:cs="宋体"/>
          <w:sz w:val="28"/>
          <w:szCs w:val="28"/>
          <w:highlight w:val="none"/>
        </w:rPr>
        <w:t>17.资格审查</w:t>
      </w:r>
      <w:bookmarkEnd w:id="67"/>
      <w:bookmarkEnd w:id="68"/>
    </w:p>
    <w:p w14:paraId="018E72BD">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17.1 开标结束后，采购人或者采购代理机构应当依法对投标人的资格性审查文件（上册）进行审查。</w:t>
      </w:r>
    </w:p>
    <w:p w14:paraId="50D460DA">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17.2 合格投标人不足3家的，不得评标。</w:t>
      </w:r>
    </w:p>
    <w:p w14:paraId="7E945AC4">
      <w:pPr>
        <w:autoSpaceDE w:val="0"/>
        <w:autoSpaceDN w:val="0"/>
        <w:spacing w:line="360" w:lineRule="auto"/>
        <w:ind w:firstLine="480" w:firstLineChars="200"/>
        <w:rPr>
          <w:rFonts w:hint="eastAsia" w:ascii="宋体" w:hAnsi="宋体" w:cs="宋体"/>
          <w:sz w:val="28"/>
          <w:szCs w:val="28"/>
          <w:highlight w:val="none"/>
        </w:rPr>
      </w:pPr>
      <w:bookmarkStart w:id="69" w:name="_Toc497503249"/>
      <w:bookmarkStart w:id="70" w:name="_Toc497503516"/>
      <w:bookmarkStart w:id="71" w:name="_Toc497503449"/>
      <w:bookmarkStart w:id="72" w:name="_Toc497503315"/>
      <w:bookmarkStart w:id="73" w:name="_Toc30809"/>
      <w:r>
        <w:rPr>
          <w:rFonts w:hint="eastAsia" w:ascii="宋体" w:hAnsi="宋体" w:cs="宋体"/>
          <w:kern w:val="0"/>
          <w:highlight w:val="none"/>
        </w:rPr>
        <w:t>17.3 资格审查时，投标人存在下列情况之一的，按无效投标处理：</w:t>
      </w:r>
      <w:bookmarkEnd w:id="69"/>
      <w:bookmarkEnd w:id="70"/>
      <w:bookmarkEnd w:id="71"/>
      <w:bookmarkEnd w:id="72"/>
      <w:bookmarkEnd w:id="73"/>
    </w:p>
    <w:p w14:paraId="1C6B1920">
      <w:pPr>
        <w:numPr>
          <w:ilvl w:val="0"/>
          <w:numId w:val="3"/>
        </w:numPr>
        <w:tabs>
          <w:tab w:val="left" w:pos="960"/>
        </w:tabs>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highlight w:val="none"/>
          <w:shd w:val="clear" w:color="auto" w:fill="FFFFFF"/>
        </w:rPr>
        <w:t>不具备</w:t>
      </w:r>
      <w:r>
        <w:rPr>
          <w:rFonts w:hint="eastAsia" w:ascii="宋体" w:hAnsi="宋体" w:cs="宋体"/>
          <w:kern w:val="0"/>
          <w:highlight w:val="none"/>
          <w:lang w:val="zh-CN"/>
        </w:rPr>
        <w:t>第一部分“投标邀请”中各包投标人资格要求</w:t>
      </w:r>
      <w:r>
        <w:rPr>
          <w:rFonts w:hint="eastAsia" w:ascii="宋体" w:hAnsi="宋体" w:cs="宋体"/>
          <w:highlight w:val="none"/>
          <w:shd w:val="clear" w:color="auto" w:fill="FFFFFF"/>
        </w:rPr>
        <w:t>的；</w:t>
      </w:r>
    </w:p>
    <w:p w14:paraId="53AFA748">
      <w:pPr>
        <w:numPr>
          <w:ilvl w:val="0"/>
          <w:numId w:val="3"/>
        </w:numPr>
        <w:tabs>
          <w:tab w:val="left" w:pos="960"/>
        </w:tabs>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未按第11.1要求提供相关资料的；</w:t>
      </w:r>
    </w:p>
    <w:p w14:paraId="14B15A03">
      <w:pPr>
        <w:numPr>
          <w:ilvl w:val="0"/>
          <w:numId w:val="3"/>
        </w:numPr>
        <w:tabs>
          <w:tab w:val="left" w:pos="960"/>
        </w:tabs>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kern w:val="0"/>
          <w:highlight w:val="none"/>
        </w:rPr>
        <w:t>资格性审查文件未按招标文件规定和要求签字、盖章的；</w:t>
      </w:r>
    </w:p>
    <w:p w14:paraId="72D6EB4B">
      <w:pPr>
        <w:numPr>
          <w:ilvl w:val="0"/>
          <w:numId w:val="3"/>
        </w:numPr>
        <w:tabs>
          <w:tab w:val="left" w:pos="960"/>
        </w:tabs>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报价超过招标文件中规定的预算金额或者最高限价的；</w:t>
      </w:r>
    </w:p>
    <w:p w14:paraId="3A0DA404">
      <w:pPr>
        <w:numPr>
          <w:ilvl w:val="0"/>
          <w:numId w:val="3"/>
        </w:numPr>
        <w:tabs>
          <w:tab w:val="left" w:pos="960"/>
        </w:tabs>
        <w:autoSpaceDE w:val="0"/>
        <w:autoSpaceDN w:val="0"/>
        <w:spacing w:line="360" w:lineRule="auto"/>
        <w:ind w:firstLine="480" w:firstLineChars="200"/>
        <w:rPr>
          <w:rFonts w:hint="eastAsia" w:ascii="宋体" w:hAnsi="宋体" w:cs="宋体"/>
          <w:highlight w:val="none"/>
          <w:lang w:val="zh-CN"/>
        </w:rPr>
      </w:pPr>
      <w:r>
        <w:rPr>
          <w:rFonts w:hint="eastAsia" w:ascii="宋体" w:hAnsi="宋体" w:cs="宋体"/>
          <w:kern w:val="0"/>
          <w:highlight w:val="none"/>
          <w:lang w:val="zh-CN"/>
        </w:rPr>
        <w:t>投标有效期不能满足招标文件要求的；</w:t>
      </w:r>
    </w:p>
    <w:p w14:paraId="385A0C63">
      <w:pPr>
        <w:pStyle w:val="28"/>
        <w:spacing w:before="0" w:after="0" w:line="360" w:lineRule="auto"/>
        <w:rPr>
          <w:rFonts w:hint="eastAsia" w:ascii="宋体" w:hAnsi="宋体" w:cs="宋体"/>
          <w:highlight w:val="none"/>
        </w:rPr>
      </w:pPr>
      <w:bookmarkStart w:id="74" w:name="_Toc2166"/>
      <w:bookmarkStart w:id="75" w:name="_Toc29548"/>
      <w:r>
        <w:rPr>
          <w:rFonts w:hint="eastAsia" w:ascii="宋体" w:hAnsi="宋体" w:cs="宋体"/>
          <w:highlight w:val="none"/>
          <w:lang w:val="zh-CN"/>
        </w:rPr>
        <w:t>七、评审程序及方法</w:t>
      </w:r>
      <w:bookmarkEnd w:id="74"/>
      <w:bookmarkEnd w:id="75"/>
    </w:p>
    <w:p w14:paraId="719A111F">
      <w:pPr>
        <w:pStyle w:val="28"/>
        <w:spacing w:before="0" w:after="0" w:line="360" w:lineRule="auto"/>
        <w:jc w:val="left"/>
        <w:rPr>
          <w:rFonts w:hint="eastAsia" w:ascii="宋体" w:hAnsi="宋体" w:cs="宋体"/>
          <w:highlight w:val="none"/>
          <w:lang w:val="zh-CN"/>
        </w:rPr>
      </w:pPr>
      <w:bookmarkStart w:id="76" w:name="_Toc26293"/>
      <w:bookmarkStart w:id="77" w:name="_Toc12144"/>
      <w:r>
        <w:rPr>
          <w:rFonts w:hint="eastAsia" w:ascii="宋体" w:hAnsi="宋体" w:cs="宋体"/>
          <w:sz w:val="28"/>
          <w:szCs w:val="28"/>
          <w:highlight w:val="none"/>
          <w:lang w:val="zh-CN"/>
        </w:rPr>
        <w:t>1</w:t>
      </w:r>
      <w:r>
        <w:rPr>
          <w:rFonts w:hint="eastAsia" w:ascii="宋体" w:hAnsi="宋体" w:cs="宋体"/>
          <w:sz w:val="28"/>
          <w:szCs w:val="28"/>
          <w:highlight w:val="none"/>
        </w:rPr>
        <w:t>8</w:t>
      </w:r>
      <w:r>
        <w:rPr>
          <w:rFonts w:hint="eastAsia" w:ascii="宋体" w:hAnsi="宋体" w:cs="宋体"/>
          <w:sz w:val="28"/>
          <w:szCs w:val="28"/>
          <w:highlight w:val="none"/>
          <w:lang w:val="zh-CN"/>
        </w:rPr>
        <w:t>.评标委员会</w:t>
      </w:r>
      <w:bookmarkEnd w:id="76"/>
      <w:bookmarkEnd w:id="77"/>
    </w:p>
    <w:p w14:paraId="3E8FC653">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rPr>
        <w:t xml:space="preserve">18.1 </w:t>
      </w:r>
      <w:r>
        <w:rPr>
          <w:rFonts w:hint="eastAsia" w:ascii="宋体" w:hAnsi="宋体" w:cs="宋体"/>
          <w:kern w:val="0"/>
          <w:highlight w:val="none"/>
          <w:lang w:val="zh-CN"/>
        </w:rPr>
        <w:t>采购代理机构负责组织评标工作，并履行下列职责：</w:t>
      </w:r>
    </w:p>
    <w:p w14:paraId="2CB845EE">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zh-CN"/>
        </w:rPr>
        <w:t>）核对评审专家身份和采购人代表授权函，对评审专家在政府采购活动中的职责履行情况予以记录，并及时将有关违法违规行为向财政部门报告；</w:t>
      </w:r>
    </w:p>
    <w:p w14:paraId="345F84E4">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2</w:t>
      </w:r>
      <w:r>
        <w:rPr>
          <w:rFonts w:hint="eastAsia" w:ascii="宋体" w:hAnsi="宋体" w:cs="宋体"/>
          <w:kern w:val="0"/>
          <w:highlight w:val="none"/>
          <w:lang w:val="zh-CN"/>
        </w:rPr>
        <w:t>）宣布评标纪律；</w:t>
      </w:r>
    </w:p>
    <w:p w14:paraId="4F79F8F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3</w:t>
      </w:r>
      <w:r>
        <w:rPr>
          <w:rFonts w:hint="eastAsia" w:ascii="宋体" w:hAnsi="宋体" w:cs="宋体"/>
          <w:kern w:val="0"/>
          <w:highlight w:val="none"/>
          <w:lang w:val="zh-CN"/>
        </w:rPr>
        <w:t>）公布投标人名单，告知评审专家应当回避的情形；</w:t>
      </w:r>
    </w:p>
    <w:p w14:paraId="1551094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4</w:t>
      </w:r>
      <w:r>
        <w:rPr>
          <w:rFonts w:hint="eastAsia" w:ascii="宋体" w:hAnsi="宋体" w:cs="宋体"/>
          <w:kern w:val="0"/>
          <w:highlight w:val="none"/>
          <w:lang w:val="zh-CN"/>
        </w:rPr>
        <w:t>）组织评标委员会推选评标组长，采购人代表不得担任组长；</w:t>
      </w:r>
    </w:p>
    <w:p w14:paraId="60DDB1B2">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5</w:t>
      </w:r>
      <w:r>
        <w:rPr>
          <w:rFonts w:hint="eastAsia" w:ascii="宋体" w:hAnsi="宋体" w:cs="宋体"/>
          <w:kern w:val="0"/>
          <w:highlight w:val="none"/>
          <w:lang w:val="zh-CN"/>
        </w:rPr>
        <w:t>）在评标期间采取必要的通讯管理措施，保证评标活动不受外界干扰；</w:t>
      </w:r>
    </w:p>
    <w:p w14:paraId="33F6EFC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6</w:t>
      </w:r>
      <w:r>
        <w:rPr>
          <w:rFonts w:hint="eastAsia" w:ascii="宋体" w:hAnsi="宋体" w:cs="宋体"/>
          <w:kern w:val="0"/>
          <w:highlight w:val="none"/>
          <w:lang w:val="zh-CN"/>
        </w:rPr>
        <w:t>）根据评标委员会的要求介绍政府采购相关政策法规、招标文件；</w:t>
      </w:r>
    </w:p>
    <w:p w14:paraId="23587CC8">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7</w:t>
      </w:r>
      <w:r>
        <w:rPr>
          <w:rFonts w:hint="eastAsia" w:ascii="宋体" w:hAnsi="宋体" w:cs="宋体"/>
          <w:kern w:val="0"/>
          <w:highlight w:val="none"/>
          <w:lang w:val="zh-CN"/>
        </w:rPr>
        <w:t>）维护评标秩序，监督评标委员会依照招标文件规定的评标程序、方法和标准进行独立评审，及时制止和纠正采购人代表、评审专家的倾向性言论或者违法违规行为；</w:t>
      </w:r>
    </w:p>
    <w:p w14:paraId="14B7CAF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8</w:t>
      </w:r>
      <w:r>
        <w:rPr>
          <w:rFonts w:hint="eastAsia" w:ascii="宋体" w:hAnsi="宋体" w:cs="宋体"/>
          <w:kern w:val="0"/>
          <w:highlight w:val="none"/>
          <w:lang w:val="zh-CN"/>
        </w:rPr>
        <w:t>）核对评标结果，有</w:t>
      </w:r>
      <w:r>
        <w:rPr>
          <w:rFonts w:hint="eastAsia" w:ascii="宋体" w:hAnsi="宋体" w:cs="宋体"/>
          <w:kern w:val="0"/>
          <w:highlight w:val="none"/>
        </w:rPr>
        <w:t>20.4</w:t>
      </w:r>
      <w:r>
        <w:rPr>
          <w:rFonts w:hint="eastAsia" w:ascii="宋体" w:hAnsi="宋体" w:cs="宋体"/>
          <w:kern w:val="0"/>
          <w:highlight w:val="none"/>
          <w:lang w:val="zh-CN"/>
        </w:rPr>
        <w:t>规定情形的，要求评标委员会复核或者书面说明理由，评标委员会拒绝的，应予记录并向本级财政部门报告；</w:t>
      </w:r>
    </w:p>
    <w:p w14:paraId="69F1418F">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9</w:t>
      </w:r>
      <w:r>
        <w:rPr>
          <w:rFonts w:hint="eastAsia" w:ascii="宋体" w:hAnsi="宋体" w:cs="宋体"/>
          <w:kern w:val="0"/>
          <w:highlight w:val="none"/>
          <w:lang w:val="zh-CN"/>
        </w:rPr>
        <w:t>）评审工作完成后，按照规定由采购人向评审专家支付劳务报酬和异地评审差旅费，不得向评审专家以外的其他人员支付评审劳务报酬；</w:t>
      </w:r>
    </w:p>
    <w:p w14:paraId="676D0C20">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10</w:t>
      </w:r>
      <w:r>
        <w:rPr>
          <w:rFonts w:hint="eastAsia" w:ascii="宋体" w:hAnsi="宋体" w:cs="宋体"/>
          <w:kern w:val="0"/>
          <w:highlight w:val="none"/>
          <w:lang w:val="zh-CN"/>
        </w:rPr>
        <w:t>）处理与评标有关的其他事项。</w:t>
      </w:r>
    </w:p>
    <w:p w14:paraId="5D77072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lang w:val="zh-CN"/>
        </w:rPr>
        <w:t>采购人可以在评标前说明项目背景和采购需求，说明内容不得含有歧视性、倾向性意见，不得超出招标文件所述范围。说明应当提交书面材料，并随采购文件一并存档。</w:t>
      </w:r>
    </w:p>
    <w:p w14:paraId="3A5A7A13">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18.2 评标委员会负责具体评标事务，并独立履行下列职责：</w:t>
      </w:r>
    </w:p>
    <w:p w14:paraId="3C09FE00">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严格遵守评审工作纪律,按照客观、公正、审慎的原则,根据采购文件规定的评审程序、评审方法和评审标准进行独立评审</w:t>
      </w:r>
      <w:r>
        <w:rPr>
          <w:rFonts w:hint="eastAsia" w:ascii="宋体" w:hAnsi="宋体" w:cs="宋体"/>
          <w:kern w:val="0"/>
          <w:highlight w:val="none"/>
          <w:lang w:val="zh-CN"/>
        </w:rPr>
        <w:t>；</w:t>
      </w:r>
    </w:p>
    <w:p w14:paraId="66620A55">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现采购文件内容违反国家有关强制性规定或者采购文件存在歧义、重大缺陷导致评审工作无法进行时,应当停止评审并向采购人或者采购代理机构书面说明情况</w:t>
      </w:r>
      <w:r>
        <w:rPr>
          <w:rFonts w:hint="eastAsia" w:ascii="宋体" w:hAnsi="宋体" w:cs="宋体"/>
          <w:kern w:val="0"/>
          <w:highlight w:val="none"/>
          <w:lang w:val="zh-CN"/>
        </w:rPr>
        <w:t>；</w:t>
      </w:r>
    </w:p>
    <w:p w14:paraId="5A3351E4">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审查、评价投标文件是否符合招标文件的商务、技术等实质性要求</w:t>
      </w:r>
      <w:r>
        <w:rPr>
          <w:rFonts w:hint="eastAsia" w:ascii="宋体" w:hAnsi="宋体" w:cs="宋体"/>
          <w:kern w:val="0"/>
          <w:highlight w:val="none"/>
          <w:lang w:val="zh-CN"/>
        </w:rPr>
        <w:t>；</w:t>
      </w:r>
    </w:p>
    <w:p w14:paraId="7DD9910F">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要求投标人对投标文件有关事项作出澄清或者说明；</w:t>
      </w:r>
    </w:p>
    <w:p w14:paraId="1E9EE89C">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对投标文件进行比较和评价；</w:t>
      </w:r>
    </w:p>
    <w:p w14:paraId="514E5B66">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确定中标候选人名单，以及根据采购人委托直接确定中标人；</w:t>
      </w:r>
    </w:p>
    <w:p w14:paraId="461530C5">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配合答复投标人的询问、质疑和投诉等事项,不得泄露评审文件、评审情况和在评审过程中获悉的商业秘密</w:t>
      </w:r>
      <w:r>
        <w:rPr>
          <w:rFonts w:hint="eastAsia" w:ascii="宋体" w:hAnsi="宋体" w:cs="宋体"/>
          <w:kern w:val="0"/>
          <w:highlight w:val="none"/>
          <w:lang w:val="zh-CN"/>
        </w:rPr>
        <w:t>；</w:t>
      </w:r>
    </w:p>
    <w:p w14:paraId="35FCD1CE">
      <w:pPr>
        <w:numPr>
          <w:ilvl w:val="0"/>
          <w:numId w:val="4"/>
        </w:num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向采购人、采购代理机构或者有关部门报告评标中发现的违法行为。</w:t>
      </w:r>
    </w:p>
    <w:p w14:paraId="3F099651">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18.3 评标委员会由采购人代表和评审专家组成，成员人数应当为5人以上单数，其中评审专家不得少于成员总数的三分之二。</w:t>
      </w:r>
    </w:p>
    <w:p w14:paraId="6DD86A07">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采购项目符合下列情形之一的，评标委员会成员人数应当为7人以上单数：</w:t>
      </w:r>
    </w:p>
    <w:p w14:paraId="22688F1F">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（1）采购预算金额在1000万元以上；</w:t>
      </w:r>
    </w:p>
    <w:p w14:paraId="2047666A">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（2）技术复杂；</w:t>
      </w:r>
    </w:p>
    <w:p w14:paraId="6E30B54A">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（3）社会影响较大。</w:t>
      </w:r>
    </w:p>
    <w:p w14:paraId="5DA7CE5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评审专家对本单位的采购项目只能作为采购人代表参与评标。采购代理机构工作人员不得参加由本机构代理的政府采购项目的评标。</w:t>
      </w:r>
    </w:p>
    <w:p w14:paraId="09A3E68E">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评标委员会成员名单在评标结果公告前应当保密。</w:t>
      </w:r>
    </w:p>
    <w:p w14:paraId="6FD08E3B">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 xml:space="preserve">18.4 </w:t>
      </w:r>
      <w:r>
        <w:rPr>
          <w:rFonts w:hint="eastAsia" w:ascii="宋体" w:hAnsi="宋体" w:cs="宋体"/>
          <w:kern w:val="0"/>
          <w:highlight w:val="none"/>
          <w:lang w:val="zh-CN"/>
        </w:rPr>
        <w:t>采购代理机构</w:t>
      </w:r>
      <w:r>
        <w:rPr>
          <w:rFonts w:hint="eastAsia" w:ascii="宋体" w:hAnsi="宋体" w:cs="宋体"/>
          <w:kern w:val="0"/>
          <w:highlight w:val="none"/>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2EED5390">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lang w:val="zh-CN"/>
        </w:rPr>
        <w:t>1</w:t>
      </w:r>
      <w:r>
        <w:rPr>
          <w:rFonts w:hint="eastAsia" w:ascii="宋体" w:hAnsi="宋体" w:cs="宋体"/>
          <w:kern w:val="0"/>
          <w:highlight w:val="none"/>
        </w:rPr>
        <w:t>8</w:t>
      </w:r>
      <w:r>
        <w:rPr>
          <w:rFonts w:hint="eastAsia" w:ascii="宋体" w:hAnsi="宋体" w:cs="宋体"/>
          <w:kern w:val="0"/>
          <w:highlight w:val="none"/>
          <w:lang w:val="zh-CN"/>
        </w:rPr>
        <w:t>.</w:t>
      </w:r>
      <w:r>
        <w:rPr>
          <w:rFonts w:hint="eastAsia" w:ascii="宋体" w:hAnsi="宋体" w:cs="宋体"/>
          <w:kern w:val="0"/>
          <w:highlight w:val="none"/>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61AB84F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采购代理机构</w:t>
      </w:r>
      <w:r>
        <w:rPr>
          <w:rFonts w:hint="eastAsia" w:ascii="宋体" w:hAnsi="宋体" w:cs="宋体"/>
          <w:kern w:val="0"/>
          <w:highlight w:val="none"/>
        </w:rPr>
        <w:t>应当将变更、重新组建评标委员会的情况予以记录，并随采购文件一并存档。</w:t>
      </w:r>
    </w:p>
    <w:p w14:paraId="0C18E6C7">
      <w:pPr>
        <w:pStyle w:val="28"/>
        <w:spacing w:before="0" w:after="0" w:line="360" w:lineRule="auto"/>
        <w:jc w:val="left"/>
        <w:rPr>
          <w:rFonts w:hint="eastAsia" w:ascii="宋体" w:hAnsi="宋体" w:cs="宋体"/>
          <w:highlight w:val="none"/>
          <w:lang w:val="zh-CN"/>
        </w:rPr>
      </w:pPr>
      <w:bookmarkStart w:id="78" w:name="_Toc20194"/>
      <w:bookmarkStart w:id="79" w:name="_Toc24687"/>
      <w:r>
        <w:rPr>
          <w:rFonts w:hint="eastAsia" w:ascii="宋体" w:hAnsi="宋体" w:cs="宋体"/>
          <w:sz w:val="28"/>
          <w:szCs w:val="28"/>
          <w:highlight w:val="none"/>
        </w:rPr>
        <w:t>19</w:t>
      </w:r>
      <w:r>
        <w:rPr>
          <w:rFonts w:hint="eastAsia" w:ascii="宋体" w:hAnsi="宋体" w:cs="宋体"/>
          <w:sz w:val="28"/>
          <w:szCs w:val="28"/>
          <w:highlight w:val="none"/>
          <w:lang w:val="zh-CN"/>
        </w:rPr>
        <w:t>.评审工作程序</w:t>
      </w:r>
      <w:bookmarkEnd w:id="78"/>
      <w:bookmarkEnd w:id="79"/>
    </w:p>
    <w:p w14:paraId="325A1B1D">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rPr>
        <w:t>9</w:t>
      </w:r>
      <w:r>
        <w:rPr>
          <w:rFonts w:hint="eastAsia" w:ascii="宋体" w:hAnsi="宋体" w:cs="宋体"/>
          <w:kern w:val="0"/>
          <w:highlight w:val="none"/>
          <w:lang w:val="zh-CN"/>
        </w:rPr>
        <w:t>.1</w:t>
      </w:r>
      <w:r>
        <w:rPr>
          <w:rFonts w:hint="eastAsia" w:ascii="宋体" w:hAnsi="宋体" w:cs="宋体"/>
          <w:kern w:val="0"/>
          <w:highlight w:val="none"/>
        </w:rPr>
        <w:t xml:space="preserve"> </w:t>
      </w:r>
      <w:r>
        <w:rPr>
          <w:rFonts w:hint="eastAsia" w:ascii="宋体" w:hAnsi="宋体" w:cs="宋体"/>
          <w:kern w:val="0"/>
          <w:highlight w:val="none"/>
          <w:lang w:val="zh-CN"/>
        </w:rPr>
        <w:t>评标委员会应当对符合资格的投标人的符合性文件进行审查，以确定其是否满足招标文件的实质性要求。</w:t>
      </w:r>
    </w:p>
    <w:p w14:paraId="45CEF190">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rPr>
        <w:t>19.1.1</w:t>
      </w:r>
      <w:r>
        <w:rPr>
          <w:rFonts w:hint="eastAsia" w:ascii="宋体" w:hAnsi="宋体" w:cs="宋体"/>
          <w:b/>
          <w:bCs/>
          <w:kern w:val="0"/>
          <w:highlight w:val="none"/>
        </w:rPr>
        <w:t xml:space="preserve"> </w:t>
      </w:r>
      <w:r>
        <w:rPr>
          <w:rFonts w:hint="eastAsia" w:ascii="宋体" w:hAnsi="宋体" w:cs="宋体"/>
          <w:kern w:val="0"/>
          <w:highlight w:val="none"/>
          <w:lang w:val="zh-CN"/>
        </w:rPr>
        <w:t>投标文件中含义不明确、同类问题表述不一致或者有明显文字和计算错误的内容，评标委员会应当以书面形式要求投标人作出必要的澄清、说明或者补正。</w:t>
      </w:r>
    </w:p>
    <w:p w14:paraId="2F160CD6">
      <w:pPr>
        <w:autoSpaceDE w:val="0"/>
        <w:autoSpaceDN w:val="0"/>
        <w:spacing w:line="360" w:lineRule="auto"/>
        <w:ind w:firstLine="480" w:firstLineChars="200"/>
        <w:rPr>
          <w:rFonts w:hint="eastAsia" w:ascii="宋体" w:hAnsi="宋体" w:cs="宋体"/>
          <w:b/>
          <w:bCs/>
          <w:kern w:val="0"/>
          <w:highlight w:val="none"/>
        </w:rPr>
      </w:pPr>
      <w:r>
        <w:rPr>
          <w:rFonts w:hint="eastAsia" w:ascii="宋体" w:hAnsi="宋体" w:cs="宋体"/>
          <w:kern w:val="0"/>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7BF73A5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rPr>
        <w:t>9</w:t>
      </w: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zh-CN"/>
        </w:rPr>
        <w:t>.2投标人存在下列情况之一的，投标无效:</w:t>
      </w:r>
    </w:p>
    <w:p w14:paraId="568527B1">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符合性审查文件未按招标文件要求签署、盖章的；</w:t>
      </w:r>
    </w:p>
    <w:p w14:paraId="4D508B4A">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highlight w:val="none"/>
          <w:lang w:val="zh-CN"/>
        </w:rPr>
        <w:t>未按第11</w:t>
      </w:r>
      <w:r>
        <w:rPr>
          <w:rFonts w:hint="eastAsia" w:ascii="宋体" w:hAnsi="宋体" w:cs="宋体"/>
          <w:highlight w:val="none"/>
        </w:rPr>
        <w:t>.</w:t>
      </w:r>
      <w:r>
        <w:rPr>
          <w:rFonts w:hint="eastAsia" w:ascii="宋体" w:hAnsi="宋体" w:cs="宋体"/>
          <w:highlight w:val="none"/>
          <w:lang w:val="zh-CN"/>
        </w:rPr>
        <w:t>2（1</w:t>
      </w:r>
      <w:r>
        <w:rPr>
          <w:rFonts w:hint="eastAsia" w:ascii="宋体" w:hAnsi="宋体" w:cs="宋体"/>
          <w:highlight w:val="none"/>
          <w:lang w:val="en-US" w:eastAsia="zh-CN"/>
        </w:rPr>
        <w:t>1</w:t>
      </w:r>
      <w:r>
        <w:rPr>
          <w:rFonts w:hint="eastAsia" w:ascii="宋体" w:hAnsi="宋体" w:cs="宋体"/>
          <w:highlight w:val="none"/>
          <w:lang w:val="zh-CN"/>
        </w:rPr>
        <w:t>）</w:t>
      </w:r>
      <w:r>
        <w:rPr>
          <w:rFonts w:hint="eastAsia" w:ascii="宋体" w:hAnsi="宋体" w:cs="楷体_GB2312"/>
          <w:highlight w:val="none"/>
          <w:lang w:val="zh-CN"/>
        </w:rPr>
        <w:t>-</w:t>
      </w:r>
      <w:r>
        <w:rPr>
          <w:rFonts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en-US" w:eastAsia="zh-CN"/>
        </w:rPr>
        <w:t>2</w:t>
      </w:r>
      <w:r>
        <w:rPr>
          <w:rFonts w:ascii="宋体" w:hAnsi="宋体" w:cs="宋体"/>
          <w:highlight w:val="none"/>
          <w:lang w:val="zh-CN"/>
        </w:rPr>
        <w:t>）</w:t>
      </w:r>
      <w:r>
        <w:rPr>
          <w:rFonts w:hint="eastAsia" w:ascii="宋体" w:hAnsi="宋体" w:cs="宋体"/>
          <w:highlight w:val="none"/>
          <w:lang w:val="zh-CN"/>
        </w:rPr>
        <w:t>款要求提供相关资料的；</w:t>
      </w:r>
    </w:p>
    <w:p w14:paraId="25FC757E">
      <w:pPr>
        <w:numPr>
          <w:ilvl w:val="0"/>
          <w:numId w:val="5"/>
        </w:num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投标文件含有采购人不能接受的附加条件的；</w:t>
      </w:r>
    </w:p>
    <w:p w14:paraId="613433EB">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rPr>
        <w:t>服务期</w:t>
      </w:r>
      <w:r>
        <w:rPr>
          <w:rFonts w:hint="eastAsia" w:ascii="宋体" w:hAnsi="宋体" w:cs="宋体"/>
          <w:kern w:val="0"/>
          <w:highlight w:val="none"/>
          <w:lang w:val="zh-CN"/>
        </w:rPr>
        <w:t>不能满足招标文件要求的；</w:t>
      </w:r>
    </w:p>
    <w:p w14:paraId="2AB8B3B6">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highlight w:val="none"/>
        </w:rPr>
        <w:t>投标总报价超过招标文件规定的采购预算额度或者最高限价的；</w:t>
      </w:r>
    </w:p>
    <w:p w14:paraId="15AAFE5B">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存在串通投标行为；</w:t>
      </w:r>
    </w:p>
    <w:p w14:paraId="3D3F2A19">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highlight w:val="none"/>
        </w:rPr>
        <w:t>投标报价出现前后不一致，又不按19.1.3进行确认的；</w:t>
      </w:r>
    </w:p>
    <w:p w14:paraId="0DC4DDFE">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参与同一个包</w:t>
      </w:r>
      <w:r>
        <w:rPr>
          <w:rFonts w:hint="eastAsia" w:ascii="宋体" w:hAnsi="宋体" w:cs="宋体"/>
          <w:kern w:val="0"/>
          <w:highlight w:val="none"/>
        </w:rPr>
        <w:t>的</w:t>
      </w:r>
      <w:r>
        <w:rPr>
          <w:rFonts w:hint="eastAsia" w:ascii="宋体" w:hAnsi="宋体" w:cs="宋体"/>
          <w:kern w:val="0"/>
          <w:highlight w:val="none"/>
          <w:lang w:val="zh-CN"/>
        </w:rPr>
        <w:t>不同供应商制作电子投标(响应)文件的计算机网卡MAC地址相同的;</w:t>
      </w:r>
    </w:p>
    <w:p w14:paraId="7042B9FB">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参与同一个包</w:t>
      </w:r>
      <w:r>
        <w:rPr>
          <w:rFonts w:hint="eastAsia" w:ascii="宋体" w:hAnsi="宋体" w:cs="宋体"/>
          <w:kern w:val="0"/>
          <w:highlight w:val="none"/>
        </w:rPr>
        <w:t>的</w:t>
      </w:r>
      <w:r>
        <w:rPr>
          <w:rFonts w:hint="eastAsia" w:ascii="宋体" w:hAnsi="宋体" w:cs="宋体"/>
          <w:kern w:val="0"/>
          <w:highlight w:val="none"/>
          <w:lang w:val="zh-CN"/>
        </w:rPr>
        <w:t>不同供应商制作电子投标(响应)文件的计算机硬盘序列号相同的;</w:t>
      </w:r>
    </w:p>
    <w:p w14:paraId="440E412B">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参与同一个包</w:t>
      </w:r>
      <w:r>
        <w:rPr>
          <w:rFonts w:hint="eastAsia" w:ascii="宋体" w:hAnsi="宋体" w:cs="宋体"/>
          <w:kern w:val="0"/>
          <w:highlight w:val="none"/>
        </w:rPr>
        <w:t>的</w:t>
      </w:r>
      <w:r>
        <w:rPr>
          <w:rFonts w:hint="eastAsia" w:ascii="宋体" w:hAnsi="宋体" w:cs="宋体"/>
          <w:kern w:val="0"/>
          <w:highlight w:val="none"/>
          <w:lang w:val="zh-CN"/>
        </w:rPr>
        <w:t>不同供应商的投标(响应)文件的内容存在两处以上细节错误一致，且无法合理解释的。</w:t>
      </w:r>
    </w:p>
    <w:p w14:paraId="1D0B048C">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highlight w:val="none"/>
        </w:rPr>
        <w:t>评标委员会认为应按无效投标处理的其他情况；</w:t>
      </w:r>
    </w:p>
    <w:p w14:paraId="61EE0CEA">
      <w:pPr>
        <w:numPr>
          <w:ilvl w:val="0"/>
          <w:numId w:val="5"/>
        </w:num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法律、法规和招标文件规定的其他无效情形。</w:t>
      </w:r>
    </w:p>
    <w:p w14:paraId="6F5671A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19.1.3 投标文件报价出现前后不一致的，按照下列规定修正：</w:t>
      </w:r>
    </w:p>
    <w:p w14:paraId="62533E47">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（1）投标文件中开标一览表（报价表）内容与投标文件中相应内容不一致的，以开标一览表（报价表）为准；</w:t>
      </w:r>
    </w:p>
    <w:p w14:paraId="2E891A90">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（2）大写金额和小写金额不一致的，以大写金额为准；</w:t>
      </w:r>
    </w:p>
    <w:p w14:paraId="5CCCC7F3">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（3）单价金额小数点或者百分比有明显错位的，以开标一览表的总价为准，并修改单价；</w:t>
      </w:r>
    </w:p>
    <w:p w14:paraId="371F939D">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（4）总价金额与按单价汇总金额不一致的，以单价金额计算结果为准。</w:t>
      </w:r>
    </w:p>
    <w:p w14:paraId="516EBBCF">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同时出现两种以上不一致的，按照前款规定的顺序修正。修正后的报价按19.1.1第二款的规定经投标人确认后产生约束力。</w:t>
      </w:r>
    </w:p>
    <w:p w14:paraId="2027E2DF">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rPr>
        <w:t xml:space="preserve">19.2 </w:t>
      </w:r>
      <w:r>
        <w:rPr>
          <w:rFonts w:hint="eastAsia" w:ascii="宋体" w:hAnsi="宋体" w:cs="宋体"/>
          <w:kern w:val="0"/>
          <w:highlight w:val="none"/>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3537435A">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根据《政府采购促进中小企业发展</w:t>
      </w:r>
      <w:r>
        <w:rPr>
          <w:rFonts w:hint="eastAsia" w:ascii="宋体" w:hAnsi="宋体" w:cs="宋体"/>
          <w:kern w:val="0"/>
          <w:highlight w:val="none"/>
        </w:rPr>
        <w:t>管理</w:t>
      </w:r>
      <w:r>
        <w:rPr>
          <w:rFonts w:hint="eastAsia" w:ascii="宋体" w:hAnsi="宋体" w:cs="宋体"/>
          <w:kern w:val="0"/>
          <w:highlight w:val="none"/>
          <w:lang w:val="zh-CN"/>
        </w:rPr>
        <w:t>办法》，属小型、微型企业制造的货物（产品），投标人须提供该制造（生产）企业出具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241FB255">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6F092A2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rPr>
        <w:t xml:space="preserve">19.3 </w:t>
      </w:r>
      <w:r>
        <w:rPr>
          <w:rFonts w:hint="eastAsia" w:ascii="宋体" w:hAnsi="宋体" w:cs="宋体"/>
          <w:kern w:val="0"/>
          <w:highlight w:val="none"/>
          <w:lang w:val="zh-CN"/>
        </w:rPr>
        <w:t>在评审过程中，</w:t>
      </w:r>
      <w:r>
        <w:rPr>
          <w:rFonts w:hint="eastAsia" w:ascii="宋体" w:hAnsi="宋体" w:cs="宋体"/>
          <w:highlight w:val="none"/>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4DA36B71">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rPr>
        <w:t>9</w:t>
      </w:r>
      <w:r>
        <w:rPr>
          <w:rFonts w:hint="eastAsia" w:ascii="宋体" w:hAnsi="宋体" w:cs="宋体"/>
          <w:kern w:val="0"/>
          <w:highlight w:val="none"/>
          <w:lang w:val="zh-CN"/>
        </w:rPr>
        <w:t>.</w:t>
      </w:r>
      <w:r>
        <w:rPr>
          <w:rFonts w:hint="eastAsia" w:ascii="宋体" w:hAnsi="宋体" w:cs="宋体"/>
          <w:kern w:val="0"/>
          <w:highlight w:val="none"/>
        </w:rPr>
        <w:t>4</w:t>
      </w:r>
      <w:r>
        <w:rPr>
          <w:rFonts w:hint="eastAsia" w:ascii="宋体" w:hAnsi="宋体" w:cs="宋体"/>
          <w:kern w:val="0"/>
          <w:highlight w:val="none"/>
          <w:lang w:val="zh-CN"/>
        </w:rPr>
        <w:t xml:space="preserve"> </w:t>
      </w:r>
      <w:r>
        <w:rPr>
          <w:rFonts w:hint="eastAsia" w:ascii="宋体" w:hAnsi="宋体" w:cs="宋体"/>
          <w:highlight w:val="none"/>
          <w:shd w:val="clear" w:color="auto" w:fill="FFFFFF"/>
        </w:rPr>
        <w:t>评标委员会应当按照招标文件中规定的评标方法和标准，对符合性审查合格的投标文件进行商务和技术评估，综合比较与评价。</w:t>
      </w:r>
    </w:p>
    <w:p w14:paraId="115DB455">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kern w:val="0"/>
          <w:highlight w:val="none"/>
          <w:lang w:val="zh-CN"/>
        </w:rPr>
        <w:t>1</w:t>
      </w:r>
      <w:r>
        <w:rPr>
          <w:rFonts w:hint="eastAsia" w:ascii="宋体" w:hAnsi="宋体" w:cs="宋体"/>
          <w:kern w:val="0"/>
          <w:highlight w:val="none"/>
        </w:rPr>
        <w:t>9</w:t>
      </w:r>
      <w:r>
        <w:rPr>
          <w:rFonts w:hint="eastAsia" w:ascii="宋体" w:hAnsi="宋体" w:cs="宋体"/>
          <w:kern w:val="0"/>
          <w:highlight w:val="none"/>
          <w:lang w:val="zh-CN"/>
        </w:rPr>
        <w:t>.</w:t>
      </w:r>
      <w:r>
        <w:rPr>
          <w:rFonts w:hint="eastAsia" w:ascii="宋体" w:hAnsi="宋体" w:cs="宋体"/>
          <w:kern w:val="0"/>
          <w:highlight w:val="none"/>
        </w:rPr>
        <w:t xml:space="preserve">5 </w:t>
      </w:r>
      <w:r>
        <w:rPr>
          <w:rFonts w:hint="eastAsia" w:ascii="宋体" w:hAnsi="宋体" w:cs="宋体"/>
          <w:highlight w:val="none"/>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EC0ED3">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政府采购评审中出现下列情形之一的，评审委员会应当启动异常低价投标（响应）审查程序：</w:t>
      </w:r>
    </w:p>
    <w:p w14:paraId="0B0AF68D">
      <w:pPr>
        <w:autoSpaceDE w:val="0"/>
        <w:autoSpaceDN w:val="0"/>
        <w:spacing w:line="360" w:lineRule="auto"/>
        <w:ind w:firstLine="482" w:firstLineChars="200"/>
        <w:rPr>
          <w:rFonts w:hint="eastAsia" w:ascii="宋体" w:hAnsi="宋体" w:cs="宋体"/>
          <w:b/>
          <w:bCs/>
          <w:highlight w:val="none"/>
          <w:shd w:val="clear" w:color="auto" w:fill="FFFFFF"/>
        </w:rPr>
      </w:pPr>
      <w:r>
        <w:rPr>
          <w:rFonts w:hint="eastAsia" w:ascii="宋体" w:hAnsi="宋体" w:cs="宋体"/>
          <w:b/>
          <w:bCs/>
          <w:highlight w:val="none"/>
          <w:shd w:val="clear" w:color="auto" w:fill="FFFFFF"/>
        </w:rPr>
        <w:t>1.投标（响应）报价低于全部通过符合性审查供应商投标（响应）报价平均值</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%的，即投标（响应）报价&lt;全部通过符合性审查供应商投标（响应）报价平均值×</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w:t>
      </w:r>
    </w:p>
    <w:p w14:paraId="41D58D35">
      <w:pPr>
        <w:autoSpaceDE w:val="0"/>
        <w:autoSpaceDN w:val="0"/>
        <w:spacing w:line="360" w:lineRule="auto"/>
        <w:ind w:firstLine="482" w:firstLineChars="200"/>
        <w:rPr>
          <w:rFonts w:hint="eastAsia" w:ascii="宋体" w:hAnsi="宋体" w:cs="宋体"/>
          <w:b/>
          <w:bCs/>
          <w:highlight w:val="none"/>
          <w:shd w:val="clear" w:color="auto" w:fill="FFFFFF"/>
        </w:rPr>
      </w:pPr>
      <w:r>
        <w:rPr>
          <w:rFonts w:hint="eastAsia" w:ascii="宋体" w:hAnsi="宋体" w:cs="宋体"/>
          <w:b/>
          <w:bCs/>
          <w:highlight w:val="none"/>
          <w:shd w:val="clear" w:color="auto" w:fill="FFFFFF"/>
        </w:rPr>
        <w:t>2.投标（响应）报价低于通过符合性审查的次低报价供应商投标（响应）报价</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%的，即投标（响应）报价&lt;通过符合性审查的次低报价供应商投标（响应）报价×</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w:t>
      </w:r>
    </w:p>
    <w:p w14:paraId="4032D756">
      <w:pPr>
        <w:autoSpaceDE w:val="0"/>
        <w:autoSpaceDN w:val="0"/>
        <w:spacing w:line="360" w:lineRule="auto"/>
        <w:ind w:firstLine="482" w:firstLineChars="200"/>
        <w:rPr>
          <w:rFonts w:hint="eastAsia" w:ascii="宋体" w:hAnsi="宋体" w:cs="宋体"/>
          <w:b/>
          <w:bCs/>
          <w:highlight w:val="none"/>
          <w:shd w:val="clear" w:color="auto" w:fill="FFFFFF"/>
        </w:rPr>
      </w:pPr>
      <w:r>
        <w:rPr>
          <w:rFonts w:hint="eastAsia" w:ascii="宋体" w:hAnsi="宋体" w:cs="宋体"/>
          <w:b/>
          <w:bCs/>
          <w:highlight w:val="none"/>
          <w:shd w:val="clear" w:color="auto" w:fill="FFFFFF"/>
        </w:rPr>
        <w:t>3.投标（响应）报价低于采购项目最高限价</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%的，即投标（响应）报价&lt;采购项目最高限价×</w:t>
      </w:r>
      <w:r>
        <w:rPr>
          <w:rFonts w:hint="eastAsia" w:ascii="宋体" w:hAnsi="宋体" w:cs="宋体"/>
          <w:b/>
          <w:bCs/>
          <w:highlight w:val="none"/>
          <w:shd w:val="clear" w:color="auto" w:fill="FFFFFF"/>
          <w:lang w:val="en-US" w:eastAsia="zh-CN"/>
        </w:rPr>
        <w:t>65</w:t>
      </w:r>
      <w:r>
        <w:rPr>
          <w:rFonts w:hint="eastAsia" w:ascii="宋体" w:hAnsi="宋体" w:cs="宋体"/>
          <w:b/>
          <w:bCs/>
          <w:highlight w:val="none"/>
          <w:shd w:val="clear" w:color="auto" w:fill="FFFFFF"/>
        </w:rPr>
        <w:t>%；</w:t>
      </w:r>
    </w:p>
    <w:p w14:paraId="1B1F9284">
      <w:pPr>
        <w:autoSpaceDE w:val="0"/>
        <w:autoSpaceDN w:val="0"/>
        <w:spacing w:line="360" w:lineRule="auto"/>
        <w:ind w:firstLine="482" w:firstLineChars="200"/>
        <w:rPr>
          <w:rFonts w:hint="eastAsia" w:ascii="宋体" w:hAnsi="宋体" w:cs="宋体"/>
          <w:b/>
          <w:bCs/>
          <w:highlight w:val="none"/>
          <w:shd w:val="clear" w:color="auto" w:fill="FFFFFF"/>
        </w:rPr>
      </w:pPr>
      <w:r>
        <w:rPr>
          <w:rFonts w:hint="eastAsia" w:ascii="宋体" w:hAnsi="宋体" w:cs="宋体"/>
          <w:b/>
          <w:bCs/>
          <w:highlight w:val="none"/>
          <w:shd w:val="clear" w:color="auto" w:fill="FFFFFF"/>
        </w:rPr>
        <w:t>4.评审委员会基于专业判断，认为供应商报价过低，有可能影响产品质量或者不能诚信履约的其他情形。</w:t>
      </w:r>
    </w:p>
    <w:p w14:paraId="0A87ABF6">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相关法律法规对供应商报价有规定的，从其规定。</w:t>
      </w:r>
    </w:p>
    <w:p w14:paraId="51D0B90E">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F9DCAF">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774D40">
      <w:pPr>
        <w:pStyle w:val="28"/>
        <w:spacing w:before="0" w:after="0" w:line="480" w:lineRule="auto"/>
        <w:jc w:val="left"/>
        <w:rPr>
          <w:rFonts w:hint="eastAsia" w:ascii="宋体" w:hAnsi="宋体" w:cs="宋体"/>
          <w:highlight w:val="none"/>
          <w:shd w:val="clear" w:color="auto" w:fill="FFFFFF"/>
        </w:rPr>
      </w:pPr>
      <w:r>
        <w:rPr>
          <w:rFonts w:hint="eastAsia" w:ascii="宋体" w:hAnsi="宋体" w:eastAsia="宋体" w:cs="宋体"/>
          <w:b w:val="0"/>
          <w:bCs w:val="0"/>
          <w:kern w:val="2"/>
          <w:sz w:val="24"/>
          <w:szCs w:val="24"/>
          <w:highlight w:val="none"/>
          <w:shd w:val="clear" w:color="auto" w:fill="FFFFFF"/>
          <w:lang w:val="en-US" w:eastAsia="zh-CN" w:bidi="ar-SA"/>
        </w:rPr>
        <w:t>答疑方式：评审委员会根据响应情况确定答疑时间，答疑或澄清在政采云平台上进行，投标人可在政采云平台了解答疑时间等信息。如在政采云平台上未回复的答疑者，视同放弃答疑。</w:t>
      </w:r>
    </w:p>
    <w:p w14:paraId="52DBD208">
      <w:pPr>
        <w:pStyle w:val="28"/>
        <w:spacing w:before="0" w:after="0" w:line="360" w:lineRule="auto"/>
        <w:jc w:val="left"/>
        <w:rPr>
          <w:rFonts w:hint="eastAsia" w:ascii="宋体" w:hAnsi="宋体" w:cs="宋体"/>
          <w:sz w:val="28"/>
          <w:szCs w:val="28"/>
          <w:highlight w:val="none"/>
          <w:lang w:val="zh-CN"/>
        </w:rPr>
      </w:pPr>
      <w:bookmarkStart w:id="80" w:name="_Toc16620"/>
      <w:bookmarkStart w:id="81" w:name="_Toc15136"/>
      <w:r>
        <w:rPr>
          <w:rFonts w:hint="eastAsia" w:ascii="宋体" w:hAnsi="宋体" w:cs="宋体"/>
          <w:sz w:val="28"/>
          <w:szCs w:val="28"/>
          <w:highlight w:val="none"/>
          <w:lang w:val="zh-CN"/>
        </w:rPr>
        <w:t>20.评审方法和标准</w:t>
      </w:r>
      <w:bookmarkEnd w:id="80"/>
      <w:bookmarkEnd w:id="81"/>
    </w:p>
    <w:p w14:paraId="56155CBD">
      <w:pPr>
        <w:autoSpaceDE w:val="0"/>
        <w:autoSpaceDN w:val="0"/>
        <w:spacing w:line="360" w:lineRule="auto"/>
        <w:ind w:firstLine="480" w:firstLineChars="200"/>
        <w:rPr>
          <w:rFonts w:hint="eastAsia" w:ascii="宋体" w:hAnsi="宋体" w:cs="宋体"/>
          <w:highlight w:val="none"/>
          <w:shd w:val="clear" w:color="auto" w:fill="FFFFFF"/>
          <w:lang w:val="zh-CN"/>
        </w:rPr>
      </w:pPr>
      <w:r>
        <w:rPr>
          <w:rFonts w:hint="eastAsia" w:ascii="宋体" w:hAnsi="宋体" w:cs="宋体"/>
          <w:highlight w:val="none"/>
          <w:shd w:val="clear" w:color="auto" w:fill="FFFFFF"/>
        </w:rPr>
        <w:t>20</w:t>
      </w:r>
      <w:r>
        <w:rPr>
          <w:rFonts w:hint="eastAsia" w:ascii="宋体" w:hAnsi="宋体" w:cs="宋体"/>
          <w:highlight w:val="none"/>
          <w:shd w:val="clear" w:color="auto" w:fill="FFFFFF"/>
          <w:lang w:val="zh-CN"/>
        </w:rPr>
        <w:t>.1</w:t>
      </w:r>
      <w:r>
        <w:rPr>
          <w:rFonts w:hint="eastAsia" w:ascii="宋体" w:hAnsi="宋体" w:cs="宋体"/>
          <w:highlight w:val="none"/>
          <w:shd w:val="clear" w:color="auto" w:fill="FFFFFF"/>
        </w:rPr>
        <w:t xml:space="preserve"> </w:t>
      </w:r>
      <w:r>
        <w:rPr>
          <w:rFonts w:hint="eastAsia" w:ascii="宋体" w:hAnsi="宋体" w:cs="宋体"/>
          <w:highlight w:val="none"/>
          <w:shd w:val="clear" w:color="auto" w:fill="FFFFFF"/>
          <w:lang w:val="zh-CN"/>
        </w:rPr>
        <w:t>依照《中华人民共和国政府采购法》、《中华人民共和国政府采购法实施条例》、《政府采购货物和服务招投标管理办法》等法律法规的规定，结合该项目的特点制定本评审办法。</w:t>
      </w:r>
    </w:p>
    <w:p w14:paraId="0C93A4B7">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20</w:t>
      </w:r>
      <w:r>
        <w:rPr>
          <w:rFonts w:hint="eastAsia" w:ascii="宋体" w:hAnsi="宋体" w:cs="宋体"/>
          <w:highlight w:val="none"/>
          <w:shd w:val="clear" w:color="auto" w:fill="FFFFFF"/>
          <w:lang w:val="zh-CN"/>
        </w:rPr>
        <w:t>.2</w:t>
      </w:r>
      <w:r>
        <w:rPr>
          <w:rFonts w:hint="eastAsia" w:ascii="宋体" w:hAnsi="宋体" w:cs="宋体"/>
          <w:highlight w:val="none"/>
          <w:shd w:val="clear" w:color="auto" w:fill="FFFFFF"/>
        </w:rPr>
        <w:t xml:space="preserve"> </w:t>
      </w:r>
      <w:r>
        <w:rPr>
          <w:rFonts w:hint="eastAsia" w:ascii="宋体" w:hAnsi="宋体" w:cs="宋体"/>
          <w:highlight w:val="none"/>
          <w:shd w:val="clear" w:color="auto" w:fill="FFFFFF"/>
          <w:lang w:val="zh-CN"/>
        </w:rPr>
        <w:t>本次评审方法采用综合评分法</w:t>
      </w:r>
      <w:r>
        <w:rPr>
          <w:rFonts w:hint="eastAsia" w:ascii="宋体" w:hAnsi="宋体" w:cs="宋体"/>
          <w:highlight w:val="none"/>
          <w:shd w:val="clear" w:color="auto" w:fill="FFFFFF"/>
        </w:rPr>
        <w:t>。</w:t>
      </w:r>
    </w:p>
    <w:p w14:paraId="1722C318">
      <w:pPr>
        <w:autoSpaceDE w:val="0"/>
        <w:autoSpaceDN w:val="0"/>
        <w:spacing w:line="360" w:lineRule="auto"/>
        <w:ind w:firstLine="480" w:firstLineChars="200"/>
        <w:rPr>
          <w:rFonts w:hint="eastAsia" w:ascii="宋体" w:hAnsi="宋体" w:cs="宋体"/>
          <w:highlight w:val="none"/>
          <w:shd w:val="clear" w:color="auto" w:fill="FFFFFF"/>
          <w:lang w:val="zh-CN"/>
        </w:rPr>
      </w:pPr>
      <w:r>
        <w:rPr>
          <w:rFonts w:hint="eastAsia" w:ascii="宋体" w:hAnsi="宋体" w:cs="宋体"/>
          <w:highlight w:val="none"/>
          <w:shd w:val="clear" w:color="auto" w:fill="FFFFFF"/>
        </w:rPr>
        <w:t>采用</w:t>
      </w:r>
      <w:r>
        <w:rPr>
          <w:rFonts w:hint="eastAsia" w:ascii="宋体" w:hAnsi="宋体" w:cs="宋体"/>
          <w:highlight w:val="none"/>
          <w:shd w:val="clear" w:color="auto" w:fill="FFFFFF"/>
          <w:lang w:val="zh-CN"/>
        </w:rPr>
        <w:t>综合评分法</w:t>
      </w:r>
    </w:p>
    <w:p w14:paraId="2BA3358E">
      <w:pPr>
        <w:autoSpaceDE w:val="0"/>
        <w:autoSpaceDN w:val="0"/>
        <w:spacing w:line="360" w:lineRule="auto"/>
        <w:ind w:firstLine="480" w:firstLineChars="200"/>
        <w:rPr>
          <w:rFonts w:hint="eastAsia" w:ascii="宋体" w:hAnsi="宋体" w:cs="宋体"/>
          <w:highlight w:val="none"/>
          <w:shd w:val="clear" w:color="auto" w:fill="FFFFFF"/>
          <w:lang w:val="zh-CN"/>
        </w:rPr>
      </w:pPr>
      <w:r>
        <w:rPr>
          <w:rFonts w:hint="eastAsia" w:ascii="宋体" w:hAnsi="宋体" w:cs="宋体"/>
          <w:highlight w:val="none"/>
          <w:shd w:val="clear" w:color="auto" w:fill="FFFFFF"/>
          <w:lang w:val="zh-CN"/>
        </w:rPr>
        <w:t>综合评分法，</w:t>
      </w:r>
      <w:r>
        <w:rPr>
          <w:rFonts w:hint="eastAsia" w:ascii="宋体" w:hAnsi="宋体" w:cs="宋体"/>
          <w:highlight w:val="none"/>
          <w:shd w:val="clear" w:color="auto" w:fill="FFFFFF"/>
        </w:rPr>
        <w:t>是指投标文件满足招标文件全部实质性要求，且按照评审因素的量化指标评审得分最高的投标人为中标候选人的评标方法</w:t>
      </w:r>
      <w:r>
        <w:rPr>
          <w:rFonts w:hint="eastAsia" w:ascii="宋体" w:hAnsi="宋体" w:cs="宋体"/>
          <w:highlight w:val="none"/>
          <w:shd w:val="clear" w:color="auto" w:fill="FFFFFF"/>
          <w:lang w:val="zh-CN"/>
        </w:rPr>
        <w:t>。</w:t>
      </w:r>
    </w:p>
    <w:p w14:paraId="2F4A4727">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评审因素的设定应当与投标人所提供货物或服务的质量相关，包括</w:t>
      </w:r>
      <w:r>
        <w:rPr>
          <w:rFonts w:hint="eastAsia" w:ascii="宋体" w:hAnsi="宋体" w:cs="宋体"/>
          <w:b/>
          <w:bCs/>
          <w:highlight w:val="none"/>
          <w:shd w:val="clear" w:color="auto" w:fill="FFFFFF"/>
        </w:rPr>
        <w:t>投标</w:t>
      </w:r>
      <w:r>
        <w:rPr>
          <w:rFonts w:hint="eastAsia" w:ascii="宋体" w:hAnsi="宋体" w:cs="宋体"/>
          <w:b/>
          <w:bCs/>
          <w:highlight w:val="none"/>
          <w:shd w:val="clear" w:color="auto" w:fill="FFFFFF"/>
          <w:lang w:val="zh-CN"/>
        </w:rPr>
        <w:t>报价、</w:t>
      </w:r>
      <w:r>
        <w:rPr>
          <w:rFonts w:hint="eastAsia" w:ascii="宋体" w:hAnsi="宋体" w:cs="宋体"/>
          <w:b/>
          <w:bCs/>
          <w:highlight w:val="none"/>
          <w:shd w:val="clear" w:color="auto" w:fill="FFFFFF"/>
          <w:lang w:val="en-US" w:eastAsia="zh-CN"/>
        </w:rPr>
        <w:t>履约能力</w:t>
      </w:r>
      <w:r>
        <w:rPr>
          <w:rFonts w:hint="eastAsia" w:ascii="宋体" w:hAnsi="宋体" w:cs="宋体"/>
          <w:b/>
          <w:bCs/>
          <w:highlight w:val="none"/>
          <w:shd w:val="clear" w:color="auto" w:fill="FFFFFF"/>
        </w:rPr>
        <w:t>、技术</w:t>
      </w:r>
      <w:r>
        <w:rPr>
          <w:rFonts w:hint="eastAsia" w:ascii="宋体" w:hAnsi="宋体" w:cs="宋体"/>
          <w:b/>
          <w:bCs/>
          <w:highlight w:val="none"/>
          <w:shd w:val="clear" w:color="auto" w:fill="FFFFFF"/>
          <w:lang w:val="en-US" w:eastAsia="zh-CN"/>
        </w:rPr>
        <w:t>水平</w:t>
      </w:r>
      <w:r>
        <w:rPr>
          <w:rFonts w:hint="eastAsia" w:ascii="宋体" w:hAnsi="宋体" w:cs="宋体"/>
          <w:highlight w:val="none"/>
          <w:shd w:val="clear" w:color="auto" w:fill="FFFFFF"/>
        </w:rPr>
        <w:t>等。资格条件不得作为评审因素。</w:t>
      </w:r>
    </w:p>
    <w:p w14:paraId="4F987058">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highlight w:val="none"/>
          <w:shd w:val="clear" w:color="auto" w:fill="FFFFFF"/>
        </w:rPr>
        <w:t>评审因素应当细化和量化，且与相应的商务条件和采购需求对应。商务条件</w:t>
      </w:r>
      <w:r>
        <w:rPr>
          <w:rFonts w:hint="eastAsia" w:ascii="宋体" w:hAnsi="宋体" w:cs="宋体"/>
          <w:color w:val="auto"/>
          <w:highlight w:val="none"/>
          <w:shd w:val="clear" w:color="auto" w:fill="FFFFFF"/>
        </w:rPr>
        <w:t>和采购需求指标有区间规定的，评审因素应当量化到相应区间，并设置各区间对应的不同分值。</w:t>
      </w:r>
    </w:p>
    <w:p w14:paraId="261ABD42">
      <w:pPr>
        <w:pStyle w:val="19"/>
        <w:ind w:firstLine="420"/>
        <w:rPr>
          <w:rFonts w:hint="eastAsia" w:hAnsi="宋体" w:cs="宋体"/>
          <w:b/>
          <w:bCs/>
          <w:color w:val="auto"/>
          <w:sz w:val="24"/>
          <w:szCs w:val="24"/>
          <w:highlight w:val="none"/>
          <w:shd w:val="clear" w:color="auto" w:fill="FFFFFF"/>
        </w:rPr>
      </w:pPr>
      <w:r>
        <w:rPr>
          <w:rFonts w:hint="eastAsia" w:hAnsi="宋体" w:cs="宋体"/>
          <w:b/>
          <w:bCs/>
          <w:color w:val="auto"/>
          <w:sz w:val="24"/>
          <w:szCs w:val="24"/>
          <w:highlight w:val="none"/>
          <w:shd w:val="clear" w:color="auto" w:fill="FFFFFF"/>
        </w:rPr>
        <w:t>评审标准：</w:t>
      </w:r>
    </w:p>
    <w:p w14:paraId="551637CF">
      <w:pPr>
        <w:pStyle w:val="19"/>
        <w:ind w:firstLine="420"/>
        <w:rPr>
          <w:rFonts w:hint="eastAsia" w:hAnsi="宋体" w:cs="宋体"/>
          <w:b/>
          <w:bCs/>
          <w:color w:val="auto"/>
          <w:sz w:val="24"/>
          <w:szCs w:val="24"/>
          <w:highlight w:val="none"/>
          <w:shd w:val="clear" w:color="auto" w:fill="FFFFFF"/>
        </w:rPr>
      </w:pPr>
    </w:p>
    <w:tbl>
      <w:tblPr>
        <w:tblStyle w:val="31"/>
        <w:tblW w:w="499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57"/>
        <w:gridCol w:w="1027"/>
        <w:gridCol w:w="1071"/>
        <w:gridCol w:w="5357"/>
      </w:tblGrid>
      <w:tr w14:paraId="21AC9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621" w:type="pct"/>
            <w:tcBorders>
              <w:top w:val="single" w:color="auto" w:sz="4" w:space="0"/>
              <w:left w:val="single" w:color="auto" w:sz="4" w:space="0"/>
              <w:bottom w:val="single" w:color="auto" w:sz="4" w:space="0"/>
              <w:right w:val="single" w:color="auto" w:sz="4" w:space="0"/>
            </w:tcBorders>
            <w:noWrap w:val="0"/>
            <w:vAlign w:val="center"/>
          </w:tcPr>
          <w:p w14:paraId="37DBF022">
            <w:pPr>
              <w:spacing w:line="240" w:lineRule="auto"/>
              <w:jc w:val="center"/>
              <w:rPr>
                <w:rFonts w:hint="eastAsia" w:ascii="宋体" w:hAnsi="宋体"/>
                <w:sz w:val="24"/>
                <w:szCs w:val="24"/>
                <w:highlight w:val="none"/>
              </w:rPr>
            </w:pPr>
            <w:r>
              <w:rPr>
                <w:rFonts w:hint="eastAsia" w:ascii="宋体" w:hAnsi="宋体"/>
                <w:sz w:val="24"/>
                <w:szCs w:val="24"/>
                <w:highlight w:val="none"/>
              </w:rPr>
              <w:t>评审项目</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129B4E3">
            <w:pPr>
              <w:spacing w:line="240" w:lineRule="auto"/>
              <w:jc w:val="center"/>
              <w:rPr>
                <w:rFonts w:hint="eastAsia" w:ascii="宋体" w:hAnsi="宋体"/>
                <w:sz w:val="24"/>
                <w:szCs w:val="24"/>
                <w:highlight w:val="none"/>
              </w:rPr>
            </w:pPr>
            <w:r>
              <w:rPr>
                <w:rFonts w:hint="eastAsia" w:ascii="宋体" w:hAnsi="宋体"/>
                <w:sz w:val="24"/>
                <w:szCs w:val="24"/>
                <w:highlight w:val="none"/>
              </w:rPr>
              <w:t>内容</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5969A959">
            <w:pPr>
              <w:spacing w:line="240" w:lineRule="auto"/>
              <w:jc w:val="center"/>
              <w:rPr>
                <w:rFonts w:hint="eastAsia" w:ascii="宋体" w:hAnsi="宋体"/>
                <w:sz w:val="24"/>
                <w:szCs w:val="24"/>
                <w:highlight w:val="none"/>
              </w:rPr>
            </w:pPr>
            <w:r>
              <w:rPr>
                <w:rFonts w:hint="eastAsia" w:ascii="宋体" w:hAnsi="宋体"/>
                <w:sz w:val="24"/>
                <w:szCs w:val="24"/>
                <w:highlight w:val="none"/>
              </w:rPr>
              <w:t>满分分值</w:t>
            </w:r>
          </w:p>
        </w:tc>
        <w:tc>
          <w:tcPr>
            <w:tcW w:w="3146" w:type="pct"/>
            <w:tcBorders>
              <w:top w:val="single" w:color="auto" w:sz="4" w:space="0"/>
              <w:left w:val="single" w:color="auto" w:sz="4" w:space="0"/>
              <w:bottom w:val="single" w:color="auto" w:sz="4" w:space="0"/>
              <w:right w:val="single" w:color="auto" w:sz="4" w:space="0"/>
            </w:tcBorders>
            <w:noWrap w:val="0"/>
            <w:vAlign w:val="center"/>
          </w:tcPr>
          <w:p w14:paraId="08367CFC">
            <w:pPr>
              <w:spacing w:line="240" w:lineRule="auto"/>
              <w:ind w:firstLine="420"/>
              <w:jc w:val="center"/>
              <w:rPr>
                <w:rFonts w:hint="eastAsia" w:ascii="宋体" w:hAnsi="宋体"/>
                <w:sz w:val="24"/>
                <w:szCs w:val="24"/>
                <w:highlight w:val="none"/>
              </w:rPr>
            </w:pPr>
            <w:r>
              <w:rPr>
                <w:rFonts w:hint="eastAsia" w:ascii="宋体" w:hAnsi="宋体"/>
                <w:sz w:val="24"/>
                <w:szCs w:val="24"/>
                <w:highlight w:val="none"/>
              </w:rPr>
              <w:t>评审标准</w:t>
            </w:r>
          </w:p>
        </w:tc>
      </w:tr>
      <w:tr w14:paraId="2EB75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7" w:hRule="atLeast"/>
          <w:jc w:val="center"/>
        </w:trPr>
        <w:tc>
          <w:tcPr>
            <w:tcW w:w="621" w:type="pct"/>
            <w:tcBorders>
              <w:top w:val="single" w:color="auto" w:sz="4" w:space="0"/>
              <w:left w:val="single" w:color="auto" w:sz="4" w:space="0"/>
              <w:bottom w:val="single" w:color="auto" w:sz="4" w:space="0"/>
              <w:right w:val="single" w:color="auto" w:sz="4" w:space="0"/>
            </w:tcBorders>
            <w:noWrap w:val="0"/>
            <w:vAlign w:val="center"/>
          </w:tcPr>
          <w:p w14:paraId="7D070C47">
            <w:pPr>
              <w:pStyle w:val="134"/>
              <w:spacing w:line="24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投标</w:t>
            </w:r>
            <w:r>
              <w:rPr>
                <w:rFonts w:hint="eastAsia" w:ascii="宋体" w:hAnsi="宋体" w:eastAsia="宋体" w:cs="宋体"/>
                <w:kern w:val="2"/>
                <w:sz w:val="24"/>
                <w:szCs w:val="24"/>
                <w:highlight w:val="none"/>
              </w:rPr>
              <w:t>报价（10分）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1D90B09">
            <w:pPr>
              <w:pStyle w:val="134"/>
              <w:spacing w:line="24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报价分</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481D46B2">
            <w:pPr>
              <w:pStyle w:val="134"/>
              <w:spacing w:line="24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w:t>
            </w:r>
          </w:p>
        </w:tc>
        <w:tc>
          <w:tcPr>
            <w:tcW w:w="3146" w:type="pct"/>
            <w:tcBorders>
              <w:top w:val="single" w:color="auto" w:sz="4" w:space="0"/>
              <w:left w:val="single" w:color="auto" w:sz="4" w:space="0"/>
              <w:bottom w:val="single" w:color="auto" w:sz="4" w:space="0"/>
              <w:right w:val="single" w:color="auto" w:sz="4" w:space="0"/>
            </w:tcBorders>
            <w:noWrap w:val="0"/>
            <w:vAlign w:val="top"/>
          </w:tcPr>
          <w:p w14:paraId="4FA98716">
            <w:pPr>
              <w:pStyle w:val="134"/>
              <w:spacing w:line="24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（1）价格分（</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0分）：价格分应当采用低价优先法计算，即满足招标文件要求且投标价格最低的投标报价</w:t>
            </w:r>
            <w:r>
              <w:rPr>
                <w:rFonts w:hint="eastAsia" w:hAnsi="宋体" w:cs="宋体"/>
                <w:kern w:val="2"/>
                <w:sz w:val="24"/>
                <w:szCs w:val="24"/>
                <w:highlight w:val="none"/>
                <w:lang w:val="en-US" w:eastAsia="zh-CN"/>
              </w:rPr>
              <w:t>单价合计</w:t>
            </w:r>
            <w:r>
              <w:rPr>
                <w:rFonts w:hint="eastAsia" w:ascii="宋体" w:hAnsi="宋体" w:eastAsia="宋体" w:cs="宋体"/>
                <w:kern w:val="2"/>
                <w:sz w:val="24"/>
                <w:szCs w:val="24"/>
                <w:highlight w:val="none"/>
              </w:rPr>
              <w:t>为评标基准价，其价格分为满分。其他投标人的价格分统一按照下列公式计算：投标报价得分=(评标基准价／投标报价</w:t>
            </w:r>
            <w:r>
              <w:rPr>
                <w:rFonts w:hint="eastAsia" w:hAnsi="宋体" w:cs="宋体"/>
                <w:kern w:val="2"/>
                <w:sz w:val="24"/>
                <w:szCs w:val="24"/>
                <w:highlight w:val="none"/>
                <w:lang w:val="en-US" w:eastAsia="zh-CN"/>
              </w:rPr>
              <w:t>单价合计</w:t>
            </w:r>
            <w:r>
              <w:rPr>
                <w:rFonts w:hint="eastAsia" w:ascii="宋体" w:hAnsi="宋体" w:eastAsia="宋体" w:cs="宋体"/>
                <w:kern w:val="2"/>
                <w:sz w:val="24"/>
                <w:szCs w:val="24"/>
                <w:highlight w:val="none"/>
              </w:rPr>
              <w:t>)×100×招标报价比重（</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0%）</w:t>
            </w:r>
          </w:p>
          <w:p w14:paraId="0470542B">
            <w:pPr>
              <w:pStyle w:val="134"/>
              <w:spacing w:line="24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w:t>
            </w:r>
            <w:r>
              <w:rPr>
                <w:rFonts w:hint="eastAsia" w:ascii="宋体" w:hAnsi="宋体" w:eastAsia="宋体" w:cs="宋体"/>
                <w:b/>
                <w:bCs/>
                <w:kern w:val="2"/>
                <w:sz w:val="24"/>
                <w:szCs w:val="24"/>
                <w:highlight w:val="none"/>
              </w:rPr>
              <w:t>（注：1、专门面向中小企业采购的项目不适用本条；2、未预留份额专门面向中小企业采购的采购项目，以及预留份额项目中的非预留部分采购包适用本条。）</w:t>
            </w:r>
          </w:p>
          <w:p w14:paraId="503DE49D">
            <w:pPr>
              <w:pStyle w:val="134"/>
              <w:spacing w:line="24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2、监狱企业、残疾人福利性单位属于小型、微型企业的，不重复享受政策。</w:t>
            </w:r>
          </w:p>
        </w:tc>
      </w:tr>
      <w:tr w14:paraId="5E4C7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21" w:type="pct"/>
            <w:tcBorders>
              <w:top w:val="single" w:color="auto" w:sz="4" w:space="0"/>
              <w:left w:val="single" w:color="auto" w:sz="4" w:space="0"/>
              <w:right w:val="single" w:color="auto" w:sz="4" w:space="0"/>
            </w:tcBorders>
            <w:noWrap w:val="0"/>
            <w:vAlign w:val="center"/>
          </w:tcPr>
          <w:p w14:paraId="1D329D3B">
            <w:pPr>
              <w:pStyle w:val="134"/>
              <w:spacing w:line="24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履约能力（1</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rPr>
              <w:t>分）</w:t>
            </w:r>
          </w:p>
        </w:tc>
        <w:tc>
          <w:tcPr>
            <w:tcW w:w="603" w:type="pct"/>
            <w:tcBorders>
              <w:top w:val="single" w:color="auto" w:sz="4" w:space="0"/>
              <w:left w:val="single" w:color="auto" w:sz="4" w:space="0"/>
              <w:right w:val="single" w:color="auto" w:sz="4" w:space="0"/>
            </w:tcBorders>
            <w:noWrap w:val="0"/>
            <w:vAlign w:val="center"/>
          </w:tcPr>
          <w:p w14:paraId="7029EF0E">
            <w:pPr>
              <w:pStyle w:val="134"/>
              <w:spacing w:line="24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zh-CN"/>
              </w:rPr>
              <w:t>类似业绩</w:t>
            </w:r>
          </w:p>
        </w:tc>
        <w:tc>
          <w:tcPr>
            <w:tcW w:w="629" w:type="pct"/>
            <w:tcBorders>
              <w:top w:val="single" w:color="auto" w:sz="4" w:space="0"/>
              <w:left w:val="single" w:color="auto" w:sz="4" w:space="0"/>
              <w:right w:val="single" w:color="auto" w:sz="4" w:space="0"/>
            </w:tcBorders>
            <w:noWrap w:val="0"/>
            <w:vAlign w:val="center"/>
          </w:tcPr>
          <w:p w14:paraId="7B4E77A5">
            <w:pPr>
              <w:pStyle w:val="134"/>
              <w:spacing w:line="240" w:lineRule="auto"/>
              <w:ind w:firstLine="240" w:firstLineChars="1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0</w:t>
            </w:r>
          </w:p>
        </w:tc>
        <w:tc>
          <w:tcPr>
            <w:tcW w:w="3146" w:type="pct"/>
            <w:tcBorders>
              <w:top w:val="single" w:color="auto" w:sz="4" w:space="0"/>
              <w:left w:val="single" w:color="auto" w:sz="4" w:space="0"/>
              <w:right w:val="single" w:color="auto" w:sz="4" w:space="0"/>
            </w:tcBorders>
            <w:noWrap w:val="0"/>
            <w:vAlign w:val="top"/>
          </w:tcPr>
          <w:p w14:paraId="22620833">
            <w:pPr>
              <w:pStyle w:val="134"/>
              <w:spacing w:line="240" w:lineRule="auto"/>
              <w:rPr>
                <w:rFonts w:hint="eastAsia" w:ascii="宋体" w:hAnsi="宋体" w:eastAsia="宋体" w:cs="宋体"/>
                <w:kern w:val="2"/>
                <w:sz w:val="24"/>
                <w:szCs w:val="24"/>
                <w:highlight w:val="none"/>
              </w:rPr>
            </w:pPr>
            <w:r>
              <w:rPr>
                <w:rFonts w:hint="eastAsia" w:ascii="宋体" w:hAnsi="宋体"/>
                <w:color w:val="auto"/>
                <w:kern w:val="0"/>
                <w:highlight w:val="none"/>
                <w:lang w:val="zh-CN"/>
              </w:rPr>
              <w:t>提供202</w:t>
            </w:r>
            <w:r>
              <w:rPr>
                <w:rFonts w:hint="eastAsia" w:ascii="宋体" w:hAnsi="宋体"/>
                <w:color w:val="auto"/>
                <w:kern w:val="0"/>
                <w:highlight w:val="none"/>
                <w:lang w:val="en-US" w:eastAsia="zh-CN"/>
              </w:rPr>
              <w:t>3</w:t>
            </w:r>
            <w:r>
              <w:rPr>
                <w:rFonts w:hint="eastAsia" w:ascii="宋体" w:hAnsi="宋体"/>
                <w:color w:val="auto"/>
                <w:kern w:val="0"/>
                <w:highlight w:val="none"/>
                <w:lang w:val="zh-CN"/>
              </w:rPr>
              <w:t>年</w:t>
            </w:r>
            <w:r>
              <w:rPr>
                <w:rFonts w:hint="eastAsia" w:ascii="宋体" w:hAnsi="宋体"/>
                <w:color w:val="auto"/>
                <w:kern w:val="0"/>
                <w:highlight w:val="none"/>
                <w:lang w:val="en-US" w:eastAsia="zh-CN"/>
              </w:rPr>
              <w:t>1</w:t>
            </w:r>
            <w:r>
              <w:rPr>
                <w:rFonts w:hint="eastAsia" w:ascii="宋体" w:hAnsi="宋体"/>
                <w:color w:val="auto"/>
                <w:kern w:val="0"/>
                <w:highlight w:val="none"/>
                <w:lang w:val="zh-CN"/>
              </w:rPr>
              <w:t>月</w:t>
            </w:r>
            <w:r>
              <w:rPr>
                <w:rFonts w:hint="eastAsia" w:ascii="宋体" w:hAnsi="宋体"/>
                <w:color w:val="auto"/>
                <w:kern w:val="0"/>
                <w:highlight w:val="none"/>
                <w:lang w:val="en-US" w:eastAsia="zh-CN"/>
              </w:rPr>
              <w:t>1</w:t>
            </w:r>
            <w:r>
              <w:rPr>
                <w:rFonts w:hint="eastAsia" w:ascii="宋体" w:hAnsi="宋体"/>
                <w:color w:val="auto"/>
                <w:kern w:val="0"/>
                <w:highlight w:val="none"/>
                <w:lang w:val="zh-CN"/>
              </w:rPr>
              <w:t>日至</w:t>
            </w:r>
            <w:r>
              <w:rPr>
                <w:rFonts w:hint="eastAsia" w:ascii="宋体" w:hAnsi="宋体"/>
                <w:color w:val="auto"/>
                <w:kern w:val="0"/>
                <w:highlight w:val="none"/>
                <w:lang w:val="en-US" w:eastAsia="zh-CN"/>
              </w:rPr>
              <w:t>今的</w:t>
            </w:r>
            <w:r>
              <w:rPr>
                <w:rFonts w:hint="eastAsia" w:ascii="宋体" w:hAnsi="宋体"/>
                <w:color w:val="auto"/>
                <w:kern w:val="0"/>
                <w:highlight w:val="none"/>
                <w:lang w:val="zh-CN"/>
              </w:rPr>
              <w:t>投标人类似业绩证明材料，每提供1项得</w:t>
            </w:r>
            <w:r>
              <w:rPr>
                <w:rFonts w:hint="eastAsia" w:hAnsi="宋体"/>
                <w:color w:val="auto"/>
                <w:kern w:val="0"/>
                <w:highlight w:val="none"/>
                <w:lang w:val="en-US" w:eastAsia="zh-CN"/>
              </w:rPr>
              <w:t>2</w:t>
            </w:r>
            <w:r>
              <w:rPr>
                <w:rFonts w:hint="eastAsia" w:ascii="宋体" w:hAnsi="宋体"/>
                <w:color w:val="auto"/>
                <w:kern w:val="0"/>
                <w:highlight w:val="none"/>
                <w:lang w:val="zh-CN"/>
              </w:rPr>
              <w:t>分,满分</w:t>
            </w:r>
            <w:r>
              <w:rPr>
                <w:rFonts w:hint="eastAsia" w:hAnsi="宋体"/>
                <w:color w:val="auto"/>
                <w:kern w:val="0"/>
                <w:highlight w:val="none"/>
                <w:lang w:val="en-US" w:eastAsia="zh-CN"/>
              </w:rPr>
              <w:t>10</w:t>
            </w:r>
            <w:r>
              <w:rPr>
                <w:rFonts w:hint="eastAsia" w:ascii="宋体" w:hAnsi="宋体"/>
                <w:color w:val="auto"/>
                <w:kern w:val="0"/>
                <w:highlight w:val="none"/>
                <w:lang w:val="zh-CN"/>
              </w:rPr>
              <w:t>分；不提供或提供不完整不得分。（</w:t>
            </w:r>
            <w:r>
              <w:rPr>
                <w:rFonts w:hint="eastAsia" w:ascii="宋体" w:hAnsi="宋体" w:cs="宋体"/>
                <w:color w:val="auto"/>
                <w:kern w:val="0"/>
                <w:highlight w:val="none"/>
                <w:lang w:val="zh-CN"/>
              </w:rPr>
              <w:t>需提供</w:t>
            </w:r>
            <w:r>
              <w:rPr>
                <w:rFonts w:hint="eastAsia" w:ascii="宋体" w:hAnsi="宋体" w:cs="宋体"/>
                <w:color w:val="auto"/>
                <w:kern w:val="0"/>
                <w:highlight w:val="none"/>
                <w:lang w:val="en-US" w:eastAsia="zh-CN"/>
              </w:rPr>
              <w:t>中标通知书/成交通知书或</w:t>
            </w:r>
            <w:r>
              <w:rPr>
                <w:rFonts w:hint="eastAsia" w:ascii="宋体" w:hAnsi="宋体" w:cs="宋体"/>
                <w:color w:val="auto"/>
                <w:kern w:val="0"/>
                <w:highlight w:val="none"/>
                <w:lang w:val="zh-CN"/>
              </w:rPr>
              <w:t>包含合同首页、标的及金额所在页、合同签字盖章页的复印（或扫描）件</w:t>
            </w:r>
            <w:r>
              <w:rPr>
                <w:rFonts w:hint="eastAsia" w:ascii="宋体" w:hAnsi="宋体"/>
                <w:color w:val="auto"/>
                <w:kern w:val="0"/>
                <w:highlight w:val="none"/>
                <w:lang w:val="zh-CN"/>
              </w:rPr>
              <w:t>）</w:t>
            </w:r>
            <w:r>
              <w:rPr>
                <w:rFonts w:hint="eastAsia" w:ascii="宋体" w:hAnsi="宋体"/>
                <w:color w:val="auto"/>
                <w:kern w:val="0"/>
                <w:highlight w:val="none"/>
                <w:lang w:val="en-US" w:eastAsia="zh-CN"/>
              </w:rPr>
              <w:t>。</w:t>
            </w:r>
          </w:p>
        </w:tc>
      </w:tr>
      <w:tr w14:paraId="1422F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1" w:type="pct"/>
            <w:vMerge w:val="restart"/>
            <w:tcBorders>
              <w:top w:val="single" w:color="auto" w:sz="4" w:space="0"/>
              <w:left w:val="single" w:color="auto" w:sz="4" w:space="0"/>
              <w:right w:val="single" w:color="auto" w:sz="4" w:space="0"/>
            </w:tcBorders>
            <w:noWrap w:val="0"/>
            <w:vAlign w:val="center"/>
          </w:tcPr>
          <w:p w14:paraId="184BC7FF">
            <w:pPr>
              <w:pStyle w:val="134"/>
              <w:spacing w:line="24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技术水平</w:t>
            </w:r>
          </w:p>
          <w:p w14:paraId="5C921E15">
            <w:pPr>
              <w:pStyle w:val="134"/>
              <w:spacing w:line="24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80</w:t>
            </w:r>
            <w:r>
              <w:rPr>
                <w:rFonts w:hint="eastAsia" w:ascii="宋体" w:hAnsi="宋体" w:eastAsia="宋体" w:cs="宋体"/>
                <w:kern w:val="2"/>
                <w:sz w:val="24"/>
                <w:szCs w:val="24"/>
                <w:highlight w:val="none"/>
              </w:rPr>
              <w:t>分）</w:t>
            </w: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8B571A">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整体维护管理</w:t>
            </w:r>
            <w:r>
              <w:rPr>
                <w:rFonts w:hint="eastAsia" w:ascii="宋体" w:hAnsi="宋体" w:cs="宋体"/>
                <w:color w:val="000000"/>
                <w:kern w:val="0"/>
                <w:sz w:val="24"/>
                <w:szCs w:val="24"/>
                <w:highlight w:val="none"/>
                <w:lang w:val="en-US" w:eastAsia="zh-CN"/>
              </w:rPr>
              <w:t>方案</w:t>
            </w:r>
          </w:p>
        </w:tc>
        <w:tc>
          <w:tcPr>
            <w:tcW w:w="629" w:type="pct"/>
            <w:tcBorders>
              <w:top w:val="single" w:color="auto" w:sz="4" w:space="0"/>
              <w:left w:val="single" w:color="auto" w:sz="4" w:space="0"/>
              <w:right w:val="single" w:color="auto" w:sz="4" w:space="0"/>
            </w:tcBorders>
            <w:noWrap w:val="0"/>
            <w:vAlign w:val="center"/>
          </w:tcPr>
          <w:p w14:paraId="0046A239">
            <w:pPr>
              <w:pStyle w:val="134"/>
              <w:spacing w:line="24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w:t>
            </w:r>
          </w:p>
        </w:tc>
        <w:tc>
          <w:tcPr>
            <w:tcW w:w="3146" w:type="pct"/>
            <w:tcBorders>
              <w:top w:val="single" w:color="auto" w:sz="4" w:space="0"/>
              <w:left w:val="single" w:color="auto" w:sz="4" w:space="0"/>
              <w:right w:val="single" w:color="auto" w:sz="4" w:space="0"/>
            </w:tcBorders>
            <w:shd w:val="clear" w:color="auto" w:fill="auto"/>
            <w:noWrap w:val="0"/>
            <w:vAlign w:val="top"/>
          </w:tcPr>
          <w:p w14:paraId="24CDA09E">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bCs/>
                <w:color w:val="000000"/>
                <w:sz w:val="24"/>
                <w:szCs w:val="24"/>
                <w:highlight w:val="none"/>
              </w:rPr>
              <w:t>针对该项目包含：</w:t>
            </w:r>
            <w:r>
              <w:rPr>
                <w:rFonts w:hint="eastAsia" w:ascii="宋体" w:hAnsi="宋体" w:eastAsia="宋体" w:cs="宋体"/>
                <w:color w:val="000000"/>
                <w:kern w:val="0"/>
                <w:sz w:val="24"/>
                <w:szCs w:val="24"/>
                <w:highlight w:val="none"/>
              </w:rPr>
              <w:t>①整体管理思路与重难点分析</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②</w:t>
            </w:r>
            <w:r>
              <w:rPr>
                <w:rFonts w:hint="eastAsia" w:ascii="宋体" w:hAnsi="宋体" w:cs="宋体"/>
                <w:color w:val="000000"/>
                <w:kern w:val="0"/>
                <w:sz w:val="24"/>
                <w:szCs w:val="24"/>
                <w:highlight w:val="none"/>
                <w:lang w:eastAsia="zh-CN"/>
              </w:rPr>
              <w:t>巡查管理体系</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③</w:t>
            </w:r>
            <w:r>
              <w:rPr>
                <w:rFonts w:hint="eastAsia" w:ascii="宋体" w:hAnsi="宋体" w:cs="宋体"/>
                <w:color w:val="000000"/>
                <w:kern w:val="0"/>
                <w:sz w:val="24"/>
                <w:szCs w:val="24"/>
                <w:highlight w:val="none"/>
                <w:lang w:eastAsia="zh-CN"/>
              </w:rPr>
              <w:t>组织架构与人员配置</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④</w:t>
            </w:r>
            <w:r>
              <w:rPr>
                <w:rFonts w:hint="eastAsia" w:ascii="宋体" w:hAnsi="宋体" w:cs="宋体"/>
                <w:color w:val="000000"/>
                <w:kern w:val="0"/>
                <w:sz w:val="24"/>
                <w:szCs w:val="24"/>
                <w:highlight w:val="none"/>
                <w:lang w:val="en-US" w:eastAsia="zh-CN"/>
              </w:rPr>
              <w:t>项目</w:t>
            </w:r>
            <w:r>
              <w:rPr>
                <w:rFonts w:hint="eastAsia" w:ascii="宋体" w:hAnsi="宋体" w:cs="宋体"/>
                <w:color w:val="000000"/>
                <w:kern w:val="0"/>
                <w:sz w:val="24"/>
                <w:szCs w:val="24"/>
                <w:highlight w:val="none"/>
                <w:lang w:eastAsia="zh-CN"/>
              </w:rPr>
              <w:t>总体目标与服务承诺。</w:t>
            </w:r>
            <w:r>
              <w:rPr>
                <w:rFonts w:hint="eastAsia" w:ascii="宋体" w:hAnsi="宋体" w:eastAsia="宋体" w:cs="宋体"/>
                <w:color w:val="000000"/>
                <w:kern w:val="0"/>
                <w:sz w:val="24"/>
                <w:szCs w:val="24"/>
                <w:highlight w:val="none"/>
              </w:rPr>
              <w:t>以上内容每提供一项最高得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分，扣完为止，未提供不得分。</w:t>
            </w:r>
          </w:p>
        </w:tc>
      </w:tr>
      <w:tr w14:paraId="3C547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778C2B25">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9DF418">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rPr>
              <w:t xml:space="preserve"> 道路及人行道养护方案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BEA98AE">
            <w:pPr>
              <w:spacing w:line="240" w:lineRule="auto"/>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12</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89E615F">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bCs/>
                <w:color w:val="000000"/>
                <w:sz w:val="24"/>
                <w:szCs w:val="24"/>
                <w:highlight w:val="none"/>
              </w:rPr>
              <w:t>针对该</w:t>
            </w:r>
            <w:r>
              <w:rPr>
                <w:rFonts w:hint="eastAsia" w:ascii="宋体" w:hAnsi="宋体" w:eastAsia="宋体" w:cs="宋体"/>
                <w:color w:val="000000"/>
                <w:kern w:val="0"/>
                <w:sz w:val="24"/>
                <w:szCs w:val="24"/>
                <w:highlight w:val="none"/>
              </w:rPr>
              <w:t>项目包含：①</w:t>
            </w:r>
            <w:r>
              <w:rPr>
                <w:rFonts w:hint="eastAsia" w:ascii="宋体" w:hAnsi="宋体" w:eastAsia="宋体" w:cs="宋体"/>
                <w:color w:val="000000"/>
                <w:kern w:val="0"/>
                <w:sz w:val="24"/>
                <w:szCs w:val="24"/>
                <w:highlight w:val="none"/>
                <w:lang w:val="en-US" w:eastAsia="zh-CN"/>
              </w:rPr>
              <w:t>日常巡查与检测；</w:t>
            </w:r>
            <w:r>
              <w:rPr>
                <w:rFonts w:hint="eastAsia" w:ascii="宋体" w:hAnsi="宋体" w:eastAsia="宋体" w:cs="宋体"/>
                <w:color w:val="000000"/>
                <w:kern w:val="0"/>
                <w:sz w:val="24"/>
                <w:szCs w:val="24"/>
                <w:highlight w:val="none"/>
              </w:rPr>
              <w:t>②</w:t>
            </w:r>
            <w:r>
              <w:rPr>
                <w:rFonts w:hint="eastAsia" w:ascii="宋体" w:hAnsi="宋体" w:eastAsia="宋体" w:cs="宋体"/>
                <w:color w:val="000000"/>
                <w:kern w:val="0"/>
                <w:sz w:val="24"/>
                <w:szCs w:val="24"/>
                <w:highlight w:val="none"/>
                <w:lang w:val="en-US" w:eastAsia="zh-CN"/>
              </w:rPr>
              <w:t>对道路路基空洞、疏松等问题的处理办法，开挖处置</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注浆处理等技术</w:t>
            </w:r>
            <w:r>
              <w:rPr>
                <w:rFonts w:hint="eastAsia" w:ascii="宋体" w:hAnsi="宋体" w:cs="宋体"/>
                <w:color w:val="000000"/>
                <w:kern w:val="0"/>
                <w:sz w:val="24"/>
                <w:szCs w:val="24"/>
                <w:highlight w:val="none"/>
                <w:lang w:val="en-US" w:eastAsia="zh-CN"/>
              </w:rPr>
              <w:t>的</w:t>
            </w:r>
            <w:r>
              <w:rPr>
                <w:rFonts w:hint="eastAsia" w:ascii="宋体" w:hAnsi="宋体" w:eastAsia="宋体" w:cs="宋体"/>
                <w:color w:val="000000"/>
                <w:kern w:val="0"/>
                <w:sz w:val="24"/>
                <w:szCs w:val="24"/>
                <w:highlight w:val="none"/>
                <w:lang w:val="en-US" w:eastAsia="zh-CN"/>
              </w:rPr>
              <w:t>能力；</w:t>
            </w:r>
            <w:r>
              <w:rPr>
                <w:rFonts w:hint="eastAsia" w:ascii="宋体" w:hAnsi="宋体" w:eastAsia="宋体" w:cs="宋体"/>
                <w:color w:val="000000"/>
                <w:kern w:val="0"/>
                <w:sz w:val="24"/>
                <w:szCs w:val="24"/>
                <w:highlight w:val="none"/>
              </w:rPr>
              <w:t>③路面养护工艺</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④</w:t>
            </w:r>
            <w:r>
              <w:rPr>
                <w:rFonts w:hint="eastAsia" w:ascii="宋体" w:hAnsi="宋体" w:eastAsia="宋体" w:cs="宋体"/>
                <w:color w:val="000000"/>
                <w:kern w:val="0"/>
                <w:sz w:val="24"/>
                <w:szCs w:val="24"/>
                <w:highlight w:val="none"/>
                <w:lang w:eastAsia="zh-CN"/>
              </w:rPr>
              <w:t>季节性养护</w:t>
            </w:r>
            <w:r>
              <w:rPr>
                <w:rFonts w:hint="eastAsia" w:ascii="宋体" w:hAnsi="宋体" w:eastAsia="宋体" w:cs="宋体"/>
                <w:color w:val="000000"/>
                <w:kern w:val="0"/>
                <w:sz w:val="24"/>
                <w:szCs w:val="24"/>
                <w:highlight w:val="none"/>
                <w:lang w:val="en-US" w:eastAsia="zh-CN"/>
              </w:rPr>
              <w:t>方案。</w:t>
            </w:r>
            <w:r>
              <w:rPr>
                <w:rFonts w:hint="eastAsia" w:ascii="宋体" w:hAnsi="宋体" w:eastAsia="宋体" w:cs="宋体"/>
                <w:color w:val="000000"/>
                <w:kern w:val="0"/>
                <w:sz w:val="24"/>
                <w:szCs w:val="24"/>
                <w:highlight w:val="none"/>
              </w:rPr>
              <w:t>以上内容每提供一项最高得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分，扣完为止，未提供不得分。</w:t>
            </w:r>
          </w:p>
        </w:tc>
      </w:tr>
      <w:tr w14:paraId="12DDC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6E3EBEB6">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58D8BE">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color w:val="000000"/>
                <w:kern w:val="0"/>
                <w:sz w:val="24"/>
                <w:szCs w:val="24"/>
                <w:highlight w:val="yellow"/>
                <w:lang w:val="zh-CN" w:eastAsia="zh-CN" w:bidi="ar-SA"/>
              </w:rPr>
            </w:pPr>
            <w:r>
              <w:rPr>
                <w:rFonts w:hint="eastAsia" w:ascii="宋体" w:hAnsi="宋体" w:eastAsia="宋体" w:cs="宋体"/>
                <w:color w:val="000000"/>
                <w:kern w:val="0"/>
                <w:sz w:val="24"/>
                <w:szCs w:val="24"/>
                <w:highlight w:val="none"/>
              </w:rPr>
              <w:t xml:space="preserve"> 排水管网清掏疏通方案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705C13CD">
            <w:pPr>
              <w:spacing w:line="240"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12</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E0D99CD">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bCs/>
                <w:color w:val="000000"/>
                <w:sz w:val="24"/>
                <w:szCs w:val="24"/>
                <w:highlight w:val="none"/>
              </w:rPr>
              <w:t>针对该项目包含：①作业前准备与检测</w:t>
            </w:r>
            <w:r>
              <w:rPr>
                <w:rFonts w:hint="eastAsia" w:ascii="宋体" w:hAnsi="宋体" w:cs="宋体"/>
                <w:bCs/>
                <w:color w:val="000000"/>
                <w:sz w:val="24"/>
                <w:szCs w:val="24"/>
                <w:highlight w:val="none"/>
                <w:lang w:eastAsia="zh-CN"/>
              </w:rPr>
              <w:t>；</w:t>
            </w:r>
            <w:r>
              <w:rPr>
                <w:rFonts w:hint="eastAsia" w:ascii="宋体" w:hAnsi="宋体" w:eastAsia="宋体" w:cs="宋体"/>
                <w:color w:val="000000"/>
                <w:kern w:val="0"/>
                <w:sz w:val="24"/>
                <w:szCs w:val="24"/>
                <w:highlight w:val="none"/>
              </w:rPr>
              <w:t>②清掏疏通工艺</w:t>
            </w:r>
            <w:r>
              <w:rPr>
                <w:rFonts w:hint="eastAsia" w:ascii="宋体" w:hAnsi="宋体" w:cs="宋体"/>
                <w:bCs/>
                <w:color w:val="000000"/>
                <w:sz w:val="24"/>
                <w:szCs w:val="24"/>
                <w:highlight w:val="none"/>
                <w:lang w:val="en-US" w:eastAsia="zh-CN"/>
              </w:rPr>
              <w:t>；</w:t>
            </w:r>
            <w:r>
              <w:rPr>
                <w:rFonts w:hint="eastAsia" w:ascii="宋体" w:hAnsi="宋体" w:eastAsia="宋体" w:cs="宋体"/>
                <w:color w:val="000000"/>
                <w:kern w:val="0"/>
                <w:sz w:val="24"/>
                <w:szCs w:val="24"/>
                <w:highlight w:val="none"/>
              </w:rPr>
              <w:t>③污泥与污水处置</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④安全文明施工措施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以上内容每提供一项最高得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分，扣完为止，未提供不得分。</w:t>
            </w:r>
          </w:p>
        </w:tc>
      </w:tr>
      <w:tr w14:paraId="5BD49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1D84EAF7">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D206FF">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color w:val="000000"/>
                <w:kern w:val="0"/>
                <w:sz w:val="24"/>
                <w:szCs w:val="24"/>
                <w:highlight w:val="yellow"/>
                <w:lang w:val="zh-CN" w:eastAsia="zh-CN" w:bidi="ar-SA"/>
              </w:rPr>
            </w:pPr>
            <w:r>
              <w:rPr>
                <w:rFonts w:hint="eastAsia" w:ascii="宋体" w:hAnsi="宋体" w:eastAsia="宋体" w:cs="宋体"/>
                <w:color w:val="000000"/>
                <w:kern w:val="0"/>
                <w:sz w:val="24"/>
                <w:szCs w:val="24"/>
                <w:highlight w:val="none"/>
              </w:rPr>
              <w:t>照明设施维护方案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42CB622">
            <w:pPr>
              <w:spacing w:line="240"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294D498">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bCs/>
                <w:color w:val="000000"/>
                <w:kern w:val="2"/>
                <w:sz w:val="24"/>
                <w:szCs w:val="24"/>
                <w:highlight w:val="yellow"/>
                <w:lang w:val="en-US" w:eastAsia="zh-CN" w:bidi="ar-SA"/>
              </w:rPr>
            </w:pPr>
            <w:r>
              <w:rPr>
                <w:rFonts w:hint="eastAsia" w:ascii="宋体" w:hAnsi="宋体" w:eastAsia="宋体" w:cs="宋体"/>
                <w:bCs/>
                <w:color w:val="000000"/>
                <w:sz w:val="24"/>
                <w:szCs w:val="24"/>
                <w:highlight w:val="none"/>
              </w:rPr>
              <w:t>针对该项目包含：①亮灯率承诺</w:t>
            </w:r>
            <w:r>
              <w:rPr>
                <w:rFonts w:hint="eastAsia" w:ascii="宋体" w:hAnsi="宋体" w:cs="宋体"/>
                <w:bCs/>
                <w:color w:val="000000"/>
                <w:sz w:val="24"/>
                <w:szCs w:val="24"/>
                <w:highlight w:val="none"/>
                <w:lang w:eastAsia="zh-CN"/>
              </w:rPr>
              <w:t>；</w:t>
            </w:r>
            <w:r>
              <w:rPr>
                <w:rFonts w:hint="eastAsia" w:ascii="宋体" w:hAnsi="宋体" w:eastAsia="宋体" w:cs="宋体"/>
                <w:color w:val="000000"/>
                <w:kern w:val="0"/>
                <w:sz w:val="24"/>
                <w:szCs w:val="24"/>
                <w:highlight w:val="none"/>
              </w:rPr>
              <w:t>②</w:t>
            </w:r>
            <w:r>
              <w:rPr>
                <w:rFonts w:hint="eastAsia" w:ascii="宋体" w:hAnsi="宋体" w:cs="宋体"/>
                <w:bCs/>
                <w:color w:val="000000"/>
                <w:sz w:val="24"/>
                <w:szCs w:val="24"/>
                <w:highlight w:val="none"/>
                <w:lang w:eastAsia="zh-CN"/>
              </w:rPr>
              <w:t>检修方案</w:t>
            </w:r>
            <w:r>
              <w:rPr>
                <w:rFonts w:hint="eastAsia" w:ascii="宋体" w:hAnsi="宋体" w:cs="宋体"/>
                <w:bCs/>
                <w:color w:val="000000"/>
                <w:sz w:val="24"/>
                <w:szCs w:val="24"/>
                <w:highlight w:val="none"/>
                <w:lang w:val="en-US" w:eastAsia="zh-CN"/>
              </w:rPr>
              <w:t>；</w:t>
            </w:r>
            <w:r>
              <w:rPr>
                <w:rFonts w:hint="eastAsia" w:ascii="宋体" w:hAnsi="宋体" w:eastAsia="宋体" w:cs="宋体"/>
                <w:color w:val="000000"/>
                <w:kern w:val="0"/>
                <w:sz w:val="24"/>
                <w:szCs w:val="24"/>
                <w:highlight w:val="none"/>
              </w:rPr>
              <w:t>③</w:t>
            </w:r>
            <w:r>
              <w:rPr>
                <w:rFonts w:hint="eastAsia" w:ascii="宋体" w:hAnsi="宋体" w:cs="宋体"/>
                <w:color w:val="000000"/>
                <w:kern w:val="0"/>
                <w:sz w:val="24"/>
                <w:szCs w:val="24"/>
                <w:highlight w:val="none"/>
                <w:lang w:val="en-US" w:eastAsia="zh-CN"/>
              </w:rPr>
              <w:t>电气控制系统维修</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④</w:t>
            </w:r>
            <w:r>
              <w:rPr>
                <w:rFonts w:hint="eastAsia" w:ascii="宋体" w:hAnsi="宋体" w:cs="宋体"/>
                <w:color w:val="000000"/>
                <w:kern w:val="0"/>
                <w:sz w:val="24"/>
                <w:szCs w:val="24"/>
                <w:highlight w:val="none"/>
                <w:lang w:val="en-US" w:eastAsia="zh-CN"/>
              </w:rPr>
              <w:t>应急抢修与专项服务。</w:t>
            </w:r>
            <w:r>
              <w:rPr>
                <w:rFonts w:hint="eastAsia" w:ascii="宋体" w:hAnsi="宋体" w:eastAsia="宋体" w:cs="宋体"/>
                <w:color w:val="000000"/>
                <w:kern w:val="0"/>
                <w:sz w:val="24"/>
                <w:szCs w:val="24"/>
                <w:highlight w:val="none"/>
              </w:rPr>
              <w:t>以上内容每提供一项最高得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分，扣完为止，未提供不得分。</w:t>
            </w:r>
          </w:p>
        </w:tc>
      </w:tr>
      <w:tr w14:paraId="492FB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18F1E604">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7C6B2F">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color w:val="000000"/>
                <w:kern w:val="0"/>
                <w:sz w:val="24"/>
                <w:szCs w:val="24"/>
                <w:highlight w:val="yellow"/>
                <w:lang w:val="zh-CN" w:eastAsia="zh-CN" w:bidi="ar-SA"/>
              </w:rPr>
            </w:pPr>
            <w:r>
              <w:rPr>
                <w:rFonts w:hint="eastAsia" w:ascii="宋体" w:hAnsi="宋体" w:eastAsia="宋体" w:cs="宋体"/>
                <w:color w:val="000000"/>
                <w:kern w:val="0"/>
                <w:sz w:val="24"/>
                <w:szCs w:val="24"/>
                <w:highlight w:val="none"/>
              </w:rPr>
              <w:t>市政附属设施维护</w:t>
            </w:r>
            <w:r>
              <w:rPr>
                <w:rFonts w:hint="eastAsia" w:ascii="宋体" w:hAnsi="宋体" w:cs="宋体"/>
                <w:color w:val="000000"/>
                <w:kern w:val="0"/>
                <w:sz w:val="24"/>
                <w:szCs w:val="24"/>
                <w:highlight w:val="none"/>
                <w:lang w:val="en-US" w:eastAsia="zh-CN"/>
              </w:rPr>
              <w:t>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16415DC7">
            <w:pPr>
              <w:spacing w:line="240"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E4D354">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bCs/>
                <w:color w:val="000000"/>
                <w:sz w:val="24"/>
                <w:szCs w:val="24"/>
                <w:highlight w:val="none"/>
              </w:rPr>
              <w:t>针对该项目</w:t>
            </w:r>
            <w:r>
              <w:rPr>
                <w:rFonts w:hint="eastAsia" w:ascii="宋体" w:hAnsi="宋体" w:eastAsia="宋体" w:cs="宋体"/>
                <w:color w:val="000000"/>
                <w:kern w:val="0"/>
                <w:sz w:val="24"/>
                <w:szCs w:val="24"/>
                <w:highlight w:val="none"/>
              </w:rPr>
              <w:t>市政附属设施</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隔离护栏、交通标志</w:t>
            </w:r>
            <w:r>
              <w:rPr>
                <w:rFonts w:hint="eastAsia" w:ascii="宋体" w:hAnsi="宋体" w:cs="宋体"/>
                <w:color w:val="000000"/>
                <w:kern w:val="0"/>
                <w:sz w:val="24"/>
                <w:szCs w:val="24"/>
                <w:highlight w:val="none"/>
                <w:lang w:val="en-US" w:eastAsia="zh-CN"/>
              </w:rPr>
              <w:t>线</w:t>
            </w:r>
            <w:r>
              <w:rPr>
                <w:rFonts w:hint="eastAsia" w:ascii="宋体" w:hAnsi="宋体" w:eastAsia="宋体" w:cs="宋体"/>
                <w:color w:val="000000"/>
                <w:kern w:val="0"/>
                <w:sz w:val="24"/>
                <w:szCs w:val="24"/>
                <w:highlight w:val="none"/>
                <w:lang w:val="en-US" w:eastAsia="zh-CN"/>
              </w:rPr>
              <w:t>等</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维护</w:t>
            </w:r>
            <w:r>
              <w:rPr>
                <w:rFonts w:hint="eastAsia" w:ascii="宋体" w:hAnsi="宋体" w:eastAsia="宋体" w:cs="宋体"/>
                <w:bCs/>
                <w:color w:val="000000"/>
                <w:sz w:val="24"/>
                <w:szCs w:val="24"/>
                <w:highlight w:val="none"/>
              </w:rPr>
              <w:t>包含：①</w:t>
            </w:r>
            <w:r>
              <w:rPr>
                <w:rFonts w:hint="eastAsia" w:ascii="宋体" w:hAnsi="宋体" w:cs="宋体"/>
                <w:bCs/>
                <w:color w:val="000000"/>
                <w:sz w:val="24"/>
                <w:szCs w:val="24"/>
                <w:highlight w:val="none"/>
                <w:lang w:val="en-US" w:eastAsia="zh-CN"/>
              </w:rPr>
              <w:t>日常巡查与检测</w:t>
            </w:r>
            <w:r>
              <w:rPr>
                <w:rFonts w:hint="eastAsia" w:ascii="宋体" w:hAnsi="宋体" w:cs="宋体"/>
                <w:bCs/>
                <w:color w:val="000000"/>
                <w:sz w:val="24"/>
                <w:szCs w:val="24"/>
                <w:highlight w:val="none"/>
                <w:lang w:eastAsia="zh-CN"/>
              </w:rPr>
              <w:t>；</w:t>
            </w:r>
            <w:r>
              <w:rPr>
                <w:rFonts w:hint="eastAsia" w:ascii="宋体" w:hAnsi="宋体" w:eastAsia="宋体" w:cs="宋体"/>
                <w:color w:val="000000"/>
                <w:kern w:val="0"/>
                <w:sz w:val="24"/>
                <w:szCs w:val="24"/>
                <w:highlight w:val="none"/>
              </w:rPr>
              <w:t>②</w:t>
            </w:r>
            <w:r>
              <w:rPr>
                <w:rFonts w:hint="eastAsia" w:ascii="宋体" w:hAnsi="宋体" w:cs="宋体"/>
                <w:bCs/>
                <w:color w:val="000000"/>
                <w:sz w:val="24"/>
                <w:szCs w:val="24"/>
                <w:highlight w:val="none"/>
                <w:lang w:val="en-US" w:eastAsia="zh-CN"/>
              </w:rPr>
              <w:t>具体维护与修复工艺；</w:t>
            </w:r>
            <w:r>
              <w:rPr>
                <w:rFonts w:hint="eastAsia" w:ascii="宋体" w:hAnsi="宋体" w:eastAsia="宋体" w:cs="宋体"/>
                <w:color w:val="000000"/>
                <w:kern w:val="0"/>
                <w:sz w:val="24"/>
                <w:szCs w:val="24"/>
                <w:highlight w:val="none"/>
              </w:rPr>
              <w:t>③质量控制</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④安全文明施工措施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以上内容每提供一项最高得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分，扣完为止，未提供不得分。</w:t>
            </w:r>
          </w:p>
        </w:tc>
      </w:tr>
      <w:tr w14:paraId="583F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2EE511CB">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D6262">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bCs/>
                <w:color w:val="000000"/>
                <w:kern w:val="2"/>
                <w:sz w:val="24"/>
                <w:szCs w:val="24"/>
                <w:highlight w:val="yellow"/>
                <w:lang w:val="zh-CN" w:eastAsia="zh-CN" w:bidi="ar-SA"/>
              </w:rPr>
            </w:pPr>
            <w:r>
              <w:rPr>
                <w:rFonts w:hint="eastAsia" w:ascii="宋体" w:hAnsi="宋体" w:eastAsia="宋体" w:cs="宋体"/>
                <w:bCs/>
                <w:color w:val="000000"/>
                <w:sz w:val="24"/>
                <w:szCs w:val="24"/>
                <w:highlight w:val="none"/>
              </w:rPr>
              <w:t>应急处置方案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7634CA63">
            <w:pPr>
              <w:spacing w:line="240"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D6B43DC">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bCs/>
                <w:color w:val="000000"/>
                <w:kern w:val="2"/>
                <w:sz w:val="24"/>
                <w:szCs w:val="24"/>
                <w:highlight w:val="yellow"/>
                <w:lang w:val="en-US" w:eastAsia="zh-CN" w:bidi="ar-SA"/>
              </w:rPr>
            </w:pPr>
            <w:r>
              <w:rPr>
                <w:rFonts w:hint="eastAsia" w:ascii="宋体" w:hAnsi="宋体" w:eastAsia="宋体" w:cs="宋体"/>
                <w:bCs/>
                <w:color w:val="000000"/>
                <w:sz w:val="24"/>
                <w:szCs w:val="24"/>
                <w:highlight w:val="none"/>
              </w:rPr>
              <w:t>针对该项目包含：①应急组织机构与职责</w:t>
            </w:r>
            <w:r>
              <w:rPr>
                <w:rFonts w:hint="eastAsia" w:ascii="宋体" w:hAnsi="宋体" w:cs="宋体"/>
                <w:bCs/>
                <w:color w:val="000000"/>
                <w:sz w:val="24"/>
                <w:szCs w:val="24"/>
                <w:highlight w:val="none"/>
                <w:lang w:eastAsia="zh-CN"/>
              </w:rPr>
              <w:t>；</w:t>
            </w:r>
            <w:r>
              <w:rPr>
                <w:rFonts w:hint="eastAsia" w:ascii="宋体" w:hAnsi="宋体" w:eastAsia="宋体" w:cs="宋体"/>
                <w:color w:val="000000"/>
                <w:kern w:val="0"/>
                <w:sz w:val="24"/>
                <w:szCs w:val="24"/>
                <w:highlight w:val="none"/>
              </w:rPr>
              <w:t>②专项应急处置措施</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③道路塌陷与路面突发破损应急</w:t>
            </w:r>
            <w:r>
              <w:rPr>
                <w:rFonts w:hint="eastAsia" w:ascii="宋体" w:hAnsi="宋体" w:cs="宋体"/>
                <w:color w:val="000000"/>
                <w:kern w:val="0"/>
                <w:sz w:val="24"/>
                <w:szCs w:val="24"/>
                <w:highlight w:val="none"/>
                <w:lang w:val="en-US" w:eastAsia="zh-CN"/>
              </w:rPr>
              <w:t>方案；</w:t>
            </w:r>
            <w:r>
              <w:rPr>
                <w:rFonts w:hint="eastAsia" w:ascii="宋体" w:hAnsi="宋体" w:eastAsia="宋体" w:cs="宋体"/>
                <w:color w:val="000000"/>
                <w:kern w:val="0"/>
                <w:sz w:val="24"/>
                <w:szCs w:val="24"/>
                <w:highlight w:val="none"/>
              </w:rPr>
              <w:t>④重大活动应急保障</w:t>
            </w:r>
            <w:r>
              <w:rPr>
                <w:rFonts w:hint="eastAsia" w:ascii="宋体" w:hAnsi="宋体" w:cs="宋体"/>
                <w:color w:val="000000"/>
                <w:kern w:val="0"/>
                <w:sz w:val="24"/>
                <w:szCs w:val="24"/>
                <w:highlight w:val="none"/>
                <w:lang w:val="en-US" w:eastAsia="zh-CN"/>
              </w:rPr>
              <w:t>方案。</w:t>
            </w:r>
            <w:r>
              <w:rPr>
                <w:rFonts w:hint="eastAsia" w:ascii="宋体" w:hAnsi="宋体" w:eastAsia="宋体" w:cs="宋体"/>
                <w:color w:val="000000"/>
                <w:kern w:val="0"/>
                <w:sz w:val="24"/>
                <w:szCs w:val="24"/>
                <w:highlight w:val="none"/>
              </w:rPr>
              <w:t>以上内容每提供一项最高得</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分，满分</w:t>
            </w:r>
            <w:r>
              <w:rPr>
                <w:rFonts w:hint="eastAsia" w:ascii="宋体" w:hAnsi="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分，扣完为止，未提供不得分。</w:t>
            </w:r>
          </w:p>
        </w:tc>
      </w:tr>
      <w:tr w14:paraId="52674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621" w:type="pct"/>
            <w:vMerge w:val="continue"/>
            <w:tcBorders>
              <w:left w:val="single" w:color="auto" w:sz="4" w:space="0"/>
              <w:right w:val="single" w:color="auto" w:sz="4" w:space="0"/>
            </w:tcBorders>
            <w:noWrap w:val="0"/>
            <w:vAlign w:val="center"/>
          </w:tcPr>
          <w:p w14:paraId="0468D8A5">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7C085A">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bCs/>
                <w:color w:val="000000"/>
                <w:kern w:val="2"/>
                <w:sz w:val="24"/>
                <w:szCs w:val="24"/>
                <w:highlight w:val="red"/>
                <w:lang w:val="en-US" w:eastAsia="zh-CN" w:bidi="ar-SA"/>
              </w:rPr>
            </w:pPr>
            <w:r>
              <w:rPr>
                <w:rFonts w:hint="eastAsia" w:ascii="宋体" w:hAnsi="宋体" w:eastAsia="宋体" w:cs="宋体"/>
                <w:bCs/>
                <w:color w:val="000000"/>
                <w:kern w:val="2"/>
                <w:sz w:val="24"/>
                <w:szCs w:val="24"/>
                <w:highlight w:val="none"/>
                <w:lang w:val="en-US" w:eastAsia="zh-CN" w:bidi="ar-SA"/>
              </w:rPr>
              <w:t>桥梁养护方案</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43B1EBB5">
            <w:pPr>
              <w:spacing w:line="240"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8FB7C49">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rPr>
              <w:t>针对该项目包含：①</w:t>
            </w:r>
            <w:r>
              <w:rPr>
                <w:rFonts w:hint="eastAsia" w:ascii="宋体" w:hAnsi="宋体" w:eastAsia="宋体" w:cs="宋体"/>
                <w:bCs/>
                <w:color w:val="000000"/>
                <w:sz w:val="24"/>
                <w:szCs w:val="24"/>
                <w:highlight w:val="none"/>
                <w:lang w:val="en-US" w:eastAsia="zh-CN"/>
              </w:rPr>
              <w:t>预防养护；</w:t>
            </w:r>
            <w:r>
              <w:rPr>
                <w:rFonts w:hint="eastAsia" w:ascii="宋体" w:hAnsi="宋体" w:eastAsia="宋体" w:cs="宋体"/>
                <w:color w:val="000000"/>
                <w:kern w:val="0"/>
                <w:sz w:val="24"/>
                <w:szCs w:val="24"/>
                <w:highlight w:val="none"/>
              </w:rPr>
              <w:t>②</w:t>
            </w:r>
            <w:r>
              <w:rPr>
                <w:rFonts w:hint="eastAsia" w:ascii="宋体" w:hAnsi="宋体" w:eastAsia="宋体" w:cs="宋体"/>
                <w:color w:val="000000"/>
                <w:kern w:val="0"/>
                <w:sz w:val="24"/>
                <w:szCs w:val="24"/>
                <w:highlight w:val="none"/>
                <w:lang w:val="en-US" w:eastAsia="zh-CN"/>
              </w:rPr>
              <w:t>修复养护；</w:t>
            </w:r>
            <w:r>
              <w:rPr>
                <w:rFonts w:hint="eastAsia" w:ascii="宋体" w:hAnsi="宋体" w:eastAsia="宋体" w:cs="宋体"/>
                <w:color w:val="000000"/>
                <w:kern w:val="0"/>
                <w:sz w:val="24"/>
                <w:szCs w:val="24"/>
                <w:highlight w:val="none"/>
              </w:rPr>
              <w:t>③</w:t>
            </w:r>
            <w:r>
              <w:rPr>
                <w:rFonts w:hint="eastAsia" w:ascii="宋体" w:hAnsi="宋体" w:eastAsia="宋体" w:cs="宋体"/>
                <w:color w:val="000000"/>
                <w:kern w:val="0"/>
                <w:sz w:val="24"/>
                <w:szCs w:val="24"/>
                <w:highlight w:val="none"/>
                <w:lang w:val="en-US" w:eastAsia="zh-CN"/>
              </w:rPr>
              <w:t>专项养护</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④</w:t>
            </w:r>
            <w:r>
              <w:rPr>
                <w:rFonts w:hint="eastAsia" w:ascii="宋体" w:hAnsi="宋体" w:eastAsia="宋体" w:cs="宋体"/>
                <w:color w:val="000000"/>
                <w:kern w:val="0"/>
                <w:sz w:val="24"/>
                <w:szCs w:val="24"/>
                <w:highlight w:val="none"/>
                <w:lang w:val="en-US" w:eastAsia="zh-CN"/>
              </w:rPr>
              <w:t>定期检查。</w:t>
            </w:r>
            <w:r>
              <w:rPr>
                <w:rFonts w:hint="eastAsia" w:ascii="宋体" w:hAnsi="宋体" w:eastAsia="宋体" w:cs="宋体"/>
                <w:color w:val="000000"/>
                <w:kern w:val="0"/>
                <w:sz w:val="24"/>
                <w:szCs w:val="24"/>
                <w:highlight w:val="none"/>
              </w:rPr>
              <w:t>以上内容每提供一项最高得</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分，满分</w:t>
            </w:r>
            <w:r>
              <w:rPr>
                <w:rFonts w:hint="eastAsia" w:ascii="宋体" w:hAnsi="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分；每项内容中有缺陷或不足的，每有一处扣</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分，扣完为止，未提供不得分。</w:t>
            </w:r>
          </w:p>
        </w:tc>
      </w:tr>
      <w:tr w14:paraId="1927A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621" w:type="pct"/>
            <w:vMerge w:val="continue"/>
            <w:tcBorders>
              <w:left w:val="single" w:color="auto" w:sz="4" w:space="0"/>
              <w:right w:val="single" w:color="auto" w:sz="4" w:space="0"/>
            </w:tcBorders>
            <w:noWrap w:val="0"/>
            <w:vAlign w:val="center"/>
          </w:tcPr>
          <w:p w14:paraId="215430C0">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D00EF2">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bCs/>
                <w:color w:val="000000"/>
                <w:kern w:val="2"/>
                <w:sz w:val="24"/>
                <w:szCs w:val="24"/>
                <w:highlight w:val="yellow"/>
                <w:lang w:val="zh-CN" w:eastAsia="zh-CN" w:bidi="ar-SA"/>
              </w:rPr>
            </w:pPr>
            <w:r>
              <w:rPr>
                <w:rFonts w:hint="eastAsia" w:ascii="宋体" w:hAnsi="宋体" w:eastAsia="宋体" w:cs="宋体"/>
                <w:bCs/>
                <w:color w:val="000000"/>
                <w:sz w:val="24"/>
                <w:szCs w:val="24"/>
                <w:highlight w:val="none"/>
              </w:rPr>
              <w:t>机械设备投入</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290D39">
            <w:pPr>
              <w:spacing w:line="24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lang w:val="en-US" w:eastAsia="zh-CN"/>
              </w:rPr>
              <w:t>4</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BBED4FE">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bCs/>
                <w:color w:val="000000"/>
                <w:kern w:val="2"/>
                <w:sz w:val="24"/>
                <w:szCs w:val="24"/>
                <w:highlight w:val="yellow"/>
                <w:lang w:val="en-US" w:eastAsia="zh-CN" w:bidi="ar-SA"/>
              </w:rPr>
            </w:pPr>
            <w:r>
              <w:rPr>
                <w:rFonts w:hint="eastAsia" w:ascii="宋体" w:hAnsi="宋体" w:eastAsia="宋体" w:cs="宋体"/>
                <w:bCs/>
                <w:color w:val="000000"/>
                <w:sz w:val="24"/>
                <w:szCs w:val="24"/>
                <w:highlight w:val="none"/>
                <w:lang w:eastAsia="zh-CN"/>
              </w:rPr>
              <w:t>自有或租赁主要机械设备（挖掘机、压路机、疏通车、</w:t>
            </w:r>
            <w:r>
              <w:rPr>
                <w:rFonts w:hint="eastAsia" w:ascii="宋体" w:hAnsi="宋体" w:eastAsia="宋体" w:cs="宋体"/>
                <w:bCs/>
                <w:color w:val="000000"/>
                <w:sz w:val="24"/>
                <w:szCs w:val="24"/>
                <w:highlight w:val="none"/>
                <w:lang w:val="en-US" w:eastAsia="zh-CN"/>
              </w:rPr>
              <w:t>清淤疏通机械设备</w:t>
            </w:r>
            <w:r>
              <w:rPr>
                <w:rFonts w:hint="eastAsia" w:ascii="宋体" w:hAnsi="宋体" w:eastAsia="宋体" w:cs="宋体"/>
                <w:bCs/>
                <w:color w:val="000000"/>
                <w:sz w:val="24"/>
                <w:szCs w:val="24"/>
                <w:highlight w:val="none"/>
                <w:lang w:eastAsia="zh-CN"/>
              </w:rPr>
              <w:t>等）清单齐全，满足项目需求</w:t>
            </w:r>
            <w:r>
              <w:rPr>
                <w:rFonts w:hint="eastAsia" w:ascii="宋体" w:hAnsi="宋体" w:cs="宋体"/>
                <w:bCs/>
                <w:color w:val="000000"/>
                <w:sz w:val="24"/>
                <w:szCs w:val="24"/>
                <w:highlight w:val="none"/>
                <w:lang w:val="en-US" w:eastAsia="zh-CN"/>
              </w:rPr>
              <w:t>的得4分，提供部分</w:t>
            </w:r>
            <w:r>
              <w:rPr>
                <w:rFonts w:hint="eastAsia" w:ascii="宋体" w:hAnsi="宋体" w:eastAsia="宋体" w:cs="宋体"/>
                <w:bCs/>
                <w:color w:val="000000"/>
                <w:sz w:val="24"/>
                <w:szCs w:val="24"/>
                <w:highlight w:val="none"/>
                <w:lang w:eastAsia="zh-CN"/>
              </w:rPr>
              <w:t>机械设备</w:t>
            </w:r>
            <w:r>
              <w:rPr>
                <w:rFonts w:hint="eastAsia" w:ascii="宋体" w:hAnsi="宋体" w:cs="宋体"/>
                <w:bCs/>
                <w:color w:val="000000"/>
                <w:sz w:val="24"/>
                <w:szCs w:val="24"/>
                <w:highlight w:val="none"/>
                <w:lang w:val="en-US" w:eastAsia="zh-CN"/>
              </w:rPr>
              <w:t>资料的得2分，未提供不得分。（提供相关证明资料）</w:t>
            </w:r>
          </w:p>
        </w:tc>
      </w:tr>
      <w:tr w14:paraId="3E94E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right w:val="single" w:color="auto" w:sz="4" w:space="0"/>
            </w:tcBorders>
            <w:noWrap w:val="0"/>
            <w:vAlign w:val="center"/>
          </w:tcPr>
          <w:p w14:paraId="743FDA91">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46754CCA">
            <w:pPr>
              <w:spacing w:line="240" w:lineRule="auto"/>
              <w:jc w:val="center"/>
              <w:rPr>
                <w:rFonts w:hint="eastAsia" w:ascii="宋体" w:hAnsi="宋体"/>
                <w:color w:val="000000"/>
                <w:sz w:val="24"/>
                <w:szCs w:val="24"/>
                <w:highlight w:val="none"/>
                <w:lang w:val="zh-CN"/>
              </w:rPr>
            </w:pPr>
            <w:r>
              <w:rPr>
                <w:rFonts w:hint="eastAsia" w:ascii="宋体" w:hAnsi="宋体" w:eastAsia="宋体" w:cs="宋体"/>
                <w:bCs/>
                <w:color w:val="000000"/>
                <w:kern w:val="2"/>
                <w:sz w:val="24"/>
                <w:szCs w:val="24"/>
                <w:highlight w:val="none"/>
                <w:lang w:val="zh-CN" w:eastAsia="zh-CN" w:bidi="ar-SA"/>
              </w:rPr>
              <w:t>项目团队人员</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3C2910">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color w:val="000000"/>
                <w:kern w:val="0"/>
                <w:sz w:val="24"/>
                <w:szCs w:val="24"/>
                <w:highlight w:val="red"/>
                <w:lang w:val="en-US" w:eastAsia="zh-CN" w:bidi="ar-SA"/>
              </w:rPr>
            </w:pPr>
            <w:r>
              <w:rPr>
                <w:rFonts w:hint="eastAsia" w:ascii="宋体" w:hAnsi="宋体" w:eastAsia="宋体" w:cs="宋体"/>
                <w:color w:val="000000"/>
                <w:kern w:val="0"/>
                <w:sz w:val="24"/>
                <w:szCs w:val="24"/>
                <w:highlight w:val="none"/>
                <w:lang w:val="en-US" w:eastAsia="zh-CN" w:bidi="ar-SA"/>
              </w:rPr>
              <w:t>6</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BF587A5">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textAlignment w:val="auto"/>
              <w:rPr>
                <w:rFonts w:hint="eastAsia" w:ascii="宋体" w:hAnsi="宋体" w:eastAsia="宋体" w:cs="宋体"/>
                <w:color w:val="000000"/>
                <w:kern w:val="0"/>
                <w:sz w:val="24"/>
                <w:szCs w:val="24"/>
                <w:highlight w:val="red"/>
                <w:lang w:val="en-US" w:eastAsia="zh-CN" w:bidi="ar-SA"/>
              </w:rPr>
            </w:pPr>
            <w:r>
              <w:rPr>
                <w:rFonts w:hint="eastAsia" w:ascii="宋体" w:hAnsi="宋体" w:eastAsia="宋体" w:cs="宋体"/>
                <w:color w:val="auto"/>
                <w:sz w:val="24"/>
                <w:szCs w:val="24"/>
                <w:highlight w:val="none"/>
              </w:rPr>
              <w:t>技术负责人（中级及以上职称）1名，质</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rPr>
              <w:t>员1名，安全员1名，施工员1名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资料员2</w:t>
            </w:r>
            <w:r>
              <w:rPr>
                <w:rFonts w:hint="eastAsia" w:ascii="宋体" w:hAnsi="宋体" w:eastAsia="宋体" w:cs="宋体"/>
                <w:color w:val="auto"/>
                <w:sz w:val="24"/>
                <w:szCs w:val="24"/>
                <w:highlight w:val="none"/>
              </w:rPr>
              <w:t>名，满分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000000"/>
                <w:kern w:val="0"/>
                <w:sz w:val="24"/>
                <w:szCs w:val="24"/>
                <w:highlight w:val="none"/>
              </w:rPr>
              <w:t>每缺少一人扣1分；扣完为止。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000000"/>
                <w:kern w:val="0"/>
                <w:sz w:val="24"/>
                <w:szCs w:val="24"/>
                <w:highlight w:val="none"/>
              </w:rPr>
              <w:t>相应的岗位证书和社保证明</w:t>
            </w:r>
            <w:r>
              <w:rPr>
                <w:rFonts w:hint="eastAsia" w:ascii="宋体" w:hAnsi="宋体" w:eastAsia="宋体" w:cs="宋体"/>
                <w:color w:val="auto"/>
                <w:sz w:val="24"/>
                <w:szCs w:val="24"/>
                <w:highlight w:val="none"/>
                <w:lang w:eastAsia="zh-CN"/>
              </w:rPr>
              <w:t>）</w:t>
            </w:r>
          </w:p>
        </w:tc>
      </w:tr>
      <w:tr w14:paraId="4FB33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21" w:type="pct"/>
            <w:vMerge w:val="continue"/>
            <w:tcBorders>
              <w:left w:val="single" w:color="auto" w:sz="4" w:space="0"/>
              <w:bottom w:val="single" w:color="auto" w:sz="4" w:space="0"/>
              <w:right w:val="single" w:color="auto" w:sz="4" w:space="0"/>
            </w:tcBorders>
            <w:noWrap w:val="0"/>
            <w:vAlign w:val="center"/>
          </w:tcPr>
          <w:p w14:paraId="6FA21E06">
            <w:pPr>
              <w:spacing w:line="240" w:lineRule="auto"/>
              <w:jc w:val="center"/>
              <w:rPr>
                <w:rFonts w:hint="eastAsia" w:ascii="宋体" w:hAnsi="宋体"/>
                <w:color w:val="000000"/>
                <w:sz w:val="24"/>
                <w:szCs w:val="24"/>
                <w:highlight w:val="none"/>
                <w:lang w:val="zh-CN"/>
              </w:rPr>
            </w:pPr>
          </w:p>
        </w:tc>
        <w:tc>
          <w:tcPr>
            <w:tcW w:w="6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1D6C7F">
            <w:pPr>
              <w:spacing w:line="240" w:lineRule="auto"/>
              <w:jc w:val="center"/>
              <w:rPr>
                <w:rFonts w:hint="eastAsia" w:ascii="宋体" w:hAnsi="宋体" w:eastAsia="宋体" w:cs="Times New Roman"/>
                <w:color w:val="000000"/>
                <w:kern w:val="2"/>
                <w:sz w:val="24"/>
                <w:szCs w:val="24"/>
                <w:highlight w:val="none"/>
                <w:lang w:val="zh-CN" w:eastAsia="zh-CN" w:bidi="ar-SA"/>
              </w:rPr>
            </w:pPr>
            <w:r>
              <w:rPr>
                <w:rFonts w:hint="eastAsia" w:ascii="宋体" w:hAnsi="宋体"/>
                <w:color w:val="000000"/>
                <w:sz w:val="24"/>
                <w:szCs w:val="24"/>
                <w:highlight w:val="none"/>
                <w:lang w:val="zh-CN"/>
              </w:rPr>
              <w:t>服务响应</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25D1C7">
            <w:pPr>
              <w:spacing w:line="240" w:lineRule="auto"/>
              <w:ind w:firstLine="240" w:firstLineChars="100"/>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lang w:val="en-US" w:eastAsia="zh-CN"/>
              </w:rPr>
              <w:t>2</w:t>
            </w:r>
          </w:p>
        </w:tc>
        <w:tc>
          <w:tcPr>
            <w:tcW w:w="31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E3AE99">
            <w:pPr>
              <w:autoSpaceDE w:val="0"/>
              <w:autoSpaceDN w:val="0"/>
              <w:adjustRightInd w:val="0"/>
              <w:spacing w:line="40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宋体"/>
                <w:bCs/>
                <w:kern w:val="0"/>
                <w:sz w:val="24"/>
                <w:szCs w:val="24"/>
                <w:highlight w:val="none"/>
                <w:lang w:val="en-US" w:eastAsia="zh-CN"/>
              </w:rPr>
              <w:t>投标人响应时间：在1小时（含1小时）内对出现的突发情况做出响应且在2小时内派出专业人员到场，现场开展有效处理</w:t>
            </w:r>
            <w:r>
              <w:rPr>
                <w:rFonts w:hint="eastAsia" w:ascii="宋体" w:hAnsi="宋体" w:cs="宋体"/>
                <w:bCs/>
                <w:kern w:val="0"/>
                <w:sz w:val="24"/>
                <w:szCs w:val="24"/>
                <w:highlight w:val="none"/>
                <w:lang w:val="en-US" w:eastAsia="zh-CN"/>
              </w:rPr>
              <w:t>。服务期限内每日都需有应急值班人员，开展突发情况处置，及时应对</w:t>
            </w:r>
            <w:r>
              <w:rPr>
                <w:rFonts w:hint="eastAsia" w:ascii="宋体" w:hAnsi="宋体" w:eastAsia="宋体" w:cs="宋体"/>
                <w:bCs/>
                <w:kern w:val="0"/>
                <w:sz w:val="24"/>
                <w:szCs w:val="24"/>
                <w:highlight w:val="none"/>
                <w:lang w:val="en-US" w:eastAsia="zh-CN"/>
              </w:rPr>
              <w:t>的得2分，不提供的不得分。（以提供的承诺为准，格式自拟，并加盖公章）。</w:t>
            </w:r>
          </w:p>
        </w:tc>
      </w:tr>
      <w:tr w14:paraId="73F31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000" w:type="pct"/>
            <w:gridSpan w:val="4"/>
            <w:tcBorders>
              <w:top w:val="single" w:color="auto" w:sz="4" w:space="0"/>
              <w:left w:val="single" w:color="auto" w:sz="4" w:space="0"/>
              <w:right w:val="single" w:color="auto" w:sz="4" w:space="0"/>
            </w:tcBorders>
            <w:noWrap w:val="0"/>
            <w:vAlign w:val="center"/>
          </w:tcPr>
          <w:p w14:paraId="6F3DD680">
            <w:pPr>
              <w:autoSpaceDE w:val="0"/>
              <w:autoSpaceDN w:val="0"/>
              <w:adjustRightInd w:val="0"/>
              <w:spacing w:line="400" w:lineRule="exact"/>
              <w:jc w:val="left"/>
              <w:rPr>
                <w:rFonts w:hint="eastAsia" w:ascii="宋体" w:hAnsi="宋体" w:eastAsia="宋体" w:cs="宋体"/>
                <w:bCs/>
                <w:kern w:val="0"/>
                <w:sz w:val="24"/>
                <w:szCs w:val="24"/>
                <w:highlight w:val="yellow"/>
                <w:lang w:val="en-US" w:eastAsia="zh-CN"/>
              </w:rPr>
            </w:pPr>
            <w:r>
              <w:rPr>
                <w:rFonts w:hint="eastAsia" w:ascii="宋体" w:hAnsi="宋体" w:eastAsia="宋体" w:cs="宋体"/>
                <w:color w:val="000000"/>
                <w:kern w:val="0"/>
                <w:sz w:val="24"/>
                <w:szCs w:val="24"/>
                <w:highlight w:val="none"/>
              </w:rPr>
              <w:t>注：评审标准中的有缺陷或不足是指：存在项目名称错误、地点区域错误、内容与本项目实际内容不符、施工方案等内容矛盾或表述前后不一致、仅有框架或标题、适用的标准（方法）错误、明显复制其他项目内容情况等情形。</w:t>
            </w:r>
          </w:p>
        </w:tc>
      </w:tr>
    </w:tbl>
    <w:p w14:paraId="18EFC8E6">
      <w:pPr>
        <w:pStyle w:val="19"/>
        <w:rPr>
          <w:rFonts w:hint="eastAsia" w:hAnsi="宋体" w:cs="宋体"/>
          <w:b/>
          <w:bCs/>
          <w:color w:val="auto"/>
          <w:sz w:val="24"/>
          <w:szCs w:val="24"/>
          <w:highlight w:val="yellow"/>
          <w:shd w:val="clear" w:color="auto" w:fill="FFFFFF"/>
        </w:rPr>
      </w:pPr>
    </w:p>
    <w:p w14:paraId="0286B54B">
      <w:pPr>
        <w:pStyle w:val="19"/>
        <w:rPr>
          <w:rFonts w:hint="eastAsia" w:hAnsi="宋体" w:cs="宋体"/>
          <w:b/>
          <w:bCs/>
          <w:color w:val="auto"/>
          <w:sz w:val="24"/>
          <w:szCs w:val="24"/>
          <w:highlight w:val="yellow"/>
          <w:shd w:val="clear" w:color="auto" w:fill="FFFFFF"/>
        </w:rPr>
      </w:pPr>
    </w:p>
    <w:p w14:paraId="1778908C">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20.3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74DFB9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20.4 评标结果汇总完成后，除下列情形外，任何人不得修改评标结果：</w:t>
      </w:r>
    </w:p>
    <w:p w14:paraId="55B89FB3">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（1）分值汇总计算错误的；</w:t>
      </w:r>
    </w:p>
    <w:p w14:paraId="26D36E72">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（2）分项评分超出评分标准范围的；</w:t>
      </w:r>
    </w:p>
    <w:p w14:paraId="1840CBC8">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（3）评标委员会成员对客观评审因素评分不一致的；</w:t>
      </w:r>
    </w:p>
    <w:p w14:paraId="08D66C42">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（4）经评标委员会认定评分畸高、畸低的。</w:t>
      </w:r>
    </w:p>
    <w:p w14:paraId="2503E716">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1C4F8EE">
      <w:pPr>
        <w:autoSpaceDE w:val="0"/>
        <w:autoSpaceDN w:val="0"/>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投标人对以上情形提出质疑的，采购人或者采购代理机构可以组织原评标委员会进行重新评审，重新评审改变评标结果的，应当书面报告本级财政部门。</w:t>
      </w:r>
    </w:p>
    <w:p w14:paraId="1C8E964F">
      <w:pPr>
        <w:pStyle w:val="28"/>
        <w:spacing w:before="0" w:after="0" w:line="360" w:lineRule="auto"/>
        <w:rPr>
          <w:rFonts w:hint="eastAsia" w:ascii="宋体" w:hAnsi="宋体" w:cs="宋体"/>
          <w:highlight w:val="none"/>
          <w:lang w:val="zh-CN"/>
        </w:rPr>
      </w:pPr>
      <w:bookmarkStart w:id="82" w:name="_Toc7463"/>
      <w:bookmarkStart w:id="83" w:name="_Toc16276"/>
      <w:r>
        <w:rPr>
          <w:rFonts w:hint="eastAsia" w:ascii="宋体" w:hAnsi="宋体" w:cs="宋体"/>
          <w:highlight w:val="none"/>
          <w:lang w:val="zh-CN"/>
        </w:rPr>
        <w:t>八、中标</w:t>
      </w:r>
      <w:bookmarkEnd w:id="82"/>
      <w:bookmarkEnd w:id="83"/>
    </w:p>
    <w:p w14:paraId="252911FE">
      <w:pPr>
        <w:pStyle w:val="28"/>
        <w:spacing w:before="0" w:after="0" w:line="360" w:lineRule="auto"/>
        <w:jc w:val="left"/>
        <w:rPr>
          <w:rFonts w:hint="eastAsia" w:ascii="宋体" w:hAnsi="宋体" w:cs="宋体"/>
          <w:highlight w:val="none"/>
          <w:lang w:val="zh-CN"/>
        </w:rPr>
      </w:pPr>
      <w:bookmarkStart w:id="84" w:name="_Toc7130"/>
      <w:bookmarkStart w:id="85" w:name="_Toc6990"/>
      <w:r>
        <w:rPr>
          <w:rFonts w:hint="eastAsia" w:ascii="宋体" w:hAnsi="宋体" w:cs="宋体"/>
          <w:sz w:val="28"/>
          <w:szCs w:val="28"/>
          <w:highlight w:val="none"/>
          <w:lang w:val="zh-CN"/>
        </w:rPr>
        <w:t>2</w:t>
      </w:r>
      <w:r>
        <w:rPr>
          <w:rFonts w:hint="eastAsia" w:ascii="宋体" w:hAnsi="宋体" w:cs="宋体"/>
          <w:sz w:val="28"/>
          <w:szCs w:val="28"/>
          <w:highlight w:val="none"/>
        </w:rPr>
        <w:t>1</w:t>
      </w:r>
      <w:r>
        <w:rPr>
          <w:rFonts w:hint="eastAsia" w:ascii="宋体" w:hAnsi="宋体" w:cs="宋体"/>
          <w:sz w:val="28"/>
          <w:szCs w:val="28"/>
          <w:highlight w:val="none"/>
          <w:lang w:val="zh-CN"/>
        </w:rPr>
        <w:t>.推荐并确定中标人</w:t>
      </w:r>
      <w:bookmarkEnd w:id="84"/>
      <w:bookmarkEnd w:id="85"/>
    </w:p>
    <w:p w14:paraId="33A40714">
      <w:pPr>
        <w:autoSpaceDE w:val="0"/>
        <w:autoSpaceDN w:val="0"/>
        <w:spacing w:line="360" w:lineRule="auto"/>
        <w:ind w:firstLine="480" w:firstLineChars="200"/>
        <w:rPr>
          <w:rFonts w:hint="eastAsia" w:ascii="宋体" w:hAnsi="宋体" w:cs="宋体"/>
          <w:highlight w:val="none"/>
        </w:rPr>
      </w:pPr>
      <w:r>
        <w:rPr>
          <w:rFonts w:hint="eastAsia" w:ascii="宋体" w:hAnsi="宋体" w:cs="宋体"/>
          <w:highlight w:val="none"/>
        </w:rPr>
        <w:t>21.1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B060E2">
      <w:pPr>
        <w:autoSpaceDE w:val="0"/>
        <w:autoSpaceDN w:val="0"/>
        <w:spacing w:line="360" w:lineRule="auto"/>
        <w:ind w:firstLine="480" w:firstLineChars="200"/>
        <w:rPr>
          <w:rFonts w:hint="eastAsia" w:ascii="宋体" w:hAnsi="宋体" w:cs="宋体"/>
          <w:highlight w:val="none"/>
        </w:rPr>
      </w:pPr>
      <w:r>
        <w:rPr>
          <w:rFonts w:hint="eastAsia" w:ascii="宋体" w:hAnsi="宋体" w:cs="宋体"/>
          <w:highlight w:val="none"/>
        </w:rPr>
        <w:t>21.2 采购人自行组织招标的，应当在评标结束后5个工作日内确定中标人。</w:t>
      </w:r>
    </w:p>
    <w:p w14:paraId="2781970B">
      <w:pPr>
        <w:autoSpaceDE w:val="0"/>
        <w:autoSpaceDN w:val="0"/>
        <w:spacing w:line="360" w:lineRule="auto"/>
        <w:ind w:firstLine="480" w:firstLineChars="200"/>
        <w:rPr>
          <w:rFonts w:hint="eastAsia" w:ascii="宋体" w:hAnsi="宋体" w:cs="宋体"/>
          <w:highlight w:val="none"/>
        </w:rPr>
      </w:pPr>
      <w:r>
        <w:rPr>
          <w:rFonts w:hint="eastAsia" w:ascii="宋体" w:hAnsi="宋体" w:cs="宋体"/>
          <w:highlight w:val="none"/>
        </w:rPr>
        <w:t>21.3 采购人在收到评标报告5个工作日内未按评标报告推荐的中标候选人顺序确定中标人，又不能说明合法理由的，视同按评标报告推荐的顺序确定排名第一的中标候选人为中标人。</w:t>
      </w:r>
    </w:p>
    <w:p w14:paraId="6E43CF68">
      <w:pPr>
        <w:pStyle w:val="28"/>
        <w:spacing w:before="0" w:after="0" w:line="360" w:lineRule="auto"/>
        <w:jc w:val="left"/>
        <w:rPr>
          <w:rFonts w:hint="eastAsia" w:ascii="宋体" w:hAnsi="宋体" w:cs="宋体"/>
          <w:highlight w:val="none"/>
          <w:lang w:val="zh-CN"/>
        </w:rPr>
      </w:pPr>
      <w:bookmarkStart w:id="86" w:name="_Toc14997"/>
      <w:bookmarkStart w:id="87" w:name="_Toc1150"/>
      <w:r>
        <w:rPr>
          <w:rFonts w:hint="eastAsia" w:ascii="宋体" w:hAnsi="宋体" w:cs="宋体"/>
          <w:sz w:val="28"/>
          <w:szCs w:val="28"/>
          <w:highlight w:val="none"/>
          <w:lang w:val="zh-CN"/>
        </w:rPr>
        <w:t>2</w:t>
      </w:r>
      <w:r>
        <w:rPr>
          <w:rFonts w:hint="eastAsia" w:ascii="宋体" w:hAnsi="宋体" w:cs="宋体"/>
          <w:sz w:val="28"/>
          <w:szCs w:val="28"/>
          <w:highlight w:val="none"/>
        </w:rPr>
        <w:t>2</w:t>
      </w:r>
      <w:r>
        <w:rPr>
          <w:rFonts w:hint="eastAsia" w:ascii="宋体" w:hAnsi="宋体" w:cs="宋体"/>
          <w:sz w:val="28"/>
          <w:szCs w:val="28"/>
          <w:highlight w:val="none"/>
          <w:lang w:val="zh-CN"/>
        </w:rPr>
        <w:t>.中标通知</w:t>
      </w:r>
      <w:bookmarkEnd w:id="86"/>
      <w:bookmarkEnd w:id="87"/>
    </w:p>
    <w:p w14:paraId="3A78B8E0">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22.1 采购人或者采购代理机构应当自中标人确定之日起2个工作日内，在省级以上财政部门指定的媒体上公告中标结果。</w:t>
      </w:r>
    </w:p>
    <w:p w14:paraId="44593906">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2DED783E">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22.3 中标公告期限为1个工作日。</w:t>
      </w:r>
    </w:p>
    <w:p w14:paraId="0A2AACEE">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22.4 在公告中标结果的同时，</w:t>
      </w:r>
      <w:r>
        <w:rPr>
          <w:rFonts w:hint="eastAsia" w:ascii="宋体" w:hAnsi="宋体" w:cs="宋体"/>
          <w:highlight w:val="none"/>
          <w:shd w:val="clear" w:color="auto" w:fill="FFFFFF"/>
        </w:rPr>
        <w:t>采购代理机构</w:t>
      </w:r>
      <w:r>
        <w:rPr>
          <w:rFonts w:hint="eastAsia" w:ascii="宋体" w:hAnsi="宋体" w:cs="宋体"/>
          <w:kern w:val="0"/>
          <w:highlight w:val="none"/>
        </w:rPr>
        <w:t>应当向中标人发出中标通知书；对投标无效的投标人，采购人或采购代理机构应当告知其投标无效的原因；采用综合评分法评审的，还应当告知未中标人本人的评审得分与排序。</w:t>
      </w:r>
    </w:p>
    <w:p w14:paraId="2238E81A">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22.5 中标通知书发出后，采购人不得违法改变中标结果，中标人无正当理由不得放弃中标。</w:t>
      </w:r>
    </w:p>
    <w:p w14:paraId="7C2CE56A">
      <w:pPr>
        <w:pStyle w:val="28"/>
        <w:spacing w:before="0" w:after="0" w:line="360" w:lineRule="auto"/>
        <w:rPr>
          <w:rFonts w:hint="eastAsia" w:ascii="宋体" w:hAnsi="宋体" w:cs="宋体"/>
          <w:highlight w:val="none"/>
          <w:lang w:val="zh-CN"/>
        </w:rPr>
      </w:pPr>
      <w:bookmarkStart w:id="88" w:name="_Toc12913"/>
      <w:bookmarkStart w:id="89" w:name="_Toc2420"/>
      <w:r>
        <w:rPr>
          <w:rFonts w:hint="eastAsia" w:ascii="宋体" w:hAnsi="宋体" w:cs="宋体"/>
          <w:highlight w:val="none"/>
          <w:lang w:val="zh-CN"/>
        </w:rPr>
        <w:t>九、授予合同</w:t>
      </w:r>
      <w:bookmarkEnd w:id="88"/>
      <w:bookmarkEnd w:id="89"/>
    </w:p>
    <w:p w14:paraId="616A07A5">
      <w:pPr>
        <w:pStyle w:val="28"/>
        <w:spacing w:before="0" w:after="0" w:line="360" w:lineRule="auto"/>
        <w:jc w:val="left"/>
        <w:rPr>
          <w:rFonts w:hint="eastAsia" w:ascii="宋体" w:hAnsi="宋体" w:cs="宋体"/>
          <w:kern w:val="0"/>
          <w:sz w:val="24"/>
          <w:highlight w:val="none"/>
        </w:rPr>
      </w:pPr>
      <w:bookmarkStart w:id="90" w:name="_Toc14006"/>
      <w:bookmarkStart w:id="91" w:name="_Toc17064"/>
      <w:r>
        <w:rPr>
          <w:rFonts w:hint="eastAsia" w:ascii="宋体" w:hAnsi="宋体" w:cs="宋体"/>
          <w:sz w:val="28"/>
          <w:szCs w:val="28"/>
          <w:highlight w:val="none"/>
          <w:lang w:val="zh-CN"/>
        </w:rPr>
        <w:t>2</w:t>
      </w:r>
      <w:r>
        <w:rPr>
          <w:rFonts w:hint="eastAsia" w:ascii="宋体" w:hAnsi="宋体" w:cs="宋体"/>
          <w:sz w:val="28"/>
          <w:szCs w:val="28"/>
          <w:highlight w:val="none"/>
        </w:rPr>
        <w:t>3</w:t>
      </w:r>
      <w:r>
        <w:rPr>
          <w:rFonts w:hint="eastAsia" w:ascii="宋体" w:hAnsi="宋体" w:cs="宋体"/>
          <w:sz w:val="28"/>
          <w:szCs w:val="28"/>
          <w:highlight w:val="none"/>
          <w:lang w:val="zh-CN"/>
        </w:rPr>
        <w:t>.签订合同</w:t>
      </w:r>
      <w:bookmarkEnd w:id="90"/>
      <w:bookmarkEnd w:id="91"/>
    </w:p>
    <w:p w14:paraId="3BB433C3">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rPr>
        <w:t>3</w:t>
      </w:r>
      <w:r>
        <w:rPr>
          <w:rFonts w:hint="eastAsia" w:ascii="宋体" w:hAnsi="宋体" w:cs="宋体"/>
          <w:kern w:val="0"/>
          <w:highlight w:val="none"/>
          <w:lang w:val="zh-CN"/>
        </w:rPr>
        <w:t>.1</w:t>
      </w:r>
      <w:r>
        <w:rPr>
          <w:rFonts w:hint="eastAsia" w:ascii="宋体" w:hAnsi="宋体" w:cs="宋体"/>
          <w:kern w:val="0"/>
          <w:highlight w:val="none"/>
        </w:rPr>
        <w:t xml:space="preserve"> 采购人应当自中标通知书发出之日起30日内，按照招标文件和中标人投标文件的规定，与中标人签订书面合同。所签订的合同不得对招标文件确定的事项和中标人投标文件作实质性修改。</w:t>
      </w:r>
    </w:p>
    <w:p w14:paraId="0B328C1F">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采购人不得向中标人提出任何不合理的要求作为签订合同的条件。</w:t>
      </w:r>
    </w:p>
    <w:p w14:paraId="2D36314B">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2</w:t>
      </w:r>
      <w:r>
        <w:rPr>
          <w:rFonts w:hint="eastAsia" w:ascii="宋体" w:hAnsi="宋体" w:cs="宋体"/>
          <w:kern w:val="0"/>
          <w:highlight w:val="none"/>
        </w:rPr>
        <w:t>3</w:t>
      </w:r>
      <w:r>
        <w:rPr>
          <w:rFonts w:hint="eastAsia" w:ascii="宋体" w:hAnsi="宋体" w:cs="宋体"/>
          <w:kern w:val="0"/>
          <w:highlight w:val="none"/>
          <w:lang w:val="zh-CN"/>
        </w:rPr>
        <w:t>.</w:t>
      </w:r>
      <w:r>
        <w:rPr>
          <w:rFonts w:hint="eastAsia" w:ascii="宋体" w:hAnsi="宋体" w:cs="宋体"/>
          <w:kern w:val="0"/>
          <w:highlight w:val="none"/>
        </w:rPr>
        <w:t>2 中标人拒绝与采购人签订合同的</w:t>
      </w:r>
      <w:r>
        <w:rPr>
          <w:rFonts w:hint="eastAsia" w:ascii="宋体" w:hAnsi="宋体" w:cs="宋体"/>
          <w:kern w:val="0"/>
          <w:highlight w:val="none"/>
          <w:lang w:val="zh-CN"/>
        </w:rPr>
        <w:t>，采购人可以按照评标报告推荐的中标候选人名单排序，确定下一候选人为中标人，也可重新开展政府采购活动。</w:t>
      </w:r>
    </w:p>
    <w:p w14:paraId="130DCE49">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2</w:t>
      </w:r>
      <w:r>
        <w:rPr>
          <w:rFonts w:hint="eastAsia" w:ascii="宋体" w:hAnsi="宋体" w:cs="宋体"/>
          <w:kern w:val="0"/>
          <w:highlight w:val="none"/>
        </w:rPr>
        <w:t>3</w:t>
      </w:r>
      <w:r>
        <w:rPr>
          <w:rFonts w:hint="eastAsia" w:ascii="宋体" w:hAnsi="宋体" w:cs="宋体"/>
          <w:kern w:val="0"/>
          <w:highlight w:val="none"/>
          <w:lang w:val="zh-CN"/>
        </w:rPr>
        <w:t>.</w:t>
      </w:r>
      <w:r>
        <w:rPr>
          <w:rFonts w:hint="eastAsia" w:ascii="宋体" w:hAnsi="宋体" w:cs="宋体"/>
          <w:kern w:val="0"/>
          <w:highlight w:val="none"/>
        </w:rPr>
        <w:t>3</w:t>
      </w:r>
      <w:r>
        <w:rPr>
          <w:rFonts w:hint="eastAsia" w:ascii="宋体" w:hAnsi="宋体" w:cs="宋体"/>
          <w:kern w:val="0"/>
          <w:highlight w:val="none"/>
          <w:lang w:bidi="ar"/>
        </w:rPr>
        <w:t xml:space="preserve"> </w:t>
      </w:r>
      <w:r>
        <w:rPr>
          <w:rFonts w:hint="eastAsia" w:ascii="宋体" w:hAnsi="宋体" w:cs="宋体"/>
          <w:kern w:val="0"/>
          <w:highlight w:val="none"/>
          <w:lang w:val="zh-CN"/>
        </w:rPr>
        <w:t>招标文件、中标人的投标文件、《中标通知书》及其澄清、说明文件、承诺等，均为签订采购合同的依据，作为采购合同的组成部分。</w:t>
      </w:r>
    </w:p>
    <w:p w14:paraId="13AF774D">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 xml:space="preserve">22.4 </w:t>
      </w:r>
      <w:r>
        <w:rPr>
          <w:rFonts w:hint="eastAsia" w:ascii="宋体" w:hAnsi="宋体" w:cs="宋体"/>
          <w:kern w:val="0"/>
          <w:highlight w:val="none"/>
          <w:lang w:val="zh-CN"/>
        </w:rPr>
        <w:t>采购合同签订之日起</w:t>
      </w:r>
      <w:r>
        <w:rPr>
          <w:rFonts w:hint="eastAsia" w:ascii="宋体" w:hAnsi="宋体" w:cs="宋体"/>
          <w:kern w:val="0"/>
          <w:highlight w:val="none"/>
        </w:rPr>
        <w:t>2</w:t>
      </w:r>
      <w:r>
        <w:rPr>
          <w:rFonts w:hint="eastAsia" w:ascii="宋体" w:hAnsi="宋体" w:cs="宋体"/>
          <w:kern w:val="0"/>
          <w:highlight w:val="none"/>
          <w:lang w:val="zh-CN"/>
        </w:rPr>
        <w:t>个工作日内，由采购人将采购合同在青海省政府采购网上公告，但采购合同中涉及国家秘密、商业秘密的内容除外。</w:t>
      </w:r>
    </w:p>
    <w:p w14:paraId="4D8081F7">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23.5 采购人与中标人应当根据合同的约定依法履行合同义务。政府采购合同的履行、违约责任和解决争议的方法等适用《中华人民共和国民法典》。</w:t>
      </w:r>
    </w:p>
    <w:p w14:paraId="5606B506">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 xml:space="preserve">23.6 </w:t>
      </w:r>
      <w:r>
        <w:rPr>
          <w:rFonts w:hint="eastAsia"/>
          <w:highlight w:val="none"/>
        </w:rPr>
        <w:t>采购人或者采购代理机构应当按照政府采购合同规定的技术、服务、安全标准组织对投标人履约情况进行验收，并出具验收书。验收书应当包括每一项技术、服务、安全标准的履约情况。</w:t>
      </w:r>
    </w:p>
    <w:p w14:paraId="5A5B8E4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23.7</w:t>
      </w:r>
      <w:r>
        <w:rPr>
          <w:rFonts w:ascii="宋体" w:hAnsi="宋体" w:cs="宋体"/>
          <w:kern w:val="0"/>
          <w:highlight w:val="none"/>
        </w:rPr>
        <w:t xml:space="preserve"> </w:t>
      </w:r>
      <w:r>
        <w:rPr>
          <w:rFonts w:hint="eastAsia" w:ascii="宋体" w:hAnsi="宋体" w:cs="宋体"/>
          <w:kern w:val="0"/>
          <w:highlight w:val="none"/>
        </w:rPr>
        <w:t>采购人可以邀请参加本项目的其他投标人或者第三方机构参与验收。参与验收的投标人或者第三方机构的意见作为验收书的参考资料一并存档。</w:t>
      </w:r>
    </w:p>
    <w:p w14:paraId="056E379A">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23.8</w:t>
      </w:r>
      <w:r>
        <w:rPr>
          <w:rFonts w:ascii="宋体" w:hAnsi="宋体" w:cs="宋体"/>
          <w:kern w:val="0"/>
          <w:highlight w:val="none"/>
        </w:rPr>
        <w:t xml:space="preserve"> </w:t>
      </w:r>
      <w:r>
        <w:rPr>
          <w:rFonts w:hint="eastAsia" w:ascii="宋体" w:hAnsi="宋体" w:cs="宋体"/>
          <w:kern w:val="0"/>
          <w:highlight w:val="none"/>
        </w:rPr>
        <w:t>采购人应当加强对中标人的履约管理，并按照采购合同约定，及时向中标人支付采购资金。对于中标人违反采购合同约定的行为，采购人应当及时处理，依法追究其违约责任。</w:t>
      </w:r>
    </w:p>
    <w:p w14:paraId="7057C172">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23.9 采购人、采购代理机构应当建立真实完整的招标采购档案，妥善保存每项采购活动的采购文件。</w:t>
      </w:r>
    </w:p>
    <w:p w14:paraId="71A51C96">
      <w:pPr>
        <w:pStyle w:val="28"/>
        <w:spacing w:before="0" w:after="0" w:line="360" w:lineRule="auto"/>
        <w:rPr>
          <w:rFonts w:hint="eastAsia" w:ascii="宋体" w:hAnsi="宋体" w:cs="宋体"/>
          <w:highlight w:val="none"/>
          <w:lang w:val="zh-CN"/>
        </w:rPr>
      </w:pPr>
      <w:bookmarkStart w:id="92" w:name="_Toc3792"/>
      <w:bookmarkStart w:id="93" w:name="_Toc16754"/>
      <w:r>
        <w:rPr>
          <w:rFonts w:hint="eastAsia" w:ascii="宋体" w:hAnsi="宋体" w:cs="宋体"/>
          <w:highlight w:val="none"/>
          <w:lang w:val="zh-CN"/>
        </w:rPr>
        <w:t>十、其他</w:t>
      </w:r>
      <w:bookmarkEnd w:id="92"/>
      <w:bookmarkEnd w:id="93"/>
    </w:p>
    <w:p w14:paraId="66468F2A">
      <w:pPr>
        <w:pStyle w:val="28"/>
        <w:spacing w:before="0" w:after="0" w:line="360" w:lineRule="auto"/>
        <w:jc w:val="left"/>
        <w:rPr>
          <w:rFonts w:hint="eastAsia" w:ascii="宋体" w:hAnsi="宋体" w:cs="宋体"/>
          <w:sz w:val="28"/>
          <w:szCs w:val="28"/>
          <w:highlight w:val="none"/>
        </w:rPr>
      </w:pPr>
      <w:bookmarkStart w:id="94" w:name="_Toc18269"/>
      <w:bookmarkStart w:id="95" w:name="_Toc21739"/>
      <w:r>
        <w:rPr>
          <w:rFonts w:hint="eastAsia" w:ascii="宋体" w:hAnsi="宋体" w:cs="宋体"/>
          <w:sz w:val="28"/>
          <w:szCs w:val="28"/>
          <w:highlight w:val="none"/>
        </w:rPr>
        <w:t>2</w:t>
      </w:r>
      <w:r>
        <w:rPr>
          <w:rFonts w:ascii="宋体" w:hAnsi="宋体" w:cs="宋体"/>
          <w:sz w:val="28"/>
          <w:szCs w:val="28"/>
          <w:highlight w:val="none"/>
        </w:rPr>
        <w:t>4</w:t>
      </w:r>
      <w:r>
        <w:rPr>
          <w:rFonts w:hint="eastAsia" w:ascii="宋体" w:hAnsi="宋体" w:cs="宋体"/>
          <w:sz w:val="28"/>
          <w:szCs w:val="28"/>
          <w:highlight w:val="none"/>
        </w:rPr>
        <w:t>. 串通投标的情形</w:t>
      </w:r>
      <w:bookmarkEnd w:id="94"/>
      <w:bookmarkEnd w:id="95"/>
    </w:p>
    <w:p w14:paraId="3BEF3505">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24.1</w:t>
      </w:r>
      <w:r>
        <w:rPr>
          <w:rFonts w:hint="eastAsia" w:ascii="宋体" w:hAnsi="宋体" w:cs="宋体"/>
          <w:kern w:val="0"/>
          <w:highlight w:val="none"/>
          <w:lang w:val="en-US" w:eastAsia="zh-CN"/>
        </w:rPr>
        <w:t xml:space="preserve"> </w:t>
      </w:r>
      <w:r>
        <w:rPr>
          <w:rFonts w:hint="eastAsia" w:ascii="宋体" w:hAnsi="宋体" w:cs="宋体"/>
          <w:kern w:val="0"/>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2D1D6D5">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24.2</w:t>
      </w:r>
      <w:r>
        <w:rPr>
          <w:rFonts w:ascii="宋体" w:hAnsi="宋体" w:cs="宋体"/>
          <w:kern w:val="0"/>
          <w:highlight w:val="none"/>
        </w:rPr>
        <w:t xml:space="preserve"> </w:t>
      </w:r>
      <w:r>
        <w:rPr>
          <w:rFonts w:hint="eastAsia" w:ascii="宋体" w:hAnsi="宋体" w:cs="宋体"/>
          <w:kern w:val="0"/>
          <w:highlight w:val="none"/>
        </w:rPr>
        <w:t>有下列情形之一的，视为投标人串通投标，其投标无效：</w:t>
      </w:r>
    </w:p>
    <w:p w14:paraId="272B974D">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（1）不同投标人的投标文件由同一单位或者个人编制；</w:t>
      </w:r>
    </w:p>
    <w:p w14:paraId="4E582A5B">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（2）不同投标人委托同一单位或者个人办理投标事宜；</w:t>
      </w:r>
    </w:p>
    <w:p w14:paraId="275DC68B">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（3）不同投标人的投标文件载明的项目管理成员或者联系人员为同一人；</w:t>
      </w:r>
    </w:p>
    <w:p w14:paraId="53968209">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（4）不同投标人的投标文件异常一致或者投标报价呈规律性差异；</w:t>
      </w:r>
    </w:p>
    <w:p w14:paraId="50076E4F">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（5）不同投标人的投标文件相互混装；</w:t>
      </w:r>
    </w:p>
    <w:p w14:paraId="481F9AC6">
      <w:pPr>
        <w:pStyle w:val="28"/>
        <w:spacing w:before="0" w:after="0" w:line="360" w:lineRule="auto"/>
        <w:jc w:val="left"/>
        <w:rPr>
          <w:rFonts w:hint="eastAsia" w:ascii="宋体" w:hAnsi="宋体" w:cs="宋体"/>
          <w:sz w:val="28"/>
          <w:szCs w:val="28"/>
          <w:highlight w:val="none"/>
        </w:rPr>
      </w:pPr>
      <w:bookmarkStart w:id="96" w:name="_Toc19542"/>
      <w:bookmarkStart w:id="97" w:name="_Toc32233"/>
      <w:r>
        <w:rPr>
          <w:rFonts w:hint="eastAsia" w:ascii="宋体" w:hAnsi="宋体" w:cs="宋体"/>
          <w:sz w:val="28"/>
          <w:szCs w:val="28"/>
          <w:highlight w:val="none"/>
        </w:rPr>
        <w:t>2</w:t>
      </w:r>
      <w:r>
        <w:rPr>
          <w:rFonts w:ascii="宋体" w:hAnsi="宋体" w:cs="宋体"/>
          <w:sz w:val="28"/>
          <w:szCs w:val="28"/>
          <w:highlight w:val="none"/>
        </w:rPr>
        <w:t>5</w:t>
      </w:r>
      <w:r>
        <w:rPr>
          <w:rFonts w:hint="eastAsia" w:ascii="宋体" w:hAnsi="宋体" w:cs="宋体"/>
          <w:sz w:val="28"/>
          <w:szCs w:val="28"/>
          <w:highlight w:val="none"/>
        </w:rPr>
        <w:t>. 废标</w:t>
      </w:r>
      <w:bookmarkEnd w:id="96"/>
      <w:bookmarkEnd w:id="97"/>
    </w:p>
    <w:p w14:paraId="7F81821B">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25.1</w:t>
      </w:r>
      <w:r>
        <w:rPr>
          <w:rFonts w:ascii="宋体" w:hAnsi="宋体" w:cs="宋体"/>
          <w:kern w:val="0"/>
          <w:highlight w:val="none"/>
        </w:rPr>
        <w:t xml:space="preserve"> </w:t>
      </w:r>
      <w:r>
        <w:rPr>
          <w:rFonts w:hint="eastAsia" w:ascii="宋体" w:hAnsi="宋体" w:cs="宋体"/>
          <w:kern w:val="0"/>
          <w:highlight w:val="none"/>
        </w:rPr>
        <w:t>在招标采购中，出现下列情形之一的，应予废标：</w:t>
      </w:r>
    </w:p>
    <w:p w14:paraId="26694065">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（1）符合专业条件的投标人或者对招标文件作实质性响应的投标人不足三家的。</w:t>
      </w:r>
    </w:p>
    <w:p w14:paraId="2ED81C76">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（2）出现影响采购公正的违法、违规行为的。</w:t>
      </w:r>
    </w:p>
    <w:p w14:paraId="33C8B66E">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（3）投标人的报价均超出采购预算，采购人不能支付的。</w:t>
      </w:r>
    </w:p>
    <w:p w14:paraId="360B7274">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（4）因重大变故，采购任务取消的。</w:t>
      </w:r>
    </w:p>
    <w:p w14:paraId="7032937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废标后，由采购人或者采购代理机构发布废标公告。</w:t>
      </w:r>
    </w:p>
    <w:p w14:paraId="5F505FCC">
      <w:pPr>
        <w:autoSpaceDE w:val="0"/>
        <w:autoSpaceDN w:val="0"/>
        <w:spacing w:line="360" w:lineRule="auto"/>
        <w:ind w:firstLine="480" w:firstLineChars="200"/>
        <w:rPr>
          <w:rFonts w:hint="eastAsia" w:ascii="宋体" w:hAnsi="宋体" w:cs="宋体"/>
          <w:kern w:val="0"/>
          <w:highlight w:val="none"/>
        </w:rPr>
      </w:pPr>
      <w:r>
        <w:rPr>
          <w:rFonts w:ascii="宋体" w:hAnsi="宋体" w:cs="宋体"/>
          <w:kern w:val="0"/>
          <w:highlight w:val="none"/>
        </w:rPr>
        <w:t xml:space="preserve">25.2 </w:t>
      </w:r>
      <w:r>
        <w:rPr>
          <w:rFonts w:hint="eastAsia" w:ascii="宋体" w:hAnsi="宋体" w:cs="宋体"/>
          <w:kern w:val="0"/>
          <w:highlight w:val="none"/>
        </w:rPr>
        <w:t>公开招标数额标准以上的采购项目，投标截止后投标人不足3家或者通过资格审查或符合性审查的投标人不足3家的，除采购任务取消情形外，按照以下方式处理：</w:t>
      </w:r>
    </w:p>
    <w:p w14:paraId="29780308">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（1）招标文件存在不合理条款或者招标程序不符合规定的，采购人、采购代理机构改正后依法重新招标；</w:t>
      </w:r>
    </w:p>
    <w:p w14:paraId="7C190F49">
      <w:pPr>
        <w:autoSpaceDE w:val="0"/>
        <w:autoSpaceDN w:val="0"/>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（2）招标文件没有不合理条款、招标程序符合规定，需要采用其他采购方式采购的，采购人应当依法报财政部门批准。</w:t>
      </w:r>
    </w:p>
    <w:p w14:paraId="686C6B5D">
      <w:pPr>
        <w:pStyle w:val="28"/>
        <w:spacing w:before="0" w:after="0" w:line="360" w:lineRule="auto"/>
        <w:jc w:val="left"/>
        <w:rPr>
          <w:rFonts w:hint="eastAsia" w:ascii="宋体" w:hAnsi="宋体" w:cs="宋体"/>
          <w:sz w:val="28"/>
          <w:szCs w:val="28"/>
          <w:highlight w:val="none"/>
        </w:rPr>
      </w:pPr>
      <w:bookmarkStart w:id="98" w:name="_Toc7522"/>
      <w:bookmarkStart w:id="99" w:name="_Toc24703"/>
      <w:r>
        <w:rPr>
          <w:rFonts w:hint="eastAsia" w:ascii="宋体" w:hAnsi="宋体" w:cs="宋体"/>
          <w:sz w:val="28"/>
          <w:szCs w:val="28"/>
          <w:highlight w:val="none"/>
        </w:rPr>
        <w:t>2</w:t>
      </w:r>
      <w:r>
        <w:rPr>
          <w:rFonts w:ascii="宋体" w:hAnsi="宋体" w:cs="宋体"/>
          <w:sz w:val="28"/>
          <w:szCs w:val="28"/>
          <w:highlight w:val="none"/>
        </w:rPr>
        <w:t>6</w:t>
      </w:r>
      <w:r>
        <w:rPr>
          <w:rFonts w:hint="eastAsia" w:ascii="宋体" w:hAnsi="宋体" w:cs="宋体"/>
          <w:sz w:val="28"/>
          <w:szCs w:val="28"/>
          <w:highlight w:val="none"/>
        </w:rPr>
        <w:t>. 中标服务费</w:t>
      </w:r>
      <w:bookmarkEnd w:id="98"/>
      <w:bookmarkEnd w:id="99"/>
    </w:p>
    <w:p w14:paraId="225FB4C4">
      <w:pPr>
        <w:autoSpaceDE w:val="0"/>
        <w:autoSpaceDN w:val="0"/>
        <w:spacing w:line="360" w:lineRule="auto"/>
        <w:ind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26.1 收取对象：中标人。</w:t>
      </w:r>
    </w:p>
    <w:p w14:paraId="4CA67ED8">
      <w:pPr>
        <w:autoSpaceDE w:val="0"/>
        <w:autoSpaceDN w:val="0"/>
        <w:spacing w:line="360" w:lineRule="auto"/>
        <w:ind w:firstLine="480" w:firstLineChars="200"/>
        <w:jc w:val="left"/>
        <w:rPr>
          <w:rFonts w:hint="default" w:ascii="宋体" w:hAnsi="宋体" w:eastAsia="宋体" w:cs="宋体"/>
          <w:kern w:val="0"/>
          <w:highlight w:val="none"/>
          <w:u w:val="dashDotDotHeavy"/>
          <w:lang w:val="en-US" w:eastAsia="zh-CN"/>
        </w:rPr>
      </w:pPr>
      <w:r>
        <w:rPr>
          <w:rFonts w:ascii="宋体" w:hAnsi="宋体" w:cs="宋体"/>
          <w:kern w:val="0"/>
          <w:highlight w:val="none"/>
        </w:rPr>
        <w:t xml:space="preserve">26.2 </w:t>
      </w:r>
      <w:r>
        <w:rPr>
          <w:rFonts w:hint="eastAsia" w:ascii="宋体" w:hAnsi="宋体" w:cs="宋体"/>
          <w:kern w:val="0"/>
          <w:highlight w:val="none"/>
          <w:lang w:val="zh-CN"/>
        </w:rPr>
        <w:t>收费金额：</w:t>
      </w:r>
      <w:r>
        <w:rPr>
          <w:rFonts w:hint="eastAsia" w:ascii="宋体" w:hAnsi="宋体" w:cs="宋体"/>
          <w:kern w:val="0"/>
          <w:highlight w:val="none"/>
          <w:lang w:val="en-US" w:eastAsia="zh-CN"/>
        </w:rPr>
        <w:t>30000.00元。</w:t>
      </w:r>
    </w:p>
    <w:p w14:paraId="2A5D14CA">
      <w:pPr>
        <w:autoSpaceDE w:val="0"/>
        <w:autoSpaceDN w:val="0"/>
        <w:spacing w:line="360" w:lineRule="auto"/>
        <w:ind w:firstLine="480" w:firstLineChars="200"/>
        <w:jc w:val="left"/>
        <w:rPr>
          <w:rFonts w:hint="eastAsia" w:ascii="宋体" w:hAnsi="宋体" w:cs="宋体"/>
          <w:b/>
          <w:bCs/>
          <w:sz w:val="36"/>
          <w:szCs w:val="32"/>
          <w:highlight w:val="none"/>
          <w:lang w:val="zh-CN"/>
        </w:rPr>
      </w:pPr>
      <w:r>
        <w:rPr>
          <w:rFonts w:hint="eastAsia" w:ascii="宋体" w:hAnsi="宋体" w:cs="宋体"/>
          <w:kern w:val="0"/>
          <w:highlight w:val="none"/>
        </w:rPr>
        <w:t>说明：根据</w:t>
      </w:r>
      <w:r>
        <w:rPr>
          <w:rFonts w:hint="eastAsia" w:ascii="宋体" w:hAnsi="宋体" w:cs="宋体"/>
          <w:kern w:val="0"/>
          <w:highlight w:val="none"/>
          <w:lang w:val="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宋体" w:hAnsi="宋体" w:cs="宋体"/>
          <w:kern w:val="0"/>
          <w:highlight w:val="none"/>
        </w:rPr>
        <w:t>。</w:t>
      </w:r>
    </w:p>
    <w:p w14:paraId="4FF34793">
      <w:pPr>
        <w:autoSpaceDE w:val="0"/>
        <w:autoSpaceDN w:val="0"/>
        <w:spacing w:line="360" w:lineRule="auto"/>
        <w:ind w:firstLine="480" w:firstLineChars="200"/>
        <w:jc w:val="left"/>
        <w:rPr>
          <w:rFonts w:hint="eastAsia" w:ascii="宋体" w:hAnsi="宋体" w:cs="宋体"/>
          <w:kern w:val="0"/>
          <w:highlight w:val="none"/>
        </w:rPr>
      </w:pPr>
      <w:r>
        <w:rPr>
          <w:rFonts w:hint="eastAsia" w:ascii="宋体" w:hAnsi="宋体" w:cs="宋体"/>
          <w:kern w:val="0"/>
          <w:highlight w:val="none"/>
          <w:lang w:val="zh-CN"/>
        </w:rPr>
        <w:t>其他未尽事宜，按照《中华人民共和国政府采购法》、《中华人民共和国政府采购法实施条例》、《中华人民共和国民法典 》等法律法规的有关条款执行。</w:t>
      </w:r>
    </w:p>
    <w:p w14:paraId="430DA31A">
      <w:pPr>
        <w:pStyle w:val="28"/>
        <w:spacing w:before="0" w:after="0" w:line="360" w:lineRule="auto"/>
        <w:jc w:val="both"/>
        <w:rPr>
          <w:rFonts w:hint="eastAsia" w:ascii="宋体" w:hAnsi="宋体" w:cs="宋体"/>
          <w:sz w:val="24"/>
          <w:highlight w:val="none"/>
        </w:rPr>
      </w:pPr>
      <w:r>
        <w:rPr>
          <w:rFonts w:hint="eastAsia" w:ascii="宋体" w:hAnsi="宋体" w:cs="宋体"/>
          <w:szCs w:val="36"/>
          <w:highlight w:val="none"/>
          <w:lang w:val="zh-CN"/>
        </w:rPr>
        <w:br w:type="page"/>
      </w:r>
      <w:bookmarkStart w:id="100" w:name="_Toc24971"/>
      <w:bookmarkStart w:id="101" w:name="_Toc28155"/>
      <w:r>
        <w:rPr>
          <w:rFonts w:hint="eastAsia" w:ascii="宋体" w:hAnsi="宋体" w:cs="宋体"/>
          <w:szCs w:val="36"/>
          <w:highlight w:val="none"/>
          <w:lang w:val="en-US" w:eastAsia="zh-CN"/>
        </w:rPr>
        <w:t xml:space="preserve">   </w:t>
      </w:r>
      <w:r>
        <w:rPr>
          <w:rFonts w:hint="eastAsia" w:ascii="宋体" w:hAnsi="宋体" w:cs="宋体"/>
          <w:szCs w:val="36"/>
          <w:highlight w:val="none"/>
          <w:lang w:val="zh-CN"/>
        </w:rPr>
        <w:t xml:space="preserve">第三部分 </w:t>
      </w:r>
      <w:r>
        <w:rPr>
          <w:rFonts w:hint="eastAsia" w:ascii="宋体" w:hAnsi="宋体" w:cs="宋体"/>
          <w:szCs w:val="36"/>
          <w:highlight w:val="none"/>
        </w:rPr>
        <w:t xml:space="preserve"> </w:t>
      </w:r>
      <w:r>
        <w:rPr>
          <w:rFonts w:hint="eastAsia" w:ascii="宋体" w:hAnsi="宋体" w:cs="宋体"/>
          <w:szCs w:val="36"/>
          <w:highlight w:val="none"/>
          <w:lang w:val="zh-CN"/>
        </w:rPr>
        <w:t>青海省政府采购项目合同书范本</w:t>
      </w:r>
      <w:bookmarkEnd w:id="100"/>
      <w:bookmarkEnd w:id="101"/>
    </w:p>
    <w:p w14:paraId="7D36E7F8">
      <w:pPr>
        <w:autoSpaceDE w:val="0"/>
        <w:autoSpaceDN w:val="0"/>
        <w:adjustRightInd w:val="0"/>
        <w:spacing w:line="360" w:lineRule="auto"/>
        <w:jc w:val="center"/>
        <w:rPr>
          <w:rFonts w:hint="eastAsia" w:ascii="宋体" w:hAnsi="宋体" w:cs="宋体"/>
          <w:b/>
          <w:bCs/>
          <w:kern w:val="0"/>
          <w:sz w:val="36"/>
          <w:szCs w:val="36"/>
          <w:highlight w:val="none"/>
        </w:rPr>
      </w:pPr>
      <w:r>
        <w:rPr>
          <w:rFonts w:hint="eastAsia" w:ascii="宋体" w:hAnsi="宋体" w:cs="宋体"/>
          <w:b/>
          <w:bCs/>
          <w:kern w:val="0"/>
          <w:sz w:val="36"/>
          <w:szCs w:val="36"/>
          <w:highlight w:val="none"/>
          <w:lang w:val="zh-CN"/>
        </w:rPr>
        <w:t>（服务类）</w:t>
      </w:r>
    </w:p>
    <w:p w14:paraId="3E6E18E5">
      <w:pPr>
        <w:autoSpaceDE w:val="0"/>
        <w:autoSpaceDN w:val="0"/>
        <w:adjustRightInd w:val="0"/>
        <w:spacing w:line="360" w:lineRule="auto"/>
        <w:rPr>
          <w:rFonts w:hint="eastAsia" w:ascii="宋体" w:hAnsi="宋体" w:cs="宋体"/>
          <w:kern w:val="0"/>
          <w:sz w:val="28"/>
          <w:szCs w:val="28"/>
          <w:highlight w:val="none"/>
        </w:rPr>
      </w:pPr>
    </w:p>
    <w:p w14:paraId="20BDD027">
      <w:pPr>
        <w:autoSpaceDE w:val="0"/>
        <w:autoSpaceDN w:val="0"/>
        <w:adjustRightInd w:val="0"/>
        <w:spacing w:line="360" w:lineRule="auto"/>
        <w:rPr>
          <w:rFonts w:hint="eastAsia" w:ascii="宋体" w:hAnsi="宋体" w:cs="宋体"/>
          <w:kern w:val="0"/>
          <w:sz w:val="28"/>
          <w:szCs w:val="28"/>
          <w:highlight w:val="none"/>
        </w:rPr>
      </w:pPr>
    </w:p>
    <w:p w14:paraId="2CE71C2B">
      <w:pPr>
        <w:autoSpaceDE w:val="0"/>
        <w:autoSpaceDN w:val="0"/>
        <w:adjustRightInd w:val="0"/>
        <w:spacing w:line="360" w:lineRule="auto"/>
        <w:rPr>
          <w:rFonts w:hint="eastAsia" w:ascii="宋体" w:hAnsi="宋体" w:cs="宋体"/>
          <w:kern w:val="0"/>
          <w:sz w:val="28"/>
          <w:szCs w:val="28"/>
          <w:highlight w:val="none"/>
        </w:rPr>
      </w:pPr>
    </w:p>
    <w:p w14:paraId="393079B5">
      <w:pPr>
        <w:autoSpaceDE w:val="0"/>
        <w:autoSpaceDN w:val="0"/>
        <w:adjustRightInd w:val="0"/>
        <w:spacing w:line="360" w:lineRule="auto"/>
        <w:rPr>
          <w:rFonts w:hint="eastAsia" w:ascii="宋体" w:hAnsi="宋体" w:cs="宋体"/>
          <w:kern w:val="0"/>
          <w:sz w:val="28"/>
          <w:szCs w:val="28"/>
          <w:highlight w:val="none"/>
        </w:rPr>
      </w:pPr>
    </w:p>
    <w:p w14:paraId="13B9F7AA">
      <w:pPr>
        <w:autoSpaceDE w:val="0"/>
        <w:autoSpaceDN w:val="0"/>
        <w:adjustRightInd w:val="0"/>
        <w:spacing w:line="360" w:lineRule="auto"/>
        <w:jc w:val="center"/>
        <w:rPr>
          <w:rFonts w:hint="eastAsia" w:ascii="宋体" w:hAnsi="宋体" w:cs="宋体"/>
          <w:b/>
          <w:bCs/>
          <w:kern w:val="0"/>
          <w:sz w:val="48"/>
          <w:szCs w:val="48"/>
          <w:highlight w:val="none"/>
        </w:rPr>
      </w:pPr>
      <w:r>
        <w:rPr>
          <w:rFonts w:hint="eastAsia" w:ascii="宋体" w:hAnsi="宋体" w:cs="宋体"/>
          <w:b/>
          <w:bCs/>
          <w:kern w:val="0"/>
          <w:sz w:val="48"/>
          <w:szCs w:val="48"/>
          <w:highlight w:val="none"/>
          <w:lang w:val="zh-CN"/>
        </w:rPr>
        <w:t>青海省政府采购项目合同书</w:t>
      </w:r>
    </w:p>
    <w:p w14:paraId="605EDF3E">
      <w:pPr>
        <w:autoSpaceDE w:val="0"/>
        <w:autoSpaceDN w:val="0"/>
        <w:adjustRightInd w:val="0"/>
        <w:spacing w:line="360" w:lineRule="auto"/>
        <w:rPr>
          <w:rFonts w:hint="eastAsia" w:ascii="宋体" w:hAnsi="宋体" w:cs="宋体"/>
          <w:kern w:val="0"/>
          <w:sz w:val="28"/>
          <w:szCs w:val="28"/>
          <w:highlight w:val="none"/>
        </w:rPr>
      </w:pPr>
    </w:p>
    <w:p w14:paraId="32A726FD">
      <w:pPr>
        <w:autoSpaceDE w:val="0"/>
        <w:autoSpaceDN w:val="0"/>
        <w:adjustRightInd w:val="0"/>
        <w:spacing w:line="360" w:lineRule="auto"/>
        <w:rPr>
          <w:rFonts w:hint="eastAsia" w:ascii="宋体" w:hAnsi="宋体" w:cs="宋体"/>
          <w:kern w:val="0"/>
          <w:sz w:val="28"/>
          <w:szCs w:val="28"/>
          <w:highlight w:val="none"/>
        </w:rPr>
      </w:pPr>
    </w:p>
    <w:p w14:paraId="518F8D1A">
      <w:pPr>
        <w:autoSpaceDE w:val="0"/>
        <w:autoSpaceDN w:val="0"/>
        <w:adjustRightInd w:val="0"/>
        <w:spacing w:line="360" w:lineRule="auto"/>
        <w:rPr>
          <w:rFonts w:hint="eastAsia" w:ascii="宋体" w:hAnsi="宋体" w:cs="宋体"/>
          <w:kern w:val="0"/>
          <w:sz w:val="28"/>
          <w:szCs w:val="28"/>
          <w:highlight w:val="none"/>
        </w:rPr>
      </w:pPr>
    </w:p>
    <w:p w14:paraId="0B250C72">
      <w:pPr>
        <w:autoSpaceDE w:val="0"/>
        <w:autoSpaceDN w:val="0"/>
        <w:adjustRightInd w:val="0"/>
        <w:spacing w:line="360" w:lineRule="auto"/>
        <w:rPr>
          <w:rFonts w:hint="eastAsia" w:ascii="宋体" w:hAnsi="宋体" w:cs="宋体"/>
          <w:kern w:val="0"/>
          <w:sz w:val="28"/>
          <w:szCs w:val="28"/>
          <w:highlight w:val="none"/>
        </w:rPr>
      </w:pPr>
    </w:p>
    <w:p w14:paraId="275B1768">
      <w:pPr>
        <w:autoSpaceDE w:val="0"/>
        <w:autoSpaceDN w:val="0"/>
        <w:adjustRightInd w:val="0"/>
        <w:spacing w:line="360" w:lineRule="auto"/>
        <w:rPr>
          <w:rFonts w:hint="eastAsia" w:ascii="宋体" w:hAnsi="宋体" w:cs="宋体"/>
          <w:b/>
          <w:bCs/>
          <w:kern w:val="0"/>
          <w:sz w:val="30"/>
          <w:szCs w:val="30"/>
          <w:highlight w:val="none"/>
          <w:lang w:val="zh-CN"/>
        </w:rPr>
      </w:pPr>
      <w:r>
        <w:rPr>
          <w:rFonts w:hint="eastAsia" w:ascii="宋体" w:hAnsi="宋体" w:cs="宋体"/>
          <w:b/>
          <w:bCs/>
          <w:kern w:val="0"/>
          <w:sz w:val="30"/>
          <w:szCs w:val="30"/>
          <w:highlight w:val="none"/>
          <w:lang w:val="zh-CN"/>
        </w:rPr>
        <w:t>采购项目编号：</w:t>
      </w:r>
      <w:r>
        <w:rPr>
          <w:rFonts w:hint="eastAsia" w:ascii="宋体" w:hAnsi="宋体" w:cs="宋体"/>
          <w:kern w:val="0"/>
          <w:sz w:val="30"/>
          <w:szCs w:val="30"/>
          <w:highlight w:val="none"/>
          <w:u w:val="single"/>
        </w:rPr>
        <w:t xml:space="preserve">                                 </w:t>
      </w:r>
    </w:p>
    <w:p w14:paraId="6C9DA7C7">
      <w:pPr>
        <w:autoSpaceDE w:val="0"/>
        <w:autoSpaceDN w:val="0"/>
        <w:adjustRightInd w:val="0"/>
        <w:spacing w:line="360" w:lineRule="auto"/>
        <w:rPr>
          <w:rFonts w:hint="eastAsia" w:ascii="宋体" w:hAnsi="宋体" w:cs="宋体"/>
          <w:b/>
          <w:bCs/>
          <w:kern w:val="0"/>
          <w:sz w:val="30"/>
          <w:szCs w:val="30"/>
          <w:highlight w:val="none"/>
        </w:rPr>
      </w:pPr>
      <w:r>
        <w:rPr>
          <w:rFonts w:hint="eastAsia" w:ascii="宋体" w:hAnsi="宋体" w:cs="宋体"/>
          <w:b/>
          <w:bCs/>
          <w:kern w:val="0"/>
          <w:sz w:val="30"/>
          <w:szCs w:val="30"/>
          <w:highlight w:val="none"/>
          <w:lang w:val="zh-CN"/>
        </w:rPr>
        <w:t>采购项目名称：</w:t>
      </w:r>
      <w:r>
        <w:rPr>
          <w:rFonts w:hint="eastAsia" w:ascii="宋体" w:hAnsi="宋体" w:cs="宋体"/>
          <w:b/>
          <w:bCs/>
          <w:kern w:val="0"/>
          <w:sz w:val="30"/>
          <w:szCs w:val="30"/>
          <w:highlight w:val="none"/>
          <w:u w:val="single"/>
        </w:rPr>
        <w:t xml:space="preserve">                                 </w:t>
      </w:r>
    </w:p>
    <w:p w14:paraId="773A6391">
      <w:pPr>
        <w:autoSpaceDE w:val="0"/>
        <w:autoSpaceDN w:val="0"/>
        <w:adjustRightInd w:val="0"/>
        <w:spacing w:line="360" w:lineRule="auto"/>
        <w:rPr>
          <w:rFonts w:hint="eastAsia" w:ascii="宋体" w:hAnsi="宋体" w:cs="宋体"/>
          <w:b/>
          <w:bCs/>
          <w:kern w:val="0"/>
          <w:sz w:val="30"/>
          <w:szCs w:val="30"/>
          <w:highlight w:val="none"/>
          <w:u w:val="single"/>
        </w:rPr>
      </w:pPr>
      <w:r>
        <w:rPr>
          <w:rFonts w:hint="eastAsia" w:ascii="宋体" w:hAnsi="宋体" w:cs="宋体"/>
          <w:b/>
          <w:bCs/>
          <w:kern w:val="0"/>
          <w:sz w:val="30"/>
          <w:szCs w:val="30"/>
          <w:highlight w:val="none"/>
          <w:lang w:val="zh-CN"/>
        </w:rPr>
        <w:t>采购合同编号：</w:t>
      </w:r>
      <w:r>
        <w:rPr>
          <w:rFonts w:hint="eastAsia" w:ascii="宋体" w:hAnsi="宋体" w:cs="宋体"/>
          <w:b/>
          <w:bCs/>
          <w:kern w:val="0"/>
          <w:sz w:val="30"/>
          <w:szCs w:val="30"/>
          <w:highlight w:val="none"/>
          <w:u w:val="single"/>
        </w:rPr>
        <w:t xml:space="preserve"> </w:t>
      </w:r>
      <w:r>
        <w:rPr>
          <w:rFonts w:hint="eastAsia"/>
          <w:sz w:val="30"/>
          <w:szCs w:val="30"/>
          <w:highlight w:val="none"/>
          <w:u w:val="single"/>
        </w:rPr>
        <w:t>QHHC-</w:t>
      </w:r>
      <w:r>
        <w:rPr>
          <w:rFonts w:hint="eastAsia"/>
          <w:sz w:val="30"/>
          <w:szCs w:val="30"/>
          <w:highlight w:val="none"/>
          <w:u w:val="single"/>
          <w:lang w:val="zh-CN"/>
        </w:rPr>
        <w:t>202</w:t>
      </w:r>
      <w:r>
        <w:rPr>
          <w:rFonts w:hint="eastAsia"/>
          <w:sz w:val="30"/>
          <w:szCs w:val="30"/>
          <w:highlight w:val="none"/>
          <w:u w:val="single"/>
          <w:lang w:val="en-US" w:eastAsia="zh-CN"/>
        </w:rPr>
        <w:t>6</w:t>
      </w:r>
      <w:r>
        <w:rPr>
          <w:rFonts w:hint="eastAsia"/>
          <w:sz w:val="30"/>
          <w:szCs w:val="30"/>
          <w:highlight w:val="none"/>
          <w:u w:val="single"/>
          <w:lang w:val="zh-CN"/>
        </w:rPr>
        <w:t>-</w:t>
      </w:r>
      <w:r>
        <w:rPr>
          <w:rFonts w:hint="eastAsia"/>
          <w:sz w:val="30"/>
          <w:szCs w:val="30"/>
          <w:highlight w:val="none"/>
          <w:u w:val="single"/>
          <w:lang w:val="en-US" w:eastAsia="zh-CN"/>
        </w:rPr>
        <w:t>090</w:t>
      </w:r>
      <w:r>
        <w:rPr>
          <w:rFonts w:hint="eastAsia"/>
          <w:sz w:val="30"/>
          <w:szCs w:val="30"/>
          <w:highlight w:val="none"/>
          <w:u w:val="single"/>
        </w:rPr>
        <w:t xml:space="preserve">          </w:t>
      </w:r>
      <w:r>
        <w:rPr>
          <w:rFonts w:hint="eastAsia" w:ascii="宋体" w:hAnsi="宋体" w:cs="宋体"/>
          <w:b/>
          <w:bCs/>
          <w:kern w:val="0"/>
          <w:sz w:val="30"/>
          <w:szCs w:val="30"/>
          <w:highlight w:val="none"/>
        </w:rPr>
        <w:t xml:space="preserve"> </w:t>
      </w:r>
      <w:r>
        <w:rPr>
          <w:rFonts w:hint="eastAsia" w:ascii="宋体" w:hAnsi="宋体" w:cs="宋体"/>
          <w:b/>
          <w:bCs/>
          <w:kern w:val="0"/>
          <w:sz w:val="30"/>
          <w:szCs w:val="30"/>
          <w:highlight w:val="none"/>
          <w:u w:val="single"/>
        </w:rPr>
        <w:t xml:space="preserve">              </w:t>
      </w:r>
      <w:r>
        <w:rPr>
          <w:rFonts w:hint="eastAsia" w:ascii="宋体" w:hAnsi="宋体" w:cs="宋体"/>
          <w:kern w:val="0"/>
          <w:sz w:val="30"/>
          <w:szCs w:val="30"/>
          <w:highlight w:val="none"/>
          <w:u w:val="single"/>
          <w:lang w:val="zh-CN"/>
        </w:rPr>
        <w:t xml:space="preserve">  </w:t>
      </w:r>
      <w:r>
        <w:rPr>
          <w:rFonts w:hint="eastAsia"/>
          <w:sz w:val="30"/>
          <w:szCs w:val="30"/>
          <w:highlight w:val="none"/>
          <w:u w:val="single"/>
        </w:rPr>
        <w:t xml:space="preserve">          </w:t>
      </w:r>
      <w:r>
        <w:rPr>
          <w:rFonts w:hint="eastAsia" w:ascii="宋体" w:hAnsi="宋体" w:cs="宋体"/>
          <w:kern w:val="0"/>
          <w:sz w:val="30"/>
          <w:szCs w:val="30"/>
          <w:highlight w:val="none"/>
          <w:u w:val="single"/>
        </w:rPr>
        <w:t xml:space="preserve">   </w:t>
      </w:r>
      <w:r>
        <w:rPr>
          <w:rFonts w:hint="eastAsia"/>
          <w:sz w:val="30"/>
          <w:szCs w:val="30"/>
          <w:highlight w:val="none"/>
          <w:u w:val="single"/>
        </w:rPr>
        <w:t xml:space="preserve">         </w:t>
      </w:r>
      <w:r>
        <w:rPr>
          <w:rFonts w:hint="eastAsia"/>
          <w:sz w:val="30"/>
          <w:szCs w:val="30"/>
          <w:highlight w:val="none"/>
        </w:rPr>
        <w:t xml:space="preserve"> </w:t>
      </w:r>
      <w:r>
        <w:rPr>
          <w:rFonts w:hint="eastAsia"/>
          <w:b/>
          <w:sz w:val="30"/>
          <w:szCs w:val="30"/>
          <w:highlight w:val="none"/>
        </w:rPr>
        <w:t xml:space="preserve">            </w:t>
      </w:r>
      <w:r>
        <w:rPr>
          <w:rFonts w:hint="eastAsia"/>
          <w:b/>
          <w:sz w:val="30"/>
          <w:szCs w:val="30"/>
          <w:highlight w:val="none"/>
          <w:u w:val="single"/>
        </w:rPr>
        <w:t xml:space="preserve">           </w:t>
      </w:r>
    </w:p>
    <w:p w14:paraId="160AAFA2">
      <w:pPr>
        <w:autoSpaceDE w:val="0"/>
        <w:autoSpaceDN w:val="0"/>
        <w:adjustRightInd w:val="0"/>
        <w:spacing w:line="360" w:lineRule="auto"/>
        <w:rPr>
          <w:rFonts w:hint="eastAsia" w:ascii="宋体" w:hAnsi="宋体" w:cs="宋体"/>
          <w:b/>
          <w:bCs/>
          <w:kern w:val="0"/>
          <w:sz w:val="30"/>
          <w:szCs w:val="30"/>
          <w:highlight w:val="none"/>
        </w:rPr>
      </w:pPr>
      <w:r>
        <w:rPr>
          <w:rFonts w:hint="eastAsia" w:ascii="宋体" w:hAnsi="宋体" w:cs="宋体"/>
          <w:b/>
          <w:bCs/>
          <w:kern w:val="0"/>
          <w:sz w:val="30"/>
          <w:szCs w:val="30"/>
          <w:highlight w:val="none"/>
          <w:lang w:val="zh-CN"/>
        </w:rPr>
        <w:t>合同金额（人民币）：</w:t>
      </w:r>
      <w:r>
        <w:rPr>
          <w:rFonts w:hint="eastAsia" w:ascii="宋体" w:hAnsi="宋体" w:cs="宋体"/>
          <w:b/>
          <w:bCs/>
          <w:kern w:val="0"/>
          <w:sz w:val="30"/>
          <w:szCs w:val="30"/>
          <w:highlight w:val="none"/>
          <w:u w:val="single"/>
        </w:rPr>
        <w:t xml:space="preserve">                           </w:t>
      </w:r>
    </w:p>
    <w:p w14:paraId="33009A5E">
      <w:pPr>
        <w:autoSpaceDE w:val="0"/>
        <w:autoSpaceDN w:val="0"/>
        <w:adjustRightInd w:val="0"/>
        <w:spacing w:line="360" w:lineRule="auto"/>
        <w:rPr>
          <w:rFonts w:hint="eastAsia" w:ascii="宋体" w:hAnsi="宋体" w:cs="宋体"/>
          <w:b/>
          <w:bCs/>
          <w:kern w:val="0"/>
          <w:sz w:val="30"/>
          <w:szCs w:val="30"/>
          <w:highlight w:val="none"/>
        </w:rPr>
      </w:pPr>
      <w:r>
        <w:rPr>
          <w:rFonts w:hint="eastAsia" w:ascii="宋体" w:hAnsi="宋体" w:cs="宋体"/>
          <w:b/>
          <w:bCs/>
          <w:kern w:val="0"/>
          <w:sz w:val="30"/>
          <w:szCs w:val="30"/>
          <w:highlight w:val="none"/>
          <w:lang w:val="zh-CN"/>
        </w:rPr>
        <w:t>采购人（甲方）：</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（盖章）</w:t>
      </w:r>
    </w:p>
    <w:p w14:paraId="392ECAAF">
      <w:pPr>
        <w:autoSpaceDE w:val="0"/>
        <w:autoSpaceDN w:val="0"/>
        <w:adjustRightInd w:val="0"/>
        <w:spacing w:line="360" w:lineRule="auto"/>
        <w:rPr>
          <w:rFonts w:hint="eastAsia" w:ascii="宋体" w:hAnsi="宋体" w:cs="宋体"/>
          <w:b/>
          <w:bCs/>
          <w:kern w:val="0"/>
          <w:sz w:val="30"/>
          <w:szCs w:val="30"/>
          <w:highlight w:val="none"/>
        </w:rPr>
      </w:pPr>
      <w:r>
        <w:rPr>
          <w:rFonts w:hint="eastAsia" w:ascii="宋体" w:hAnsi="宋体" w:cs="宋体"/>
          <w:b/>
          <w:bCs/>
          <w:kern w:val="0"/>
          <w:sz w:val="30"/>
          <w:szCs w:val="30"/>
          <w:highlight w:val="none"/>
          <w:lang w:val="zh-CN"/>
        </w:rPr>
        <w:t>中标人（乙方）：</w:t>
      </w:r>
      <w:r>
        <w:rPr>
          <w:rFonts w:hint="eastAsia" w:ascii="宋体" w:hAnsi="宋体" w:cs="宋体"/>
          <w:b/>
          <w:bCs/>
          <w:kern w:val="0"/>
          <w:sz w:val="30"/>
          <w:szCs w:val="30"/>
          <w:highlight w:val="none"/>
          <w:u w:val="single"/>
        </w:rPr>
        <w:t xml:space="preserve">                       </w:t>
      </w:r>
      <w:r>
        <w:rPr>
          <w:rFonts w:hint="eastAsia" w:ascii="宋体" w:hAnsi="宋体" w:cs="宋体"/>
          <w:b/>
          <w:bCs/>
          <w:kern w:val="0"/>
          <w:sz w:val="30"/>
          <w:szCs w:val="30"/>
          <w:highlight w:val="none"/>
          <w:u w:val="single"/>
          <w:lang w:val="zh-CN"/>
        </w:rPr>
        <w:t>（盖章）</w:t>
      </w:r>
    </w:p>
    <w:p w14:paraId="532280CD">
      <w:pPr>
        <w:autoSpaceDE w:val="0"/>
        <w:autoSpaceDN w:val="0"/>
        <w:adjustRightInd w:val="0"/>
        <w:spacing w:line="360" w:lineRule="auto"/>
        <w:rPr>
          <w:rFonts w:hint="eastAsia" w:ascii="宋体" w:hAnsi="宋体" w:cs="宋体"/>
          <w:b/>
          <w:bCs/>
          <w:kern w:val="0"/>
          <w:sz w:val="30"/>
          <w:szCs w:val="30"/>
          <w:highlight w:val="none"/>
        </w:rPr>
      </w:pPr>
      <w:r>
        <w:rPr>
          <w:rFonts w:hint="eastAsia" w:ascii="宋体" w:hAnsi="宋体" w:cs="宋体"/>
          <w:b/>
          <w:bCs/>
          <w:kern w:val="0"/>
          <w:sz w:val="30"/>
          <w:szCs w:val="30"/>
          <w:highlight w:val="none"/>
          <w:lang w:val="zh-CN"/>
        </w:rPr>
        <w:t>采购日期：</w:t>
      </w:r>
      <w:r>
        <w:rPr>
          <w:rFonts w:hint="eastAsia" w:ascii="宋体" w:hAnsi="宋体" w:cs="宋体"/>
          <w:b/>
          <w:bCs/>
          <w:kern w:val="0"/>
          <w:sz w:val="30"/>
          <w:szCs w:val="30"/>
          <w:highlight w:val="none"/>
          <w:u w:val="single"/>
        </w:rPr>
        <w:t xml:space="preserve">                                     </w:t>
      </w:r>
    </w:p>
    <w:p w14:paraId="6DB42185">
      <w:pPr>
        <w:autoSpaceDE w:val="0"/>
        <w:autoSpaceDN w:val="0"/>
        <w:adjustRightInd w:val="0"/>
        <w:spacing w:line="360" w:lineRule="auto"/>
        <w:rPr>
          <w:rFonts w:hint="eastAsia" w:ascii="宋体" w:hAnsi="宋体" w:cs="宋体"/>
          <w:kern w:val="0"/>
          <w:sz w:val="28"/>
          <w:szCs w:val="28"/>
          <w:highlight w:val="none"/>
        </w:rPr>
      </w:pPr>
    </w:p>
    <w:p w14:paraId="687556C3">
      <w:pPr>
        <w:spacing w:line="360" w:lineRule="auto"/>
        <w:rPr>
          <w:rFonts w:hint="eastAsia" w:ascii="宋体" w:hAnsi="宋体" w:cs="宋体"/>
          <w:kern w:val="0"/>
          <w:sz w:val="28"/>
          <w:szCs w:val="28"/>
          <w:highlight w:val="none"/>
        </w:rPr>
      </w:pPr>
    </w:p>
    <w:p w14:paraId="32532ED7">
      <w:pPr>
        <w:spacing w:line="360" w:lineRule="auto"/>
        <w:rPr>
          <w:rFonts w:hint="eastAsia" w:ascii="宋体" w:hAnsi="宋体" w:cs="宋体"/>
          <w:kern w:val="0"/>
          <w:sz w:val="28"/>
          <w:szCs w:val="28"/>
          <w:highlight w:val="none"/>
        </w:rPr>
      </w:pPr>
    </w:p>
    <w:p w14:paraId="3276DE7B">
      <w:pPr>
        <w:pStyle w:val="30"/>
        <w:spacing w:line="360" w:lineRule="auto"/>
        <w:ind w:firstLine="210"/>
        <w:rPr>
          <w:rFonts w:hint="eastAsia" w:hAnsi="宋体"/>
          <w:b/>
          <w:bCs/>
          <w:highlight w:val="none"/>
        </w:rPr>
      </w:pPr>
      <w:r>
        <w:rPr>
          <w:rFonts w:hint="eastAsia" w:ascii="宋体" w:hAnsi="宋体" w:cs="宋体"/>
          <w:color w:val="000000"/>
          <w:kern w:val="0"/>
          <w:sz w:val="24"/>
          <w:szCs w:val="24"/>
          <w:highlight w:val="none"/>
          <w:lang w:val="en-US" w:eastAsia="zh-CN"/>
        </w:rPr>
        <w:t>注：本合同为范本，具体以实际签订为准。</w:t>
      </w:r>
      <w:r>
        <w:rPr>
          <w:rFonts w:hint="eastAsia" w:ascii="宋体" w:hAnsi="宋体" w:cs="宋体"/>
          <w:kern w:val="0"/>
          <w:sz w:val="28"/>
          <w:szCs w:val="28"/>
          <w:highlight w:val="none"/>
        </w:rPr>
        <w:br w:type="page"/>
      </w:r>
    </w:p>
    <w:p w14:paraId="1541F592">
      <w:pPr>
        <w:pStyle w:val="30"/>
        <w:spacing w:line="360" w:lineRule="auto"/>
        <w:ind w:firstLine="211"/>
        <w:rPr>
          <w:rFonts w:hint="eastAsia" w:ascii="宋体" w:hAnsi="宋体" w:cs="宋体"/>
          <w:b/>
          <w:bCs/>
          <w:color w:val="000000"/>
          <w:kern w:val="0"/>
          <w:sz w:val="24"/>
          <w:szCs w:val="24"/>
          <w:highlight w:val="none"/>
          <w:lang w:val="zh-CN"/>
        </w:rPr>
      </w:pPr>
      <w:bookmarkStart w:id="102" w:name="_Toc4963"/>
      <w:bookmarkStart w:id="103" w:name="_Toc15036"/>
      <w:bookmarkStart w:id="104" w:name="_Toc19345"/>
      <w:r>
        <w:rPr>
          <w:rFonts w:hint="eastAsia" w:ascii="宋体" w:hAnsi="宋体" w:cs="宋体"/>
          <w:b/>
          <w:bCs/>
          <w:color w:val="000000"/>
          <w:kern w:val="0"/>
          <w:sz w:val="24"/>
          <w:szCs w:val="24"/>
          <w:highlight w:val="none"/>
          <w:lang w:val="zh-CN"/>
        </w:rPr>
        <w:t>采 购 人（以下简称甲方）：</w:t>
      </w:r>
      <w:bookmarkEnd w:id="102"/>
      <w:bookmarkEnd w:id="103"/>
      <w:bookmarkEnd w:id="104"/>
      <w:r>
        <w:rPr>
          <w:rFonts w:hint="eastAsia" w:ascii="宋体" w:hAnsi="宋体" w:cs="宋体"/>
          <w:b/>
          <w:bCs/>
          <w:color w:val="000000"/>
          <w:kern w:val="0"/>
          <w:sz w:val="24"/>
          <w:szCs w:val="24"/>
          <w:highlight w:val="none"/>
          <w:lang w:val="zh-CN"/>
        </w:rPr>
        <w:t xml:space="preserve">                             </w:t>
      </w:r>
    </w:p>
    <w:p w14:paraId="1E769033">
      <w:pPr>
        <w:pStyle w:val="30"/>
        <w:spacing w:line="360" w:lineRule="auto"/>
        <w:ind w:firstLine="211"/>
        <w:rPr>
          <w:rFonts w:hint="eastAsia" w:ascii="宋体" w:hAnsi="宋体" w:cs="宋体"/>
          <w:color w:val="000000"/>
          <w:kern w:val="0"/>
          <w:sz w:val="24"/>
          <w:szCs w:val="24"/>
          <w:highlight w:val="none"/>
          <w:lang w:val="zh-CN"/>
        </w:rPr>
      </w:pPr>
      <w:bookmarkStart w:id="105" w:name="_Toc31756"/>
      <w:bookmarkStart w:id="106" w:name="_Toc13063"/>
      <w:bookmarkStart w:id="107" w:name="_Toc20456"/>
      <w:r>
        <w:rPr>
          <w:rFonts w:hint="eastAsia" w:ascii="宋体" w:hAnsi="宋体" w:cs="宋体"/>
          <w:b/>
          <w:bCs/>
          <w:color w:val="000000"/>
          <w:kern w:val="0"/>
          <w:sz w:val="24"/>
          <w:szCs w:val="24"/>
          <w:highlight w:val="none"/>
          <w:lang w:val="zh-CN"/>
        </w:rPr>
        <w:t>供 应 商（以下简称乙方）：</w:t>
      </w:r>
      <w:bookmarkEnd w:id="105"/>
      <w:bookmarkEnd w:id="106"/>
      <w:bookmarkEnd w:id="107"/>
      <w:r>
        <w:rPr>
          <w:rFonts w:hint="eastAsia" w:ascii="宋体" w:hAnsi="宋体" w:cs="宋体"/>
          <w:color w:val="000000"/>
          <w:kern w:val="0"/>
          <w:sz w:val="24"/>
          <w:szCs w:val="24"/>
          <w:highlight w:val="none"/>
          <w:lang w:val="zh-CN"/>
        </w:rPr>
        <w:t xml:space="preserve">                             </w:t>
      </w:r>
    </w:p>
    <w:p w14:paraId="4586A3CF">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甲、乙双方根据  年 </w:t>
      </w:r>
      <w:r>
        <w:rPr>
          <w:rFonts w:ascii="宋体" w:hAnsi="宋体" w:cs="宋体"/>
          <w:color w:val="000000"/>
          <w:kern w:val="0"/>
          <w:sz w:val="24"/>
          <w:szCs w:val="24"/>
          <w:highlight w:val="none"/>
          <w:lang w:val="zh-CN"/>
        </w:rPr>
        <w:t xml:space="preserve"> </w:t>
      </w:r>
      <w:r>
        <w:rPr>
          <w:rFonts w:hint="eastAsia" w:ascii="宋体" w:hAnsi="宋体" w:cs="宋体"/>
          <w:color w:val="000000"/>
          <w:kern w:val="0"/>
          <w:sz w:val="24"/>
          <w:szCs w:val="24"/>
          <w:highlight w:val="none"/>
          <w:lang w:val="zh-CN"/>
        </w:rPr>
        <w:t xml:space="preserve">月 </w:t>
      </w:r>
      <w:r>
        <w:rPr>
          <w:rFonts w:ascii="宋体" w:hAnsi="宋体" w:cs="宋体"/>
          <w:color w:val="000000"/>
          <w:kern w:val="0"/>
          <w:sz w:val="24"/>
          <w:szCs w:val="24"/>
          <w:highlight w:val="none"/>
          <w:lang w:val="zh-CN"/>
        </w:rPr>
        <w:t xml:space="preserve"> </w:t>
      </w:r>
      <w:r>
        <w:rPr>
          <w:rFonts w:hint="eastAsia" w:ascii="宋体" w:hAnsi="宋体" w:cs="宋体"/>
          <w:color w:val="000000"/>
          <w:kern w:val="0"/>
          <w:sz w:val="24"/>
          <w:szCs w:val="24"/>
          <w:highlight w:val="none"/>
          <w:lang w:val="zh-CN"/>
        </w:rPr>
        <w:t>日（采购项目名称：    ）（采购项目编号：   ）的</w:t>
      </w:r>
      <w:r>
        <w:rPr>
          <w:rFonts w:hint="eastAsia" w:ascii="宋体" w:hAnsi="宋体" w:cs="宋体"/>
          <w:color w:val="000000"/>
          <w:kern w:val="0"/>
          <w:sz w:val="24"/>
          <w:szCs w:val="24"/>
          <w:highlight w:val="none"/>
        </w:rPr>
        <w:t>招标文件</w:t>
      </w:r>
      <w:r>
        <w:rPr>
          <w:rFonts w:hint="eastAsia" w:ascii="宋体" w:hAnsi="宋体" w:cs="宋体"/>
          <w:color w:val="000000"/>
          <w:kern w:val="0"/>
          <w:sz w:val="24"/>
          <w:szCs w:val="24"/>
          <w:highlight w:val="none"/>
          <w:lang w:val="zh-CN"/>
        </w:rPr>
        <w:t>文件要求和采购代理机构出具的《</w:t>
      </w:r>
      <w:r>
        <w:rPr>
          <w:rFonts w:hint="eastAsia" w:ascii="宋体" w:hAnsi="宋体" w:cs="宋体"/>
          <w:color w:val="000000"/>
          <w:kern w:val="0"/>
          <w:sz w:val="24"/>
          <w:szCs w:val="24"/>
          <w:highlight w:val="none"/>
        </w:rPr>
        <w:t>中标</w:t>
      </w:r>
      <w:r>
        <w:rPr>
          <w:rFonts w:hint="eastAsia" w:ascii="宋体" w:hAnsi="宋体" w:cs="宋体"/>
          <w:color w:val="000000"/>
          <w:kern w:val="0"/>
          <w:sz w:val="24"/>
          <w:szCs w:val="24"/>
          <w:highlight w:val="none"/>
          <w:lang w:val="zh-CN"/>
        </w:rPr>
        <w:t>通知书》，并经双方协商一致，签订本合同协议书。</w:t>
      </w:r>
    </w:p>
    <w:p w14:paraId="59470747">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一、签订本政府采购合同的依据</w:t>
      </w:r>
    </w:p>
    <w:p w14:paraId="14EF08C9">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本政府采购合同所附下列文件是构成本政府采购合同不可分割的部分：</w:t>
      </w:r>
    </w:p>
    <w:p w14:paraId="3130C044">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w:t>
      </w:r>
      <w:r>
        <w:rPr>
          <w:rFonts w:hint="eastAsia" w:ascii="宋体" w:hAnsi="宋体" w:cs="宋体"/>
          <w:color w:val="000000"/>
          <w:kern w:val="0"/>
          <w:sz w:val="24"/>
          <w:szCs w:val="24"/>
          <w:highlight w:val="none"/>
        </w:rPr>
        <w:t>招标</w:t>
      </w:r>
      <w:r>
        <w:rPr>
          <w:rFonts w:hint="eastAsia" w:ascii="宋体" w:hAnsi="宋体" w:cs="宋体"/>
          <w:color w:val="000000"/>
          <w:kern w:val="0"/>
          <w:sz w:val="24"/>
          <w:szCs w:val="24"/>
          <w:highlight w:val="none"/>
          <w:lang w:val="zh-CN"/>
        </w:rPr>
        <w:t>文件；</w:t>
      </w:r>
    </w:p>
    <w:p w14:paraId="364CC1DA">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w:t>
      </w:r>
      <w:r>
        <w:rPr>
          <w:rFonts w:hint="eastAsia" w:ascii="宋体" w:hAnsi="宋体" w:cs="宋体"/>
          <w:color w:val="000000"/>
          <w:kern w:val="0"/>
          <w:sz w:val="24"/>
          <w:szCs w:val="24"/>
          <w:highlight w:val="none"/>
        </w:rPr>
        <w:t>招标</w:t>
      </w:r>
      <w:r>
        <w:rPr>
          <w:rFonts w:hint="eastAsia" w:ascii="宋体" w:hAnsi="宋体" w:cs="宋体"/>
          <w:color w:val="000000"/>
          <w:kern w:val="0"/>
          <w:sz w:val="24"/>
          <w:szCs w:val="24"/>
          <w:highlight w:val="none"/>
          <w:lang w:val="zh-CN"/>
        </w:rPr>
        <w:t>文件的更正、变更公告；</w:t>
      </w:r>
    </w:p>
    <w:p w14:paraId="39B5972C">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3.</w:t>
      </w:r>
      <w:r>
        <w:rPr>
          <w:rFonts w:hint="eastAsia" w:ascii="宋体" w:hAnsi="宋体" w:cs="宋体"/>
          <w:color w:val="000000"/>
          <w:kern w:val="0"/>
          <w:sz w:val="24"/>
          <w:szCs w:val="24"/>
          <w:highlight w:val="none"/>
        </w:rPr>
        <w:t>中标</w:t>
      </w:r>
      <w:r>
        <w:rPr>
          <w:rFonts w:hint="eastAsia" w:ascii="宋体" w:hAnsi="宋体" w:cs="宋体"/>
          <w:color w:val="000000"/>
          <w:kern w:val="0"/>
          <w:sz w:val="24"/>
          <w:szCs w:val="24"/>
          <w:highlight w:val="none"/>
          <w:lang w:val="zh-CN"/>
        </w:rPr>
        <w:t>人提交的</w:t>
      </w:r>
      <w:r>
        <w:rPr>
          <w:rFonts w:hint="eastAsia" w:ascii="宋体" w:hAnsi="宋体" w:cs="宋体"/>
          <w:color w:val="000000"/>
          <w:kern w:val="0"/>
          <w:sz w:val="24"/>
          <w:szCs w:val="24"/>
          <w:highlight w:val="none"/>
        </w:rPr>
        <w:t>投标</w:t>
      </w:r>
      <w:r>
        <w:rPr>
          <w:rFonts w:hint="eastAsia" w:ascii="宋体" w:hAnsi="宋体" w:cs="宋体"/>
          <w:color w:val="000000"/>
          <w:kern w:val="0"/>
          <w:sz w:val="24"/>
          <w:szCs w:val="24"/>
          <w:highlight w:val="none"/>
          <w:lang w:val="zh-CN"/>
        </w:rPr>
        <w:t>文件；</w:t>
      </w:r>
    </w:p>
    <w:p w14:paraId="067537B3">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4.</w:t>
      </w:r>
      <w:r>
        <w:rPr>
          <w:rFonts w:hint="eastAsia" w:ascii="宋体" w:hAnsi="宋体" w:cs="宋体"/>
          <w:color w:val="000000"/>
          <w:kern w:val="0"/>
          <w:sz w:val="24"/>
          <w:szCs w:val="24"/>
          <w:highlight w:val="none"/>
        </w:rPr>
        <w:t>中标</w:t>
      </w:r>
      <w:r>
        <w:rPr>
          <w:rFonts w:hint="eastAsia" w:ascii="宋体" w:hAnsi="宋体" w:cs="宋体"/>
          <w:color w:val="000000"/>
          <w:kern w:val="0"/>
          <w:sz w:val="24"/>
          <w:szCs w:val="24"/>
          <w:highlight w:val="none"/>
          <w:lang w:val="zh-CN"/>
        </w:rPr>
        <w:t>通知书；</w:t>
      </w:r>
    </w:p>
    <w:p w14:paraId="59E670CB">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二、合同标的及金额                                     单位：元</w:t>
      </w:r>
    </w:p>
    <w:tbl>
      <w:tblPr>
        <w:tblStyle w:val="31"/>
        <w:tblW w:w="5096" w:type="pct"/>
        <w:jc w:val="center"/>
        <w:tblLayout w:type="fixed"/>
        <w:tblCellMar>
          <w:top w:w="0" w:type="dxa"/>
          <w:left w:w="57" w:type="dxa"/>
          <w:bottom w:w="0" w:type="dxa"/>
          <w:right w:w="57" w:type="dxa"/>
        </w:tblCellMar>
      </w:tblPr>
      <w:tblGrid>
        <w:gridCol w:w="559"/>
        <w:gridCol w:w="1299"/>
        <w:gridCol w:w="1523"/>
        <w:gridCol w:w="716"/>
        <w:gridCol w:w="923"/>
        <w:gridCol w:w="1091"/>
        <w:gridCol w:w="1236"/>
        <w:gridCol w:w="1236"/>
      </w:tblGrid>
      <w:tr w14:paraId="48FE01B4">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882005F">
            <w:pPr>
              <w:pStyle w:val="30"/>
              <w:spacing w:line="360" w:lineRule="auto"/>
              <w:ind w:left="0" w:leftChars="0" w:firstLine="0" w:firstLineChars="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序号</w:t>
            </w:r>
          </w:p>
        </w:tc>
        <w:tc>
          <w:tcPr>
            <w:tcW w:w="756" w:type="pct"/>
            <w:tcBorders>
              <w:top w:val="single" w:color="auto" w:sz="4" w:space="0"/>
              <w:left w:val="single" w:color="auto" w:sz="4" w:space="0"/>
              <w:bottom w:val="single" w:color="auto" w:sz="4" w:space="0"/>
              <w:right w:val="single" w:color="auto" w:sz="4" w:space="0"/>
            </w:tcBorders>
            <w:vAlign w:val="center"/>
          </w:tcPr>
          <w:p w14:paraId="2E553A8B">
            <w:pPr>
              <w:pStyle w:val="30"/>
              <w:spacing w:line="360" w:lineRule="auto"/>
              <w:ind w:left="0" w:leftChars="0" w:firstLine="0" w:firstLineChars="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服务名称</w:t>
            </w:r>
          </w:p>
        </w:tc>
        <w:tc>
          <w:tcPr>
            <w:tcW w:w="887" w:type="pct"/>
            <w:tcBorders>
              <w:top w:val="single" w:color="auto" w:sz="4" w:space="0"/>
              <w:left w:val="single" w:color="auto" w:sz="4" w:space="0"/>
              <w:bottom w:val="single" w:color="auto" w:sz="4" w:space="0"/>
              <w:right w:val="single" w:color="auto" w:sz="4" w:space="0"/>
            </w:tcBorders>
            <w:vAlign w:val="center"/>
          </w:tcPr>
          <w:p w14:paraId="16B3AE0E">
            <w:pPr>
              <w:pStyle w:val="30"/>
              <w:spacing w:line="360" w:lineRule="auto"/>
              <w:ind w:left="0" w:leftChars="0" w:firstLine="0" w:firstLineChars="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内容</w:t>
            </w:r>
          </w:p>
        </w:tc>
        <w:tc>
          <w:tcPr>
            <w:tcW w:w="417" w:type="pct"/>
            <w:tcBorders>
              <w:top w:val="single" w:color="auto" w:sz="4" w:space="0"/>
              <w:left w:val="single" w:color="auto" w:sz="4" w:space="0"/>
              <w:bottom w:val="single" w:color="auto" w:sz="4" w:space="0"/>
              <w:right w:val="single" w:color="auto" w:sz="4" w:space="0"/>
            </w:tcBorders>
            <w:vAlign w:val="center"/>
          </w:tcPr>
          <w:p w14:paraId="06291479">
            <w:pPr>
              <w:pStyle w:val="30"/>
              <w:spacing w:line="360" w:lineRule="auto"/>
              <w:ind w:left="0" w:leftChars="0" w:firstLine="0" w:firstLineChars="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16F3C9DF">
            <w:pPr>
              <w:pStyle w:val="30"/>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数量</w:t>
            </w:r>
          </w:p>
        </w:tc>
        <w:tc>
          <w:tcPr>
            <w:tcW w:w="635" w:type="pct"/>
            <w:tcBorders>
              <w:top w:val="single" w:color="auto" w:sz="4" w:space="0"/>
              <w:left w:val="single" w:color="auto" w:sz="4" w:space="0"/>
              <w:bottom w:val="single" w:color="auto" w:sz="4" w:space="0"/>
              <w:right w:val="single" w:color="auto" w:sz="4" w:space="0"/>
            </w:tcBorders>
            <w:vAlign w:val="center"/>
          </w:tcPr>
          <w:p w14:paraId="56F1EAE9">
            <w:pPr>
              <w:pStyle w:val="30"/>
              <w:spacing w:line="360" w:lineRule="auto"/>
              <w:ind w:firstLine="210"/>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单位</w:t>
            </w:r>
          </w:p>
        </w:tc>
        <w:tc>
          <w:tcPr>
            <w:tcW w:w="720" w:type="pct"/>
            <w:tcBorders>
              <w:top w:val="single" w:color="auto" w:sz="4" w:space="0"/>
              <w:left w:val="single" w:color="auto" w:sz="4" w:space="0"/>
              <w:bottom w:val="single" w:color="auto" w:sz="4" w:space="0"/>
              <w:right w:val="single" w:color="auto" w:sz="4" w:space="0"/>
            </w:tcBorders>
            <w:vAlign w:val="center"/>
          </w:tcPr>
          <w:p w14:paraId="2018BBCF">
            <w:pPr>
              <w:pStyle w:val="30"/>
              <w:spacing w:line="360" w:lineRule="auto"/>
              <w:ind w:left="0" w:leftChars="0" w:firstLine="0" w:firstLineChars="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单价</w:t>
            </w:r>
          </w:p>
        </w:tc>
        <w:tc>
          <w:tcPr>
            <w:tcW w:w="720" w:type="pct"/>
            <w:tcBorders>
              <w:top w:val="single" w:color="auto" w:sz="4" w:space="0"/>
              <w:left w:val="single" w:color="auto" w:sz="4" w:space="0"/>
              <w:bottom w:val="single" w:color="auto" w:sz="4" w:space="0"/>
              <w:right w:val="single" w:color="auto" w:sz="4" w:space="0"/>
            </w:tcBorders>
            <w:vAlign w:val="center"/>
          </w:tcPr>
          <w:p w14:paraId="291547A3">
            <w:pPr>
              <w:pStyle w:val="30"/>
              <w:spacing w:line="360" w:lineRule="auto"/>
              <w:ind w:left="0" w:leftChars="0" w:firstLine="0" w:firstLineChars="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备注</w:t>
            </w:r>
          </w:p>
        </w:tc>
      </w:tr>
      <w:tr w14:paraId="14A39A65">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006773">
            <w:pPr>
              <w:pStyle w:val="30"/>
              <w:spacing w:line="360" w:lineRule="auto"/>
              <w:ind w:firstLine="210"/>
              <w:rPr>
                <w:rFonts w:hint="eastAsia" w:ascii="宋体" w:hAnsi="宋体" w:cs="宋体"/>
                <w:color w:val="000000"/>
                <w:kern w:val="0"/>
                <w:sz w:val="24"/>
                <w:szCs w:val="24"/>
                <w:highlight w:val="none"/>
                <w:lang w:val="zh-CN"/>
              </w:rPr>
            </w:pPr>
          </w:p>
        </w:tc>
        <w:tc>
          <w:tcPr>
            <w:tcW w:w="756" w:type="pct"/>
            <w:tcBorders>
              <w:top w:val="single" w:color="auto" w:sz="4" w:space="0"/>
              <w:left w:val="single" w:color="auto" w:sz="4" w:space="0"/>
              <w:bottom w:val="single" w:color="auto" w:sz="4" w:space="0"/>
              <w:right w:val="single" w:color="auto" w:sz="4" w:space="0"/>
            </w:tcBorders>
            <w:vAlign w:val="center"/>
          </w:tcPr>
          <w:p w14:paraId="148D8B1C">
            <w:pPr>
              <w:pStyle w:val="30"/>
              <w:spacing w:line="360" w:lineRule="auto"/>
              <w:ind w:firstLine="210"/>
              <w:rPr>
                <w:rFonts w:hint="eastAsia" w:ascii="宋体" w:hAnsi="宋体" w:cs="宋体"/>
                <w:color w:val="000000"/>
                <w:kern w:val="0"/>
                <w:sz w:val="24"/>
                <w:szCs w:val="24"/>
                <w:highlight w:val="none"/>
                <w:lang w:val="zh-CN"/>
              </w:rPr>
            </w:pPr>
          </w:p>
        </w:tc>
        <w:tc>
          <w:tcPr>
            <w:tcW w:w="887" w:type="pct"/>
            <w:tcBorders>
              <w:top w:val="single" w:color="auto" w:sz="4" w:space="0"/>
              <w:left w:val="single" w:color="auto" w:sz="4" w:space="0"/>
              <w:bottom w:val="single" w:color="auto" w:sz="4" w:space="0"/>
              <w:right w:val="single" w:color="auto" w:sz="4" w:space="0"/>
            </w:tcBorders>
            <w:vAlign w:val="center"/>
          </w:tcPr>
          <w:p w14:paraId="151E6D0B">
            <w:pPr>
              <w:pStyle w:val="30"/>
              <w:spacing w:line="360" w:lineRule="auto"/>
              <w:ind w:firstLine="210"/>
              <w:rPr>
                <w:rFonts w:hint="eastAsia" w:ascii="宋体" w:hAnsi="宋体" w:cs="宋体"/>
                <w:color w:val="000000"/>
                <w:kern w:val="0"/>
                <w:sz w:val="24"/>
                <w:szCs w:val="24"/>
                <w:highlight w:val="none"/>
                <w:lang w:val="zh-CN"/>
              </w:rPr>
            </w:pPr>
          </w:p>
        </w:tc>
        <w:tc>
          <w:tcPr>
            <w:tcW w:w="417" w:type="pct"/>
            <w:tcBorders>
              <w:top w:val="single" w:color="auto" w:sz="4" w:space="0"/>
              <w:left w:val="single" w:color="auto" w:sz="4" w:space="0"/>
              <w:bottom w:val="single" w:color="auto" w:sz="4" w:space="0"/>
              <w:right w:val="single" w:color="auto" w:sz="4" w:space="0"/>
            </w:tcBorders>
            <w:vAlign w:val="center"/>
          </w:tcPr>
          <w:p w14:paraId="4B49F77E">
            <w:pPr>
              <w:pStyle w:val="30"/>
              <w:spacing w:line="360" w:lineRule="auto"/>
              <w:ind w:firstLine="21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6FA874F6">
            <w:pPr>
              <w:pStyle w:val="30"/>
              <w:spacing w:line="360" w:lineRule="auto"/>
              <w:ind w:firstLine="210"/>
              <w:rPr>
                <w:rFonts w:hint="eastAsia" w:ascii="宋体" w:hAnsi="宋体" w:cs="宋体"/>
                <w:color w:val="000000"/>
                <w:kern w:val="0"/>
                <w:sz w:val="24"/>
                <w:szCs w:val="24"/>
                <w:highlight w:val="none"/>
                <w:lang w:val="zh-CN"/>
              </w:rPr>
            </w:pPr>
          </w:p>
        </w:tc>
        <w:tc>
          <w:tcPr>
            <w:tcW w:w="635" w:type="pct"/>
            <w:tcBorders>
              <w:top w:val="single" w:color="auto" w:sz="4" w:space="0"/>
              <w:left w:val="single" w:color="auto" w:sz="4" w:space="0"/>
              <w:bottom w:val="single" w:color="auto" w:sz="4" w:space="0"/>
              <w:right w:val="single" w:color="auto" w:sz="4" w:space="0"/>
            </w:tcBorders>
            <w:vAlign w:val="center"/>
          </w:tcPr>
          <w:p w14:paraId="5AD6806B">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2C9BF98E">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07EF8F61">
            <w:pPr>
              <w:pStyle w:val="30"/>
              <w:spacing w:line="360" w:lineRule="auto"/>
              <w:ind w:firstLine="210"/>
              <w:rPr>
                <w:rFonts w:hint="eastAsia" w:ascii="宋体" w:hAnsi="宋体" w:cs="宋体"/>
                <w:color w:val="000000"/>
                <w:kern w:val="0"/>
                <w:sz w:val="24"/>
                <w:szCs w:val="24"/>
                <w:highlight w:val="none"/>
                <w:lang w:val="zh-CN"/>
              </w:rPr>
            </w:pPr>
          </w:p>
        </w:tc>
      </w:tr>
      <w:tr w14:paraId="27038357">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7FA5034">
            <w:pPr>
              <w:pStyle w:val="30"/>
              <w:spacing w:line="360" w:lineRule="auto"/>
              <w:ind w:firstLine="210"/>
              <w:rPr>
                <w:rFonts w:hint="eastAsia" w:ascii="宋体" w:hAnsi="宋体" w:cs="宋体"/>
                <w:color w:val="000000"/>
                <w:kern w:val="0"/>
                <w:sz w:val="24"/>
                <w:szCs w:val="24"/>
                <w:highlight w:val="none"/>
                <w:lang w:val="zh-CN"/>
              </w:rPr>
            </w:pPr>
          </w:p>
        </w:tc>
        <w:tc>
          <w:tcPr>
            <w:tcW w:w="756" w:type="pct"/>
            <w:tcBorders>
              <w:top w:val="single" w:color="auto" w:sz="4" w:space="0"/>
              <w:left w:val="single" w:color="auto" w:sz="4" w:space="0"/>
              <w:bottom w:val="single" w:color="auto" w:sz="4" w:space="0"/>
              <w:right w:val="single" w:color="auto" w:sz="4" w:space="0"/>
            </w:tcBorders>
            <w:vAlign w:val="center"/>
          </w:tcPr>
          <w:p w14:paraId="58E3CDE8">
            <w:pPr>
              <w:pStyle w:val="30"/>
              <w:spacing w:line="360" w:lineRule="auto"/>
              <w:ind w:firstLine="210"/>
              <w:rPr>
                <w:rFonts w:hint="eastAsia" w:ascii="宋体" w:hAnsi="宋体" w:cs="宋体"/>
                <w:color w:val="000000"/>
                <w:kern w:val="0"/>
                <w:sz w:val="24"/>
                <w:szCs w:val="24"/>
                <w:highlight w:val="none"/>
                <w:lang w:val="zh-CN"/>
              </w:rPr>
            </w:pPr>
          </w:p>
        </w:tc>
        <w:tc>
          <w:tcPr>
            <w:tcW w:w="887" w:type="pct"/>
            <w:tcBorders>
              <w:top w:val="single" w:color="auto" w:sz="4" w:space="0"/>
              <w:left w:val="single" w:color="auto" w:sz="4" w:space="0"/>
              <w:bottom w:val="single" w:color="auto" w:sz="4" w:space="0"/>
              <w:right w:val="single" w:color="auto" w:sz="4" w:space="0"/>
            </w:tcBorders>
            <w:vAlign w:val="center"/>
          </w:tcPr>
          <w:p w14:paraId="365F103A">
            <w:pPr>
              <w:pStyle w:val="30"/>
              <w:spacing w:line="360" w:lineRule="auto"/>
              <w:ind w:firstLine="210"/>
              <w:rPr>
                <w:rFonts w:hint="eastAsia" w:ascii="宋体" w:hAnsi="宋体" w:cs="宋体"/>
                <w:color w:val="000000"/>
                <w:kern w:val="0"/>
                <w:sz w:val="24"/>
                <w:szCs w:val="24"/>
                <w:highlight w:val="none"/>
                <w:lang w:val="zh-CN"/>
              </w:rPr>
            </w:pPr>
          </w:p>
        </w:tc>
        <w:tc>
          <w:tcPr>
            <w:tcW w:w="417" w:type="pct"/>
            <w:tcBorders>
              <w:top w:val="single" w:color="auto" w:sz="4" w:space="0"/>
              <w:left w:val="single" w:color="auto" w:sz="4" w:space="0"/>
              <w:bottom w:val="single" w:color="auto" w:sz="4" w:space="0"/>
              <w:right w:val="single" w:color="auto" w:sz="4" w:space="0"/>
            </w:tcBorders>
            <w:vAlign w:val="center"/>
          </w:tcPr>
          <w:p w14:paraId="77FE5DD4">
            <w:pPr>
              <w:pStyle w:val="30"/>
              <w:spacing w:line="360" w:lineRule="auto"/>
              <w:ind w:firstLine="21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74628945">
            <w:pPr>
              <w:pStyle w:val="30"/>
              <w:spacing w:line="360" w:lineRule="auto"/>
              <w:ind w:firstLine="210"/>
              <w:rPr>
                <w:rFonts w:hint="eastAsia" w:ascii="宋体" w:hAnsi="宋体" w:cs="宋体"/>
                <w:color w:val="000000"/>
                <w:kern w:val="0"/>
                <w:sz w:val="24"/>
                <w:szCs w:val="24"/>
                <w:highlight w:val="none"/>
                <w:lang w:val="zh-CN"/>
              </w:rPr>
            </w:pPr>
          </w:p>
        </w:tc>
        <w:tc>
          <w:tcPr>
            <w:tcW w:w="635" w:type="pct"/>
            <w:tcBorders>
              <w:top w:val="single" w:color="auto" w:sz="4" w:space="0"/>
              <w:left w:val="single" w:color="auto" w:sz="4" w:space="0"/>
              <w:bottom w:val="single" w:color="auto" w:sz="4" w:space="0"/>
              <w:right w:val="single" w:color="auto" w:sz="4" w:space="0"/>
            </w:tcBorders>
            <w:vAlign w:val="center"/>
          </w:tcPr>
          <w:p w14:paraId="1ADD9AC5">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033914A1">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553B6C54">
            <w:pPr>
              <w:pStyle w:val="30"/>
              <w:spacing w:line="360" w:lineRule="auto"/>
              <w:ind w:firstLine="210"/>
              <w:rPr>
                <w:rFonts w:hint="eastAsia" w:ascii="宋体" w:hAnsi="宋体" w:cs="宋体"/>
                <w:color w:val="000000"/>
                <w:kern w:val="0"/>
                <w:sz w:val="24"/>
                <w:szCs w:val="24"/>
                <w:highlight w:val="none"/>
                <w:lang w:val="zh-CN"/>
              </w:rPr>
            </w:pPr>
          </w:p>
        </w:tc>
      </w:tr>
      <w:tr w14:paraId="631E2ECB">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7FA5F14">
            <w:pPr>
              <w:pStyle w:val="30"/>
              <w:spacing w:line="360" w:lineRule="auto"/>
              <w:ind w:firstLine="210"/>
              <w:rPr>
                <w:rFonts w:hint="eastAsia" w:ascii="宋体" w:hAnsi="宋体" w:cs="宋体"/>
                <w:color w:val="000000"/>
                <w:kern w:val="0"/>
                <w:sz w:val="24"/>
                <w:szCs w:val="24"/>
                <w:highlight w:val="none"/>
                <w:lang w:val="zh-CN"/>
              </w:rPr>
            </w:pPr>
          </w:p>
        </w:tc>
        <w:tc>
          <w:tcPr>
            <w:tcW w:w="756" w:type="pct"/>
            <w:tcBorders>
              <w:top w:val="single" w:color="auto" w:sz="4" w:space="0"/>
              <w:left w:val="single" w:color="auto" w:sz="4" w:space="0"/>
              <w:bottom w:val="single" w:color="auto" w:sz="4" w:space="0"/>
              <w:right w:val="single" w:color="auto" w:sz="4" w:space="0"/>
            </w:tcBorders>
            <w:vAlign w:val="center"/>
          </w:tcPr>
          <w:p w14:paraId="2B1E3D29">
            <w:pPr>
              <w:pStyle w:val="30"/>
              <w:spacing w:line="360" w:lineRule="auto"/>
              <w:ind w:firstLine="210"/>
              <w:rPr>
                <w:rFonts w:hint="eastAsia" w:ascii="宋体" w:hAnsi="宋体" w:cs="宋体"/>
                <w:color w:val="000000"/>
                <w:kern w:val="0"/>
                <w:sz w:val="24"/>
                <w:szCs w:val="24"/>
                <w:highlight w:val="none"/>
                <w:lang w:val="zh-CN"/>
              </w:rPr>
            </w:pPr>
          </w:p>
        </w:tc>
        <w:tc>
          <w:tcPr>
            <w:tcW w:w="887" w:type="pct"/>
            <w:tcBorders>
              <w:top w:val="single" w:color="auto" w:sz="4" w:space="0"/>
              <w:left w:val="single" w:color="auto" w:sz="4" w:space="0"/>
              <w:bottom w:val="single" w:color="auto" w:sz="4" w:space="0"/>
              <w:right w:val="single" w:color="auto" w:sz="4" w:space="0"/>
            </w:tcBorders>
            <w:vAlign w:val="center"/>
          </w:tcPr>
          <w:p w14:paraId="421D1EE4">
            <w:pPr>
              <w:pStyle w:val="30"/>
              <w:spacing w:line="360" w:lineRule="auto"/>
              <w:ind w:firstLine="210"/>
              <w:rPr>
                <w:rFonts w:hint="eastAsia" w:ascii="宋体" w:hAnsi="宋体" w:cs="宋体"/>
                <w:color w:val="000000"/>
                <w:kern w:val="0"/>
                <w:sz w:val="24"/>
                <w:szCs w:val="24"/>
                <w:highlight w:val="none"/>
                <w:lang w:val="zh-CN"/>
              </w:rPr>
            </w:pPr>
          </w:p>
        </w:tc>
        <w:tc>
          <w:tcPr>
            <w:tcW w:w="417" w:type="pct"/>
            <w:tcBorders>
              <w:top w:val="single" w:color="auto" w:sz="4" w:space="0"/>
              <w:left w:val="single" w:color="auto" w:sz="4" w:space="0"/>
              <w:bottom w:val="single" w:color="auto" w:sz="4" w:space="0"/>
              <w:right w:val="single" w:color="auto" w:sz="4" w:space="0"/>
            </w:tcBorders>
            <w:vAlign w:val="center"/>
          </w:tcPr>
          <w:p w14:paraId="7236F83A">
            <w:pPr>
              <w:pStyle w:val="30"/>
              <w:spacing w:line="360" w:lineRule="auto"/>
              <w:ind w:firstLine="21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41DDBC63">
            <w:pPr>
              <w:pStyle w:val="30"/>
              <w:spacing w:line="360" w:lineRule="auto"/>
              <w:ind w:firstLine="210"/>
              <w:rPr>
                <w:rFonts w:hint="eastAsia" w:ascii="宋体" w:hAnsi="宋体" w:cs="宋体"/>
                <w:color w:val="000000"/>
                <w:kern w:val="0"/>
                <w:sz w:val="24"/>
                <w:szCs w:val="24"/>
                <w:highlight w:val="none"/>
                <w:lang w:val="zh-CN"/>
              </w:rPr>
            </w:pPr>
          </w:p>
        </w:tc>
        <w:tc>
          <w:tcPr>
            <w:tcW w:w="635" w:type="pct"/>
            <w:tcBorders>
              <w:top w:val="single" w:color="auto" w:sz="4" w:space="0"/>
              <w:left w:val="single" w:color="auto" w:sz="4" w:space="0"/>
              <w:bottom w:val="single" w:color="auto" w:sz="4" w:space="0"/>
              <w:right w:val="single" w:color="auto" w:sz="4" w:space="0"/>
            </w:tcBorders>
            <w:vAlign w:val="center"/>
          </w:tcPr>
          <w:p w14:paraId="2FE1C9F4">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7290EA6B">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1E7CA596">
            <w:pPr>
              <w:pStyle w:val="30"/>
              <w:spacing w:line="360" w:lineRule="auto"/>
              <w:ind w:firstLine="210"/>
              <w:rPr>
                <w:rFonts w:hint="eastAsia" w:ascii="宋体" w:hAnsi="宋体" w:cs="宋体"/>
                <w:color w:val="000000"/>
                <w:kern w:val="0"/>
                <w:sz w:val="24"/>
                <w:szCs w:val="24"/>
                <w:highlight w:val="none"/>
                <w:lang w:val="zh-CN"/>
              </w:rPr>
            </w:pPr>
          </w:p>
        </w:tc>
      </w:tr>
      <w:tr w14:paraId="175DC943">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8736122">
            <w:pPr>
              <w:pStyle w:val="30"/>
              <w:spacing w:line="360" w:lineRule="auto"/>
              <w:ind w:firstLine="210"/>
              <w:rPr>
                <w:rFonts w:hint="eastAsia" w:ascii="宋体" w:hAnsi="宋体" w:cs="宋体"/>
                <w:color w:val="000000"/>
                <w:kern w:val="0"/>
                <w:sz w:val="24"/>
                <w:szCs w:val="24"/>
                <w:highlight w:val="none"/>
                <w:lang w:val="zh-CN"/>
              </w:rPr>
            </w:pPr>
          </w:p>
        </w:tc>
        <w:tc>
          <w:tcPr>
            <w:tcW w:w="756" w:type="pct"/>
            <w:tcBorders>
              <w:top w:val="single" w:color="auto" w:sz="4" w:space="0"/>
              <w:left w:val="single" w:color="auto" w:sz="4" w:space="0"/>
              <w:bottom w:val="single" w:color="auto" w:sz="4" w:space="0"/>
              <w:right w:val="single" w:color="auto" w:sz="4" w:space="0"/>
            </w:tcBorders>
            <w:vAlign w:val="center"/>
          </w:tcPr>
          <w:p w14:paraId="0D622754">
            <w:pPr>
              <w:pStyle w:val="30"/>
              <w:spacing w:line="360" w:lineRule="auto"/>
              <w:ind w:firstLine="210"/>
              <w:rPr>
                <w:rFonts w:hint="eastAsia" w:ascii="宋体" w:hAnsi="宋体" w:cs="宋体"/>
                <w:color w:val="000000"/>
                <w:kern w:val="0"/>
                <w:sz w:val="24"/>
                <w:szCs w:val="24"/>
                <w:highlight w:val="none"/>
                <w:lang w:val="zh-CN"/>
              </w:rPr>
            </w:pPr>
          </w:p>
        </w:tc>
        <w:tc>
          <w:tcPr>
            <w:tcW w:w="887" w:type="pct"/>
            <w:tcBorders>
              <w:top w:val="single" w:color="auto" w:sz="4" w:space="0"/>
              <w:left w:val="single" w:color="auto" w:sz="4" w:space="0"/>
              <w:bottom w:val="single" w:color="auto" w:sz="4" w:space="0"/>
              <w:right w:val="single" w:color="auto" w:sz="4" w:space="0"/>
            </w:tcBorders>
            <w:vAlign w:val="center"/>
          </w:tcPr>
          <w:p w14:paraId="098B6A0E">
            <w:pPr>
              <w:pStyle w:val="30"/>
              <w:spacing w:line="360" w:lineRule="auto"/>
              <w:ind w:firstLine="210"/>
              <w:rPr>
                <w:rFonts w:hint="eastAsia" w:ascii="宋体" w:hAnsi="宋体" w:cs="宋体"/>
                <w:color w:val="000000"/>
                <w:kern w:val="0"/>
                <w:sz w:val="24"/>
                <w:szCs w:val="24"/>
                <w:highlight w:val="none"/>
                <w:lang w:val="zh-CN"/>
              </w:rPr>
            </w:pPr>
          </w:p>
        </w:tc>
        <w:tc>
          <w:tcPr>
            <w:tcW w:w="417" w:type="pct"/>
            <w:tcBorders>
              <w:top w:val="single" w:color="auto" w:sz="4" w:space="0"/>
              <w:left w:val="single" w:color="auto" w:sz="4" w:space="0"/>
              <w:bottom w:val="single" w:color="auto" w:sz="4" w:space="0"/>
              <w:right w:val="single" w:color="auto" w:sz="4" w:space="0"/>
            </w:tcBorders>
            <w:vAlign w:val="center"/>
          </w:tcPr>
          <w:p w14:paraId="447058D4">
            <w:pPr>
              <w:pStyle w:val="30"/>
              <w:spacing w:line="360" w:lineRule="auto"/>
              <w:ind w:firstLine="21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250C8A45">
            <w:pPr>
              <w:pStyle w:val="30"/>
              <w:spacing w:line="360" w:lineRule="auto"/>
              <w:ind w:firstLine="210"/>
              <w:rPr>
                <w:rFonts w:hint="eastAsia" w:ascii="宋体" w:hAnsi="宋体" w:cs="宋体"/>
                <w:color w:val="000000"/>
                <w:kern w:val="0"/>
                <w:sz w:val="24"/>
                <w:szCs w:val="24"/>
                <w:highlight w:val="none"/>
                <w:lang w:val="zh-CN"/>
              </w:rPr>
            </w:pPr>
          </w:p>
        </w:tc>
        <w:tc>
          <w:tcPr>
            <w:tcW w:w="635" w:type="pct"/>
            <w:tcBorders>
              <w:top w:val="single" w:color="auto" w:sz="4" w:space="0"/>
              <w:left w:val="single" w:color="auto" w:sz="4" w:space="0"/>
              <w:bottom w:val="single" w:color="auto" w:sz="4" w:space="0"/>
              <w:right w:val="single" w:color="auto" w:sz="4" w:space="0"/>
            </w:tcBorders>
            <w:vAlign w:val="center"/>
          </w:tcPr>
          <w:p w14:paraId="5D57E648">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6D2136F4">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768E94CB">
            <w:pPr>
              <w:pStyle w:val="30"/>
              <w:spacing w:line="360" w:lineRule="auto"/>
              <w:ind w:firstLine="210"/>
              <w:rPr>
                <w:rFonts w:hint="eastAsia" w:ascii="宋体" w:hAnsi="宋体" w:cs="宋体"/>
                <w:color w:val="000000"/>
                <w:kern w:val="0"/>
                <w:sz w:val="24"/>
                <w:szCs w:val="24"/>
                <w:highlight w:val="none"/>
                <w:lang w:val="zh-CN"/>
              </w:rPr>
            </w:pPr>
          </w:p>
        </w:tc>
      </w:tr>
      <w:tr w14:paraId="03DF05DD">
        <w:tblPrEx>
          <w:tblCellMar>
            <w:top w:w="0" w:type="dxa"/>
            <w:left w:w="57" w:type="dxa"/>
            <w:bottom w:w="0" w:type="dxa"/>
            <w:right w:w="57" w:type="dxa"/>
          </w:tblCellMar>
        </w:tblPrEx>
        <w:trPr>
          <w:cantSplit/>
          <w:trHeight w:val="2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8D40C02">
            <w:pPr>
              <w:pStyle w:val="30"/>
              <w:spacing w:line="360" w:lineRule="auto"/>
              <w:ind w:firstLine="210"/>
              <w:rPr>
                <w:rFonts w:hint="eastAsia" w:ascii="宋体" w:hAnsi="宋体" w:cs="宋体"/>
                <w:color w:val="000000"/>
                <w:kern w:val="0"/>
                <w:sz w:val="24"/>
                <w:szCs w:val="24"/>
                <w:highlight w:val="none"/>
                <w:lang w:val="zh-CN"/>
              </w:rPr>
            </w:pPr>
          </w:p>
        </w:tc>
        <w:tc>
          <w:tcPr>
            <w:tcW w:w="756" w:type="pct"/>
            <w:tcBorders>
              <w:top w:val="single" w:color="auto" w:sz="4" w:space="0"/>
              <w:left w:val="single" w:color="auto" w:sz="4" w:space="0"/>
              <w:bottom w:val="single" w:color="auto" w:sz="4" w:space="0"/>
              <w:right w:val="single" w:color="auto" w:sz="4" w:space="0"/>
            </w:tcBorders>
            <w:vAlign w:val="center"/>
          </w:tcPr>
          <w:p w14:paraId="22885AFD">
            <w:pPr>
              <w:pStyle w:val="30"/>
              <w:spacing w:line="360" w:lineRule="auto"/>
              <w:ind w:firstLine="210"/>
              <w:rPr>
                <w:rFonts w:hint="eastAsia" w:ascii="宋体" w:hAnsi="宋体" w:cs="宋体"/>
                <w:color w:val="000000"/>
                <w:kern w:val="0"/>
                <w:sz w:val="24"/>
                <w:szCs w:val="24"/>
                <w:highlight w:val="none"/>
                <w:lang w:val="zh-CN"/>
              </w:rPr>
            </w:pPr>
          </w:p>
        </w:tc>
        <w:tc>
          <w:tcPr>
            <w:tcW w:w="887" w:type="pct"/>
            <w:tcBorders>
              <w:top w:val="single" w:color="auto" w:sz="4" w:space="0"/>
              <w:left w:val="single" w:color="auto" w:sz="4" w:space="0"/>
              <w:bottom w:val="single" w:color="auto" w:sz="4" w:space="0"/>
              <w:right w:val="single" w:color="auto" w:sz="4" w:space="0"/>
            </w:tcBorders>
            <w:vAlign w:val="center"/>
          </w:tcPr>
          <w:p w14:paraId="6526AFE6">
            <w:pPr>
              <w:pStyle w:val="30"/>
              <w:spacing w:line="360" w:lineRule="auto"/>
              <w:ind w:firstLine="210"/>
              <w:rPr>
                <w:rFonts w:hint="eastAsia" w:ascii="宋体" w:hAnsi="宋体" w:cs="宋体"/>
                <w:color w:val="000000"/>
                <w:kern w:val="0"/>
                <w:sz w:val="24"/>
                <w:szCs w:val="24"/>
                <w:highlight w:val="none"/>
                <w:lang w:val="zh-CN"/>
              </w:rPr>
            </w:pPr>
          </w:p>
        </w:tc>
        <w:tc>
          <w:tcPr>
            <w:tcW w:w="417" w:type="pct"/>
            <w:tcBorders>
              <w:top w:val="single" w:color="auto" w:sz="4" w:space="0"/>
              <w:left w:val="single" w:color="auto" w:sz="4" w:space="0"/>
              <w:bottom w:val="single" w:color="auto" w:sz="4" w:space="0"/>
              <w:right w:val="single" w:color="auto" w:sz="4" w:space="0"/>
            </w:tcBorders>
            <w:vAlign w:val="center"/>
          </w:tcPr>
          <w:p w14:paraId="2F40D2B8">
            <w:pPr>
              <w:pStyle w:val="30"/>
              <w:spacing w:line="360" w:lineRule="auto"/>
              <w:ind w:firstLine="210"/>
              <w:rPr>
                <w:rFonts w:hint="eastAsia" w:ascii="宋体" w:hAnsi="宋体" w:cs="宋体"/>
                <w:color w:val="000000"/>
                <w:kern w:val="0"/>
                <w:sz w:val="24"/>
                <w:szCs w:val="24"/>
                <w:highlight w:val="none"/>
                <w:lang w:val="zh-CN"/>
              </w:rPr>
            </w:pPr>
          </w:p>
        </w:tc>
        <w:tc>
          <w:tcPr>
            <w:tcW w:w="537" w:type="pct"/>
            <w:tcBorders>
              <w:top w:val="single" w:color="auto" w:sz="4" w:space="0"/>
              <w:left w:val="single" w:color="auto" w:sz="4" w:space="0"/>
              <w:bottom w:val="single" w:color="auto" w:sz="4" w:space="0"/>
              <w:right w:val="single" w:color="auto" w:sz="4" w:space="0"/>
            </w:tcBorders>
            <w:vAlign w:val="center"/>
          </w:tcPr>
          <w:p w14:paraId="4EB82BEC">
            <w:pPr>
              <w:pStyle w:val="30"/>
              <w:spacing w:line="360" w:lineRule="auto"/>
              <w:ind w:firstLine="210"/>
              <w:rPr>
                <w:rFonts w:hint="eastAsia" w:ascii="宋体" w:hAnsi="宋体" w:cs="宋体"/>
                <w:color w:val="000000"/>
                <w:kern w:val="0"/>
                <w:sz w:val="24"/>
                <w:szCs w:val="24"/>
                <w:highlight w:val="none"/>
                <w:lang w:val="zh-CN"/>
              </w:rPr>
            </w:pPr>
          </w:p>
        </w:tc>
        <w:tc>
          <w:tcPr>
            <w:tcW w:w="635" w:type="pct"/>
            <w:tcBorders>
              <w:top w:val="single" w:color="auto" w:sz="4" w:space="0"/>
              <w:left w:val="single" w:color="auto" w:sz="4" w:space="0"/>
              <w:bottom w:val="single" w:color="auto" w:sz="4" w:space="0"/>
              <w:right w:val="single" w:color="auto" w:sz="4" w:space="0"/>
            </w:tcBorders>
            <w:vAlign w:val="center"/>
          </w:tcPr>
          <w:p w14:paraId="2513967B">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42496581">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6BB413DC">
            <w:pPr>
              <w:pStyle w:val="30"/>
              <w:spacing w:line="360" w:lineRule="auto"/>
              <w:ind w:firstLine="210"/>
              <w:rPr>
                <w:rFonts w:hint="eastAsia" w:ascii="宋体" w:hAnsi="宋体" w:cs="宋体"/>
                <w:color w:val="000000"/>
                <w:kern w:val="0"/>
                <w:sz w:val="24"/>
                <w:szCs w:val="24"/>
                <w:highlight w:val="none"/>
                <w:lang w:val="zh-CN"/>
              </w:rPr>
            </w:pPr>
          </w:p>
        </w:tc>
      </w:tr>
      <w:tr w14:paraId="163BC02B">
        <w:tblPrEx>
          <w:tblCellMar>
            <w:top w:w="0" w:type="dxa"/>
            <w:left w:w="57" w:type="dxa"/>
            <w:bottom w:w="0" w:type="dxa"/>
            <w:right w:w="57" w:type="dxa"/>
          </w:tblCellMar>
        </w:tblPrEx>
        <w:trPr>
          <w:cantSplit/>
          <w:trHeight w:val="23" w:hRule="atLeast"/>
          <w:jc w:val="center"/>
        </w:trPr>
        <w:tc>
          <w:tcPr>
            <w:tcW w:w="3559" w:type="pct"/>
            <w:gridSpan w:val="6"/>
            <w:tcBorders>
              <w:top w:val="single" w:color="auto" w:sz="4" w:space="0"/>
              <w:left w:val="single" w:color="auto" w:sz="4" w:space="0"/>
              <w:bottom w:val="single" w:color="auto" w:sz="4" w:space="0"/>
              <w:right w:val="single" w:color="auto" w:sz="4" w:space="0"/>
            </w:tcBorders>
            <w:vAlign w:val="center"/>
          </w:tcPr>
          <w:p w14:paraId="588D3972">
            <w:pPr>
              <w:pStyle w:val="30"/>
              <w:spacing w:line="360" w:lineRule="auto"/>
              <w:ind w:firstLine="210"/>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合计</w:t>
            </w:r>
          </w:p>
        </w:tc>
        <w:tc>
          <w:tcPr>
            <w:tcW w:w="720" w:type="pct"/>
            <w:tcBorders>
              <w:top w:val="single" w:color="auto" w:sz="4" w:space="0"/>
              <w:left w:val="single" w:color="auto" w:sz="4" w:space="0"/>
              <w:bottom w:val="single" w:color="auto" w:sz="4" w:space="0"/>
              <w:right w:val="single" w:color="auto" w:sz="4" w:space="0"/>
            </w:tcBorders>
            <w:vAlign w:val="center"/>
          </w:tcPr>
          <w:p w14:paraId="5F5A03D7">
            <w:pPr>
              <w:pStyle w:val="30"/>
              <w:spacing w:line="360" w:lineRule="auto"/>
              <w:ind w:firstLine="210"/>
              <w:rPr>
                <w:rFonts w:hint="eastAsia" w:ascii="宋体" w:hAnsi="宋体" w:cs="宋体"/>
                <w:color w:val="000000"/>
                <w:kern w:val="0"/>
                <w:sz w:val="24"/>
                <w:szCs w:val="24"/>
                <w:highlight w:val="none"/>
                <w:lang w:val="zh-CN"/>
              </w:rPr>
            </w:pPr>
          </w:p>
        </w:tc>
        <w:tc>
          <w:tcPr>
            <w:tcW w:w="720" w:type="pct"/>
            <w:tcBorders>
              <w:top w:val="single" w:color="auto" w:sz="4" w:space="0"/>
              <w:left w:val="single" w:color="auto" w:sz="4" w:space="0"/>
              <w:bottom w:val="single" w:color="auto" w:sz="4" w:space="0"/>
              <w:right w:val="single" w:color="auto" w:sz="4" w:space="0"/>
            </w:tcBorders>
            <w:vAlign w:val="center"/>
          </w:tcPr>
          <w:p w14:paraId="065B95AE">
            <w:pPr>
              <w:pStyle w:val="30"/>
              <w:spacing w:line="360" w:lineRule="auto"/>
              <w:ind w:firstLine="210"/>
              <w:rPr>
                <w:rFonts w:hint="eastAsia" w:ascii="宋体" w:hAnsi="宋体" w:cs="宋体"/>
                <w:color w:val="000000"/>
                <w:kern w:val="0"/>
                <w:sz w:val="24"/>
                <w:szCs w:val="24"/>
                <w:highlight w:val="none"/>
                <w:lang w:val="zh-CN"/>
              </w:rPr>
            </w:pPr>
          </w:p>
        </w:tc>
      </w:tr>
    </w:tbl>
    <w:p w14:paraId="55B3A3E3">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根据上述政府采购合同文件要求，本政府采购合同的总金额为人民币</w:t>
      </w:r>
    </w:p>
    <w:p w14:paraId="67A31E5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 xml:space="preserve"> （大写）</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元。</w:t>
      </w:r>
    </w:p>
    <w:p w14:paraId="77D0F35B">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三、服务期、实地点要求</w:t>
      </w:r>
    </w:p>
    <w:p w14:paraId="7C89A7E6">
      <w:pPr>
        <w:pStyle w:val="30"/>
        <w:spacing w:line="360" w:lineRule="auto"/>
        <w:ind w:left="0" w:leftChars="0" w:firstLine="480" w:firstLineChars="20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1.服务期限：</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 xml:space="preserve">         </w:t>
      </w:r>
    </w:p>
    <w:p w14:paraId="2CF0AC3B">
      <w:pPr>
        <w:pStyle w:val="30"/>
        <w:spacing w:line="360" w:lineRule="auto"/>
        <w:ind w:left="0" w:leftChars="0" w:firstLine="480" w:firstLineChars="20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2.服务地点：</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lang w:val="zh-CN"/>
        </w:rPr>
        <w:t xml:space="preserve">。   </w:t>
      </w:r>
    </w:p>
    <w:p w14:paraId="0B5D7ED0">
      <w:pPr>
        <w:pStyle w:val="30"/>
        <w:spacing w:line="360" w:lineRule="auto"/>
        <w:ind w:left="0" w:leftChars="0" w:firstLine="480" w:firstLineChars="200"/>
        <w:rPr>
          <w:rFonts w:hint="eastAsia" w:ascii="宋体" w:hAnsi="宋体" w:cs="宋体"/>
          <w:color w:val="000000"/>
          <w:kern w:val="0"/>
          <w:sz w:val="24"/>
          <w:szCs w:val="24"/>
          <w:highlight w:val="none"/>
          <w:lang w:val="zh-CN"/>
        </w:rPr>
      </w:pPr>
      <w:r>
        <w:rPr>
          <w:rFonts w:hint="eastAsia" w:ascii="宋体" w:hAnsi="宋体" w:cs="宋体"/>
          <w:sz w:val="24"/>
          <w:szCs w:val="24"/>
          <w:highlight w:val="none"/>
          <w:lang w:val="en-US" w:eastAsia="zh-CN"/>
        </w:rPr>
        <w:t>3.质保期：1年</w:t>
      </w:r>
      <w:r>
        <w:rPr>
          <w:rFonts w:hint="eastAsia" w:ascii="宋体" w:hAnsi="宋体" w:cs="宋体"/>
          <w:color w:val="000000"/>
          <w:kern w:val="0"/>
          <w:sz w:val="24"/>
          <w:szCs w:val="24"/>
          <w:highlight w:val="none"/>
          <w:lang w:val="zh-CN"/>
        </w:rPr>
        <w:t xml:space="preserve">                             </w:t>
      </w:r>
    </w:p>
    <w:p w14:paraId="1CD6A0C5">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四、付款方式</w:t>
      </w:r>
    </w:p>
    <w:p w14:paraId="677C52A6">
      <w:pPr>
        <w:pStyle w:val="30"/>
        <w:spacing w:line="360" w:lineRule="auto"/>
        <w:ind w:firstLine="210"/>
        <w:rPr>
          <w:rFonts w:hint="default" w:ascii="宋体" w:hAnsi="宋体" w:eastAsia="宋体" w:cs="宋体"/>
          <w:sz w:val="24"/>
          <w:szCs w:val="24"/>
          <w:highlight w:val="yellow"/>
          <w:lang w:val="en-US" w:eastAsia="zh-CN"/>
        </w:rPr>
      </w:pPr>
      <w:r>
        <w:rPr>
          <w:rFonts w:hint="eastAsia" w:ascii="宋体" w:hAnsi="宋体" w:cs="宋体"/>
          <w:sz w:val="24"/>
          <w:szCs w:val="24"/>
          <w:highlight w:val="none"/>
        </w:rPr>
        <w:t>付款方式：养护费用以实际工程量经第三方审定值进行结算，扣留5%作为项目</w:t>
      </w:r>
      <w:r>
        <w:rPr>
          <w:rFonts w:hint="eastAsia" w:ascii="宋体" w:hAnsi="宋体" w:cs="宋体"/>
          <w:sz w:val="24"/>
          <w:szCs w:val="24"/>
          <w:highlight w:val="none"/>
          <w:lang w:val="en-US" w:eastAsia="zh-CN"/>
        </w:rPr>
        <w:t>质保金</w:t>
      </w:r>
      <w:r>
        <w:rPr>
          <w:rFonts w:hint="eastAsia" w:ascii="宋体" w:hAnsi="宋体" w:cs="宋体"/>
          <w:sz w:val="24"/>
          <w:szCs w:val="24"/>
          <w:highlight w:val="none"/>
        </w:rPr>
        <w:t>。</w:t>
      </w:r>
    </w:p>
    <w:p w14:paraId="5A8E693D">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五、合同的变更、终止与转让</w:t>
      </w:r>
    </w:p>
    <w:p w14:paraId="24681DD5">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1.除《中华人民共和国政府采购法》第50条规定的情形外，本合同一经签订，甲乙双方不得擅自变更、中止或终止。</w:t>
      </w:r>
    </w:p>
    <w:p w14:paraId="494D3198">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2.乙方不得擅自转让其应履行的合同义务。</w:t>
      </w:r>
    </w:p>
    <w:p w14:paraId="31747D6B">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六、双方权利义务</w:t>
      </w:r>
    </w:p>
    <w:p w14:paraId="5CFC4C9C">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（一）甲方权利义务</w:t>
      </w:r>
    </w:p>
    <w:p w14:paraId="5613D53C">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1、甲方有权监督核查乙方派出人员进行服务工作的进度、程序、质量和其他情况。</w:t>
      </w:r>
    </w:p>
    <w:p w14:paraId="51E85376">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2、乙方不按相关合同规定以及</w:t>
      </w:r>
      <w:r>
        <w:rPr>
          <w:rFonts w:hint="eastAsia" w:ascii="宋体" w:hAnsi="宋体" w:cs="宋体"/>
          <w:color w:val="000000"/>
          <w:kern w:val="0"/>
          <w:sz w:val="24"/>
          <w:szCs w:val="24"/>
          <w:highlight w:val="none"/>
        </w:rPr>
        <w:t>招标文件</w:t>
      </w:r>
      <w:r>
        <w:rPr>
          <w:rFonts w:hint="eastAsia" w:ascii="宋体" w:hAnsi="宋体" w:cs="宋体"/>
          <w:color w:val="000000"/>
          <w:kern w:val="0"/>
          <w:sz w:val="24"/>
          <w:szCs w:val="24"/>
          <w:highlight w:val="none"/>
          <w:lang w:val="zh-CN"/>
        </w:rPr>
        <w:t>中的采购项目服务要求履行职责时，甲方有权要求乙方重新组织核查或终止合同。造成不良影响和经济损失的，可要求乙方消除影响并承担赔偿责任。</w:t>
      </w:r>
    </w:p>
    <w:p w14:paraId="58D6A896">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3、若乙方在服务过程中有违反规定的行为或其他违反国家法律法规规定的行为，甲方有权提请相关部门依据有关规定对乙方做出相应处罚，并向社会公布。</w:t>
      </w:r>
    </w:p>
    <w:p w14:paraId="3E0E70B6">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4、甲方应协调解决乙方服务工作中的有关问题。</w:t>
      </w:r>
    </w:p>
    <w:p w14:paraId="4B06D760">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（二）乙方权利义务</w:t>
      </w:r>
    </w:p>
    <w:p w14:paraId="60814EDF">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1、乙方应严格遵守国家有关法律法规，遵守保密和廉政纪律，服从甲方工作安排。</w:t>
      </w:r>
    </w:p>
    <w:p w14:paraId="5BBBA869">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2、乙方不得对服务业务进行转包和分包。</w:t>
      </w:r>
    </w:p>
    <w:p w14:paraId="4938B775">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3、严格按照绩效评价工作的有关规定独立、客观、公正地实施。</w:t>
      </w:r>
    </w:p>
    <w:p w14:paraId="1FE2F240">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4、对结果报告的客观性、准确性、真实性负责；</w:t>
      </w:r>
    </w:p>
    <w:p w14:paraId="6074468F">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5、按协议规定收取评价费用。</w:t>
      </w:r>
    </w:p>
    <w:p w14:paraId="67C3B676">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6、乙方在服务期间无特殊原因不得更换派出人员，确需更换的，替换人员必须征得甲方同意。</w:t>
      </w:r>
    </w:p>
    <w:p w14:paraId="5A3BB6E4">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七、不可抗力</w:t>
      </w:r>
    </w:p>
    <w:p w14:paraId="3FE4237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1.不可抗力使合同的某些内容有变更必要的，双方应通过协商在</w:t>
      </w:r>
      <w:r>
        <w:rPr>
          <w:rFonts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天内达成进一步履行合同的协议，因不可抗力致使合同不能履行的，合同终止。</w:t>
      </w:r>
    </w:p>
    <w:p w14:paraId="2E326A5F">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2.除法律、法规规定的不可抗力情形外，双方约定出现 </w:t>
      </w:r>
      <w:r>
        <w:rPr>
          <w:rFonts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情况亦视为不可抗力。</w:t>
      </w:r>
    </w:p>
    <w:p w14:paraId="5F2790E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八、合同争议解决</w:t>
      </w:r>
    </w:p>
    <w:p w14:paraId="0BEFF32D">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1.因服务质量问题发生争议的，应邀请国家认可的第三方机构进行鉴定。服务质量符合标准的，鉴定费由甲方承担；服务质量不符合标准的，鉴定费由乙方承担。</w:t>
      </w:r>
    </w:p>
    <w:p w14:paraId="0F50AA5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2.因履行本合同引起的或与本合同有关的争议，甲乙双方应首先通过友好协商解决，如果协商不能解决，可向甲方所在地仲裁委员会申请仲裁或向甲方所在地人民法院提起诉讼。</w:t>
      </w:r>
    </w:p>
    <w:p w14:paraId="24A48149">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3.诉讼期间，本合同继续履行。</w:t>
      </w:r>
      <w:bookmarkStart w:id="108" w:name="_Toc225670757"/>
      <w:bookmarkStart w:id="109" w:name="_Toc282696231"/>
      <w:bookmarkStart w:id="110" w:name="_Toc251768868"/>
      <w:bookmarkStart w:id="111" w:name="_Toc283019219"/>
      <w:bookmarkStart w:id="112" w:name="_Toc212019600"/>
      <w:bookmarkStart w:id="113" w:name="_Toc225654650"/>
      <w:bookmarkStart w:id="114" w:name="_Toc211854455"/>
      <w:bookmarkStart w:id="115" w:name="_Toc239233920"/>
      <w:bookmarkStart w:id="116" w:name="_Toc232492934"/>
      <w:bookmarkStart w:id="117" w:name="_Toc286993793"/>
      <w:bookmarkStart w:id="118" w:name="_Toc237145412"/>
      <w:bookmarkStart w:id="119" w:name="_Toc239568424"/>
      <w:bookmarkStart w:id="120" w:name="_Toc211911354"/>
      <w:bookmarkStart w:id="121" w:name="_Toc225244858"/>
      <w:bookmarkStart w:id="122" w:name="_Toc238984981"/>
      <w:bookmarkStart w:id="123" w:name="_Toc247334847"/>
      <w:bookmarkStart w:id="124" w:name="_Toc241833909"/>
      <w:bookmarkStart w:id="125" w:name="_Toc185395255"/>
    </w:p>
    <w:p w14:paraId="56009CA5">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九、合同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color w:val="000000"/>
          <w:kern w:val="0"/>
          <w:sz w:val="24"/>
          <w:szCs w:val="24"/>
          <w:highlight w:val="none"/>
          <w:lang w:val="zh-CN"/>
        </w:rPr>
        <w:t>生效及其他</w:t>
      </w:r>
    </w:p>
    <w:p w14:paraId="70863896">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1、合同经双方法定代表人或授权委托代理人签字并加盖单位公章后生效。</w:t>
      </w:r>
    </w:p>
    <w:p w14:paraId="6835B9B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2、合同执行中涉及采购资金和采购内容修改或补充的，须经政府采购监管部门审批，并签书面补充协议报政府采购监督管理部门备案，方可作为主合同不可分割的一部分。</w:t>
      </w:r>
    </w:p>
    <w:p w14:paraId="7023938C">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十.合同份数</w:t>
      </w:r>
    </w:p>
    <w:p w14:paraId="1FE066C9">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本合同共计</w:t>
      </w:r>
      <w:r>
        <w:rPr>
          <w:rFonts w:hint="eastAsia" w:ascii="宋体" w:hAnsi="宋体" w:cs="宋体"/>
          <w:color w:val="000000"/>
          <w:kern w:val="0"/>
          <w:sz w:val="24"/>
          <w:szCs w:val="24"/>
          <w:highlight w:val="none"/>
        </w:rPr>
        <w:t>八</w:t>
      </w:r>
      <w:r>
        <w:rPr>
          <w:rFonts w:hint="eastAsia" w:ascii="宋体" w:hAnsi="宋体" w:cs="宋体"/>
          <w:color w:val="000000"/>
          <w:kern w:val="0"/>
          <w:sz w:val="24"/>
          <w:szCs w:val="24"/>
          <w:highlight w:val="none"/>
          <w:lang w:val="zh-CN"/>
        </w:rPr>
        <w:t>份，采购人</w:t>
      </w:r>
      <w:r>
        <w:rPr>
          <w:rFonts w:hint="eastAsia" w:ascii="宋体" w:hAnsi="宋体" w:cs="宋体"/>
          <w:color w:val="000000"/>
          <w:kern w:val="0"/>
          <w:sz w:val="24"/>
          <w:szCs w:val="24"/>
          <w:highlight w:val="none"/>
        </w:rPr>
        <w:t>三</w:t>
      </w:r>
      <w:r>
        <w:rPr>
          <w:rFonts w:hint="eastAsia" w:ascii="宋体" w:hAnsi="宋体" w:cs="宋体"/>
          <w:color w:val="000000"/>
          <w:kern w:val="0"/>
          <w:sz w:val="24"/>
          <w:szCs w:val="24"/>
          <w:highlight w:val="none"/>
          <w:lang w:val="zh-CN"/>
        </w:rPr>
        <w:t>份、中标人</w:t>
      </w:r>
      <w:r>
        <w:rPr>
          <w:rFonts w:hint="eastAsia" w:ascii="宋体" w:hAnsi="宋体" w:cs="宋体"/>
          <w:color w:val="000000"/>
          <w:kern w:val="0"/>
          <w:sz w:val="24"/>
          <w:szCs w:val="24"/>
          <w:highlight w:val="none"/>
        </w:rPr>
        <w:t>三</w:t>
      </w:r>
      <w:r>
        <w:rPr>
          <w:rFonts w:hint="eastAsia" w:ascii="宋体" w:hAnsi="宋体" w:cs="宋体"/>
          <w:color w:val="000000"/>
          <w:kern w:val="0"/>
          <w:sz w:val="24"/>
          <w:szCs w:val="24"/>
          <w:highlight w:val="none"/>
          <w:lang w:val="zh-CN"/>
        </w:rPr>
        <w:t>份,采购代理机构留存</w:t>
      </w:r>
      <w:r>
        <w:rPr>
          <w:rFonts w:hint="eastAsia" w:ascii="宋体" w:hAnsi="宋体" w:cs="宋体"/>
          <w:color w:val="000000"/>
          <w:kern w:val="0"/>
          <w:sz w:val="24"/>
          <w:szCs w:val="24"/>
          <w:highlight w:val="none"/>
        </w:rPr>
        <w:t>两</w:t>
      </w:r>
      <w:r>
        <w:rPr>
          <w:rFonts w:hint="eastAsia" w:ascii="宋体" w:hAnsi="宋体" w:cs="宋体"/>
          <w:color w:val="000000"/>
          <w:kern w:val="0"/>
          <w:sz w:val="24"/>
          <w:szCs w:val="24"/>
          <w:highlight w:val="none"/>
          <w:lang w:val="zh-CN"/>
        </w:rPr>
        <w:t>份备案。</w:t>
      </w:r>
    </w:p>
    <w:p w14:paraId="7ED3E97C">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发包人：               （公章）     承包人：                （公章）</w:t>
      </w:r>
    </w:p>
    <w:p w14:paraId="22B12A4B">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法定代表人或其                     法定代表人或其</w:t>
      </w:r>
    </w:p>
    <w:p w14:paraId="01B0369F">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委托代理人：           （签字）    委托代理人：           （签字）</w:t>
      </w:r>
    </w:p>
    <w:p w14:paraId="602C2E27">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地址：                             地址：                             </w:t>
      </w:r>
    </w:p>
    <w:p w14:paraId="19F37772">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电话：                             电话:                       </w:t>
      </w:r>
    </w:p>
    <w:p w14:paraId="2C3A22C3">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开户银行：                         开户银行：                </w:t>
      </w:r>
    </w:p>
    <w:p w14:paraId="4D545E38">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账号：                             账号：                     </w:t>
      </w:r>
    </w:p>
    <w:p w14:paraId="38AF59D8">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日期：  年   月  日                日期：     年   月    日  </w:t>
      </w:r>
    </w:p>
    <w:p w14:paraId="3A168298">
      <w:pPr>
        <w:pStyle w:val="30"/>
        <w:spacing w:line="360" w:lineRule="auto"/>
        <w:ind w:firstLine="210"/>
        <w:rPr>
          <w:rFonts w:hint="eastAsia" w:ascii="宋体" w:hAnsi="宋体" w:cs="宋体"/>
          <w:color w:val="000000"/>
          <w:kern w:val="0"/>
          <w:sz w:val="24"/>
          <w:szCs w:val="24"/>
          <w:highlight w:val="none"/>
          <w:lang w:val="zh-CN"/>
        </w:rPr>
      </w:pPr>
    </w:p>
    <w:p w14:paraId="0C9CD3DE">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 </w:t>
      </w:r>
    </w:p>
    <w:p w14:paraId="7778AC89">
      <w:pPr>
        <w:pStyle w:val="30"/>
        <w:spacing w:line="360" w:lineRule="auto"/>
        <w:ind w:firstLine="210"/>
        <w:rPr>
          <w:rFonts w:hint="eastAsia" w:ascii="宋体" w:hAnsi="宋体" w:cs="宋体"/>
          <w:color w:val="000000"/>
          <w:kern w:val="0"/>
          <w:sz w:val="24"/>
          <w:szCs w:val="24"/>
          <w:highlight w:val="none"/>
          <w:lang w:val="zh-CN"/>
        </w:rPr>
      </w:pPr>
    </w:p>
    <w:p w14:paraId="6B7FE925">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招标代理机构：                                </w:t>
      </w:r>
    </w:p>
    <w:p w14:paraId="25202781">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经办人：</w:t>
      </w:r>
    </w:p>
    <w:p w14:paraId="5D984B77">
      <w:pPr>
        <w:pStyle w:val="30"/>
        <w:spacing w:line="360" w:lineRule="auto"/>
        <w:ind w:firstLine="21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合同备案时间：     年  月   日</w:t>
      </w:r>
    </w:p>
    <w:p w14:paraId="3693F8A3">
      <w:pPr>
        <w:pStyle w:val="30"/>
        <w:ind w:firstLine="210"/>
        <w:rPr>
          <w:rFonts w:hint="eastAsia" w:ascii="宋体" w:hAnsi="宋体" w:cs="宋体"/>
          <w:color w:val="000000"/>
          <w:kern w:val="0"/>
          <w:highlight w:val="none"/>
          <w:lang w:val="zh-CN"/>
        </w:rPr>
      </w:pPr>
    </w:p>
    <w:p w14:paraId="62028BEE">
      <w:pPr>
        <w:rPr>
          <w:rFonts w:hint="eastAsia" w:ascii="宋体" w:hAnsi="宋体" w:cs="宋体"/>
          <w:color w:val="000000"/>
          <w:kern w:val="0"/>
          <w:highlight w:val="none"/>
          <w:lang w:val="zh-CN"/>
        </w:rPr>
      </w:pPr>
    </w:p>
    <w:p w14:paraId="259CAA26">
      <w:pPr>
        <w:rPr>
          <w:rFonts w:hint="eastAsia" w:ascii="宋体" w:hAnsi="宋体" w:cs="宋体"/>
          <w:color w:val="000000"/>
          <w:kern w:val="0"/>
          <w:highlight w:val="none"/>
          <w:lang w:val="zh-CN"/>
        </w:rPr>
      </w:pPr>
    </w:p>
    <w:p w14:paraId="140AE3F7">
      <w:pPr>
        <w:autoSpaceDE w:val="0"/>
        <w:autoSpaceDN w:val="0"/>
        <w:spacing w:line="400" w:lineRule="exact"/>
        <w:jc w:val="center"/>
        <w:rPr>
          <w:b/>
          <w:bCs/>
          <w:kern w:val="0"/>
          <w:sz w:val="28"/>
          <w:szCs w:val="28"/>
          <w:highlight w:val="none"/>
        </w:rPr>
      </w:pPr>
      <w:bookmarkStart w:id="126" w:name="_Toc3602"/>
      <w:r>
        <w:rPr>
          <w:rFonts w:hAnsi="宋体"/>
          <w:b/>
          <w:bCs/>
          <w:kern w:val="0"/>
          <w:sz w:val="28"/>
          <w:szCs w:val="28"/>
          <w:highlight w:val="none"/>
          <w:lang w:val="zh-CN"/>
        </w:rPr>
        <w:t>合同通用条款</w:t>
      </w:r>
    </w:p>
    <w:p w14:paraId="00D8437D">
      <w:pPr>
        <w:autoSpaceDE w:val="0"/>
        <w:autoSpaceDN w:val="0"/>
        <w:spacing w:line="400" w:lineRule="exact"/>
        <w:ind w:firstLine="480"/>
        <w:rPr>
          <w:kern w:val="0"/>
          <w:highlight w:val="none"/>
        </w:rPr>
      </w:pPr>
      <w:r>
        <w:rPr>
          <w:rFonts w:hAnsi="宋体"/>
          <w:kern w:val="0"/>
          <w:highlight w:val="none"/>
          <w:lang w:val="zh-CN"/>
        </w:rPr>
        <w:t>根据《中华人民共和国</w:t>
      </w:r>
      <w:r>
        <w:rPr>
          <w:rFonts w:hint="eastAsia" w:hAnsi="宋体"/>
          <w:kern w:val="0"/>
          <w:highlight w:val="none"/>
          <w:lang w:val="zh-CN"/>
        </w:rPr>
        <w:t>民法典</w:t>
      </w:r>
      <w:r>
        <w:rPr>
          <w:rFonts w:hAnsi="宋体"/>
          <w:kern w:val="0"/>
          <w:highlight w:val="none"/>
          <w:lang w:val="zh-CN"/>
        </w:rPr>
        <w:t>》、《中华人民共和国政府采购法》的规定，合同双方经协商达成一致，自愿订立本合同，遵循公平原则明确双方的权利、义务，确保双方诚实守信地履行合同。</w:t>
      </w:r>
    </w:p>
    <w:p w14:paraId="03A1D434">
      <w:pPr>
        <w:autoSpaceDE w:val="0"/>
        <w:autoSpaceDN w:val="0"/>
        <w:spacing w:line="400" w:lineRule="exact"/>
        <w:rPr>
          <w:b/>
          <w:bCs/>
          <w:kern w:val="0"/>
          <w:highlight w:val="none"/>
        </w:rPr>
      </w:pPr>
      <w:r>
        <w:rPr>
          <w:b/>
          <w:bCs/>
          <w:kern w:val="0"/>
          <w:highlight w:val="none"/>
        </w:rPr>
        <w:t>1.</w:t>
      </w:r>
      <w:r>
        <w:rPr>
          <w:rFonts w:hAnsi="宋体"/>
          <w:b/>
          <w:bCs/>
          <w:kern w:val="0"/>
          <w:highlight w:val="none"/>
          <w:lang w:val="zh-CN"/>
        </w:rPr>
        <w:t>定义</w:t>
      </w:r>
    </w:p>
    <w:p w14:paraId="72566E6F">
      <w:pPr>
        <w:autoSpaceDE w:val="0"/>
        <w:autoSpaceDN w:val="0"/>
        <w:spacing w:line="400" w:lineRule="exact"/>
        <w:ind w:firstLine="480"/>
        <w:rPr>
          <w:kern w:val="0"/>
          <w:highlight w:val="none"/>
        </w:rPr>
      </w:pPr>
      <w:r>
        <w:rPr>
          <w:rFonts w:hAnsi="宋体"/>
          <w:kern w:val="0"/>
          <w:highlight w:val="none"/>
          <w:lang w:val="zh-CN"/>
        </w:rPr>
        <w:t>本合同中的下列术语应解释为：</w:t>
      </w:r>
    </w:p>
    <w:p w14:paraId="78D78FB7">
      <w:pPr>
        <w:autoSpaceDE w:val="0"/>
        <w:autoSpaceDN w:val="0"/>
        <w:spacing w:line="400" w:lineRule="exact"/>
        <w:ind w:firstLine="480"/>
        <w:rPr>
          <w:kern w:val="0"/>
          <w:highlight w:val="none"/>
        </w:rPr>
      </w:pPr>
      <w:r>
        <w:rPr>
          <w:kern w:val="0"/>
          <w:highlight w:val="none"/>
        </w:rPr>
        <w:t xml:space="preserve">1.1 </w:t>
      </w:r>
      <w:r>
        <w:rPr>
          <w:kern w:val="0"/>
          <w:highlight w:val="none"/>
          <w:lang w:val="zh-CN"/>
        </w:rPr>
        <w:t>“</w:t>
      </w:r>
      <w:r>
        <w:rPr>
          <w:rFonts w:hAnsi="宋体"/>
          <w:kern w:val="0"/>
          <w:highlight w:val="none"/>
          <w:lang w:val="zh-CN"/>
        </w:rPr>
        <w:t>合同</w:t>
      </w:r>
      <w:r>
        <w:rPr>
          <w:kern w:val="0"/>
          <w:highlight w:val="none"/>
          <w:lang w:val="zh-CN"/>
        </w:rPr>
        <w:t>”</w:t>
      </w:r>
      <w:r>
        <w:rPr>
          <w:rFonts w:hAnsi="宋体"/>
          <w:kern w:val="0"/>
          <w:highlight w:val="none"/>
          <w:lang w:val="zh-CN"/>
        </w:rPr>
        <w:t>指甲乙双方签署的、载明的甲乙双方权利义务的协议，包括所有的附件、附录和上述文件所提到的构成合同的所有文件。</w:t>
      </w:r>
    </w:p>
    <w:p w14:paraId="00B155F2">
      <w:pPr>
        <w:autoSpaceDE w:val="0"/>
        <w:autoSpaceDN w:val="0"/>
        <w:spacing w:line="400" w:lineRule="exact"/>
        <w:ind w:firstLine="480"/>
        <w:rPr>
          <w:kern w:val="0"/>
          <w:highlight w:val="none"/>
        </w:rPr>
      </w:pPr>
      <w:r>
        <w:rPr>
          <w:kern w:val="0"/>
          <w:highlight w:val="none"/>
        </w:rPr>
        <w:t xml:space="preserve">1.2 </w:t>
      </w:r>
      <w:r>
        <w:rPr>
          <w:kern w:val="0"/>
          <w:highlight w:val="none"/>
          <w:lang w:val="zh-CN"/>
        </w:rPr>
        <w:t>“</w:t>
      </w:r>
      <w:r>
        <w:rPr>
          <w:rFonts w:hAnsi="宋体"/>
          <w:kern w:val="0"/>
          <w:highlight w:val="none"/>
          <w:lang w:val="zh-CN"/>
        </w:rPr>
        <w:t>合同金额</w:t>
      </w:r>
      <w:r>
        <w:rPr>
          <w:kern w:val="0"/>
          <w:highlight w:val="none"/>
          <w:lang w:val="zh-CN"/>
        </w:rPr>
        <w:t>”</w:t>
      </w:r>
      <w:r>
        <w:rPr>
          <w:rFonts w:hAnsi="宋体"/>
          <w:kern w:val="0"/>
          <w:highlight w:val="none"/>
          <w:lang w:val="zh-CN"/>
        </w:rPr>
        <w:t>指根据合同规定，乙方在正确地完全履行合同义务后甲方应付给乙方的价款。</w:t>
      </w:r>
    </w:p>
    <w:p w14:paraId="2E3ADF22">
      <w:pPr>
        <w:autoSpaceDE w:val="0"/>
        <w:autoSpaceDN w:val="0"/>
        <w:spacing w:line="400" w:lineRule="exact"/>
        <w:ind w:firstLine="480"/>
        <w:rPr>
          <w:kern w:val="0"/>
          <w:highlight w:val="none"/>
        </w:rPr>
      </w:pPr>
      <w:r>
        <w:rPr>
          <w:kern w:val="0"/>
          <w:highlight w:val="none"/>
        </w:rPr>
        <w:t xml:space="preserve">1.3 </w:t>
      </w:r>
      <w:r>
        <w:rPr>
          <w:kern w:val="0"/>
          <w:highlight w:val="none"/>
          <w:lang w:val="zh-CN"/>
        </w:rPr>
        <w:t>“</w:t>
      </w:r>
      <w:r>
        <w:rPr>
          <w:rFonts w:hAnsi="宋体"/>
          <w:kern w:val="0"/>
          <w:highlight w:val="none"/>
          <w:lang w:val="zh-CN"/>
        </w:rPr>
        <w:t>合同条款</w:t>
      </w:r>
      <w:r>
        <w:rPr>
          <w:kern w:val="0"/>
          <w:highlight w:val="none"/>
          <w:lang w:val="zh-CN"/>
        </w:rPr>
        <w:t>”</w:t>
      </w:r>
      <w:r>
        <w:rPr>
          <w:rFonts w:hAnsi="宋体"/>
          <w:kern w:val="0"/>
          <w:highlight w:val="none"/>
          <w:lang w:val="zh-CN"/>
        </w:rPr>
        <w:t>指本合同条款。</w:t>
      </w:r>
    </w:p>
    <w:p w14:paraId="238EFA5D">
      <w:pPr>
        <w:autoSpaceDE w:val="0"/>
        <w:autoSpaceDN w:val="0"/>
        <w:spacing w:line="400" w:lineRule="exact"/>
        <w:ind w:firstLine="480"/>
        <w:rPr>
          <w:kern w:val="0"/>
          <w:highlight w:val="none"/>
        </w:rPr>
      </w:pPr>
      <w:r>
        <w:rPr>
          <w:kern w:val="0"/>
          <w:highlight w:val="none"/>
        </w:rPr>
        <w:t xml:space="preserve">1.4 </w:t>
      </w:r>
      <w:r>
        <w:rPr>
          <w:kern w:val="0"/>
          <w:highlight w:val="none"/>
          <w:lang w:val="zh-CN"/>
        </w:rPr>
        <w:t>“</w:t>
      </w:r>
      <w:r>
        <w:rPr>
          <w:rFonts w:hAnsi="宋体"/>
          <w:kern w:val="0"/>
          <w:highlight w:val="none"/>
          <w:lang w:val="zh-CN"/>
        </w:rPr>
        <w:t>货物</w:t>
      </w:r>
      <w:r>
        <w:rPr>
          <w:kern w:val="0"/>
          <w:highlight w:val="none"/>
          <w:lang w:val="zh-CN"/>
        </w:rPr>
        <w:t>”</w:t>
      </w:r>
      <w:r>
        <w:rPr>
          <w:rFonts w:hAnsi="宋体"/>
          <w:kern w:val="0"/>
          <w:highlight w:val="none"/>
          <w:lang w:val="zh-CN"/>
        </w:rPr>
        <w:t>指乙方根据合同约定须向甲方提供的一切产品、设备、机械、仪表、备件等，包括辅助工具、使用手册等相关资料。</w:t>
      </w:r>
    </w:p>
    <w:p w14:paraId="3F278D0D">
      <w:pPr>
        <w:autoSpaceDE w:val="0"/>
        <w:autoSpaceDN w:val="0"/>
        <w:spacing w:line="400" w:lineRule="exact"/>
        <w:ind w:firstLine="480"/>
        <w:rPr>
          <w:kern w:val="0"/>
          <w:highlight w:val="none"/>
        </w:rPr>
      </w:pPr>
      <w:r>
        <w:rPr>
          <w:kern w:val="0"/>
          <w:highlight w:val="none"/>
        </w:rPr>
        <w:t xml:space="preserve">1.5 </w:t>
      </w:r>
      <w:r>
        <w:rPr>
          <w:kern w:val="0"/>
          <w:highlight w:val="none"/>
          <w:lang w:val="zh-CN"/>
        </w:rPr>
        <w:t>“</w:t>
      </w:r>
      <w:r>
        <w:rPr>
          <w:rFonts w:hAnsi="宋体"/>
          <w:kern w:val="0"/>
          <w:highlight w:val="none"/>
          <w:lang w:val="zh-CN"/>
        </w:rPr>
        <w:t>服务</w:t>
      </w:r>
      <w:r>
        <w:rPr>
          <w:kern w:val="0"/>
          <w:highlight w:val="none"/>
          <w:lang w:val="zh-CN"/>
        </w:rPr>
        <w:t>”</w:t>
      </w:r>
      <w:r>
        <w:rPr>
          <w:rFonts w:hAnsi="宋体"/>
          <w:kern w:val="0"/>
          <w:highlight w:val="none"/>
          <w:lang w:val="zh-CN"/>
        </w:rPr>
        <w:t>指根据本合同规定乙方承担与供货有关的辅助服务，如运输、保险及安装、调试、提供技术援助、培训和合同中规定乙方应承担的其它义务。</w:t>
      </w:r>
    </w:p>
    <w:p w14:paraId="6B5B03F3">
      <w:pPr>
        <w:autoSpaceDE w:val="0"/>
        <w:autoSpaceDN w:val="0"/>
        <w:spacing w:line="400" w:lineRule="exact"/>
        <w:ind w:firstLine="480"/>
        <w:rPr>
          <w:kern w:val="0"/>
          <w:highlight w:val="none"/>
        </w:rPr>
      </w:pPr>
      <w:r>
        <w:rPr>
          <w:kern w:val="0"/>
          <w:highlight w:val="none"/>
        </w:rPr>
        <w:t xml:space="preserve">1.6 </w:t>
      </w:r>
      <w:r>
        <w:rPr>
          <w:kern w:val="0"/>
          <w:highlight w:val="none"/>
          <w:lang w:val="zh-CN"/>
        </w:rPr>
        <w:t>“</w:t>
      </w:r>
      <w:r>
        <w:rPr>
          <w:rFonts w:hAnsi="宋体"/>
          <w:kern w:val="0"/>
          <w:highlight w:val="none"/>
          <w:lang w:val="zh-CN"/>
        </w:rPr>
        <w:t>甲方</w:t>
      </w:r>
      <w:r>
        <w:rPr>
          <w:kern w:val="0"/>
          <w:highlight w:val="none"/>
          <w:lang w:val="zh-CN"/>
        </w:rPr>
        <w:t>”</w:t>
      </w:r>
      <w:r>
        <w:rPr>
          <w:rFonts w:hAnsi="宋体"/>
          <w:kern w:val="0"/>
          <w:highlight w:val="none"/>
          <w:lang w:val="zh-CN"/>
        </w:rPr>
        <w:t>指购买货物和服务的单位。</w:t>
      </w:r>
    </w:p>
    <w:p w14:paraId="1DB369BB">
      <w:pPr>
        <w:autoSpaceDE w:val="0"/>
        <w:autoSpaceDN w:val="0"/>
        <w:spacing w:line="400" w:lineRule="exact"/>
        <w:ind w:firstLine="480"/>
        <w:rPr>
          <w:kern w:val="0"/>
          <w:highlight w:val="none"/>
        </w:rPr>
      </w:pPr>
      <w:r>
        <w:rPr>
          <w:kern w:val="0"/>
          <w:highlight w:val="none"/>
        </w:rPr>
        <w:t xml:space="preserve">1.7 </w:t>
      </w:r>
      <w:r>
        <w:rPr>
          <w:kern w:val="0"/>
          <w:highlight w:val="none"/>
          <w:lang w:val="zh-CN"/>
        </w:rPr>
        <w:t>“</w:t>
      </w:r>
      <w:r>
        <w:rPr>
          <w:rFonts w:hAnsi="宋体"/>
          <w:kern w:val="0"/>
          <w:highlight w:val="none"/>
          <w:lang w:val="zh-CN"/>
        </w:rPr>
        <w:t>乙方</w:t>
      </w:r>
      <w:r>
        <w:rPr>
          <w:kern w:val="0"/>
          <w:highlight w:val="none"/>
          <w:lang w:val="zh-CN"/>
        </w:rPr>
        <w:t>”</w:t>
      </w:r>
      <w:r>
        <w:rPr>
          <w:rFonts w:hAnsi="宋体"/>
          <w:kern w:val="0"/>
          <w:highlight w:val="none"/>
          <w:lang w:val="zh-CN"/>
        </w:rPr>
        <w:t>指提供本合同条款下货物和服务的公司或其他实体。</w:t>
      </w:r>
    </w:p>
    <w:p w14:paraId="06EBE681">
      <w:pPr>
        <w:autoSpaceDE w:val="0"/>
        <w:autoSpaceDN w:val="0"/>
        <w:spacing w:line="400" w:lineRule="exact"/>
        <w:ind w:firstLine="480"/>
        <w:rPr>
          <w:kern w:val="0"/>
          <w:highlight w:val="none"/>
        </w:rPr>
      </w:pPr>
      <w:r>
        <w:rPr>
          <w:kern w:val="0"/>
          <w:highlight w:val="none"/>
        </w:rPr>
        <w:t xml:space="preserve">1.8 </w:t>
      </w:r>
      <w:r>
        <w:rPr>
          <w:kern w:val="0"/>
          <w:highlight w:val="none"/>
          <w:lang w:val="zh-CN"/>
        </w:rPr>
        <w:t>“</w:t>
      </w:r>
      <w:r>
        <w:rPr>
          <w:rFonts w:hAnsi="宋体"/>
          <w:kern w:val="0"/>
          <w:highlight w:val="none"/>
          <w:lang w:val="zh-CN"/>
        </w:rPr>
        <w:t>现场</w:t>
      </w:r>
      <w:r>
        <w:rPr>
          <w:kern w:val="0"/>
          <w:highlight w:val="none"/>
          <w:lang w:val="zh-CN"/>
        </w:rPr>
        <w:t>”</w:t>
      </w:r>
      <w:r>
        <w:rPr>
          <w:rFonts w:hAnsi="宋体"/>
          <w:kern w:val="0"/>
          <w:highlight w:val="none"/>
          <w:lang w:val="zh-CN"/>
        </w:rPr>
        <w:t>指合同规定货物将要运至和安装的地点。</w:t>
      </w:r>
    </w:p>
    <w:p w14:paraId="22F6A5DA">
      <w:pPr>
        <w:autoSpaceDE w:val="0"/>
        <w:autoSpaceDN w:val="0"/>
        <w:spacing w:line="400" w:lineRule="exact"/>
        <w:ind w:firstLine="480"/>
        <w:rPr>
          <w:kern w:val="0"/>
          <w:highlight w:val="none"/>
        </w:rPr>
      </w:pPr>
      <w:r>
        <w:rPr>
          <w:kern w:val="0"/>
          <w:highlight w:val="none"/>
        </w:rPr>
        <w:t xml:space="preserve">1.9 </w:t>
      </w:r>
      <w:r>
        <w:rPr>
          <w:kern w:val="0"/>
          <w:highlight w:val="none"/>
          <w:lang w:val="zh-CN"/>
        </w:rPr>
        <w:t>“</w:t>
      </w:r>
      <w:r>
        <w:rPr>
          <w:rFonts w:hAnsi="宋体"/>
          <w:kern w:val="0"/>
          <w:highlight w:val="none"/>
          <w:lang w:val="zh-CN"/>
        </w:rPr>
        <w:t>验收</w:t>
      </w:r>
      <w:r>
        <w:rPr>
          <w:kern w:val="0"/>
          <w:highlight w:val="none"/>
          <w:lang w:val="zh-CN"/>
        </w:rPr>
        <w:t>”</w:t>
      </w:r>
      <w:r>
        <w:rPr>
          <w:rFonts w:hAnsi="宋体"/>
          <w:kern w:val="0"/>
          <w:highlight w:val="none"/>
          <w:lang w:val="zh-CN"/>
        </w:rPr>
        <w:t>指合同双方依据强制性的国家技术质量规范和合同约定，确认合同条款下的货物符合合同规定的活动。</w:t>
      </w:r>
    </w:p>
    <w:p w14:paraId="6B455E81">
      <w:pPr>
        <w:autoSpaceDE w:val="0"/>
        <w:autoSpaceDN w:val="0"/>
        <w:spacing w:line="400" w:lineRule="exact"/>
        <w:ind w:firstLine="480"/>
        <w:rPr>
          <w:kern w:val="0"/>
          <w:highlight w:val="none"/>
        </w:rPr>
      </w:pPr>
      <w:r>
        <w:rPr>
          <w:kern w:val="0"/>
          <w:highlight w:val="none"/>
        </w:rPr>
        <w:t xml:space="preserve">1.10 </w:t>
      </w:r>
      <w:r>
        <w:rPr>
          <w:rFonts w:hAnsi="宋体"/>
          <w:kern w:val="0"/>
          <w:highlight w:val="none"/>
          <w:lang w:val="zh-CN"/>
        </w:rPr>
        <w:t>原厂商：产品制造商或其在中国境内设立的办事或技术服务机构。除另有说明外，本合同文件所述的制造商、产品制造商、制造厂家、产品制造厂家均为原厂商。</w:t>
      </w:r>
    </w:p>
    <w:p w14:paraId="5F47718C">
      <w:pPr>
        <w:autoSpaceDE w:val="0"/>
        <w:autoSpaceDN w:val="0"/>
        <w:spacing w:line="400" w:lineRule="exact"/>
        <w:ind w:firstLine="480"/>
        <w:rPr>
          <w:kern w:val="0"/>
          <w:highlight w:val="none"/>
        </w:rPr>
      </w:pPr>
      <w:r>
        <w:rPr>
          <w:kern w:val="0"/>
          <w:highlight w:val="none"/>
        </w:rPr>
        <w:t xml:space="preserve">1.11 </w:t>
      </w:r>
      <w:r>
        <w:rPr>
          <w:rFonts w:hAnsi="宋体"/>
          <w:kern w:val="0"/>
          <w:highlight w:val="none"/>
          <w:lang w:val="zh-CN"/>
        </w:rPr>
        <w:t>原产地：指产品的生产地，或提供服务的来源地。</w:t>
      </w:r>
    </w:p>
    <w:p w14:paraId="52DBFD45">
      <w:pPr>
        <w:autoSpaceDE w:val="0"/>
        <w:autoSpaceDN w:val="0"/>
        <w:spacing w:line="400" w:lineRule="exact"/>
        <w:ind w:firstLine="480"/>
        <w:rPr>
          <w:kern w:val="0"/>
          <w:highlight w:val="none"/>
        </w:rPr>
      </w:pPr>
      <w:r>
        <w:rPr>
          <w:kern w:val="0"/>
          <w:highlight w:val="none"/>
        </w:rPr>
        <w:t xml:space="preserve">1.12 </w:t>
      </w:r>
      <w:r>
        <w:rPr>
          <w:kern w:val="0"/>
          <w:highlight w:val="none"/>
          <w:lang w:val="zh-CN"/>
        </w:rPr>
        <w:t>“</w:t>
      </w:r>
      <w:r>
        <w:rPr>
          <w:rFonts w:hAnsi="宋体"/>
          <w:kern w:val="0"/>
          <w:highlight w:val="none"/>
          <w:lang w:val="zh-CN"/>
        </w:rPr>
        <w:t>工作日</w:t>
      </w:r>
      <w:r>
        <w:rPr>
          <w:kern w:val="0"/>
          <w:highlight w:val="none"/>
          <w:lang w:val="zh-CN"/>
        </w:rPr>
        <w:t>”</w:t>
      </w:r>
      <w:r>
        <w:rPr>
          <w:rFonts w:hAnsi="宋体"/>
          <w:kern w:val="0"/>
          <w:highlight w:val="none"/>
          <w:lang w:val="zh-CN"/>
        </w:rPr>
        <w:t>指国家法定工作日，</w:t>
      </w:r>
      <w:r>
        <w:rPr>
          <w:kern w:val="0"/>
          <w:highlight w:val="none"/>
          <w:lang w:val="zh-CN"/>
        </w:rPr>
        <w:t>“</w:t>
      </w:r>
      <w:r>
        <w:rPr>
          <w:rFonts w:hAnsi="宋体"/>
          <w:kern w:val="0"/>
          <w:highlight w:val="none"/>
          <w:lang w:val="zh-CN"/>
        </w:rPr>
        <w:t>天</w:t>
      </w:r>
      <w:r>
        <w:rPr>
          <w:kern w:val="0"/>
          <w:highlight w:val="none"/>
          <w:lang w:val="zh-CN"/>
        </w:rPr>
        <w:t>”</w:t>
      </w:r>
      <w:r>
        <w:rPr>
          <w:rFonts w:hAnsi="宋体"/>
          <w:kern w:val="0"/>
          <w:highlight w:val="none"/>
          <w:lang w:val="zh-CN"/>
        </w:rPr>
        <w:t>指日历天数。</w:t>
      </w:r>
    </w:p>
    <w:p w14:paraId="5C90321B">
      <w:pPr>
        <w:autoSpaceDE w:val="0"/>
        <w:autoSpaceDN w:val="0"/>
        <w:spacing w:line="400" w:lineRule="exact"/>
        <w:rPr>
          <w:b/>
          <w:bCs/>
          <w:kern w:val="0"/>
          <w:highlight w:val="none"/>
        </w:rPr>
      </w:pPr>
      <w:r>
        <w:rPr>
          <w:b/>
          <w:bCs/>
          <w:kern w:val="0"/>
          <w:highlight w:val="none"/>
        </w:rPr>
        <w:t>2.</w:t>
      </w:r>
      <w:r>
        <w:rPr>
          <w:rFonts w:hAnsi="宋体"/>
          <w:b/>
          <w:bCs/>
          <w:kern w:val="0"/>
          <w:highlight w:val="none"/>
          <w:lang w:val="zh-CN"/>
        </w:rPr>
        <w:t>技术规格要求</w:t>
      </w:r>
    </w:p>
    <w:p w14:paraId="22DF212F">
      <w:pPr>
        <w:autoSpaceDE w:val="0"/>
        <w:autoSpaceDN w:val="0"/>
        <w:spacing w:line="400" w:lineRule="exact"/>
        <w:ind w:firstLine="480"/>
        <w:rPr>
          <w:kern w:val="0"/>
          <w:highlight w:val="none"/>
        </w:rPr>
      </w:pPr>
      <w:r>
        <w:rPr>
          <w:kern w:val="0"/>
          <w:highlight w:val="none"/>
        </w:rPr>
        <w:t xml:space="preserve">2.1 </w:t>
      </w:r>
      <w:r>
        <w:rPr>
          <w:rFonts w:hAnsi="宋体"/>
          <w:kern w:val="0"/>
          <w:highlight w:val="none"/>
          <w:lang w:val="zh-CN"/>
        </w:rPr>
        <w:t>本合同条款下提交货物的技术规格要求应等于或优于招投标文件技术规格要求。若技术规格要求中无相应规定，则应符合相应的国家有关部门最新颁布的相应正式标准。</w:t>
      </w:r>
    </w:p>
    <w:p w14:paraId="6508C6B6">
      <w:pPr>
        <w:autoSpaceDE w:val="0"/>
        <w:autoSpaceDN w:val="0"/>
        <w:spacing w:line="400" w:lineRule="exact"/>
        <w:ind w:firstLine="480"/>
        <w:rPr>
          <w:kern w:val="0"/>
          <w:highlight w:val="none"/>
        </w:rPr>
      </w:pPr>
      <w:r>
        <w:rPr>
          <w:kern w:val="0"/>
          <w:highlight w:val="none"/>
        </w:rPr>
        <w:t xml:space="preserve">2.2 </w:t>
      </w:r>
      <w:r>
        <w:rPr>
          <w:rFonts w:hAnsi="宋体"/>
          <w:kern w:val="0"/>
          <w:highlight w:val="none"/>
          <w:lang w:val="zh-CN"/>
        </w:rPr>
        <w:t>乙方应向甲方提供货物及服务有关的标准的中文文本。</w:t>
      </w:r>
    </w:p>
    <w:p w14:paraId="1CBC2EA1">
      <w:pPr>
        <w:autoSpaceDE w:val="0"/>
        <w:autoSpaceDN w:val="0"/>
        <w:spacing w:line="400" w:lineRule="exact"/>
        <w:ind w:firstLine="480"/>
        <w:rPr>
          <w:kern w:val="0"/>
          <w:highlight w:val="none"/>
        </w:rPr>
      </w:pPr>
      <w:r>
        <w:rPr>
          <w:kern w:val="0"/>
          <w:highlight w:val="none"/>
        </w:rPr>
        <w:t xml:space="preserve">2.3 </w:t>
      </w:r>
      <w:r>
        <w:rPr>
          <w:rFonts w:hAnsi="宋体"/>
          <w:kern w:val="0"/>
          <w:highlight w:val="none"/>
          <w:lang w:val="zh-CN"/>
        </w:rPr>
        <w:t>除非技术规范中另有规定，计量单位均采用中华人民共和国法定计量单位。</w:t>
      </w:r>
    </w:p>
    <w:p w14:paraId="7A558949">
      <w:pPr>
        <w:autoSpaceDE w:val="0"/>
        <w:autoSpaceDN w:val="0"/>
        <w:spacing w:line="400" w:lineRule="exact"/>
        <w:rPr>
          <w:b/>
          <w:bCs/>
          <w:kern w:val="0"/>
          <w:highlight w:val="none"/>
        </w:rPr>
      </w:pPr>
      <w:r>
        <w:rPr>
          <w:b/>
          <w:bCs/>
          <w:kern w:val="0"/>
          <w:highlight w:val="none"/>
        </w:rPr>
        <w:t>3.</w:t>
      </w:r>
      <w:r>
        <w:rPr>
          <w:rFonts w:hAnsi="宋体"/>
          <w:b/>
          <w:bCs/>
          <w:kern w:val="0"/>
          <w:highlight w:val="none"/>
          <w:lang w:val="zh-CN"/>
        </w:rPr>
        <w:t>合同范围</w:t>
      </w:r>
    </w:p>
    <w:p w14:paraId="3E80BB91">
      <w:pPr>
        <w:autoSpaceDE w:val="0"/>
        <w:autoSpaceDN w:val="0"/>
        <w:spacing w:line="400" w:lineRule="exact"/>
        <w:ind w:firstLine="480"/>
        <w:rPr>
          <w:kern w:val="0"/>
          <w:highlight w:val="none"/>
        </w:rPr>
      </w:pPr>
      <w:r>
        <w:rPr>
          <w:kern w:val="0"/>
          <w:highlight w:val="none"/>
        </w:rPr>
        <w:t xml:space="preserve">3.1 </w:t>
      </w:r>
      <w:r>
        <w:rPr>
          <w:rFonts w:hAnsi="宋体"/>
          <w:kern w:val="0"/>
          <w:highlight w:val="none"/>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BA881DD">
      <w:pPr>
        <w:autoSpaceDE w:val="0"/>
        <w:autoSpaceDN w:val="0"/>
        <w:spacing w:line="400" w:lineRule="exact"/>
        <w:ind w:firstLine="480"/>
        <w:rPr>
          <w:kern w:val="0"/>
          <w:highlight w:val="none"/>
        </w:rPr>
      </w:pPr>
      <w:r>
        <w:rPr>
          <w:kern w:val="0"/>
          <w:highlight w:val="none"/>
        </w:rPr>
        <w:t xml:space="preserve">3.2 </w:t>
      </w:r>
      <w:r>
        <w:rPr>
          <w:rFonts w:hAnsi="宋体"/>
          <w:kern w:val="0"/>
          <w:highlight w:val="none"/>
          <w:lang w:val="zh-CN"/>
        </w:rPr>
        <w:t>乙方应负责培训甲方的技术人员。</w:t>
      </w:r>
    </w:p>
    <w:p w14:paraId="3A8AF379">
      <w:pPr>
        <w:autoSpaceDE w:val="0"/>
        <w:autoSpaceDN w:val="0"/>
        <w:spacing w:line="400" w:lineRule="exact"/>
        <w:ind w:firstLine="480"/>
        <w:rPr>
          <w:kern w:val="0"/>
          <w:highlight w:val="none"/>
        </w:rPr>
      </w:pPr>
      <w:r>
        <w:rPr>
          <w:kern w:val="0"/>
          <w:highlight w:val="none"/>
        </w:rPr>
        <w:t xml:space="preserve">3.3 </w:t>
      </w:r>
      <w:r>
        <w:rPr>
          <w:rFonts w:hAnsi="宋体"/>
          <w:kern w:val="0"/>
          <w:highlight w:val="none"/>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7FAB29EB">
      <w:pPr>
        <w:autoSpaceDE w:val="0"/>
        <w:autoSpaceDN w:val="0"/>
        <w:spacing w:line="400" w:lineRule="exact"/>
        <w:rPr>
          <w:b/>
          <w:bCs/>
          <w:kern w:val="0"/>
          <w:highlight w:val="none"/>
        </w:rPr>
      </w:pPr>
      <w:r>
        <w:rPr>
          <w:b/>
          <w:bCs/>
          <w:kern w:val="0"/>
          <w:highlight w:val="none"/>
        </w:rPr>
        <w:t>4.</w:t>
      </w:r>
      <w:r>
        <w:rPr>
          <w:rFonts w:hAnsi="宋体"/>
          <w:b/>
          <w:bCs/>
          <w:kern w:val="0"/>
          <w:highlight w:val="none"/>
          <w:lang w:val="zh-CN"/>
        </w:rPr>
        <w:t>合同文件和资料</w:t>
      </w:r>
    </w:p>
    <w:p w14:paraId="647408B7">
      <w:pPr>
        <w:autoSpaceDE w:val="0"/>
        <w:autoSpaceDN w:val="0"/>
        <w:spacing w:line="400" w:lineRule="exact"/>
        <w:ind w:firstLine="480"/>
        <w:rPr>
          <w:kern w:val="0"/>
          <w:highlight w:val="none"/>
        </w:rPr>
      </w:pPr>
      <w:r>
        <w:rPr>
          <w:kern w:val="0"/>
          <w:highlight w:val="none"/>
        </w:rPr>
        <w:t xml:space="preserve">4.1 </w:t>
      </w:r>
      <w:r>
        <w:rPr>
          <w:rFonts w:hAnsi="宋体"/>
          <w:kern w:val="0"/>
          <w:highlight w:val="none"/>
          <w:lang w:val="zh-CN"/>
        </w:rPr>
        <w:t>乙方在提供仪器设备时应同时提供中文版相关的技术资料，如目录索引、图纸、操作手册、使用指南、维修指南、服务手册等。</w:t>
      </w:r>
    </w:p>
    <w:p w14:paraId="527F477F">
      <w:pPr>
        <w:autoSpaceDE w:val="0"/>
        <w:autoSpaceDN w:val="0"/>
        <w:spacing w:line="400" w:lineRule="exact"/>
        <w:ind w:firstLine="480"/>
        <w:rPr>
          <w:kern w:val="0"/>
          <w:highlight w:val="none"/>
        </w:rPr>
      </w:pPr>
      <w:r>
        <w:rPr>
          <w:kern w:val="0"/>
          <w:highlight w:val="none"/>
        </w:rPr>
        <w:t xml:space="preserve">4.2 </w:t>
      </w:r>
      <w:r>
        <w:rPr>
          <w:rFonts w:hAnsi="宋体"/>
          <w:kern w:val="0"/>
          <w:highlight w:val="none"/>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7E6A601">
      <w:pPr>
        <w:autoSpaceDE w:val="0"/>
        <w:autoSpaceDN w:val="0"/>
        <w:spacing w:line="400" w:lineRule="exact"/>
        <w:rPr>
          <w:b/>
          <w:bCs/>
          <w:kern w:val="0"/>
          <w:highlight w:val="none"/>
        </w:rPr>
      </w:pPr>
      <w:r>
        <w:rPr>
          <w:b/>
          <w:bCs/>
          <w:kern w:val="0"/>
          <w:highlight w:val="none"/>
        </w:rPr>
        <w:t>5.</w:t>
      </w:r>
      <w:r>
        <w:rPr>
          <w:rFonts w:hAnsi="宋体"/>
          <w:b/>
          <w:bCs/>
          <w:kern w:val="0"/>
          <w:highlight w:val="none"/>
          <w:lang w:val="zh-CN"/>
        </w:rPr>
        <w:t>知识产权</w:t>
      </w:r>
    </w:p>
    <w:p w14:paraId="667B7084">
      <w:pPr>
        <w:autoSpaceDE w:val="0"/>
        <w:autoSpaceDN w:val="0"/>
        <w:spacing w:line="400" w:lineRule="exact"/>
        <w:ind w:firstLine="480"/>
        <w:rPr>
          <w:kern w:val="0"/>
          <w:highlight w:val="none"/>
        </w:rPr>
      </w:pPr>
      <w:r>
        <w:rPr>
          <w:kern w:val="0"/>
          <w:highlight w:val="none"/>
        </w:rPr>
        <w:t xml:space="preserve">5.1 </w:t>
      </w:r>
      <w:r>
        <w:rPr>
          <w:rFonts w:hAnsi="宋体"/>
          <w:kern w:val="0"/>
          <w:highlight w:val="none"/>
          <w:lang w:val="zh-CN"/>
        </w:rPr>
        <w:t>乙方应保证甲方在使用该货物或其任何一部分时不受第三方提出的侵犯专利权、著作权、商标权和工业设计权等的起诉。</w:t>
      </w:r>
    </w:p>
    <w:p w14:paraId="28987768">
      <w:pPr>
        <w:autoSpaceDE w:val="0"/>
        <w:autoSpaceDN w:val="0"/>
        <w:spacing w:line="400" w:lineRule="exact"/>
        <w:ind w:firstLine="480"/>
        <w:rPr>
          <w:kern w:val="0"/>
          <w:highlight w:val="none"/>
        </w:rPr>
      </w:pPr>
      <w:r>
        <w:rPr>
          <w:kern w:val="0"/>
          <w:highlight w:val="none"/>
        </w:rPr>
        <w:t xml:space="preserve">5.2 </w:t>
      </w:r>
      <w:r>
        <w:rPr>
          <w:rFonts w:hAnsi="宋体"/>
          <w:kern w:val="0"/>
          <w:highlight w:val="none"/>
          <w:lang w:val="zh-CN"/>
        </w:rPr>
        <w:t>任何第三方提出侵权指控，乙方须与第三方交涉并承担由此产生的一切责任、费用和经济赔偿。</w:t>
      </w:r>
    </w:p>
    <w:p w14:paraId="7C29A97E">
      <w:pPr>
        <w:autoSpaceDE w:val="0"/>
        <w:autoSpaceDN w:val="0"/>
        <w:spacing w:line="400" w:lineRule="exact"/>
        <w:ind w:firstLine="480"/>
        <w:rPr>
          <w:kern w:val="0"/>
          <w:highlight w:val="none"/>
        </w:rPr>
      </w:pPr>
      <w:r>
        <w:rPr>
          <w:kern w:val="0"/>
          <w:highlight w:val="none"/>
        </w:rPr>
        <w:t xml:space="preserve">5.3 </w:t>
      </w:r>
      <w:r>
        <w:rPr>
          <w:rFonts w:hAnsi="宋体"/>
          <w:kern w:val="0"/>
          <w:highlight w:val="none"/>
          <w:lang w:val="zh-CN"/>
        </w:rPr>
        <w:t>双方应共同遵守国家有关版权、专利、商标等知识产权方面的法律规定，相互尊重对方的知识产权，对本合同内容、对方的技术秘密和商业秘密负有保密责任。如有违反，违约方负相关法律责任。</w:t>
      </w:r>
    </w:p>
    <w:p w14:paraId="6558495F">
      <w:pPr>
        <w:autoSpaceDE w:val="0"/>
        <w:autoSpaceDN w:val="0"/>
        <w:spacing w:line="400" w:lineRule="exact"/>
        <w:ind w:firstLine="480"/>
        <w:rPr>
          <w:kern w:val="0"/>
          <w:highlight w:val="none"/>
        </w:rPr>
      </w:pPr>
      <w:r>
        <w:rPr>
          <w:kern w:val="0"/>
          <w:highlight w:val="none"/>
        </w:rPr>
        <w:t xml:space="preserve">5.4 </w:t>
      </w:r>
      <w:r>
        <w:rPr>
          <w:rFonts w:hAnsi="宋体"/>
          <w:kern w:val="0"/>
          <w:highlight w:val="none"/>
          <w:lang w:val="zh-CN"/>
        </w:rPr>
        <w:t>在本合同生效时已经存在并为各方合法拥有或使用的所有技术、资料和信息的知识产权，仍应属于其各自的原权利人所有或享有，另有约定的除外。</w:t>
      </w:r>
    </w:p>
    <w:p w14:paraId="0703B26F">
      <w:pPr>
        <w:autoSpaceDE w:val="0"/>
        <w:autoSpaceDN w:val="0"/>
        <w:spacing w:line="400" w:lineRule="exact"/>
        <w:ind w:firstLine="480"/>
        <w:rPr>
          <w:kern w:val="0"/>
          <w:highlight w:val="none"/>
        </w:rPr>
      </w:pPr>
      <w:r>
        <w:rPr>
          <w:kern w:val="0"/>
          <w:highlight w:val="none"/>
        </w:rPr>
        <w:t xml:space="preserve">5.5 </w:t>
      </w:r>
      <w:r>
        <w:rPr>
          <w:rFonts w:hAnsi="宋体"/>
          <w:kern w:val="0"/>
          <w:highlight w:val="none"/>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3E0F589">
      <w:pPr>
        <w:autoSpaceDE w:val="0"/>
        <w:autoSpaceDN w:val="0"/>
        <w:spacing w:line="400" w:lineRule="exact"/>
        <w:rPr>
          <w:b/>
          <w:bCs/>
          <w:kern w:val="0"/>
          <w:highlight w:val="none"/>
        </w:rPr>
      </w:pPr>
      <w:r>
        <w:rPr>
          <w:b/>
          <w:bCs/>
          <w:kern w:val="0"/>
          <w:highlight w:val="none"/>
        </w:rPr>
        <w:t>6.</w:t>
      </w:r>
      <w:r>
        <w:rPr>
          <w:rFonts w:hAnsi="宋体"/>
          <w:b/>
          <w:bCs/>
          <w:kern w:val="0"/>
          <w:highlight w:val="none"/>
          <w:lang w:val="zh-CN"/>
        </w:rPr>
        <w:t>保密</w:t>
      </w:r>
    </w:p>
    <w:p w14:paraId="58385EDC">
      <w:pPr>
        <w:autoSpaceDE w:val="0"/>
        <w:autoSpaceDN w:val="0"/>
        <w:spacing w:line="400" w:lineRule="exact"/>
        <w:ind w:firstLine="480"/>
        <w:rPr>
          <w:kern w:val="0"/>
          <w:highlight w:val="none"/>
        </w:rPr>
      </w:pPr>
      <w:r>
        <w:rPr>
          <w:kern w:val="0"/>
          <w:highlight w:val="none"/>
        </w:rPr>
        <w:t xml:space="preserve">6.1 </w:t>
      </w:r>
      <w:r>
        <w:rPr>
          <w:rFonts w:hAnsi="宋体"/>
          <w:kern w:val="0"/>
          <w:highlight w:val="none"/>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059C12D0">
      <w:pPr>
        <w:autoSpaceDE w:val="0"/>
        <w:autoSpaceDN w:val="0"/>
        <w:spacing w:line="400" w:lineRule="exact"/>
        <w:ind w:firstLine="480"/>
        <w:rPr>
          <w:kern w:val="0"/>
          <w:highlight w:val="none"/>
        </w:rPr>
      </w:pPr>
      <w:r>
        <w:rPr>
          <w:kern w:val="0"/>
          <w:highlight w:val="none"/>
        </w:rPr>
        <w:t xml:space="preserve">6.2 </w:t>
      </w:r>
      <w:r>
        <w:rPr>
          <w:rFonts w:hAnsi="宋体"/>
          <w:kern w:val="0"/>
          <w:highlight w:val="none"/>
          <w:lang w:val="zh-CN"/>
        </w:rPr>
        <w:t>保密信息指任何一方因履行本合同所知悉的任何以口头、书面、图表或电子形式存在的对方信息，具体包括：</w:t>
      </w:r>
    </w:p>
    <w:p w14:paraId="4F8A76D3">
      <w:pPr>
        <w:autoSpaceDE w:val="0"/>
        <w:autoSpaceDN w:val="0"/>
        <w:spacing w:line="400" w:lineRule="exact"/>
        <w:ind w:firstLine="480"/>
        <w:rPr>
          <w:kern w:val="0"/>
          <w:highlight w:val="none"/>
        </w:rPr>
      </w:pPr>
      <w:r>
        <w:rPr>
          <w:kern w:val="0"/>
          <w:highlight w:val="none"/>
        </w:rPr>
        <w:t xml:space="preserve">6.2.1 </w:t>
      </w:r>
      <w:r>
        <w:rPr>
          <w:rFonts w:hAnsi="宋体"/>
          <w:kern w:val="0"/>
          <w:highlight w:val="none"/>
          <w:lang w:val="zh-CN"/>
        </w:rPr>
        <w:t>任何涉及对方过去、现在或将来的商业计划、规章制度、操作规程、处理手段、财务信息；</w:t>
      </w:r>
    </w:p>
    <w:p w14:paraId="0DFD5E83">
      <w:pPr>
        <w:autoSpaceDE w:val="0"/>
        <w:autoSpaceDN w:val="0"/>
        <w:spacing w:line="400" w:lineRule="exact"/>
        <w:ind w:firstLine="480"/>
        <w:rPr>
          <w:kern w:val="0"/>
          <w:highlight w:val="none"/>
        </w:rPr>
      </w:pPr>
      <w:r>
        <w:rPr>
          <w:kern w:val="0"/>
          <w:highlight w:val="none"/>
        </w:rPr>
        <w:t xml:space="preserve">6.2.2 </w:t>
      </w:r>
      <w:r>
        <w:rPr>
          <w:rFonts w:hAnsi="宋体"/>
          <w:kern w:val="0"/>
          <w:highlight w:val="none"/>
          <w:lang w:val="zh-CN"/>
        </w:rPr>
        <w:t>任何对方的技术措施、技术方案、软件应用及开发，硬件设备的品种、质量、数量、品牌等；</w:t>
      </w:r>
    </w:p>
    <w:p w14:paraId="4C1F839B">
      <w:pPr>
        <w:autoSpaceDE w:val="0"/>
        <w:autoSpaceDN w:val="0"/>
        <w:spacing w:line="400" w:lineRule="exact"/>
        <w:ind w:firstLine="480"/>
        <w:rPr>
          <w:kern w:val="0"/>
          <w:highlight w:val="none"/>
        </w:rPr>
      </w:pPr>
      <w:r>
        <w:rPr>
          <w:kern w:val="0"/>
          <w:highlight w:val="none"/>
        </w:rPr>
        <w:t xml:space="preserve">6.2.3 </w:t>
      </w:r>
      <w:r>
        <w:rPr>
          <w:rFonts w:hAnsi="宋体"/>
          <w:kern w:val="0"/>
          <w:highlight w:val="none"/>
          <w:lang w:val="zh-CN"/>
        </w:rPr>
        <w:t>任何对方的技术秘密或专有知识、文件</w:t>
      </w:r>
      <w:r>
        <w:rPr>
          <w:kern w:val="0"/>
          <w:highlight w:val="none"/>
        </w:rPr>
        <w:t xml:space="preserve"> </w:t>
      </w:r>
      <w:r>
        <w:rPr>
          <w:rFonts w:hAnsi="宋体"/>
          <w:kern w:val="0"/>
          <w:highlight w:val="none"/>
          <w:lang w:val="zh-CN"/>
        </w:rPr>
        <w:t>、报告、数据、客户软件、流程图、数据库、发明、知识、贸易秘密。</w:t>
      </w:r>
    </w:p>
    <w:p w14:paraId="7008BE1A">
      <w:pPr>
        <w:autoSpaceDE w:val="0"/>
        <w:autoSpaceDN w:val="0"/>
        <w:spacing w:line="400" w:lineRule="exact"/>
        <w:ind w:firstLine="480"/>
        <w:rPr>
          <w:kern w:val="0"/>
          <w:highlight w:val="none"/>
        </w:rPr>
      </w:pPr>
      <w:r>
        <w:rPr>
          <w:kern w:val="0"/>
          <w:highlight w:val="none"/>
        </w:rPr>
        <w:t xml:space="preserve">6.3 </w:t>
      </w:r>
      <w:r>
        <w:rPr>
          <w:rFonts w:hAnsi="宋体"/>
          <w:kern w:val="0"/>
          <w:highlight w:val="none"/>
          <w:lang w:val="zh-CN"/>
        </w:rPr>
        <w:t>乙方应根据甲方的要求签署相应的保密协议，保密协议与本条款存在不一致的，以保密协议为准。</w:t>
      </w:r>
    </w:p>
    <w:p w14:paraId="1A71E1C2">
      <w:pPr>
        <w:autoSpaceDE w:val="0"/>
        <w:autoSpaceDN w:val="0"/>
        <w:spacing w:line="400" w:lineRule="exact"/>
        <w:rPr>
          <w:b/>
          <w:bCs/>
          <w:kern w:val="0"/>
          <w:highlight w:val="none"/>
        </w:rPr>
      </w:pPr>
      <w:r>
        <w:rPr>
          <w:b/>
          <w:bCs/>
          <w:kern w:val="0"/>
          <w:highlight w:val="none"/>
        </w:rPr>
        <w:t xml:space="preserve">7. </w:t>
      </w:r>
      <w:r>
        <w:rPr>
          <w:rFonts w:hAnsi="宋体"/>
          <w:b/>
          <w:bCs/>
          <w:kern w:val="0"/>
          <w:highlight w:val="none"/>
          <w:lang w:val="zh-CN"/>
        </w:rPr>
        <w:t>质量保证</w:t>
      </w:r>
    </w:p>
    <w:p w14:paraId="1DEEA220">
      <w:pPr>
        <w:autoSpaceDE w:val="0"/>
        <w:autoSpaceDN w:val="0"/>
        <w:spacing w:line="400" w:lineRule="exact"/>
        <w:ind w:firstLine="480"/>
        <w:rPr>
          <w:kern w:val="0"/>
          <w:highlight w:val="none"/>
        </w:rPr>
      </w:pPr>
      <w:r>
        <w:rPr>
          <w:kern w:val="0"/>
          <w:highlight w:val="none"/>
        </w:rPr>
        <w:t xml:space="preserve">7.1 </w:t>
      </w:r>
      <w:r>
        <w:rPr>
          <w:rFonts w:hAnsi="宋体"/>
          <w:kern w:val="0"/>
          <w:highlight w:val="none"/>
          <w:lang w:val="zh-CN"/>
        </w:rPr>
        <w:t>货物质量保证</w:t>
      </w:r>
    </w:p>
    <w:p w14:paraId="66CE6683">
      <w:pPr>
        <w:autoSpaceDE w:val="0"/>
        <w:autoSpaceDN w:val="0"/>
        <w:spacing w:line="400" w:lineRule="exact"/>
        <w:ind w:firstLine="480"/>
        <w:rPr>
          <w:kern w:val="0"/>
          <w:highlight w:val="none"/>
        </w:rPr>
      </w:pPr>
      <w:r>
        <w:rPr>
          <w:kern w:val="0"/>
          <w:highlight w:val="none"/>
        </w:rPr>
        <w:t xml:space="preserve">7.1.1 </w:t>
      </w:r>
      <w:r>
        <w:rPr>
          <w:rFonts w:hAnsi="宋体"/>
          <w:kern w:val="0"/>
          <w:highlight w:val="none"/>
          <w:lang w:val="zh-CN"/>
        </w:rPr>
        <w:t>乙方必须保证货物是全新、未使用过的，并完全符合强制性的国家技术质量规范和合同规定的质量、规格、性能和技术规范等的要求。</w:t>
      </w:r>
    </w:p>
    <w:p w14:paraId="173F94F8">
      <w:pPr>
        <w:autoSpaceDE w:val="0"/>
        <w:autoSpaceDN w:val="0"/>
        <w:spacing w:line="400" w:lineRule="exact"/>
        <w:ind w:firstLine="480"/>
        <w:rPr>
          <w:kern w:val="0"/>
          <w:highlight w:val="none"/>
        </w:rPr>
      </w:pPr>
      <w:r>
        <w:rPr>
          <w:kern w:val="0"/>
          <w:highlight w:val="none"/>
        </w:rPr>
        <w:t xml:space="preserve">7.1.2 </w:t>
      </w:r>
      <w:r>
        <w:rPr>
          <w:rFonts w:hAnsi="宋体"/>
          <w:kern w:val="0"/>
          <w:highlight w:val="none"/>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7D42BEB7">
      <w:pPr>
        <w:autoSpaceDE w:val="0"/>
        <w:autoSpaceDN w:val="0"/>
        <w:spacing w:line="400" w:lineRule="exact"/>
        <w:ind w:firstLine="480"/>
        <w:rPr>
          <w:kern w:val="0"/>
          <w:highlight w:val="none"/>
        </w:rPr>
      </w:pPr>
      <w:r>
        <w:rPr>
          <w:kern w:val="0"/>
          <w:highlight w:val="none"/>
        </w:rPr>
        <w:t xml:space="preserve">7.1.3 </w:t>
      </w:r>
      <w:r>
        <w:rPr>
          <w:rFonts w:hAnsi="宋体"/>
          <w:kern w:val="0"/>
          <w:highlight w:val="none"/>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49B5D68">
      <w:pPr>
        <w:autoSpaceDE w:val="0"/>
        <w:autoSpaceDN w:val="0"/>
        <w:spacing w:line="400" w:lineRule="exact"/>
        <w:ind w:firstLine="480"/>
        <w:rPr>
          <w:kern w:val="0"/>
          <w:highlight w:val="none"/>
        </w:rPr>
      </w:pPr>
      <w:r>
        <w:rPr>
          <w:kern w:val="0"/>
          <w:highlight w:val="none"/>
        </w:rPr>
        <w:t xml:space="preserve">7.1.4 </w:t>
      </w:r>
      <w:r>
        <w:rPr>
          <w:rFonts w:hAnsi="宋体"/>
          <w:kern w:val="0"/>
          <w:highlight w:val="none"/>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575B1A0C">
      <w:pPr>
        <w:autoSpaceDE w:val="0"/>
        <w:autoSpaceDN w:val="0"/>
        <w:spacing w:line="400" w:lineRule="exact"/>
        <w:ind w:firstLine="480"/>
        <w:rPr>
          <w:kern w:val="0"/>
          <w:highlight w:val="none"/>
        </w:rPr>
      </w:pPr>
      <w:r>
        <w:rPr>
          <w:kern w:val="0"/>
          <w:highlight w:val="none"/>
        </w:rPr>
        <w:t xml:space="preserve">7.1.5 </w:t>
      </w:r>
      <w:r>
        <w:rPr>
          <w:rFonts w:hAnsi="宋体"/>
          <w:kern w:val="0"/>
          <w:highlight w:val="none"/>
          <w:lang w:val="zh-CN"/>
        </w:rPr>
        <w:t>合同条款下货物的质量保证期自货物通过最终验收起算，合同另行规定除外。</w:t>
      </w:r>
    </w:p>
    <w:p w14:paraId="5D033232">
      <w:pPr>
        <w:autoSpaceDE w:val="0"/>
        <w:autoSpaceDN w:val="0"/>
        <w:spacing w:line="400" w:lineRule="exact"/>
        <w:ind w:firstLine="480"/>
        <w:rPr>
          <w:kern w:val="0"/>
          <w:highlight w:val="none"/>
        </w:rPr>
      </w:pPr>
      <w:r>
        <w:rPr>
          <w:kern w:val="0"/>
          <w:highlight w:val="none"/>
        </w:rPr>
        <w:t xml:space="preserve">7.2 </w:t>
      </w:r>
      <w:r>
        <w:rPr>
          <w:rFonts w:hAnsi="宋体"/>
          <w:kern w:val="0"/>
          <w:highlight w:val="none"/>
          <w:lang w:val="zh-CN"/>
        </w:rPr>
        <w:t>辅助服务质量保证</w:t>
      </w:r>
    </w:p>
    <w:p w14:paraId="5EA9A152">
      <w:pPr>
        <w:autoSpaceDE w:val="0"/>
        <w:autoSpaceDN w:val="0"/>
        <w:spacing w:line="400" w:lineRule="exact"/>
        <w:ind w:firstLine="480"/>
        <w:rPr>
          <w:kern w:val="0"/>
          <w:highlight w:val="none"/>
        </w:rPr>
      </w:pPr>
      <w:r>
        <w:rPr>
          <w:kern w:val="0"/>
          <w:highlight w:val="none"/>
        </w:rPr>
        <w:t xml:space="preserve">7.2.1 </w:t>
      </w:r>
      <w:r>
        <w:rPr>
          <w:rFonts w:hAnsi="宋体"/>
          <w:kern w:val="0"/>
          <w:highlight w:val="none"/>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C9EBBFA">
      <w:pPr>
        <w:autoSpaceDE w:val="0"/>
        <w:autoSpaceDN w:val="0"/>
        <w:spacing w:line="400" w:lineRule="exact"/>
        <w:ind w:firstLine="480"/>
        <w:rPr>
          <w:kern w:val="0"/>
          <w:highlight w:val="none"/>
        </w:rPr>
      </w:pPr>
      <w:r>
        <w:rPr>
          <w:kern w:val="0"/>
          <w:highlight w:val="none"/>
        </w:rPr>
        <w:t xml:space="preserve">7.2.2 </w:t>
      </w:r>
      <w:r>
        <w:rPr>
          <w:rFonts w:hAnsi="宋体"/>
          <w:kern w:val="0"/>
          <w:highlight w:val="none"/>
          <w:lang w:val="zh-CN"/>
        </w:rPr>
        <w:t>乙方应保证合同条款下所提供的服务包括培训、安装指导、单机调试、系统联调和试验等，按合同规定方式进行，并保证不存在因乙方工作人员的过失、错误或疏忽而产生的缺陷。</w:t>
      </w:r>
    </w:p>
    <w:p w14:paraId="609E42F4">
      <w:pPr>
        <w:autoSpaceDE w:val="0"/>
        <w:autoSpaceDN w:val="0"/>
        <w:spacing w:line="400" w:lineRule="exact"/>
        <w:rPr>
          <w:b/>
          <w:bCs/>
          <w:kern w:val="0"/>
          <w:highlight w:val="none"/>
        </w:rPr>
      </w:pPr>
      <w:r>
        <w:rPr>
          <w:b/>
          <w:bCs/>
          <w:kern w:val="0"/>
          <w:highlight w:val="none"/>
        </w:rPr>
        <w:t>8.</w:t>
      </w:r>
      <w:r>
        <w:rPr>
          <w:rFonts w:hAnsi="宋体"/>
          <w:b/>
          <w:bCs/>
          <w:kern w:val="0"/>
          <w:highlight w:val="none"/>
          <w:lang w:val="zh-CN"/>
        </w:rPr>
        <w:t>包装要求</w:t>
      </w:r>
    </w:p>
    <w:p w14:paraId="327B8261">
      <w:pPr>
        <w:autoSpaceDE w:val="0"/>
        <w:autoSpaceDN w:val="0"/>
        <w:spacing w:line="400" w:lineRule="exact"/>
        <w:ind w:firstLine="480"/>
        <w:rPr>
          <w:kern w:val="0"/>
          <w:highlight w:val="none"/>
        </w:rPr>
      </w:pPr>
      <w:r>
        <w:rPr>
          <w:kern w:val="0"/>
          <w:highlight w:val="none"/>
        </w:rPr>
        <w:t xml:space="preserve">8.1 </w:t>
      </w:r>
      <w:r>
        <w:rPr>
          <w:rFonts w:hAnsi="宋体"/>
          <w:kern w:val="0"/>
          <w:highlight w:val="none"/>
          <w:lang w:val="zh-CN"/>
        </w:rPr>
        <w:t>除合同另有约定外</w:t>
      </w:r>
      <w:r>
        <w:rPr>
          <w:kern w:val="0"/>
          <w:highlight w:val="none"/>
        </w:rPr>
        <w:t>,</w:t>
      </w:r>
      <w:r>
        <w:rPr>
          <w:rFonts w:hAnsi="宋体"/>
          <w:kern w:val="0"/>
          <w:highlight w:val="none"/>
          <w:lang w:val="zh-CN"/>
        </w:rPr>
        <w:t>乙方提供的全部货物</w:t>
      </w:r>
      <w:r>
        <w:rPr>
          <w:kern w:val="0"/>
          <w:highlight w:val="none"/>
        </w:rPr>
        <w:t>,</w:t>
      </w:r>
      <w:r>
        <w:rPr>
          <w:rFonts w:hAnsi="宋体"/>
          <w:kern w:val="0"/>
          <w:highlight w:val="none"/>
          <w:lang w:val="zh-CN"/>
        </w:rPr>
        <w:t>均应采用本行业通用的方式进行包装，且该包装应符合国家有关包装的法律、法规的规定。</w:t>
      </w:r>
    </w:p>
    <w:p w14:paraId="474580C1">
      <w:pPr>
        <w:autoSpaceDE w:val="0"/>
        <w:autoSpaceDN w:val="0"/>
        <w:spacing w:line="400" w:lineRule="exact"/>
        <w:ind w:firstLine="480"/>
        <w:rPr>
          <w:kern w:val="0"/>
          <w:highlight w:val="none"/>
        </w:rPr>
      </w:pPr>
      <w:r>
        <w:rPr>
          <w:kern w:val="0"/>
          <w:highlight w:val="none"/>
        </w:rPr>
        <w:t xml:space="preserve">8.2 </w:t>
      </w:r>
      <w:r>
        <w:rPr>
          <w:rFonts w:hAnsi="宋体"/>
          <w:kern w:val="0"/>
          <w:highlight w:val="none"/>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50694AD2">
      <w:pPr>
        <w:autoSpaceDE w:val="0"/>
        <w:autoSpaceDN w:val="0"/>
        <w:spacing w:line="400" w:lineRule="exact"/>
        <w:ind w:firstLine="480"/>
        <w:rPr>
          <w:kern w:val="0"/>
          <w:highlight w:val="none"/>
        </w:rPr>
      </w:pPr>
      <w:r>
        <w:rPr>
          <w:kern w:val="0"/>
          <w:highlight w:val="none"/>
        </w:rPr>
        <w:t xml:space="preserve">8.3 </w:t>
      </w:r>
      <w:r>
        <w:rPr>
          <w:rFonts w:hAnsi="宋体"/>
          <w:kern w:val="0"/>
          <w:highlight w:val="none"/>
          <w:lang w:val="zh-CN"/>
        </w:rPr>
        <w:t>乙方所提供的货物包装均为出厂时原包装。</w:t>
      </w:r>
    </w:p>
    <w:p w14:paraId="72684AE7">
      <w:pPr>
        <w:autoSpaceDE w:val="0"/>
        <w:autoSpaceDN w:val="0"/>
        <w:spacing w:line="400" w:lineRule="exact"/>
        <w:ind w:firstLine="480"/>
        <w:rPr>
          <w:kern w:val="0"/>
          <w:highlight w:val="none"/>
        </w:rPr>
      </w:pPr>
      <w:r>
        <w:rPr>
          <w:kern w:val="0"/>
          <w:highlight w:val="none"/>
        </w:rPr>
        <w:t xml:space="preserve">8.4 </w:t>
      </w:r>
      <w:r>
        <w:rPr>
          <w:rFonts w:hAnsi="宋体"/>
          <w:kern w:val="0"/>
          <w:highlight w:val="none"/>
          <w:lang w:val="zh-CN"/>
        </w:rPr>
        <w:t>乙方所提供货物必须附有质量合格证，装箱清单，主机、附件、各种零部件和消耗品，有清楚的与装箱单相对应的名称和编号。</w:t>
      </w:r>
    </w:p>
    <w:p w14:paraId="260E8059">
      <w:pPr>
        <w:autoSpaceDE w:val="0"/>
        <w:autoSpaceDN w:val="0"/>
        <w:spacing w:line="400" w:lineRule="exact"/>
        <w:ind w:firstLine="480"/>
        <w:rPr>
          <w:kern w:val="0"/>
          <w:highlight w:val="none"/>
        </w:rPr>
      </w:pPr>
      <w:r>
        <w:rPr>
          <w:kern w:val="0"/>
          <w:highlight w:val="none"/>
        </w:rPr>
        <w:t xml:space="preserve">8.5 </w:t>
      </w:r>
      <w:r>
        <w:rPr>
          <w:rFonts w:hAnsi="宋体"/>
          <w:kern w:val="0"/>
          <w:highlight w:val="none"/>
          <w:lang w:val="zh-CN"/>
        </w:rPr>
        <w:t>货物运输中的运输费用和保险费用均由乙方承担。运输过程中的一切损失、损坏均由乙方负责。</w:t>
      </w:r>
    </w:p>
    <w:p w14:paraId="155E96B3">
      <w:pPr>
        <w:autoSpaceDE w:val="0"/>
        <w:autoSpaceDN w:val="0"/>
        <w:spacing w:line="400" w:lineRule="exact"/>
        <w:rPr>
          <w:b/>
          <w:bCs/>
          <w:kern w:val="0"/>
          <w:highlight w:val="none"/>
        </w:rPr>
      </w:pPr>
      <w:r>
        <w:rPr>
          <w:b/>
          <w:bCs/>
          <w:kern w:val="0"/>
          <w:highlight w:val="none"/>
        </w:rPr>
        <w:t>9.</w:t>
      </w:r>
      <w:r>
        <w:rPr>
          <w:rFonts w:hAnsi="宋体"/>
          <w:b/>
          <w:bCs/>
          <w:kern w:val="0"/>
          <w:highlight w:val="none"/>
          <w:lang w:val="zh-CN"/>
        </w:rPr>
        <w:t>价格</w:t>
      </w:r>
    </w:p>
    <w:p w14:paraId="68C805A0">
      <w:pPr>
        <w:autoSpaceDE w:val="0"/>
        <w:autoSpaceDN w:val="0"/>
        <w:spacing w:line="400" w:lineRule="exact"/>
        <w:ind w:firstLine="480"/>
        <w:rPr>
          <w:kern w:val="0"/>
          <w:highlight w:val="none"/>
        </w:rPr>
      </w:pPr>
      <w:r>
        <w:rPr>
          <w:kern w:val="0"/>
          <w:highlight w:val="none"/>
        </w:rPr>
        <w:t xml:space="preserve">9.1 </w:t>
      </w:r>
      <w:r>
        <w:rPr>
          <w:rFonts w:hAnsi="宋体"/>
          <w:kern w:val="0"/>
          <w:highlight w:val="none"/>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5C8CB898">
      <w:pPr>
        <w:autoSpaceDE w:val="0"/>
        <w:autoSpaceDN w:val="0"/>
        <w:spacing w:line="400" w:lineRule="exact"/>
        <w:ind w:firstLine="480"/>
        <w:rPr>
          <w:kern w:val="0"/>
          <w:highlight w:val="none"/>
        </w:rPr>
      </w:pPr>
      <w:r>
        <w:rPr>
          <w:kern w:val="0"/>
          <w:highlight w:val="none"/>
        </w:rPr>
        <w:t xml:space="preserve">9.2 </w:t>
      </w:r>
      <w:r>
        <w:rPr>
          <w:rFonts w:hAnsi="宋体"/>
          <w:kern w:val="0"/>
          <w:highlight w:val="none"/>
          <w:lang w:val="zh-CN"/>
        </w:rPr>
        <w:t>本合同价格为固定价格，包括了乙方履行合同全过程产生的所有成本和费用以及乙方应承担的一切税费。</w:t>
      </w:r>
    </w:p>
    <w:p w14:paraId="1D928785">
      <w:pPr>
        <w:autoSpaceDE w:val="0"/>
        <w:autoSpaceDN w:val="0"/>
        <w:spacing w:line="400" w:lineRule="exact"/>
        <w:ind w:firstLine="480"/>
        <w:rPr>
          <w:kern w:val="0"/>
          <w:highlight w:val="none"/>
        </w:rPr>
      </w:pPr>
      <w:r>
        <w:rPr>
          <w:kern w:val="0"/>
          <w:highlight w:val="none"/>
        </w:rPr>
        <w:t xml:space="preserve">9.3 </w:t>
      </w:r>
      <w:r>
        <w:rPr>
          <w:rFonts w:hAnsi="宋体"/>
          <w:kern w:val="0"/>
          <w:highlight w:val="none"/>
          <w:lang w:val="zh-CN"/>
        </w:rPr>
        <w:t>检验费用</w:t>
      </w:r>
    </w:p>
    <w:p w14:paraId="1965CD2A">
      <w:pPr>
        <w:autoSpaceDE w:val="0"/>
        <w:autoSpaceDN w:val="0"/>
        <w:spacing w:line="400" w:lineRule="exact"/>
        <w:ind w:firstLine="480"/>
        <w:rPr>
          <w:kern w:val="0"/>
          <w:highlight w:val="none"/>
        </w:rPr>
      </w:pPr>
      <w:r>
        <w:rPr>
          <w:kern w:val="0"/>
          <w:highlight w:val="none"/>
        </w:rPr>
        <w:t xml:space="preserve">9.3.1 </w:t>
      </w:r>
      <w:r>
        <w:rPr>
          <w:rFonts w:hAnsi="宋体"/>
          <w:kern w:val="0"/>
          <w:highlight w:val="none"/>
          <w:lang w:val="zh-CN"/>
        </w:rPr>
        <w:t>乙方必须负担本条款下属于乙方负责的检验、测试、调试、试运行和验收的所有费用，并负责乙方派往买方组织的检验、测试和验收人员的所有费用。</w:t>
      </w:r>
    </w:p>
    <w:p w14:paraId="717C818C">
      <w:pPr>
        <w:autoSpaceDE w:val="0"/>
        <w:autoSpaceDN w:val="0"/>
        <w:spacing w:line="400" w:lineRule="exact"/>
        <w:ind w:firstLine="480"/>
        <w:rPr>
          <w:kern w:val="0"/>
          <w:highlight w:val="none"/>
        </w:rPr>
      </w:pPr>
      <w:r>
        <w:rPr>
          <w:kern w:val="0"/>
          <w:highlight w:val="none"/>
        </w:rPr>
        <w:t xml:space="preserve">9.3.2 </w:t>
      </w:r>
      <w:r>
        <w:rPr>
          <w:rFonts w:hAnsi="宋体"/>
          <w:kern w:val="0"/>
          <w:highlight w:val="none"/>
          <w:lang w:val="zh-CN"/>
        </w:rPr>
        <w:t>甲方按合同计划参加在乙方工厂所在地检验、测试和验收的费用全部由乙方负责并已包含在合同总价中。</w:t>
      </w:r>
    </w:p>
    <w:p w14:paraId="5082C807">
      <w:pPr>
        <w:autoSpaceDE w:val="0"/>
        <w:autoSpaceDN w:val="0"/>
        <w:spacing w:line="400" w:lineRule="exact"/>
        <w:ind w:firstLine="480"/>
        <w:rPr>
          <w:kern w:val="0"/>
          <w:highlight w:val="none"/>
        </w:rPr>
      </w:pPr>
      <w:r>
        <w:rPr>
          <w:kern w:val="0"/>
          <w:highlight w:val="none"/>
        </w:rPr>
        <w:t xml:space="preserve">9.3.3 </w:t>
      </w:r>
      <w:r>
        <w:rPr>
          <w:rFonts w:hAnsi="宋体"/>
          <w:kern w:val="0"/>
          <w:highlight w:val="none"/>
          <w:lang w:val="zh-CN"/>
        </w:rPr>
        <w:t>甲方检验人员已到卖方所在地，测试无法依照合同进行，</w:t>
      </w:r>
      <w:r>
        <w:rPr>
          <w:kern w:val="0"/>
          <w:highlight w:val="none"/>
        </w:rPr>
        <w:t xml:space="preserve"> </w:t>
      </w:r>
      <w:r>
        <w:rPr>
          <w:rFonts w:hAnsi="宋体"/>
          <w:kern w:val="0"/>
          <w:highlight w:val="none"/>
          <w:lang w:val="zh-CN"/>
        </w:rPr>
        <w:t>而引起甲方人员延长逗留时间，所有由此产生的包括甲方人员在内的直接费用及成本由乙方承担。</w:t>
      </w:r>
    </w:p>
    <w:p w14:paraId="44408B3C">
      <w:pPr>
        <w:autoSpaceDE w:val="0"/>
        <w:autoSpaceDN w:val="0"/>
        <w:spacing w:line="400" w:lineRule="exact"/>
        <w:rPr>
          <w:b/>
          <w:bCs/>
          <w:kern w:val="0"/>
          <w:highlight w:val="none"/>
        </w:rPr>
      </w:pPr>
      <w:r>
        <w:rPr>
          <w:b/>
          <w:bCs/>
          <w:kern w:val="0"/>
          <w:highlight w:val="none"/>
        </w:rPr>
        <w:t>10.</w:t>
      </w:r>
      <w:r>
        <w:rPr>
          <w:rFonts w:hAnsi="宋体"/>
          <w:b/>
          <w:bCs/>
          <w:kern w:val="0"/>
          <w:highlight w:val="none"/>
          <w:lang w:val="zh-CN"/>
        </w:rPr>
        <w:t>交货方式及交货日期</w:t>
      </w:r>
    </w:p>
    <w:p w14:paraId="7B2A5CB4">
      <w:pPr>
        <w:autoSpaceDE w:val="0"/>
        <w:autoSpaceDN w:val="0"/>
        <w:spacing w:line="400" w:lineRule="exact"/>
        <w:ind w:firstLine="480"/>
        <w:rPr>
          <w:kern w:val="0"/>
          <w:highlight w:val="none"/>
          <w:lang w:val="zh-CN"/>
        </w:rPr>
      </w:pPr>
      <w:r>
        <w:rPr>
          <w:rFonts w:hAnsi="宋体"/>
          <w:kern w:val="0"/>
          <w:highlight w:val="none"/>
          <w:lang w:val="zh-CN"/>
        </w:rPr>
        <w:t>交货方式：现场交货，乙方负责办理运输和保险，将货物运抵现场。</w:t>
      </w:r>
    </w:p>
    <w:p w14:paraId="2333526A">
      <w:pPr>
        <w:autoSpaceDE w:val="0"/>
        <w:autoSpaceDN w:val="0"/>
        <w:spacing w:line="400" w:lineRule="exact"/>
        <w:ind w:firstLine="480"/>
        <w:rPr>
          <w:kern w:val="0"/>
          <w:highlight w:val="none"/>
          <w:lang w:val="zh-CN"/>
        </w:rPr>
      </w:pPr>
      <w:r>
        <w:rPr>
          <w:rFonts w:hAnsi="宋体"/>
          <w:kern w:val="0"/>
          <w:highlight w:val="none"/>
          <w:lang w:val="zh-CN"/>
        </w:rPr>
        <w:t>交货期应根据产品的特点实事求是填写，进口产品</w:t>
      </w:r>
      <w:r>
        <w:rPr>
          <w:kern w:val="0"/>
          <w:highlight w:val="none"/>
        </w:rPr>
        <w:t>60</w:t>
      </w:r>
      <w:r>
        <w:rPr>
          <w:rFonts w:hAnsi="宋体"/>
          <w:kern w:val="0"/>
          <w:highlight w:val="none"/>
          <w:lang w:val="zh-CN"/>
        </w:rPr>
        <w:t>个工作日内，国产产品</w:t>
      </w:r>
      <w:r>
        <w:rPr>
          <w:kern w:val="0"/>
          <w:highlight w:val="none"/>
        </w:rPr>
        <w:t>3</w:t>
      </w:r>
      <w:r>
        <w:rPr>
          <w:kern w:val="0"/>
          <w:highlight w:val="none"/>
          <w:lang w:val="zh-CN"/>
        </w:rPr>
        <w:t>0</w:t>
      </w:r>
      <w:r>
        <w:rPr>
          <w:rFonts w:hAnsi="宋体"/>
          <w:kern w:val="0"/>
          <w:highlight w:val="none"/>
          <w:lang w:val="zh-CN"/>
        </w:rPr>
        <w:t>个工作日内。特殊产品交货期需说明。</w:t>
      </w:r>
    </w:p>
    <w:p w14:paraId="02ED6B14">
      <w:pPr>
        <w:autoSpaceDE w:val="0"/>
        <w:autoSpaceDN w:val="0"/>
        <w:spacing w:line="400" w:lineRule="exact"/>
        <w:ind w:firstLine="480"/>
        <w:rPr>
          <w:kern w:val="0"/>
          <w:highlight w:val="none"/>
          <w:lang w:val="zh-CN"/>
        </w:rPr>
      </w:pPr>
      <w:r>
        <w:rPr>
          <w:rFonts w:hAnsi="宋体"/>
          <w:kern w:val="0"/>
          <w:highlight w:val="none"/>
          <w:lang w:val="zh-CN"/>
        </w:rPr>
        <w:t>交货日期：所有货物运抵现场并经双方开箱验收合格之日。</w:t>
      </w:r>
    </w:p>
    <w:p w14:paraId="69318514">
      <w:pPr>
        <w:autoSpaceDE w:val="0"/>
        <w:autoSpaceDN w:val="0"/>
        <w:spacing w:line="400" w:lineRule="exact"/>
        <w:rPr>
          <w:kern w:val="0"/>
          <w:highlight w:val="none"/>
          <w:lang w:val="zh-CN"/>
        </w:rPr>
      </w:pPr>
      <w:r>
        <w:rPr>
          <w:b/>
          <w:bCs/>
          <w:kern w:val="0"/>
          <w:highlight w:val="none"/>
          <w:lang w:val="zh-CN"/>
        </w:rPr>
        <w:t>11.</w:t>
      </w:r>
      <w:r>
        <w:rPr>
          <w:rFonts w:hAnsi="宋体"/>
          <w:b/>
          <w:bCs/>
          <w:kern w:val="0"/>
          <w:highlight w:val="none"/>
          <w:lang w:val="zh-CN"/>
        </w:rPr>
        <w:t>检验和验收</w:t>
      </w:r>
    </w:p>
    <w:p w14:paraId="2BCB2D8E">
      <w:pPr>
        <w:autoSpaceDE w:val="0"/>
        <w:autoSpaceDN w:val="0"/>
        <w:spacing w:line="400" w:lineRule="exact"/>
        <w:ind w:firstLine="480"/>
        <w:rPr>
          <w:kern w:val="0"/>
          <w:highlight w:val="none"/>
        </w:rPr>
      </w:pPr>
      <w:r>
        <w:rPr>
          <w:kern w:val="0"/>
          <w:highlight w:val="none"/>
        </w:rPr>
        <w:t xml:space="preserve">11.1 </w:t>
      </w:r>
      <w:r>
        <w:rPr>
          <w:rFonts w:hAnsi="宋体"/>
          <w:kern w:val="0"/>
          <w:highlight w:val="none"/>
          <w:lang w:val="zh-CN"/>
        </w:rPr>
        <w:t>开箱验收</w:t>
      </w:r>
    </w:p>
    <w:p w14:paraId="2C9F7089">
      <w:pPr>
        <w:autoSpaceDE w:val="0"/>
        <w:autoSpaceDN w:val="0"/>
        <w:spacing w:line="400" w:lineRule="exact"/>
        <w:ind w:firstLine="480"/>
        <w:rPr>
          <w:kern w:val="0"/>
          <w:highlight w:val="none"/>
        </w:rPr>
      </w:pPr>
      <w:r>
        <w:rPr>
          <w:kern w:val="0"/>
          <w:highlight w:val="none"/>
        </w:rPr>
        <w:t xml:space="preserve">11.1.1 </w:t>
      </w:r>
      <w:r>
        <w:rPr>
          <w:rFonts w:hAnsi="宋体"/>
          <w:kern w:val="0"/>
          <w:highlight w:val="none"/>
          <w:lang w:val="zh-CN"/>
        </w:rPr>
        <w:t>货物运抵现场后，双方应及时开箱验收，并制作验收记录，以确认与本合同约定的数量、型号等是否一致。</w:t>
      </w:r>
    </w:p>
    <w:p w14:paraId="7BAD0A56">
      <w:pPr>
        <w:autoSpaceDE w:val="0"/>
        <w:autoSpaceDN w:val="0"/>
        <w:spacing w:line="400" w:lineRule="exact"/>
        <w:ind w:firstLine="480"/>
        <w:rPr>
          <w:kern w:val="0"/>
          <w:highlight w:val="none"/>
        </w:rPr>
      </w:pPr>
      <w:r>
        <w:rPr>
          <w:kern w:val="0"/>
          <w:highlight w:val="none"/>
        </w:rPr>
        <w:t xml:space="preserve">11.1.2 </w:t>
      </w:r>
      <w:r>
        <w:rPr>
          <w:rFonts w:hAnsi="宋体"/>
          <w:kern w:val="0"/>
          <w:highlight w:val="none"/>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38728BE4">
      <w:pPr>
        <w:autoSpaceDE w:val="0"/>
        <w:autoSpaceDN w:val="0"/>
        <w:spacing w:line="400" w:lineRule="exact"/>
        <w:ind w:firstLine="480"/>
        <w:rPr>
          <w:kern w:val="0"/>
          <w:highlight w:val="none"/>
        </w:rPr>
      </w:pPr>
      <w:r>
        <w:rPr>
          <w:kern w:val="0"/>
          <w:highlight w:val="none"/>
        </w:rPr>
        <w:t xml:space="preserve">11.1.3 </w:t>
      </w:r>
      <w:r>
        <w:rPr>
          <w:rFonts w:hAnsi="宋体"/>
          <w:kern w:val="0"/>
          <w:highlight w:val="none"/>
          <w:lang w:val="zh-CN"/>
        </w:rPr>
        <w:t>开箱验收中如发现货物的数量、规格与合同约定不符，甲方有权拒收货物，乙方应及时按甲方要求免费对拒收货物采取更换或其他必要的补救措施，直至开箱验收合格，方视为乙方完成交货。</w:t>
      </w:r>
    </w:p>
    <w:p w14:paraId="1D6D6D0B">
      <w:pPr>
        <w:autoSpaceDE w:val="0"/>
        <w:autoSpaceDN w:val="0"/>
        <w:spacing w:line="400" w:lineRule="exact"/>
        <w:ind w:firstLine="480"/>
        <w:rPr>
          <w:kern w:val="0"/>
          <w:highlight w:val="none"/>
        </w:rPr>
      </w:pPr>
      <w:r>
        <w:rPr>
          <w:kern w:val="0"/>
          <w:highlight w:val="none"/>
        </w:rPr>
        <w:t xml:space="preserve">11.2 </w:t>
      </w:r>
      <w:r>
        <w:rPr>
          <w:rFonts w:hAnsi="宋体"/>
          <w:kern w:val="0"/>
          <w:highlight w:val="none"/>
          <w:lang w:val="zh-CN"/>
        </w:rPr>
        <w:t>检验验收</w:t>
      </w:r>
    </w:p>
    <w:p w14:paraId="09FCEFDA">
      <w:pPr>
        <w:autoSpaceDE w:val="0"/>
        <w:autoSpaceDN w:val="0"/>
        <w:spacing w:line="400" w:lineRule="exact"/>
        <w:ind w:firstLine="480"/>
        <w:rPr>
          <w:kern w:val="0"/>
          <w:highlight w:val="none"/>
        </w:rPr>
      </w:pPr>
      <w:r>
        <w:rPr>
          <w:kern w:val="0"/>
          <w:highlight w:val="none"/>
        </w:rPr>
        <w:t xml:space="preserve">11.2.1 </w:t>
      </w:r>
      <w:r>
        <w:rPr>
          <w:rFonts w:hAnsi="宋体"/>
          <w:kern w:val="0"/>
          <w:highlight w:val="none"/>
          <w:lang w:val="zh-CN"/>
        </w:rPr>
        <w:t>交货完成后，乙方应及时组装、调试、试运行，按照合同专用条款规定的试运行完成后，双方及时组织对货物检验验收。合同双方均须派人参加合同要求双方参加的试验、检验。</w:t>
      </w:r>
    </w:p>
    <w:p w14:paraId="478A4228">
      <w:pPr>
        <w:autoSpaceDE w:val="0"/>
        <w:autoSpaceDN w:val="0"/>
        <w:spacing w:line="400" w:lineRule="exact"/>
        <w:ind w:firstLine="480"/>
        <w:rPr>
          <w:kern w:val="0"/>
          <w:highlight w:val="none"/>
        </w:rPr>
      </w:pPr>
      <w:r>
        <w:rPr>
          <w:kern w:val="0"/>
          <w:highlight w:val="none"/>
        </w:rPr>
        <w:t xml:space="preserve">11.2.2 </w:t>
      </w:r>
      <w:r>
        <w:rPr>
          <w:rFonts w:hAnsi="宋体"/>
          <w:kern w:val="0"/>
          <w:highlight w:val="none"/>
          <w:lang w:val="zh-CN"/>
        </w:rPr>
        <w:t>在具体实施合同规定的检验验收之前，乙方需提前提交相应的测试计划（包括测试程序、测试内容和检验标准、试验时间安排等）供甲方确认。</w:t>
      </w:r>
    </w:p>
    <w:p w14:paraId="1E18C8B5">
      <w:pPr>
        <w:autoSpaceDE w:val="0"/>
        <w:autoSpaceDN w:val="0"/>
        <w:spacing w:line="400" w:lineRule="exact"/>
        <w:ind w:firstLine="480"/>
        <w:rPr>
          <w:kern w:val="0"/>
          <w:highlight w:val="none"/>
        </w:rPr>
      </w:pPr>
      <w:r>
        <w:rPr>
          <w:kern w:val="0"/>
          <w:highlight w:val="none"/>
        </w:rPr>
        <w:t xml:space="preserve">11.2.3 </w:t>
      </w:r>
      <w:r>
        <w:rPr>
          <w:rFonts w:hAnsi="宋体"/>
          <w:kern w:val="0"/>
          <w:highlight w:val="none"/>
          <w:lang w:val="zh-CN"/>
        </w:rPr>
        <w:t>除需甲方确认的试验验收外，乙方还应对所有检验验收测试的结果、步骤、原始数据等作妥善记录。如甲方要求，乙方应提供这些记录给买方。</w:t>
      </w:r>
    </w:p>
    <w:p w14:paraId="37D888DE">
      <w:pPr>
        <w:autoSpaceDE w:val="0"/>
        <w:autoSpaceDN w:val="0"/>
        <w:spacing w:line="400" w:lineRule="exact"/>
        <w:ind w:firstLine="480"/>
        <w:rPr>
          <w:kern w:val="0"/>
          <w:highlight w:val="none"/>
        </w:rPr>
      </w:pPr>
      <w:r>
        <w:rPr>
          <w:kern w:val="0"/>
          <w:highlight w:val="none"/>
        </w:rPr>
        <w:t xml:space="preserve">11.2.4 </w:t>
      </w:r>
      <w:r>
        <w:rPr>
          <w:rFonts w:hAnsi="宋体"/>
          <w:kern w:val="0"/>
          <w:highlight w:val="none"/>
          <w:lang w:val="zh-CN"/>
        </w:rPr>
        <w:t>检验测试出现全部或部分未达到本合同所约定的技术指标，甲方有权选择下列任一处理方式：</w:t>
      </w:r>
    </w:p>
    <w:p w14:paraId="09078092">
      <w:pPr>
        <w:autoSpaceDE w:val="0"/>
        <w:autoSpaceDN w:val="0"/>
        <w:spacing w:line="400" w:lineRule="exact"/>
        <w:ind w:firstLine="480"/>
        <w:rPr>
          <w:kern w:val="0"/>
          <w:highlight w:val="none"/>
        </w:rPr>
      </w:pPr>
      <w:r>
        <w:rPr>
          <w:kern w:val="0"/>
          <w:highlight w:val="none"/>
        </w:rPr>
        <w:t>a.</w:t>
      </w:r>
      <w:r>
        <w:rPr>
          <w:rFonts w:hAnsi="宋体"/>
          <w:kern w:val="0"/>
          <w:highlight w:val="none"/>
          <w:lang w:val="zh-CN"/>
        </w:rPr>
        <w:t>重新测试直至合格为止；</w:t>
      </w:r>
    </w:p>
    <w:p w14:paraId="7FDC254C">
      <w:pPr>
        <w:autoSpaceDE w:val="0"/>
        <w:autoSpaceDN w:val="0"/>
        <w:spacing w:line="400" w:lineRule="exact"/>
        <w:ind w:firstLine="480"/>
        <w:rPr>
          <w:kern w:val="0"/>
          <w:highlight w:val="none"/>
        </w:rPr>
      </w:pPr>
      <w:r>
        <w:rPr>
          <w:kern w:val="0"/>
          <w:highlight w:val="none"/>
        </w:rPr>
        <w:t>b.</w:t>
      </w:r>
      <w:r>
        <w:rPr>
          <w:rFonts w:hAnsi="宋体"/>
          <w:kern w:val="0"/>
          <w:highlight w:val="none"/>
          <w:lang w:val="zh-CN"/>
        </w:rPr>
        <w:t>要求乙方对货物进行免费更换，然后重新测试直至合格为止；</w:t>
      </w:r>
    </w:p>
    <w:p w14:paraId="3B8FC0A8">
      <w:pPr>
        <w:autoSpaceDE w:val="0"/>
        <w:autoSpaceDN w:val="0"/>
        <w:spacing w:line="400" w:lineRule="exact"/>
        <w:rPr>
          <w:kern w:val="0"/>
          <w:highlight w:val="none"/>
        </w:rPr>
      </w:pPr>
      <w:r>
        <w:rPr>
          <w:rFonts w:hAnsi="宋体"/>
          <w:kern w:val="0"/>
          <w:highlight w:val="none"/>
          <w:lang w:val="zh-CN"/>
        </w:rPr>
        <w:t>无论选择何种方式，甲方因此而发生的因卖方原因引起的所有费用均由乙方负担。</w:t>
      </w:r>
    </w:p>
    <w:p w14:paraId="14DEC42D">
      <w:pPr>
        <w:autoSpaceDE w:val="0"/>
        <w:autoSpaceDN w:val="0"/>
        <w:spacing w:line="400" w:lineRule="exact"/>
        <w:ind w:firstLine="480"/>
        <w:rPr>
          <w:kern w:val="0"/>
          <w:highlight w:val="none"/>
        </w:rPr>
      </w:pPr>
      <w:r>
        <w:rPr>
          <w:kern w:val="0"/>
          <w:highlight w:val="none"/>
        </w:rPr>
        <w:t xml:space="preserve">11.3 </w:t>
      </w:r>
      <w:r>
        <w:rPr>
          <w:rFonts w:hAnsi="宋体"/>
          <w:kern w:val="0"/>
          <w:highlight w:val="none"/>
          <w:lang w:val="zh-CN"/>
        </w:rPr>
        <w:t>使用过程检验</w:t>
      </w:r>
    </w:p>
    <w:p w14:paraId="4118AF57">
      <w:pPr>
        <w:autoSpaceDE w:val="0"/>
        <w:autoSpaceDN w:val="0"/>
        <w:spacing w:line="400" w:lineRule="exact"/>
        <w:ind w:firstLine="480"/>
        <w:rPr>
          <w:kern w:val="0"/>
          <w:highlight w:val="none"/>
        </w:rPr>
      </w:pPr>
      <w:r>
        <w:rPr>
          <w:kern w:val="0"/>
          <w:highlight w:val="none"/>
        </w:rPr>
        <w:t xml:space="preserve">11.3.1 </w:t>
      </w:r>
      <w:r>
        <w:rPr>
          <w:rFonts w:hAnsi="宋体"/>
          <w:kern w:val="0"/>
          <w:highlight w:val="none"/>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6B0B70E6">
      <w:pPr>
        <w:autoSpaceDE w:val="0"/>
        <w:autoSpaceDN w:val="0"/>
        <w:spacing w:line="400" w:lineRule="exact"/>
        <w:ind w:firstLine="480"/>
        <w:rPr>
          <w:kern w:val="0"/>
          <w:highlight w:val="none"/>
        </w:rPr>
      </w:pPr>
      <w:r>
        <w:rPr>
          <w:kern w:val="0"/>
          <w:highlight w:val="none"/>
        </w:rPr>
        <w:t xml:space="preserve">11.3.2 </w:t>
      </w:r>
      <w:r>
        <w:rPr>
          <w:rFonts w:hAnsi="宋体"/>
          <w:kern w:val="0"/>
          <w:highlight w:val="none"/>
          <w:lang w:val="zh-CN"/>
        </w:rPr>
        <w:t>如果合同双方对乙方提供的上述试验结果报告的解释有分歧，双方须于出现分歧后</w:t>
      </w:r>
      <w:r>
        <w:rPr>
          <w:kern w:val="0"/>
          <w:highlight w:val="none"/>
        </w:rPr>
        <w:t>10</w:t>
      </w:r>
      <w:r>
        <w:rPr>
          <w:rFonts w:hAnsi="宋体"/>
          <w:kern w:val="0"/>
          <w:highlight w:val="none"/>
          <w:lang w:val="zh-CN"/>
        </w:rPr>
        <w:t>天内给对方声明，以陈述己方的观点。声明须附有关证据。分歧应通过协商解决。</w:t>
      </w:r>
    </w:p>
    <w:p w14:paraId="30F70EA8">
      <w:pPr>
        <w:autoSpaceDE w:val="0"/>
        <w:autoSpaceDN w:val="0"/>
        <w:spacing w:line="400" w:lineRule="exact"/>
        <w:rPr>
          <w:b/>
          <w:bCs/>
          <w:kern w:val="0"/>
          <w:highlight w:val="none"/>
        </w:rPr>
      </w:pPr>
      <w:r>
        <w:rPr>
          <w:b/>
          <w:bCs/>
          <w:kern w:val="0"/>
          <w:highlight w:val="none"/>
        </w:rPr>
        <w:t>12.</w:t>
      </w:r>
      <w:r>
        <w:rPr>
          <w:rFonts w:hAnsi="宋体"/>
          <w:b/>
          <w:bCs/>
          <w:kern w:val="0"/>
          <w:highlight w:val="none"/>
          <w:lang w:val="zh-CN"/>
        </w:rPr>
        <w:t>付款方法和条件</w:t>
      </w:r>
    </w:p>
    <w:p w14:paraId="10FA1A7A">
      <w:pPr>
        <w:autoSpaceDE w:val="0"/>
        <w:autoSpaceDN w:val="0"/>
        <w:spacing w:line="400" w:lineRule="exact"/>
        <w:ind w:firstLine="480"/>
        <w:rPr>
          <w:kern w:val="0"/>
          <w:highlight w:val="none"/>
        </w:rPr>
      </w:pPr>
      <w:r>
        <w:rPr>
          <w:rFonts w:hAnsi="宋体"/>
          <w:kern w:val="0"/>
          <w:highlight w:val="none"/>
          <w:lang w:val="zh-CN"/>
        </w:rPr>
        <w:t>本合同条款下的付款方法和条件在</w:t>
      </w:r>
      <w:r>
        <w:rPr>
          <w:kern w:val="0"/>
          <w:highlight w:val="none"/>
          <w:lang w:val="zh-CN"/>
        </w:rPr>
        <w:t>“</w:t>
      </w:r>
      <w:r>
        <w:rPr>
          <w:rFonts w:hAnsi="宋体"/>
          <w:kern w:val="0"/>
          <w:highlight w:val="none"/>
          <w:lang w:val="zh-CN"/>
        </w:rPr>
        <w:t>青海省政府采购项目合同书</w:t>
      </w:r>
      <w:r>
        <w:rPr>
          <w:kern w:val="0"/>
          <w:highlight w:val="none"/>
          <w:lang w:val="zh-CN"/>
        </w:rPr>
        <w:t>”</w:t>
      </w:r>
      <w:r>
        <w:rPr>
          <w:rFonts w:hAnsi="宋体"/>
          <w:kern w:val="0"/>
          <w:highlight w:val="none"/>
          <w:lang w:val="zh-CN"/>
        </w:rPr>
        <w:t>中具体规定。</w:t>
      </w:r>
    </w:p>
    <w:p w14:paraId="65D66CD2">
      <w:pPr>
        <w:autoSpaceDE w:val="0"/>
        <w:autoSpaceDN w:val="0"/>
        <w:spacing w:line="400" w:lineRule="exact"/>
        <w:rPr>
          <w:b/>
          <w:bCs/>
          <w:kern w:val="0"/>
          <w:highlight w:val="none"/>
        </w:rPr>
      </w:pPr>
      <w:r>
        <w:rPr>
          <w:b/>
          <w:bCs/>
          <w:kern w:val="0"/>
          <w:highlight w:val="none"/>
        </w:rPr>
        <w:t>13.</w:t>
      </w:r>
      <w:r>
        <w:rPr>
          <w:rFonts w:hAnsi="宋体"/>
          <w:b/>
          <w:bCs/>
          <w:kern w:val="0"/>
          <w:highlight w:val="none"/>
          <w:lang w:val="zh-CN"/>
        </w:rPr>
        <w:t>履约保证金</w:t>
      </w:r>
    </w:p>
    <w:p w14:paraId="6E199E76">
      <w:pPr>
        <w:autoSpaceDE w:val="0"/>
        <w:autoSpaceDN w:val="0"/>
        <w:spacing w:line="400" w:lineRule="exact"/>
        <w:ind w:firstLine="480"/>
        <w:rPr>
          <w:kern w:val="0"/>
          <w:highlight w:val="none"/>
        </w:rPr>
      </w:pPr>
      <w:r>
        <w:rPr>
          <w:kern w:val="0"/>
          <w:highlight w:val="none"/>
        </w:rPr>
        <w:t xml:space="preserve">13.1 </w:t>
      </w:r>
      <w:r>
        <w:rPr>
          <w:rFonts w:hAnsi="宋体"/>
          <w:kern w:val="0"/>
          <w:highlight w:val="none"/>
          <w:lang w:val="zh-CN"/>
        </w:rPr>
        <w:t>乙方应在合同签订前，按招标文件第</w:t>
      </w:r>
      <w:r>
        <w:rPr>
          <w:rFonts w:hAnsi="宋体"/>
          <w:kern w:val="0"/>
          <w:highlight w:val="none"/>
        </w:rPr>
        <w:t>二</w:t>
      </w:r>
      <w:r>
        <w:rPr>
          <w:rFonts w:hAnsi="宋体"/>
          <w:kern w:val="0"/>
          <w:highlight w:val="none"/>
          <w:lang w:val="zh-CN"/>
        </w:rPr>
        <w:t>部分</w:t>
      </w:r>
      <w:r>
        <w:rPr>
          <w:kern w:val="0"/>
          <w:highlight w:val="none"/>
          <w:lang w:val="zh-CN"/>
        </w:rPr>
        <w:t>“</w:t>
      </w:r>
      <w:r>
        <w:rPr>
          <w:rFonts w:hAnsi="宋体"/>
          <w:kern w:val="0"/>
          <w:highlight w:val="none"/>
          <w:lang w:val="zh-CN"/>
        </w:rPr>
        <w:t>九</w:t>
      </w:r>
      <w:r>
        <w:rPr>
          <w:kern w:val="0"/>
          <w:highlight w:val="none"/>
          <w:lang w:val="zh-CN"/>
        </w:rPr>
        <w:t xml:space="preserve"> </w:t>
      </w:r>
      <w:r>
        <w:rPr>
          <w:rFonts w:hAnsi="宋体"/>
          <w:kern w:val="0"/>
          <w:highlight w:val="none"/>
          <w:lang w:val="zh-CN"/>
        </w:rPr>
        <w:t>授予合同</w:t>
      </w:r>
      <w:r>
        <w:rPr>
          <w:kern w:val="0"/>
          <w:highlight w:val="none"/>
          <w:lang w:val="zh-CN"/>
        </w:rPr>
        <w:t>”</w:t>
      </w:r>
      <w:r>
        <w:rPr>
          <w:rFonts w:hAnsi="宋体"/>
          <w:kern w:val="0"/>
          <w:highlight w:val="none"/>
          <w:lang w:val="zh-CN"/>
        </w:rPr>
        <w:t>中第</w:t>
      </w:r>
      <w:r>
        <w:rPr>
          <w:kern w:val="0"/>
          <w:highlight w:val="none"/>
          <w:lang w:val="zh-CN"/>
        </w:rPr>
        <w:t>23.2</w:t>
      </w:r>
      <w:r>
        <w:rPr>
          <w:rFonts w:hAnsi="宋体"/>
          <w:kern w:val="0"/>
          <w:highlight w:val="none"/>
          <w:lang w:val="zh-CN"/>
        </w:rPr>
        <w:t>项的约定提交履约保证金。</w:t>
      </w:r>
    </w:p>
    <w:p w14:paraId="67E0FD77">
      <w:pPr>
        <w:autoSpaceDE w:val="0"/>
        <w:autoSpaceDN w:val="0"/>
        <w:spacing w:line="400" w:lineRule="exact"/>
        <w:ind w:firstLine="480"/>
        <w:rPr>
          <w:kern w:val="0"/>
          <w:highlight w:val="none"/>
        </w:rPr>
      </w:pPr>
      <w:r>
        <w:rPr>
          <w:kern w:val="0"/>
          <w:highlight w:val="none"/>
        </w:rPr>
        <w:t xml:space="preserve">13.2 </w:t>
      </w:r>
      <w:r>
        <w:rPr>
          <w:rFonts w:hAnsi="宋体"/>
          <w:kern w:val="0"/>
          <w:highlight w:val="none"/>
          <w:lang w:val="zh-CN"/>
        </w:rPr>
        <w:t>履约保证金用于补偿甲方因乙方不能履行其合同义务而蒙受的损失。</w:t>
      </w:r>
    </w:p>
    <w:p w14:paraId="3D68ADF3">
      <w:pPr>
        <w:autoSpaceDE w:val="0"/>
        <w:autoSpaceDN w:val="0"/>
        <w:spacing w:line="400" w:lineRule="exact"/>
        <w:ind w:firstLine="480"/>
        <w:rPr>
          <w:kern w:val="0"/>
          <w:highlight w:val="none"/>
        </w:rPr>
      </w:pPr>
      <w:r>
        <w:rPr>
          <w:kern w:val="0"/>
          <w:highlight w:val="none"/>
        </w:rPr>
        <w:t xml:space="preserve">13.3 </w:t>
      </w:r>
      <w:r>
        <w:rPr>
          <w:rFonts w:hAnsi="宋体"/>
          <w:kern w:val="0"/>
          <w:highlight w:val="none"/>
          <w:lang w:val="zh-CN"/>
        </w:rPr>
        <w:t>履约保证金应使用本合同货币，按下述方式之一提交（招标文件中另有约定的除外）：</w:t>
      </w:r>
    </w:p>
    <w:p w14:paraId="73E61672">
      <w:pPr>
        <w:autoSpaceDE w:val="0"/>
        <w:autoSpaceDN w:val="0"/>
        <w:spacing w:line="400" w:lineRule="exact"/>
        <w:ind w:firstLine="480"/>
        <w:rPr>
          <w:kern w:val="0"/>
          <w:highlight w:val="none"/>
        </w:rPr>
      </w:pPr>
      <w:r>
        <w:rPr>
          <w:kern w:val="0"/>
          <w:highlight w:val="none"/>
        </w:rPr>
        <w:t xml:space="preserve">13.3.1 </w:t>
      </w:r>
      <w:r>
        <w:rPr>
          <w:rFonts w:hAnsi="宋体"/>
          <w:kern w:val="0"/>
          <w:highlight w:val="none"/>
          <w:lang w:val="zh-CN"/>
        </w:rPr>
        <w:t>甲方可接受的在中华人民共和国注册和营业的银行出具的履约保函；</w:t>
      </w:r>
    </w:p>
    <w:p w14:paraId="5CF80514">
      <w:pPr>
        <w:autoSpaceDE w:val="0"/>
        <w:autoSpaceDN w:val="0"/>
        <w:spacing w:line="400" w:lineRule="exact"/>
        <w:ind w:firstLine="480"/>
        <w:rPr>
          <w:kern w:val="0"/>
          <w:highlight w:val="none"/>
        </w:rPr>
      </w:pPr>
      <w:r>
        <w:rPr>
          <w:kern w:val="0"/>
          <w:highlight w:val="none"/>
        </w:rPr>
        <w:t xml:space="preserve">13.3.2 </w:t>
      </w:r>
      <w:r>
        <w:rPr>
          <w:rFonts w:hAnsi="宋体"/>
          <w:kern w:val="0"/>
          <w:highlight w:val="none"/>
          <w:lang w:val="zh-CN"/>
        </w:rPr>
        <w:t>支票或汇票。</w:t>
      </w:r>
    </w:p>
    <w:p w14:paraId="31E7BF3C">
      <w:pPr>
        <w:autoSpaceDE w:val="0"/>
        <w:autoSpaceDN w:val="0"/>
        <w:spacing w:line="400" w:lineRule="exact"/>
        <w:ind w:firstLine="480"/>
        <w:rPr>
          <w:kern w:val="0"/>
          <w:highlight w:val="none"/>
        </w:rPr>
      </w:pPr>
      <w:r>
        <w:rPr>
          <w:kern w:val="0"/>
          <w:highlight w:val="none"/>
        </w:rPr>
        <w:t xml:space="preserve">13.4 </w:t>
      </w:r>
      <w:r>
        <w:rPr>
          <w:rFonts w:hAnsi="宋体"/>
          <w:kern w:val="0"/>
          <w:highlight w:val="none"/>
          <w:lang w:val="zh-CN"/>
        </w:rPr>
        <w:t>乙方未能按合同规定履行其义务，甲方有权从履约保证金中取得补偿。货物验收合格后，甲方将履约保证金退还乙方或转为质量保证金。</w:t>
      </w:r>
    </w:p>
    <w:p w14:paraId="22A03B03">
      <w:pPr>
        <w:autoSpaceDE w:val="0"/>
        <w:autoSpaceDN w:val="0"/>
        <w:spacing w:line="400" w:lineRule="exact"/>
        <w:rPr>
          <w:b/>
          <w:bCs/>
          <w:kern w:val="0"/>
          <w:highlight w:val="none"/>
        </w:rPr>
      </w:pPr>
      <w:r>
        <w:rPr>
          <w:b/>
          <w:bCs/>
          <w:kern w:val="0"/>
          <w:highlight w:val="none"/>
        </w:rPr>
        <w:t>14.</w:t>
      </w:r>
      <w:r>
        <w:rPr>
          <w:rFonts w:hAnsi="宋体"/>
          <w:b/>
          <w:bCs/>
          <w:kern w:val="0"/>
          <w:highlight w:val="none"/>
          <w:lang w:val="zh-CN"/>
        </w:rPr>
        <w:t>索赔</w:t>
      </w:r>
    </w:p>
    <w:p w14:paraId="7804B03D">
      <w:pPr>
        <w:autoSpaceDE w:val="0"/>
        <w:autoSpaceDN w:val="0"/>
        <w:spacing w:line="400" w:lineRule="exact"/>
        <w:ind w:firstLine="480"/>
        <w:rPr>
          <w:kern w:val="0"/>
          <w:highlight w:val="none"/>
        </w:rPr>
      </w:pPr>
      <w:r>
        <w:rPr>
          <w:kern w:val="0"/>
          <w:highlight w:val="none"/>
        </w:rPr>
        <w:t xml:space="preserve">14.1 </w:t>
      </w:r>
      <w:r>
        <w:rPr>
          <w:rFonts w:hAnsi="宋体"/>
          <w:kern w:val="0"/>
          <w:highlight w:val="none"/>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6E9FF4E">
      <w:pPr>
        <w:autoSpaceDE w:val="0"/>
        <w:autoSpaceDN w:val="0"/>
        <w:spacing w:line="400" w:lineRule="exact"/>
        <w:ind w:firstLine="480"/>
        <w:rPr>
          <w:kern w:val="0"/>
          <w:highlight w:val="none"/>
        </w:rPr>
      </w:pPr>
      <w:r>
        <w:rPr>
          <w:kern w:val="0"/>
          <w:highlight w:val="none"/>
        </w:rPr>
        <w:t xml:space="preserve">14.2 </w:t>
      </w:r>
      <w:r>
        <w:rPr>
          <w:rFonts w:hAnsi="宋体"/>
          <w:kern w:val="0"/>
          <w:highlight w:val="none"/>
          <w:lang w:val="zh-CN"/>
        </w:rPr>
        <w:t>在履约保证期和检验期内，乙方对甲方提出的索赔负有责任，乙方应按照甲方同意的下列一种或多种方式解决索赔事宜：</w:t>
      </w:r>
    </w:p>
    <w:p w14:paraId="39F449F3">
      <w:pPr>
        <w:autoSpaceDE w:val="0"/>
        <w:autoSpaceDN w:val="0"/>
        <w:spacing w:line="400" w:lineRule="exact"/>
        <w:ind w:firstLine="480"/>
        <w:rPr>
          <w:kern w:val="0"/>
          <w:highlight w:val="none"/>
        </w:rPr>
      </w:pPr>
      <w:r>
        <w:rPr>
          <w:kern w:val="0"/>
          <w:highlight w:val="none"/>
        </w:rPr>
        <w:t xml:space="preserve">14.2.1 </w:t>
      </w:r>
      <w:r>
        <w:rPr>
          <w:rFonts w:hAnsi="宋体"/>
          <w:kern w:val="0"/>
          <w:highlight w:val="none"/>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BC5B75B">
      <w:pPr>
        <w:autoSpaceDE w:val="0"/>
        <w:autoSpaceDN w:val="0"/>
        <w:spacing w:line="400" w:lineRule="exact"/>
        <w:ind w:firstLine="480"/>
        <w:rPr>
          <w:kern w:val="0"/>
          <w:highlight w:val="none"/>
        </w:rPr>
      </w:pPr>
      <w:r>
        <w:rPr>
          <w:kern w:val="0"/>
          <w:highlight w:val="none"/>
        </w:rPr>
        <w:t xml:space="preserve">14.2.2 </w:t>
      </w:r>
      <w:r>
        <w:rPr>
          <w:rFonts w:hAnsi="宋体"/>
          <w:kern w:val="0"/>
          <w:highlight w:val="none"/>
          <w:lang w:val="zh-CN"/>
        </w:rPr>
        <w:t>根据货物低劣程度、损坏程度以及甲方所遭受损失的数额，经甲乙双方商定降低货物的价格，或由有资质的中介机构评估，以降低后的价格或评估价格为准。</w:t>
      </w:r>
    </w:p>
    <w:p w14:paraId="1B181439">
      <w:pPr>
        <w:autoSpaceDE w:val="0"/>
        <w:autoSpaceDN w:val="0"/>
        <w:spacing w:line="400" w:lineRule="exact"/>
        <w:ind w:firstLine="480"/>
        <w:rPr>
          <w:kern w:val="0"/>
          <w:highlight w:val="none"/>
        </w:rPr>
      </w:pPr>
      <w:r>
        <w:rPr>
          <w:kern w:val="0"/>
          <w:highlight w:val="none"/>
        </w:rPr>
        <w:t xml:space="preserve">14.2.3 </w:t>
      </w:r>
      <w:r>
        <w:rPr>
          <w:rFonts w:hAnsi="宋体"/>
          <w:kern w:val="0"/>
          <w:highlight w:val="none"/>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05CC936C">
      <w:pPr>
        <w:autoSpaceDE w:val="0"/>
        <w:autoSpaceDN w:val="0"/>
        <w:spacing w:line="400" w:lineRule="exact"/>
        <w:ind w:firstLine="480"/>
        <w:rPr>
          <w:kern w:val="0"/>
          <w:highlight w:val="none"/>
        </w:rPr>
      </w:pPr>
      <w:r>
        <w:rPr>
          <w:kern w:val="0"/>
          <w:highlight w:val="none"/>
        </w:rPr>
        <w:t xml:space="preserve">14.3 </w:t>
      </w:r>
      <w:r>
        <w:rPr>
          <w:rFonts w:hAnsi="宋体"/>
          <w:kern w:val="0"/>
          <w:highlight w:val="none"/>
          <w:lang w:val="zh-CN"/>
        </w:rPr>
        <w:t>乙方收到甲方发出的索赔通知之日起</w:t>
      </w:r>
      <w:r>
        <w:rPr>
          <w:kern w:val="0"/>
          <w:highlight w:val="none"/>
        </w:rPr>
        <w:t>5</w:t>
      </w:r>
      <w:r>
        <w:rPr>
          <w:rFonts w:hAnsi="宋体"/>
          <w:kern w:val="0"/>
          <w:highlight w:val="none"/>
          <w:lang w:val="zh-CN"/>
        </w:rPr>
        <w:t>个工作日内未作答复的，甲方可从合同款或履约保证金中扣回索赔金额，如金额不足以补偿索赔金额，乙方应补足差额部分。</w:t>
      </w:r>
    </w:p>
    <w:p w14:paraId="14403901">
      <w:pPr>
        <w:autoSpaceDE w:val="0"/>
        <w:autoSpaceDN w:val="0"/>
        <w:spacing w:line="400" w:lineRule="exact"/>
        <w:rPr>
          <w:b/>
          <w:bCs/>
          <w:kern w:val="0"/>
          <w:highlight w:val="none"/>
        </w:rPr>
      </w:pPr>
      <w:r>
        <w:rPr>
          <w:b/>
          <w:bCs/>
          <w:kern w:val="0"/>
          <w:highlight w:val="none"/>
        </w:rPr>
        <w:t>15.</w:t>
      </w:r>
      <w:r>
        <w:rPr>
          <w:rFonts w:hAnsi="宋体"/>
          <w:b/>
          <w:bCs/>
          <w:kern w:val="0"/>
          <w:highlight w:val="none"/>
          <w:lang w:val="zh-CN"/>
        </w:rPr>
        <w:t>迟延交货</w:t>
      </w:r>
    </w:p>
    <w:p w14:paraId="7ED799A0">
      <w:pPr>
        <w:autoSpaceDE w:val="0"/>
        <w:autoSpaceDN w:val="0"/>
        <w:spacing w:line="400" w:lineRule="exact"/>
        <w:ind w:firstLine="480"/>
        <w:rPr>
          <w:kern w:val="0"/>
          <w:highlight w:val="none"/>
        </w:rPr>
      </w:pPr>
      <w:r>
        <w:rPr>
          <w:kern w:val="0"/>
          <w:highlight w:val="none"/>
        </w:rPr>
        <w:t xml:space="preserve">15.1 </w:t>
      </w:r>
      <w:r>
        <w:rPr>
          <w:rFonts w:hAnsi="宋体"/>
          <w:kern w:val="0"/>
          <w:highlight w:val="none"/>
          <w:lang w:val="zh-CN"/>
        </w:rPr>
        <w:t>乙方应按照合同约定的时间交货和提供服务。</w:t>
      </w:r>
    </w:p>
    <w:p w14:paraId="302D8D28">
      <w:pPr>
        <w:autoSpaceDE w:val="0"/>
        <w:autoSpaceDN w:val="0"/>
        <w:spacing w:line="400" w:lineRule="exact"/>
        <w:ind w:firstLine="480"/>
        <w:rPr>
          <w:kern w:val="0"/>
          <w:highlight w:val="none"/>
        </w:rPr>
      </w:pPr>
      <w:r>
        <w:rPr>
          <w:kern w:val="0"/>
          <w:highlight w:val="none"/>
        </w:rPr>
        <w:t xml:space="preserve">15.2 </w:t>
      </w:r>
      <w:r>
        <w:rPr>
          <w:rFonts w:hAnsi="宋体"/>
          <w:kern w:val="0"/>
          <w:highlight w:val="none"/>
          <w:lang w:val="zh-CN"/>
        </w:rPr>
        <w:t>除不可抗力因素外，乙方迟延交货，甲方有权提出违约损失赔偿或解除合同。</w:t>
      </w:r>
    </w:p>
    <w:p w14:paraId="5E8CFF16">
      <w:pPr>
        <w:autoSpaceDE w:val="0"/>
        <w:autoSpaceDN w:val="0"/>
        <w:spacing w:line="400" w:lineRule="exact"/>
        <w:ind w:firstLine="480"/>
        <w:rPr>
          <w:kern w:val="0"/>
          <w:highlight w:val="none"/>
        </w:rPr>
      </w:pPr>
      <w:r>
        <w:rPr>
          <w:kern w:val="0"/>
          <w:highlight w:val="none"/>
        </w:rPr>
        <w:t xml:space="preserve">15.3 </w:t>
      </w:r>
      <w:r>
        <w:rPr>
          <w:rFonts w:hAnsi="宋体"/>
          <w:kern w:val="0"/>
          <w:highlight w:val="none"/>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6222DABD">
      <w:pPr>
        <w:autoSpaceDE w:val="0"/>
        <w:autoSpaceDN w:val="0"/>
        <w:spacing w:line="400" w:lineRule="exact"/>
        <w:rPr>
          <w:b/>
          <w:bCs/>
          <w:kern w:val="0"/>
          <w:highlight w:val="none"/>
        </w:rPr>
      </w:pPr>
      <w:r>
        <w:rPr>
          <w:b/>
          <w:bCs/>
          <w:kern w:val="0"/>
          <w:highlight w:val="none"/>
        </w:rPr>
        <w:t>16.</w:t>
      </w:r>
      <w:r>
        <w:rPr>
          <w:rFonts w:hAnsi="宋体"/>
          <w:b/>
          <w:bCs/>
          <w:kern w:val="0"/>
          <w:highlight w:val="none"/>
          <w:lang w:val="zh-CN"/>
        </w:rPr>
        <w:t>违约赔偿</w:t>
      </w:r>
    </w:p>
    <w:p w14:paraId="6E2E6624">
      <w:pPr>
        <w:autoSpaceDE w:val="0"/>
        <w:autoSpaceDN w:val="0"/>
        <w:spacing w:line="400" w:lineRule="exact"/>
        <w:ind w:firstLine="480"/>
        <w:rPr>
          <w:kern w:val="0"/>
          <w:highlight w:val="none"/>
        </w:rPr>
      </w:pPr>
      <w:r>
        <w:rPr>
          <w:rFonts w:hAnsi="宋体"/>
          <w:kern w:val="0"/>
          <w:highlight w:val="none"/>
          <w:lang w:val="zh-CN"/>
        </w:rPr>
        <w:t>除不可抗力因素外，乙方没有按照合同规定的时间交货和提供服务，甲方可要求乙方支付违约金。违约金每日按合同总价款的千分之五计收。</w:t>
      </w:r>
    </w:p>
    <w:p w14:paraId="051158FC">
      <w:pPr>
        <w:autoSpaceDE w:val="0"/>
        <w:autoSpaceDN w:val="0"/>
        <w:spacing w:line="400" w:lineRule="exact"/>
        <w:rPr>
          <w:b/>
          <w:bCs/>
          <w:kern w:val="0"/>
          <w:highlight w:val="none"/>
        </w:rPr>
      </w:pPr>
      <w:r>
        <w:rPr>
          <w:b/>
          <w:bCs/>
          <w:kern w:val="0"/>
          <w:highlight w:val="none"/>
        </w:rPr>
        <w:t>17.</w:t>
      </w:r>
      <w:r>
        <w:rPr>
          <w:rFonts w:hAnsi="宋体"/>
          <w:b/>
          <w:bCs/>
          <w:kern w:val="0"/>
          <w:highlight w:val="none"/>
          <w:lang w:val="zh-CN"/>
        </w:rPr>
        <w:t>不可抗力</w:t>
      </w:r>
    </w:p>
    <w:p w14:paraId="058F703A">
      <w:pPr>
        <w:autoSpaceDE w:val="0"/>
        <w:autoSpaceDN w:val="0"/>
        <w:spacing w:line="400" w:lineRule="exact"/>
        <w:ind w:firstLine="480"/>
        <w:rPr>
          <w:kern w:val="0"/>
          <w:highlight w:val="none"/>
        </w:rPr>
      </w:pPr>
      <w:r>
        <w:rPr>
          <w:kern w:val="0"/>
          <w:highlight w:val="none"/>
        </w:rPr>
        <w:t xml:space="preserve">17.1 </w:t>
      </w:r>
      <w:r>
        <w:rPr>
          <w:rFonts w:hAnsi="宋体"/>
          <w:kern w:val="0"/>
          <w:highlight w:val="none"/>
          <w:lang w:val="zh-CN"/>
        </w:rPr>
        <w:t>双方中任何一方遭遇法律规定的不可抗力，致使合同履行受阻时，履行合同的期限应予延长，延长的期限应相当于不可抗力所影响的时间。</w:t>
      </w:r>
    </w:p>
    <w:p w14:paraId="6AD108C8">
      <w:pPr>
        <w:autoSpaceDE w:val="0"/>
        <w:autoSpaceDN w:val="0"/>
        <w:spacing w:line="400" w:lineRule="exact"/>
        <w:ind w:firstLine="480"/>
        <w:rPr>
          <w:kern w:val="0"/>
          <w:highlight w:val="none"/>
        </w:rPr>
      </w:pPr>
      <w:r>
        <w:rPr>
          <w:kern w:val="0"/>
          <w:highlight w:val="none"/>
        </w:rPr>
        <w:t xml:space="preserve">17.2 </w:t>
      </w:r>
      <w:r>
        <w:rPr>
          <w:rFonts w:hAnsi="宋体"/>
          <w:kern w:val="0"/>
          <w:highlight w:val="none"/>
          <w:lang w:val="zh-CN"/>
        </w:rPr>
        <w:t>受事故影响的一方应在不可抗力的事故发生后以书面形式通知另一方。</w:t>
      </w:r>
    </w:p>
    <w:p w14:paraId="704AC4D5">
      <w:pPr>
        <w:autoSpaceDE w:val="0"/>
        <w:autoSpaceDN w:val="0"/>
        <w:spacing w:line="400" w:lineRule="exact"/>
        <w:ind w:firstLine="480"/>
        <w:rPr>
          <w:kern w:val="0"/>
          <w:highlight w:val="none"/>
        </w:rPr>
      </w:pPr>
      <w:r>
        <w:rPr>
          <w:kern w:val="0"/>
          <w:highlight w:val="none"/>
        </w:rPr>
        <w:t xml:space="preserve">17.3 </w:t>
      </w:r>
      <w:r>
        <w:rPr>
          <w:rFonts w:hAnsi="宋体"/>
          <w:kern w:val="0"/>
          <w:highlight w:val="none"/>
          <w:lang w:val="zh-CN"/>
        </w:rPr>
        <w:t>不可抗力使合同的某些内容有变更必要的，双方应通过协商达成进一步履行合同的协议，因不可抗力致使合同不能履行的，合同终止。</w:t>
      </w:r>
    </w:p>
    <w:p w14:paraId="7F6E1A08">
      <w:pPr>
        <w:autoSpaceDE w:val="0"/>
        <w:autoSpaceDN w:val="0"/>
        <w:spacing w:line="400" w:lineRule="exact"/>
        <w:rPr>
          <w:b/>
          <w:bCs/>
          <w:kern w:val="0"/>
          <w:highlight w:val="none"/>
        </w:rPr>
      </w:pPr>
      <w:r>
        <w:rPr>
          <w:b/>
          <w:bCs/>
          <w:kern w:val="0"/>
          <w:highlight w:val="none"/>
        </w:rPr>
        <w:t>18.</w:t>
      </w:r>
      <w:r>
        <w:rPr>
          <w:rFonts w:hAnsi="宋体"/>
          <w:b/>
          <w:bCs/>
          <w:kern w:val="0"/>
          <w:highlight w:val="none"/>
          <w:lang w:val="zh-CN"/>
        </w:rPr>
        <w:t>税费</w:t>
      </w:r>
    </w:p>
    <w:p w14:paraId="3DE9B272">
      <w:pPr>
        <w:autoSpaceDE w:val="0"/>
        <w:autoSpaceDN w:val="0"/>
        <w:spacing w:line="400" w:lineRule="exact"/>
        <w:ind w:firstLine="480"/>
        <w:rPr>
          <w:kern w:val="0"/>
          <w:highlight w:val="none"/>
        </w:rPr>
      </w:pPr>
      <w:r>
        <w:rPr>
          <w:rFonts w:hAnsi="宋体"/>
          <w:kern w:val="0"/>
          <w:highlight w:val="none"/>
          <w:lang w:val="zh-CN"/>
        </w:rPr>
        <w:t>与本合同有关的一切税费均由乙方承担。</w:t>
      </w:r>
    </w:p>
    <w:p w14:paraId="496F9DE6">
      <w:pPr>
        <w:autoSpaceDE w:val="0"/>
        <w:autoSpaceDN w:val="0"/>
        <w:spacing w:line="400" w:lineRule="exact"/>
        <w:rPr>
          <w:b/>
          <w:bCs/>
          <w:kern w:val="0"/>
          <w:highlight w:val="none"/>
        </w:rPr>
      </w:pPr>
      <w:r>
        <w:rPr>
          <w:b/>
          <w:bCs/>
          <w:kern w:val="0"/>
          <w:highlight w:val="none"/>
        </w:rPr>
        <w:t>19.</w:t>
      </w:r>
      <w:r>
        <w:rPr>
          <w:rFonts w:hAnsi="宋体"/>
          <w:b/>
          <w:bCs/>
          <w:kern w:val="0"/>
          <w:highlight w:val="none"/>
          <w:lang w:val="zh-CN"/>
        </w:rPr>
        <w:t>合同争议的解决</w:t>
      </w:r>
    </w:p>
    <w:p w14:paraId="5A095C44">
      <w:pPr>
        <w:autoSpaceDE w:val="0"/>
        <w:autoSpaceDN w:val="0"/>
        <w:spacing w:line="400" w:lineRule="exact"/>
        <w:ind w:firstLine="480"/>
        <w:rPr>
          <w:kern w:val="0"/>
          <w:highlight w:val="none"/>
        </w:rPr>
      </w:pPr>
      <w:r>
        <w:rPr>
          <w:kern w:val="0"/>
          <w:highlight w:val="none"/>
        </w:rPr>
        <w:t xml:space="preserve">19.1 </w:t>
      </w:r>
      <w:r>
        <w:rPr>
          <w:rFonts w:hAnsi="宋体"/>
          <w:kern w:val="0"/>
          <w:highlight w:val="none"/>
          <w:lang w:val="zh-CN"/>
        </w:rPr>
        <w:t>甲方和乙方由于本合同的履行而发生任何争议时，双方可先通过协商解决。</w:t>
      </w:r>
    </w:p>
    <w:p w14:paraId="34258322">
      <w:pPr>
        <w:autoSpaceDE w:val="0"/>
        <w:autoSpaceDN w:val="0"/>
        <w:spacing w:line="400" w:lineRule="exact"/>
        <w:ind w:firstLine="480"/>
        <w:rPr>
          <w:kern w:val="0"/>
          <w:highlight w:val="none"/>
        </w:rPr>
      </w:pPr>
      <w:r>
        <w:rPr>
          <w:kern w:val="0"/>
          <w:highlight w:val="none"/>
        </w:rPr>
        <w:t xml:space="preserve">19.2 </w:t>
      </w:r>
      <w:r>
        <w:rPr>
          <w:rFonts w:hAnsi="宋体"/>
          <w:kern w:val="0"/>
          <w:highlight w:val="none"/>
          <w:lang w:val="zh-CN"/>
        </w:rPr>
        <w:t>任何一方不愿通过协商或通过协商仍不能解决争议，则双方中任何一方均应向甲方所在地人民法院起诉。</w:t>
      </w:r>
    </w:p>
    <w:p w14:paraId="1E246E72">
      <w:pPr>
        <w:autoSpaceDE w:val="0"/>
        <w:autoSpaceDN w:val="0"/>
        <w:spacing w:line="400" w:lineRule="exact"/>
        <w:rPr>
          <w:b/>
          <w:bCs/>
          <w:kern w:val="0"/>
          <w:highlight w:val="none"/>
        </w:rPr>
      </w:pPr>
      <w:r>
        <w:rPr>
          <w:b/>
          <w:bCs/>
          <w:kern w:val="0"/>
          <w:highlight w:val="none"/>
        </w:rPr>
        <w:t>20.</w:t>
      </w:r>
      <w:r>
        <w:rPr>
          <w:rFonts w:hAnsi="宋体"/>
          <w:b/>
          <w:bCs/>
          <w:kern w:val="0"/>
          <w:highlight w:val="none"/>
          <w:lang w:val="zh-CN"/>
        </w:rPr>
        <w:t>违约解除合同</w:t>
      </w:r>
    </w:p>
    <w:p w14:paraId="76ADBCA4">
      <w:pPr>
        <w:autoSpaceDE w:val="0"/>
        <w:autoSpaceDN w:val="0"/>
        <w:spacing w:line="400" w:lineRule="exact"/>
        <w:ind w:firstLine="480"/>
        <w:rPr>
          <w:kern w:val="0"/>
          <w:highlight w:val="none"/>
        </w:rPr>
      </w:pPr>
      <w:r>
        <w:rPr>
          <w:kern w:val="0"/>
          <w:highlight w:val="none"/>
        </w:rPr>
        <w:t xml:space="preserve">20.1 </w:t>
      </w:r>
      <w:r>
        <w:rPr>
          <w:rFonts w:hAnsi="宋体"/>
          <w:kern w:val="0"/>
          <w:highlight w:val="none"/>
          <w:lang w:val="zh-CN"/>
        </w:rPr>
        <w:t>出现下列情形之一的，视为乙方违约。甲方可向乙方发出书面通知，部分或全部终止合同，同时保留向乙方索赔的权利。</w:t>
      </w:r>
    </w:p>
    <w:p w14:paraId="022AC662">
      <w:pPr>
        <w:autoSpaceDE w:val="0"/>
        <w:autoSpaceDN w:val="0"/>
        <w:spacing w:line="400" w:lineRule="exact"/>
        <w:ind w:firstLine="480"/>
        <w:rPr>
          <w:kern w:val="0"/>
          <w:highlight w:val="none"/>
        </w:rPr>
      </w:pPr>
      <w:r>
        <w:rPr>
          <w:kern w:val="0"/>
          <w:highlight w:val="none"/>
        </w:rPr>
        <w:t xml:space="preserve">20.1.1 </w:t>
      </w:r>
      <w:r>
        <w:rPr>
          <w:rFonts w:hAnsi="宋体"/>
          <w:kern w:val="0"/>
          <w:highlight w:val="none"/>
          <w:lang w:val="zh-CN"/>
        </w:rPr>
        <w:t>乙方未能在合同规定的限期或甲方同意延长的限期内，提供全部或部分货物的；</w:t>
      </w:r>
    </w:p>
    <w:p w14:paraId="3E09592C">
      <w:pPr>
        <w:autoSpaceDE w:val="0"/>
        <w:autoSpaceDN w:val="0"/>
        <w:spacing w:line="400" w:lineRule="exact"/>
        <w:ind w:firstLine="480"/>
        <w:rPr>
          <w:kern w:val="0"/>
          <w:highlight w:val="none"/>
        </w:rPr>
      </w:pPr>
      <w:r>
        <w:rPr>
          <w:kern w:val="0"/>
          <w:highlight w:val="none"/>
        </w:rPr>
        <w:t xml:space="preserve">20.1.2 </w:t>
      </w:r>
      <w:r>
        <w:rPr>
          <w:rFonts w:hAnsi="宋体"/>
          <w:kern w:val="0"/>
          <w:highlight w:val="none"/>
          <w:lang w:val="zh-CN"/>
        </w:rPr>
        <w:t>乙方未能履行合同规定的其它主要义务的；</w:t>
      </w:r>
    </w:p>
    <w:p w14:paraId="07AEAFFA">
      <w:pPr>
        <w:autoSpaceDE w:val="0"/>
        <w:autoSpaceDN w:val="0"/>
        <w:spacing w:line="400" w:lineRule="exact"/>
        <w:ind w:firstLine="480"/>
        <w:rPr>
          <w:kern w:val="0"/>
          <w:highlight w:val="none"/>
        </w:rPr>
      </w:pPr>
      <w:r>
        <w:rPr>
          <w:kern w:val="0"/>
          <w:highlight w:val="none"/>
        </w:rPr>
        <w:t xml:space="preserve">20.1.3 </w:t>
      </w:r>
      <w:r>
        <w:rPr>
          <w:rFonts w:hAnsi="宋体"/>
          <w:kern w:val="0"/>
          <w:highlight w:val="none"/>
          <w:lang w:val="zh-CN"/>
        </w:rPr>
        <w:t>乙方在本合同履行过程中有欺诈行为的。</w:t>
      </w:r>
    </w:p>
    <w:p w14:paraId="53A1BCC5">
      <w:pPr>
        <w:autoSpaceDE w:val="0"/>
        <w:autoSpaceDN w:val="0"/>
        <w:spacing w:line="400" w:lineRule="exact"/>
        <w:ind w:firstLine="480"/>
        <w:rPr>
          <w:kern w:val="0"/>
          <w:highlight w:val="none"/>
        </w:rPr>
      </w:pPr>
      <w:r>
        <w:rPr>
          <w:kern w:val="0"/>
          <w:highlight w:val="none"/>
        </w:rPr>
        <w:t xml:space="preserve">20.2 </w:t>
      </w:r>
      <w:r>
        <w:rPr>
          <w:rFonts w:hAnsi="宋体"/>
          <w:kern w:val="0"/>
          <w:highlight w:val="none"/>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ED3BF2F">
      <w:pPr>
        <w:autoSpaceDE w:val="0"/>
        <w:autoSpaceDN w:val="0"/>
        <w:spacing w:line="400" w:lineRule="exact"/>
        <w:rPr>
          <w:b/>
          <w:bCs/>
          <w:kern w:val="0"/>
          <w:highlight w:val="none"/>
        </w:rPr>
      </w:pPr>
      <w:r>
        <w:rPr>
          <w:b/>
          <w:bCs/>
          <w:kern w:val="0"/>
          <w:highlight w:val="none"/>
        </w:rPr>
        <w:t>21.</w:t>
      </w:r>
      <w:r>
        <w:rPr>
          <w:rFonts w:hAnsi="宋体"/>
          <w:b/>
          <w:bCs/>
          <w:kern w:val="0"/>
          <w:highlight w:val="none"/>
          <w:lang w:val="zh-CN"/>
        </w:rPr>
        <w:t>破产终止合同</w:t>
      </w:r>
    </w:p>
    <w:p w14:paraId="1C5A6450">
      <w:pPr>
        <w:autoSpaceDE w:val="0"/>
        <w:autoSpaceDN w:val="0"/>
        <w:spacing w:line="400" w:lineRule="exact"/>
        <w:ind w:firstLine="480"/>
        <w:rPr>
          <w:kern w:val="0"/>
          <w:highlight w:val="none"/>
        </w:rPr>
      </w:pPr>
      <w:r>
        <w:rPr>
          <w:rFonts w:hAnsi="宋体"/>
          <w:kern w:val="0"/>
          <w:highlight w:val="none"/>
          <w:lang w:val="zh-CN"/>
        </w:rPr>
        <w:t>乙方破产而无法完全履行本合同义务时，甲方可以书面方式通知乙方终止合同而不给予乙方补偿。该合同的终止将不损害或不影响甲方已经采取或将要采取任何行动或补救措施的权利。</w:t>
      </w:r>
    </w:p>
    <w:p w14:paraId="52C71CD0">
      <w:pPr>
        <w:autoSpaceDE w:val="0"/>
        <w:autoSpaceDN w:val="0"/>
        <w:spacing w:line="400" w:lineRule="exact"/>
        <w:rPr>
          <w:b/>
          <w:bCs/>
          <w:kern w:val="0"/>
          <w:highlight w:val="none"/>
        </w:rPr>
      </w:pPr>
      <w:r>
        <w:rPr>
          <w:b/>
          <w:bCs/>
          <w:kern w:val="0"/>
          <w:highlight w:val="none"/>
        </w:rPr>
        <w:t>22.</w:t>
      </w:r>
      <w:r>
        <w:rPr>
          <w:rFonts w:hAnsi="宋体"/>
          <w:b/>
          <w:bCs/>
          <w:kern w:val="0"/>
          <w:highlight w:val="none"/>
          <w:lang w:val="zh-CN"/>
        </w:rPr>
        <w:t>转让和分包</w:t>
      </w:r>
    </w:p>
    <w:p w14:paraId="3BA949E7">
      <w:pPr>
        <w:autoSpaceDE w:val="0"/>
        <w:autoSpaceDN w:val="0"/>
        <w:spacing w:line="400" w:lineRule="exact"/>
        <w:ind w:firstLine="360"/>
        <w:rPr>
          <w:kern w:val="0"/>
          <w:highlight w:val="none"/>
        </w:rPr>
      </w:pPr>
      <w:r>
        <w:rPr>
          <w:kern w:val="0"/>
          <w:highlight w:val="none"/>
        </w:rPr>
        <w:t xml:space="preserve">22.1 </w:t>
      </w:r>
      <w:r>
        <w:rPr>
          <w:rFonts w:hAnsi="宋体"/>
          <w:kern w:val="0"/>
          <w:highlight w:val="none"/>
          <w:lang w:val="zh-CN"/>
        </w:rPr>
        <w:t>政府采购合同不能转让。</w:t>
      </w:r>
    </w:p>
    <w:p w14:paraId="688503CC">
      <w:pPr>
        <w:autoSpaceDE w:val="0"/>
        <w:autoSpaceDN w:val="0"/>
        <w:spacing w:line="400" w:lineRule="exact"/>
        <w:ind w:firstLine="360"/>
        <w:rPr>
          <w:kern w:val="0"/>
          <w:highlight w:val="none"/>
        </w:rPr>
      </w:pPr>
      <w:r>
        <w:rPr>
          <w:kern w:val="0"/>
          <w:highlight w:val="none"/>
        </w:rPr>
        <w:t xml:space="preserve">22.2 </w:t>
      </w:r>
      <w:r>
        <w:rPr>
          <w:rFonts w:hAnsi="宋体"/>
          <w:kern w:val="0"/>
          <w:highlight w:val="none"/>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1EFA3FE">
      <w:pPr>
        <w:autoSpaceDE w:val="0"/>
        <w:autoSpaceDN w:val="0"/>
        <w:spacing w:line="400" w:lineRule="exact"/>
        <w:rPr>
          <w:b/>
          <w:bCs/>
          <w:kern w:val="0"/>
          <w:highlight w:val="none"/>
        </w:rPr>
      </w:pPr>
      <w:r>
        <w:rPr>
          <w:b/>
          <w:bCs/>
          <w:kern w:val="0"/>
          <w:highlight w:val="none"/>
        </w:rPr>
        <w:t>23.</w:t>
      </w:r>
      <w:r>
        <w:rPr>
          <w:rFonts w:hAnsi="宋体"/>
          <w:b/>
          <w:bCs/>
          <w:kern w:val="0"/>
          <w:highlight w:val="none"/>
          <w:lang w:val="zh-CN"/>
        </w:rPr>
        <w:t>合同修改</w:t>
      </w:r>
    </w:p>
    <w:p w14:paraId="71731CEA">
      <w:pPr>
        <w:autoSpaceDE w:val="0"/>
        <w:autoSpaceDN w:val="0"/>
        <w:spacing w:line="400" w:lineRule="exact"/>
        <w:ind w:firstLine="480" w:firstLineChars="200"/>
        <w:rPr>
          <w:kern w:val="0"/>
          <w:highlight w:val="none"/>
        </w:rPr>
      </w:pPr>
      <w:r>
        <w:rPr>
          <w:rFonts w:hAnsi="宋体"/>
          <w:kern w:val="0"/>
          <w:highlight w:val="none"/>
        </w:rPr>
        <w:t>政府采购合同的双方当事人不得擅自变更、中止或者终止合同</w:t>
      </w:r>
    </w:p>
    <w:p w14:paraId="68292E72">
      <w:pPr>
        <w:autoSpaceDE w:val="0"/>
        <w:autoSpaceDN w:val="0"/>
        <w:spacing w:line="400" w:lineRule="exact"/>
        <w:rPr>
          <w:b/>
          <w:bCs/>
          <w:kern w:val="0"/>
          <w:highlight w:val="none"/>
        </w:rPr>
      </w:pPr>
      <w:r>
        <w:rPr>
          <w:b/>
          <w:bCs/>
          <w:kern w:val="0"/>
          <w:highlight w:val="none"/>
        </w:rPr>
        <w:t>24.</w:t>
      </w:r>
      <w:r>
        <w:rPr>
          <w:rFonts w:hAnsi="宋体"/>
          <w:b/>
          <w:bCs/>
          <w:kern w:val="0"/>
          <w:highlight w:val="none"/>
          <w:lang w:val="zh-CN"/>
        </w:rPr>
        <w:t>通知</w:t>
      </w:r>
    </w:p>
    <w:p w14:paraId="0EE7CBEB">
      <w:pPr>
        <w:autoSpaceDE w:val="0"/>
        <w:autoSpaceDN w:val="0"/>
        <w:spacing w:line="400" w:lineRule="exact"/>
        <w:ind w:firstLine="480"/>
        <w:rPr>
          <w:kern w:val="0"/>
          <w:highlight w:val="none"/>
        </w:rPr>
      </w:pPr>
      <w:r>
        <w:rPr>
          <w:rFonts w:hAnsi="宋体"/>
          <w:kern w:val="0"/>
          <w:highlight w:val="none"/>
          <w:lang w:val="zh-CN"/>
        </w:rPr>
        <w:t>本合同任何一方给另一方的通知，都应以书面形式发送，而另一方也应以书面形式确认并发送到对方明确的地址。</w:t>
      </w:r>
    </w:p>
    <w:p w14:paraId="6D86BD8D">
      <w:pPr>
        <w:autoSpaceDE w:val="0"/>
        <w:autoSpaceDN w:val="0"/>
        <w:spacing w:line="400" w:lineRule="exact"/>
        <w:rPr>
          <w:b/>
          <w:bCs/>
          <w:kern w:val="0"/>
          <w:highlight w:val="none"/>
        </w:rPr>
      </w:pPr>
      <w:r>
        <w:rPr>
          <w:b/>
          <w:bCs/>
          <w:kern w:val="0"/>
          <w:highlight w:val="none"/>
        </w:rPr>
        <w:t>25.</w:t>
      </w:r>
      <w:r>
        <w:rPr>
          <w:rFonts w:hAnsi="宋体"/>
          <w:b/>
          <w:bCs/>
          <w:kern w:val="0"/>
          <w:highlight w:val="none"/>
          <w:lang w:val="zh-CN"/>
        </w:rPr>
        <w:t>计量单位</w:t>
      </w:r>
    </w:p>
    <w:p w14:paraId="6522B97D">
      <w:pPr>
        <w:autoSpaceDE w:val="0"/>
        <w:autoSpaceDN w:val="0"/>
        <w:spacing w:line="400" w:lineRule="exact"/>
        <w:ind w:firstLine="480"/>
        <w:rPr>
          <w:kern w:val="0"/>
          <w:highlight w:val="none"/>
        </w:rPr>
      </w:pPr>
      <w:r>
        <w:rPr>
          <w:rFonts w:hAnsi="宋体"/>
          <w:kern w:val="0"/>
          <w:highlight w:val="none"/>
          <w:lang w:val="zh-CN"/>
        </w:rPr>
        <w:t>除技术规范中另有规定外</w:t>
      </w:r>
      <w:r>
        <w:rPr>
          <w:kern w:val="0"/>
          <w:highlight w:val="none"/>
        </w:rPr>
        <w:t>,</w:t>
      </w:r>
      <w:r>
        <w:rPr>
          <w:rFonts w:hAnsi="宋体"/>
          <w:kern w:val="0"/>
          <w:highlight w:val="none"/>
          <w:lang w:val="zh-CN"/>
        </w:rPr>
        <w:t>计量单位均使用国家法定计量单位。</w:t>
      </w:r>
    </w:p>
    <w:p w14:paraId="0032E694">
      <w:pPr>
        <w:autoSpaceDE w:val="0"/>
        <w:autoSpaceDN w:val="0"/>
        <w:spacing w:line="400" w:lineRule="exact"/>
        <w:rPr>
          <w:b/>
          <w:bCs/>
          <w:kern w:val="0"/>
          <w:highlight w:val="none"/>
        </w:rPr>
      </w:pPr>
      <w:r>
        <w:rPr>
          <w:b/>
          <w:bCs/>
          <w:kern w:val="0"/>
          <w:highlight w:val="none"/>
        </w:rPr>
        <w:t>26.</w:t>
      </w:r>
      <w:r>
        <w:rPr>
          <w:rFonts w:hAnsi="宋体"/>
          <w:b/>
          <w:bCs/>
          <w:kern w:val="0"/>
          <w:highlight w:val="none"/>
          <w:lang w:val="zh-CN"/>
        </w:rPr>
        <w:t>适用法律</w:t>
      </w:r>
    </w:p>
    <w:p w14:paraId="3BC45A0A">
      <w:pPr>
        <w:pStyle w:val="28"/>
        <w:spacing w:before="0" w:after="0" w:line="360" w:lineRule="auto"/>
        <w:ind w:firstLine="480" w:firstLineChars="200"/>
        <w:jc w:val="both"/>
        <w:rPr>
          <w:rFonts w:hint="eastAsia" w:ascii="Times New Roman" w:hAnsi="宋体"/>
          <w:b w:val="0"/>
          <w:bCs w:val="0"/>
          <w:kern w:val="0"/>
          <w:sz w:val="24"/>
          <w:szCs w:val="24"/>
          <w:highlight w:val="none"/>
          <w:lang w:val="zh-CN"/>
        </w:rPr>
      </w:pPr>
      <w:bookmarkStart w:id="127" w:name="_Toc6017"/>
      <w:r>
        <w:rPr>
          <w:rFonts w:ascii="Times New Roman" w:hAnsi="宋体"/>
          <w:b w:val="0"/>
          <w:bCs w:val="0"/>
          <w:kern w:val="0"/>
          <w:sz w:val="24"/>
          <w:szCs w:val="24"/>
          <w:highlight w:val="none"/>
          <w:lang w:val="zh-CN"/>
        </w:rPr>
        <w:t>本合同按照中华人民共和国的相关法律进行解释。</w:t>
      </w:r>
      <w:bookmarkEnd w:id="127"/>
    </w:p>
    <w:p w14:paraId="76BEF3CB">
      <w:pPr>
        <w:rPr>
          <w:rFonts w:hint="eastAsia" w:hAnsi="宋体"/>
          <w:kern w:val="0"/>
          <w:highlight w:val="none"/>
          <w:lang w:val="zh-CN"/>
        </w:rPr>
      </w:pPr>
      <w:r>
        <w:rPr>
          <w:rFonts w:hAnsi="宋体"/>
          <w:kern w:val="0"/>
          <w:highlight w:val="none"/>
          <w:lang w:val="zh-CN"/>
        </w:rPr>
        <w:br w:type="page"/>
      </w:r>
    </w:p>
    <w:p w14:paraId="169BA9E3">
      <w:pPr>
        <w:pStyle w:val="28"/>
        <w:spacing w:before="0" w:after="0" w:line="360" w:lineRule="auto"/>
        <w:rPr>
          <w:rFonts w:hint="eastAsia" w:ascii="宋体" w:hAnsi="宋体" w:cs="宋体"/>
          <w:highlight w:val="none"/>
          <w:lang w:val="zh-CN"/>
        </w:rPr>
      </w:pPr>
      <w:bookmarkStart w:id="128" w:name="_Toc28603"/>
      <w:r>
        <w:rPr>
          <w:rFonts w:hint="eastAsia" w:ascii="宋体" w:hAnsi="宋体" w:cs="宋体"/>
          <w:szCs w:val="36"/>
          <w:highlight w:val="none"/>
          <w:lang w:val="zh-CN"/>
        </w:rPr>
        <w:t>第四部分  投标文件格式</w:t>
      </w:r>
      <w:bookmarkEnd w:id="126"/>
      <w:bookmarkEnd w:id="128"/>
    </w:p>
    <w:p w14:paraId="6CD115BF">
      <w:pPr>
        <w:autoSpaceDE w:val="0"/>
        <w:autoSpaceDN w:val="0"/>
        <w:spacing w:line="360" w:lineRule="auto"/>
        <w:jc w:val="center"/>
        <w:rPr>
          <w:rFonts w:hint="eastAsia" w:ascii="宋体" w:hAnsi="宋体" w:cs="宋体"/>
          <w:color w:val="000000"/>
          <w:kern w:val="0"/>
          <w:highlight w:val="none"/>
          <w:lang w:val="zh-CN"/>
        </w:rPr>
      </w:pPr>
    </w:p>
    <w:p w14:paraId="2C3C27A4">
      <w:pPr>
        <w:pStyle w:val="28"/>
        <w:spacing w:before="0" w:after="0" w:line="360" w:lineRule="auto"/>
        <w:jc w:val="left"/>
        <w:outlineLvl w:val="1"/>
        <w:rPr>
          <w:rFonts w:hint="eastAsia" w:ascii="宋体" w:hAnsi="宋体" w:cs="宋体"/>
          <w:highlight w:val="none"/>
        </w:rPr>
      </w:pPr>
      <w:bookmarkStart w:id="129" w:name="_Toc11851"/>
      <w:bookmarkStart w:id="130" w:name="_Toc8409"/>
      <w:bookmarkStart w:id="131" w:name="_Toc13419"/>
      <w:r>
        <w:rPr>
          <w:rFonts w:hint="eastAsia" w:ascii="宋体" w:hAnsi="宋体" w:cs="宋体"/>
          <w:sz w:val="30"/>
          <w:szCs w:val="30"/>
          <w:highlight w:val="none"/>
          <w:lang w:val="zh-CN"/>
        </w:rPr>
        <w:t>封面</w:t>
      </w:r>
      <w:bookmarkEnd w:id="129"/>
      <w:r>
        <w:rPr>
          <w:rFonts w:hint="eastAsia" w:ascii="宋体" w:hAnsi="宋体" w:cs="宋体"/>
          <w:sz w:val="30"/>
          <w:szCs w:val="30"/>
          <w:highlight w:val="none"/>
          <w:lang w:val="zh-CN"/>
        </w:rPr>
        <w:t>（上册）</w:t>
      </w:r>
      <w:bookmarkEnd w:id="130"/>
      <w:bookmarkEnd w:id="131"/>
    </w:p>
    <w:p w14:paraId="1AC97DBF">
      <w:pPr>
        <w:autoSpaceDE w:val="0"/>
        <w:autoSpaceDN w:val="0"/>
        <w:spacing w:line="360" w:lineRule="auto"/>
        <w:jc w:val="center"/>
        <w:rPr>
          <w:rFonts w:hint="eastAsia" w:ascii="宋体" w:hAnsi="宋体" w:cs="宋体"/>
          <w:b/>
          <w:bCs/>
          <w:kern w:val="0"/>
          <w:sz w:val="52"/>
          <w:szCs w:val="52"/>
          <w:highlight w:val="none"/>
        </w:rPr>
      </w:pPr>
      <w:r>
        <w:rPr>
          <w:rFonts w:hint="eastAsia" w:ascii="宋体" w:hAnsi="宋体" w:cs="宋体"/>
          <w:b/>
          <w:bCs/>
          <w:kern w:val="0"/>
          <w:sz w:val="52"/>
          <w:szCs w:val="52"/>
          <w:highlight w:val="none"/>
        </w:rPr>
        <w:t xml:space="preserve"> </w:t>
      </w:r>
    </w:p>
    <w:p w14:paraId="3EE9C095">
      <w:pPr>
        <w:autoSpaceDE w:val="0"/>
        <w:autoSpaceDN w:val="0"/>
        <w:spacing w:line="360" w:lineRule="auto"/>
        <w:jc w:val="center"/>
        <w:rPr>
          <w:rFonts w:hint="eastAsia" w:ascii="宋体" w:hAnsi="宋体" w:cs="宋体"/>
          <w:b/>
          <w:bCs/>
          <w:kern w:val="0"/>
          <w:sz w:val="52"/>
          <w:szCs w:val="52"/>
          <w:highlight w:val="none"/>
        </w:rPr>
      </w:pPr>
    </w:p>
    <w:p w14:paraId="288DF6D0">
      <w:pPr>
        <w:autoSpaceDE w:val="0"/>
        <w:autoSpaceDN w:val="0"/>
        <w:spacing w:line="360" w:lineRule="auto"/>
        <w:jc w:val="center"/>
        <w:rPr>
          <w:rFonts w:hint="eastAsia" w:ascii="宋体" w:hAnsi="宋体" w:cs="宋体"/>
          <w:b/>
          <w:bCs/>
          <w:kern w:val="0"/>
          <w:sz w:val="52"/>
          <w:szCs w:val="52"/>
          <w:highlight w:val="none"/>
          <w:lang w:val="zh-CN"/>
        </w:rPr>
      </w:pPr>
      <w:r>
        <w:rPr>
          <w:rFonts w:hint="eastAsia" w:ascii="宋体" w:hAnsi="宋体" w:cs="宋体"/>
          <w:b/>
          <w:bCs/>
          <w:kern w:val="0"/>
          <w:sz w:val="52"/>
          <w:szCs w:val="52"/>
          <w:highlight w:val="none"/>
          <w:lang w:val="zh-CN"/>
        </w:rPr>
        <w:t>青海省政府采购项目</w:t>
      </w:r>
    </w:p>
    <w:p w14:paraId="69424581">
      <w:pPr>
        <w:autoSpaceDE w:val="0"/>
        <w:autoSpaceDN w:val="0"/>
        <w:spacing w:line="360" w:lineRule="auto"/>
        <w:rPr>
          <w:rFonts w:hint="eastAsia" w:ascii="宋体" w:hAnsi="宋体" w:cs="宋体"/>
          <w:kern w:val="0"/>
          <w:sz w:val="36"/>
          <w:szCs w:val="36"/>
          <w:highlight w:val="none"/>
        </w:rPr>
      </w:pPr>
    </w:p>
    <w:p w14:paraId="2E714BB1">
      <w:pPr>
        <w:autoSpaceDE w:val="0"/>
        <w:autoSpaceDN w:val="0"/>
        <w:spacing w:line="360" w:lineRule="auto"/>
        <w:jc w:val="center"/>
        <w:rPr>
          <w:rFonts w:hint="eastAsia" w:ascii="宋体" w:hAnsi="宋体" w:cs="宋体"/>
          <w:b/>
          <w:bCs/>
          <w:kern w:val="0"/>
          <w:sz w:val="72"/>
          <w:szCs w:val="72"/>
          <w:highlight w:val="none"/>
          <w:lang w:val="zh-CN"/>
        </w:rPr>
      </w:pPr>
      <w:r>
        <w:rPr>
          <w:rFonts w:hint="eastAsia" w:ascii="宋体" w:hAnsi="宋体" w:cs="宋体"/>
          <w:b/>
          <w:bCs/>
          <w:kern w:val="0"/>
          <w:sz w:val="72"/>
          <w:szCs w:val="72"/>
          <w:highlight w:val="none"/>
          <w:lang w:val="zh-CN"/>
        </w:rPr>
        <w:t>投</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标</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文</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件</w:t>
      </w:r>
    </w:p>
    <w:p w14:paraId="4B71995F">
      <w:pPr>
        <w:autoSpaceDE w:val="0"/>
        <w:autoSpaceDN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sz w:val="36"/>
          <w:szCs w:val="36"/>
          <w:highlight w:val="none"/>
          <w:lang w:val="zh-CN"/>
        </w:rPr>
        <w:t>（上册）</w:t>
      </w:r>
    </w:p>
    <w:p w14:paraId="6015A3B5">
      <w:pPr>
        <w:autoSpaceDE w:val="0"/>
        <w:autoSpaceDN w:val="0"/>
        <w:spacing w:line="360" w:lineRule="auto"/>
        <w:jc w:val="center"/>
        <w:rPr>
          <w:rFonts w:hint="eastAsia" w:ascii="宋体" w:hAnsi="宋体" w:cs="宋体"/>
          <w:sz w:val="36"/>
          <w:szCs w:val="36"/>
          <w:highlight w:val="none"/>
          <w:lang w:val="zh-CN"/>
        </w:rPr>
      </w:pPr>
      <w:r>
        <w:rPr>
          <w:rFonts w:hint="eastAsia" w:ascii="宋体" w:hAnsi="宋体" w:cs="宋体"/>
          <w:b/>
          <w:bCs/>
          <w:sz w:val="36"/>
          <w:szCs w:val="36"/>
          <w:highlight w:val="none"/>
          <w:lang w:val="zh-CN"/>
        </w:rPr>
        <w:t>（资格审查文件）</w:t>
      </w:r>
    </w:p>
    <w:p w14:paraId="39363A8F">
      <w:pPr>
        <w:autoSpaceDE w:val="0"/>
        <w:autoSpaceDN w:val="0"/>
        <w:spacing w:line="360" w:lineRule="auto"/>
        <w:rPr>
          <w:rFonts w:hint="eastAsia" w:ascii="宋体" w:hAnsi="宋体" w:cs="宋体"/>
          <w:kern w:val="0"/>
          <w:sz w:val="36"/>
          <w:szCs w:val="36"/>
          <w:highlight w:val="none"/>
        </w:rPr>
      </w:pPr>
    </w:p>
    <w:p w14:paraId="707157B0">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lang w:val="zh-CN"/>
        </w:rPr>
        <w:t>采购项目编号：</w:t>
      </w:r>
    </w:p>
    <w:p w14:paraId="473DEFAD">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lang w:val="zh-CN"/>
        </w:rPr>
        <w:t>采购项目名称</w:t>
      </w:r>
      <w:r>
        <w:rPr>
          <w:rFonts w:hint="eastAsia" w:ascii="宋体" w:hAnsi="宋体" w:cs="宋体"/>
          <w:b/>
          <w:bCs/>
          <w:kern w:val="0"/>
          <w:sz w:val="36"/>
          <w:szCs w:val="36"/>
          <w:highlight w:val="none"/>
        </w:rPr>
        <w:t>：</w:t>
      </w:r>
    </w:p>
    <w:p w14:paraId="33B4C69C">
      <w:pPr>
        <w:autoSpaceDE w:val="0"/>
        <w:autoSpaceDN w:val="0"/>
        <w:spacing w:line="360" w:lineRule="auto"/>
        <w:rPr>
          <w:rFonts w:hint="eastAsia" w:ascii="宋体" w:hAnsi="宋体" w:cs="宋体"/>
          <w:b/>
          <w:bCs/>
          <w:kern w:val="0"/>
          <w:sz w:val="36"/>
          <w:szCs w:val="36"/>
          <w:highlight w:val="none"/>
        </w:rPr>
      </w:pPr>
    </w:p>
    <w:p w14:paraId="3C61ACA1">
      <w:pPr>
        <w:autoSpaceDE w:val="0"/>
        <w:autoSpaceDN w:val="0"/>
        <w:spacing w:line="360" w:lineRule="auto"/>
        <w:rPr>
          <w:rFonts w:hint="eastAsia" w:ascii="宋体" w:hAnsi="宋体" w:cs="宋体"/>
          <w:b/>
          <w:bCs/>
          <w:kern w:val="0"/>
          <w:sz w:val="36"/>
          <w:szCs w:val="36"/>
          <w:highlight w:val="none"/>
        </w:rPr>
      </w:pPr>
    </w:p>
    <w:p w14:paraId="39342810">
      <w:pPr>
        <w:autoSpaceDE w:val="0"/>
        <w:autoSpaceDN w:val="0"/>
        <w:spacing w:line="360" w:lineRule="auto"/>
        <w:rPr>
          <w:rFonts w:hint="eastAsia" w:ascii="宋体" w:hAnsi="宋体" w:cs="宋体"/>
          <w:b/>
          <w:bCs/>
          <w:kern w:val="0"/>
          <w:sz w:val="36"/>
          <w:szCs w:val="36"/>
          <w:highlight w:val="none"/>
        </w:rPr>
      </w:pPr>
    </w:p>
    <w:p w14:paraId="20F1BC0A">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投标人：</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rPr>
        <w:t>（</w:t>
      </w:r>
      <w:r>
        <w:rPr>
          <w:rFonts w:hint="eastAsia" w:ascii="宋体" w:hAnsi="宋体" w:cs="宋体"/>
          <w:b/>
          <w:bCs/>
          <w:kern w:val="0"/>
          <w:sz w:val="36"/>
          <w:szCs w:val="36"/>
          <w:highlight w:val="none"/>
          <w:lang w:val="zh-CN"/>
        </w:rPr>
        <w:t>公章）</w:t>
      </w:r>
    </w:p>
    <w:p w14:paraId="74C79762">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法定代表人或委托代理人：</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lang w:val="zh-CN"/>
        </w:rPr>
        <w:t>（签字或盖章）</w:t>
      </w:r>
    </w:p>
    <w:p w14:paraId="28077CF2">
      <w:pPr>
        <w:autoSpaceDE w:val="0"/>
        <w:autoSpaceDN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年</w:t>
      </w: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月</w:t>
      </w: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日</w:t>
      </w:r>
    </w:p>
    <w:p w14:paraId="42510A95">
      <w:pPr>
        <w:pStyle w:val="28"/>
        <w:spacing w:before="0" w:after="0" w:line="360" w:lineRule="auto"/>
        <w:jc w:val="left"/>
        <w:outlineLvl w:val="1"/>
        <w:rPr>
          <w:rFonts w:hint="eastAsia" w:ascii="宋体" w:hAnsi="宋体" w:cs="宋体"/>
          <w:highlight w:val="none"/>
          <w:lang w:val="zh-CN"/>
        </w:rPr>
      </w:pPr>
      <w:r>
        <w:rPr>
          <w:rFonts w:hint="eastAsia" w:ascii="宋体" w:hAnsi="宋体" w:cs="宋体"/>
          <w:b w:val="0"/>
          <w:bCs w:val="0"/>
          <w:kern w:val="0"/>
          <w:highlight w:val="none"/>
          <w:lang w:val="zh-CN"/>
        </w:rPr>
        <w:br w:type="page"/>
      </w:r>
      <w:bookmarkStart w:id="132" w:name="_Toc2866"/>
      <w:bookmarkStart w:id="133" w:name="_Toc26955"/>
      <w:bookmarkStart w:id="134" w:name="_Toc8514"/>
      <w:bookmarkStart w:id="135" w:name="_Toc29902"/>
      <w:r>
        <w:rPr>
          <w:rFonts w:hint="eastAsia" w:ascii="宋体" w:hAnsi="宋体" w:cs="宋体"/>
          <w:sz w:val="30"/>
          <w:szCs w:val="30"/>
          <w:highlight w:val="none"/>
          <w:lang w:val="zh-CN"/>
        </w:rPr>
        <w:t>目录（上册）</w:t>
      </w:r>
      <w:bookmarkEnd w:id="132"/>
      <w:bookmarkEnd w:id="133"/>
    </w:p>
    <w:p w14:paraId="3A0FD896">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投标函……………………………………………………………所在页码</w:t>
      </w:r>
    </w:p>
    <w:p w14:paraId="0CF4BFE6">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法定代表人证明书………………………………………………所在页码</w:t>
      </w:r>
    </w:p>
    <w:p w14:paraId="24728005">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法定代表人授权书………………………………………………所在页码</w:t>
      </w:r>
    </w:p>
    <w:p w14:paraId="57A612C3">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投标人承诺函……………………………………………………所在页码</w:t>
      </w:r>
    </w:p>
    <w:p w14:paraId="192A9F9B">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投标人诚信承诺书………………………………………………所在页码</w:t>
      </w:r>
    </w:p>
    <w:p w14:paraId="1339ABD8">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资格证明材料……………………………………………………所在页码</w:t>
      </w:r>
    </w:p>
    <w:p w14:paraId="2682293B">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财务状况报告，依法缴纳税收和社会保障资金的相关材料…所在页码</w:t>
      </w:r>
    </w:p>
    <w:p w14:paraId="6A7472E7">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具备履行合同所必需的设备和专业技术能力的证明材料……所在页码</w:t>
      </w:r>
    </w:p>
    <w:p w14:paraId="10690A26">
      <w:pPr>
        <w:numPr>
          <w:ilvl w:val="0"/>
          <w:numId w:val="6"/>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无重大违法记录声明……………………………………………所在页码</w:t>
      </w:r>
    </w:p>
    <w:bookmarkEnd w:id="134"/>
    <w:bookmarkEnd w:id="135"/>
    <w:p w14:paraId="28B6FB72">
      <w:pPr>
        <w:pStyle w:val="28"/>
        <w:spacing w:before="0" w:after="0" w:line="360" w:lineRule="auto"/>
        <w:jc w:val="left"/>
        <w:outlineLvl w:val="1"/>
        <w:rPr>
          <w:rFonts w:hint="eastAsia" w:ascii="宋体" w:hAnsi="宋体" w:cs="宋体"/>
          <w:b w:val="0"/>
          <w:bCs w:val="0"/>
          <w:kern w:val="0"/>
          <w:sz w:val="28"/>
          <w:szCs w:val="28"/>
          <w:highlight w:val="none"/>
          <w:lang w:val="zh-CN"/>
        </w:rPr>
      </w:pPr>
      <w:bookmarkStart w:id="136" w:name="_Toc19582"/>
      <w:r>
        <w:rPr>
          <w:rFonts w:hint="eastAsia" w:ascii="宋体" w:hAnsi="宋体" w:cs="宋体"/>
          <w:sz w:val="30"/>
          <w:szCs w:val="30"/>
          <w:highlight w:val="none"/>
          <w:lang w:val="zh-CN"/>
        </w:rPr>
        <w:br w:type="page"/>
      </w:r>
      <w:bookmarkStart w:id="137" w:name="_Toc12687"/>
      <w:bookmarkStart w:id="138" w:name="_Toc16338"/>
      <w:r>
        <w:rPr>
          <w:rFonts w:hint="eastAsia" w:ascii="宋体" w:hAnsi="宋体" w:cs="宋体"/>
          <w:sz w:val="30"/>
          <w:szCs w:val="30"/>
          <w:highlight w:val="none"/>
        </w:rPr>
        <w:t>（1）</w:t>
      </w:r>
      <w:r>
        <w:rPr>
          <w:rFonts w:hint="eastAsia" w:ascii="宋体" w:hAnsi="宋体" w:cs="宋体"/>
          <w:sz w:val="30"/>
          <w:szCs w:val="30"/>
          <w:highlight w:val="none"/>
          <w:lang w:val="zh-CN"/>
        </w:rPr>
        <w:t>投标函</w:t>
      </w:r>
      <w:bookmarkEnd w:id="136"/>
      <w:bookmarkEnd w:id="137"/>
      <w:bookmarkEnd w:id="138"/>
    </w:p>
    <w:p w14:paraId="0ED8FB44">
      <w:pPr>
        <w:pStyle w:val="28"/>
        <w:spacing w:before="0" w:after="0" w:line="360" w:lineRule="auto"/>
        <w:outlineLvl w:val="9"/>
        <w:rPr>
          <w:rFonts w:hint="eastAsia" w:ascii="宋体" w:hAnsi="宋体" w:cs="宋体"/>
          <w:b w:val="0"/>
          <w:bCs w:val="0"/>
          <w:kern w:val="0"/>
          <w:sz w:val="28"/>
          <w:szCs w:val="28"/>
          <w:highlight w:val="none"/>
          <w:lang w:val="zh-CN"/>
        </w:rPr>
      </w:pPr>
      <w:bookmarkStart w:id="139" w:name="_Toc24123"/>
      <w:bookmarkStart w:id="140" w:name="_Toc22043"/>
      <w:bookmarkStart w:id="141" w:name="_Toc13007"/>
      <w:r>
        <w:rPr>
          <w:rFonts w:hint="eastAsia" w:ascii="宋体" w:hAnsi="宋体" w:cs="宋体"/>
          <w:sz w:val="28"/>
          <w:szCs w:val="28"/>
          <w:highlight w:val="none"/>
          <w:lang w:val="zh-CN"/>
        </w:rPr>
        <w:t>投标函</w:t>
      </w:r>
      <w:bookmarkEnd w:id="139"/>
      <w:bookmarkEnd w:id="140"/>
      <w:bookmarkEnd w:id="141"/>
    </w:p>
    <w:p w14:paraId="352C11AE">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致：青海浩驰招标代理有限公司</w:t>
      </w:r>
    </w:p>
    <w:p w14:paraId="76AF1FF7">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我们收到</w:t>
      </w:r>
      <w:r>
        <w:rPr>
          <w:rFonts w:hint="eastAsia" w:ascii="宋体" w:hAnsi="宋体" w:cs="宋体"/>
          <w:kern w:val="0"/>
          <w:highlight w:val="none"/>
          <w:u w:val="single"/>
          <w:lang w:val="zh-CN"/>
        </w:rPr>
        <w:t>采购项目名称（采购项目编号）</w:t>
      </w:r>
      <w:r>
        <w:rPr>
          <w:rFonts w:hint="eastAsia" w:ascii="宋体" w:hAnsi="宋体" w:cs="宋体"/>
          <w:kern w:val="0"/>
          <w:highlight w:val="none"/>
          <w:lang w:val="zh-CN"/>
        </w:rPr>
        <w:t>招标文件，经研究，法定代表人（姓名、职务）正式授权（委托代理人姓名、职务）代表投标人（投标人名称、地址）提交投标文件。</w:t>
      </w:r>
    </w:p>
    <w:p w14:paraId="376A4C2E">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据此函，签字代表宣布同意如下：</w:t>
      </w:r>
    </w:p>
    <w:p w14:paraId="03F94786">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1.我方已详阅招标文件的全部内容，包括澄清、修改条款等有关附件，承诺对其完全理解并接受。</w:t>
      </w:r>
    </w:p>
    <w:p w14:paraId="0D3985BF">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2.投标有效期：</w:t>
      </w:r>
      <w:r>
        <w:rPr>
          <w:rFonts w:hint="eastAsia" w:ascii="宋体" w:hAnsi="宋体" w:cs="宋体"/>
          <w:highlight w:val="none"/>
          <w:shd w:val="clear" w:color="auto" w:fill="FFFFFF"/>
        </w:rPr>
        <w:t>从提交投标文件的截止之日起</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日历日内有效。</w:t>
      </w:r>
    </w:p>
    <w:p w14:paraId="72CCAE5A">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3.我方同意按照贵方要求提供与投标有关的一切数据或资料，理解并接受贵方制定的评标办法。</w:t>
      </w:r>
    </w:p>
    <w:p w14:paraId="314994DA">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4.与本投标有关的一切正式往来通讯请寄：</w:t>
      </w:r>
    </w:p>
    <w:p w14:paraId="6EE0473C">
      <w:pPr>
        <w:autoSpaceDE w:val="0"/>
        <w:autoSpaceDN w:val="0"/>
        <w:spacing w:line="360" w:lineRule="auto"/>
        <w:rPr>
          <w:rFonts w:hint="eastAsia" w:ascii="宋体" w:hAnsi="宋体" w:cs="宋体"/>
          <w:kern w:val="0"/>
          <w:highlight w:val="none"/>
          <w:lang w:val="zh-CN"/>
        </w:rPr>
      </w:pPr>
    </w:p>
    <w:p w14:paraId="2D19B30C">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地址：_______________          邮编：______________</w:t>
      </w:r>
    </w:p>
    <w:p w14:paraId="4DF69CB7">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电话：_______________          传真：______________</w:t>
      </w:r>
    </w:p>
    <w:p w14:paraId="08E6EBA8">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法定代表人姓名： ___________   职务：____________</w:t>
      </w:r>
    </w:p>
    <w:p w14:paraId="1DEB30F9">
      <w:pPr>
        <w:autoSpaceDE w:val="0"/>
        <w:autoSpaceDN w:val="0"/>
        <w:spacing w:line="360" w:lineRule="auto"/>
        <w:rPr>
          <w:rFonts w:hint="eastAsia" w:ascii="宋体" w:hAnsi="宋体" w:cs="宋体"/>
          <w:kern w:val="0"/>
          <w:highlight w:val="none"/>
          <w:lang w:val="zh-CN"/>
        </w:rPr>
      </w:pPr>
    </w:p>
    <w:p w14:paraId="62C288FC">
      <w:pPr>
        <w:autoSpaceDE w:val="0"/>
        <w:autoSpaceDN w:val="0"/>
        <w:spacing w:line="360" w:lineRule="auto"/>
        <w:rPr>
          <w:rFonts w:hint="eastAsia" w:ascii="宋体" w:hAnsi="宋体" w:cs="宋体"/>
          <w:kern w:val="0"/>
          <w:highlight w:val="none"/>
          <w:lang w:val="zh-CN"/>
        </w:rPr>
      </w:pPr>
    </w:p>
    <w:p w14:paraId="5C0E2527">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25B441CE">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0F4D4040">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21A68482">
      <w:pPr>
        <w:pStyle w:val="28"/>
        <w:spacing w:before="0" w:after="0" w:line="360" w:lineRule="auto"/>
        <w:jc w:val="left"/>
        <w:outlineLvl w:val="1"/>
        <w:rPr>
          <w:rFonts w:hint="eastAsia" w:ascii="宋体" w:hAnsi="宋体" w:cs="宋体"/>
          <w:highlight w:val="none"/>
        </w:rPr>
      </w:pPr>
      <w:r>
        <w:rPr>
          <w:rFonts w:hint="eastAsia" w:ascii="宋体" w:hAnsi="宋体" w:cs="宋体"/>
          <w:b w:val="0"/>
          <w:bCs w:val="0"/>
          <w:kern w:val="0"/>
          <w:sz w:val="24"/>
          <w:highlight w:val="none"/>
          <w:lang w:val="zh-CN"/>
        </w:rPr>
        <w:br w:type="page"/>
      </w:r>
      <w:bookmarkStart w:id="142" w:name="_Toc2391"/>
      <w:bookmarkStart w:id="143" w:name="_Toc13492"/>
      <w:bookmarkStart w:id="144" w:name="_Toc29944"/>
      <w:r>
        <w:rPr>
          <w:rFonts w:hint="eastAsia" w:ascii="宋体" w:hAnsi="宋体" w:cs="宋体"/>
          <w:kern w:val="0"/>
          <w:sz w:val="30"/>
          <w:szCs w:val="30"/>
          <w:highlight w:val="none"/>
          <w:lang w:val="zh-CN"/>
        </w:rPr>
        <w:t>（</w:t>
      </w:r>
      <w:r>
        <w:rPr>
          <w:rFonts w:hint="eastAsia" w:ascii="宋体" w:hAnsi="宋体" w:cs="宋体"/>
          <w:kern w:val="0"/>
          <w:sz w:val="30"/>
          <w:szCs w:val="30"/>
          <w:highlight w:val="none"/>
        </w:rPr>
        <w:t>2</w:t>
      </w:r>
      <w:r>
        <w:rPr>
          <w:rFonts w:hint="eastAsia" w:ascii="宋体" w:hAnsi="宋体" w:cs="宋体"/>
          <w:kern w:val="0"/>
          <w:sz w:val="30"/>
          <w:szCs w:val="30"/>
          <w:highlight w:val="none"/>
          <w:lang w:val="zh-CN"/>
        </w:rPr>
        <w:t>）</w:t>
      </w:r>
      <w:r>
        <w:rPr>
          <w:rFonts w:hint="eastAsia" w:ascii="宋体" w:hAnsi="宋体" w:cs="宋体"/>
          <w:sz w:val="30"/>
          <w:szCs w:val="30"/>
          <w:highlight w:val="none"/>
        </w:rPr>
        <w:t>法定代表人证明书</w:t>
      </w:r>
      <w:bookmarkEnd w:id="142"/>
      <w:bookmarkEnd w:id="143"/>
    </w:p>
    <w:p w14:paraId="0C363DFB">
      <w:pPr>
        <w:autoSpaceDE w:val="0"/>
        <w:autoSpaceDN w:val="0"/>
        <w:spacing w:line="360" w:lineRule="auto"/>
        <w:rPr>
          <w:rFonts w:hint="eastAsia" w:ascii="宋体" w:hAnsi="宋体" w:cs="宋体"/>
          <w:kern w:val="0"/>
          <w:sz w:val="28"/>
          <w:szCs w:val="28"/>
          <w:highlight w:val="none"/>
          <w:lang w:val="zh-CN"/>
        </w:rPr>
      </w:pPr>
    </w:p>
    <w:p w14:paraId="17F475FE">
      <w:pPr>
        <w:pStyle w:val="28"/>
        <w:spacing w:before="0" w:after="0" w:line="360" w:lineRule="auto"/>
        <w:outlineLvl w:val="9"/>
        <w:rPr>
          <w:rFonts w:hint="eastAsia" w:ascii="宋体" w:hAnsi="宋体" w:cs="宋体"/>
          <w:szCs w:val="36"/>
          <w:highlight w:val="none"/>
          <w:lang w:val="zh-CN"/>
        </w:rPr>
      </w:pPr>
      <w:bookmarkStart w:id="145" w:name="_Toc13831"/>
      <w:bookmarkStart w:id="146" w:name="_Toc17071"/>
      <w:bookmarkStart w:id="147" w:name="_Toc584"/>
      <w:r>
        <w:rPr>
          <w:rFonts w:hint="eastAsia" w:ascii="宋体" w:hAnsi="宋体" w:cs="宋体"/>
          <w:sz w:val="28"/>
          <w:szCs w:val="28"/>
          <w:highlight w:val="none"/>
          <w:lang w:val="zh-CN"/>
        </w:rPr>
        <w:t>法定代表人证明书</w:t>
      </w:r>
      <w:bookmarkEnd w:id="145"/>
      <w:bookmarkEnd w:id="146"/>
      <w:bookmarkEnd w:id="147"/>
    </w:p>
    <w:p w14:paraId="185F4068">
      <w:pPr>
        <w:autoSpaceDE w:val="0"/>
        <w:autoSpaceDN w:val="0"/>
        <w:spacing w:line="360" w:lineRule="auto"/>
        <w:rPr>
          <w:rFonts w:hint="eastAsia" w:ascii="宋体" w:hAnsi="宋体" w:cs="宋体"/>
          <w:b/>
          <w:bCs/>
          <w:kern w:val="0"/>
          <w:sz w:val="28"/>
          <w:szCs w:val="28"/>
          <w:highlight w:val="none"/>
          <w:lang w:val="zh-CN"/>
        </w:rPr>
      </w:pPr>
    </w:p>
    <w:p w14:paraId="193692ED">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致：青海浩驰招标代理有限公司</w:t>
      </w:r>
    </w:p>
    <w:p w14:paraId="5DAF49F7">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 xml:space="preserve">    </w:t>
      </w:r>
      <w:r>
        <w:rPr>
          <w:rFonts w:hint="eastAsia" w:ascii="宋体" w:hAnsi="宋体" w:cs="宋体"/>
          <w:kern w:val="0"/>
          <w:highlight w:val="none"/>
          <w:u w:val="single"/>
          <w:lang w:val="zh-CN"/>
        </w:rPr>
        <w:t>（法定代表人姓名）</w:t>
      </w:r>
      <w:r>
        <w:rPr>
          <w:rFonts w:hint="eastAsia" w:ascii="宋体" w:hAnsi="宋体" w:cs="宋体"/>
          <w:kern w:val="0"/>
          <w:highlight w:val="none"/>
          <w:lang w:val="zh-CN"/>
        </w:rPr>
        <w:t>现任我单位</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职务，为法定代表人，特此证明。</w:t>
      </w:r>
    </w:p>
    <w:p w14:paraId="28B56797">
      <w:pPr>
        <w:autoSpaceDE w:val="0"/>
        <w:autoSpaceDN w:val="0"/>
        <w:spacing w:line="360" w:lineRule="auto"/>
        <w:rPr>
          <w:rFonts w:hint="eastAsia" w:ascii="宋体" w:hAnsi="宋体" w:cs="宋体"/>
          <w:kern w:val="0"/>
          <w:highlight w:val="none"/>
          <w:lang w:val="zh-CN"/>
        </w:rPr>
      </w:pPr>
    </w:p>
    <w:p w14:paraId="5253E40C">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法定代表人基本情况：</w:t>
      </w:r>
    </w:p>
    <w:p w14:paraId="7760722E">
      <w:pPr>
        <w:autoSpaceDE w:val="0"/>
        <w:autoSpaceDN w:val="0"/>
        <w:spacing w:line="360" w:lineRule="auto"/>
        <w:rPr>
          <w:rFonts w:hint="eastAsia" w:ascii="宋体" w:hAnsi="宋体" w:cs="宋体"/>
          <w:kern w:val="0"/>
          <w:highlight w:val="none"/>
          <w:u w:val="single"/>
          <w:lang w:val="zh-CN"/>
        </w:rPr>
      </w:pPr>
      <w:r>
        <w:rPr>
          <w:rFonts w:hint="eastAsia" w:ascii="宋体" w:hAnsi="宋体" w:cs="宋体"/>
          <w:kern w:val="0"/>
          <w:highlight w:val="none"/>
          <w:lang w:val="zh-CN"/>
        </w:rPr>
        <w:t>性别：</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年龄：</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 xml:space="preserve"> 民族：</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 xml:space="preserve"> </w:t>
      </w:r>
      <w:r>
        <w:rPr>
          <w:rFonts w:hint="eastAsia" w:ascii="宋体" w:hAnsi="宋体" w:cs="宋体"/>
          <w:kern w:val="0"/>
          <w:highlight w:val="none"/>
          <w:u w:val="single"/>
          <w:lang w:val="zh-CN"/>
        </w:rPr>
        <w:t xml:space="preserve">      </w:t>
      </w:r>
    </w:p>
    <w:p w14:paraId="4A093609">
      <w:pPr>
        <w:autoSpaceDE w:val="0"/>
        <w:autoSpaceDN w:val="0"/>
        <w:spacing w:line="360" w:lineRule="auto"/>
        <w:rPr>
          <w:rFonts w:hint="eastAsia" w:ascii="宋体" w:hAnsi="宋体" w:cs="宋体"/>
          <w:kern w:val="0"/>
          <w:highlight w:val="none"/>
          <w:u w:val="single"/>
          <w:lang w:val="zh-CN"/>
        </w:rPr>
      </w:pPr>
      <w:r>
        <w:rPr>
          <w:rFonts w:hint="eastAsia" w:ascii="宋体" w:hAnsi="宋体" w:cs="宋体"/>
          <w:kern w:val="0"/>
          <w:highlight w:val="none"/>
          <w:lang w:val="zh-CN"/>
        </w:rPr>
        <w:t>地址：</w:t>
      </w:r>
      <w:r>
        <w:rPr>
          <w:rFonts w:hint="eastAsia" w:ascii="宋体" w:hAnsi="宋体" w:cs="宋体"/>
          <w:kern w:val="0"/>
          <w:highlight w:val="none"/>
          <w:u w:val="single"/>
          <w:lang w:val="zh-CN"/>
        </w:rPr>
        <w:t xml:space="preserve">                                            </w:t>
      </w:r>
    </w:p>
    <w:p w14:paraId="5E6AE3B0">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身份证号码：</w:t>
      </w:r>
      <w:r>
        <w:rPr>
          <w:rFonts w:hint="eastAsia" w:ascii="宋体" w:hAnsi="宋体" w:cs="宋体"/>
          <w:kern w:val="0"/>
          <w:highlight w:val="none"/>
          <w:u w:val="single"/>
          <w:lang w:val="zh-CN"/>
        </w:rPr>
        <w:t xml:space="preserve">                                      </w:t>
      </w:r>
    </w:p>
    <w:p w14:paraId="45ADD0C5">
      <w:pPr>
        <w:autoSpaceDE w:val="0"/>
        <w:autoSpaceDN w:val="0"/>
        <w:spacing w:line="360" w:lineRule="auto"/>
        <w:rPr>
          <w:rFonts w:hint="eastAsia" w:ascii="宋体" w:hAnsi="宋体" w:cs="宋体"/>
          <w:kern w:val="0"/>
          <w:highlight w:val="none"/>
          <w:lang w:val="zh-CN"/>
        </w:rPr>
      </w:pPr>
    </w:p>
    <w:p w14:paraId="382EFCBE">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附法定代表人第二代身份证双面扫描（或复印）件</w:t>
      </w:r>
    </w:p>
    <w:p w14:paraId="7DA2E36E">
      <w:pPr>
        <w:autoSpaceDE w:val="0"/>
        <w:autoSpaceDN w:val="0"/>
        <w:spacing w:line="360" w:lineRule="auto"/>
        <w:rPr>
          <w:rFonts w:hint="eastAsia" w:ascii="宋体" w:hAnsi="宋体" w:cs="宋体"/>
          <w:kern w:val="0"/>
          <w:highlight w:val="none"/>
          <w:lang w:val="zh-CN"/>
        </w:rPr>
      </w:pPr>
    </w:p>
    <w:p w14:paraId="6CFBEE11">
      <w:pPr>
        <w:autoSpaceDE w:val="0"/>
        <w:autoSpaceDN w:val="0"/>
        <w:spacing w:line="360" w:lineRule="auto"/>
        <w:rPr>
          <w:rFonts w:hint="eastAsia" w:ascii="宋体" w:hAnsi="宋体" w:cs="宋体"/>
          <w:kern w:val="0"/>
          <w:highlight w:val="none"/>
          <w:lang w:val="zh-CN"/>
        </w:rPr>
      </w:pPr>
    </w:p>
    <w:p w14:paraId="17E8ECCD">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5DD13A3B">
      <w:pPr>
        <w:autoSpaceDE w:val="0"/>
        <w:autoSpaceDN w:val="0"/>
        <w:spacing w:line="360" w:lineRule="auto"/>
        <w:jc w:val="center"/>
        <w:rPr>
          <w:rFonts w:hint="eastAsia" w:ascii="宋体" w:hAnsi="宋体" w:cs="宋体"/>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3EB3C765">
      <w:pPr>
        <w:pStyle w:val="28"/>
        <w:numPr>
          <w:ilvl w:val="0"/>
          <w:numId w:val="7"/>
        </w:numPr>
        <w:spacing w:before="0" w:after="0" w:line="360" w:lineRule="auto"/>
        <w:jc w:val="left"/>
        <w:outlineLvl w:val="1"/>
        <w:rPr>
          <w:rFonts w:hint="eastAsia" w:ascii="宋体" w:hAnsi="宋体" w:cs="宋体"/>
          <w:sz w:val="30"/>
          <w:szCs w:val="30"/>
          <w:highlight w:val="none"/>
          <w:lang w:val="zh-CN"/>
        </w:rPr>
      </w:pPr>
      <w:r>
        <w:rPr>
          <w:rFonts w:hint="eastAsia" w:ascii="宋体" w:hAnsi="宋体" w:cs="宋体"/>
          <w:highlight w:val="none"/>
          <w:lang w:val="zh-CN"/>
        </w:rPr>
        <w:br w:type="page"/>
      </w:r>
      <w:bookmarkEnd w:id="144"/>
      <w:bookmarkStart w:id="148" w:name="_Toc5436"/>
      <w:bookmarkStart w:id="149" w:name="_Toc16562"/>
      <w:bookmarkStart w:id="150" w:name="_Toc17284"/>
      <w:r>
        <w:rPr>
          <w:rFonts w:hint="eastAsia" w:ascii="宋体" w:hAnsi="宋体" w:cs="宋体"/>
          <w:sz w:val="30"/>
          <w:szCs w:val="30"/>
          <w:highlight w:val="none"/>
          <w:lang w:val="zh-CN"/>
        </w:rPr>
        <w:t>法定代表人授权书</w:t>
      </w:r>
      <w:bookmarkEnd w:id="148"/>
      <w:bookmarkEnd w:id="149"/>
    </w:p>
    <w:p w14:paraId="11F53EFE">
      <w:pPr>
        <w:rPr>
          <w:highlight w:val="none"/>
          <w:lang w:val="zh-CN"/>
        </w:rPr>
      </w:pPr>
    </w:p>
    <w:p w14:paraId="087E4CD3">
      <w:pPr>
        <w:pStyle w:val="28"/>
        <w:spacing w:before="0" w:after="0" w:line="360" w:lineRule="auto"/>
        <w:outlineLvl w:val="9"/>
        <w:rPr>
          <w:rFonts w:hint="eastAsia" w:ascii="宋体" w:hAnsi="宋体" w:cs="宋体"/>
          <w:sz w:val="28"/>
          <w:szCs w:val="28"/>
          <w:highlight w:val="none"/>
          <w:lang w:val="zh-CN"/>
        </w:rPr>
      </w:pPr>
      <w:bookmarkStart w:id="151" w:name="_Toc9600"/>
      <w:bookmarkStart w:id="152" w:name="_Toc9777"/>
      <w:bookmarkStart w:id="153" w:name="_Toc4982"/>
      <w:r>
        <w:rPr>
          <w:rFonts w:hint="eastAsia" w:ascii="宋体" w:hAnsi="宋体" w:cs="宋体"/>
          <w:sz w:val="28"/>
          <w:szCs w:val="28"/>
          <w:highlight w:val="none"/>
          <w:lang w:val="zh-CN"/>
        </w:rPr>
        <w:t>法定代表人授权书</w:t>
      </w:r>
      <w:bookmarkEnd w:id="151"/>
      <w:bookmarkEnd w:id="152"/>
      <w:bookmarkEnd w:id="153"/>
    </w:p>
    <w:p w14:paraId="7055F71E">
      <w:pPr>
        <w:autoSpaceDE w:val="0"/>
        <w:autoSpaceDN w:val="0"/>
        <w:spacing w:line="360" w:lineRule="auto"/>
        <w:rPr>
          <w:rFonts w:hint="eastAsia" w:ascii="宋体" w:hAnsi="宋体" w:cs="宋体"/>
          <w:b/>
          <w:bCs/>
          <w:kern w:val="0"/>
          <w:sz w:val="28"/>
          <w:szCs w:val="28"/>
          <w:highlight w:val="none"/>
          <w:lang w:val="zh-CN"/>
        </w:rPr>
      </w:pPr>
    </w:p>
    <w:p w14:paraId="2CF62A24">
      <w:pPr>
        <w:autoSpaceDE w:val="0"/>
        <w:autoSpaceDN w:val="0"/>
        <w:spacing w:line="360" w:lineRule="auto"/>
        <w:rPr>
          <w:rFonts w:hint="eastAsia" w:ascii="宋体" w:hAnsi="宋体" w:cs="宋体"/>
          <w:b/>
          <w:bCs/>
          <w:kern w:val="0"/>
          <w:highlight w:val="none"/>
          <w:lang w:val="zh-CN"/>
        </w:rPr>
      </w:pPr>
      <w:r>
        <w:rPr>
          <w:rFonts w:hint="eastAsia" w:ascii="宋体" w:hAnsi="宋体" w:cs="宋体"/>
          <w:b/>
          <w:bCs/>
          <w:kern w:val="0"/>
          <w:highlight w:val="none"/>
          <w:lang w:val="zh-CN"/>
        </w:rPr>
        <w:t>致：青海浩驰招标代理有限公司</w:t>
      </w:r>
    </w:p>
    <w:p w14:paraId="7ABB84CF">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 xml:space="preserve">    </w:t>
      </w:r>
      <w:r>
        <w:rPr>
          <w:rFonts w:hint="eastAsia" w:ascii="宋体" w:hAnsi="宋体" w:cs="宋体"/>
          <w:kern w:val="0"/>
          <w:highlight w:val="none"/>
          <w:u w:val="single"/>
          <w:lang w:val="zh-CN"/>
        </w:rPr>
        <w:t>（投标人名称）</w:t>
      </w:r>
      <w:r>
        <w:rPr>
          <w:rFonts w:hint="eastAsia" w:ascii="宋体" w:hAnsi="宋体" w:cs="宋体"/>
          <w:kern w:val="0"/>
          <w:highlight w:val="none"/>
          <w:lang w:val="zh-CN"/>
        </w:rPr>
        <w:t>系中华人民共和国合法企业，法定地址</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w:t>
      </w:r>
    </w:p>
    <w:p w14:paraId="06E30252">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rPr>
        <w:t xml:space="preserve">    </w:t>
      </w:r>
      <w:r>
        <w:rPr>
          <w:rFonts w:hint="eastAsia" w:ascii="宋体" w:hAnsi="宋体" w:cs="宋体"/>
          <w:kern w:val="0"/>
          <w:highlight w:val="none"/>
          <w:u w:val="single"/>
          <w:lang w:val="zh-CN"/>
        </w:rPr>
        <w:t>（法定代表人姓名）</w:t>
      </w:r>
      <w:r>
        <w:rPr>
          <w:rFonts w:hint="eastAsia" w:ascii="宋体" w:hAnsi="宋体" w:cs="宋体"/>
          <w:kern w:val="0"/>
          <w:highlight w:val="none"/>
          <w:lang w:val="zh-CN"/>
        </w:rPr>
        <w:t>特授权</w:t>
      </w:r>
      <w:r>
        <w:rPr>
          <w:rFonts w:hint="eastAsia" w:ascii="宋体" w:hAnsi="宋体" w:cs="宋体"/>
          <w:kern w:val="0"/>
          <w:highlight w:val="none"/>
          <w:u w:val="single"/>
          <w:lang w:val="zh-CN"/>
        </w:rPr>
        <w:t>（委托代理人姓名）</w:t>
      </w:r>
      <w:r>
        <w:rPr>
          <w:rFonts w:hint="eastAsia" w:ascii="宋体" w:hAnsi="宋体" w:cs="宋体"/>
          <w:kern w:val="0"/>
          <w:highlight w:val="none"/>
          <w:lang w:val="zh-CN"/>
        </w:rPr>
        <w:t>代表我单位全权办理</w:t>
      </w:r>
    </w:p>
    <w:p w14:paraId="4DDCC6D9">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项目的投标、答疑等具体工作，并签署全部有关的文件、资料。</w:t>
      </w:r>
    </w:p>
    <w:p w14:paraId="29C5627A">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我单位对被授权人的签名负全部责任。</w:t>
      </w:r>
    </w:p>
    <w:p w14:paraId="145FAE86">
      <w:pPr>
        <w:autoSpaceDE w:val="0"/>
        <w:autoSpaceDN w:val="0"/>
        <w:spacing w:line="360" w:lineRule="auto"/>
        <w:ind w:firstLine="480"/>
        <w:rPr>
          <w:rFonts w:hint="eastAsia" w:ascii="宋体" w:hAnsi="宋体" w:cs="宋体"/>
          <w:kern w:val="0"/>
          <w:highlight w:val="none"/>
          <w:u w:val="single"/>
        </w:rPr>
      </w:pPr>
      <w:r>
        <w:rPr>
          <w:rFonts w:hint="eastAsia" w:ascii="宋体" w:hAnsi="宋体" w:cs="宋体"/>
          <w:kern w:val="0"/>
          <w:highlight w:val="none"/>
          <w:lang w:val="zh-CN"/>
        </w:rPr>
        <w:t>被授权人联系电话：</w:t>
      </w:r>
      <w:r>
        <w:rPr>
          <w:rFonts w:hint="eastAsia" w:ascii="宋体" w:hAnsi="宋体" w:cs="宋体"/>
          <w:kern w:val="0"/>
          <w:highlight w:val="none"/>
          <w:u w:val="none"/>
          <w:lang w:val="zh-CN"/>
        </w:rPr>
        <w:t xml:space="preserve">          </w:t>
      </w:r>
      <w:r>
        <w:rPr>
          <w:rFonts w:hint="eastAsia" w:ascii="宋体" w:hAnsi="宋体" w:cs="宋体"/>
          <w:kern w:val="0"/>
          <w:highlight w:val="none"/>
          <w:u w:val="none"/>
        </w:rPr>
        <w:t xml:space="preserve">   </w:t>
      </w:r>
      <w:r>
        <w:rPr>
          <w:rFonts w:hint="eastAsia" w:ascii="宋体" w:hAnsi="宋体" w:cs="宋体"/>
          <w:kern w:val="0"/>
          <w:highlight w:val="none"/>
          <w:u w:val="single"/>
        </w:rPr>
        <w:t xml:space="preserve">           </w:t>
      </w:r>
    </w:p>
    <w:p w14:paraId="35B71A1B">
      <w:pPr>
        <w:pStyle w:val="41"/>
        <w:rPr>
          <w:highlight w:val="none"/>
        </w:rPr>
      </w:pPr>
    </w:p>
    <w:p w14:paraId="4C7145F7">
      <w:pPr>
        <w:autoSpaceDE w:val="0"/>
        <w:autoSpaceDN w:val="0"/>
        <w:spacing w:line="360" w:lineRule="auto"/>
        <w:rPr>
          <w:rFonts w:hint="eastAsia" w:ascii="宋体" w:hAnsi="宋体" w:cs="宋体"/>
          <w:kern w:val="0"/>
          <w:highlight w:val="none"/>
          <w:u w:val="single"/>
        </w:rPr>
      </w:pPr>
      <w:r>
        <w:rPr>
          <w:rFonts w:hint="eastAsia" w:ascii="宋体" w:hAnsi="宋体" w:cs="宋体"/>
          <w:kern w:val="0"/>
          <w:highlight w:val="none"/>
          <w:lang w:val="zh-CN"/>
        </w:rPr>
        <w:t>被授权人（委托代理人）签字：</w:t>
      </w:r>
      <w:r>
        <w:rPr>
          <w:rFonts w:hint="eastAsia" w:ascii="宋体" w:hAnsi="宋体" w:cs="宋体"/>
          <w:kern w:val="0"/>
          <w:highlight w:val="none"/>
          <w:u w:val="single"/>
          <w:lang w:val="zh-CN"/>
        </w:rPr>
        <w:t xml:space="preserve">          </w:t>
      </w:r>
      <w:r>
        <w:rPr>
          <w:rFonts w:hint="eastAsia" w:ascii="宋体" w:hAnsi="宋体" w:cs="宋体"/>
          <w:kern w:val="0"/>
          <w:highlight w:val="none"/>
          <w:u w:val="single"/>
        </w:rPr>
        <w:t xml:space="preserve">      </w:t>
      </w:r>
      <w:r>
        <w:rPr>
          <w:rFonts w:hint="eastAsia" w:ascii="宋体" w:hAnsi="宋体" w:cs="宋体"/>
          <w:kern w:val="0"/>
          <w:highlight w:val="none"/>
          <w:lang w:val="zh-CN"/>
        </w:rPr>
        <w:t>职务：</w:t>
      </w:r>
      <w:r>
        <w:rPr>
          <w:rFonts w:hint="eastAsia" w:ascii="宋体" w:hAnsi="宋体" w:cs="宋体"/>
          <w:kern w:val="0"/>
          <w:highlight w:val="none"/>
        </w:rPr>
        <w:t xml:space="preserve">                  </w:t>
      </w:r>
      <w:r>
        <w:rPr>
          <w:rFonts w:hint="eastAsia" w:ascii="宋体" w:hAnsi="宋体" w:cs="宋体"/>
          <w:kern w:val="0"/>
          <w:highlight w:val="none"/>
          <w:u w:val="single"/>
        </w:rPr>
        <w:t xml:space="preserve"> </w:t>
      </w:r>
    </w:p>
    <w:p w14:paraId="3095EB80">
      <w:pPr>
        <w:autoSpaceDE w:val="0"/>
        <w:autoSpaceDN w:val="0"/>
        <w:spacing w:line="360" w:lineRule="auto"/>
        <w:rPr>
          <w:rFonts w:hint="eastAsia" w:ascii="宋体" w:hAnsi="宋体" w:cs="宋体"/>
          <w:kern w:val="0"/>
          <w:highlight w:val="none"/>
          <w:u w:val="single"/>
          <w:lang w:val="zh-CN"/>
        </w:rPr>
      </w:pPr>
      <w:r>
        <w:rPr>
          <w:rFonts w:hint="eastAsia" w:ascii="宋体" w:hAnsi="宋体" w:cs="宋体"/>
          <w:kern w:val="0"/>
          <w:highlight w:val="none"/>
          <w:lang w:val="zh-CN"/>
        </w:rPr>
        <w:t>授权人（法定代表人）签字或盖章：</w:t>
      </w:r>
      <w:r>
        <w:rPr>
          <w:rFonts w:hint="eastAsia" w:ascii="宋体" w:hAnsi="宋体" w:cs="宋体"/>
          <w:kern w:val="0"/>
          <w:highlight w:val="none"/>
          <w:u w:val="single"/>
          <w:lang w:val="zh-CN"/>
        </w:rPr>
        <w:t xml:space="preserve">   </w:t>
      </w:r>
      <w:r>
        <w:rPr>
          <w:rFonts w:hint="eastAsia" w:ascii="宋体" w:hAnsi="宋体" w:cs="宋体"/>
          <w:kern w:val="0"/>
          <w:highlight w:val="none"/>
          <w:u w:val="single"/>
        </w:rPr>
        <w:t xml:space="preserve">     </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职务：</w:t>
      </w:r>
    </w:p>
    <w:p w14:paraId="02784E04">
      <w:pPr>
        <w:autoSpaceDE w:val="0"/>
        <w:autoSpaceDN w:val="0"/>
        <w:spacing w:line="360" w:lineRule="auto"/>
        <w:rPr>
          <w:rFonts w:hint="eastAsia" w:ascii="宋体" w:hAnsi="宋体" w:cs="宋体"/>
          <w:kern w:val="0"/>
          <w:highlight w:val="none"/>
          <w:u w:val="single"/>
          <w:lang w:val="zh-CN"/>
        </w:rPr>
      </w:pP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 xml:space="preserve">  </w:t>
      </w:r>
      <w:r>
        <w:rPr>
          <w:rFonts w:hint="eastAsia" w:ascii="宋体" w:hAnsi="宋体" w:cs="宋体"/>
          <w:kern w:val="0"/>
          <w:highlight w:val="none"/>
          <w:u w:val="single"/>
          <w:lang w:val="zh-CN"/>
        </w:rPr>
        <w:t xml:space="preserve">                           </w:t>
      </w:r>
    </w:p>
    <w:p w14:paraId="5C55B1FD">
      <w:pPr>
        <w:autoSpaceDE w:val="0"/>
        <w:autoSpaceDN w:val="0"/>
        <w:spacing w:line="360" w:lineRule="auto"/>
        <w:rPr>
          <w:rFonts w:hint="eastAsia" w:ascii="宋体" w:hAnsi="宋体" w:cs="宋体"/>
          <w:kern w:val="0"/>
          <w:highlight w:val="none"/>
          <w:lang w:val="zh-CN"/>
        </w:rPr>
      </w:pPr>
    </w:p>
    <w:p w14:paraId="5E9A1C24">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附被授权人第二代身份证双面扫描（或复印）件</w:t>
      </w:r>
    </w:p>
    <w:p w14:paraId="59366AC4">
      <w:pPr>
        <w:autoSpaceDE w:val="0"/>
        <w:autoSpaceDN w:val="0"/>
        <w:spacing w:line="360" w:lineRule="auto"/>
        <w:rPr>
          <w:rFonts w:hint="eastAsia" w:ascii="宋体" w:hAnsi="宋体" w:cs="宋体"/>
          <w:kern w:val="0"/>
          <w:highlight w:val="none"/>
          <w:lang w:val="zh-CN"/>
        </w:rPr>
      </w:pPr>
    </w:p>
    <w:p w14:paraId="17AACB4E">
      <w:pPr>
        <w:autoSpaceDE w:val="0"/>
        <w:autoSpaceDN w:val="0"/>
        <w:spacing w:line="360" w:lineRule="auto"/>
        <w:rPr>
          <w:rFonts w:hint="eastAsia" w:ascii="宋体" w:hAnsi="宋体" w:cs="宋体"/>
          <w:kern w:val="0"/>
          <w:highlight w:val="none"/>
          <w:lang w:val="zh-CN"/>
        </w:rPr>
      </w:pPr>
    </w:p>
    <w:p w14:paraId="0E462A9C">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34DD49C9">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286476D1">
      <w:pPr>
        <w:autoSpaceDE w:val="0"/>
        <w:autoSpaceDN w:val="0"/>
        <w:spacing w:line="360" w:lineRule="auto"/>
        <w:rPr>
          <w:rFonts w:hint="eastAsia" w:ascii="宋体" w:hAnsi="宋体" w:cs="宋体"/>
          <w:kern w:val="0"/>
          <w:highlight w:val="none"/>
          <w:lang w:val="zh-CN"/>
        </w:rPr>
      </w:pPr>
    </w:p>
    <w:p w14:paraId="312EFEC0">
      <w:pPr>
        <w:pStyle w:val="28"/>
        <w:numPr>
          <w:ilvl w:val="0"/>
          <w:numId w:val="8"/>
        </w:numPr>
        <w:spacing w:before="0" w:after="0" w:line="360" w:lineRule="auto"/>
        <w:jc w:val="left"/>
        <w:outlineLvl w:val="1"/>
        <w:rPr>
          <w:rFonts w:hint="eastAsia" w:ascii="宋体" w:hAnsi="宋体" w:cs="宋体"/>
          <w:sz w:val="30"/>
          <w:szCs w:val="30"/>
          <w:highlight w:val="none"/>
          <w:lang w:val="zh-CN"/>
        </w:rPr>
      </w:pPr>
      <w:r>
        <w:rPr>
          <w:rFonts w:hint="eastAsia" w:ascii="宋体" w:hAnsi="宋体" w:cs="宋体"/>
          <w:highlight w:val="none"/>
          <w:lang w:val="zh-CN"/>
        </w:rPr>
        <w:br w:type="page"/>
      </w:r>
      <w:bookmarkStart w:id="154" w:name="_Toc9404"/>
      <w:bookmarkStart w:id="155" w:name="_Toc32306"/>
      <w:r>
        <w:rPr>
          <w:rFonts w:hint="eastAsia" w:ascii="宋体" w:hAnsi="宋体" w:cs="宋体"/>
          <w:sz w:val="30"/>
          <w:szCs w:val="30"/>
          <w:highlight w:val="none"/>
          <w:lang w:val="zh-CN"/>
        </w:rPr>
        <w:t>投标人承诺函</w:t>
      </w:r>
      <w:bookmarkEnd w:id="154"/>
      <w:bookmarkEnd w:id="155"/>
    </w:p>
    <w:p w14:paraId="72EFE8E2">
      <w:pPr>
        <w:rPr>
          <w:highlight w:val="none"/>
          <w:lang w:val="zh-CN"/>
        </w:rPr>
      </w:pPr>
    </w:p>
    <w:p w14:paraId="78C61DD5">
      <w:pPr>
        <w:pStyle w:val="28"/>
        <w:spacing w:before="0" w:after="0" w:line="360" w:lineRule="auto"/>
        <w:outlineLvl w:val="9"/>
        <w:rPr>
          <w:rFonts w:hint="eastAsia" w:ascii="宋体" w:hAnsi="宋体" w:cs="宋体"/>
          <w:b w:val="0"/>
          <w:bCs w:val="0"/>
          <w:kern w:val="0"/>
          <w:sz w:val="28"/>
          <w:szCs w:val="28"/>
          <w:highlight w:val="none"/>
          <w:lang w:val="zh-CN"/>
        </w:rPr>
      </w:pPr>
      <w:bookmarkStart w:id="156" w:name="_Toc25971"/>
      <w:bookmarkStart w:id="157" w:name="_Toc10720"/>
      <w:bookmarkStart w:id="158" w:name="_Toc23712"/>
      <w:r>
        <w:rPr>
          <w:rFonts w:hint="eastAsia" w:ascii="宋体" w:hAnsi="宋体" w:cs="宋体"/>
          <w:sz w:val="28"/>
          <w:szCs w:val="28"/>
          <w:highlight w:val="none"/>
          <w:lang w:val="zh-CN"/>
        </w:rPr>
        <w:t>投标人承诺函</w:t>
      </w:r>
      <w:bookmarkEnd w:id="156"/>
      <w:bookmarkEnd w:id="157"/>
      <w:bookmarkEnd w:id="158"/>
    </w:p>
    <w:p w14:paraId="63737EC5">
      <w:pPr>
        <w:autoSpaceDE w:val="0"/>
        <w:autoSpaceDN w:val="0"/>
        <w:spacing w:line="360" w:lineRule="auto"/>
        <w:rPr>
          <w:rFonts w:hint="eastAsia" w:ascii="宋体" w:hAnsi="宋体" w:cs="宋体"/>
          <w:b/>
          <w:bCs/>
          <w:kern w:val="0"/>
          <w:highlight w:val="none"/>
          <w:lang w:val="zh-CN"/>
        </w:rPr>
      </w:pPr>
      <w:r>
        <w:rPr>
          <w:rFonts w:hint="eastAsia" w:ascii="宋体" w:hAnsi="宋体" w:cs="宋体"/>
          <w:b/>
          <w:bCs/>
          <w:kern w:val="0"/>
          <w:highlight w:val="none"/>
          <w:lang w:val="zh-CN"/>
        </w:rPr>
        <w:t>致：青海浩驰招标代理有限公司</w:t>
      </w:r>
    </w:p>
    <w:p w14:paraId="60D33849">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关于贵方</w:t>
      </w:r>
      <w:r>
        <w:rPr>
          <w:rFonts w:hint="eastAsia" w:ascii="宋体" w:hAnsi="宋体" w:cs="宋体"/>
          <w:kern w:val="0"/>
          <w:highlight w:val="none"/>
          <w:u w:val="single"/>
        </w:rPr>
        <w:t xml:space="preserve">   </w:t>
      </w:r>
      <w:r>
        <w:rPr>
          <w:rFonts w:hint="eastAsia" w:ascii="宋体" w:hAnsi="宋体" w:cs="宋体"/>
          <w:kern w:val="0"/>
          <w:highlight w:val="none"/>
          <w:lang w:val="zh-CN"/>
        </w:rPr>
        <w:t>年</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月</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日</w:t>
      </w:r>
      <w:r>
        <w:rPr>
          <w:rFonts w:hint="eastAsia" w:ascii="宋体" w:hAnsi="宋体" w:cs="宋体"/>
          <w:kern w:val="0"/>
          <w:highlight w:val="none"/>
          <w:u w:val="single"/>
          <w:lang w:val="zh-CN"/>
        </w:rPr>
        <w:t xml:space="preserve">          (项目名称)</w:t>
      </w:r>
      <w:r>
        <w:rPr>
          <w:rFonts w:hint="eastAsia" w:ascii="宋体" w:hAnsi="宋体" w:cs="宋体"/>
          <w:kern w:val="0"/>
          <w:highlight w:val="none"/>
          <w:lang w:val="zh-CN"/>
        </w:rPr>
        <w:t>采购项目，本签字人愿意参加投标，提供采购一览表中要求的所有产品，并证实提交的所有资料是准确的和真实的。同时，我代表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single"/>
          <w:lang w:val="zh-CN"/>
        </w:rPr>
        <w:t>（投标人名称）</w:t>
      </w:r>
      <w:r>
        <w:rPr>
          <w:rFonts w:hint="eastAsia" w:ascii="宋体" w:hAnsi="宋体" w:cs="宋体"/>
          <w:kern w:val="0"/>
          <w:highlight w:val="none"/>
          <w:lang w:val="zh-CN"/>
        </w:rPr>
        <w:t>，在此作如下承诺：</w:t>
      </w:r>
    </w:p>
    <w:p w14:paraId="222337DD">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 xml:space="preserve">   </w:t>
      </w:r>
      <w:r>
        <w:rPr>
          <w:rFonts w:hint="eastAsia" w:ascii="宋体" w:hAnsi="宋体" w:cs="宋体"/>
          <w:kern w:val="0"/>
          <w:highlight w:val="none"/>
        </w:rPr>
        <w:t xml:space="preserve"> </w:t>
      </w:r>
      <w:r>
        <w:rPr>
          <w:rFonts w:hint="eastAsia" w:ascii="宋体" w:hAnsi="宋体" w:cs="宋体"/>
          <w:kern w:val="0"/>
          <w:highlight w:val="none"/>
          <w:lang w:val="zh-CN"/>
        </w:rPr>
        <w:t>1.完全理解和接受招标文件的一切规定和要求；</w:t>
      </w:r>
    </w:p>
    <w:p w14:paraId="3C22EFFA">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235D29BB">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3、我方保证甲方在使用该产品或其任何一部分时，不受第三方提出的侵犯专利权、著作权、商标权和工业设计权等知识产权的起诉，若有违犯，愿承担相应的一切责任。</w:t>
      </w:r>
    </w:p>
    <w:p w14:paraId="4816B197">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4、我方承诺，除招标文件中规定的进口产品外，所投的产品均为国产产品，且均符合国家强制性标准。若有不实，愿承担相应的责任。</w:t>
      </w:r>
    </w:p>
    <w:p w14:paraId="29A7D2B6">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5、在整个招标过程中我方若有违规行为，贵方可按招标文件之规定给予处罚，我方完全接受。</w:t>
      </w:r>
    </w:p>
    <w:p w14:paraId="264B5654">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6、若中标，本承诺将成为合同不可分割的一部分，与合同具有同等的法律效力。</w:t>
      </w:r>
    </w:p>
    <w:p w14:paraId="333B8F8F">
      <w:pPr>
        <w:autoSpaceDE w:val="0"/>
        <w:autoSpaceDN w:val="0"/>
        <w:spacing w:line="360" w:lineRule="auto"/>
        <w:rPr>
          <w:rFonts w:hint="eastAsia" w:ascii="宋体" w:hAnsi="宋体" w:cs="宋体"/>
          <w:kern w:val="0"/>
          <w:highlight w:val="none"/>
          <w:lang w:val="zh-CN"/>
        </w:rPr>
      </w:pPr>
    </w:p>
    <w:p w14:paraId="0EFF3FE3">
      <w:pPr>
        <w:autoSpaceDE w:val="0"/>
        <w:autoSpaceDN w:val="0"/>
        <w:spacing w:line="360" w:lineRule="auto"/>
        <w:rPr>
          <w:rFonts w:hint="eastAsia" w:ascii="宋体" w:hAnsi="宋体" w:cs="宋体"/>
          <w:kern w:val="0"/>
          <w:highlight w:val="none"/>
          <w:lang w:val="zh-CN"/>
        </w:rPr>
      </w:pPr>
    </w:p>
    <w:p w14:paraId="7142A042">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240AF80B">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53DA7F68">
      <w:pPr>
        <w:autoSpaceDE w:val="0"/>
        <w:autoSpaceDN w:val="0"/>
        <w:spacing w:line="360" w:lineRule="auto"/>
        <w:jc w:val="center"/>
        <w:rPr>
          <w:rFonts w:hint="eastAsia" w:ascii="宋体" w:hAnsi="宋体" w:cs="宋体"/>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0056A894">
      <w:pPr>
        <w:pStyle w:val="28"/>
        <w:spacing w:before="0" w:after="0" w:line="360" w:lineRule="auto"/>
        <w:jc w:val="left"/>
        <w:outlineLvl w:val="1"/>
        <w:rPr>
          <w:rFonts w:hint="eastAsia" w:ascii="宋体" w:hAnsi="宋体" w:cs="宋体"/>
          <w:sz w:val="28"/>
          <w:szCs w:val="28"/>
          <w:highlight w:val="none"/>
          <w:lang w:val="zh-CN"/>
        </w:rPr>
      </w:pPr>
      <w:r>
        <w:rPr>
          <w:rFonts w:hint="eastAsia" w:ascii="宋体" w:hAnsi="宋体" w:cs="宋体"/>
          <w:highlight w:val="none"/>
          <w:lang w:val="zh-CN"/>
        </w:rPr>
        <w:br w:type="page"/>
      </w:r>
      <w:bookmarkStart w:id="159" w:name="_Toc20016"/>
      <w:bookmarkStart w:id="160" w:name="_Toc6427"/>
      <w:r>
        <w:rPr>
          <w:rFonts w:hint="eastAsia" w:ascii="宋体" w:hAnsi="宋体" w:cs="宋体"/>
          <w:sz w:val="30"/>
          <w:szCs w:val="30"/>
          <w:highlight w:val="none"/>
        </w:rPr>
        <w:t>（5）</w:t>
      </w:r>
      <w:r>
        <w:rPr>
          <w:rFonts w:hint="eastAsia" w:ascii="宋体" w:hAnsi="宋体" w:cs="宋体"/>
          <w:sz w:val="30"/>
          <w:szCs w:val="30"/>
          <w:highlight w:val="none"/>
          <w:lang w:val="zh-CN"/>
        </w:rPr>
        <w:t>投标人诚信承诺书</w:t>
      </w:r>
      <w:bookmarkEnd w:id="159"/>
      <w:bookmarkEnd w:id="160"/>
    </w:p>
    <w:p w14:paraId="178DE98B">
      <w:pPr>
        <w:pStyle w:val="28"/>
        <w:spacing w:before="0" w:after="0" w:line="360" w:lineRule="auto"/>
        <w:outlineLvl w:val="9"/>
        <w:rPr>
          <w:rFonts w:hint="eastAsia" w:ascii="宋体" w:hAnsi="宋体" w:cs="宋体"/>
          <w:sz w:val="28"/>
          <w:szCs w:val="28"/>
          <w:highlight w:val="none"/>
          <w:lang w:val="zh-CN"/>
        </w:rPr>
      </w:pPr>
      <w:bookmarkStart w:id="161" w:name="_Toc27265"/>
      <w:bookmarkStart w:id="162" w:name="_Toc21093"/>
      <w:bookmarkStart w:id="163" w:name="_Toc31204"/>
      <w:r>
        <w:rPr>
          <w:rFonts w:hint="eastAsia" w:ascii="宋体" w:hAnsi="宋体" w:cs="宋体"/>
          <w:sz w:val="28"/>
          <w:szCs w:val="28"/>
          <w:highlight w:val="none"/>
          <w:lang w:val="zh-CN"/>
        </w:rPr>
        <w:t>投标人诚信承诺书</w:t>
      </w:r>
      <w:bookmarkEnd w:id="161"/>
      <w:bookmarkEnd w:id="162"/>
      <w:bookmarkEnd w:id="163"/>
    </w:p>
    <w:p w14:paraId="3A4540AE">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致：青海浩驰招标代理有限公司</w:t>
      </w:r>
    </w:p>
    <w:p w14:paraId="0DCF2A7D">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为了诚实、客观、有序地参与青海省政府采购活动，愿就以下内容作出承诺：</w:t>
      </w:r>
    </w:p>
    <w:p w14:paraId="5F9DA9D7">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一、自觉遵守各项法律、法规、规章、制度以及社会公德，维护廉洁环境，与同场竞争的其他投标人平等参加政府采购活动。</w:t>
      </w:r>
    </w:p>
    <w:p w14:paraId="3E89924B">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二、参加采购代理机构组织的政府采购活动时，严格按照招标文件的规定和要求提供所需的相关材料，并对所提供的各类资料的真实性负责，不虚假应标，不虚列业绩。</w:t>
      </w:r>
    </w:p>
    <w:p w14:paraId="3EBE2462">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三、尊重参与政府采购活动各相关方的合法行为，接受政府采购活动依法形成的意见、结果。</w:t>
      </w:r>
    </w:p>
    <w:p w14:paraId="1F8694FA">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四、依法参加政府采购活动，不围标、串标，维护市场秩序，不提供“三无”产品、以次充好。</w:t>
      </w:r>
    </w:p>
    <w:p w14:paraId="090DF857">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五、积极推动政府采购活动健康开展，对采购活动有疑问、异议时，按法律规定的程序实名反映情况，不恶意中伤、无事生非，以和谐、平等的心态参加政府采购活动。</w:t>
      </w:r>
    </w:p>
    <w:p w14:paraId="77FCD9F3">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zh-CN"/>
        </w:rPr>
        <w:t>六、认真履行中标人应承担的责任和义务，全面执行采购合同规定的各项内容，保质保量地按时提供采购物品。</w:t>
      </w:r>
    </w:p>
    <w:p w14:paraId="3A422FE5">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若本企业（单位）发生有悖于上述承诺的行为，愿意接受《中华人民共和国政府采购法》和《政府采购法实施条例》中对投标人的相关处理。</w:t>
      </w:r>
    </w:p>
    <w:p w14:paraId="18343E55">
      <w:pPr>
        <w:autoSpaceDE w:val="0"/>
        <w:autoSpaceDN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本承诺是采购项目投标文件的组成部分。</w:t>
      </w:r>
    </w:p>
    <w:p w14:paraId="27480A10">
      <w:pPr>
        <w:autoSpaceDE w:val="0"/>
        <w:autoSpaceDN w:val="0"/>
        <w:spacing w:line="360" w:lineRule="auto"/>
        <w:rPr>
          <w:rFonts w:hint="eastAsia" w:ascii="宋体" w:hAnsi="宋体" w:cs="宋体"/>
          <w:kern w:val="0"/>
          <w:highlight w:val="none"/>
          <w:lang w:val="zh-CN"/>
        </w:rPr>
      </w:pPr>
    </w:p>
    <w:p w14:paraId="11B6D0B9">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2D71F292">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077388B5">
      <w:pPr>
        <w:autoSpaceDE w:val="0"/>
        <w:autoSpaceDN w:val="0"/>
        <w:spacing w:line="360" w:lineRule="auto"/>
        <w:jc w:val="center"/>
        <w:rPr>
          <w:rFonts w:hint="eastAsia" w:ascii="宋体" w:hAnsi="宋体" w:cs="宋体"/>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76504E09">
      <w:pPr>
        <w:pStyle w:val="28"/>
        <w:spacing w:before="0" w:after="0" w:line="360" w:lineRule="auto"/>
        <w:jc w:val="left"/>
        <w:outlineLvl w:val="1"/>
        <w:rPr>
          <w:rFonts w:hint="eastAsia" w:ascii="宋体" w:hAnsi="宋体" w:cs="宋体"/>
          <w:sz w:val="28"/>
          <w:szCs w:val="28"/>
          <w:highlight w:val="none"/>
          <w:lang w:val="zh-CN"/>
        </w:rPr>
      </w:pPr>
      <w:r>
        <w:rPr>
          <w:rFonts w:hint="eastAsia" w:ascii="宋体" w:hAnsi="宋体" w:cs="宋体"/>
          <w:kern w:val="0"/>
          <w:sz w:val="24"/>
          <w:highlight w:val="none"/>
          <w:lang w:val="zh-CN"/>
        </w:rPr>
        <w:br w:type="page"/>
      </w:r>
      <w:bookmarkEnd w:id="150"/>
      <w:bookmarkStart w:id="164" w:name="_Toc31943"/>
      <w:bookmarkStart w:id="165" w:name="_Toc3280"/>
      <w:bookmarkStart w:id="166" w:name="_Toc8344"/>
      <w:r>
        <w:rPr>
          <w:rFonts w:hint="eastAsia" w:ascii="宋体" w:hAnsi="宋体" w:cs="宋体"/>
          <w:sz w:val="30"/>
          <w:szCs w:val="30"/>
          <w:highlight w:val="none"/>
        </w:rPr>
        <w:t>（6）</w:t>
      </w:r>
      <w:r>
        <w:rPr>
          <w:rFonts w:hint="eastAsia" w:ascii="宋体" w:hAnsi="宋体" w:cs="宋体"/>
          <w:sz w:val="30"/>
          <w:szCs w:val="30"/>
          <w:highlight w:val="none"/>
          <w:lang w:val="zh-CN"/>
        </w:rPr>
        <w:t>资格证明材料</w:t>
      </w:r>
      <w:bookmarkEnd w:id="164"/>
      <w:bookmarkEnd w:id="165"/>
    </w:p>
    <w:p w14:paraId="01CE97A6">
      <w:pPr>
        <w:pStyle w:val="28"/>
        <w:spacing w:before="0" w:after="0" w:line="360" w:lineRule="auto"/>
        <w:outlineLvl w:val="9"/>
        <w:rPr>
          <w:rFonts w:hint="eastAsia" w:ascii="宋体" w:hAnsi="宋体" w:cs="宋体"/>
          <w:kern w:val="0"/>
          <w:sz w:val="28"/>
          <w:szCs w:val="28"/>
          <w:highlight w:val="none"/>
          <w:lang w:val="zh-CN"/>
        </w:rPr>
      </w:pPr>
      <w:bookmarkStart w:id="167" w:name="_Toc10476"/>
      <w:bookmarkStart w:id="168" w:name="_Toc21389"/>
      <w:bookmarkStart w:id="169" w:name="_Toc12839"/>
      <w:r>
        <w:rPr>
          <w:rFonts w:hint="eastAsia" w:ascii="宋体" w:hAnsi="宋体" w:cs="宋体"/>
          <w:sz w:val="28"/>
          <w:szCs w:val="28"/>
          <w:highlight w:val="none"/>
          <w:lang w:val="zh-CN"/>
        </w:rPr>
        <w:t>资格证明材料</w:t>
      </w:r>
      <w:bookmarkEnd w:id="167"/>
      <w:bookmarkEnd w:id="168"/>
      <w:bookmarkEnd w:id="169"/>
    </w:p>
    <w:p w14:paraId="6D9C6FD4">
      <w:pPr>
        <w:spacing w:line="360" w:lineRule="auto"/>
        <w:ind w:firstLine="480" w:firstLineChars="200"/>
        <w:rPr>
          <w:rFonts w:hint="eastAsia" w:ascii="宋体" w:hAnsi="宋体" w:cs="宋体"/>
          <w:highlight w:val="none"/>
        </w:rPr>
      </w:pPr>
      <w:r>
        <w:rPr>
          <w:rFonts w:hint="eastAsia" w:ascii="宋体" w:hAnsi="宋体" w:cs="宋体"/>
          <w:highlight w:val="none"/>
        </w:rPr>
        <w:t>资格证明材料包括：</w:t>
      </w:r>
    </w:p>
    <w:p w14:paraId="257AFE86">
      <w:pPr>
        <w:numPr>
          <w:ilvl w:val="0"/>
          <w:numId w:val="9"/>
        </w:numPr>
        <w:spacing w:line="360" w:lineRule="auto"/>
        <w:ind w:firstLine="480"/>
        <w:rPr>
          <w:rFonts w:hint="eastAsia" w:ascii="宋体" w:hAnsi="宋体" w:cs="宋体"/>
          <w:highlight w:val="none"/>
        </w:rPr>
      </w:pPr>
      <w:r>
        <w:rPr>
          <w:rFonts w:hint="eastAsia" w:ascii="宋体" w:hAnsi="宋体" w:cs="宋体"/>
          <w:highlight w:val="none"/>
        </w:rPr>
        <w:t>提供有效的营业执照、税务登记证、机构代码证或三证（五证）合一统一社会代码证及其他资格证明文件（扫描或复印件）；</w:t>
      </w:r>
    </w:p>
    <w:p w14:paraId="7A831173">
      <w:pPr>
        <w:spacing w:line="360" w:lineRule="auto"/>
        <w:ind w:firstLine="480" w:firstLineChars="200"/>
        <w:rPr>
          <w:rFonts w:hint="eastAsia" w:ascii="宋体" w:hAnsi="宋体" w:cs="宋体"/>
          <w:highlight w:val="none"/>
        </w:rPr>
      </w:pPr>
      <w:r>
        <w:rPr>
          <w:rFonts w:hint="eastAsia" w:ascii="宋体" w:hAnsi="宋体"/>
          <w:highlight w:val="none"/>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11416084">
      <w:pPr>
        <w:spacing w:line="360" w:lineRule="auto"/>
        <w:ind w:firstLine="480" w:firstLineChars="200"/>
        <w:rPr>
          <w:rFonts w:hint="eastAsia" w:ascii="宋体" w:hAnsi="宋体" w:cs="宋体"/>
          <w:highlight w:val="none"/>
        </w:rPr>
      </w:pPr>
      <w:r>
        <w:rPr>
          <w:rFonts w:hint="eastAsia" w:ascii="宋体" w:hAnsi="宋体" w:cs="宋体"/>
          <w:highlight w:val="none"/>
        </w:rPr>
        <w:t>（2）招标文件规定的有关资格证书、许可证书、认证等；</w:t>
      </w:r>
    </w:p>
    <w:p w14:paraId="1420659F">
      <w:pPr>
        <w:spacing w:line="360" w:lineRule="auto"/>
        <w:ind w:firstLine="480" w:firstLineChars="200"/>
        <w:rPr>
          <w:rFonts w:hint="eastAsia" w:ascii="宋体" w:hAnsi="宋体" w:cs="宋体"/>
          <w:highlight w:val="none"/>
        </w:rPr>
      </w:pPr>
      <w:r>
        <w:rPr>
          <w:rFonts w:hint="eastAsia" w:ascii="宋体" w:hAnsi="宋体" w:cs="宋体"/>
          <w:highlight w:val="none"/>
        </w:rPr>
        <w:t>（3）投标人认为有必要提供的其他资格证明文件。</w:t>
      </w:r>
    </w:p>
    <w:p w14:paraId="31AF221D">
      <w:pPr>
        <w:autoSpaceDE w:val="0"/>
        <w:autoSpaceDN w:val="0"/>
        <w:spacing w:line="360" w:lineRule="auto"/>
        <w:ind w:left="0" w:leftChars="0" w:firstLine="48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（4）特定资质：</w:t>
      </w:r>
    </w:p>
    <w:p w14:paraId="141B0978">
      <w:pPr>
        <w:autoSpaceDE w:val="0"/>
        <w:autoSpaceDN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①</w:t>
      </w:r>
      <w:r>
        <w:rPr>
          <w:rFonts w:hint="eastAsia" w:ascii="宋体" w:hAnsi="宋体" w:eastAsia="宋体" w:cs="宋体"/>
          <w:color w:val="auto"/>
          <w:sz w:val="24"/>
          <w:szCs w:val="24"/>
          <w:highlight w:val="none"/>
          <w:lang w:val="en-US" w:eastAsia="zh-CN"/>
        </w:rPr>
        <w:t>供应商须具备市政公用工程施工总承包三级（含三级）及以上资质；</w:t>
      </w:r>
    </w:p>
    <w:p w14:paraId="1DFF6E19">
      <w:pPr>
        <w:autoSpaceDE w:val="0"/>
        <w:autoSpaceDN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②</w:t>
      </w:r>
      <w:r>
        <w:rPr>
          <w:rFonts w:hint="eastAsia" w:ascii="宋体" w:hAnsi="宋体" w:eastAsia="宋体" w:cs="宋体"/>
          <w:color w:val="auto"/>
          <w:sz w:val="24"/>
          <w:szCs w:val="24"/>
          <w:highlight w:val="none"/>
          <w:lang w:val="en-US" w:eastAsia="zh-CN"/>
        </w:rPr>
        <w:t>供应商具有有效的安全生产许可证；</w:t>
      </w:r>
    </w:p>
    <w:p w14:paraId="61A34E62">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lang w:eastAsia="zh-CN"/>
        </w:rPr>
        <w:t>③</w:t>
      </w:r>
      <w:r>
        <w:rPr>
          <w:rFonts w:hint="eastAsia" w:ascii="宋体" w:hAnsi="宋体" w:eastAsia="宋体" w:cs="宋体"/>
          <w:color w:val="auto"/>
          <w:sz w:val="24"/>
          <w:szCs w:val="24"/>
          <w:highlight w:val="none"/>
          <w:lang w:val="en-US" w:eastAsia="zh-CN"/>
        </w:rPr>
        <w:t>本项目委派的项目经理必须具备市政公用工程二级及以上执业资格证、注册证（注册单位应与投标单位一致），具备有效的安全生产考核合格证书；</w:t>
      </w:r>
    </w:p>
    <w:p w14:paraId="3B2EBE1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④省外企业需提供有效的进青备案登记手续。</w:t>
      </w:r>
    </w:p>
    <w:p w14:paraId="39E74B0C">
      <w:pPr>
        <w:pStyle w:val="28"/>
        <w:spacing w:before="0" w:after="0" w:line="360" w:lineRule="auto"/>
        <w:jc w:val="left"/>
        <w:outlineLvl w:val="1"/>
        <w:rPr>
          <w:rFonts w:hint="eastAsia" w:ascii="宋体" w:hAnsi="宋体" w:cs="宋体"/>
          <w:highlight w:val="none"/>
        </w:rPr>
      </w:pPr>
      <w:r>
        <w:rPr>
          <w:rFonts w:hint="eastAsia" w:ascii="宋体" w:hAnsi="宋体" w:cs="宋体"/>
          <w:kern w:val="0"/>
          <w:sz w:val="24"/>
          <w:highlight w:val="none"/>
          <w:lang w:val="zh-CN"/>
        </w:rPr>
        <w:br w:type="page"/>
      </w:r>
      <w:bookmarkStart w:id="170" w:name="_Toc28159"/>
      <w:bookmarkStart w:id="171" w:name="_Toc7342"/>
      <w:r>
        <w:rPr>
          <w:rFonts w:hint="eastAsia" w:ascii="宋体" w:hAnsi="宋体" w:cs="宋体"/>
          <w:sz w:val="30"/>
          <w:szCs w:val="30"/>
          <w:highlight w:val="none"/>
        </w:rPr>
        <w:t>（7）</w:t>
      </w:r>
      <w:r>
        <w:rPr>
          <w:rFonts w:hint="eastAsia" w:ascii="宋体" w:hAnsi="宋体" w:cs="宋体"/>
          <w:sz w:val="30"/>
          <w:szCs w:val="30"/>
          <w:highlight w:val="none"/>
          <w:lang w:val="zh-CN"/>
        </w:rPr>
        <w:t>财务状况报告，依法缴纳税收和社会保障资金的相关材料</w:t>
      </w:r>
      <w:bookmarkEnd w:id="170"/>
      <w:bookmarkEnd w:id="171"/>
    </w:p>
    <w:p w14:paraId="7936CD5E">
      <w:pPr>
        <w:autoSpaceDE w:val="0"/>
        <w:autoSpaceDN w:val="0"/>
        <w:spacing w:line="360" w:lineRule="auto"/>
        <w:rPr>
          <w:rFonts w:hint="eastAsia" w:ascii="宋体" w:hAnsi="宋体" w:cs="宋体"/>
          <w:kern w:val="0"/>
          <w:sz w:val="28"/>
          <w:szCs w:val="28"/>
          <w:highlight w:val="none"/>
          <w:lang w:val="zh-CN"/>
        </w:rPr>
      </w:pPr>
    </w:p>
    <w:p w14:paraId="46719053">
      <w:pPr>
        <w:autoSpaceDE w:val="0"/>
        <w:autoSpaceDN w:val="0"/>
        <w:spacing w:line="360" w:lineRule="auto"/>
        <w:jc w:val="center"/>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财务状况报告，依法缴纳税收和社会保障资金的相关材料</w:t>
      </w:r>
    </w:p>
    <w:p w14:paraId="0DBA9FB0">
      <w:pPr>
        <w:autoSpaceDE w:val="0"/>
        <w:autoSpaceDN w:val="0"/>
        <w:spacing w:line="360" w:lineRule="auto"/>
        <w:rPr>
          <w:rFonts w:hint="eastAsia" w:ascii="宋体" w:hAnsi="宋体" w:cs="宋体"/>
          <w:kern w:val="0"/>
          <w:sz w:val="28"/>
          <w:szCs w:val="28"/>
          <w:highlight w:val="none"/>
          <w:lang w:val="zh-CN"/>
        </w:rPr>
      </w:pPr>
    </w:p>
    <w:p w14:paraId="4B8CED1E">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按照招标文件第2.2款（1）中第&lt;2&gt;条规定提供以下相关材料。</w:t>
      </w:r>
    </w:p>
    <w:p w14:paraId="78716AFE">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1、投标人是法人的，提供基本开户银行近三个月内出具的资信证明（同时提供基本存款账户开户许可证）或</w:t>
      </w:r>
      <w:r>
        <w:rPr>
          <w:rFonts w:hint="eastAsia" w:ascii="宋体" w:hAnsi="宋体" w:cs="宋体"/>
          <w:highlight w:val="none"/>
          <w:lang w:val="zh-CN"/>
        </w:rPr>
        <w:t>（</w:t>
      </w:r>
      <w:r>
        <w:rPr>
          <w:rFonts w:hint="eastAsia" w:ascii="宋体" w:hAnsi="宋体" w:cs="宋体"/>
          <w:highlight w:val="none"/>
        </w:rPr>
        <w:t>202</w:t>
      </w:r>
      <w:r>
        <w:rPr>
          <w:rFonts w:hint="eastAsia" w:ascii="宋体" w:hAnsi="宋体" w:cs="宋体"/>
          <w:highlight w:val="none"/>
          <w:lang w:val="en-US" w:eastAsia="zh-CN"/>
        </w:rPr>
        <w:t>4</w:t>
      </w:r>
      <w:r>
        <w:rPr>
          <w:rFonts w:hint="eastAsia" w:ascii="宋体" w:hAnsi="宋体" w:cs="宋体"/>
          <w:highlight w:val="none"/>
        </w:rPr>
        <w:t>年度或202</w:t>
      </w:r>
      <w:r>
        <w:rPr>
          <w:rFonts w:hint="eastAsia" w:ascii="宋体" w:hAnsi="宋体" w:cs="宋体"/>
          <w:highlight w:val="none"/>
          <w:lang w:val="en-US" w:eastAsia="zh-CN"/>
        </w:rPr>
        <w:t>5</w:t>
      </w:r>
      <w:r>
        <w:rPr>
          <w:rFonts w:hint="eastAsia" w:ascii="宋体" w:hAnsi="宋体" w:cs="宋体"/>
          <w:highlight w:val="none"/>
        </w:rPr>
        <w:t>年度</w:t>
      </w:r>
      <w:r>
        <w:rPr>
          <w:rFonts w:hint="eastAsia" w:ascii="宋体" w:hAnsi="宋体" w:cs="宋体"/>
          <w:highlight w:val="none"/>
          <w:lang w:val="zh-CN"/>
        </w:rPr>
        <w:t>）</w:t>
      </w:r>
      <w:r>
        <w:rPr>
          <w:rFonts w:hint="eastAsia" w:ascii="宋体" w:hAnsi="宋体" w:cs="宋体"/>
          <w:highlight w:val="none"/>
        </w:rPr>
        <w:t>经第三方审计的财务状况报告</w:t>
      </w:r>
      <w:r>
        <w:rPr>
          <w:rFonts w:hint="eastAsia" w:ascii="宋体" w:hAnsi="宋体" w:cs="宋体"/>
          <w:color w:val="000000"/>
          <w:kern w:val="0"/>
          <w:highlight w:val="none"/>
          <w:lang w:val="zh-CN"/>
        </w:rPr>
        <w:t>，包括资产负债表、现金流量表、利润表和财务（会计）报表附注</w:t>
      </w:r>
      <w:r>
        <w:rPr>
          <w:rFonts w:hint="eastAsia" w:ascii="宋体" w:hAnsi="宋体" w:cs="宋体"/>
          <w:color w:val="000000"/>
          <w:kern w:val="0"/>
          <w:highlight w:val="none"/>
        </w:rPr>
        <w:t>，</w:t>
      </w:r>
      <w:r>
        <w:rPr>
          <w:rFonts w:hint="eastAsia" w:ascii="宋体" w:hAnsi="宋体" w:cs="宋体"/>
          <w:color w:val="000000"/>
          <w:kern w:val="0"/>
          <w:highlight w:val="none"/>
          <w:lang w:val="zh-CN"/>
        </w:rPr>
        <w:t>并提供第三方机构的营业执照、执业证书。</w:t>
      </w:r>
      <w:r>
        <w:rPr>
          <w:rFonts w:hint="eastAsia" w:ascii="宋体" w:hAnsi="宋体" w:cs="宋体"/>
          <w:highlight w:val="none"/>
        </w:rPr>
        <w:t>投标人是其他组织和自然人，没有经审计的财务报告，可以提供基本开户银行</w:t>
      </w:r>
      <w:r>
        <w:rPr>
          <w:rFonts w:hint="eastAsia" w:ascii="宋体" w:hAnsi="宋体" w:cs="宋体"/>
          <w:color w:val="000000"/>
          <w:kern w:val="0"/>
          <w:highlight w:val="none"/>
          <w:lang w:val="zh-CN"/>
        </w:rPr>
        <w:t>近三个月内</w:t>
      </w:r>
      <w:r>
        <w:rPr>
          <w:rFonts w:hint="eastAsia" w:ascii="宋体" w:hAnsi="宋体" w:cs="宋体"/>
          <w:highlight w:val="none"/>
        </w:rPr>
        <w:t>出具的资信证明（同时提供基本存款账户开户许可证）。</w:t>
      </w:r>
    </w:p>
    <w:p w14:paraId="365A9FE8">
      <w:pPr>
        <w:autoSpaceDE w:val="0"/>
        <w:autoSpaceDN w:val="0"/>
        <w:spacing w:line="360" w:lineRule="auto"/>
        <w:ind w:firstLine="480"/>
        <w:rPr>
          <w:rFonts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rPr>
        <w:t>提供2025年</w:t>
      </w:r>
      <w:r>
        <w:rPr>
          <w:rFonts w:hint="eastAsia" w:ascii="宋体" w:hAnsi="宋体" w:cs="宋体"/>
          <w:kern w:val="0"/>
          <w:highlight w:val="none"/>
          <w:lang w:val="en-US" w:eastAsia="zh-CN"/>
        </w:rPr>
        <w:t>8</w:t>
      </w:r>
      <w:r>
        <w:rPr>
          <w:rFonts w:hint="eastAsia" w:ascii="宋体" w:hAnsi="宋体" w:cs="宋体"/>
          <w:kern w:val="0"/>
          <w:highlight w:val="none"/>
        </w:rPr>
        <w:t>月至今任意三个月的依法缴纳税收和社会保障资金记录的证明材料；依法免税或不需要缴纳社会保障资金的投标人须提供相应文件证明其依法免税或不需要缴纳社会保障资金。</w:t>
      </w:r>
    </w:p>
    <w:p w14:paraId="7021291B">
      <w:pPr>
        <w:pStyle w:val="28"/>
        <w:spacing w:before="0" w:after="0" w:line="360" w:lineRule="auto"/>
        <w:jc w:val="left"/>
        <w:outlineLvl w:val="1"/>
        <w:rPr>
          <w:rFonts w:hint="eastAsia" w:ascii="宋体" w:hAnsi="宋体" w:cs="宋体"/>
          <w:highlight w:val="none"/>
        </w:rPr>
      </w:pPr>
      <w:r>
        <w:rPr>
          <w:rFonts w:hint="eastAsia" w:ascii="宋体" w:hAnsi="宋体" w:cs="宋体"/>
          <w:kern w:val="0"/>
          <w:sz w:val="24"/>
          <w:highlight w:val="none"/>
          <w:lang w:val="zh-CN"/>
        </w:rPr>
        <w:br w:type="page"/>
      </w:r>
      <w:bookmarkEnd w:id="166"/>
      <w:bookmarkStart w:id="172" w:name="_Toc11109"/>
      <w:bookmarkStart w:id="173" w:name="_Toc9296"/>
      <w:bookmarkStart w:id="174" w:name="_Toc21530"/>
      <w:r>
        <w:rPr>
          <w:rFonts w:hint="eastAsia" w:ascii="宋体" w:hAnsi="宋体" w:cs="宋体"/>
          <w:sz w:val="30"/>
          <w:szCs w:val="30"/>
          <w:highlight w:val="none"/>
        </w:rPr>
        <w:t>（8）</w:t>
      </w:r>
      <w:r>
        <w:rPr>
          <w:rFonts w:hint="eastAsia" w:ascii="宋体" w:hAnsi="宋体" w:cs="宋体"/>
          <w:sz w:val="30"/>
          <w:szCs w:val="30"/>
          <w:highlight w:val="none"/>
          <w:lang w:val="zh-CN"/>
        </w:rPr>
        <w:t>具备履行合同所必需的设备和专业技术能力的证明材料</w:t>
      </w:r>
      <w:bookmarkEnd w:id="172"/>
      <w:bookmarkEnd w:id="173"/>
    </w:p>
    <w:p w14:paraId="4332EA0B">
      <w:pPr>
        <w:autoSpaceDE w:val="0"/>
        <w:autoSpaceDN w:val="0"/>
        <w:spacing w:line="360" w:lineRule="auto"/>
        <w:rPr>
          <w:rFonts w:hint="eastAsia" w:ascii="宋体" w:hAnsi="宋体" w:cs="宋体"/>
          <w:kern w:val="0"/>
          <w:sz w:val="28"/>
          <w:szCs w:val="28"/>
          <w:highlight w:val="none"/>
          <w:lang w:val="zh-CN"/>
        </w:rPr>
      </w:pPr>
    </w:p>
    <w:p w14:paraId="13497DF1">
      <w:pPr>
        <w:autoSpaceDE w:val="0"/>
        <w:autoSpaceDN w:val="0"/>
        <w:spacing w:line="360" w:lineRule="auto"/>
        <w:jc w:val="center"/>
        <w:rPr>
          <w:rFonts w:hint="eastAsia" w:ascii="宋体" w:hAnsi="宋体" w:cs="宋体"/>
          <w:b/>
          <w:bCs/>
          <w:color w:val="000000"/>
          <w:kern w:val="0"/>
          <w:sz w:val="28"/>
          <w:szCs w:val="28"/>
          <w:highlight w:val="none"/>
          <w:lang w:val="zh-CN"/>
        </w:rPr>
      </w:pPr>
      <w:r>
        <w:rPr>
          <w:rFonts w:hint="eastAsia" w:ascii="宋体" w:hAnsi="宋体" w:cs="宋体"/>
          <w:b/>
          <w:bCs/>
          <w:color w:val="000000"/>
          <w:kern w:val="0"/>
          <w:sz w:val="28"/>
          <w:szCs w:val="28"/>
          <w:highlight w:val="none"/>
          <w:lang w:val="zh-CN"/>
        </w:rPr>
        <w:t>具备履行合同所必需的设备和专业技术能力的证明材料</w:t>
      </w:r>
    </w:p>
    <w:p w14:paraId="05714725">
      <w:pPr>
        <w:autoSpaceDE w:val="0"/>
        <w:autoSpaceDN w:val="0"/>
        <w:spacing w:line="360" w:lineRule="auto"/>
        <w:ind w:firstLine="480"/>
        <w:rPr>
          <w:rFonts w:hint="eastAsia" w:ascii="宋体" w:hAnsi="宋体" w:cs="宋体"/>
          <w:color w:val="000000"/>
          <w:kern w:val="0"/>
          <w:highlight w:val="none"/>
          <w:lang w:val="zh-CN"/>
        </w:rPr>
      </w:pPr>
    </w:p>
    <w:p w14:paraId="65C2F995">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为保证本项目合同的顺利履行，投标人必须具备履行合同的设备和专业技术能力，须提供必须具备履行合同的设备和专业技术能力的承诺函（格式自拟）。</w:t>
      </w:r>
    </w:p>
    <w:p w14:paraId="03EDAA3D">
      <w:pPr>
        <w:pStyle w:val="28"/>
        <w:spacing w:before="0" w:after="0" w:line="360" w:lineRule="auto"/>
        <w:jc w:val="left"/>
        <w:outlineLvl w:val="9"/>
        <w:rPr>
          <w:rFonts w:hint="eastAsia" w:ascii="宋体" w:hAnsi="宋体" w:cs="宋体"/>
          <w:sz w:val="30"/>
          <w:szCs w:val="30"/>
          <w:highlight w:val="none"/>
        </w:rPr>
      </w:pPr>
    </w:p>
    <w:p w14:paraId="4FA8A938">
      <w:pPr>
        <w:pStyle w:val="28"/>
        <w:spacing w:before="0" w:after="0" w:line="360" w:lineRule="auto"/>
        <w:jc w:val="left"/>
        <w:outlineLvl w:val="9"/>
        <w:rPr>
          <w:rFonts w:hint="eastAsia" w:ascii="宋体" w:hAnsi="宋体" w:cs="宋体"/>
          <w:sz w:val="30"/>
          <w:szCs w:val="30"/>
          <w:highlight w:val="none"/>
        </w:rPr>
      </w:pPr>
    </w:p>
    <w:p w14:paraId="1470B8FD">
      <w:pPr>
        <w:pStyle w:val="28"/>
        <w:spacing w:before="0" w:after="0" w:line="360" w:lineRule="auto"/>
        <w:jc w:val="left"/>
        <w:outlineLvl w:val="9"/>
        <w:rPr>
          <w:rFonts w:hint="eastAsia" w:ascii="宋体" w:hAnsi="宋体" w:cs="宋体"/>
          <w:sz w:val="30"/>
          <w:szCs w:val="30"/>
          <w:highlight w:val="none"/>
        </w:rPr>
      </w:pPr>
    </w:p>
    <w:p w14:paraId="43758E1D">
      <w:pPr>
        <w:pStyle w:val="28"/>
        <w:spacing w:before="0" w:after="0" w:line="360" w:lineRule="auto"/>
        <w:jc w:val="left"/>
        <w:outlineLvl w:val="9"/>
        <w:rPr>
          <w:rFonts w:hint="eastAsia" w:ascii="宋体" w:hAnsi="宋体" w:cs="宋体"/>
          <w:sz w:val="30"/>
          <w:szCs w:val="30"/>
          <w:highlight w:val="none"/>
        </w:rPr>
      </w:pPr>
    </w:p>
    <w:p w14:paraId="0FD9BDF6">
      <w:pPr>
        <w:pStyle w:val="28"/>
        <w:spacing w:before="0" w:after="0" w:line="360" w:lineRule="auto"/>
        <w:jc w:val="left"/>
        <w:outlineLvl w:val="9"/>
        <w:rPr>
          <w:rFonts w:hint="eastAsia" w:ascii="宋体" w:hAnsi="宋体" w:cs="宋体"/>
          <w:sz w:val="30"/>
          <w:szCs w:val="30"/>
          <w:highlight w:val="none"/>
        </w:rPr>
      </w:pPr>
    </w:p>
    <w:p w14:paraId="2F594E86">
      <w:pPr>
        <w:pStyle w:val="28"/>
        <w:spacing w:before="0" w:after="0" w:line="360" w:lineRule="auto"/>
        <w:jc w:val="left"/>
        <w:outlineLvl w:val="9"/>
        <w:rPr>
          <w:rFonts w:hint="eastAsia" w:ascii="宋体" w:hAnsi="宋体" w:cs="宋体"/>
          <w:sz w:val="30"/>
          <w:szCs w:val="30"/>
          <w:highlight w:val="none"/>
        </w:rPr>
      </w:pPr>
    </w:p>
    <w:p w14:paraId="10264173">
      <w:pPr>
        <w:pStyle w:val="28"/>
        <w:spacing w:before="0" w:after="0" w:line="360" w:lineRule="auto"/>
        <w:jc w:val="left"/>
        <w:outlineLvl w:val="9"/>
        <w:rPr>
          <w:rFonts w:hint="eastAsia" w:ascii="宋体" w:hAnsi="宋体" w:cs="宋体"/>
          <w:sz w:val="30"/>
          <w:szCs w:val="30"/>
          <w:highlight w:val="none"/>
        </w:rPr>
      </w:pPr>
    </w:p>
    <w:p w14:paraId="26A9994B">
      <w:pPr>
        <w:pStyle w:val="28"/>
        <w:spacing w:before="0" w:after="0" w:line="360" w:lineRule="auto"/>
        <w:jc w:val="left"/>
        <w:outlineLvl w:val="9"/>
        <w:rPr>
          <w:rFonts w:hint="eastAsia" w:ascii="宋体" w:hAnsi="宋体" w:cs="宋体"/>
          <w:sz w:val="30"/>
          <w:szCs w:val="30"/>
          <w:highlight w:val="none"/>
        </w:rPr>
      </w:pPr>
    </w:p>
    <w:p w14:paraId="536A94C8">
      <w:pPr>
        <w:pStyle w:val="28"/>
        <w:spacing w:before="0" w:after="0" w:line="360" w:lineRule="auto"/>
        <w:jc w:val="left"/>
        <w:outlineLvl w:val="9"/>
        <w:rPr>
          <w:rFonts w:hint="eastAsia" w:ascii="宋体" w:hAnsi="宋体" w:cs="宋体"/>
          <w:sz w:val="30"/>
          <w:szCs w:val="30"/>
          <w:highlight w:val="none"/>
        </w:rPr>
      </w:pPr>
    </w:p>
    <w:p w14:paraId="3ADAA1E3">
      <w:pPr>
        <w:pStyle w:val="28"/>
        <w:spacing w:before="0" w:after="0" w:line="360" w:lineRule="auto"/>
        <w:jc w:val="left"/>
        <w:outlineLvl w:val="9"/>
        <w:rPr>
          <w:rFonts w:hint="eastAsia" w:ascii="宋体" w:hAnsi="宋体" w:cs="宋体"/>
          <w:sz w:val="30"/>
          <w:szCs w:val="30"/>
          <w:highlight w:val="none"/>
        </w:rPr>
      </w:pPr>
    </w:p>
    <w:p w14:paraId="70814426">
      <w:pPr>
        <w:pStyle w:val="28"/>
        <w:spacing w:before="0" w:after="0" w:line="360" w:lineRule="auto"/>
        <w:jc w:val="left"/>
        <w:outlineLvl w:val="9"/>
        <w:rPr>
          <w:rFonts w:hint="eastAsia" w:ascii="宋体" w:hAnsi="宋体" w:cs="宋体"/>
          <w:sz w:val="30"/>
          <w:szCs w:val="30"/>
          <w:highlight w:val="none"/>
        </w:rPr>
      </w:pPr>
    </w:p>
    <w:p w14:paraId="2A2058F9">
      <w:pPr>
        <w:rPr>
          <w:rFonts w:hint="eastAsia" w:ascii="宋体" w:hAnsi="宋体" w:cs="宋体"/>
          <w:sz w:val="30"/>
          <w:szCs w:val="30"/>
          <w:highlight w:val="none"/>
        </w:rPr>
      </w:pPr>
    </w:p>
    <w:p w14:paraId="360202FA">
      <w:pPr>
        <w:tabs>
          <w:tab w:val="left" w:pos="864"/>
        </w:tabs>
        <w:rPr>
          <w:highlight w:val="none"/>
        </w:rPr>
      </w:pPr>
    </w:p>
    <w:p w14:paraId="06390558">
      <w:pPr>
        <w:pStyle w:val="28"/>
        <w:spacing w:before="0" w:after="0" w:line="360" w:lineRule="auto"/>
        <w:jc w:val="left"/>
        <w:outlineLvl w:val="9"/>
        <w:rPr>
          <w:rFonts w:hint="eastAsia" w:ascii="宋体" w:hAnsi="宋体" w:cs="宋体"/>
          <w:sz w:val="30"/>
          <w:szCs w:val="30"/>
          <w:highlight w:val="none"/>
        </w:rPr>
      </w:pPr>
    </w:p>
    <w:p w14:paraId="548EB03F">
      <w:pPr>
        <w:pStyle w:val="28"/>
        <w:spacing w:before="0" w:after="0" w:line="360" w:lineRule="auto"/>
        <w:jc w:val="left"/>
        <w:outlineLvl w:val="9"/>
        <w:rPr>
          <w:rFonts w:hint="eastAsia" w:ascii="宋体" w:hAnsi="宋体" w:cs="宋体"/>
          <w:sz w:val="30"/>
          <w:szCs w:val="30"/>
          <w:highlight w:val="none"/>
        </w:rPr>
      </w:pPr>
    </w:p>
    <w:p w14:paraId="010C5255">
      <w:pPr>
        <w:pStyle w:val="28"/>
        <w:spacing w:before="0" w:after="0" w:line="360" w:lineRule="auto"/>
        <w:jc w:val="left"/>
        <w:outlineLvl w:val="9"/>
        <w:rPr>
          <w:rFonts w:hint="eastAsia" w:ascii="宋体" w:hAnsi="宋体" w:cs="宋体"/>
          <w:sz w:val="30"/>
          <w:szCs w:val="30"/>
          <w:highlight w:val="none"/>
        </w:rPr>
      </w:pPr>
    </w:p>
    <w:p w14:paraId="50BF3A81">
      <w:pPr>
        <w:rPr>
          <w:rFonts w:hint="eastAsia" w:ascii="宋体" w:hAnsi="宋体" w:cs="宋体"/>
          <w:sz w:val="30"/>
          <w:szCs w:val="30"/>
          <w:highlight w:val="none"/>
        </w:rPr>
      </w:pPr>
    </w:p>
    <w:p w14:paraId="53344679">
      <w:pPr>
        <w:pStyle w:val="28"/>
        <w:spacing w:before="0" w:after="0" w:line="360" w:lineRule="auto"/>
        <w:jc w:val="left"/>
        <w:outlineLvl w:val="1"/>
        <w:rPr>
          <w:rFonts w:hint="eastAsia" w:ascii="宋体" w:hAnsi="宋体" w:cs="宋体"/>
          <w:highlight w:val="none"/>
        </w:rPr>
      </w:pPr>
      <w:bookmarkStart w:id="175" w:name="_Toc15231"/>
      <w:bookmarkStart w:id="176" w:name="_Toc2464"/>
      <w:r>
        <w:rPr>
          <w:rFonts w:hint="eastAsia" w:ascii="宋体" w:hAnsi="宋体" w:cs="宋体"/>
          <w:sz w:val="30"/>
          <w:szCs w:val="30"/>
          <w:highlight w:val="none"/>
        </w:rPr>
        <w:t>（9）</w:t>
      </w:r>
      <w:r>
        <w:rPr>
          <w:rFonts w:hint="eastAsia" w:ascii="宋体" w:hAnsi="宋体" w:cs="宋体"/>
          <w:sz w:val="30"/>
          <w:szCs w:val="30"/>
          <w:highlight w:val="none"/>
          <w:lang w:val="zh-CN"/>
        </w:rPr>
        <w:t>无重大违法记录声明</w:t>
      </w:r>
      <w:bookmarkEnd w:id="175"/>
      <w:bookmarkEnd w:id="176"/>
    </w:p>
    <w:p w14:paraId="17806C92">
      <w:pPr>
        <w:autoSpaceDE w:val="0"/>
        <w:autoSpaceDN w:val="0"/>
        <w:spacing w:line="360" w:lineRule="auto"/>
        <w:rPr>
          <w:rFonts w:hint="eastAsia" w:ascii="宋体" w:hAnsi="宋体" w:cs="宋体"/>
          <w:kern w:val="0"/>
          <w:sz w:val="28"/>
          <w:szCs w:val="28"/>
          <w:highlight w:val="none"/>
          <w:lang w:val="zh-CN"/>
        </w:rPr>
      </w:pPr>
    </w:p>
    <w:p w14:paraId="34D1E3FF">
      <w:pPr>
        <w:autoSpaceDE w:val="0"/>
        <w:autoSpaceDN w:val="0"/>
        <w:spacing w:line="360" w:lineRule="auto"/>
        <w:jc w:val="center"/>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无重大违法记录声明</w:t>
      </w:r>
    </w:p>
    <w:p w14:paraId="732487FF">
      <w:pPr>
        <w:spacing w:line="360" w:lineRule="auto"/>
        <w:rPr>
          <w:rFonts w:hint="eastAsia" w:ascii="宋体" w:hAnsi="宋体" w:cs="宋体"/>
          <w:b/>
          <w:bCs/>
          <w:sz w:val="28"/>
          <w:szCs w:val="28"/>
          <w:highlight w:val="none"/>
        </w:rPr>
      </w:pPr>
    </w:p>
    <w:p w14:paraId="5B824416">
      <w:pPr>
        <w:spacing w:line="360" w:lineRule="auto"/>
        <w:rPr>
          <w:rFonts w:hint="eastAsia" w:ascii="宋体" w:hAnsi="宋体" w:cs="宋体"/>
          <w:b/>
          <w:bCs/>
          <w:highlight w:val="none"/>
        </w:rPr>
      </w:pPr>
      <w:r>
        <w:rPr>
          <w:rFonts w:hint="eastAsia" w:ascii="宋体" w:hAnsi="宋体" w:cs="宋体"/>
          <w:b/>
          <w:bCs/>
          <w:highlight w:val="none"/>
        </w:rPr>
        <w:t>致：</w:t>
      </w:r>
      <w:r>
        <w:rPr>
          <w:rFonts w:hint="eastAsia" w:ascii="宋体" w:hAnsi="宋体" w:cs="宋体"/>
          <w:b/>
          <w:bCs/>
          <w:kern w:val="0"/>
          <w:highlight w:val="none"/>
          <w:lang w:val="zh-CN"/>
        </w:rPr>
        <w:t>青海浩驰招标代理有限公司</w:t>
      </w:r>
    </w:p>
    <w:p w14:paraId="2F7AE2F9">
      <w:pPr>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rPr>
        <w:t>我单位参加本次政府采购项目活动前三年内，在经营活动中无重大违法活动记录，符合《政府采购法》规定的投标人资格条</w:t>
      </w:r>
      <w:r>
        <w:rPr>
          <w:rFonts w:hint="eastAsia" w:ascii="宋体" w:hAnsi="宋体" w:cs="宋体"/>
          <w:highlight w:val="none"/>
          <w:shd w:val="clear" w:color="auto" w:fill="FFFFFF"/>
        </w:rPr>
        <w:t>件。我方对此声明负全部法律责任。</w:t>
      </w:r>
    </w:p>
    <w:p w14:paraId="18624247">
      <w:pPr>
        <w:spacing w:line="360" w:lineRule="auto"/>
        <w:ind w:firstLine="480" w:firstLineChars="200"/>
        <w:rPr>
          <w:rFonts w:hint="eastAsia" w:ascii="宋体" w:hAnsi="宋体" w:cs="宋体"/>
          <w:highlight w:val="none"/>
        </w:rPr>
      </w:pPr>
      <w:r>
        <w:rPr>
          <w:rFonts w:hint="eastAsia" w:ascii="宋体" w:hAnsi="宋体" w:cs="宋体"/>
          <w:highlight w:val="none"/>
        </w:rPr>
        <w:t>特此声明。</w:t>
      </w:r>
    </w:p>
    <w:p w14:paraId="0C954CC7">
      <w:pPr>
        <w:autoSpaceDE w:val="0"/>
        <w:autoSpaceDN w:val="0"/>
        <w:spacing w:line="360" w:lineRule="auto"/>
        <w:jc w:val="left"/>
        <w:rPr>
          <w:rFonts w:hint="eastAsia" w:ascii="宋体" w:hAnsi="宋体" w:cs="宋体"/>
          <w:kern w:val="0"/>
          <w:highlight w:val="none"/>
          <w:lang w:val="zh-CN"/>
        </w:rPr>
      </w:pPr>
    </w:p>
    <w:p w14:paraId="170B7B9D">
      <w:pPr>
        <w:autoSpaceDE w:val="0"/>
        <w:autoSpaceDN w:val="0"/>
        <w:spacing w:line="360" w:lineRule="auto"/>
        <w:jc w:val="left"/>
        <w:rPr>
          <w:rFonts w:hint="eastAsia" w:ascii="宋体" w:hAnsi="宋体" w:cs="宋体"/>
          <w:kern w:val="0"/>
          <w:highlight w:val="none"/>
          <w:lang w:val="zh-CN"/>
        </w:rPr>
      </w:pPr>
    </w:p>
    <w:p w14:paraId="2E91EDC8">
      <w:pPr>
        <w:autoSpaceDE w:val="0"/>
        <w:autoSpaceDN w:val="0"/>
        <w:spacing w:line="360" w:lineRule="auto"/>
        <w:jc w:val="left"/>
        <w:rPr>
          <w:rFonts w:hint="eastAsia" w:ascii="宋体" w:hAnsi="宋体" w:cs="宋体"/>
          <w:kern w:val="0"/>
          <w:highlight w:val="none"/>
          <w:lang w:val="zh-CN"/>
        </w:rPr>
      </w:pPr>
    </w:p>
    <w:p w14:paraId="2F5BF0E4">
      <w:pPr>
        <w:autoSpaceDE w:val="0"/>
        <w:autoSpaceDN w:val="0"/>
        <w:spacing w:line="360" w:lineRule="auto"/>
        <w:jc w:val="left"/>
        <w:rPr>
          <w:rFonts w:hint="eastAsia" w:ascii="宋体" w:hAnsi="宋体" w:cs="宋体"/>
          <w:kern w:val="0"/>
          <w:highlight w:val="none"/>
          <w:lang w:val="zh-CN"/>
        </w:rPr>
      </w:pPr>
    </w:p>
    <w:p w14:paraId="75352F7F">
      <w:pPr>
        <w:autoSpaceDE w:val="0"/>
        <w:autoSpaceDN w:val="0"/>
        <w:spacing w:line="360" w:lineRule="auto"/>
        <w:jc w:val="left"/>
        <w:rPr>
          <w:rFonts w:hint="eastAsia" w:ascii="宋体" w:hAnsi="宋体" w:cs="宋体"/>
          <w:kern w:val="0"/>
          <w:highlight w:val="none"/>
          <w:lang w:val="zh-CN"/>
        </w:rPr>
      </w:pPr>
    </w:p>
    <w:p w14:paraId="146BFEB8">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0E179BC2">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53B029A8">
      <w:pPr>
        <w:ind w:firstLine="4819" w:firstLineChars="2000"/>
        <w:rPr>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bookmarkEnd w:id="174"/>
    </w:p>
    <w:p w14:paraId="283AEBA6">
      <w:pPr>
        <w:rPr>
          <w:kern w:val="0"/>
          <w:highlight w:val="none"/>
          <w:lang w:val="zh-CN"/>
        </w:rPr>
      </w:pPr>
    </w:p>
    <w:p w14:paraId="776EFC12">
      <w:pPr>
        <w:rPr>
          <w:kern w:val="0"/>
          <w:highlight w:val="none"/>
          <w:lang w:val="zh-CN"/>
        </w:rPr>
      </w:pPr>
    </w:p>
    <w:p w14:paraId="77C9244A">
      <w:pPr>
        <w:rPr>
          <w:kern w:val="0"/>
          <w:highlight w:val="none"/>
          <w:lang w:val="zh-CN"/>
        </w:rPr>
      </w:pPr>
    </w:p>
    <w:p w14:paraId="7A821E7E">
      <w:pPr>
        <w:rPr>
          <w:kern w:val="0"/>
          <w:highlight w:val="none"/>
          <w:lang w:val="zh-CN"/>
        </w:rPr>
      </w:pPr>
    </w:p>
    <w:p w14:paraId="6CD8D277">
      <w:pPr>
        <w:rPr>
          <w:kern w:val="0"/>
          <w:highlight w:val="none"/>
          <w:lang w:val="zh-CN"/>
        </w:rPr>
      </w:pPr>
    </w:p>
    <w:p w14:paraId="550F0176">
      <w:pPr>
        <w:rPr>
          <w:kern w:val="0"/>
          <w:highlight w:val="none"/>
          <w:lang w:val="zh-CN"/>
        </w:rPr>
      </w:pPr>
    </w:p>
    <w:p w14:paraId="7CA5DB1E">
      <w:pPr>
        <w:rPr>
          <w:kern w:val="0"/>
          <w:highlight w:val="none"/>
          <w:lang w:val="zh-CN"/>
        </w:rPr>
      </w:pPr>
    </w:p>
    <w:p w14:paraId="0986D615">
      <w:pPr>
        <w:rPr>
          <w:kern w:val="0"/>
          <w:highlight w:val="none"/>
          <w:lang w:val="zh-CN"/>
        </w:rPr>
      </w:pPr>
    </w:p>
    <w:p w14:paraId="78559140">
      <w:pPr>
        <w:rPr>
          <w:kern w:val="0"/>
          <w:highlight w:val="none"/>
          <w:lang w:val="zh-CN"/>
        </w:rPr>
      </w:pPr>
    </w:p>
    <w:p w14:paraId="1D7839ED">
      <w:pPr>
        <w:rPr>
          <w:kern w:val="0"/>
          <w:highlight w:val="none"/>
          <w:lang w:val="zh-CN"/>
        </w:rPr>
      </w:pPr>
    </w:p>
    <w:p w14:paraId="0B8053F9">
      <w:pPr>
        <w:rPr>
          <w:kern w:val="0"/>
          <w:highlight w:val="none"/>
          <w:lang w:val="zh-CN"/>
        </w:rPr>
      </w:pPr>
    </w:p>
    <w:p w14:paraId="15BDC5F9">
      <w:pPr>
        <w:rPr>
          <w:kern w:val="0"/>
          <w:highlight w:val="none"/>
          <w:lang w:val="zh-CN"/>
        </w:rPr>
      </w:pPr>
    </w:p>
    <w:p w14:paraId="3BB7EACD">
      <w:pPr>
        <w:rPr>
          <w:kern w:val="0"/>
          <w:highlight w:val="none"/>
          <w:lang w:val="zh-CN"/>
        </w:rPr>
      </w:pPr>
    </w:p>
    <w:p w14:paraId="19B799A2">
      <w:pPr>
        <w:rPr>
          <w:kern w:val="0"/>
          <w:highlight w:val="none"/>
          <w:lang w:val="zh-CN"/>
        </w:rPr>
      </w:pPr>
    </w:p>
    <w:p w14:paraId="338DA98E">
      <w:pPr>
        <w:rPr>
          <w:kern w:val="0"/>
          <w:highlight w:val="none"/>
          <w:lang w:val="zh-CN"/>
        </w:rPr>
      </w:pPr>
    </w:p>
    <w:p w14:paraId="2AC73153">
      <w:pPr>
        <w:rPr>
          <w:kern w:val="0"/>
          <w:highlight w:val="none"/>
          <w:lang w:val="zh-CN"/>
        </w:rPr>
      </w:pPr>
    </w:p>
    <w:p w14:paraId="5CAE6DEC">
      <w:pPr>
        <w:rPr>
          <w:kern w:val="0"/>
          <w:highlight w:val="none"/>
          <w:lang w:val="zh-CN"/>
        </w:rPr>
      </w:pPr>
    </w:p>
    <w:p w14:paraId="09D1C4CC">
      <w:pPr>
        <w:rPr>
          <w:rFonts w:hint="eastAsia" w:ascii="宋体" w:hAnsi="宋体" w:cs="宋体"/>
          <w:color w:val="333333"/>
          <w:kern w:val="0"/>
          <w:highlight w:val="none"/>
          <w:shd w:val="clear" w:color="auto" w:fill="FFFFFF"/>
          <w:lang w:bidi="ar"/>
        </w:rPr>
      </w:pPr>
    </w:p>
    <w:p w14:paraId="5F1C78B4">
      <w:pPr>
        <w:rPr>
          <w:rFonts w:hint="eastAsia" w:ascii="宋体" w:hAnsi="宋体" w:cs="宋体"/>
          <w:color w:val="333333"/>
          <w:kern w:val="0"/>
          <w:highlight w:val="none"/>
          <w:shd w:val="clear" w:color="auto" w:fill="FFFFFF"/>
          <w:lang w:bidi="ar"/>
        </w:rPr>
      </w:pPr>
    </w:p>
    <w:p w14:paraId="2ABBDF90">
      <w:pPr>
        <w:rPr>
          <w:b/>
          <w:sz w:val="36"/>
          <w:szCs w:val="36"/>
          <w:highlight w:val="none"/>
        </w:rPr>
      </w:pPr>
      <w:r>
        <w:rPr>
          <w:rFonts w:hint="eastAsia"/>
          <w:b/>
          <w:sz w:val="36"/>
          <w:szCs w:val="36"/>
          <w:highlight w:val="none"/>
          <w:lang w:val="zh-CN"/>
        </w:rPr>
        <w:t>（下册）</w:t>
      </w:r>
    </w:p>
    <w:p w14:paraId="717BAA48">
      <w:pPr>
        <w:autoSpaceDE w:val="0"/>
        <w:autoSpaceDN w:val="0"/>
        <w:spacing w:line="360" w:lineRule="auto"/>
        <w:jc w:val="center"/>
        <w:rPr>
          <w:rFonts w:hint="eastAsia" w:ascii="宋体" w:hAnsi="宋体" w:cs="宋体"/>
          <w:b/>
          <w:bCs/>
          <w:kern w:val="0"/>
          <w:sz w:val="52"/>
          <w:szCs w:val="52"/>
          <w:highlight w:val="none"/>
          <w:lang w:val="zh-CN"/>
        </w:rPr>
      </w:pPr>
    </w:p>
    <w:p w14:paraId="2FF7916D">
      <w:pPr>
        <w:autoSpaceDE w:val="0"/>
        <w:autoSpaceDN w:val="0"/>
        <w:spacing w:line="360" w:lineRule="auto"/>
        <w:jc w:val="center"/>
        <w:rPr>
          <w:rFonts w:hint="eastAsia" w:ascii="宋体" w:hAnsi="宋体" w:cs="宋体"/>
          <w:b/>
          <w:bCs/>
          <w:kern w:val="0"/>
          <w:sz w:val="52"/>
          <w:szCs w:val="52"/>
          <w:highlight w:val="none"/>
          <w:lang w:val="zh-CN"/>
        </w:rPr>
      </w:pPr>
      <w:r>
        <w:rPr>
          <w:rFonts w:hint="eastAsia" w:ascii="宋体" w:hAnsi="宋体" w:cs="宋体"/>
          <w:b/>
          <w:bCs/>
          <w:kern w:val="0"/>
          <w:sz w:val="52"/>
          <w:szCs w:val="52"/>
          <w:highlight w:val="none"/>
          <w:lang w:val="zh-CN"/>
        </w:rPr>
        <w:t>青海省政府采购项目</w:t>
      </w:r>
    </w:p>
    <w:p w14:paraId="4792CF06">
      <w:pPr>
        <w:autoSpaceDE w:val="0"/>
        <w:autoSpaceDN w:val="0"/>
        <w:spacing w:line="360" w:lineRule="auto"/>
        <w:rPr>
          <w:rFonts w:hint="eastAsia" w:ascii="宋体" w:hAnsi="宋体" w:cs="宋体"/>
          <w:kern w:val="0"/>
          <w:sz w:val="36"/>
          <w:szCs w:val="36"/>
          <w:highlight w:val="none"/>
        </w:rPr>
      </w:pPr>
    </w:p>
    <w:p w14:paraId="661CFD82">
      <w:pPr>
        <w:autoSpaceDE w:val="0"/>
        <w:autoSpaceDN w:val="0"/>
        <w:spacing w:line="360" w:lineRule="auto"/>
        <w:jc w:val="center"/>
        <w:rPr>
          <w:rFonts w:hint="eastAsia" w:ascii="宋体" w:hAnsi="宋体" w:cs="宋体"/>
          <w:b/>
          <w:bCs/>
          <w:kern w:val="0"/>
          <w:sz w:val="72"/>
          <w:szCs w:val="72"/>
          <w:highlight w:val="none"/>
        </w:rPr>
      </w:pPr>
      <w:r>
        <w:rPr>
          <w:rFonts w:hint="eastAsia" w:ascii="宋体" w:hAnsi="宋体" w:cs="宋体"/>
          <w:b/>
          <w:bCs/>
          <w:kern w:val="0"/>
          <w:sz w:val="72"/>
          <w:szCs w:val="72"/>
          <w:highlight w:val="none"/>
          <w:lang w:val="zh-CN"/>
        </w:rPr>
        <w:t>投</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标</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文</w:t>
      </w:r>
      <w:r>
        <w:rPr>
          <w:rFonts w:hint="eastAsia" w:ascii="宋体" w:hAnsi="宋体" w:cs="宋体"/>
          <w:b/>
          <w:bCs/>
          <w:kern w:val="0"/>
          <w:sz w:val="72"/>
          <w:szCs w:val="72"/>
          <w:highlight w:val="none"/>
        </w:rPr>
        <w:t xml:space="preserve"> </w:t>
      </w:r>
      <w:r>
        <w:rPr>
          <w:rFonts w:hint="eastAsia" w:ascii="宋体" w:hAnsi="宋体" w:cs="宋体"/>
          <w:b/>
          <w:bCs/>
          <w:kern w:val="0"/>
          <w:sz w:val="72"/>
          <w:szCs w:val="72"/>
          <w:highlight w:val="none"/>
          <w:lang w:val="zh-CN"/>
        </w:rPr>
        <w:t>件</w:t>
      </w:r>
    </w:p>
    <w:p w14:paraId="01364663">
      <w:pPr>
        <w:autoSpaceDE w:val="0"/>
        <w:autoSpaceDN w:val="0"/>
        <w:spacing w:line="360" w:lineRule="auto"/>
        <w:jc w:val="center"/>
        <w:rPr>
          <w:rFonts w:hint="eastAsia" w:ascii="宋体" w:hAnsi="宋体" w:cs="宋体"/>
          <w:kern w:val="0"/>
          <w:sz w:val="44"/>
          <w:szCs w:val="44"/>
          <w:highlight w:val="none"/>
        </w:rPr>
      </w:pPr>
      <w:r>
        <w:rPr>
          <w:rFonts w:hint="eastAsia" w:ascii="宋体" w:hAnsi="宋体" w:cs="宋体"/>
          <w:b/>
          <w:bCs/>
          <w:sz w:val="44"/>
          <w:szCs w:val="44"/>
          <w:highlight w:val="none"/>
          <w:lang w:val="zh-CN"/>
        </w:rPr>
        <w:t>（下册）</w:t>
      </w:r>
    </w:p>
    <w:p w14:paraId="1A36F57F">
      <w:pPr>
        <w:autoSpaceDE w:val="0"/>
        <w:autoSpaceDN w:val="0"/>
        <w:spacing w:line="360" w:lineRule="auto"/>
        <w:rPr>
          <w:rFonts w:hint="eastAsia" w:ascii="宋体" w:hAnsi="宋体" w:cs="宋体"/>
          <w:kern w:val="0"/>
          <w:sz w:val="36"/>
          <w:szCs w:val="36"/>
          <w:highlight w:val="none"/>
        </w:rPr>
      </w:pPr>
    </w:p>
    <w:p w14:paraId="4974BF16">
      <w:pPr>
        <w:autoSpaceDE w:val="0"/>
        <w:autoSpaceDN w:val="0"/>
        <w:spacing w:line="360" w:lineRule="auto"/>
        <w:rPr>
          <w:rFonts w:hint="eastAsia" w:ascii="宋体" w:hAnsi="宋体" w:cs="宋体"/>
          <w:kern w:val="0"/>
          <w:sz w:val="36"/>
          <w:szCs w:val="36"/>
          <w:highlight w:val="none"/>
        </w:rPr>
      </w:pPr>
    </w:p>
    <w:p w14:paraId="1ED38BF1">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lang w:val="zh-CN"/>
        </w:rPr>
        <w:t>采购项目编号：</w:t>
      </w:r>
    </w:p>
    <w:p w14:paraId="34AC6FB9">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lang w:val="zh-CN"/>
        </w:rPr>
        <w:t>采购项目名称</w:t>
      </w:r>
      <w:r>
        <w:rPr>
          <w:rFonts w:hint="eastAsia" w:ascii="宋体" w:hAnsi="宋体" w:cs="宋体"/>
          <w:b/>
          <w:bCs/>
          <w:kern w:val="0"/>
          <w:sz w:val="36"/>
          <w:szCs w:val="36"/>
          <w:highlight w:val="none"/>
        </w:rPr>
        <w:t>：</w:t>
      </w:r>
    </w:p>
    <w:p w14:paraId="76C6851E">
      <w:pPr>
        <w:autoSpaceDE w:val="0"/>
        <w:autoSpaceDN w:val="0"/>
        <w:spacing w:line="360" w:lineRule="auto"/>
        <w:rPr>
          <w:rFonts w:hint="eastAsia" w:ascii="宋体" w:hAnsi="宋体" w:cs="宋体"/>
          <w:b/>
          <w:bCs/>
          <w:kern w:val="0"/>
          <w:sz w:val="36"/>
          <w:szCs w:val="36"/>
          <w:highlight w:val="none"/>
        </w:rPr>
      </w:pPr>
    </w:p>
    <w:p w14:paraId="5BAC32BD">
      <w:pPr>
        <w:autoSpaceDE w:val="0"/>
        <w:autoSpaceDN w:val="0"/>
        <w:spacing w:line="360" w:lineRule="auto"/>
        <w:rPr>
          <w:rFonts w:hint="eastAsia" w:ascii="宋体" w:hAnsi="宋体" w:cs="宋体"/>
          <w:b/>
          <w:bCs/>
          <w:kern w:val="0"/>
          <w:sz w:val="36"/>
          <w:szCs w:val="36"/>
          <w:highlight w:val="none"/>
        </w:rPr>
      </w:pPr>
    </w:p>
    <w:p w14:paraId="596EED24">
      <w:pPr>
        <w:autoSpaceDE w:val="0"/>
        <w:autoSpaceDN w:val="0"/>
        <w:spacing w:line="360" w:lineRule="auto"/>
        <w:rPr>
          <w:rFonts w:hint="eastAsia" w:ascii="宋体" w:hAnsi="宋体" w:cs="宋体"/>
          <w:b/>
          <w:bCs/>
          <w:kern w:val="0"/>
          <w:sz w:val="36"/>
          <w:szCs w:val="36"/>
          <w:highlight w:val="none"/>
        </w:rPr>
      </w:pPr>
    </w:p>
    <w:p w14:paraId="186628A0">
      <w:pPr>
        <w:autoSpaceDE w:val="0"/>
        <w:autoSpaceDN w:val="0"/>
        <w:spacing w:line="360" w:lineRule="auto"/>
        <w:rPr>
          <w:rFonts w:hint="eastAsia" w:ascii="宋体" w:hAnsi="宋体" w:cs="宋体"/>
          <w:b/>
          <w:bCs/>
          <w:kern w:val="0"/>
          <w:sz w:val="36"/>
          <w:szCs w:val="36"/>
          <w:highlight w:val="none"/>
        </w:rPr>
      </w:pPr>
    </w:p>
    <w:p w14:paraId="38EDC982">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投标人：</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rPr>
        <w:t>（</w:t>
      </w:r>
      <w:r>
        <w:rPr>
          <w:rFonts w:hint="eastAsia" w:ascii="宋体" w:hAnsi="宋体" w:cs="宋体"/>
          <w:b/>
          <w:bCs/>
          <w:kern w:val="0"/>
          <w:sz w:val="36"/>
          <w:szCs w:val="36"/>
          <w:highlight w:val="none"/>
          <w:lang w:val="zh-CN"/>
        </w:rPr>
        <w:t>公章）</w:t>
      </w:r>
    </w:p>
    <w:p w14:paraId="15585293">
      <w:pPr>
        <w:autoSpaceDE w:val="0"/>
        <w:autoSpaceDN w:val="0"/>
        <w:spacing w:line="360" w:lineRule="auto"/>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法定代表人或委托代理人：</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lang w:val="zh-CN"/>
        </w:rPr>
        <w:t>（签字或盖章）</w:t>
      </w:r>
    </w:p>
    <w:p w14:paraId="78649CC7">
      <w:pPr>
        <w:autoSpaceDE w:val="0"/>
        <w:autoSpaceDN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年</w:t>
      </w: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月</w:t>
      </w:r>
      <w:r>
        <w:rPr>
          <w:rFonts w:hint="eastAsia" w:ascii="宋体" w:hAnsi="宋体" w:cs="宋体"/>
          <w:b/>
          <w:bCs/>
          <w:kern w:val="0"/>
          <w:sz w:val="36"/>
          <w:szCs w:val="36"/>
          <w:highlight w:val="none"/>
        </w:rPr>
        <w:t xml:space="preserve">    </w:t>
      </w:r>
      <w:r>
        <w:rPr>
          <w:rFonts w:hint="eastAsia" w:ascii="宋体" w:hAnsi="宋体" w:cs="宋体"/>
          <w:b/>
          <w:bCs/>
          <w:kern w:val="0"/>
          <w:sz w:val="36"/>
          <w:szCs w:val="36"/>
          <w:highlight w:val="none"/>
          <w:lang w:val="zh-CN"/>
        </w:rPr>
        <w:t>日</w:t>
      </w:r>
    </w:p>
    <w:p w14:paraId="46DF7428">
      <w:pPr>
        <w:pStyle w:val="28"/>
        <w:spacing w:before="0" w:after="0" w:line="360" w:lineRule="auto"/>
        <w:jc w:val="left"/>
        <w:outlineLvl w:val="1"/>
        <w:rPr>
          <w:rFonts w:hint="eastAsia" w:ascii="宋体" w:hAnsi="宋体" w:cs="宋体"/>
          <w:highlight w:val="none"/>
          <w:lang w:val="zh-CN"/>
        </w:rPr>
      </w:pPr>
      <w:r>
        <w:rPr>
          <w:rFonts w:hint="eastAsia" w:ascii="宋体" w:hAnsi="宋体" w:cs="宋体"/>
          <w:b w:val="0"/>
          <w:bCs w:val="0"/>
          <w:kern w:val="0"/>
          <w:highlight w:val="none"/>
          <w:lang w:val="zh-CN"/>
        </w:rPr>
        <w:br w:type="page"/>
      </w:r>
      <w:bookmarkStart w:id="177" w:name="_Toc13757"/>
      <w:bookmarkStart w:id="178" w:name="_Toc8317"/>
      <w:r>
        <w:rPr>
          <w:rFonts w:hint="eastAsia" w:ascii="宋体" w:hAnsi="宋体" w:cs="宋体"/>
          <w:sz w:val="30"/>
          <w:szCs w:val="30"/>
          <w:highlight w:val="none"/>
          <w:lang w:val="zh-CN"/>
        </w:rPr>
        <w:t>目录（下册）</w:t>
      </w:r>
      <w:bookmarkEnd w:id="177"/>
      <w:bookmarkEnd w:id="178"/>
    </w:p>
    <w:p w14:paraId="0577F1BC">
      <w:pPr>
        <w:spacing w:line="360" w:lineRule="auto"/>
        <w:rPr>
          <w:highlight w:val="none"/>
          <w:lang w:val="zh-CN"/>
        </w:rPr>
      </w:pPr>
      <w:bookmarkStart w:id="179" w:name="_Toc27436"/>
      <w:r>
        <w:rPr>
          <w:rFonts w:hint="eastAsia"/>
          <w:highlight w:val="none"/>
          <w:lang w:val="zh-CN"/>
        </w:rPr>
        <w:t>（1</w:t>
      </w:r>
      <w:r>
        <w:rPr>
          <w:rFonts w:hint="eastAsia"/>
          <w:highlight w:val="none"/>
          <w:lang w:val="en-US" w:eastAsia="zh-CN"/>
        </w:rPr>
        <w:t>0</w:t>
      </w:r>
      <w:r>
        <w:rPr>
          <w:rFonts w:hint="eastAsia"/>
          <w:highlight w:val="none"/>
          <w:lang w:val="zh-CN"/>
        </w:rPr>
        <w:t>）评分对照表………………………………………………………所在页码</w:t>
      </w:r>
    </w:p>
    <w:p w14:paraId="65816C8C">
      <w:pPr>
        <w:spacing w:line="360" w:lineRule="auto"/>
        <w:rPr>
          <w:highlight w:val="none"/>
          <w:lang w:val="zh-CN"/>
        </w:rPr>
      </w:pPr>
      <w:r>
        <w:rPr>
          <w:rFonts w:hint="eastAsia"/>
          <w:highlight w:val="none"/>
          <w:lang w:val="zh-CN"/>
        </w:rPr>
        <w:t>（1</w:t>
      </w:r>
      <w:r>
        <w:rPr>
          <w:rFonts w:hint="eastAsia"/>
          <w:highlight w:val="none"/>
          <w:lang w:val="en-US" w:eastAsia="zh-CN"/>
        </w:rPr>
        <w:t>1</w:t>
      </w:r>
      <w:r>
        <w:rPr>
          <w:rFonts w:hint="eastAsia"/>
          <w:highlight w:val="none"/>
          <w:lang w:val="zh-CN"/>
        </w:rPr>
        <w:t>）开标一览表（报价表）…………………………………………所在页码</w:t>
      </w:r>
    </w:p>
    <w:p w14:paraId="312E19FE">
      <w:pPr>
        <w:spacing w:line="360" w:lineRule="auto"/>
        <w:rPr>
          <w:highlight w:val="none"/>
          <w:lang w:val="zh-CN"/>
        </w:rPr>
      </w:pPr>
      <w:r>
        <w:rPr>
          <w:rFonts w:hint="eastAsia"/>
          <w:highlight w:val="none"/>
        </w:rPr>
        <w:t>（1</w:t>
      </w:r>
      <w:r>
        <w:rPr>
          <w:rFonts w:hint="eastAsia"/>
          <w:highlight w:val="none"/>
          <w:lang w:val="en-US" w:eastAsia="zh-CN"/>
        </w:rPr>
        <w:t>2</w:t>
      </w:r>
      <w:r>
        <w:rPr>
          <w:rFonts w:hint="eastAsia"/>
          <w:highlight w:val="none"/>
        </w:rPr>
        <w:t>）服务</w:t>
      </w:r>
      <w:r>
        <w:rPr>
          <w:rFonts w:hint="eastAsia"/>
          <w:highlight w:val="none"/>
          <w:lang w:val="zh-CN"/>
        </w:rPr>
        <w:t>响应表………………………………………………………所在页码</w:t>
      </w:r>
    </w:p>
    <w:p w14:paraId="50A7E4A9">
      <w:pPr>
        <w:spacing w:line="360" w:lineRule="auto"/>
        <w:rPr>
          <w:highlight w:val="none"/>
          <w:lang w:val="zh-CN"/>
        </w:rPr>
      </w:pPr>
      <w:r>
        <w:rPr>
          <w:rFonts w:hint="eastAsia"/>
          <w:highlight w:val="none"/>
        </w:rPr>
        <w:t>（1</w:t>
      </w:r>
      <w:r>
        <w:rPr>
          <w:rFonts w:hint="eastAsia"/>
          <w:highlight w:val="none"/>
          <w:lang w:val="en-US" w:eastAsia="zh-CN"/>
        </w:rPr>
        <w:t>3</w:t>
      </w:r>
      <w:r>
        <w:rPr>
          <w:rFonts w:hint="eastAsia"/>
          <w:highlight w:val="none"/>
        </w:rPr>
        <w:t>）服务</w:t>
      </w:r>
      <w:r>
        <w:rPr>
          <w:rFonts w:hint="eastAsia"/>
          <w:highlight w:val="none"/>
          <w:lang w:val="zh-CN"/>
        </w:rPr>
        <w:t>方案…………………………………………………………所在页码</w:t>
      </w:r>
    </w:p>
    <w:p w14:paraId="53FC1ADC">
      <w:pPr>
        <w:spacing w:line="360" w:lineRule="auto"/>
        <w:rPr>
          <w:highlight w:val="none"/>
          <w:lang w:val="zh-CN"/>
        </w:rPr>
      </w:pPr>
      <w:r>
        <w:rPr>
          <w:rFonts w:hint="eastAsia"/>
          <w:highlight w:val="none"/>
          <w:lang w:val="zh-CN"/>
        </w:rPr>
        <w:t>（1</w:t>
      </w:r>
      <w:r>
        <w:rPr>
          <w:rFonts w:hint="eastAsia"/>
          <w:highlight w:val="none"/>
          <w:lang w:val="en-US" w:eastAsia="zh-CN"/>
        </w:rPr>
        <w:t>4</w:t>
      </w:r>
      <w:r>
        <w:rPr>
          <w:rFonts w:hint="eastAsia"/>
          <w:highlight w:val="none"/>
          <w:lang w:val="zh-CN"/>
        </w:rPr>
        <w:t>）投标人的业绩证明材料…………………………………………所在页码</w:t>
      </w:r>
    </w:p>
    <w:p w14:paraId="5B22F83A">
      <w:pPr>
        <w:spacing w:line="360" w:lineRule="auto"/>
        <w:rPr>
          <w:highlight w:val="none"/>
          <w:lang w:val="zh-CN"/>
        </w:rPr>
      </w:pPr>
      <w:r>
        <w:rPr>
          <w:rFonts w:hint="eastAsia"/>
          <w:highlight w:val="none"/>
          <w:lang w:val="zh-CN"/>
        </w:rPr>
        <w:t>（1</w:t>
      </w:r>
      <w:r>
        <w:rPr>
          <w:rFonts w:hint="eastAsia"/>
          <w:highlight w:val="none"/>
          <w:lang w:val="en-US" w:eastAsia="zh-CN"/>
        </w:rPr>
        <w:t>5</w:t>
      </w:r>
      <w:r>
        <w:rPr>
          <w:rFonts w:hint="eastAsia"/>
          <w:highlight w:val="none"/>
          <w:lang w:val="zh-CN"/>
        </w:rPr>
        <w:t>）中小企业声明函………………………………………………所在页码</w:t>
      </w:r>
    </w:p>
    <w:p w14:paraId="3D704797">
      <w:pPr>
        <w:spacing w:line="360" w:lineRule="auto"/>
        <w:rPr>
          <w:highlight w:val="none"/>
          <w:lang w:val="zh-CN"/>
        </w:rPr>
      </w:pPr>
      <w:r>
        <w:rPr>
          <w:rFonts w:hint="eastAsia"/>
          <w:highlight w:val="none"/>
          <w:lang w:val="zh-CN"/>
        </w:rPr>
        <w:t>（1</w:t>
      </w:r>
      <w:r>
        <w:rPr>
          <w:rFonts w:hint="eastAsia"/>
          <w:highlight w:val="none"/>
          <w:lang w:val="en-US" w:eastAsia="zh-CN"/>
        </w:rPr>
        <w:t>6</w:t>
      </w:r>
      <w:r>
        <w:rPr>
          <w:rFonts w:hint="eastAsia"/>
          <w:highlight w:val="none"/>
          <w:lang w:val="zh-CN"/>
        </w:rPr>
        <w:t>）残疾人福利性单位声明函………………………………………所在页码</w:t>
      </w:r>
    </w:p>
    <w:p w14:paraId="1777471F">
      <w:pPr>
        <w:spacing w:line="360" w:lineRule="auto"/>
        <w:rPr>
          <w:highlight w:val="none"/>
          <w:lang w:val="zh-CN"/>
        </w:rPr>
      </w:pPr>
      <w:r>
        <w:rPr>
          <w:rFonts w:hint="eastAsia"/>
          <w:highlight w:val="none"/>
          <w:lang w:val="zh-CN"/>
        </w:rPr>
        <w:t>（</w:t>
      </w:r>
      <w:r>
        <w:rPr>
          <w:rFonts w:hint="eastAsia"/>
          <w:highlight w:val="none"/>
        </w:rPr>
        <w:t>1</w:t>
      </w:r>
      <w:r>
        <w:rPr>
          <w:rFonts w:hint="eastAsia"/>
          <w:highlight w:val="none"/>
          <w:lang w:val="en-US" w:eastAsia="zh-CN"/>
        </w:rPr>
        <w:t>7</w:t>
      </w:r>
      <w:r>
        <w:rPr>
          <w:rFonts w:hint="eastAsia"/>
          <w:highlight w:val="none"/>
          <w:lang w:val="zh-CN"/>
        </w:rPr>
        <w:t>）监狱企业证明资料………………………………………………所在页码</w:t>
      </w:r>
    </w:p>
    <w:p w14:paraId="55F02CE1">
      <w:pPr>
        <w:spacing w:line="360" w:lineRule="auto"/>
        <w:rPr>
          <w:highlight w:val="none"/>
          <w:lang w:val="zh-CN"/>
        </w:rPr>
      </w:pPr>
      <w:r>
        <w:rPr>
          <w:rFonts w:hint="eastAsia"/>
          <w:highlight w:val="none"/>
          <w:lang w:val="zh-CN"/>
        </w:rPr>
        <w:t>（1</w:t>
      </w:r>
      <w:r>
        <w:rPr>
          <w:rFonts w:hint="eastAsia"/>
          <w:highlight w:val="none"/>
          <w:lang w:val="en-US" w:eastAsia="zh-CN"/>
        </w:rPr>
        <w:t>8</w:t>
      </w:r>
      <w:r>
        <w:rPr>
          <w:rFonts w:hint="eastAsia"/>
          <w:highlight w:val="none"/>
          <w:lang w:val="zh-CN"/>
        </w:rPr>
        <w:t>）</w:t>
      </w:r>
      <w:r>
        <w:rPr>
          <w:rFonts w:hint="eastAsia"/>
          <w:highlight w:val="none"/>
        </w:rPr>
        <w:t>投标</w:t>
      </w:r>
      <w:r>
        <w:rPr>
          <w:rFonts w:hint="eastAsia"/>
          <w:highlight w:val="none"/>
          <w:lang w:val="zh-CN"/>
        </w:rPr>
        <w:t>人认为在其他方面有必要说明的事项……………………所在页码</w:t>
      </w:r>
    </w:p>
    <w:p w14:paraId="79F68B8D">
      <w:pPr>
        <w:pStyle w:val="28"/>
        <w:spacing w:before="0" w:after="0" w:line="360" w:lineRule="auto"/>
        <w:jc w:val="left"/>
        <w:outlineLvl w:val="1"/>
        <w:rPr>
          <w:rFonts w:hint="eastAsia" w:ascii="宋体" w:hAnsi="宋体" w:cs="宋体"/>
          <w:sz w:val="30"/>
          <w:szCs w:val="30"/>
          <w:highlight w:val="none"/>
          <w:lang w:val="zh-CN"/>
        </w:rPr>
      </w:pPr>
      <w:r>
        <w:rPr>
          <w:rFonts w:hint="eastAsia"/>
          <w:highlight w:val="none"/>
          <w:lang w:val="zh-CN"/>
        </w:rPr>
        <w:br w:type="page"/>
      </w:r>
      <w:bookmarkStart w:id="180" w:name="_Toc10001"/>
      <w:r>
        <w:rPr>
          <w:rFonts w:hint="eastAsia" w:ascii="宋体" w:hAnsi="宋体" w:cs="宋体"/>
          <w:sz w:val="30"/>
          <w:szCs w:val="30"/>
          <w:highlight w:val="none"/>
        </w:rPr>
        <w:t>（1</w:t>
      </w:r>
      <w:r>
        <w:rPr>
          <w:rFonts w:hint="eastAsia" w:ascii="宋体" w:hAnsi="宋体" w:cs="宋体"/>
          <w:sz w:val="30"/>
          <w:szCs w:val="30"/>
          <w:highlight w:val="none"/>
          <w:lang w:val="en-US" w:eastAsia="zh-CN"/>
        </w:rPr>
        <w:t>0</w:t>
      </w:r>
      <w:r>
        <w:rPr>
          <w:rFonts w:hint="eastAsia" w:ascii="宋体" w:hAnsi="宋体" w:cs="宋体"/>
          <w:sz w:val="30"/>
          <w:szCs w:val="30"/>
          <w:highlight w:val="none"/>
        </w:rPr>
        <w:t>）</w:t>
      </w:r>
      <w:r>
        <w:rPr>
          <w:rFonts w:hint="eastAsia" w:ascii="宋体" w:hAnsi="宋体" w:cs="宋体"/>
          <w:sz w:val="30"/>
          <w:szCs w:val="30"/>
          <w:highlight w:val="none"/>
          <w:lang w:val="zh-CN"/>
        </w:rPr>
        <w:t>评分对照表</w:t>
      </w:r>
      <w:bookmarkEnd w:id="179"/>
      <w:bookmarkEnd w:id="180"/>
    </w:p>
    <w:p w14:paraId="02549BEF">
      <w:pPr>
        <w:spacing w:line="360" w:lineRule="auto"/>
        <w:rPr>
          <w:rFonts w:hint="eastAsia" w:ascii="宋体" w:hAnsi="宋体" w:cs="宋体"/>
          <w:sz w:val="28"/>
          <w:szCs w:val="28"/>
          <w:highlight w:val="none"/>
        </w:rPr>
      </w:pPr>
    </w:p>
    <w:p w14:paraId="02EECF1C">
      <w:pPr>
        <w:jc w:val="center"/>
        <w:rPr>
          <w:rFonts w:hint="eastAsia" w:ascii="宋体" w:hAnsi="宋体" w:cs="宋体"/>
          <w:b/>
          <w:sz w:val="28"/>
          <w:szCs w:val="28"/>
          <w:highlight w:val="none"/>
          <w:lang w:val="zh-CN"/>
        </w:rPr>
      </w:pPr>
      <w:r>
        <w:rPr>
          <w:rFonts w:hint="eastAsia" w:ascii="宋体" w:hAnsi="宋体" w:cs="宋体"/>
          <w:b/>
          <w:sz w:val="28"/>
          <w:szCs w:val="28"/>
          <w:highlight w:val="none"/>
          <w:lang w:val="zh-CN"/>
        </w:rPr>
        <w:t>评分对照表</w:t>
      </w:r>
    </w:p>
    <w:p w14:paraId="1E8C09E4">
      <w:pPr>
        <w:spacing w:line="360" w:lineRule="auto"/>
        <w:rPr>
          <w:rFonts w:hint="eastAsia" w:ascii="宋体" w:hAnsi="宋体" w:cs="宋体"/>
          <w:sz w:val="28"/>
          <w:szCs w:val="28"/>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2F6B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D643A73">
            <w:pPr>
              <w:pStyle w:val="10"/>
              <w:spacing w:line="360" w:lineRule="auto"/>
              <w:ind w:firstLine="0"/>
              <w:jc w:val="center"/>
              <w:rPr>
                <w:rFonts w:hint="eastAsia" w:ascii="宋体" w:hAnsi="宋体" w:cs="宋体"/>
                <w:szCs w:val="24"/>
                <w:highlight w:val="none"/>
              </w:rPr>
            </w:pPr>
            <w:r>
              <w:rPr>
                <w:rFonts w:hint="eastAsia" w:ascii="宋体" w:hAnsi="宋体" w:cs="宋体"/>
                <w:szCs w:val="24"/>
                <w:highlight w:val="none"/>
              </w:rPr>
              <w:t>序号</w:t>
            </w:r>
          </w:p>
        </w:tc>
        <w:tc>
          <w:tcPr>
            <w:tcW w:w="2514" w:type="dxa"/>
            <w:vAlign w:val="center"/>
          </w:tcPr>
          <w:p w14:paraId="0923430B">
            <w:pPr>
              <w:pStyle w:val="10"/>
              <w:spacing w:line="360" w:lineRule="auto"/>
              <w:ind w:firstLine="0"/>
              <w:jc w:val="center"/>
              <w:rPr>
                <w:rFonts w:hint="eastAsia" w:ascii="宋体" w:hAnsi="宋体" w:cs="宋体"/>
                <w:szCs w:val="24"/>
                <w:highlight w:val="none"/>
              </w:rPr>
            </w:pPr>
            <w:r>
              <w:rPr>
                <w:rFonts w:hint="eastAsia" w:ascii="宋体" w:hAnsi="宋体" w:cs="宋体"/>
                <w:szCs w:val="24"/>
                <w:highlight w:val="none"/>
              </w:rPr>
              <w:t>招标文件评分标准</w:t>
            </w:r>
          </w:p>
        </w:tc>
        <w:tc>
          <w:tcPr>
            <w:tcW w:w="2266" w:type="dxa"/>
            <w:vAlign w:val="center"/>
          </w:tcPr>
          <w:p w14:paraId="28CFBAD0">
            <w:pPr>
              <w:pStyle w:val="10"/>
              <w:spacing w:line="360" w:lineRule="auto"/>
              <w:ind w:firstLine="0"/>
              <w:jc w:val="center"/>
              <w:rPr>
                <w:rFonts w:hint="eastAsia" w:ascii="宋体" w:hAnsi="宋体" w:cs="宋体"/>
                <w:szCs w:val="24"/>
                <w:highlight w:val="none"/>
              </w:rPr>
            </w:pPr>
            <w:r>
              <w:rPr>
                <w:rFonts w:hint="eastAsia" w:ascii="宋体" w:hAnsi="宋体" w:cs="宋体"/>
                <w:szCs w:val="24"/>
                <w:highlight w:val="none"/>
              </w:rPr>
              <w:t>投标响应部分</w:t>
            </w:r>
          </w:p>
        </w:tc>
        <w:tc>
          <w:tcPr>
            <w:tcW w:w="2966" w:type="dxa"/>
            <w:vAlign w:val="center"/>
          </w:tcPr>
          <w:p w14:paraId="443E91C8">
            <w:pPr>
              <w:pStyle w:val="10"/>
              <w:spacing w:line="360" w:lineRule="auto"/>
              <w:ind w:firstLine="0"/>
              <w:jc w:val="center"/>
              <w:rPr>
                <w:rFonts w:hint="eastAsia" w:ascii="宋体" w:hAnsi="宋体" w:cs="宋体"/>
                <w:szCs w:val="24"/>
                <w:highlight w:val="none"/>
              </w:rPr>
            </w:pPr>
            <w:r>
              <w:rPr>
                <w:rFonts w:hint="eastAsia" w:ascii="宋体" w:hAnsi="宋体" w:cs="宋体"/>
                <w:szCs w:val="24"/>
                <w:highlight w:val="none"/>
              </w:rPr>
              <w:t>投标文件中对应页码</w:t>
            </w:r>
          </w:p>
        </w:tc>
      </w:tr>
      <w:tr w14:paraId="5E62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4AF871F2">
            <w:pPr>
              <w:pStyle w:val="10"/>
              <w:spacing w:line="360" w:lineRule="auto"/>
              <w:ind w:firstLine="0"/>
              <w:jc w:val="center"/>
              <w:rPr>
                <w:rFonts w:hint="eastAsia" w:ascii="宋体" w:hAnsi="宋体" w:cs="宋体"/>
                <w:szCs w:val="24"/>
                <w:highlight w:val="none"/>
              </w:rPr>
            </w:pPr>
          </w:p>
        </w:tc>
        <w:tc>
          <w:tcPr>
            <w:tcW w:w="2514" w:type="dxa"/>
            <w:vAlign w:val="center"/>
          </w:tcPr>
          <w:p w14:paraId="38382968">
            <w:pPr>
              <w:pStyle w:val="10"/>
              <w:spacing w:line="360" w:lineRule="auto"/>
              <w:ind w:firstLine="0"/>
              <w:jc w:val="center"/>
              <w:rPr>
                <w:rFonts w:hint="eastAsia" w:ascii="宋体" w:hAnsi="宋体" w:cs="宋体"/>
                <w:szCs w:val="24"/>
                <w:highlight w:val="none"/>
              </w:rPr>
            </w:pPr>
          </w:p>
        </w:tc>
        <w:tc>
          <w:tcPr>
            <w:tcW w:w="2266" w:type="dxa"/>
            <w:vAlign w:val="center"/>
          </w:tcPr>
          <w:p w14:paraId="5D99421D">
            <w:pPr>
              <w:pStyle w:val="10"/>
              <w:spacing w:line="360" w:lineRule="auto"/>
              <w:ind w:firstLine="0"/>
              <w:jc w:val="center"/>
              <w:rPr>
                <w:rFonts w:hint="eastAsia" w:ascii="宋体" w:hAnsi="宋体" w:cs="宋体"/>
                <w:szCs w:val="24"/>
                <w:highlight w:val="none"/>
              </w:rPr>
            </w:pPr>
          </w:p>
        </w:tc>
        <w:tc>
          <w:tcPr>
            <w:tcW w:w="2966" w:type="dxa"/>
            <w:vAlign w:val="center"/>
          </w:tcPr>
          <w:p w14:paraId="5B8A2960">
            <w:pPr>
              <w:pStyle w:val="10"/>
              <w:spacing w:line="360" w:lineRule="auto"/>
              <w:ind w:firstLine="0"/>
              <w:jc w:val="center"/>
              <w:rPr>
                <w:rFonts w:hint="eastAsia" w:ascii="宋体" w:hAnsi="宋体" w:cs="宋体"/>
                <w:szCs w:val="24"/>
                <w:highlight w:val="none"/>
              </w:rPr>
            </w:pPr>
          </w:p>
        </w:tc>
      </w:tr>
      <w:tr w14:paraId="3301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8B3B89F">
            <w:pPr>
              <w:pStyle w:val="10"/>
              <w:spacing w:line="360" w:lineRule="auto"/>
              <w:ind w:firstLine="0"/>
              <w:jc w:val="center"/>
              <w:rPr>
                <w:rFonts w:hint="eastAsia" w:ascii="宋体" w:hAnsi="宋体" w:cs="宋体"/>
                <w:szCs w:val="24"/>
                <w:highlight w:val="none"/>
              </w:rPr>
            </w:pPr>
          </w:p>
        </w:tc>
        <w:tc>
          <w:tcPr>
            <w:tcW w:w="2514" w:type="dxa"/>
            <w:vAlign w:val="center"/>
          </w:tcPr>
          <w:p w14:paraId="21BE915E">
            <w:pPr>
              <w:pStyle w:val="10"/>
              <w:spacing w:line="360" w:lineRule="auto"/>
              <w:ind w:firstLine="0"/>
              <w:jc w:val="center"/>
              <w:rPr>
                <w:rFonts w:hint="eastAsia" w:ascii="宋体" w:hAnsi="宋体" w:cs="宋体"/>
                <w:szCs w:val="24"/>
                <w:highlight w:val="none"/>
              </w:rPr>
            </w:pPr>
          </w:p>
        </w:tc>
        <w:tc>
          <w:tcPr>
            <w:tcW w:w="2266" w:type="dxa"/>
            <w:vAlign w:val="center"/>
          </w:tcPr>
          <w:p w14:paraId="26DB8251">
            <w:pPr>
              <w:pStyle w:val="10"/>
              <w:spacing w:line="360" w:lineRule="auto"/>
              <w:ind w:firstLine="0"/>
              <w:jc w:val="center"/>
              <w:rPr>
                <w:rFonts w:hint="eastAsia" w:ascii="宋体" w:hAnsi="宋体" w:cs="宋体"/>
                <w:szCs w:val="24"/>
                <w:highlight w:val="none"/>
              </w:rPr>
            </w:pPr>
          </w:p>
        </w:tc>
        <w:tc>
          <w:tcPr>
            <w:tcW w:w="2966" w:type="dxa"/>
            <w:vAlign w:val="center"/>
          </w:tcPr>
          <w:p w14:paraId="4E23159F">
            <w:pPr>
              <w:pStyle w:val="10"/>
              <w:spacing w:line="360" w:lineRule="auto"/>
              <w:ind w:firstLine="0"/>
              <w:jc w:val="center"/>
              <w:rPr>
                <w:rFonts w:hint="eastAsia" w:ascii="宋体" w:hAnsi="宋体" w:cs="宋体"/>
                <w:szCs w:val="24"/>
                <w:highlight w:val="none"/>
              </w:rPr>
            </w:pPr>
          </w:p>
        </w:tc>
      </w:tr>
      <w:tr w14:paraId="7119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55846C5B">
            <w:pPr>
              <w:pStyle w:val="10"/>
              <w:spacing w:line="360" w:lineRule="auto"/>
              <w:ind w:firstLine="0"/>
              <w:jc w:val="center"/>
              <w:rPr>
                <w:rFonts w:hint="eastAsia" w:ascii="宋体" w:hAnsi="宋体" w:cs="宋体"/>
                <w:szCs w:val="24"/>
                <w:highlight w:val="none"/>
              </w:rPr>
            </w:pPr>
          </w:p>
        </w:tc>
        <w:tc>
          <w:tcPr>
            <w:tcW w:w="2514" w:type="dxa"/>
            <w:vAlign w:val="center"/>
          </w:tcPr>
          <w:p w14:paraId="543DC4E3">
            <w:pPr>
              <w:pStyle w:val="10"/>
              <w:spacing w:line="360" w:lineRule="auto"/>
              <w:ind w:firstLine="0"/>
              <w:jc w:val="center"/>
              <w:rPr>
                <w:rFonts w:hint="eastAsia" w:ascii="宋体" w:hAnsi="宋体" w:cs="宋体"/>
                <w:szCs w:val="24"/>
                <w:highlight w:val="none"/>
              </w:rPr>
            </w:pPr>
          </w:p>
        </w:tc>
        <w:tc>
          <w:tcPr>
            <w:tcW w:w="2266" w:type="dxa"/>
            <w:vAlign w:val="center"/>
          </w:tcPr>
          <w:p w14:paraId="60B70C88">
            <w:pPr>
              <w:pStyle w:val="10"/>
              <w:spacing w:line="360" w:lineRule="auto"/>
              <w:ind w:firstLine="0"/>
              <w:jc w:val="center"/>
              <w:rPr>
                <w:rFonts w:hint="eastAsia" w:ascii="宋体" w:hAnsi="宋体" w:cs="宋体"/>
                <w:szCs w:val="24"/>
                <w:highlight w:val="none"/>
              </w:rPr>
            </w:pPr>
          </w:p>
        </w:tc>
        <w:tc>
          <w:tcPr>
            <w:tcW w:w="2966" w:type="dxa"/>
            <w:vAlign w:val="center"/>
          </w:tcPr>
          <w:p w14:paraId="6968B5F7">
            <w:pPr>
              <w:pStyle w:val="10"/>
              <w:spacing w:line="360" w:lineRule="auto"/>
              <w:ind w:firstLine="0"/>
              <w:jc w:val="center"/>
              <w:rPr>
                <w:rFonts w:hint="eastAsia" w:ascii="宋体" w:hAnsi="宋体" w:cs="宋体"/>
                <w:szCs w:val="24"/>
                <w:highlight w:val="none"/>
              </w:rPr>
            </w:pPr>
          </w:p>
        </w:tc>
      </w:tr>
      <w:tr w14:paraId="5E57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00636784">
            <w:pPr>
              <w:pStyle w:val="10"/>
              <w:spacing w:line="360" w:lineRule="auto"/>
              <w:ind w:firstLine="0"/>
              <w:jc w:val="center"/>
              <w:rPr>
                <w:rFonts w:hint="eastAsia" w:ascii="宋体" w:hAnsi="宋体" w:cs="宋体"/>
                <w:szCs w:val="24"/>
                <w:highlight w:val="none"/>
              </w:rPr>
            </w:pPr>
          </w:p>
        </w:tc>
        <w:tc>
          <w:tcPr>
            <w:tcW w:w="2514" w:type="dxa"/>
            <w:vAlign w:val="center"/>
          </w:tcPr>
          <w:p w14:paraId="0086DB0B">
            <w:pPr>
              <w:pStyle w:val="10"/>
              <w:spacing w:line="360" w:lineRule="auto"/>
              <w:ind w:firstLine="0"/>
              <w:jc w:val="center"/>
              <w:rPr>
                <w:rFonts w:hint="eastAsia" w:ascii="宋体" w:hAnsi="宋体" w:cs="宋体"/>
                <w:szCs w:val="24"/>
                <w:highlight w:val="none"/>
              </w:rPr>
            </w:pPr>
          </w:p>
        </w:tc>
        <w:tc>
          <w:tcPr>
            <w:tcW w:w="2266" w:type="dxa"/>
            <w:vAlign w:val="center"/>
          </w:tcPr>
          <w:p w14:paraId="508DEF4B">
            <w:pPr>
              <w:pStyle w:val="10"/>
              <w:spacing w:line="360" w:lineRule="auto"/>
              <w:ind w:firstLine="0"/>
              <w:jc w:val="center"/>
              <w:rPr>
                <w:rFonts w:hint="eastAsia" w:ascii="宋体" w:hAnsi="宋体" w:cs="宋体"/>
                <w:szCs w:val="24"/>
                <w:highlight w:val="none"/>
              </w:rPr>
            </w:pPr>
          </w:p>
        </w:tc>
        <w:tc>
          <w:tcPr>
            <w:tcW w:w="2966" w:type="dxa"/>
            <w:vAlign w:val="center"/>
          </w:tcPr>
          <w:p w14:paraId="7021DE3B">
            <w:pPr>
              <w:pStyle w:val="10"/>
              <w:spacing w:line="360" w:lineRule="auto"/>
              <w:ind w:firstLine="0"/>
              <w:jc w:val="center"/>
              <w:rPr>
                <w:rFonts w:hint="eastAsia" w:ascii="宋体" w:hAnsi="宋体" w:cs="宋体"/>
                <w:szCs w:val="24"/>
                <w:highlight w:val="none"/>
              </w:rPr>
            </w:pPr>
          </w:p>
        </w:tc>
      </w:tr>
      <w:tr w14:paraId="79AB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5C4815B9">
            <w:pPr>
              <w:pStyle w:val="10"/>
              <w:spacing w:line="360" w:lineRule="auto"/>
              <w:ind w:firstLine="0"/>
              <w:jc w:val="center"/>
              <w:rPr>
                <w:rFonts w:hint="eastAsia" w:ascii="宋体" w:hAnsi="宋体" w:cs="宋体"/>
                <w:szCs w:val="24"/>
                <w:highlight w:val="none"/>
              </w:rPr>
            </w:pPr>
          </w:p>
        </w:tc>
        <w:tc>
          <w:tcPr>
            <w:tcW w:w="2514" w:type="dxa"/>
            <w:vAlign w:val="center"/>
          </w:tcPr>
          <w:p w14:paraId="5476468D">
            <w:pPr>
              <w:pStyle w:val="10"/>
              <w:spacing w:line="360" w:lineRule="auto"/>
              <w:ind w:firstLine="0"/>
              <w:jc w:val="center"/>
              <w:rPr>
                <w:rFonts w:hint="eastAsia" w:ascii="宋体" w:hAnsi="宋体" w:cs="宋体"/>
                <w:szCs w:val="24"/>
                <w:highlight w:val="none"/>
              </w:rPr>
            </w:pPr>
          </w:p>
        </w:tc>
        <w:tc>
          <w:tcPr>
            <w:tcW w:w="2266" w:type="dxa"/>
            <w:vAlign w:val="center"/>
          </w:tcPr>
          <w:p w14:paraId="587D8216">
            <w:pPr>
              <w:pStyle w:val="10"/>
              <w:spacing w:line="360" w:lineRule="auto"/>
              <w:ind w:firstLine="0"/>
              <w:jc w:val="center"/>
              <w:rPr>
                <w:rFonts w:hint="eastAsia" w:ascii="宋体" w:hAnsi="宋体" w:cs="宋体"/>
                <w:szCs w:val="24"/>
                <w:highlight w:val="none"/>
              </w:rPr>
            </w:pPr>
          </w:p>
        </w:tc>
        <w:tc>
          <w:tcPr>
            <w:tcW w:w="2966" w:type="dxa"/>
            <w:vAlign w:val="center"/>
          </w:tcPr>
          <w:p w14:paraId="61F4714A">
            <w:pPr>
              <w:pStyle w:val="10"/>
              <w:spacing w:line="360" w:lineRule="auto"/>
              <w:ind w:firstLine="0"/>
              <w:jc w:val="center"/>
              <w:rPr>
                <w:rFonts w:hint="eastAsia" w:ascii="宋体" w:hAnsi="宋体" w:cs="宋体"/>
                <w:szCs w:val="24"/>
                <w:highlight w:val="none"/>
              </w:rPr>
            </w:pPr>
          </w:p>
        </w:tc>
      </w:tr>
      <w:tr w14:paraId="5CB1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30756CA3">
            <w:pPr>
              <w:pStyle w:val="10"/>
              <w:spacing w:line="360" w:lineRule="auto"/>
              <w:ind w:firstLine="0"/>
              <w:jc w:val="center"/>
              <w:rPr>
                <w:rFonts w:hint="eastAsia" w:ascii="宋体" w:hAnsi="宋体" w:cs="宋体"/>
                <w:szCs w:val="24"/>
                <w:highlight w:val="none"/>
              </w:rPr>
            </w:pPr>
          </w:p>
        </w:tc>
        <w:tc>
          <w:tcPr>
            <w:tcW w:w="2514" w:type="dxa"/>
            <w:vAlign w:val="center"/>
          </w:tcPr>
          <w:p w14:paraId="23D58228">
            <w:pPr>
              <w:pStyle w:val="10"/>
              <w:spacing w:line="360" w:lineRule="auto"/>
              <w:ind w:firstLine="0"/>
              <w:jc w:val="center"/>
              <w:rPr>
                <w:rFonts w:hint="eastAsia" w:ascii="宋体" w:hAnsi="宋体" w:cs="宋体"/>
                <w:szCs w:val="24"/>
                <w:highlight w:val="none"/>
              </w:rPr>
            </w:pPr>
          </w:p>
        </w:tc>
        <w:tc>
          <w:tcPr>
            <w:tcW w:w="2266" w:type="dxa"/>
            <w:vAlign w:val="center"/>
          </w:tcPr>
          <w:p w14:paraId="50EF034F">
            <w:pPr>
              <w:pStyle w:val="10"/>
              <w:spacing w:line="360" w:lineRule="auto"/>
              <w:ind w:firstLine="0"/>
              <w:jc w:val="center"/>
              <w:rPr>
                <w:rFonts w:hint="eastAsia" w:ascii="宋体" w:hAnsi="宋体" w:cs="宋体"/>
                <w:szCs w:val="24"/>
                <w:highlight w:val="none"/>
              </w:rPr>
            </w:pPr>
          </w:p>
        </w:tc>
        <w:tc>
          <w:tcPr>
            <w:tcW w:w="2966" w:type="dxa"/>
            <w:vAlign w:val="center"/>
          </w:tcPr>
          <w:p w14:paraId="7C5ED22D">
            <w:pPr>
              <w:pStyle w:val="10"/>
              <w:spacing w:line="360" w:lineRule="auto"/>
              <w:ind w:firstLine="0"/>
              <w:jc w:val="center"/>
              <w:rPr>
                <w:rFonts w:hint="eastAsia" w:ascii="宋体" w:hAnsi="宋体" w:cs="宋体"/>
                <w:szCs w:val="24"/>
                <w:highlight w:val="none"/>
              </w:rPr>
            </w:pPr>
          </w:p>
        </w:tc>
      </w:tr>
    </w:tbl>
    <w:p w14:paraId="3294D6B3">
      <w:pPr>
        <w:spacing w:line="360" w:lineRule="auto"/>
        <w:rPr>
          <w:rFonts w:hint="eastAsia" w:ascii="宋体" w:hAnsi="宋体" w:cs="宋体"/>
          <w:highlight w:val="none"/>
          <w:lang w:val="zh-CN"/>
        </w:rPr>
      </w:pPr>
    </w:p>
    <w:p w14:paraId="12FD6E17">
      <w:pPr>
        <w:pStyle w:val="28"/>
        <w:spacing w:before="0" w:after="0" w:line="360" w:lineRule="auto"/>
        <w:jc w:val="left"/>
        <w:outlineLvl w:val="1"/>
        <w:rPr>
          <w:rFonts w:hint="eastAsia" w:ascii="宋体" w:hAnsi="宋体" w:cs="宋体"/>
          <w:highlight w:val="none"/>
          <w:lang w:val="zh-CN"/>
        </w:rPr>
      </w:pPr>
      <w:bookmarkStart w:id="181" w:name="_Toc28963"/>
      <w:r>
        <w:rPr>
          <w:rFonts w:hint="eastAsia" w:ascii="宋体" w:hAnsi="宋体" w:cs="宋体"/>
          <w:sz w:val="30"/>
          <w:szCs w:val="30"/>
          <w:highlight w:val="none"/>
          <w:lang w:val="zh-CN"/>
        </w:rPr>
        <w:br w:type="page"/>
      </w:r>
      <w:bookmarkStart w:id="182" w:name="_Toc13051"/>
      <w:bookmarkStart w:id="183" w:name="_Toc4894"/>
      <w:bookmarkStart w:id="184" w:name="_Toc26451"/>
      <w:r>
        <w:rPr>
          <w:rFonts w:hint="eastAsia" w:ascii="宋体" w:hAnsi="宋体" w:cs="宋体"/>
          <w:sz w:val="30"/>
          <w:szCs w:val="30"/>
          <w:highlight w:val="none"/>
        </w:rPr>
        <w:t>（1</w:t>
      </w:r>
      <w:r>
        <w:rPr>
          <w:rFonts w:hint="eastAsia" w:ascii="宋体" w:hAnsi="宋体" w:cs="宋体"/>
          <w:sz w:val="30"/>
          <w:szCs w:val="30"/>
          <w:highlight w:val="none"/>
          <w:lang w:val="en-US" w:eastAsia="zh-CN"/>
        </w:rPr>
        <w:t>1</w:t>
      </w:r>
      <w:r>
        <w:rPr>
          <w:rFonts w:hint="eastAsia" w:ascii="宋体" w:hAnsi="宋体" w:cs="宋体"/>
          <w:sz w:val="30"/>
          <w:szCs w:val="30"/>
          <w:highlight w:val="none"/>
        </w:rPr>
        <w:t>）</w:t>
      </w:r>
      <w:r>
        <w:rPr>
          <w:rFonts w:hint="eastAsia" w:ascii="宋体" w:hAnsi="宋体" w:cs="宋体"/>
          <w:sz w:val="30"/>
          <w:szCs w:val="30"/>
          <w:highlight w:val="none"/>
          <w:lang w:val="zh-CN"/>
        </w:rPr>
        <w:t>开标一览表（报价表）</w:t>
      </w:r>
      <w:bookmarkEnd w:id="182"/>
      <w:bookmarkEnd w:id="183"/>
      <w:bookmarkEnd w:id="184"/>
    </w:p>
    <w:p w14:paraId="1F7532C3">
      <w:pPr>
        <w:autoSpaceDE w:val="0"/>
        <w:autoSpaceDN w:val="0"/>
        <w:spacing w:line="360" w:lineRule="auto"/>
        <w:rPr>
          <w:rFonts w:hint="eastAsia" w:ascii="宋体" w:hAnsi="宋体" w:cs="宋体"/>
          <w:b/>
          <w:bCs/>
          <w:kern w:val="0"/>
          <w:sz w:val="28"/>
          <w:szCs w:val="28"/>
          <w:highlight w:val="none"/>
          <w:lang w:val="zh-CN"/>
        </w:rPr>
      </w:pPr>
    </w:p>
    <w:p w14:paraId="6E292479">
      <w:pPr>
        <w:jc w:val="center"/>
        <w:rPr>
          <w:rFonts w:hint="eastAsia" w:ascii="宋体" w:hAnsi="宋体" w:cs="宋体"/>
          <w:b/>
          <w:sz w:val="28"/>
          <w:szCs w:val="28"/>
          <w:highlight w:val="none"/>
          <w:lang w:val="zh-CN"/>
        </w:rPr>
      </w:pPr>
      <w:r>
        <w:rPr>
          <w:rFonts w:hint="eastAsia" w:ascii="宋体" w:hAnsi="宋体" w:cs="宋体"/>
          <w:b/>
          <w:sz w:val="28"/>
          <w:szCs w:val="28"/>
          <w:highlight w:val="none"/>
          <w:lang w:val="zh-CN"/>
        </w:rPr>
        <w:t>开标一览表（报价表）</w:t>
      </w:r>
    </w:p>
    <w:tbl>
      <w:tblPr>
        <w:tblStyle w:val="3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757F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4EFC0CE2">
            <w:pPr>
              <w:pStyle w:val="10"/>
              <w:spacing w:line="360" w:lineRule="auto"/>
              <w:ind w:firstLine="0"/>
              <w:jc w:val="center"/>
              <w:rPr>
                <w:rFonts w:hint="eastAsia" w:ascii="宋体" w:hAnsi="宋体" w:cs="宋体"/>
                <w:szCs w:val="24"/>
                <w:highlight w:val="none"/>
              </w:rPr>
            </w:pPr>
            <w:r>
              <w:rPr>
                <w:rFonts w:hint="eastAsia" w:ascii="宋体" w:hAnsi="宋体" w:cs="宋体"/>
                <w:szCs w:val="24"/>
                <w:highlight w:val="none"/>
              </w:rPr>
              <w:t>投标人名称</w:t>
            </w:r>
          </w:p>
        </w:tc>
        <w:tc>
          <w:tcPr>
            <w:tcW w:w="5985" w:type="dxa"/>
            <w:vAlign w:val="center"/>
          </w:tcPr>
          <w:p w14:paraId="36870960">
            <w:pPr>
              <w:pStyle w:val="10"/>
              <w:spacing w:line="360" w:lineRule="auto"/>
              <w:ind w:firstLine="0"/>
              <w:rPr>
                <w:rFonts w:hint="eastAsia" w:ascii="宋体" w:hAnsi="宋体" w:cs="宋体"/>
                <w:szCs w:val="24"/>
                <w:highlight w:val="none"/>
              </w:rPr>
            </w:pPr>
          </w:p>
        </w:tc>
      </w:tr>
      <w:tr w14:paraId="6989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2632" w:type="dxa"/>
            <w:vAlign w:val="center"/>
          </w:tcPr>
          <w:p w14:paraId="38A2CF84">
            <w:pPr>
              <w:pStyle w:val="10"/>
              <w:spacing w:line="360" w:lineRule="auto"/>
              <w:ind w:firstLine="0"/>
              <w:jc w:val="center"/>
              <w:rPr>
                <w:rFonts w:hint="eastAsia" w:ascii="宋体" w:hAnsi="宋体" w:eastAsia="微软雅黑" w:cs="宋体"/>
                <w:szCs w:val="24"/>
                <w:highlight w:val="red"/>
                <w:lang w:eastAsia="zh-CN"/>
              </w:rPr>
            </w:pPr>
            <w:r>
              <w:rPr>
                <w:rFonts w:hint="eastAsia" w:ascii="宋体" w:hAnsi="宋体" w:eastAsia="宋体" w:cs="宋体"/>
                <w:szCs w:val="24"/>
                <w:highlight w:val="none"/>
                <w:lang w:eastAsia="zh-CN"/>
              </w:rPr>
              <w:t>投标报价</w:t>
            </w:r>
          </w:p>
        </w:tc>
        <w:tc>
          <w:tcPr>
            <w:tcW w:w="5985" w:type="dxa"/>
            <w:vAlign w:val="center"/>
          </w:tcPr>
          <w:p w14:paraId="65AAEE6C">
            <w:pPr>
              <w:pStyle w:val="10"/>
              <w:spacing w:line="360" w:lineRule="auto"/>
              <w:ind w:firstLine="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471.6万元</w:t>
            </w:r>
          </w:p>
        </w:tc>
      </w:tr>
      <w:tr w14:paraId="6710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2632" w:type="dxa"/>
            <w:vAlign w:val="center"/>
          </w:tcPr>
          <w:p w14:paraId="6B9479AA">
            <w:pPr>
              <w:pStyle w:val="10"/>
              <w:spacing w:line="360" w:lineRule="auto"/>
              <w:ind w:firstLine="0"/>
              <w:jc w:val="center"/>
              <w:rPr>
                <w:rFonts w:hint="default" w:ascii="宋体" w:hAnsi="宋体" w:eastAsia="宋体" w:cs="宋体"/>
                <w:szCs w:val="24"/>
                <w:highlight w:val="red"/>
                <w:lang w:val="en-US" w:eastAsia="zh-CN"/>
              </w:rPr>
            </w:pPr>
            <w:r>
              <w:rPr>
                <w:rFonts w:hint="eastAsia" w:ascii="宋体" w:hAnsi="宋体" w:cs="宋体"/>
                <w:szCs w:val="24"/>
                <w:highlight w:val="none"/>
                <w:lang w:val="en-US" w:eastAsia="zh-CN"/>
              </w:rPr>
              <w:t>投标单价合计</w:t>
            </w:r>
          </w:p>
        </w:tc>
        <w:tc>
          <w:tcPr>
            <w:tcW w:w="5985" w:type="dxa"/>
            <w:vAlign w:val="center"/>
          </w:tcPr>
          <w:p w14:paraId="1B70112C">
            <w:pPr>
              <w:pStyle w:val="10"/>
              <w:spacing w:line="360" w:lineRule="auto"/>
              <w:ind w:firstLine="0"/>
              <w:rPr>
                <w:rFonts w:hint="default" w:ascii="宋体" w:hAnsi="宋体" w:eastAsia="宋体" w:cs="宋体"/>
                <w:szCs w:val="24"/>
                <w:highlight w:val="none"/>
                <w:lang w:val="en-US" w:eastAsia="zh-CN"/>
              </w:rPr>
            </w:pPr>
          </w:p>
        </w:tc>
      </w:tr>
      <w:tr w14:paraId="6470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2632" w:type="dxa"/>
            <w:vAlign w:val="center"/>
          </w:tcPr>
          <w:p w14:paraId="5CFEF500">
            <w:pPr>
              <w:pStyle w:val="10"/>
              <w:spacing w:line="360" w:lineRule="auto"/>
              <w:ind w:firstLine="720" w:firstLineChars="300"/>
              <w:rPr>
                <w:rFonts w:hint="eastAsia" w:ascii="宋体" w:hAnsi="宋体" w:eastAsia="宋体" w:cs="宋体"/>
                <w:szCs w:val="24"/>
                <w:highlight w:val="none"/>
                <w:lang w:val="en-US" w:eastAsia="zh-CN"/>
              </w:rPr>
            </w:pPr>
            <w:r>
              <w:rPr>
                <w:rFonts w:hint="eastAsia" w:ascii="宋体" w:hAnsi="宋体" w:cs="宋体"/>
                <w:szCs w:val="24"/>
                <w:highlight w:val="none"/>
              </w:rPr>
              <w:t>服务期</w:t>
            </w:r>
            <w:r>
              <w:rPr>
                <w:rFonts w:hint="eastAsia" w:ascii="宋体" w:hAnsi="宋体" w:cs="宋体"/>
                <w:szCs w:val="24"/>
                <w:highlight w:val="none"/>
                <w:lang w:val="en-US" w:eastAsia="zh-CN"/>
              </w:rPr>
              <w:t>限</w:t>
            </w:r>
          </w:p>
        </w:tc>
        <w:tc>
          <w:tcPr>
            <w:tcW w:w="5985" w:type="dxa"/>
            <w:vAlign w:val="center"/>
          </w:tcPr>
          <w:p w14:paraId="3C09F105">
            <w:pPr>
              <w:pStyle w:val="10"/>
              <w:spacing w:line="360" w:lineRule="auto"/>
              <w:rPr>
                <w:rFonts w:hint="eastAsia" w:ascii="宋体" w:hAnsi="宋体" w:cs="宋体"/>
                <w:kern w:val="0"/>
                <w:highlight w:val="none"/>
                <w:lang w:val="zh-CN"/>
              </w:rPr>
            </w:pPr>
          </w:p>
        </w:tc>
      </w:tr>
      <w:tr w14:paraId="119F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2632" w:type="dxa"/>
            <w:vAlign w:val="center"/>
          </w:tcPr>
          <w:p w14:paraId="0157FF9C">
            <w:pPr>
              <w:pStyle w:val="10"/>
              <w:spacing w:line="360" w:lineRule="auto"/>
              <w:ind w:firstLine="720" w:firstLineChars="30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质保期</w:t>
            </w:r>
          </w:p>
        </w:tc>
        <w:tc>
          <w:tcPr>
            <w:tcW w:w="5985" w:type="dxa"/>
            <w:vAlign w:val="center"/>
          </w:tcPr>
          <w:p w14:paraId="4B41CF19">
            <w:pPr>
              <w:pStyle w:val="10"/>
              <w:spacing w:line="360" w:lineRule="auto"/>
              <w:rPr>
                <w:rFonts w:hint="eastAsia" w:ascii="宋体" w:hAnsi="宋体" w:cs="宋体"/>
                <w:kern w:val="0"/>
                <w:highlight w:val="none"/>
                <w:lang w:val="zh-CN"/>
              </w:rPr>
            </w:pPr>
          </w:p>
        </w:tc>
      </w:tr>
      <w:tr w14:paraId="33C5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5" w:hRule="atLeast"/>
          <w:jc w:val="center"/>
        </w:trPr>
        <w:tc>
          <w:tcPr>
            <w:tcW w:w="2632" w:type="dxa"/>
            <w:vAlign w:val="center"/>
          </w:tcPr>
          <w:p w14:paraId="3AF58A52">
            <w:pPr>
              <w:pStyle w:val="10"/>
              <w:spacing w:line="360" w:lineRule="auto"/>
              <w:ind w:left="0" w:leftChars="0" w:firstLine="0" w:firstLineChars="0"/>
              <w:jc w:val="center"/>
              <w:rPr>
                <w:rFonts w:hint="eastAsia" w:ascii="宋体" w:hAnsi="宋体" w:cs="宋体"/>
                <w:szCs w:val="24"/>
                <w:highlight w:val="none"/>
              </w:rPr>
            </w:pPr>
            <w:r>
              <w:rPr>
                <w:rFonts w:ascii="宋体" w:hAnsi="宋体" w:cs="宋体"/>
                <w:szCs w:val="24"/>
                <w:highlight w:val="none"/>
              </w:rPr>
              <w:t>其他承诺及需要说明的事项：</w:t>
            </w:r>
          </w:p>
        </w:tc>
        <w:tc>
          <w:tcPr>
            <w:tcW w:w="5985" w:type="dxa"/>
            <w:vAlign w:val="center"/>
          </w:tcPr>
          <w:p w14:paraId="78C835D1">
            <w:pPr>
              <w:pStyle w:val="10"/>
              <w:spacing w:line="360" w:lineRule="auto"/>
              <w:ind w:firstLine="0"/>
              <w:rPr>
                <w:rFonts w:hint="eastAsia" w:ascii="宋体" w:hAnsi="宋体" w:cs="宋体"/>
                <w:szCs w:val="24"/>
                <w:highlight w:val="none"/>
              </w:rPr>
            </w:pPr>
          </w:p>
        </w:tc>
      </w:tr>
    </w:tbl>
    <w:p w14:paraId="3A90CE6E">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注：</w:t>
      </w:r>
      <w:r>
        <w:rPr>
          <w:rFonts w:hint="eastAsia" w:ascii="宋体" w:hAnsi="宋体" w:cs="宋体"/>
          <w:kern w:val="0"/>
          <w:highlight w:val="none"/>
          <w:lang w:val="zh-CN"/>
        </w:rPr>
        <w:t>1.填写此表时不得改变表格形式。</w:t>
      </w:r>
    </w:p>
    <w:p w14:paraId="63AA63D9">
      <w:pPr>
        <w:keepNext w:val="0"/>
        <w:keepLines w:val="0"/>
        <w:widowControl/>
        <w:suppressLineNumbers w:val="0"/>
        <w:ind w:firstLine="480" w:firstLineChars="200"/>
        <w:jc w:val="left"/>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highlight w:val="none"/>
          <w:lang w:val="en-US" w:eastAsia="zh-CN" w:bidi="ar"/>
        </w:rPr>
        <w:t>2.报价必须包括：分部分项工程费、措施项目费、其他项目费、规费、税金、招标代理费及不可预见费等全部费用。</w:t>
      </w:r>
    </w:p>
    <w:p w14:paraId="642DD52B">
      <w:pPr>
        <w:autoSpaceDE w:val="0"/>
        <w:autoSpaceDN w:val="0"/>
        <w:spacing w:line="360" w:lineRule="auto"/>
        <w:ind w:firstLine="48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lang w:val="zh-CN"/>
        </w:rPr>
        <w:t>.“</w:t>
      </w:r>
      <w:r>
        <w:rPr>
          <w:rFonts w:hint="eastAsia" w:ascii="宋体" w:hAnsi="宋体" w:cs="宋体"/>
          <w:kern w:val="0"/>
          <w:highlight w:val="none"/>
        </w:rPr>
        <w:t>服务</w:t>
      </w:r>
      <w:r>
        <w:rPr>
          <w:rFonts w:hint="eastAsia" w:ascii="宋体" w:hAnsi="宋体" w:cs="宋体"/>
          <w:szCs w:val="24"/>
          <w:highlight w:val="none"/>
        </w:rPr>
        <w:t>期</w:t>
      </w:r>
      <w:r>
        <w:rPr>
          <w:rFonts w:hint="eastAsia" w:ascii="宋体" w:hAnsi="宋体" w:cs="宋体"/>
          <w:szCs w:val="24"/>
          <w:highlight w:val="none"/>
          <w:lang w:val="en-US" w:eastAsia="zh-CN"/>
        </w:rPr>
        <w:t>限</w:t>
      </w:r>
      <w:r>
        <w:rPr>
          <w:rFonts w:hint="eastAsia" w:ascii="宋体" w:hAnsi="宋体" w:cs="宋体"/>
          <w:kern w:val="0"/>
          <w:highlight w:val="none"/>
          <w:lang w:val="zh-CN"/>
        </w:rPr>
        <w:t>”是指能够</w:t>
      </w:r>
      <w:r>
        <w:rPr>
          <w:rFonts w:hint="eastAsia" w:ascii="宋体" w:hAnsi="宋体" w:cs="宋体"/>
          <w:kern w:val="0"/>
          <w:highlight w:val="none"/>
        </w:rPr>
        <w:t>服务</w:t>
      </w:r>
      <w:r>
        <w:rPr>
          <w:rFonts w:hint="eastAsia" w:ascii="宋体" w:hAnsi="宋体" w:cs="宋体"/>
          <w:kern w:val="0"/>
          <w:highlight w:val="none"/>
          <w:lang w:val="zh-CN"/>
        </w:rPr>
        <w:t>的具体</w:t>
      </w:r>
      <w:r>
        <w:rPr>
          <w:rFonts w:hint="eastAsia" w:ascii="宋体" w:hAnsi="宋体" w:cs="宋体"/>
          <w:kern w:val="0"/>
          <w:highlight w:val="none"/>
        </w:rPr>
        <w:t>服务期</w:t>
      </w:r>
      <w:r>
        <w:rPr>
          <w:rFonts w:hint="eastAsia" w:ascii="宋体" w:hAnsi="宋体" w:cs="宋体"/>
          <w:kern w:val="0"/>
          <w:highlight w:val="none"/>
          <w:lang w:val="zh-CN"/>
        </w:rPr>
        <w:t>。</w:t>
      </w:r>
    </w:p>
    <w:p w14:paraId="4D57D200">
      <w:pPr>
        <w:autoSpaceDE w:val="0"/>
        <w:autoSpaceDN w:val="0"/>
        <w:spacing w:line="360" w:lineRule="auto"/>
        <w:ind w:firstLine="480"/>
        <w:rPr>
          <w:rFonts w:hint="eastAsia" w:ascii="宋体" w:hAnsi="宋体" w:cs="宋体"/>
          <w:kern w:val="0"/>
          <w:highlight w:val="none"/>
          <w:lang w:val="zh-CN"/>
        </w:rPr>
      </w:pPr>
      <w:r>
        <w:rPr>
          <w:rFonts w:hint="eastAsia" w:ascii="宋体" w:hAnsi="宋体" w:cs="宋体"/>
          <w:kern w:val="0"/>
          <w:highlight w:val="none"/>
          <w:lang w:val="en-US" w:eastAsia="zh-CN"/>
        </w:rPr>
        <w:t>4</w:t>
      </w:r>
      <w:r>
        <w:rPr>
          <w:rFonts w:hint="eastAsia" w:ascii="宋体" w:hAnsi="宋体" w:cs="宋体"/>
          <w:kern w:val="0"/>
          <w:highlight w:val="none"/>
          <w:lang w:val="zh-CN"/>
        </w:rPr>
        <w:t>.投标报价不能有两个或两个以上的报价方案，</w:t>
      </w:r>
      <w:r>
        <w:rPr>
          <w:rFonts w:hint="eastAsia" w:ascii="宋体" w:hAnsi="宋体" w:cs="宋体"/>
          <w:kern w:val="0"/>
          <w:highlight w:val="none"/>
        </w:rPr>
        <w:t>否则投标无效</w:t>
      </w:r>
      <w:r>
        <w:rPr>
          <w:rFonts w:hint="eastAsia" w:ascii="宋体" w:hAnsi="宋体" w:cs="宋体"/>
          <w:kern w:val="0"/>
          <w:highlight w:val="none"/>
          <w:lang w:val="zh-CN"/>
        </w:rPr>
        <w:t>。</w:t>
      </w:r>
    </w:p>
    <w:p w14:paraId="3D201BBF">
      <w:pPr>
        <w:autoSpaceDE w:val="0"/>
        <w:autoSpaceDN w:val="0"/>
        <w:spacing w:line="360" w:lineRule="auto"/>
        <w:rPr>
          <w:rFonts w:hint="eastAsia" w:ascii="宋体" w:hAnsi="宋体" w:cs="宋体"/>
          <w:kern w:val="0"/>
          <w:highlight w:val="none"/>
          <w:lang w:val="zh-CN"/>
        </w:rPr>
      </w:pPr>
    </w:p>
    <w:p w14:paraId="13D54EBF">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793ABF7D">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5DD110E6">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38823660">
      <w:pPr>
        <w:pStyle w:val="19"/>
        <w:rPr>
          <w:rFonts w:hint="eastAsia" w:hAnsi="宋体" w:cs="宋体"/>
          <w:b/>
          <w:bCs/>
          <w:kern w:val="0"/>
          <w:highlight w:val="none"/>
          <w:lang w:val="zh-CN"/>
        </w:rPr>
      </w:pPr>
    </w:p>
    <w:p w14:paraId="766CCD26">
      <w:pPr>
        <w:pStyle w:val="19"/>
        <w:rPr>
          <w:rFonts w:hint="eastAsia" w:hAnsi="宋体" w:cs="宋体"/>
          <w:b/>
          <w:bCs/>
          <w:kern w:val="0"/>
          <w:highlight w:val="none"/>
          <w:lang w:val="zh-CN"/>
        </w:rPr>
      </w:pPr>
    </w:p>
    <w:p w14:paraId="4707278F">
      <w:pPr>
        <w:pStyle w:val="19"/>
        <w:rPr>
          <w:rFonts w:hint="eastAsia" w:hAnsi="宋体" w:cs="宋体"/>
          <w:b/>
          <w:bCs/>
          <w:kern w:val="0"/>
          <w:highlight w:val="none"/>
          <w:lang w:val="zh-CN"/>
        </w:rPr>
      </w:pPr>
    </w:p>
    <w:p w14:paraId="7885836B">
      <w:pPr>
        <w:pStyle w:val="19"/>
        <w:rPr>
          <w:rFonts w:hint="eastAsia" w:hAnsi="宋体" w:cs="宋体"/>
          <w:b/>
          <w:bCs/>
          <w:kern w:val="0"/>
          <w:highlight w:val="none"/>
          <w:lang w:val="zh-CN"/>
        </w:rPr>
      </w:pPr>
    </w:p>
    <w:p w14:paraId="350FA458">
      <w:pPr>
        <w:pStyle w:val="19"/>
        <w:rPr>
          <w:rFonts w:hint="eastAsia" w:hAnsi="宋体" w:cs="宋体"/>
          <w:b/>
          <w:bCs/>
          <w:kern w:val="0"/>
          <w:highlight w:val="none"/>
          <w:lang w:val="zh-CN"/>
        </w:rPr>
      </w:pPr>
    </w:p>
    <w:p w14:paraId="3420A334">
      <w:pPr>
        <w:pStyle w:val="19"/>
        <w:rPr>
          <w:rFonts w:hint="eastAsia" w:hAnsi="宋体" w:cs="宋体"/>
          <w:b/>
          <w:bCs/>
          <w:kern w:val="0"/>
          <w:highlight w:val="none"/>
          <w:lang w:val="zh-CN"/>
        </w:rPr>
      </w:pPr>
    </w:p>
    <w:p w14:paraId="092D973F">
      <w:pPr>
        <w:pStyle w:val="19"/>
        <w:rPr>
          <w:rFonts w:hint="eastAsia" w:hAnsi="宋体" w:cs="宋体"/>
          <w:b/>
          <w:bCs/>
          <w:kern w:val="0"/>
          <w:highlight w:val="none"/>
          <w:lang w:val="zh-CN"/>
        </w:rPr>
      </w:pPr>
    </w:p>
    <w:p w14:paraId="745D49E3">
      <w:pPr>
        <w:pStyle w:val="19"/>
        <w:rPr>
          <w:rFonts w:hint="eastAsia" w:hAnsi="宋体" w:cs="宋体"/>
          <w:b/>
          <w:bCs/>
          <w:kern w:val="0"/>
          <w:highlight w:val="none"/>
          <w:lang w:val="zh-CN"/>
        </w:rPr>
      </w:pPr>
    </w:p>
    <w:p w14:paraId="56FE354E">
      <w:pPr>
        <w:pStyle w:val="19"/>
        <w:rPr>
          <w:rFonts w:hint="eastAsia" w:hAnsi="宋体" w:cs="宋体"/>
          <w:b/>
          <w:bCs/>
          <w:kern w:val="0"/>
          <w:highlight w:val="none"/>
          <w:lang w:val="zh-CN"/>
        </w:rPr>
      </w:pPr>
    </w:p>
    <w:p w14:paraId="20A8B51C">
      <w:pPr>
        <w:pStyle w:val="19"/>
        <w:rPr>
          <w:rFonts w:hint="eastAsia" w:hAnsi="宋体" w:cs="宋体"/>
          <w:b/>
          <w:bCs/>
          <w:kern w:val="0"/>
          <w:highlight w:val="none"/>
          <w:lang w:val="zh-CN"/>
        </w:rPr>
      </w:pPr>
    </w:p>
    <w:p w14:paraId="35100043">
      <w:pPr>
        <w:pStyle w:val="19"/>
        <w:rPr>
          <w:rFonts w:hint="eastAsia" w:hAnsi="宋体" w:cs="宋体"/>
          <w:b/>
          <w:bCs/>
          <w:kern w:val="0"/>
          <w:highlight w:val="none"/>
          <w:lang w:val="zh-CN"/>
        </w:rPr>
      </w:pPr>
    </w:p>
    <w:p w14:paraId="41E6E2E8">
      <w:pPr>
        <w:pStyle w:val="19"/>
        <w:rPr>
          <w:rFonts w:hint="eastAsia" w:hAnsi="宋体" w:cs="宋体"/>
          <w:b/>
          <w:bCs/>
          <w:kern w:val="0"/>
          <w:highlight w:val="none"/>
          <w:lang w:val="zh-CN"/>
        </w:rPr>
      </w:pPr>
    </w:p>
    <w:p w14:paraId="5C8C695E">
      <w:pPr>
        <w:pStyle w:val="19"/>
        <w:rPr>
          <w:rFonts w:hint="eastAsia" w:hAnsi="宋体" w:cs="宋体"/>
          <w:b/>
          <w:bCs/>
          <w:kern w:val="0"/>
          <w:highlight w:val="none"/>
          <w:lang w:val="zh-CN"/>
        </w:rPr>
      </w:pPr>
    </w:p>
    <w:p w14:paraId="66DFDF46">
      <w:pPr>
        <w:pStyle w:val="19"/>
        <w:rPr>
          <w:rFonts w:hint="eastAsia" w:hAnsi="宋体" w:cs="宋体"/>
          <w:b/>
          <w:bCs/>
          <w:kern w:val="0"/>
          <w:highlight w:val="none"/>
          <w:lang w:val="zh-CN"/>
        </w:rPr>
      </w:pPr>
    </w:p>
    <w:p w14:paraId="03CC4D0E">
      <w:pPr>
        <w:pStyle w:val="19"/>
        <w:rPr>
          <w:rFonts w:hint="eastAsia" w:hAnsi="宋体" w:cs="宋体"/>
          <w:b/>
          <w:bCs/>
          <w:kern w:val="0"/>
          <w:highlight w:val="none"/>
          <w:lang w:val="zh-CN"/>
        </w:rPr>
      </w:pPr>
    </w:p>
    <w:p w14:paraId="610B660D">
      <w:pPr>
        <w:pStyle w:val="28"/>
        <w:spacing w:before="0" w:after="0" w:line="360" w:lineRule="auto"/>
        <w:jc w:val="left"/>
        <w:outlineLvl w:val="1"/>
        <w:rPr>
          <w:rFonts w:hint="eastAsia" w:ascii="宋体" w:hAnsi="宋体" w:eastAsia="宋体" w:cs="宋体"/>
          <w:sz w:val="30"/>
          <w:szCs w:val="30"/>
          <w:highlight w:val="none"/>
          <w:lang w:val="en-US" w:eastAsia="zh-CN"/>
        </w:rPr>
      </w:pPr>
      <w:bookmarkStart w:id="185" w:name="_Toc515908223"/>
      <w:bookmarkStart w:id="186" w:name="_Toc11855"/>
      <w:bookmarkStart w:id="187" w:name="_Toc8938"/>
      <w:r>
        <w:rPr>
          <w:rFonts w:hint="eastAsia" w:ascii="宋体" w:hAnsi="宋体" w:cs="宋体"/>
          <w:sz w:val="30"/>
          <w:szCs w:val="30"/>
          <w:highlight w:val="none"/>
        </w:rPr>
        <w:t>（1</w:t>
      </w:r>
      <w:r>
        <w:rPr>
          <w:rFonts w:hint="eastAsia" w:ascii="宋体" w:hAnsi="宋体" w:cs="宋体"/>
          <w:sz w:val="30"/>
          <w:szCs w:val="30"/>
          <w:highlight w:val="none"/>
          <w:lang w:val="en-US" w:eastAsia="zh-CN"/>
        </w:rPr>
        <w:t>1-1</w:t>
      </w:r>
      <w:r>
        <w:rPr>
          <w:rFonts w:hint="eastAsia" w:ascii="宋体" w:hAnsi="宋体" w:cs="宋体"/>
          <w:sz w:val="30"/>
          <w:szCs w:val="30"/>
          <w:highlight w:val="none"/>
        </w:rPr>
        <w:t>）</w:t>
      </w:r>
      <w:r>
        <w:rPr>
          <w:rFonts w:hint="eastAsia" w:ascii="宋体" w:hAnsi="宋体" w:cs="宋体"/>
          <w:sz w:val="30"/>
          <w:szCs w:val="30"/>
          <w:highlight w:val="none"/>
          <w:lang w:val="en-US" w:eastAsia="zh-CN"/>
        </w:rPr>
        <w:t>分项报价表</w:t>
      </w:r>
    </w:p>
    <w:p w14:paraId="73912F0D">
      <w:pPr>
        <w:autoSpaceDE w:val="0"/>
        <w:autoSpaceDN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28"/>
          <w:szCs w:val="28"/>
          <w:highlight w:val="none"/>
          <w:lang w:val="zh-CN"/>
        </w:rPr>
        <w:t>分项报价表</w:t>
      </w:r>
    </w:p>
    <w:p w14:paraId="1307F80D">
      <w:pPr>
        <w:autoSpaceDE w:val="0"/>
        <w:autoSpaceDN w:val="0"/>
        <w:spacing w:line="360" w:lineRule="auto"/>
        <w:rPr>
          <w:rFonts w:hint="eastAsia" w:ascii="宋体" w:hAnsi="宋体" w:cs="宋体"/>
          <w:b/>
          <w:bCs/>
          <w:kern w:val="0"/>
          <w:sz w:val="28"/>
          <w:szCs w:val="28"/>
          <w:highlight w:val="none"/>
          <w:lang w:val="zh-CN"/>
        </w:rPr>
      </w:pPr>
    </w:p>
    <w:p w14:paraId="20832607">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投标人名称</w:t>
      </w:r>
      <w:r>
        <w:rPr>
          <w:rFonts w:hint="eastAsia" w:ascii="宋体" w:hAnsi="宋体" w:cs="宋体"/>
          <w:b/>
          <w:bCs/>
          <w:kern w:val="0"/>
          <w:highlight w:val="none"/>
        </w:rPr>
        <w:t xml:space="preserve">：                                          单位：元                  </w:t>
      </w:r>
    </w:p>
    <w:tbl>
      <w:tblPr>
        <w:tblStyle w:val="31"/>
        <w:tblW w:w="4998" w:type="pct"/>
        <w:jc w:val="center"/>
        <w:tblLayout w:type="autofit"/>
        <w:tblCellMar>
          <w:top w:w="0" w:type="dxa"/>
          <w:left w:w="28" w:type="dxa"/>
          <w:bottom w:w="0" w:type="dxa"/>
          <w:right w:w="28" w:type="dxa"/>
        </w:tblCellMar>
      </w:tblPr>
      <w:tblGrid>
        <w:gridCol w:w="846"/>
        <w:gridCol w:w="2110"/>
        <w:gridCol w:w="1433"/>
        <w:gridCol w:w="1291"/>
        <w:gridCol w:w="1122"/>
        <w:gridCol w:w="1557"/>
      </w:tblGrid>
      <w:tr w14:paraId="74ED3CDB">
        <w:tblPrEx>
          <w:tblCellMar>
            <w:top w:w="0" w:type="dxa"/>
            <w:left w:w="28" w:type="dxa"/>
            <w:bottom w:w="0" w:type="dxa"/>
            <w:right w:w="28" w:type="dxa"/>
          </w:tblCellMar>
        </w:tblPrEx>
        <w:trPr>
          <w:trHeight w:val="23" w:hRule="atLeast"/>
          <w:jc w:val="center"/>
        </w:trPr>
        <w:tc>
          <w:tcPr>
            <w:tcW w:w="506" w:type="pct"/>
            <w:tcBorders>
              <w:top w:val="single" w:color="000000" w:sz="8" w:space="0"/>
              <w:left w:val="single" w:color="000000" w:sz="8" w:space="0"/>
              <w:bottom w:val="single" w:color="000000" w:sz="6" w:space="0"/>
              <w:right w:val="single" w:color="000000" w:sz="6" w:space="0"/>
            </w:tcBorders>
            <w:noWrap w:val="0"/>
            <w:vAlign w:val="center"/>
          </w:tcPr>
          <w:p w14:paraId="6D44569C">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序号</w:t>
            </w:r>
          </w:p>
        </w:tc>
        <w:tc>
          <w:tcPr>
            <w:tcW w:w="1262" w:type="pct"/>
            <w:tcBorders>
              <w:top w:val="single" w:color="000000" w:sz="8" w:space="0"/>
              <w:left w:val="single" w:color="000000" w:sz="6" w:space="0"/>
              <w:bottom w:val="single" w:color="000000" w:sz="6" w:space="0"/>
              <w:right w:val="single" w:color="000000" w:sz="6" w:space="0"/>
            </w:tcBorders>
            <w:noWrap w:val="0"/>
            <w:vAlign w:val="center"/>
          </w:tcPr>
          <w:p w14:paraId="5589BBD9">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名称</w:t>
            </w:r>
          </w:p>
        </w:tc>
        <w:tc>
          <w:tcPr>
            <w:tcW w:w="857" w:type="pct"/>
            <w:tcBorders>
              <w:top w:val="single" w:color="000000" w:sz="8" w:space="0"/>
              <w:left w:val="single" w:color="000000" w:sz="6" w:space="0"/>
              <w:bottom w:val="single" w:color="000000" w:sz="6" w:space="0"/>
              <w:right w:val="single" w:color="000000" w:sz="6" w:space="0"/>
            </w:tcBorders>
            <w:noWrap w:val="0"/>
            <w:vAlign w:val="center"/>
          </w:tcPr>
          <w:p w14:paraId="502C3DDB">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数量</w:t>
            </w:r>
          </w:p>
        </w:tc>
        <w:tc>
          <w:tcPr>
            <w:tcW w:w="772" w:type="pct"/>
            <w:tcBorders>
              <w:top w:val="single" w:color="000000" w:sz="8" w:space="0"/>
              <w:left w:val="single" w:color="000000" w:sz="6" w:space="0"/>
              <w:bottom w:val="single" w:color="000000" w:sz="6" w:space="0"/>
              <w:right w:val="single" w:color="000000" w:sz="6" w:space="0"/>
            </w:tcBorders>
            <w:noWrap w:val="0"/>
            <w:vAlign w:val="center"/>
          </w:tcPr>
          <w:p w14:paraId="6B352B59">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单位</w:t>
            </w:r>
          </w:p>
        </w:tc>
        <w:tc>
          <w:tcPr>
            <w:tcW w:w="671" w:type="pct"/>
            <w:tcBorders>
              <w:top w:val="single" w:color="000000" w:sz="8" w:space="0"/>
              <w:left w:val="single" w:color="000000" w:sz="6" w:space="0"/>
              <w:bottom w:val="single" w:color="000000" w:sz="6" w:space="0"/>
              <w:right w:val="single" w:color="000000" w:sz="6" w:space="0"/>
            </w:tcBorders>
            <w:noWrap w:val="0"/>
            <w:vAlign w:val="center"/>
          </w:tcPr>
          <w:p w14:paraId="6B6817F0">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单价</w:t>
            </w:r>
          </w:p>
        </w:tc>
        <w:tc>
          <w:tcPr>
            <w:tcW w:w="930" w:type="pct"/>
            <w:tcBorders>
              <w:top w:val="single" w:color="000000" w:sz="8" w:space="0"/>
              <w:left w:val="single" w:color="000000" w:sz="6" w:space="0"/>
              <w:bottom w:val="single" w:color="000000" w:sz="6" w:space="0"/>
              <w:right w:val="single" w:color="000000" w:sz="8" w:space="0"/>
            </w:tcBorders>
            <w:noWrap w:val="0"/>
            <w:vAlign w:val="center"/>
          </w:tcPr>
          <w:p w14:paraId="5BFD13A6">
            <w:pPr>
              <w:autoSpaceDE w:val="0"/>
              <w:autoSpaceDN w:val="0"/>
              <w:spacing w:line="360" w:lineRule="auto"/>
              <w:jc w:val="center"/>
              <w:rPr>
                <w:rFonts w:hint="eastAsia" w:ascii="宋体" w:hAnsi="宋体" w:eastAsia="宋体" w:cs="宋体"/>
                <w:kern w:val="0"/>
                <w:highlight w:val="none"/>
                <w:lang w:val="zh-CN" w:eastAsia="zh-CN"/>
              </w:rPr>
            </w:pPr>
            <w:r>
              <w:rPr>
                <w:rFonts w:hint="eastAsia" w:ascii="宋体" w:hAnsi="宋体" w:cs="宋体"/>
                <w:highlight w:val="none"/>
                <w:lang w:eastAsia="zh-CN"/>
              </w:rPr>
              <w:t>备注</w:t>
            </w:r>
          </w:p>
        </w:tc>
      </w:tr>
      <w:tr w14:paraId="6B1DD783">
        <w:tblPrEx>
          <w:tblCellMar>
            <w:top w:w="0" w:type="dxa"/>
            <w:left w:w="28" w:type="dxa"/>
            <w:bottom w:w="0" w:type="dxa"/>
            <w:right w:w="28" w:type="dxa"/>
          </w:tblCellMar>
        </w:tblPrEx>
        <w:trPr>
          <w:trHeight w:val="23" w:hRule="atLeast"/>
          <w:jc w:val="center"/>
        </w:trPr>
        <w:tc>
          <w:tcPr>
            <w:tcW w:w="506" w:type="pct"/>
            <w:tcBorders>
              <w:top w:val="single" w:color="000000" w:sz="6" w:space="0"/>
              <w:left w:val="single" w:color="000000" w:sz="8" w:space="0"/>
              <w:bottom w:val="single" w:color="000000" w:sz="6" w:space="0"/>
              <w:right w:val="single" w:color="000000" w:sz="6" w:space="0"/>
            </w:tcBorders>
            <w:noWrap w:val="0"/>
            <w:vAlign w:val="center"/>
          </w:tcPr>
          <w:p w14:paraId="71CC2C9E">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1</w:t>
            </w:r>
          </w:p>
        </w:tc>
        <w:tc>
          <w:tcPr>
            <w:tcW w:w="1262" w:type="pct"/>
            <w:tcBorders>
              <w:top w:val="single" w:color="000000" w:sz="6" w:space="0"/>
              <w:left w:val="single" w:color="000000" w:sz="6" w:space="0"/>
              <w:bottom w:val="single" w:color="000000" w:sz="6" w:space="0"/>
              <w:right w:val="single" w:color="000000" w:sz="6" w:space="0"/>
            </w:tcBorders>
            <w:noWrap w:val="0"/>
            <w:vAlign w:val="center"/>
          </w:tcPr>
          <w:p w14:paraId="6A5F844A">
            <w:pPr>
              <w:autoSpaceDE w:val="0"/>
              <w:autoSpaceDN w:val="0"/>
              <w:spacing w:line="360" w:lineRule="auto"/>
              <w:jc w:val="center"/>
              <w:rPr>
                <w:rFonts w:hint="eastAsia" w:ascii="宋体" w:hAnsi="宋体" w:cs="宋体"/>
                <w:kern w:val="0"/>
                <w:highlight w:val="none"/>
                <w:lang w:val="zh-CN"/>
              </w:rPr>
            </w:pPr>
          </w:p>
        </w:tc>
        <w:tc>
          <w:tcPr>
            <w:tcW w:w="857" w:type="pct"/>
            <w:tcBorders>
              <w:top w:val="single" w:color="000000" w:sz="6" w:space="0"/>
              <w:left w:val="single" w:color="000000" w:sz="6" w:space="0"/>
              <w:bottom w:val="single" w:color="000000" w:sz="6" w:space="0"/>
              <w:right w:val="single" w:color="000000" w:sz="6" w:space="0"/>
            </w:tcBorders>
            <w:noWrap w:val="0"/>
            <w:vAlign w:val="center"/>
          </w:tcPr>
          <w:p w14:paraId="72E60F64">
            <w:pPr>
              <w:autoSpaceDE w:val="0"/>
              <w:autoSpaceDN w:val="0"/>
              <w:spacing w:line="360" w:lineRule="auto"/>
              <w:jc w:val="center"/>
              <w:rPr>
                <w:rFonts w:hint="eastAsia" w:ascii="宋体" w:hAnsi="宋体" w:cs="宋体"/>
                <w:kern w:val="0"/>
                <w:highlight w:val="none"/>
                <w:lang w:val="zh-CN"/>
              </w:rPr>
            </w:pPr>
          </w:p>
        </w:tc>
        <w:tc>
          <w:tcPr>
            <w:tcW w:w="772" w:type="pct"/>
            <w:tcBorders>
              <w:top w:val="single" w:color="000000" w:sz="6" w:space="0"/>
              <w:left w:val="single" w:color="000000" w:sz="6" w:space="0"/>
              <w:bottom w:val="single" w:color="000000" w:sz="6" w:space="0"/>
              <w:right w:val="single" w:color="000000" w:sz="6" w:space="0"/>
            </w:tcBorders>
            <w:noWrap w:val="0"/>
            <w:vAlign w:val="center"/>
          </w:tcPr>
          <w:p w14:paraId="0545B19F">
            <w:pPr>
              <w:autoSpaceDE w:val="0"/>
              <w:autoSpaceDN w:val="0"/>
              <w:spacing w:line="360" w:lineRule="auto"/>
              <w:jc w:val="center"/>
              <w:rPr>
                <w:rFonts w:hint="eastAsia" w:ascii="宋体" w:hAnsi="宋体" w:cs="宋体"/>
                <w:kern w:val="0"/>
                <w:highlight w:val="none"/>
                <w:lang w:val="zh-CN"/>
              </w:rPr>
            </w:pPr>
          </w:p>
        </w:tc>
        <w:tc>
          <w:tcPr>
            <w:tcW w:w="671" w:type="pct"/>
            <w:tcBorders>
              <w:top w:val="single" w:color="000000" w:sz="6" w:space="0"/>
              <w:left w:val="single" w:color="000000" w:sz="6" w:space="0"/>
              <w:bottom w:val="single" w:color="000000" w:sz="6" w:space="0"/>
              <w:right w:val="single" w:color="000000" w:sz="6" w:space="0"/>
            </w:tcBorders>
            <w:noWrap w:val="0"/>
            <w:vAlign w:val="center"/>
          </w:tcPr>
          <w:p w14:paraId="39B5EE0A">
            <w:pPr>
              <w:autoSpaceDE w:val="0"/>
              <w:autoSpaceDN w:val="0"/>
              <w:spacing w:line="360" w:lineRule="auto"/>
              <w:jc w:val="center"/>
              <w:rPr>
                <w:rFonts w:hint="eastAsia" w:ascii="宋体" w:hAnsi="宋体" w:cs="宋体"/>
                <w:kern w:val="0"/>
                <w:highlight w:val="none"/>
                <w:lang w:val="zh-CN"/>
              </w:rPr>
            </w:pPr>
          </w:p>
        </w:tc>
        <w:tc>
          <w:tcPr>
            <w:tcW w:w="930" w:type="pct"/>
            <w:tcBorders>
              <w:top w:val="single" w:color="000000" w:sz="6" w:space="0"/>
              <w:left w:val="single" w:color="000000" w:sz="6" w:space="0"/>
              <w:bottom w:val="single" w:color="000000" w:sz="6" w:space="0"/>
              <w:right w:val="single" w:color="000000" w:sz="8" w:space="0"/>
            </w:tcBorders>
            <w:noWrap w:val="0"/>
            <w:vAlign w:val="center"/>
          </w:tcPr>
          <w:p w14:paraId="6E5FCCA3">
            <w:pPr>
              <w:autoSpaceDE w:val="0"/>
              <w:autoSpaceDN w:val="0"/>
              <w:spacing w:line="360" w:lineRule="auto"/>
              <w:jc w:val="center"/>
              <w:rPr>
                <w:rFonts w:hint="eastAsia" w:ascii="宋体" w:hAnsi="宋体" w:cs="宋体"/>
                <w:kern w:val="0"/>
                <w:highlight w:val="none"/>
                <w:lang w:val="zh-CN"/>
              </w:rPr>
            </w:pPr>
          </w:p>
        </w:tc>
      </w:tr>
      <w:tr w14:paraId="17D3161A">
        <w:tblPrEx>
          <w:tblCellMar>
            <w:top w:w="0" w:type="dxa"/>
            <w:left w:w="28" w:type="dxa"/>
            <w:bottom w:w="0" w:type="dxa"/>
            <w:right w:w="28" w:type="dxa"/>
          </w:tblCellMar>
        </w:tblPrEx>
        <w:trPr>
          <w:trHeight w:val="23" w:hRule="atLeast"/>
          <w:jc w:val="center"/>
        </w:trPr>
        <w:tc>
          <w:tcPr>
            <w:tcW w:w="506" w:type="pct"/>
            <w:tcBorders>
              <w:top w:val="single" w:color="000000" w:sz="6" w:space="0"/>
              <w:left w:val="single" w:color="000000" w:sz="8" w:space="0"/>
              <w:bottom w:val="single" w:color="000000" w:sz="6" w:space="0"/>
              <w:right w:val="single" w:color="000000" w:sz="6" w:space="0"/>
            </w:tcBorders>
            <w:noWrap w:val="0"/>
            <w:vAlign w:val="center"/>
          </w:tcPr>
          <w:p w14:paraId="61A9BD49">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2</w:t>
            </w:r>
          </w:p>
        </w:tc>
        <w:tc>
          <w:tcPr>
            <w:tcW w:w="1262" w:type="pct"/>
            <w:tcBorders>
              <w:top w:val="single" w:color="000000" w:sz="6" w:space="0"/>
              <w:left w:val="single" w:color="000000" w:sz="6" w:space="0"/>
              <w:bottom w:val="single" w:color="000000" w:sz="6" w:space="0"/>
              <w:right w:val="single" w:color="000000" w:sz="6" w:space="0"/>
            </w:tcBorders>
            <w:noWrap w:val="0"/>
            <w:vAlign w:val="center"/>
          </w:tcPr>
          <w:p w14:paraId="6704FEC0">
            <w:pPr>
              <w:autoSpaceDE w:val="0"/>
              <w:autoSpaceDN w:val="0"/>
              <w:spacing w:line="360" w:lineRule="auto"/>
              <w:jc w:val="center"/>
              <w:rPr>
                <w:rFonts w:hint="eastAsia" w:ascii="宋体" w:hAnsi="宋体" w:cs="宋体"/>
                <w:kern w:val="0"/>
                <w:highlight w:val="none"/>
                <w:lang w:val="zh-CN"/>
              </w:rPr>
            </w:pPr>
          </w:p>
        </w:tc>
        <w:tc>
          <w:tcPr>
            <w:tcW w:w="857" w:type="pct"/>
            <w:tcBorders>
              <w:top w:val="single" w:color="000000" w:sz="6" w:space="0"/>
              <w:left w:val="single" w:color="000000" w:sz="6" w:space="0"/>
              <w:bottom w:val="single" w:color="000000" w:sz="6" w:space="0"/>
              <w:right w:val="single" w:color="000000" w:sz="6" w:space="0"/>
            </w:tcBorders>
            <w:noWrap w:val="0"/>
            <w:vAlign w:val="center"/>
          </w:tcPr>
          <w:p w14:paraId="07402EFB">
            <w:pPr>
              <w:autoSpaceDE w:val="0"/>
              <w:autoSpaceDN w:val="0"/>
              <w:spacing w:line="360" w:lineRule="auto"/>
              <w:jc w:val="center"/>
              <w:rPr>
                <w:rFonts w:hint="eastAsia" w:ascii="宋体" w:hAnsi="宋体" w:cs="宋体"/>
                <w:kern w:val="0"/>
                <w:highlight w:val="none"/>
                <w:lang w:val="zh-CN"/>
              </w:rPr>
            </w:pPr>
          </w:p>
        </w:tc>
        <w:tc>
          <w:tcPr>
            <w:tcW w:w="772" w:type="pct"/>
            <w:tcBorders>
              <w:top w:val="single" w:color="000000" w:sz="6" w:space="0"/>
              <w:left w:val="single" w:color="000000" w:sz="6" w:space="0"/>
              <w:bottom w:val="single" w:color="000000" w:sz="6" w:space="0"/>
              <w:right w:val="single" w:color="000000" w:sz="6" w:space="0"/>
            </w:tcBorders>
            <w:noWrap w:val="0"/>
            <w:vAlign w:val="center"/>
          </w:tcPr>
          <w:p w14:paraId="6B951D6C">
            <w:pPr>
              <w:autoSpaceDE w:val="0"/>
              <w:autoSpaceDN w:val="0"/>
              <w:spacing w:line="360" w:lineRule="auto"/>
              <w:jc w:val="center"/>
              <w:rPr>
                <w:rFonts w:hint="eastAsia" w:ascii="宋体" w:hAnsi="宋体" w:cs="宋体"/>
                <w:kern w:val="0"/>
                <w:highlight w:val="none"/>
                <w:lang w:val="zh-CN"/>
              </w:rPr>
            </w:pPr>
          </w:p>
        </w:tc>
        <w:tc>
          <w:tcPr>
            <w:tcW w:w="671" w:type="pct"/>
            <w:tcBorders>
              <w:top w:val="single" w:color="000000" w:sz="6" w:space="0"/>
              <w:left w:val="single" w:color="000000" w:sz="6" w:space="0"/>
              <w:bottom w:val="single" w:color="000000" w:sz="6" w:space="0"/>
              <w:right w:val="single" w:color="000000" w:sz="6" w:space="0"/>
            </w:tcBorders>
            <w:noWrap w:val="0"/>
            <w:vAlign w:val="center"/>
          </w:tcPr>
          <w:p w14:paraId="50EC816C">
            <w:pPr>
              <w:autoSpaceDE w:val="0"/>
              <w:autoSpaceDN w:val="0"/>
              <w:spacing w:line="360" w:lineRule="auto"/>
              <w:jc w:val="center"/>
              <w:rPr>
                <w:rFonts w:hint="eastAsia" w:ascii="宋体" w:hAnsi="宋体" w:cs="宋体"/>
                <w:kern w:val="0"/>
                <w:highlight w:val="none"/>
                <w:lang w:val="zh-CN"/>
              </w:rPr>
            </w:pPr>
          </w:p>
        </w:tc>
        <w:tc>
          <w:tcPr>
            <w:tcW w:w="930" w:type="pct"/>
            <w:tcBorders>
              <w:top w:val="single" w:color="000000" w:sz="6" w:space="0"/>
              <w:left w:val="single" w:color="000000" w:sz="6" w:space="0"/>
              <w:bottom w:val="single" w:color="000000" w:sz="6" w:space="0"/>
              <w:right w:val="single" w:color="000000" w:sz="8" w:space="0"/>
            </w:tcBorders>
            <w:noWrap w:val="0"/>
            <w:vAlign w:val="center"/>
          </w:tcPr>
          <w:p w14:paraId="15EB8020">
            <w:pPr>
              <w:autoSpaceDE w:val="0"/>
              <w:autoSpaceDN w:val="0"/>
              <w:spacing w:line="360" w:lineRule="auto"/>
              <w:jc w:val="center"/>
              <w:rPr>
                <w:rFonts w:hint="eastAsia" w:ascii="宋体" w:hAnsi="宋体" w:cs="宋体"/>
                <w:kern w:val="0"/>
                <w:highlight w:val="none"/>
                <w:lang w:val="zh-CN"/>
              </w:rPr>
            </w:pPr>
          </w:p>
        </w:tc>
      </w:tr>
      <w:tr w14:paraId="4CEEBF41">
        <w:tblPrEx>
          <w:tblCellMar>
            <w:top w:w="0" w:type="dxa"/>
            <w:left w:w="28" w:type="dxa"/>
            <w:bottom w:w="0" w:type="dxa"/>
            <w:right w:w="28" w:type="dxa"/>
          </w:tblCellMar>
        </w:tblPrEx>
        <w:trPr>
          <w:trHeight w:val="23" w:hRule="atLeast"/>
          <w:jc w:val="center"/>
        </w:trPr>
        <w:tc>
          <w:tcPr>
            <w:tcW w:w="506" w:type="pct"/>
            <w:tcBorders>
              <w:top w:val="single" w:color="000000" w:sz="6" w:space="0"/>
              <w:left w:val="single" w:color="000000" w:sz="8" w:space="0"/>
              <w:bottom w:val="single" w:color="000000" w:sz="6" w:space="0"/>
              <w:right w:val="single" w:color="000000" w:sz="6" w:space="0"/>
            </w:tcBorders>
            <w:noWrap w:val="0"/>
            <w:vAlign w:val="center"/>
          </w:tcPr>
          <w:p w14:paraId="0FA00068">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3</w:t>
            </w:r>
          </w:p>
        </w:tc>
        <w:tc>
          <w:tcPr>
            <w:tcW w:w="1262" w:type="pct"/>
            <w:tcBorders>
              <w:top w:val="single" w:color="000000" w:sz="6" w:space="0"/>
              <w:left w:val="single" w:color="000000" w:sz="6" w:space="0"/>
              <w:bottom w:val="single" w:color="000000" w:sz="6" w:space="0"/>
              <w:right w:val="single" w:color="000000" w:sz="6" w:space="0"/>
            </w:tcBorders>
            <w:noWrap w:val="0"/>
            <w:vAlign w:val="center"/>
          </w:tcPr>
          <w:p w14:paraId="1A2CF4F1">
            <w:pPr>
              <w:autoSpaceDE w:val="0"/>
              <w:autoSpaceDN w:val="0"/>
              <w:spacing w:line="360" w:lineRule="auto"/>
              <w:jc w:val="center"/>
              <w:rPr>
                <w:rFonts w:hint="eastAsia" w:ascii="宋体" w:hAnsi="宋体" w:cs="宋体"/>
                <w:kern w:val="0"/>
                <w:highlight w:val="none"/>
                <w:lang w:val="zh-CN"/>
              </w:rPr>
            </w:pPr>
          </w:p>
        </w:tc>
        <w:tc>
          <w:tcPr>
            <w:tcW w:w="857" w:type="pct"/>
            <w:tcBorders>
              <w:top w:val="single" w:color="000000" w:sz="6" w:space="0"/>
              <w:left w:val="single" w:color="000000" w:sz="6" w:space="0"/>
              <w:bottom w:val="single" w:color="000000" w:sz="6" w:space="0"/>
              <w:right w:val="single" w:color="000000" w:sz="6" w:space="0"/>
            </w:tcBorders>
            <w:noWrap w:val="0"/>
            <w:vAlign w:val="center"/>
          </w:tcPr>
          <w:p w14:paraId="4EF594EC">
            <w:pPr>
              <w:autoSpaceDE w:val="0"/>
              <w:autoSpaceDN w:val="0"/>
              <w:spacing w:line="360" w:lineRule="auto"/>
              <w:jc w:val="center"/>
              <w:rPr>
                <w:rFonts w:hint="eastAsia" w:ascii="宋体" w:hAnsi="宋体" w:cs="宋体"/>
                <w:kern w:val="0"/>
                <w:highlight w:val="none"/>
                <w:lang w:val="zh-CN"/>
              </w:rPr>
            </w:pPr>
          </w:p>
        </w:tc>
        <w:tc>
          <w:tcPr>
            <w:tcW w:w="772" w:type="pct"/>
            <w:tcBorders>
              <w:top w:val="single" w:color="000000" w:sz="6" w:space="0"/>
              <w:left w:val="single" w:color="000000" w:sz="6" w:space="0"/>
              <w:bottom w:val="single" w:color="000000" w:sz="6" w:space="0"/>
              <w:right w:val="single" w:color="000000" w:sz="6" w:space="0"/>
            </w:tcBorders>
            <w:noWrap w:val="0"/>
            <w:vAlign w:val="center"/>
          </w:tcPr>
          <w:p w14:paraId="3D53BB07">
            <w:pPr>
              <w:autoSpaceDE w:val="0"/>
              <w:autoSpaceDN w:val="0"/>
              <w:spacing w:line="360" w:lineRule="auto"/>
              <w:jc w:val="center"/>
              <w:rPr>
                <w:rFonts w:hint="eastAsia" w:ascii="宋体" w:hAnsi="宋体" w:cs="宋体"/>
                <w:kern w:val="0"/>
                <w:highlight w:val="none"/>
                <w:lang w:val="zh-CN"/>
              </w:rPr>
            </w:pPr>
          </w:p>
        </w:tc>
        <w:tc>
          <w:tcPr>
            <w:tcW w:w="671" w:type="pct"/>
            <w:tcBorders>
              <w:top w:val="single" w:color="000000" w:sz="6" w:space="0"/>
              <w:left w:val="single" w:color="000000" w:sz="6" w:space="0"/>
              <w:bottom w:val="single" w:color="000000" w:sz="6" w:space="0"/>
              <w:right w:val="single" w:color="000000" w:sz="6" w:space="0"/>
            </w:tcBorders>
            <w:noWrap w:val="0"/>
            <w:vAlign w:val="center"/>
          </w:tcPr>
          <w:p w14:paraId="033B1A7A">
            <w:pPr>
              <w:autoSpaceDE w:val="0"/>
              <w:autoSpaceDN w:val="0"/>
              <w:spacing w:line="360" w:lineRule="auto"/>
              <w:jc w:val="center"/>
              <w:rPr>
                <w:rFonts w:hint="eastAsia" w:ascii="宋体" w:hAnsi="宋体" w:cs="宋体"/>
                <w:kern w:val="0"/>
                <w:highlight w:val="none"/>
                <w:lang w:val="zh-CN"/>
              </w:rPr>
            </w:pPr>
          </w:p>
        </w:tc>
        <w:tc>
          <w:tcPr>
            <w:tcW w:w="930" w:type="pct"/>
            <w:tcBorders>
              <w:top w:val="single" w:color="000000" w:sz="6" w:space="0"/>
              <w:left w:val="single" w:color="000000" w:sz="6" w:space="0"/>
              <w:bottom w:val="single" w:color="000000" w:sz="6" w:space="0"/>
              <w:right w:val="single" w:color="000000" w:sz="8" w:space="0"/>
            </w:tcBorders>
            <w:noWrap w:val="0"/>
            <w:vAlign w:val="center"/>
          </w:tcPr>
          <w:p w14:paraId="20A6BD5F">
            <w:pPr>
              <w:autoSpaceDE w:val="0"/>
              <w:autoSpaceDN w:val="0"/>
              <w:spacing w:line="360" w:lineRule="auto"/>
              <w:jc w:val="center"/>
              <w:rPr>
                <w:rFonts w:hint="eastAsia" w:ascii="宋体" w:hAnsi="宋体" w:cs="宋体"/>
                <w:kern w:val="0"/>
                <w:highlight w:val="none"/>
                <w:lang w:val="zh-CN"/>
              </w:rPr>
            </w:pPr>
          </w:p>
        </w:tc>
      </w:tr>
      <w:tr w14:paraId="4707B290">
        <w:tblPrEx>
          <w:tblCellMar>
            <w:top w:w="0" w:type="dxa"/>
            <w:left w:w="28" w:type="dxa"/>
            <w:bottom w:w="0" w:type="dxa"/>
            <w:right w:w="28" w:type="dxa"/>
          </w:tblCellMar>
        </w:tblPrEx>
        <w:trPr>
          <w:trHeight w:val="23" w:hRule="atLeast"/>
          <w:jc w:val="center"/>
        </w:trPr>
        <w:tc>
          <w:tcPr>
            <w:tcW w:w="506" w:type="pct"/>
            <w:tcBorders>
              <w:top w:val="single" w:color="000000" w:sz="6" w:space="0"/>
              <w:left w:val="single" w:color="000000" w:sz="8" w:space="0"/>
              <w:bottom w:val="single" w:color="000000" w:sz="6" w:space="0"/>
              <w:right w:val="single" w:color="000000" w:sz="6" w:space="0"/>
            </w:tcBorders>
            <w:noWrap w:val="0"/>
            <w:vAlign w:val="center"/>
          </w:tcPr>
          <w:p w14:paraId="54DFFBF0">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4</w:t>
            </w:r>
          </w:p>
        </w:tc>
        <w:tc>
          <w:tcPr>
            <w:tcW w:w="1262" w:type="pct"/>
            <w:tcBorders>
              <w:top w:val="single" w:color="000000" w:sz="6" w:space="0"/>
              <w:left w:val="single" w:color="000000" w:sz="6" w:space="0"/>
              <w:bottom w:val="single" w:color="000000" w:sz="6" w:space="0"/>
              <w:right w:val="single" w:color="000000" w:sz="6" w:space="0"/>
            </w:tcBorders>
            <w:noWrap w:val="0"/>
            <w:vAlign w:val="center"/>
          </w:tcPr>
          <w:p w14:paraId="205C996C">
            <w:pPr>
              <w:autoSpaceDE w:val="0"/>
              <w:autoSpaceDN w:val="0"/>
              <w:spacing w:line="360" w:lineRule="auto"/>
              <w:jc w:val="center"/>
              <w:rPr>
                <w:rFonts w:hint="eastAsia" w:ascii="宋体" w:hAnsi="宋体" w:cs="宋体"/>
                <w:kern w:val="0"/>
                <w:highlight w:val="none"/>
                <w:lang w:val="zh-CN"/>
              </w:rPr>
            </w:pPr>
          </w:p>
        </w:tc>
        <w:tc>
          <w:tcPr>
            <w:tcW w:w="857" w:type="pct"/>
            <w:tcBorders>
              <w:top w:val="single" w:color="000000" w:sz="6" w:space="0"/>
              <w:left w:val="single" w:color="000000" w:sz="6" w:space="0"/>
              <w:bottom w:val="single" w:color="000000" w:sz="6" w:space="0"/>
              <w:right w:val="single" w:color="000000" w:sz="6" w:space="0"/>
            </w:tcBorders>
            <w:noWrap w:val="0"/>
            <w:vAlign w:val="center"/>
          </w:tcPr>
          <w:p w14:paraId="0367064D">
            <w:pPr>
              <w:autoSpaceDE w:val="0"/>
              <w:autoSpaceDN w:val="0"/>
              <w:spacing w:line="360" w:lineRule="auto"/>
              <w:jc w:val="center"/>
              <w:rPr>
                <w:rFonts w:hint="eastAsia" w:ascii="宋体" w:hAnsi="宋体" w:cs="宋体"/>
                <w:kern w:val="0"/>
                <w:highlight w:val="none"/>
                <w:lang w:val="zh-CN"/>
              </w:rPr>
            </w:pPr>
          </w:p>
        </w:tc>
        <w:tc>
          <w:tcPr>
            <w:tcW w:w="772" w:type="pct"/>
            <w:tcBorders>
              <w:top w:val="single" w:color="000000" w:sz="6" w:space="0"/>
              <w:left w:val="single" w:color="000000" w:sz="6" w:space="0"/>
              <w:bottom w:val="single" w:color="000000" w:sz="6" w:space="0"/>
              <w:right w:val="single" w:color="000000" w:sz="6" w:space="0"/>
            </w:tcBorders>
            <w:noWrap w:val="0"/>
            <w:vAlign w:val="center"/>
          </w:tcPr>
          <w:p w14:paraId="6B5DAA89">
            <w:pPr>
              <w:autoSpaceDE w:val="0"/>
              <w:autoSpaceDN w:val="0"/>
              <w:spacing w:line="360" w:lineRule="auto"/>
              <w:jc w:val="center"/>
              <w:rPr>
                <w:rFonts w:hint="eastAsia" w:ascii="宋体" w:hAnsi="宋体" w:cs="宋体"/>
                <w:kern w:val="0"/>
                <w:highlight w:val="none"/>
                <w:lang w:val="zh-CN"/>
              </w:rPr>
            </w:pPr>
          </w:p>
        </w:tc>
        <w:tc>
          <w:tcPr>
            <w:tcW w:w="671" w:type="pct"/>
            <w:tcBorders>
              <w:top w:val="single" w:color="000000" w:sz="6" w:space="0"/>
              <w:left w:val="single" w:color="000000" w:sz="6" w:space="0"/>
              <w:bottom w:val="single" w:color="000000" w:sz="6" w:space="0"/>
              <w:right w:val="single" w:color="000000" w:sz="6" w:space="0"/>
            </w:tcBorders>
            <w:noWrap w:val="0"/>
            <w:vAlign w:val="center"/>
          </w:tcPr>
          <w:p w14:paraId="10AB59BB">
            <w:pPr>
              <w:autoSpaceDE w:val="0"/>
              <w:autoSpaceDN w:val="0"/>
              <w:spacing w:line="360" w:lineRule="auto"/>
              <w:jc w:val="center"/>
              <w:rPr>
                <w:rFonts w:hint="eastAsia" w:ascii="宋体" w:hAnsi="宋体" w:cs="宋体"/>
                <w:kern w:val="0"/>
                <w:highlight w:val="none"/>
                <w:lang w:val="zh-CN"/>
              </w:rPr>
            </w:pPr>
          </w:p>
        </w:tc>
        <w:tc>
          <w:tcPr>
            <w:tcW w:w="930" w:type="pct"/>
            <w:tcBorders>
              <w:top w:val="single" w:color="000000" w:sz="6" w:space="0"/>
              <w:left w:val="single" w:color="000000" w:sz="6" w:space="0"/>
              <w:bottom w:val="single" w:color="000000" w:sz="6" w:space="0"/>
              <w:right w:val="single" w:color="000000" w:sz="8" w:space="0"/>
            </w:tcBorders>
            <w:noWrap w:val="0"/>
            <w:vAlign w:val="center"/>
          </w:tcPr>
          <w:p w14:paraId="781AA54A">
            <w:pPr>
              <w:autoSpaceDE w:val="0"/>
              <w:autoSpaceDN w:val="0"/>
              <w:spacing w:line="360" w:lineRule="auto"/>
              <w:jc w:val="center"/>
              <w:rPr>
                <w:rFonts w:hint="eastAsia" w:ascii="宋体" w:hAnsi="宋体" w:cs="宋体"/>
                <w:kern w:val="0"/>
                <w:highlight w:val="none"/>
                <w:lang w:val="zh-CN"/>
              </w:rPr>
            </w:pPr>
          </w:p>
        </w:tc>
      </w:tr>
      <w:tr w14:paraId="33EA776E">
        <w:tblPrEx>
          <w:tblCellMar>
            <w:top w:w="0" w:type="dxa"/>
            <w:left w:w="28" w:type="dxa"/>
            <w:bottom w:w="0" w:type="dxa"/>
            <w:right w:w="28" w:type="dxa"/>
          </w:tblCellMar>
        </w:tblPrEx>
        <w:trPr>
          <w:trHeight w:val="23" w:hRule="atLeast"/>
          <w:jc w:val="center"/>
        </w:trPr>
        <w:tc>
          <w:tcPr>
            <w:tcW w:w="506" w:type="pct"/>
            <w:tcBorders>
              <w:top w:val="single" w:color="000000" w:sz="6" w:space="0"/>
              <w:left w:val="single" w:color="000000" w:sz="8" w:space="0"/>
              <w:bottom w:val="single" w:color="000000" w:sz="6" w:space="0"/>
              <w:right w:val="single" w:color="000000" w:sz="6" w:space="0"/>
            </w:tcBorders>
            <w:noWrap w:val="0"/>
            <w:vAlign w:val="center"/>
          </w:tcPr>
          <w:p w14:paraId="48F2A7A7">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w:t>
            </w:r>
          </w:p>
        </w:tc>
        <w:tc>
          <w:tcPr>
            <w:tcW w:w="1262" w:type="pct"/>
            <w:tcBorders>
              <w:top w:val="single" w:color="000000" w:sz="6" w:space="0"/>
              <w:left w:val="single" w:color="000000" w:sz="6" w:space="0"/>
              <w:bottom w:val="single" w:color="000000" w:sz="6" w:space="0"/>
              <w:right w:val="single" w:color="000000" w:sz="6" w:space="0"/>
            </w:tcBorders>
            <w:noWrap w:val="0"/>
            <w:vAlign w:val="center"/>
          </w:tcPr>
          <w:p w14:paraId="7A4D953A">
            <w:pPr>
              <w:autoSpaceDE w:val="0"/>
              <w:autoSpaceDN w:val="0"/>
              <w:spacing w:line="360" w:lineRule="auto"/>
              <w:jc w:val="center"/>
              <w:rPr>
                <w:rFonts w:hint="eastAsia" w:ascii="宋体" w:hAnsi="宋体" w:cs="宋体"/>
                <w:kern w:val="0"/>
                <w:highlight w:val="none"/>
                <w:lang w:val="zh-CN"/>
              </w:rPr>
            </w:pPr>
          </w:p>
        </w:tc>
        <w:tc>
          <w:tcPr>
            <w:tcW w:w="857" w:type="pct"/>
            <w:tcBorders>
              <w:top w:val="single" w:color="000000" w:sz="6" w:space="0"/>
              <w:left w:val="single" w:color="000000" w:sz="6" w:space="0"/>
              <w:bottom w:val="single" w:color="000000" w:sz="6" w:space="0"/>
              <w:right w:val="single" w:color="000000" w:sz="6" w:space="0"/>
            </w:tcBorders>
            <w:noWrap w:val="0"/>
            <w:vAlign w:val="center"/>
          </w:tcPr>
          <w:p w14:paraId="5D2EE17F">
            <w:pPr>
              <w:autoSpaceDE w:val="0"/>
              <w:autoSpaceDN w:val="0"/>
              <w:spacing w:line="360" w:lineRule="auto"/>
              <w:jc w:val="center"/>
              <w:rPr>
                <w:rFonts w:hint="eastAsia" w:ascii="宋体" w:hAnsi="宋体" w:cs="宋体"/>
                <w:kern w:val="0"/>
                <w:highlight w:val="none"/>
                <w:lang w:val="zh-CN"/>
              </w:rPr>
            </w:pPr>
          </w:p>
        </w:tc>
        <w:tc>
          <w:tcPr>
            <w:tcW w:w="772" w:type="pct"/>
            <w:tcBorders>
              <w:top w:val="single" w:color="000000" w:sz="6" w:space="0"/>
              <w:left w:val="single" w:color="000000" w:sz="6" w:space="0"/>
              <w:bottom w:val="single" w:color="000000" w:sz="6" w:space="0"/>
              <w:right w:val="single" w:color="000000" w:sz="6" w:space="0"/>
            </w:tcBorders>
            <w:noWrap w:val="0"/>
            <w:vAlign w:val="center"/>
          </w:tcPr>
          <w:p w14:paraId="77C8F1E1">
            <w:pPr>
              <w:autoSpaceDE w:val="0"/>
              <w:autoSpaceDN w:val="0"/>
              <w:spacing w:line="360" w:lineRule="auto"/>
              <w:jc w:val="center"/>
              <w:rPr>
                <w:rFonts w:hint="eastAsia" w:ascii="宋体" w:hAnsi="宋体" w:cs="宋体"/>
                <w:kern w:val="0"/>
                <w:highlight w:val="none"/>
                <w:lang w:val="zh-CN"/>
              </w:rPr>
            </w:pPr>
          </w:p>
        </w:tc>
        <w:tc>
          <w:tcPr>
            <w:tcW w:w="671" w:type="pct"/>
            <w:tcBorders>
              <w:top w:val="single" w:color="000000" w:sz="6" w:space="0"/>
              <w:left w:val="single" w:color="000000" w:sz="6" w:space="0"/>
              <w:bottom w:val="single" w:color="000000" w:sz="6" w:space="0"/>
              <w:right w:val="single" w:color="000000" w:sz="6" w:space="0"/>
            </w:tcBorders>
            <w:noWrap w:val="0"/>
            <w:vAlign w:val="center"/>
          </w:tcPr>
          <w:p w14:paraId="45D8A5EF">
            <w:pPr>
              <w:autoSpaceDE w:val="0"/>
              <w:autoSpaceDN w:val="0"/>
              <w:spacing w:line="360" w:lineRule="auto"/>
              <w:jc w:val="center"/>
              <w:rPr>
                <w:rFonts w:hint="eastAsia" w:ascii="宋体" w:hAnsi="宋体" w:cs="宋体"/>
                <w:kern w:val="0"/>
                <w:highlight w:val="none"/>
                <w:lang w:val="zh-CN"/>
              </w:rPr>
            </w:pPr>
          </w:p>
        </w:tc>
        <w:tc>
          <w:tcPr>
            <w:tcW w:w="930" w:type="pct"/>
            <w:tcBorders>
              <w:top w:val="single" w:color="000000" w:sz="6" w:space="0"/>
              <w:left w:val="single" w:color="000000" w:sz="6" w:space="0"/>
              <w:bottom w:val="single" w:color="000000" w:sz="6" w:space="0"/>
              <w:right w:val="single" w:color="000000" w:sz="8" w:space="0"/>
            </w:tcBorders>
            <w:noWrap w:val="0"/>
            <w:vAlign w:val="center"/>
          </w:tcPr>
          <w:p w14:paraId="6B276E6A">
            <w:pPr>
              <w:autoSpaceDE w:val="0"/>
              <w:autoSpaceDN w:val="0"/>
              <w:spacing w:line="360" w:lineRule="auto"/>
              <w:jc w:val="center"/>
              <w:rPr>
                <w:rFonts w:hint="eastAsia" w:ascii="宋体" w:hAnsi="宋体" w:cs="宋体"/>
                <w:kern w:val="0"/>
                <w:highlight w:val="none"/>
                <w:lang w:val="zh-CN"/>
              </w:rPr>
            </w:pPr>
          </w:p>
        </w:tc>
      </w:tr>
      <w:tr w14:paraId="3DE707D0">
        <w:tblPrEx>
          <w:tblCellMar>
            <w:top w:w="0" w:type="dxa"/>
            <w:left w:w="28" w:type="dxa"/>
            <w:bottom w:w="0" w:type="dxa"/>
            <w:right w:w="28" w:type="dxa"/>
          </w:tblCellMar>
        </w:tblPrEx>
        <w:trPr>
          <w:trHeight w:val="23" w:hRule="atLeast"/>
          <w:jc w:val="center"/>
        </w:trPr>
        <w:tc>
          <w:tcPr>
            <w:tcW w:w="1768" w:type="pct"/>
            <w:gridSpan w:val="2"/>
            <w:tcBorders>
              <w:top w:val="single" w:color="000000" w:sz="6" w:space="0"/>
              <w:left w:val="single" w:color="000000" w:sz="8" w:space="0"/>
              <w:bottom w:val="single" w:color="000000" w:sz="6" w:space="0"/>
              <w:right w:val="single" w:color="000000" w:sz="6" w:space="0"/>
            </w:tcBorders>
            <w:noWrap w:val="0"/>
            <w:vAlign w:val="center"/>
          </w:tcPr>
          <w:p w14:paraId="6F2FBB41">
            <w:pPr>
              <w:autoSpaceDE w:val="0"/>
              <w:autoSpaceDN w:val="0"/>
              <w:spacing w:line="360" w:lineRule="auto"/>
              <w:jc w:val="center"/>
              <w:rPr>
                <w:rFonts w:hint="eastAsia" w:ascii="宋体" w:hAnsi="宋体" w:eastAsia="宋体" w:cs="宋体"/>
                <w:kern w:val="0"/>
                <w:highlight w:val="none"/>
                <w:lang w:val="zh-CN" w:eastAsia="zh-CN"/>
              </w:rPr>
            </w:pPr>
            <w:r>
              <w:rPr>
                <w:rFonts w:hint="eastAsia" w:ascii="宋体" w:hAnsi="宋体" w:cs="宋体"/>
                <w:kern w:val="0"/>
                <w:highlight w:val="none"/>
                <w:lang w:val="zh-CN"/>
              </w:rPr>
              <w:t>投标</w:t>
            </w:r>
            <w:r>
              <w:rPr>
                <w:rFonts w:hint="eastAsia" w:ascii="宋体" w:hAnsi="宋体" w:cs="宋体"/>
                <w:kern w:val="0"/>
                <w:highlight w:val="none"/>
                <w:lang w:val="en-US" w:eastAsia="zh-CN"/>
              </w:rPr>
              <w:t>单价合计</w:t>
            </w:r>
          </w:p>
        </w:tc>
        <w:tc>
          <w:tcPr>
            <w:tcW w:w="3231" w:type="pct"/>
            <w:gridSpan w:val="4"/>
            <w:tcBorders>
              <w:top w:val="single" w:color="000000" w:sz="6" w:space="0"/>
              <w:left w:val="single" w:color="auto" w:sz="4" w:space="0"/>
              <w:bottom w:val="single" w:color="000000" w:sz="6" w:space="0"/>
              <w:right w:val="single" w:color="000000" w:sz="8" w:space="0"/>
            </w:tcBorders>
            <w:noWrap w:val="0"/>
            <w:vAlign w:val="center"/>
          </w:tcPr>
          <w:p w14:paraId="72F0FBEC">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大写：</w:t>
            </w:r>
          </w:p>
          <w:p w14:paraId="7258B332">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小写：</w:t>
            </w:r>
          </w:p>
        </w:tc>
      </w:tr>
      <w:tr w14:paraId="1DBAF2D7">
        <w:tblPrEx>
          <w:tblCellMar>
            <w:top w:w="0" w:type="dxa"/>
            <w:left w:w="28" w:type="dxa"/>
            <w:bottom w:w="0" w:type="dxa"/>
            <w:right w:w="28" w:type="dxa"/>
          </w:tblCellMar>
        </w:tblPrEx>
        <w:trPr>
          <w:trHeight w:val="23" w:hRule="atLeast"/>
          <w:jc w:val="center"/>
        </w:trPr>
        <w:tc>
          <w:tcPr>
            <w:tcW w:w="1768" w:type="pct"/>
            <w:gridSpan w:val="2"/>
            <w:tcBorders>
              <w:top w:val="single" w:color="000000" w:sz="6" w:space="0"/>
              <w:left w:val="single" w:color="000000" w:sz="8" w:space="0"/>
              <w:bottom w:val="single" w:color="000000" w:sz="8" w:space="0"/>
              <w:right w:val="single" w:color="000000" w:sz="6" w:space="0"/>
            </w:tcBorders>
            <w:noWrap w:val="0"/>
            <w:vAlign w:val="center"/>
          </w:tcPr>
          <w:p w14:paraId="62F2D21C">
            <w:pPr>
              <w:autoSpaceDE w:val="0"/>
              <w:autoSpaceDN w:val="0"/>
              <w:spacing w:line="360" w:lineRule="auto"/>
              <w:jc w:val="center"/>
              <w:rPr>
                <w:rFonts w:hint="eastAsia" w:ascii="宋体" w:hAnsi="宋体" w:cs="宋体"/>
                <w:kern w:val="0"/>
                <w:highlight w:val="none"/>
                <w:lang w:val="zh-CN"/>
              </w:rPr>
            </w:pPr>
            <w:r>
              <w:rPr>
                <w:rFonts w:hint="eastAsia" w:ascii="宋体" w:hAnsi="宋体" w:eastAsia="宋体" w:cs="宋体"/>
                <w:kern w:val="0"/>
                <w:highlight w:val="none"/>
                <w:lang w:val="en-US" w:eastAsia="zh-CN"/>
              </w:rPr>
              <w:t>投标报价</w:t>
            </w:r>
          </w:p>
        </w:tc>
        <w:tc>
          <w:tcPr>
            <w:tcW w:w="3231" w:type="pct"/>
            <w:gridSpan w:val="4"/>
            <w:tcBorders>
              <w:top w:val="single" w:color="000000" w:sz="6" w:space="0"/>
              <w:left w:val="single" w:color="auto" w:sz="4" w:space="0"/>
              <w:bottom w:val="single" w:color="000000" w:sz="8" w:space="0"/>
              <w:right w:val="single" w:color="000000" w:sz="8" w:space="0"/>
            </w:tcBorders>
            <w:noWrap w:val="0"/>
            <w:vAlign w:val="center"/>
          </w:tcPr>
          <w:p w14:paraId="2BB73382">
            <w:pPr>
              <w:autoSpaceDE w:val="0"/>
              <w:autoSpaceDN w:val="0"/>
              <w:spacing w:line="360" w:lineRule="auto"/>
              <w:rPr>
                <w:rFonts w:hint="eastAsia" w:ascii="宋体" w:hAnsi="宋体" w:cs="宋体"/>
                <w:kern w:val="0"/>
                <w:highlight w:val="none"/>
                <w:lang w:val="zh-CN"/>
              </w:rPr>
            </w:pPr>
            <w:r>
              <w:rPr>
                <w:rFonts w:hint="eastAsia" w:ascii="宋体" w:hAnsi="宋体" w:cs="宋体"/>
                <w:szCs w:val="24"/>
                <w:highlight w:val="none"/>
                <w:lang w:val="en-US" w:eastAsia="zh-CN"/>
              </w:rPr>
              <w:t>471.6万元</w:t>
            </w:r>
          </w:p>
        </w:tc>
      </w:tr>
    </w:tbl>
    <w:p w14:paraId="11144E2B">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注：</w:t>
      </w:r>
      <w:r>
        <w:rPr>
          <w:rFonts w:hint="eastAsia" w:ascii="宋体" w:hAnsi="宋体" w:cs="宋体"/>
          <w:kern w:val="0"/>
          <w:highlight w:val="none"/>
        </w:rPr>
        <w:t>1.</w:t>
      </w:r>
      <w:r>
        <w:rPr>
          <w:rFonts w:hint="eastAsia" w:ascii="宋体" w:hAnsi="宋体" w:cs="宋体"/>
          <w:kern w:val="0"/>
          <w:highlight w:val="none"/>
          <w:lang w:val="zh-CN"/>
        </w:rPr>
        <w:t>本表应依照</w:t>
      </w:r>
      <w:r>
        <w:rPr>
          <w:rFonts w:hint="eastAsia" w:ascii="宋体" w:hAnsi="宋体" w:cs="宋体"/>
          <w:kern w:val="0"/>
          <w:highlight w:val="none"/>
          <w:lang w:val="en-US" w:eastAsia="zh-CN"/>
        </w:rPr>
        <w:t>服务内容</w:t>
      </w:r>
      <w:r>
        <w:rPr>
          <w:rFonts w:hint="eastAsia" w:ascii="宋体" w:hAnsi="宋体" w:cs="宋体"/>
          <w:kern w:val="0"/>
          <w:highlight w:val="none"/>
          <w:lang w:val="zh-CN"/>
        </w:rPr>
        <w:t>序号按顺序逐项填写，不得遗漏，</w:t>
      </w:r>
      <w:r>
        <w:rPr>
          <w:rFonts w:hint="eastAsia" w:ascii="宋体" w:hAnsi="宋体" w:cs="宋体"/>
          <w:highlight w:val="none"/>
        </w:rPr>
        <w:t>否则</w:t>
      </w:r>
      <w:r>
        <w:rPr>
          <w:rFonts w:hint="eastAsia" w:ascii="宋体" w:hAnsi="宋体" w:cs="宋体"/>
          <w:kern w:val="0"/>
          <w:szCs w:val="20"/>
          <w:highlight w:val="none"/>
        </w:rPr>
        <w:t>，按无效投标处理</w:t>
      </w:r>
      <w:r>
        <w:rPr>
          <w:rFonts w:hint="eastAsia" w:ascii="宋体" w:hAnsi="宋体" w:cs="宋体"/>
          <w:kern w:val="0"/>
          <w:highlight w:val="none"/>
          <w:lang w:val="zh-CN"/>
        </w:rPr>
        <w:t>。</w:t>
      </w:r>
    </w:p>
    <w:p w14:paraId="253107E1">
      <w:pPr>
        <w:numPr>
          <w:ilvl w:val="0"/>
          <w:numId w:val="10"/>
        </w:numPr>
        <w:autoSpaceDE w:val="0"/>
        <w:autoSpaceDN w:val="0"/>
        <w:spacing w:line="360" w:lineRule="auto"/>
        <w:rPr>
          <w:rFonts w:hint="eastAsia" w:ascii="宋体" w:hAnsi="宋体" w:cs="宋体"/>
          <w:kern w:val="0"/>
          <w:highlight w:val="none"/>
          <w:lang w:val="zh-CN"/>
        </w:rPr>
      </w:pPr>
      <w:bookmarkStart w:id="188" w:name="_Hlk208925121"/>
      <w:r>
        <w:rPr>
          <w:rFonts w:hint="eastAsia" w:ascii="宋体" w:hAnsi="宋体" w:cs="宋体"/>
          <w:kern w:val="0"/>
          <w:highlight w:val="none"/>
          <w:lang w:val="zh-CN"/>
        </w:rPr>
        <w:t>投标</w:t>
      </w:r>
      <w:r>
        <w:rPr>
          <w:rFonts w:hint="eastAsia" w:ascii="宋体" w:hAnsi="宋体" w:cs="宋体"/>
          <w:kern w:val="0"/>
          <w:highlight w:val="none"/>
          <w:lang w:val="en-US" w:eastAsia="zh-CN"/>
        </w:rPr>
        <w:t>单价合计</w:t>
      </w:r>
      <w:r>
        <w:rPr>
          <w:rFonts w:hint="eastAsia" w:ascii="宋体" w:hAnsi="宋体" w:cs="宋体"/>
          <w:kern w:val="0"/>
          <w:highlight w:val="none"/>
          <w:lang w:val="zh-CN"/>
        </w:rPr>
        <w:t>不能有两个或两个以上的报价方案。</w:t>
      </w:r>
    </w:p>
    <w:p w14:paraId="1B1E3090">
      <w:pPr>
        <w:numPr>
          <w:ilvl w:val="0"/>
          <w:numId w:val="10"/>
        </w:num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en-US" w:eastAsia="zh-CN"/>
        </w:rPr>
        <w:t>各项</w:t>
      </w:r>
      <w:r>
        <w:rPr>
          <w:rFonts w:hint="eastAsia" w:ascii="宋体" w:hAnsi="宋体" w:cs="宋体"/>
          <w:kern w:val="0"/>
          <w:highlight w:val="none"/>
          <w:lang w:val="zh-CN"/>
        </w:rPr>
        <w:t>投标</w:t>
      </w:r>
      <w:r>
        <w:rPr>
          <w:rFonts w:hint="eastAsia" w:ascii="宋体" w:hAnsi="宋体" w:cs="宋体"/>
          <w:kern w:val="0"/>
          <w:highlight w:val="none"/>
          <w:lang w:val="en-US" w:eastAsia="zh-CN"/>
        </w:rPr>
        <w:t>的单价</w:t>
      </w:r>
      <w:r>
        <w:rPr>
          <w:rFonts w:hint="eastAsia" w:ascii="宋体" w:hAnsi="宋体" w:cs="宋体"/>
          <w:kern w:val="0"/>
          <w:highlight w:val="none"/>
          <w:lang w:val="zh-CN"/>
        </w:rPr>
        <w:t>报价不得超出</w:t>
      </w:r>
      <w:r>
        <w:rPr>
          <w:rFonts w:hint="eastAsia" w:ascii="宋体" w:hAnsi="宋体" w:cs="宋体"/>
          <w:kern w:val="0"/>
          <w:highlight w:val="none"/>
          <w:lang w:val="en-US" w:eastAsia="zh-CN"/>
        </w:rPr>
        <w:t>服务内容中</w:t>
      </w:r>
      <w:r>
        <w:rPr>
          <w:rFonts w:hint="eastAsia" w:ascii="宋体" w:hAnsi="宋体" w:cs="宋体"/>
          <w:kern w:val="0"/>
          <w:highlight w:val="none"/>
          <w:lang w:val="zh-CN"/>
        </w:rPr>
        <w:t>单价</w:t>
      </w:r>
      <w:r>
        <w:rPr>
          <w:rFonts w:hint="eastAsia" w:ascii="宋体" w:hAnsi="宋体" w:cs="宋体"/>
          <w:kern w:val="0"/>
          <w:highlight w:val="none"/>
          <w:lang w:val="en-US" w:eastAsia="zh-CN"/>
        </w:rPr>
        <w:t>的</w:t>
      </w:r>
      <w:r>
        <w:rPr>
          <w:rFonts w:hint="eastAsia" w:ascii="宋体" w:hAnsi="宋体" w:cs="宋体"/>
          <w:kern w:val="0"/>
          <w:highlight w:val="none"/>
          <w:lang w:val="zh-CN"/>
        </w:rPr>
        <w:t>最高限价。</w:t>
      </w:r>
      <w:bookmarkEnd w:id="188"/>
    </w:p>
    <w:p w14:paraId="4186F2FC">
      <w:pPr>
        <w:autoSpaceDE w:val="0"/>
        <w:autoSpaceDN w:val="0"/>
        <w:spacing w:line="360" w:lineRule="auto"/>
        <w:rPr>
          <w:rFonts w:hint="eastAsia" w:ascii="宋体" w:hAnsi="宋体" w:cs="宋体"/>
          <w:kern w:val="0"/>
          <w:highlight w:val="none"/>
          <w:lang w:val="zh-CN"/>
        </w:rPr>
      </w:pPr>
    </w:p>
    <w:p w14:paraId="606F5230">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0643DAB2">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46F28F5D">
      <w:pPr>
        <w:jc w:val="center"/>
        <w:rPr>
          <w:rFonts w:hint="eastAsia" w:ascii="宋体" w:hAnsi="宋体" w:cs="宋体"/>
          <w:b/>
          <w:bCs/>
          <w:kern w:val="0"/>
          <w:highlight w:val="none"/>
          <w:lang w:val="zh-CN"/>
        </w:rPr>
      </w:pP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4AEF2D94">
      <w:pPr>
        <w:pStyle w:val="28"/>
        <w:spacing w:before="0" w:after="0" w:line="360" w:lineRule="auto"/>
        <w:jc w:val="left"/>
        <w:outlineLvl w:val="1"/>
        <w:rPr>
          <w:rFonts w:hint="eastAsia" w:ascii="宋体" w:hAnsi="宋体" w:cs="宋体"/>
          <w:sz w:val="30"/>
          <w:szCs w:val="30"/>
          <w:highlight w:val="none"/>
          <w:lang w:val="zh-CN"/>
        </w:rPr>
      </w:pPr>
    </w:p>
    <w:p w14:paraId="6314A38B">
      <w:pPr>
        <w:pStyle w:val="28"/>
        <w:spacing w:before="0" w:after="0" w:line="360" w:lineRule="auto"/>
        <w:jc w:val="left"/>
        <w:outlineLvl w:val="1"/>
        <w:rPr>
          <w:rFonts w:hint="eastAsia" w:ascii="宋体" w:hAnsi="宋体" w:cs="宋体"/>
          <w:sz w:val="30"/>
          <w:szCs w:val="30"/>
          <w:highlight w:val="none"/>
          <w:lang w:val="zh-CN"/>
        </w:rPr>
      </w:pPr>
    </w:p>
    <w:p w14:paraId="1F7A1305">
      <w:pPr>
        <w:pStyle w:val="28"/>
        <w:spacing w:before="0" w:after="0" w:line="360" w:lineRule="auto"/>
        <w:jc w:val="left"/>
        <w:outlineLvl w:val="1"/>
        <w:rPr>
          <w:rFonts w:hint="eastAsia" w:ascii="宋体" w:hAnsi="宋体" w:cs="宋体"/>
          <w:sz w:val="30"/>
          <w:szCs w:val="30"/>
          <w:highlight w:val="none"/>
          <w:lang w:val="zh-CN"/>
        </w:rPr>
      </w:pPr>
    </w:p>
    <w:p w14:paraId="1DBD8944">
      <w:pPr>
        <w:pStyle w:val="28"/>
        <w:spacing w:before="0" w:after="0" w:line="360" w:lineRule="auto"/>
        <w:jc w:val="left"/>
        <w:outlineLvl w:val="1"/>
        <w:rPr>
          <w:rFonts w:hint="eastAsia" w:ascii="宋体" w:hAnsi="宋体" w:cs="宋体"/>
          <w:sz w:val="30"/>
          <w:szCs w:val="30"/>
          <w:highlight w:val="none"/>
          <w:lang w:val="zh-CN"/>
        </w:rPr>
      </w:pPr>
    </w:p>
    <w:p w14:paraId="08FEDAC7">
      <w:pPr>
        <w:pStyle w:val="28"/>
        <w:spacing w:before="0" w:after="0" w:line="360" w:lineRule="auto"/>
        <w:jc w:val="left"/>
        <w:outlineLvl w:val="1"/>
        <w:rPr>
          <w:rFonts w:hint="eastAsia" w:ascii="宋体" w:hAnsi="宋体" w:cs="宋体"/>
          <w:sz w:val="30"/>
          <w:szCs w:val="30"/>
          <w:highlight w:val="none"/>
          <w:lang w:val="zh-CN"/>
        </w:rPr>
      </w:pPr>
    </w:p>
    <w:p w14:paraId="4FB4CCFB">
      <w:pPr>
        <w:pStyle w:val="28"/>
        <w:spacing w:before="0" w:after="0" w:line="360" w:lineRule="auto"/>
        <w:jc w:val="left"/>
        <w:outlineLvl w:val="1"/>
        <w:rPr>
          <w:rFonts w:hint="eastAsia" w:ascii="宋体" w:hAnsi="宋体" w:cs="宋体"/>
          <w:sz w:val="30"/>
          <w:szCs w:val="30"/>
          <w:highlight w:val="none"/>
          <w:lang w:val="zh-CN"/>
        </w:rPr>
      </w:pPr>
      <w:r>
        <w:rPr>
          <w:rFonts w:hint="eastAsia" w:ascii="宋体" w:hAnsi="宋体" w:cs="宋体"/>
          <w:sz w:val="30"/>
          <w:szCs w:val="30"/>
          <w:highlight w:val="none"/>
          <w:lang w:val="zh-CN"/>
        </w:rPr>
        <w:t>（1</w:t>
      </w:r>
      <w:r>
        <w:rPr>
          <w:rFonts w:hint="eastAsia" w:ascii="宋体" w:hAnsi="宋体" w:cs="宋体"/>
          <w:sz w:val="30"/>
          <w:szCs w:val="30"/>
          <w:highlight w:val="none"/>
          <w:lang w:val="en-US" w:eastAsia="zh-CN"/>
        </w:rPr>
        <w:t>2</w:t>
      </w:r>
      <w:r>
        <w:rPr>
          <w:rFonts w:hint="eastAsia" w:ascii="宋体" w:hAnsi="宋体" w:cs="宋体"/>
          <w:sz w:val="30"/>
          <w:szCs w:val="30"/>
          <w:highlight w:val="none"/>
          <w:lang w:val="zh-CN"/>
        </w:rPr>
        <w:t>）</w:t>
      </w:r>
      <w:bookmarkEnd w:id="181"/>
      <w:bookmarkEnd w:id="185"/>
      <w:bookmarkStart w:id="189" w:name="_Toc525722552"/>
      <w:bookmarkStart w:id="190" w:name="_Toc14290"/>
      <w:r>
        <w:rPr>
          <w:rFonts w:hint="eastAsia" w:ascii="宋体" w:hAnsi="宋体" w:cs="宋体"/>
          <w:sz w:val="30"/>
          <w:szCs w:val="30"/>
          <w:highlight w:val="none"/>
          <w:lang w:val="zh-CN"/>
        </w:rPr>
        <w:t>服务响应表</w:t>
      </w:r>
      <w:bookmarkEnd w:id="186"/>
      <w:bookmarkEnd w:id="187"/>
    </w:p>
    <w:p w14:paraId="10AAEA8D">
      <w:pPr>
        <w:spacing w:line="360" w:lineRule="auto"/>
        <w:jc w:val="center"/>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zh-CN"/>
        </w:rPr>
        <w:t>服务响应表</w:t>
      </w:r>
    </w:p>
    <w:tbl>
      <w:tblPr>
        <w:tblStyle w:val="31"/>
        <w:tblW w:w="4998" w:type="pct"/>
        <w:tblInd w:w="0" w:type="dxa"/>
        <w:tblLayout w:type="autofit"/>
        <w:tblCellMar>
          <w:top w:w="0" w:type="dxa"/>
          <w:left w:w="28" w:type="dxa"/>
          <w:bottom w:w="0" w:type="dxa"/>
          <w:right w:w="28" w:type="dxa"/>
        </w:tblCellMar>
      </w:tblPr>
      <w:tblGrid>
        <w:gridCol w:w="1229"/>
        <w:gridCol w:w="2718"/>
        <w:gridCol w:w="2877"/>
        <w:gridCol w:w="1535"/>
      </w:tblGrid>
      <w:tr w14:paraId="51DB626A">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tcPr>
          <w:p w14:paraId="3C49EE1D">
            <w:pPr>
              <w:autoSpaceDE w:val="0"/>
              <w:autoSpaceDN w:val="0"/>
              <w:adjustRightInd w:val="0"/>
              <w:spacing w:before="40" w:after="40" w:line="400" w:lineRule="exact"/>
              <w:jc w:val="center"/>
              <w:rPr>
                <w:rFonts w:ascii="宋体" w:hAnsi="Cambria" w:cs="宋体"/>
                <w:b/>
                <w:bCs/>
                <w:kern w:val="0"/>
                <w:sz w:val="22"/>
                <w:szCs w:val="22"/>
                <w:highlight w:val="none"/>
                <w:lang w:val="zh-CN"/>
              </w:rPr>
            </w:pPr>
            <w:r>
              <w:rPr>
                <w:rFonts w:hint="eastAsia" w:ascii="宋体" w:hAnsi="Cambria" w:cs="宋体"/>
                <w:b/>
                <w:bCs/>
                <w:kern w:val="0"/>
                <w:highlight w:val="none"/>
                <w:lang w:val="zh-CN"/>
              </w:rPr>
              <w:t>序号</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7B409B7C">
            <w:pPr>
              <w:autoSpaceDE w:val="0"/>
              <w:autoSpaceDN w:val="0"/>
              <w:adjustRightInd w:val="0"/>
              <w:spacing w:before="40" w:after="40" w:line="400" w:lineRule="exact"/>
              <w:jc w:val="center"/>
              <w:rPr>
                <w:rFonts w:ascii="宋体" w:hAnsi="Cambria" w:cs="宋体"/>
                <w:b/>
                <w:bCs/>
                <w:kern w:val="0"/>
                <w:sz w:val="22"/>
                <w:szCs w:val="22"/>
                <w:highlight w:val="none"/>
                <w:lang w:val="zh-CN"/>
              </w:rPr>
            </w:pPr>
            <w:r>
              <w:rPr>
                <w:rFonts w:hint="eastAsia" w:ascii="宋体" w:hAnsi="Cambria" w:cs="宋体"/>
                <w:b/>
                <w:bCs/>
                <w:kern w:val="0"/>
                <w:highlight w:val="none"/>
                <w:lang w:val="zh-CN"/>
              </w:rPr>
              <w:t>采购服务内容</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7899D2CA">
            <w:pPr>
              <w:autoSpaceDE w:val="0"/>
              <w:autoSpaceDN w:val="0"/>
              <w:adjustRightInd w:val="0"/>
              <w:spacing w:before="40" w:after="40" w:line="400" w:lineRule="exact"/>
              <w:ind w:left="94"/>
              <w:jc w:val="center"/>
              <w:rPr>
                <w:rFonts w:ascii="宋体" w:hAnsi="Cambria" w:cs="宋体"/>
                <w:b/>
                <w:bCs/>
                <w:kern w:val="0"/>
                <w:sz w:val="22"/>
                <w:szCs w:val="22"/>
                <w:highlight w:val="none"/>
                <w:lang w:val="zh-CN"/>
              </w:rPr>
            </w:pPr>
            <w:r>
              <w:rPr>
                <w:rFonts w:hint="eastAsia" w:ascii="宋体" w:hAnsi="Cambria" w:cs="宋体"/>
                <w:b/>
                <w:bCs/>
                <w:kern w:val="0"/>
                <w:highlight w:val="none"/>
                <w:lang w:val="zh-CN"/>
              </w:rPr>
              <w:t>投标服务内容</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40387B34">
            <w:pPr>
              <w:autoSpaceDE w:val="0"/>
              <w:autoSpaceDN w:val="0"/>
              <w:adjustRightInd w:val="0"/>
              <w:spacing w:before="40" w:after="40" w:line="400" w:lineRule="exact"/>
              <w:jc w:val="center"/>
              <w:rPr>
                <w:rFonts w:ascii="宋体" w:hAnsi="Cambria" w:cs="宋体"/>
                <w:b/>
                <w:bCs/>
                <w:kern w:val="0"/>
                <w:sz w:val="22"/>
                <w:szCs w:val="22"/>
                <w:highlight w:val="none"/>
                <w:lang w:val="zh-CN"/>
              </w:rPr>
            </w:pPr>
            <w:r>
              <w:rPr>
                <w:rFonts w:hint="eastAsia" w:ascii="宋体" w:hAnsi="Cambria" w:cs="宋体"/>
                <w:b/>
                <w:bCs/>
                <w:kern w:val="0"/>
                <w:highlight w:val="none"/>
                <w:lang w:val="zh-CN"/>
              </w:rPr>
              <w:t>说明</w:t>
            </w:r>
          </w:p>
        </w:tc>
      </w:tr>
      <w:tr w14:paraId="094B06CB">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685B6541">
            <w:pPr>
              <w:autoSpaceDE w:val="0"/>
              <w:autoSpaceDN w:val="0"/>
              <w:adjustRightInd w:val="0"/>
              <w:spacing w:before="40" w:after="40" w:line="400" w:lineRule="exact"/>
              <w:jc w:val="center"/>
              <w:rPr>
                <w:rFonts w:ascii="宋体" w:hAnsi="Cambria" w:cs="宋体"/>
                <w:kern w:val="0"/>
                <w:sz w:val="22"/>
                <w:szCs w:val="22"/>
                <w:highlight w:val="none"/>
                <w:lang w:val="zh-CN"/>
              </w:rPr>
            </w:pPr>
            <w:r>
              <w:rPr>
                <w:rFonts w:ascii="宋体" w:hAnsi="Cambria" w:cs="宋体"/>
                <w:kern w:val="0"/>
                <w:highlight w:val="none"/>
                <w:lang w:val="zh-CN"/>
              </w:rPr>
              <w:t>1</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tcPr>
          <w:p w14:paraId="15486C45">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tcPr>
          <w:p w14:paraId="166E5DFF">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tcPr>
          <w:p w14:paraId="2318CBB1">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076B48BE">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1E5043C9">
            <w:pPr>
              <w:autoSpaceDE w:val="0"/>
              <w:autoSpaceDN w:val="0"/>
              <w:adjustRightInd w:val="0"/>
              <w:spacing w:before="40" w:after="40" w:line="400" w:lineRule="exact"/>
              <w:jc w:val="center"/>
              <w:rPr>
                <w:rFonts w:ascii="宋体" w:hAnsi="Cambria" w:cs="宋体"/>
                <w:kern w:val="0"/>
                <w:sz w:val="22"/>
                <w:szCs w:val="22"/>
                <w:highlight w:val="none"/>
                <w:lang w:val="zh-CN"/>
              </w:rPr>
            </w:pPr>
            <w:r>
              <w:rPr>
                <w:rFonts w:ascii="宋体" w:hAnsi="Cambria" w:cs="宋体"/>
                <w:kern w:val="0"/>
                <w:highlight w:val="none"/>
                <w:lang w:val="zh-CN"/>
              </w:rPr>
              <w:t>2</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tcPr>
          <w:p w14:paraId="084525AD">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tcPr>
          <w:p w14:paraId="5FC32567">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tcPr>
          <w:p w14:paraId="5C7ECC2A">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70323D9A">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39D26090">
            <w:pPr>
              <w:autoSpaceDE w:val="0"/>
              <w:autoSpaceDN w:val="0"/>
              <w:adjustRightInd w:val="0"/>
              <w:spacing w:before="40" w:after="40" w:line="400" w:lineRule="exact"/>
              <w:jc w:val="center"/>
              <w:rPr>
                <w:rFonts w:ascii="宋体" w:hAnsi="Cambria" w:cs="宋体"/>
                <w:kern w:val="0"/>
                <w:sz w:val="22"/>
                <w:szCs w:val="22"/>
                <w:highlight w:val="none"/>
                <w:lang w:val="zh-CN"/>
              </w:rPr>
            </w:pPr>
            <w:r>
              <w:rPr>
                <w:rFonts w:ascii="宋体" w:hAnsi="Cambria" w:cs="宋体"/>
                <w:kern w:val="0"/>
                <w:highlight w:val="none"/>
                <w:lang w:val="zh-CN"/>
              </w:rPr>
              <w:t>3</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tcPr>
          <w:p w14:paraId="56CF4F59">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tcPr>
          <w:p w14:paraId="6A23FDC5">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tcPr>
          <w:p w14:paraId="01CB52C0">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4F3D5E0A">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52724371">
            <w:pPr>
              <w:autoSpaceDE w:val="0"/>
              <w:autoSpaceDN w:val="0"/>
              <w:adjustRightInd w:val="0"/>
              <w:spacing w:before="40" w:after="40" w:line="400" w:lineRule="exact"/>
              <w:jc w:val="center"/>
              <w:rPr>
                <w:rFonts w:ascii="宋体" w:hAnsi="Cambria" w:cs="宋体"/>
                <w:kern w:val="0"/>
                <w:sz w:val="22"/>
                <w:szCs w:val="22"/>
                <w:highlight w:val="none"/>
                <w:lang w:val="zh-CN"/>
              </w:rPr>
            </w:pPr>
            <w:r>
              <w:rPr>
                <w:rFonts w:ascii="宋体" w:hAnsi="Cambria" w:cs="宋体"/>
                <w:kern w:val="0"/>
                <w:highlight w:val="none"/>
                <w:lang w:val="zh-CN"/>
              </w:rPr>
              <w:t>4</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tcPr>
          <w:p w14:paraId="0492389F">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tcPr>
          <w:p w14:paraId="7892D4D2">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tcPr>
          <w:p w14:paraId="33FB6ACF">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7D6B962C">
        <w:tblPrEx>
          <w:tblCellMar>
            <w:top w:w="0" w:type="dxa"/>
            <w:left w:w="28" w:type="dxa"/>
            <w:bottom w:w="0" w:type="dxa"/>
            <w:right w:w="28" w:type="dxa"/>
          </w:tblCellMar>
        </w:tblPrEx>
        <w:trPr>
          <w:trHeight w:val="1" w:hRule="atLeast"/>
        </w:trPr>
        <w:tc>
          <w:tcPr>
            <w:tcW w:w="735" w:type="pct"/>
            <w:tcBorders>
              <w:top w:val="single" w:color="000000" w:sz="6" w:space="0"/>
              <w:left w:val="single" w:color="000000" w:sz="6" w:space="0"/>
              <w:bottom w:val="single" w:color="000000" w:sz="6" w:space="0"/>
              <w:right w:val="single" w:color="000000" w:sz="6" w:space="0"/>
            </w:tcBorders>
            <w:shd w:val="clear" w:color="000000" w:fill="FFFFFF"/>
            <w:vAlign w:val="center"/>
          </w:tcPr>
          <w:p w14:paraId="004D937B">
            <w:pPr>
              <w:autoSpaceDE w:val="0"/>
              <w:autoSpaceDN w:val="0"/>
              <w:adjustRightInd w:val="0"/>
              <w:spacing w:before="40" w:after="40" w:line="400" w:lineRule="exact"/>
              <w:jc w:val="center"/>
              <w:rPr>
                <w:rFonts w:ascii="宋体" w:hAnsi="Cambria" w:cs="宋体"/>
                <w:kern w:val="0"/>
                <w:sz w:val="22"/>
                <w:szCs w:val="22"/>
                <w:highlight w:val="none"/>
                <w:lang w:val="zh-CN"/>
              </w:rPr>
            </w:pPr>
            <w:r>
              <w:rPr>
                <w:rFonts w:hint="eastAsia" w:ascii="宋体" w:hAnsi="Cambria" w:cs="宋体"/>
                <w:kern w:val="0"/>
                <w:highlight w:val="none"/>
                <w:lang w:val="zh-CN"/>
              </w:rPr>
              <w:t>…</w:t>
            </w:r>
          </w:p>
        </w:tc>
        <w:tc>
          <w:tcPr>
            <w:tcW w:w="1625" w:type="pct"/>
            <w:tcBorders>
              <w:top w:val="single" w:color="000000" w:sz="6" w:space="0"/>
              <w:left w:val="single" w:color="000000" w:sz="6" w:space="0"/>
              <w:bottom w:val="single" w:color="000000" w:sz="6" w:space="0"/>
              <w:right w:val="single" w:color="000000" w:sz="6" w:space="0"/>
            </w:tcBorders>
            <w:shd w:val="clear" w:color="000000" w:fill="FFFFFF"/>
          </w:tcPr>
          <w:p w14:paraId="3B1F9419">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1720" w:type="pct"/>
            <w:tcBorders>
              <w:top w:val="single" w:color="000000" w:sz="6" w:space="0"/>
              <w:left w:val="single" w:color="000000" w:sz="6" w:space="0"/>
              <w:bottom w:val="single" w:color="000000" w:sz="6" w:space="0"/>
              <w:right w:val="single" w:color="000000" w:sz="6" w:space="0"/>
            </w:tcBorders>
            <w:shd w:val="clear" w:color="000000" w:fill="FFFFFF"/>
          </w:tcPr>
          <w:p w14:paraId="458168B0">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918" w:type="pct"/>
            <w:tcBorders>
              <w:top w:val="single" w:color="000000" w:sz="6" w:space="0"/>
              <w:left w:val="single" w:color="000000" w:sz="6" w:space="0"/>
              <w:bottom w:val="single" w:color="000000" w:sz="6" w:space="0"/>
              <w:right w:val="single" w:color="000000" w:sz="6" w:space="0"/>
            </w:tcBorders>
            <w:shd w:val="clear" w:color="000000" w:fill="FFFFFF"/>
          </w:tcPr>
          <w:p w14:paraId="1099F57E">
            <w:pPr>
              <w:autoSpaceDE w:val="0"/>
              <w:autoSpaceDN w:val="0"/>
              <w:adjustRightInd w:val="0"/>
              <w:spacing w:before="40" w:after="40" w:line="400" w:lineRule="exact"/>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bl>
    <w:p w14:paraId="236D070E">
      <w:pPr>
        <w:autoSpaceDE w:val="0"/>
        <w:autoSpaceDN w:val="0"/>
        <w:spacing w:line="360" w:lineRule="auto"/>
        <w:rPr>
          <w:rFonts w:hint="eastAsia" w:ascii="宋体" w:hAnsi="宋体" w:cs="宋体"/>
          <w:kern w:val="0"/>
          <w:highlight w:val="none"/>
          <w:lang w:val="zh-CN"/>
        </w:rPr>
      </w:pPr>
      <w:r>
        <w:rPr>
          <w:rFonts w:hint="eastAsia" w:ascii="宋体" w:hAnsi="宋体" w:cs="宋体"/>
          <w:highlight w:val="none"/>
        </w:rPr>
        <w:t>注：本表应按照“第五部分 采购项目</w:t>
      </w:r>
      <w:r>
        <w:rPr>
          <w:rFonts w:hint="eastAsia" w:ascii="宋体" w:hAnsi="宋体" w:cs="宋体"/>
          <w:highlight w:val="none"/>
          <w:lang w:val="zh-CN"/>
        </w:rPr>
        <w:t>要求及</w:t>
      </w:r>
      <w:r>
        <w:rPr>
          <w:rFonts w:hint="eastAsia" w:ascii="宋体" w:hAnsi="宋体" w:cs="宋体"/>
          <w:highlight w:val="none"/>
        </w:rPr>
        <w:t>服务内容中二服务内容”逐项填写，不得遗漏。</w:t>
      </w:r>
    </w:p>
    <w:p w14:paraId="28B45B4F">
      <w:pPr>
        <w:autoSpaceDE w:val="0"/>
        <w:autoSpaceDN w:val="0"/>
        <w:spacing w:line="360" w:lineRule="auto"/>
        <w:rPr>
          <w:rFonts w:hint="eastAsia" w:ascii="宋体" w:hAnsi="宋体" w:cs="宋体"/>
          <w:kern w:val="0"/>
          <w:highlight w:val="none"/>
          <w:lang w:val="zh-CN"/>
        </w:rPr>
      </w:pPr>
    </w:p>
    <w:p w14:paraId="2A1FBA85">
      <w:pPr>
        <w:pStyle w:val="19"/>
        <w:rPr>
          <w:rFonts w:hint="eastAsia" w:hAnsi="宋体" w:cs="宋体"/>
          <w:kern w:val="0"/>
          <w:highlight w:val="none"/>
          <w:lang w:val="zh-CN"/>
        </w:rPr>
      </w:pPr>
    </w:p>
    <w:p w14:paraId="1E434B79">
      <w:pPr>
        <w:pStyle w:val="19"/>
        <w:rPr>
          <w:rFonts w:hint="eastAsia" w:hAnsi="宋体" w:cs="宋体"/>
          <w:kern w:val="0"/>
          <w:highlight w:val="none"/>
          <w:lang w:val="zh-CN"/>
        </w:rPr>
      </w:pPr>
    </w:p>
    <w:p w14:paraId="16B31B8E">
      <w:pPr>
        <w:pStyle w:val="19"/>
        <w:rPr>
          <w:rFonts w:hint="eastAsia" w:hAnsi="宋体" w:cs="宋体"/>
          <w:kern w:val="0"/>
          <w:highlight w:val="none"/>
          <w:lang w:val="zh-CN"/>
        </w:rPr>
      </w:pPr>
    </w:p>
    <w:p w14:paraId="7034CBB5">
      <w:pPr>
        <w:pStyle w:val="19"/>
        <w:rPr>
          <w:rFonts w:hint="eastAsia" w:hAnsi="宋体" w:cs="宋体"/>
          <w:kern w:val="0"/>
          <w:highlight w:val="none"/>
          <w:lang w:val="zh-CN"/>
        </w:rPr>
      </w:pPr>
    </w:p>
    <w:p w14:paraId="3477D6A4">
      <w:pPr>
        <w:pStyle w:val="19"/>
        <w:rPr>
          <w:rFonts w:hint="eastAsia" w:hAnsi="宋体" w:cs="宋体"/>
          <w:kern w:val="0"/>
          <w:highlight w:val="none"/>
          <w:lang w:val="zh-CN"/>
        </w:rPr>
      </w:pPr>
    </w:p>
    <w:p w14:paraId="74721D07">
      <w:pPr>
        <w:pStyle w:val="19"/>
        <w:rPr>
          <w:rFonts w:hint="eastAsia" w:hAnsi="宋体" w:cs="宋体"/>
          <w:kern w:val="0"/>
          <w:highlight w:val="none"/>
          <w:lang w:val="zh-CN"/>
        </w:rPr>
      </w:pPr>
    </w:p>
    <w:p w14:paraId="58D0925F">
      <w:pPr>
        <w:pStyle w:val="19"/>
        <w:rPr>
          <w:rFonts w:hint="eastAsia" w:hAnsi="宋体" w:cs="宋体"/>
          <w:kern w:val="0"/>
          <w:highlight w:val="none"/>
          <w:lang w:val="zh-CN"/>
        </w:rPr>
      </w:pPr>
    </w:p>
    <w:p w14:paraId="548C3807">
      <w:pPr>
        <w:pStyle w:val="19"/>
        <w:rPr>
          <w:rFonts w:hint="eastAsia" w:hAnsi="宋体" w:cs="宋体"/>
          <w:kern w:val="0"/>
          <w:highlight w:val="none"/>
          <w:lang w:val="zh-CN"/>
        </w:rPr>
      </w:pPr>
    </w:p>
    <w:p w14:paraId="224E4581">
      <w:pPr>
        <w:pStyle w:val="19"/>
        <w:rPr>
          <w:rFonts w:hint="eastAsia" w:hAnsi="宋体" w:cs="宋体"/>
          <w:kern w:val="0"/>
          <w:highlight w:val="none"/>
          <w:lang w:val="zh-CN"/>
        </w:rPr>
      </w:pPr>
    </w:p>
    <w:p w14:paraId="2FCD1AFD">
      <w:pPr>
        <w:autoSpaceDE w:val="0"/>
        <w:autoSpaceDN w:val="0"/>
        <w:spacing w:line="360" w:lineRule="auto"/>
        <w:jc w:val="center"/>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投标人：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6A912D6E">
      <w:pPr>
        <w:autoSpaceDE w:val="0"/>
        <w:autoSpaceDN w:val="0"/>
        <w:spacing w:line="360" w:lineRule="auto"/>
        <w:ind w:firstLine="964" w:firstLineChars="400"/>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5E88C6C7">
      <w:pPr>
        <w:autoSpaceDE w:val="0"/>
        <w:autoSpaceDN w:val="0"/>
        <w:spacing w:line="360" w:lineRule="auto"/>
        <w:jc w:val="center"/>
        <w:rPr>
          <w:rFonts w:hint="eastAsia" w:ascii="宋体" w:hAnsi="宋体" w:cs="宋体"/>
          <w:kern w:val="0"/>
          <w:highlight w:val="none"/>
          <w:lang w:val="zh-CN"/>
        </w:rPr>
      </w:pP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403E96C3">
      <w:pPr>
        <w:rPr>
          <w:highlight w:val="none"/>
        </w:rPr>
      </w:pPr>
    </w:p>
    <w:p w14:paraId="3C2A81D8">
      <w:pPr>
        <w:rPr>
          <w:rFonts w:hint="eastAsia" w:ascii="宋体" w:hAnsi="宋体"/>
          <w:highlight w:val="none"/>
        </w:rPr>
      </w:pPr>
    </w:p>
    <w:p w14:paraId="45C40E7D">
      <w:pPr>
        <w:pStyle w:val="28"/>
        <w:spacing w:before="0" w:after="0" w:line="360" w:lineRule="auto"/>
        <w:jc w:val="left"/>
        <w:outlineLvl w:val="9"/>
        <w:rPr>
          <w:rFonts w:ascii="宋体"/>
          <w:sz w:val="28"/>
          <w:szCs w:val="28"/>
          <w:highlight w:val="none"/>
        </w:rPr>
      </w:pPr>
    </w:p>
    <w:p w14:paraId="0D6CB525">
      <w:pPr>
        <w:pStyle w:val="28"/>
        <w:spacing w:before="0" w:after="0" w:line="360" w:lineRule="auto"/>
        <w:jc w:val="left"/>
        <w:outlineLvl w:val="9"/>
        <w:rPr>
          <w:rFonts w:ascii="宋体"/>
          <w:sz w:val="28"/>
          <w:szCs w:val="28"/>
          <w:highlight w:val="none"/>
        </w:rPr>
      </w:pPr>
    </w:p>
    <w:p w14:paraId="1E6DF6DA">
      <w:pPr>
        <w:pStyle w:val="28"/>
        <w:spacing w:before="0" w:after="0" w:line="360" w:lineRule="auto"/>
        <w:jc w:val="left"/>
        <w:outlineLvl w:val="9"/>
        <w:rPr>
          <w:rFonts w:ascii="宋体"/>
          <w:sz w:val="28"/>
          <w:szCs w:val="28"/>
          <w:highlight w:val="none"/>
        </w:rPr>
      </w:pPr>
    </w:p>
    <w:p w14:paraId="7BA3DBB0">
      <w:pPr>
        <w:pStyle w:val="28"/>
        <w:spacing w:before="0" w:after="0" w:line="360" w:lineRule="auto"/>
        <w:jc w:val="left"/>
        <w:outlineLvl w:val="9"/>
        <w:rPr>
          <w:rFonts w:ascii="宋体"/>
          <w:sz w:val="28"/>
          <w:szCs w:val="28"/>
          <w:highlight w:val="none"/>
        </w:rPr>
      </w:pPr>
    </w:p>
    <w:p w14:paraId="6EED8381">
      <w:pPr>
        <w:rPr>
          <w:rFonts w:ascii="宋体"/>
          <w:sz w:val="28"/>
          <w:szCs w:val="28"/>
          <w:highlight w:val="none"/>
        </w:rPr>
      </w:pPr>
    </w:p>
    <w:p w14:paraId="41E1EAA8">
      <w:pPr>
        <w:pStyle w:val="28"/>
        <w:spacing w:before="0" w:after="0" w:line="360" w:lineRule="auto"/>
        <w:jc w:val="left"/>
        <w:outlineLvl w:val="1"/>
        <w:rPr>
          <w:rFonts w:hint="eastAsia" w:ascii="宋体" w:hAnsi="宋体" w:cs="宋体"/>
          <w:sz w:val="30"/>
          <w:szCs w:val="30"/>
          <w:highlight w:val="none"/>
          <w:lang w:val="zh-CN"/>
        </w:rPr>
      </w:pPr>
      <w:bookmarkStart w:id="191" w:name="_Toc15866"/>
      <w:bookmarkStart w:id="192" w:name="_Toc25251"/>
      <w:r>
        <w:rPr>
          <w:rFonts w:hint="eastAsia" w:ascii="宋体" w:hAnsi="宋体" w:cs="宋体"/>
          <w:sz w:val="30"/>
          <w:szCs w:val="30"/>
          <w:highlight w:val="none"/>
          <w:lang w:val="zh-CN"/>
        </w:rPr>
        <w:t>（1</w:t>
      </w:r>
      <w:r>
        <w:rPr>
          <w:rFonts w:hint="eastAsia" w:ascii="宋体" w:hAnsi="宋体" w:cs="宋体"/>
          <w:sz w:val="30"/>
          <w:szCs w:val="30"/>
          <w:highlight w:val="none"/>
          <w:lang w:val="en-US" w:eastAsia="zh-CN"/>
        </w:rPr>
        <w:t>3</w:t>
      </w:r>
      <w:r>
        <w:rPr>
          <w:rFonts w:hint="eastAsia" w:ascii="宋体" w:hAnsi="宋体" w:cs="宋体"/>
          <w:sz w:val="30"/>
          <w:szCs w:val="30"/>
          <w:highlight w:val="none"/>
          <w:lang w:val="zh-CN"/>
        </w:rPr>
        <w:t>）服务方案</w:t>
      </w:r>
      <w:bookmarkEnd w:id="189"/>
      <w:bookmarkEnd w:id="191"/>
      <w:bookmarkEnd w:id="192"/>
    </w:p>
    <w:p w14:paraId="12F3FEE8">
      <w:pPr>
        <w:autoSpaceDE w:val="0"/>
        <w:autoSpaceDN w:val="0"/>
        <w:spacing w:line="360" w:lineRule="auto"/>
        <w:rPr>
          <w:rFonts w:hint="eastAsia" w:ascii="宋体" w:hAnsi="宋体" w:cs="宋体"/>
          <w:kern w:val="0"/>
          <w:sz w:val="28"/>
          <w:szCs w:val="28"/>
          <w:highlight w:val="none"/>
          <w:lang w:val="zh-CN"/>
        </w:rPr>
      </w:pPr>
    </w:p>
    <w:p w14:paraId="3586D5E3">
      <w:pPr>
        <w:jc w:val="center"/>
        <w:rPr>
          <w:rFonts w:hint="eastAsia" w:ascii="宋体" w:hAnsi="宋体" w:cs="宋体"/>
          <w:b/>
          <w:sz w:val="28"/>
          <w:szCs w:val="28"/>
          <w:highlight w:val="none"/>
          <w:lang w:val="zh-CN"/>
        </w:rPr>
      </w:pPr>
      <w:r>
        <w:rPr>
          <w:rFonts w:hint="eastAsia" w:ascii="宋体" w:hAnsi="宋体" w:cs="宋体"/>
          <w:b/>
          <w:sz w:val="28"/>
          <w:szCs w:val="28"/>
          <w:highlight w:val="none"/>
        </w:rPr>
        <w:t>服务方案</w:t>
      </w:r>
    </w:p>
    <w:p w14:paraId="10C82382">
      <w:pPr>
        <w:autoSpaceDE w:val="0"/>
        <w:autoSpaceDN w:val="0"/>
        <w:adjustRightInd w:val="0"/>
        <w:spacing w:before="40" w:after="40" w:line="400" w:lineRule="exact"/>
        <w:jc w:val="center"/>
        <w:rPr>
          <w:rFonts w:ascii="宋体" w:hAnsi="Cambria" w:cs="宋体"/>
          <w:kern w:val="0"/>
          <w:highlight w:val="none"/>
          <w:lang w:val="zh-CN"/>
        </w:rPr>
      </w:pPr>
    </w:p>
    <w:p w14:paraId="6906F4FC">
      <w:pPr>
        <w:autoSpaceDE w:val="0"/>
        <w:autoSpaceDN w:val="0"/>
        <w:adjustRightInd w:val="0"/>
        <w:spacing w:before="40" w:after="40" w:line="400" w:lineRule="exact"/>
        <w:jc w:val="center"/>
        <w:rPr>
          <w:rFonts w:ascii="宋体" w:hAnsi="Cambria" w:cs="宋体"/>
          <w:kern w:val="0"/>
          <w:highlight w:val="none"/>
          <w:lang w:val="zh-CN"/>
        </w:rPr>
      </w:pPr>
      <w:r>
        <w:rPr>
          <w:rFonts w:hint="eastAsia" w:ascii="宋体" w:hAnsi="Cambria" w:cs="宋体"/>
          <w:kern w:val="0"/>
          <w:highlight w:val="none"/>
          <w:lang w:val="zh-CN"/>
        </w:rPr>
        <w:t>根据采购项目内容及评标标准，投标时提供详细的服务方案。</w:t>
      </w:r>
    </w:p>
    <w:p w14:paraId="4AF161AE">
      <w:pPr>
        <w:pStyle w:val="19"/>
        <w:rPr>
          <w:rFonts w:hint="eastAsia" w:hAnsi="宋体" w:cs="宋体"/>
          <w:kern w:val="0"/>
          <w:highlight w:val="none"/>
          <w:lang w:val="zh-CN"/>
        </w:rPr>
      </w:pPr>
    </w:p>
    <w:p w14:paraId="293D2CE6">
      <w:pPr>
        <w:pStyle w:val="19"/>
        <w:rPr>
          <w:rFonts w:hint="eastAsia" w:hAnsi="宋体" w:cs="宋体"/>
          <w:kern w:val="0"/>
          <w:highlight w:val="none"/>
          <w:lang w:val="zh-CN"/>
        </w:rPr>
      </w:pPr>
    </w:p>
    <w:p w14:paraId="2AF0417B">
      <w:pPr>
        <w:pStyle w:val="19"/>
        <w:rPr>
          <w:rFonts w:hint="eastAsia" w:hAnsi="宋体" w:cs="宋体"/>
          <w:kern w:val="0"/>
          <w:highlight w:val="none"/>
          <w:lang w:val="zh-CN"/>
        </w:rPr>
      </w:pPr>
    </w:p>
    <w:p w14:paraId="5E0CE1ED">
      <w:pPr>
        <w:pStyle w:val="19"/>
        <w:rPr>
          <w:rFonts w:hint="eastAsia" w:hAnsi="宋体" w:cs="宋体"/>
          <w:kern w:val="0"/>
          <w:highlight w:val="none"/>
          <w:lang w:val="zh-CN"/>
        </w:rPr>
      </w:pPr>
    </w:p>
    <w:p w14:paraId="2F441D8F">
      <w:pPr>
        <w:pStyle w:val="19"/>
        <w:rPr>
          <w:rFonts w:hint="eastAsia" w:hAnsi="宋体" w:cs="宋体"/>
          <w:kern w:val="0"/>
          <w:highlight w:val="none"/>
          <w:lang w:val="zh-CN"/>
        </w:rPr>
      </w:pPr>
    </w:p>
    <w:p w14:paraId="632ED655">
      <w:pPr>
        <w:pStyle w:val="19"/>
        <w:rPr>
          <w:rFonts w:hint="eastAsia" w:hAnsi="宋体" w:cs="宋体"/>
          <w:kern w:val="0"/>
          <w:highlight w:val="none"/>
          <w:lang w:val="zh-CN"/>
        </w:rPr>
      </w:pPr>
    </w:p>
    <w:p w14:paraId="16E15D7D">
      <w:pPr>
        <w:pStyle w:val="19"/>
        <w:rPr>
          <w:rFonts w:hint="eastAsia" w:hAnsi="宋体" w:cs="宋体"/>
          <w:kern w:val="0"/>
          <w:highlight w:val="none"/>
          <w:lang w:val="zh-CN"/>
        </w:rPr>
      </w:pPr>
    </w:p>
    <w:p w14:paraId="5ECC3962">
      <w:pPr>
        <w:pStyle w:val="19"/>
        <w:rPr>
          <w:rFonts w:hint="eastAsia" w:hAnsi="宋体" w:cs="宋体"/>
          <w:kern w:val="0"/>
          <w:highlight w:val="none"/>
          <w:lang w:val="zh-CN"/>
        </w:rPr>
      </w:pPr>
    </w:p>
    <w:p w14:paraId="5BC24E8C">
      <w:pPr>
        <w:pStyle w:val="19"/>
        <w:rPr>
          <w:rFonts w:hint="eastAsia" w:hAnsi="宋体" w:cs="宋体"/>
          <w:kern w:val="0"/>
          <w:highlight w:val="none"/>
          <w:lang w:val="zh-CN"/>
        </w:rPr>
      </w:pPr>
    </w:p>
    <w:p w14:paraId="484C4AEB">
      <w:pPr>
        <w:pStyle w:val="19"/>
        <w:rPr>
          <w:rFonts w:hint="eastAsia" w:hAnsi="宋体" w:cs="宋体"/>
          <w:kern w:val="0"/>
          <w:highlight w:val="none"/>
          <w:lang w:val="zh-CN"/>
        </w:rPr>
      </w:pPr>
    </w:p>
    <w:p w14:paraId="31E2EF17">
      <w:pPr>
        <w:pStyle w:val="19"/>
        <w:rPr>
          <w:rFonts w:hint="eastAsia" w:hAnsi="宋体" w:cs="宋体"/>
          <w:kern w:val="0"/>
          <w:highlight w:val="none"/>
          <w:lang w:val="zh-CN"/>
        </w:rPr>
      </w:pPr>
    </w:p>
    <w:p w14:paraId="69FB1766">
      <w:pPr>
        <w:pStyle w:val="19"/>
        <w:rPr>
          <w:rFonts w:hint="eastAsia" w:hAnsi="宋体" w:cs="宋体"/>
          <w:kern w:val="0"/>
          <w:highlight w:val="none"/>
          <w:lang w:val="zh-CN"/>
        </w:rPr>
      </w:pPr>
    </w:p>
    <w:p w14:paraId="60BDA049">
      <w:pPr>
        <w:pStyle w:val="19"/>
        <w:rPr>
          <w:rFonts w:hint="eastAsia" w:hAnsi="宋体" w:cs="宋体"/>
          <w:kern w:val="0"/>
          <w:highlight w:val="none"/>
          <w:lang w:val="zh-CN"/>
        </w:rPr>
      </w:pPr>
    </w:p>
    <w:p w14:paraId="65BAF080">
      <w:pPr>
        <w:pStyle w:val="19"/>
        <w:rPr>
          <w:rFonts w:hint="eastAsia" w:hAnsi="宋体" w:cs="宋体"/>
          <w:kern w:val="0"/>
          <w:highlight w:val="none"/>
          <w:lang w:val="zh-CN"/>
        </w:rPr>
      </w:pPr>
    </w:p>
    <w:p w14:paraId="4FA9527D">
      <w:pPr>
        <w:pStyle w:val="19"/>
        <w:rPr>
          <w:rFonts w:hint="eastAsia" w:hAnsi="宋体" w:cs="宋体"/>
          <w:kern w:val="0"/>
          <w:highlight w:val="none"/>
          <w:lang w:val="zh-CN"/>
        </w:rPr>
      </w:pPr>
    </w:p>
    <w:p w14:paraId="2DCE6625">
      <w:pPr>
        <w:pStyle w:val="19"/>
        <w:rPr>
          <w:rFonts w:hint="eastAsia" w:hAnsi="宋体" w:cs="宋体"/>
          <w:kern w:val="0"/>
          <w:highlight w:val="none"/>
          <w:lang w:val="zh-CN"/>
        </w:rPr>
      </w:pPr>
    </w:p>
    <w:p w14:paraId="62316006">
      <w:pPr>
        <w:pStyle w:val="19"/>
        <w:rPr>
          <w:rFonts w:hint="eastAsia" w:hAnsi="宋体" w:cs="宋体"/>
          <w:kern w:val="0"/>
          <w:highlight w:val="none"/>
          <w:lang w:val="zh-CN"/>
        </w:rPr>
      </w:pPr>
    </w:p>
    <w:p w14:paraId="1B3DA411">
      <w:pPr>
        <w:pStyle w:val="19"/>
        <w:rPr>
          <w:rFonts w:hint="eastAsia" w:hAnsi="宋体" w:cs="宋体"/>
          <w:kern w:val="0"/>
          <w:highlight w:val="none"/>
          <w:lang w:val="zh-CN"/>
        </w:rPr>
      </w:pPr>
    </w:p>
    <w:p w14:paraId="26CBEA82">
      <w:pPr>
        <w:pStyle w:val="19"/>
        <w:rPr>
          <w:rFonts w:hint="eastAsia" w:hAnsi="宋体" w:cs="宋体"/>
          <w:kern w:val="0"/>
          <w:highlight w:val="none"/>
          <w:lang w:val="zh-CN"/>
        </w:rPr>
      </w:pPr>
    </w:p>
    <w:p w14:paraId="77F037E4">
      <w:pPr>
        <w:pStyle w:val="19"/>
        <w:rPr>
          <w:rFonts w:hint="eastAsia" w:hAnsi="宋体" w:cs="宋体"/>
          <w:kern w:val="0"/>
          <w:highlight w:val="none"/>
          <w:lang w:val="zh-CN"/>
        </w:rPr>
      </w:pPr>
    </w:p>
    <w:p w14:paraId="559D2EA5">
      <w:pPr>
        <w:pStyle w:val="19"/>
        <w:rPr>
          <w:rFonts w:hint="eastAsia" w:hAnsi="宋体" w:cs="宋体"/>
          <w:kern w:val="0"/>
          <w:highlight w:val="none"/>
          <w:lang w:val="zh-CN"/>
        </w:rPr>
      </w:pPr>
    </w:p>
    <w:p w14:paraId="0A1363DC">
      <w:pPr>
        <w:pStyle w:val="19"/>
        <w:rPr>
          <w:rFonts w:hint="eastAsia" w:hAnsi="宋体" w:cs="宋体"/>
          <w:kern w:val="0"/>
          <w:highlight w:val="none"/>
          <w:lang w:val="zh-CN"/>
        </w:rPr>
      </w:pPr>
    </w:p>
    <w:p w14:paraId="24EAA253">
      <w:pPr>
        <w:pStyle w:val="19"/>
        <w:rPr>
          <w:rFonts w:hint="eastAsia" w:hAnsi="宋体" w:cs="宋体"/>
          <w:kern w:val="0"/>
          <w:highlight w:val="none"/>
          <w:lang w:val="zh-CN"/>
        </w:rPr>
      </w:pPr>
    </w:p>
    <w:p w14:paraId="586214DB">
      <w:pPr>
        <w:pStyle w:val="19"/>
        <w:rPr>
          <w:rFonts w:hint="eastAsia" w:hAnsi="宋体" w:cs="宋体"/>
          <w:kern w:val="0"/>
          <w:highlight w:val="none"/>
          <w:lang w:val="zh-CN"/>
        </w:rPr>
      </w:pPr>
    </w:p>
    <w:p w14:paraId="45C6F312">
      <w:pPr>
        <w:pStyle w:val="19"/>
        <w:rPr>
          <w:rFonts w:hint="eastAsia" w:hAnsi="宋体" w:cs="宋体"/>
          <w:kern w:val="0"/>
          <w:highlight w:val="none"/>
          <w:lang w:val="zh-CN"/>
        </w:rPr>
      </w:pPr>
    </w:p>
    <w:p w14:paraId="7C67C763">
      <w:pPr>
        <w:pStyle w:val="19"/>
        <w:rPr>
          <w:rFonts w:hint="eastAsia" w:hAnsi="宋体" w:cs="宋体"/>
          <w:kern w:val="0"/>
          <w:highlight w:val="none"/>
          <w:lang w:val="zh-CN"/>
        </w:rPr>
      </w:pPr>
    </w:p>
    <w:p w14:paraId="3459169A">
      <w:pPr>
        <w:pStyle w:val="19"/>
        <w:rPr>
          <w:rFonts w:hint="eastAsia" w:hAnsi="宋体" w:cs="宋体"/>
          <w:kern w:val="0"/>
          <w:highlight w:val="none"/>
          <w:lang w:val="zh-CN"/>
        </w:rPr>
      </w:pPr>
    </w:p>
    <w:p w14:paraId="58C4F2AD">
      <w:pPr>
        <w:pStyle w:val="19"/>
        <w:rPr>
          <w:rFonts w:hint="eastAsia" w:hAnsi="宋体" w:cs="宋体"/>
          <w:kern w:val="0"/>
          <w:highlight w:val="none"/>
          <w:lang w:val="zh-CN"/>
        </w:rPr>
      </w:pPr>
    </w:p>
    <w:p w14:paraId="169EC3CC">
      <w:pPr>
        <w:pStyle w:val="19"/>
        <w:rPr>
          <w:rFonts w:hint="eastAsia" w:hAnsi="宋体" w:cs="宋体"/>
          <w:kern w:val="0"/>
          <w:highlight w:val="none"/>
          <w:lang w:val="zh-CN"/>
        </w:rPr>
      </w:pPr>
    </w:p>
    <w:p w14:paraId="63CA20A1">
      <w:pPr>
        <w:pStyle w:val="19"/>
        <w:rPr>
          <w:rFonts w:hint="eastAsia" w:hAnsi="宋体" w:cs="宋体"/>
          <w:kern w:val="0"/>
          <w:highlight w:val="none"/>
          <w:lang w:val="zh-CN"/>
        </w:rPr>
      </w:pPr>
    </w:p>
    <w:p w14:paraId="5C52B12E">
      <w:pPr>
        <w:pStyle w:val="19"/>
        <w:rPr>
          <w:rFonts w:hint="eastAsia" w:hAnsi="宋体" w:cs="宋体"/>
          <w:kern w:val="0"/>
          <w:highlight w:val="none"/>
          <w:lang w:val="zh-CN"/>
        </w:rPr>
      </w:pPr>
    </w:p>
    <w:p w14:paraId="6B6412BE">
      <w:pPr>
        <w:pStyle w:val="19"/>
        <w:rPr>
          <w:rFonts w:hint="eastAsia" w:hAnsi="宋体" w:cs="宋体"/>
          <w:kern w:val="0"/>
          <w:highlight w:val="none"/>
          <w:lang w:val="zh-CN"/>
        </w:rPr>
      </w:pPr>
    </w:p>
    <w:p w14:paraId="792FE57A">
      <w:pPr>
        <w:pStyle w:val="19"/>
        <w:rPr>
          <w:rFonts w:hint="eastAsia" w:hAnsi="宋体" w:cs="宋体"/>
          <w:kern w:val="0"/>
          <w:highlight w:val="none"/>
          <w:lang w:val="zh-CN"/>
        </w:rPr>
      </w:pPr>
    </w:p>
    <w:p w14:paraId="3D836D3C">
      <w:pPr>
        <w:pStyle w:val="19"/>
        <w:rPr>
          <w:rFonts w:hint="eastAsia" w:hAnsi="宋体" w:cs="宋体"/>
          <w:kern w:val="0"/>
          <w:highlight w:val="none"/>
          <w:lang w:val="zh-CN"/>
        </w:rPr>
      </w:pPr>
    </w:p>
    <w:p w14:paraId="760270A2">
      <w:pPr>
        <w:pStyle w:val="19"/>
        <w:rPr>
          <w:rFonts w:hint="eastAsia" w:hAnsi="宋体" w:cs="宋体"/>
          <w:kern w:val="0"/>
          <w:highlight w:val="none"/>
          <w:lang w:val="zh-CN"/>
        </w:rPr>
      </w:pPr>
    </w:p>
    <w:p w14:paraId="56A7EEE3">
      <w:pPr>
        <w:autoSpaceDE w:val="0"/>
        <w:autoSpaceDN w:val="0"/>
        <w:spacing w:line="360" w:lineRule="auto"/>
        <w:outlineLvl w:val="1"/>
        <w:rPr>
          <w:rFonts w:hint="eastAsia" w:ascii="宋体" w:hAnsi="宋体" w:cs="宋体"/>
          <w:b/>
          <w:bCs/>
          <w:sz w:val="30"/>
          <w:szCs w:val="30"/>
          <w:highlight w:val="none"/>
          <w:lang w:val="zh-CN"/>
        </w:rPr>
      </w:pPr>
      <w:r>
        <w:rPr>
          <w:rFonts w:hint="eastAsia" w:ascii="宋体" w:hAnsi="宋体" w:cs="宋体"/>
          <w:b/>
          <w:bCs/>
          <w:sz w:val="30"/>
          <w:szCs w:val="30"/>
          <w:highlight w:val="none"/>
          <w:lang w:val="zh-CN"/>
        </w:rPr>
        <w:t>（</w:t>
      </w:r>
      <w:r>
        <w:rPr>
          <w:rFonts w:hint="eastAsia" w:ascii="宋体" w:hAnsi="宋体" w:cs="宋体"/>
          <w:b/>
          <w:bCs/>
          <w:sz w:val="30"/>
          <w:szCs w:val="30"/>
          <w:highlight w:val="none"/>
        </w:rPr>
        <w:t>1</w:t>
      </w:r>
      <w:r>
        <w:rPr>
          <w:rFonts w:hint="eastAsia" w:ascii="宋体" w:hAnsi="宋体" w:cs="宋体"/>
          <w:b/>
          <w:bCs/>
          <w:sz w:val="30"/>
          <w:szCs w:val="30"/>
          <w:highlight w:val="none"/>
          <w:lang w:val="en-US" w:eastAsia="zh-CN"/>
        </w:rPr>
        <w:t>4</w:t>
      </w:r>
      <w:r>
        <w:rPr>
          <w:rFonts w:hint="eastAsia" w:ascii="宋体" w:hAnsi="宋体" w:cs="宋体"/>
          <w:b/>
          <w:bCs/>
          <w:sz w:val="30"/>
          <w:szCs w:val="30"/>
          <w:highlight w:val="none"/>
          <w:lang w:val="zh-CN"/>
        </w:rPr>
        <w:t>）投标人的业绩证明材料</w:t>
      </w:r>
      <w:bookmarkEnd w:id="190"/>
    </w:p>
    <w:p w14:paraId="03845402">
      <w:pPr>
        <w:autoSpaceDE w:val="0"/>
        <w:autoSpaceDN w:val="0"/>
        <w:spacing w:line="360" w:lineRule="auto"/>
        <w:rPr>
          <w:rFonts w:hint="eastAsia" w:ascii="宋体" w:hAnsi="宋体" w:cs="宋体"/>
          <w:b/>
          <w:bCs/>
          <w:sz w:val="30"/>
          <w:szCs w:val="30"/>
          <w:highlight w:val="none"/>
          <w:lang w:val="zh-CN"/>
        </w:rPr>
      </w:pPr>
    </w:p>
    <w:p w14:paraId="06978687">
      <w:pPr>
        <w:jc w:val="center"/>
        <w:rPr>
          <w:rFonts w:hint="eastAsia" w:ascii="宋体" w:hAnsi="宋体" w:cs="宋体"/>
          <w:kern w:val="0"/>
          <w:sz w:val="28"/>
          <w:szCs w:val="28"/>
          <w:highlight w:val="none"/>
          <w:lang w:val="zh-CN"/>
        </w:rPr>
      </w:pPr>
      <w:r>
        <w:rPr>
          <w:rFonts w:hint="eastAsia" w:ascii="宋体" w:hAnsi="宋体" w:cs="宋体"/>
          <w:b/>
          <w:sz w:val="28"/>
          <w:szCs w:val="28"/>
          <w:highlight w:val="none"/>
          <w:lang w:val="zh-CN"/>
        </w:rPr>
        <w:t>投标人的业绩证明材料</w:t>
      </w:r>
    </w:p>
    <w:p w14:paraId="640952D6">
      <w:pPr>
        <w:autoSpaceDE w:val="0"/>
        <w:autoSpaceDN w:val="0"/>
        <w:spacing w:line="360" w:lineRule="auto"/>
        <w:ind w:firstLine="480"/>
        <w:rPr>
          <w:rFonts w:hint="eastAsia" w:ascii="宋体" w:hAnsi="宋体" w:cs="宋体"/>
          <w:b/>
          <w:bCs/>
          <w:sz w:val="30"/>
          <w:szCs w:val="30"/>
          <w:highlight w:val="none"/>
        </w:rPr>
      </w:pPr>
      <w:r>
        <w:rPr>
          <w:rFonts w:hint="eastAsia" w:ascii="宋体" w:hAnsi="宋体" w:cs="宋体"/>
          <w:kern w:val="0"/>
          <w:highlight w:val="none"/>
          <w:lang w:val="zh-CN"/>
        </w:rPr>
        <w:t>提供自20</w:t>
      </w:r>
      <w:r>
        <w:rPr>
          <w:rFonts w:hint="eastAsia" w:ascii="宋体" w:hAnsi="宋体" w:cs="宋体"/>
          <w:kern w:val="0"/>
          <w:highlight w:val="none"/>
        </w:rPr>
        <w:t>2</w:t>
      </w:r>
      <w:r>
        <w:rPr>
          <w:rFonts w:hint="eastAsia" w:ascii="宋体" w:hAnsi="宋体" w:cs="宋体"/>
          <w:kern w:val="0"/>
          <w:highlight w:val="none"/>
          <w:lang w:val="en-US" w:eastAsia="zh-CN"/>
        </w:rPr>
        <w:t>3</w:t>
      </w:r>
      <w:r>
        <w:rPr>
          <w:rFonts w:hint="eastAsia" w:ascii="宋体" w:hAnsi="宋体" w:cs="宋体"/>
          <w:kern w:val="0"/>
          <w:highlight w:val="none"/>
          <w:lang w:val="zh-CN"/>
        </w:rPr>
        <w:t>年</w:t>
      </w:r>
      <w:r>
        <w:rPr>
          <w:rFonts w:hint="eastAsia" w:ascii="宋体" w:hAnsi="宋体" w:cs="宋体"/>
          <w:kern w:val="0"/>
          <w:highlight w:val="none"/>
        </w:rPr>
        <w:t>01</w:t>
      </w:r>
      <w:r>
        <w:rPr>
          <w:rFonts w:hint="eastAsia" w:ascii="宋体" w:hAnsi="宋体" w:cs="宋体"/>
          <w:kern w:val="0"/>
          <w:highlight w:val="none"/>
          <w:lang w:val="zh-CN"/>
        </w:rPr>
        <w:t>月</w:t>
      </w:r>
      <w:r>
        <w:rPr>
          <w:rFonts w:hint="eastAsia" w:ascii="宋体" w:hAnsi="宋体" w:cs="宋体"/>
          <w:kern w:val="0"/>
          <w:highlight w:val="none"/>
        </w:rPr>
        <w:t>01日</w:t>
      </w:r>
      <w:r>
        <w:rPr>
          <w:rFonts w:hint="eastAsia" w:ascii="宋体" w:hAnsi="宋体" w:cs="宋体"/>
          <w:kern w:val="0"/>
          <w:highlight w:val="none"/>
          <w:lang w:val="zh-CN"/>
        </w:rPr>
        <w:t>以来的业绩证明材料。（</w:t>
      </w:r>
      <w:r>
        <w:rPr>
          <w:rFonts w:hint="eastAsia" w:ascii="宋体" w:hAnsi="宋体" w:cs="宋体"/>
          <w:kern w:val="0"/>
          <w:highlight w:val="none"/>
        </w:rPr>
        <w:t>具体按评分要求提供</w:t>
      </w:r>
      <w:r>
        <w:rPr>
          <w:rFonts w:hint="eastAsia" w:ascii="宋体" w:hAnsi="宋体" w:cs="宋体"/>
          <w:kern w:val="0"/>
          <w:highlight w:val="none"/>
          <w:lang w:val="zh-CN"/>
        </w:rPr>
        <w:t>）</w:t>
      </w:r>
    </w:p>
    <w:p w14:paraId="54BBC77D">
      <w:pPr>
        <w:pStyle w:val="22"/>
        <w:rPr>
          <w:rFonts w:hint="eastAsia" w:ascii="宋体" w:hAnsi="宋体" w:cs="宋体"/>
          <w:b/>
          <w:bCs/>
          <w:sz w:val="30"/>
          <w:szCs w:val="30"/>
          <w:highlight w:val="none"/>
        </w:rPr>
      </w:pPr>
    </w:p>
    <w:p w14:paraId="42E0E7E4">
      <w:pPr>
        <w:pStyle w:val="22"/>
        <w:rPr>
          <w:rFonts w:hint="eastAsia" w:ascii="宋体" w:hAnsi="宋体" w:cs="宋体"/>
          <w:b/>
          <w:bCs/>
          <w:sz w:val="30"/>
          <w:szCs w:val="30"/>
          <w:highlight w:val="none"/>
        </w:rPr>
      </w:pPr>
    </w:p>
    <w:p w14:paraId="1DC6151C">
      <w:pPr>
        <w:pStyle w:val="28"/>
        <w:spacing w:before="0" w:after="0" w:line="360" w:lineRule="auto"/>
        <w:jc w:val="left"/>
        <w:outlineLvl w:val="1"/>
        <w:rPr>
          <w:rFonts w:hint="eastAsia" w:ascii="宋体" w:hAnsi="宋体" w:cs="宋体"/>
          <w:sz w:val="30"/>
          <w:szCs w:val="30"/>
          <w:highlight w:val="none"/>
          <w:lang w:val="zh-CN"/>
        </w:rPr>
      </w:pPr>
      <w:bookmarkStart w:id="193" w:name="_Toc2079"/>
      <w:bookmarkStart w:id="194" w:name="_Toc496626250"/>
      <w:bookmarkStart w:id="195" w:name="_Toc496004044"/>
      <w:bookmarkStart w:id="196" w:name="_Toc16032"/>
    </w:p>
    <w:p w14:paraId="4ADBB8CD">
      <w:pPr>
        <w:pStyle w:val="28"/>
        <w:spacing w:before="0" w:after="0" w:line="360" w:lineRule="auto"/>
        <w:jc w:val="left"/>
        <w:outlineLvl w:val="1"/>
        <w:rPr>
          <w:rFonts w:hint="eastAsia" w:ascii="宋体" w:hAnsi="宋体" w:cs="宋体"/>
          <w:sz w:val="30"/>
          <w:szCs w:val="30"/>
          <w:highlight w:val="none"/>
          <w:lang w:val="zh-CN"/>
        </w:rPr>
      </w:pPr>
    </w:p>
    <w:p w14:paraId="1800D931">
      <w:pPr>
        <w:pStyle w:val="28"/>
        <w:spacing w:before="0" w:after="0" w:line="360" w:lineRule="auto"/>
        <w:jc w:val="left"/>
        <w:outlineLvl w:val="1"/>
        <w:rPr>
          <w:rFonts w:hint="eastAsia" w:ascii="宋体" w:hAnsi="宋体" w:cs="宋体"/>
          <w:sz w:val="30"/>
          <w:szCs w:val="30"/>
          <w:highlight w:val="none"/>
          <w:lang w:val="zh-CN"/>
        </w:rPr>
      </w:pPr>
    </w:p>
    <w:p w14:paraId="23DBE735">
      <w:pPr>
        <w:pStyle w:val="28"/>
        <w:spacing w:before="0" w:after="0" w:line="360" w:lineRule="auto"/>
        <w:jc w:val="left"/>
        <w:outlineLvl w:val="1"/>
        <w:rPr>
          <w:rFonts w:hint="eastAsia" w:ascii="宋体" w:hAnsi="宋体" w:cs="宋体"/>
          <w:sz w:val="30"/>
          <w:szCs w:val="30"/>
          <w:highlight w:val="none"/>
          <w:lang w:val="zh-CN"/>
        </w:rPr>
      </w:pPr>
    </w:p>
    <w:p w14:paraId="0AA95EDC">
      <w:pPr>
        <w:pStyle w:val="28"/>
        <w:spacing w:before="0" w:after="0" w:line="360" w:lineRule="auto"/>
        <w:jc w:val="left"/>
        <w:outlineLvl w:val="1"/>
        <w:rPr>
          <w:rFonts w:hint="eastAsia" w:ascii="宋体" w:hAnsi="宋体" w:cs="宋体"/>
          <w:sz w:val="30"/>
          <w:szCs w:val="30"/>
          <w:highlight w:val="none"/>
          <w:lang w:val="zh-CN"/>
        </w:rPr>
      </w:pPr>
    </w:p>
    <w:p w14:paraId="3698258B">
      <w:pPr>
        <w:pStyle w:val="28"/>
        <w:spacing w:before="0" w:after="0" w:line="360" w:lineRule="auto"/>
        <w:jc w:val="left"/>
        <w:outlineLvl w:val="1"/>
        <w:rPr>
          <w:rFonts w:hint="eastAsia" w:ascii="宋体" w:hAnsi="宋体" w:cs="宋体"/>
          <w:sz w:val="30"/>
          <w:szCs w:val="30"/>
          <w:highlight w:val="none"/>
          <w:lang w:val="zh-CN"/>
        </w:rPr>
      </w:pPr>
    </w:p>
    <w:p w14:paraId="14389A1A">
      <w:pPr>
        <w:pStyle w:val="28"/>
        <w:spacing w:before="0" w:after="0" w:line="360" w:lineRule="auto"/>
        <w:jc w:val="left"/>
        <w:outlineLvl w:val="1"/>
        <w:rPr>
          <w:rFonts w:hint="eastAsia" w:ascii="宋体" w:hAnsi="宋体" w:cs="宋体"/>
          <w:sz w:val="30"/>
          <w:szCs w:val="30"/>
          <w:highlight w:val="none"/>
          <w:lang w:val="zh-CN"/>
        </w:rPr>
      </w:pPr>
    </w:p>
    <w:p w14:paraId="49963FA9">
      <w:pPr>
        <w:pStyle w:val="28"/>
        <w:spacing w:before="0" w:after="0" w:line="360" w:lineRule="auto"/>
        <w:jc w:val="left"/>
        <w:outlineLvl w:val="1"/>
        <w:rPr>
          <w:rFonts w:hint="eastAsia" w:ascii="宋体" w:hAnsi="宋体" w:cs="宋体"/>
          <w:sz w:val="30"/>
          <w:szCs w:val="30"/>
          <w:highlight w:val="none"/>
          <w:lang w:val="zh-CN"/>
        </w:rPr>
      </w:pPr>
    </w:p>
    <w:p w14:paraId="20F69E5C">
      <w:pPr>
        <w:pStyle w:val="28"/>
        <w:spacing w:before="0" w:after="0" w:line="360" w:lineRule="auto"/>
        <w:jc w:val="left"/>
        <w:outlineLvl w:val="1"/>
        <w:rPr>
          <w:rFonts w:hint="eastAsia" w:ascii="宋体" w:hAnsi="宋体" w:cs="宋体"/>
          <w:sz w:val="30"/>
          <w:szCs w:val="30"/>
          <w:highlight w:val="none"/>
          <w:lang w:val="zh-CN"/>
        </w:rPr>
      </w:pPr>
    </w:p>
    <w:p w14:paraId="4F4A151D">
      <w:pPr>
        <w:pStyle w:val="28"/>
        <w:spacing w:before="0" w:after="0" w:line="360" w:lineRule="auto"/>
        <w:jc w:val="left"/>
        <w:outlineLvl w:val="1"/>
        <w:rPr>
          <w:rFonts w:hint="eastAsia" w:ascii="宋体" w:hAnsi="宋体" w:cs="宋体"/>
          <w:sz w:val="30"/>
          <w:szCs w:val="30"/>
          <w:highlight w:val="none"/>
          <w:lang w:val="zh-CN"/>
        </w:rPr>
      </w:pPr>
    </w:p>
    <w:p w14:paraId="50FC01BA">
      <w:pPr>
        <w:pStyle w:val="28"/>
        <w:spacing w:before="0" w:after="0" w:line="360" w:lineRule="auto"/>
        <w:jc w:val="left"/>
        <w:outlineLvl w:val="1"/>
        <w:rPr>
          <w:rFonts w:hint="eastAsia" w:ascii="宋体" w:hAnsi="宋体" w:cs="宋体"/>
          <w:sz w:val="30"/>
          <w:szCs w:val="30"/>
          <w:highlight w:val="none"/>
          <w:lang w:val="zh-CN"/>
        </w:rPr>
      </w:pPr>
    </w:p>
    <w:p w14:paraId="02A37D09">
      <w:pPr>
        <w:rPr>
          <w:rFonts w:hint="eastAsia" w:ascii="宋体" w:hAnsi="宋体" w:cs="宋体"/>
          <w:sz w:val="30"/>
          <w:szCs w:val="30"/>
          <w:highlight w:val="none"/>
          <w:lang w:val="zh-CN"/>
        </w:rPr>
      </w:pPr>
    </w:p>
    <w:p w14:paraId="151B894E">
      <w:pPr>
        <w:rPr>
          <w:rFonts w:hint="eastAsia" w:ascii="宋体" w:hAnsi="宋体" w:cs="宋体"/>
          <w:sz w:val="30"/>
          <w:szCs w:val="30"/>
          <w:highlight w:val="none"/>
          <w:lang w:val="zh-CN"/>
        </w:rPr>
      </w:pPr>
    </w:p>
    <w:p w14:paraId="193EAE45">
      <w:pPr>
        <w:pStyle w:val="28"/>
        <w:spacing w:before="0" w:after="0" w:line="360" w:lineRule="auto"/>
        <w:jc w:val="left"/>
        <w:outlineLvl w:val="1"/>
        <w:rPr>
          <w:rFonts w:hint="eastAsia" w:ascii="宋体" w:hAnsi="宋体" w:cs="宋体"/>
          <w:sz w:val="30"/>
          <w:szCs w:val="30"/>
          <w:highlight w:val="none"/>
          <w:lang w:val="zh-CN"/>
        </w:rPr>
      </w:pPr>
    </w:p>
    <w:p w14:paraId="58BC7DA7">
      <w:pPr>
        <w:pStyle w:val="28"/>
        <w:spacing w:before="0" w:after="0" w:line="360" w:lineRule="auto"/>
        <w:jc w:val="left"/>
        <w:outlineLvl w:val="1"/>
        <w:rPr>
          <w:rFonts w:hint="eastAsia" w:ascii="宋体" w:hAnsi="宋体" w:cs="宋体"/>
          <w:sz w:val="30"/>
          <w:szCs w:val="30"/>
          <w:highlight w:val="none"/>
          <w:lang w:val="zh-CN"/>
        </w:rPr>
      </w:pPr>
    </w:p>
    <w:p w14:paraId="641784B6">
      <w:pPr>
        <w:pStyle w:val="28"/>
        <w:spacing w:before="0" w:after="0" w:line="360" w:lineRule="auto"/>
        <w:jc w:val="left"/>
        <w:outlineLvl w:val="1"/>
        <w:rPr>
          <w:rFonts w:hint="eastAsia" w:ascii="宋体" w:hAnsi="宋体" w:cs="宋体"/>
          <w:sz w:val="30"/>
          <w:szCs w:val="30"/>
          <w:highlight w:val="none"/>
          <w:lang w:val="zh-CN"/>
        </w:rPr>
      </w:pPr>
    </w:p>
    <w:p w14:paraId="4E71B123">
      <w:pPr>
        <w:pStyle w:val="28"/>
        <w:spacing w:before="0" w:after="0" w:line="360" w:lineRule="auto"/>
        <w:jc w:val="left"/>
        <w:outlineLvl w:val="1"/>
        <w:rPr>
          <w:rFonts w:hint="eastAsia" w:ascii="宋体" w:hAnsi="宋体" w:cs="宋体"/>
          <w:sz w:val="30"/>
          <w:szCs w:val="30"/>
          <w:highlight w:val="none"/>
          <w:lang w:val="zh-CN"/>
        </w:rPr>
      </w:pPr>
    </w:p>
    <w:bookmarkEnd w:id="193"/>
    <w:bookmarkEnd w:id="194"/>
    <w:bookmarkEnd w:id="195"/>
    <w:bookmarkEnd w:id="196"/>
    <w:p w14:paraId="4C39E9ED">
      <w:pPr>
        <w:pStyle w:val="28"/>
        <w:spacing w:before="0" w:after="0" w:line="360" w:lineRule="auto"/>
        <w:jc w:val="left"/>
        <w:outlineLvl w:val="1"/>
        <w:rPr>
          <w:rFonts w:hint="eastAsia" w:ascii="宋体" w:hAnsi="宋体" w:cs="宋体"/>
          <w:sz w:val="30"/>
          <w:szCs w:val="30"/>
          <w:highlight w:val="none"/>
          <w:lang w:val="zh-CN"/>
        </w:rPr>
      </w:pPr>
      <w:bookmarkStart w:id="197" w:name="_Toc10593"/>
      <w:bookmarkStart w:id="198" w:name="_Toc743"/>
      <w:r>
        <w:rPr>
          <w:rFonts w:hint="eastAsia" w:ascii="宋体" w:hAnsi="宋体" w:cs="宋体"/>
          <w:sz w:val="30"/>
          <w:szCs w:val="30"/>
          <w:highlight w:val="none"/>
          <w:lang w:val="zh-CN"/>
        </w:rPr>
        <w:t>（1</w:t>
      </w:r>
      <w:r>
        <w:rPr>
          <w:rFonts w:hint="eastAsia" w:ascii="宋体" w:hAnsi="宋体" w:cs="宋体"/>
          <w:sz w:val="30"/>
          <w:szCs w:val="30"/>
          <w:highlight w:val="none"/>
          <w:lang w:val="en-US" w:eastAsia="zh-CN"/>
        </w:rPr>
        <w:t>5</w:t>
      </w:r>
      <w:r>
        <w:rPr>
          <w:rFonts w:hint="eastAsia" w:ascii="宋体" w:hAnsi="宋体" w:cs="宋体"/>
          <w:sz w:val="30"/>
          <w:szCs w:val="30"/>
          <w:highlight w:val="none"/>
          <w:lang w:val="zh-CN"/>
        </w:rPr>
        <w:t>）中小企业声明函</w:t>
      </w:r>
    </w:p>
    <w:p w14:paraId="0C00D72D">
      <w:pPr>
        <w:widowControl/>
        <w:spacing w:before="100" w:beforeAutospacing="1" w:after="100" w:afterAutospacing="1" w:line="435" w:lineRule="atLeast"/>
        <w:ind w:firstLine="562"/>
        <w:jc w:val="center"/>
        <w:rPr>
          <w:rFonts w:ascii="Arial" w:hAnsi="Arial" w:cs="Arial"/>
          <w:color w:val="333333"/>
          <w:sz w:val="21"/>
          <w:szCs w:val="21"/>
          <w:highlight w:val="none"/>
        </w:rPr>
      </w:pPr>
      <w:r>
        <w:rPr>
          <w:rStyle w:val="34"/>
          <w:rFonts w:hint="eastAsia" w:ascii="宋体" w:hAnsi="宋体" w:cs="宋体"/>
          <w:color w:val="333333"/>
          <w:kern w:val="0"/>
          <w:sz w:val="28"/>
          <w:szCs w:val="28"/>
          <w:highlight w:val="none"/>
          <w:shd w:val="clear" w:color="auto" w:fill="FFFFFF"/>
          <w:lang w:bidi="ar"/>
        </w:rPr>
        <w:t>中小企业声明函（工程、服务）</w:t>
      </w:r>
    </w:p>
    <w:p w14:paraId="2E183B14">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本公司（联合体）郑重声明，根据《政府采购促进中小企业发展管理办法》（财库﹝2020﹞46号）的规定，本公司（联合体）参加</w:t>
      </w:r>
      <w:r>
        <w:rPr>
          <w:rFonts w:hint="eastAsia" w:ascii="宋体" w:hAnsi="宋体" w:cs="宋体"/>
          <w:color w:val="333333"/>
          <w:kern w:val="0"/>
          <w:highlight w:val="none"/>
          <w:u w:val="single"/>
          <w:shd w:val="clear" w:color="auto" w:fill="FFFFFF"/>
          <w:lang w:bidi="ar"/>
        </w:rPr>
        <w:t>    （单位名称）</w:t>
      </w:r>
      <w:r>
        <w:rPr>
          <w:rFonts w:hint="eastAsia" w:ascii="宋体" w:hAnsi="宋体" w:cs="宋体"/>
          <w:color w:val="333333"/>
          <w:kern w:val="0"/>
          <w:highlight w:val="none"/>
          <w:shd w:val="clear" w:color="auto" w:fill="FFFFFF"/>
          <w:lang w:bidi="ar"/>
        </w:rPr>
        <w:t>的</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项目名称）采购活动，工程的施工单位全部为符合政策要求的中小企业（或者：服务全部由符合政策要求的中小企业承接）。相关企业（含联合体中的中小企业、签订分包意向协议的中小企业）的具体情况如下：</w:t>
      </w:r>
    </w:p>
    <w:p w14:paraId="03A71EA8">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lang w:bidi="ar"/>
        </w:rPr>
        <w:t>1.   （标的名称）</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val="en-US" w:eastAsia="zh-CN" w:bidi="ar"/>
        </w:rPr>
        <w:t>建筑业</w:t>
      </w:r>
      <w:r>
        <w:rPr>
          <w:rFonts w:hint="eastAsia" w:ascii="宋体" w:hAnsi="宋体" w:cs="宋体"/>
          <w:color w:val="333333"/>
          <w:kern w:val="0"/>
          <w:highlight w:val="none"/>
          <w:u w:val="single"/>
          <w:shd w:val="clear" w:color="auto" w:fill="FFFFFF"/>
          <w:lang w:bidi="ar"/>
        </w:rPr>
        <w:t>（采购文件中明确的所属行业）</w:t>
      </w:r>
      <w:r>
        <w:rPr>
          <w:rFonts w:hint="eastAsia" w:ascii="宋体" w:hAnsi="宋体" w:cs="宋体"/>
          <w:color w:val="333333"/>
          <w:kern w:val="0"/>
          <w:highlight w:val="none"/>
          <w:shd w:val="clear" w:color="auto" w:fill="FFFFFF"/>
          <w:lang w:bidi="ar"/>
        </w:rPr>
        <w:t>；承建（承接）企业为</w:t>
      </w:r>
      <w:r>
        <w:rPr>
          <w:rFonts w:hint="eastAsia" w:ascii="宋体" w:hAnsi="宋体" w:cs="宋体"/>
          <w:color w:val="333333"/>
          <w:kern w:val="0"/>
          <w:highlight w:val="none"/>
          <w:u w:val="single"/>
          <w:shd w:val="clear" w:color="auto" w:fill="FFFFFF"/>
          <w:lang w:bidi="ar"/>
        </w:rPr>
        <w:t>    （企业名称）</w:t>
      </w:r>
      <w:r>
        <w:rPr>
          <w:rFonts w:hint="eastAsia" w:ascii="宋体" w:hAnsi="宋体" w:cs="宋体"/>
          <w:color w:val="333333"/>
          <w:kern w:val="0"/>
          <w:highlight w:val="none"/>
          <w:shd w:val="clear" w:color="auto" w:fill="FFFFFF"/>
          <w:lang w:bidi="ar"/>
        </w:rPr>
        <w:t>，从业人员</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人，营业收入为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万元，资产总额为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万元，属于</w:t>
      </w:r>
      <w:r>
        <w:rPr>
          <w:rFonts w:hint="eastAsia" w:ascii="宋体" w:hAnsi="宋体" w:cs="宋体"/>
          <w:color w:val="333333"/>
          <w:kern w:val="0"/>
          <w:highlight w:val="none"/>
          <w:u w:val="single"/>
          <w:shd w:val="clear" w:color="auto" w:fill="FFFFFF"/>
          <w:lang w:bidi="ar"/>
        </w:rPr>
        <w:t>     （中型企业、小型企业、微型企业）</w:t>
      </w:r>
      <w:r>
        <w:rPr>
          <w:rFonts w:hint="eastAsia" w:ascii="宋体" w:hAnsi="宋体" w:cs="宋体"/>
          <w:color w:val="333333"/>
          <w:kern w:val="0"/>
          <w:highlight w:val="none"/>
          <w:shd w:val="clear" w:color="auto" w:fill="FFFFFF"/>
          <w:lang w:bidi="ar"/>
        </w:rPr>
        <w:t>；</w:t>
      </w:r>
    </w:p>
    <w:p w14:paraId="26F779CB">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2.</w:t>
      </w:r>
      <w:r>
        <w:rPr>
          <w:rFonts w:hint="eastAsia" w:ascii="宋体" w:hAnsi="宋体" w:cs="宋体"/>
          <w:color w:val="333333"/>
          <w:kern w:val="0"/>
          <w:highlight w:val="none"/>
          <w:u w:val="single"/>
          <w:shd w:val="clear" w:color="auto" w:fill="FFFFFF"/>
          <w:lang w:bidi="ar"/>
        </w:rPr>
        <w:t>     （标的名称）</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val="en-US" w:eastAsia="zh-CN" w:bidi="ar"/>
        </w:rPr>
        <w:t xml:space="preserve">   </w:t>
      </w:r>
      <w:r>
        <w:rPr>
          <w:rFonts w:hint="eastAsia" w:ascii="宋体" w:hAnsi="宋体" w:cs="宋体"/>
          <w:color w:val="333333"/>
          <w:kern w:val="0"/>
          <w:highlight w:val="none"/>
          <w:u w:val="single"/>
          <w:shd w:val="clear" w:color="auto" w:fill="FFFFFF"/>
          <w:lang w:bidi="ar"/>
        </w:rPr>
        <w:t>（采购文件中明确的所属行业）</w:t>
      </w:r>
      <w:r>
        <w:rPr>
          <w:rFonts w:hint="eastAsia" w:ascii="宋体" w:hAnsi="宋体" w:cs="宋体"/>
          <w:color w:val="333333"/>
          <w:kern w:val="0"/>
          <w:highlight w:val="none"/>
          <w:shd w:val="clear" w:color="auto" w:fill="FFFFFF"/>
          <w:lang w:bidi="ar"/>
        </w:rPr>
        <w:t>行业；承建（承接）企业为</w:t>
      </w:r>
      <w:r>
        <w:rPr>
          <w:rFonts w:hint="eastAsia" w:ascii="宋体" w:hAnsi="宋体" w:cs="宋体"/>
          <w:color w:val="333333"/>
          <w:kern w:val="0"/>
          <w:highlight w:val="none"/>
          <w:u w:val="single"/>
          <w:shd w:val="clear" w:color="auto" w:fill="FFFFFF"/>
          <w:lang w:bidi="ar"/>
        </w:rPr>
        <w:t>       （企业名称）</w:t>
      </w:r>
      <w:r>
        <w:rPr>
          <w:rFonts w:hint="eastAsia" w:ascii="宋体" w:hAnsi="宋体" w:cs="宋体"/>
          <w:color w:val="333333"/>
          <w:kern w:val="0"/>
          <w:highlight w:val="none"/>
          <w:shd w:val="clear" w:color="auto" w:fill="FFFFFF"/>
          <w:lang w:bidi="ar"/>
        </w:rPr>
        <w:t>，从业人员</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人，营业收入为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万元，资产总额为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w:t>
      </w:r>
      <w:r>
        <w:rPr>
          <w:rFonts w:hint="eastAsia" w:ascii="宋体" w:hAnsi="宋体" w:cs="宋体"/>
          <w:color w:val="333333"/>
          <w:kern w:val="0"/>
          <w:highlight w:val="none"/>
          <w:shd w:val="clear" w:color="auto" w:fill="FFFFFF"/>
          <w:vertAlign w:val="superscript"/>
          <w:lang w:bidi="ar"/>
        </w:rPr>
        <w:t>1</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bidi="ar"/>
        </w:rPr>
        <w:t>     （中型企业、小型企业、微型企业）</w:t>
      </w:r>
      <w:r>
        <w:rPr>
          <w:rFonts w:hint="eastAsia" w:ascii="宋体" w:hAnsi="宋体" w:cs="宋体"/>
          <w:color w:val="333333"/>
          <w:kern w:val="0"/>
          <w:highlight w:val="none"/>
          <w:shd w:val="clear" w:color="auto" w:fill="FFFFFF"/>
          <w:lang w:bidi="ar"/>
        </w:rPr>
        <w:t>；</w:t>
      </w:r>
    </w:p>
    <w:p w14:paraId="125F28BC">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w:t>
      </w:r>
    </w:p>
    <w:p w14:paraId="5810B0B5">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 xml:space="preserve">以上企业，不属于大企业的分支机构，不存在控股股东为大企业的情形，也不存在与大企业的负责人为同一人的情形。 </w:t>
      </w:r>
    </w:p>
    <w:p w14:paraId="6175DE55">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本企业对上述声明内容的真实性负责。如有虚假，将依法承担相应责任。</w:t>
      </w:r>
    </w:p>
    <w:p w14:paraId="19C251FB">
      <w:pPr>
        <w:widowControl/>
        <w:spacing w:before="100" w:beforeAutospacing="1" w:after="100" w:afterAutospacing="1" w:line="435" w:lineRule="atLeast"/>
        <w:ind w:firstLine="480"/>
        <w:jc w:val="right"/>
        <w:rPr>
          <w:b/>
          <w:bCs/>
          <w:highlight w:val="none"/>
        </w:rPr>
      </w:pPr>
    </w:p>
    <w:p w14:paraId="4DBE38C9">
      <w:pPr>
        <w:widowControl/>
        <w:spacing w:before="100" w:beforeAutospacing="1" w:after="100" w:afterAutospacing="1" w:line="435" w:lineRule="atLeast"/>
        <w:ind w:firstLine="480"/>
        <w:jc w:val="righ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企业名称（盖章）：</w:t>
      </w:r>
    </w:p>
    <w:p w14:paraId="463FCE30">
      <w:pPr>
        <w:ind w:firstLine="6720" w:firstLineChars="2800"/>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日 期：</w:t>
      </w:r>
    </w:p>
    <w:p w14:paraId="65AAD80C">
      <w:pPr>
        <w:rPr>
          <w:rFonts w:hint="eastAsia" w:ascii="宋体" w:hAnsi="宋体" w:cs="宋体"/>
          <w:color w:val="333333"/>
          <w:kern w:val="0"/>
          <w:highlight w:val="none"/>
          <w:shd w:val="clear" w:color="auto" w:fill="FFFFFF"/>
          <w:lang w:bidi="ar"/>
        </w:rPr>
      </w:pPr>
    </w:p>
    <w:p w14:paraId="20E4A963">
      <w:pPr>
        <w:spacing w:line="360" w:lineRule="auto"/>
        <w:rPr>
          <w:rFonts w:hint="eastAsia" w:ascii="宋体" w:hAnsi="宋体" w:cs="宋体"/>
          <w:b/>
          <w:bCs/>
          <w:highlight w:val="none"/>
        </w:rPr>
      </w:pPr>
      <w:r>
        <w:rPr>
          <w:rFonts w:hint="eastAsia" w:ascii="宋体" w:hAnsi="宋体" w:cs="宋体"/>
          <w:b/>
          <w:bCs/>
          <w:highlight w:val="none"/>
        </w:rPr>
        <w:t>注：若无此项内容，可不提供此函。</w:t>
      </w:r>
    </w:p>
    <w:p w14:paraId="76982CAE">
      <w:pPr>
        <w:rPr>
          <w:rFonts w:hint="eastAsia" w:ascii="宋体" w:hAnsi="宋体" w:cs="宋体"/>
          <w:color w:val="333333"/>
          <w:kern w:val="0"/>
          <w:highlight w:val="none"/>
          <w:shd w:val="clear" w:color="auto" w:fill="FFFFFF"/>
          <w:lang w:bidi="ar"/>
        </w:rPr>
      </w:pPr>
    </w:p>
    <w:p w14:paraId="174DDF98">
      <w:pPr>
        <w:pStyle w:val="28"/>
        <w:spacing w:before="0" w:after="0" w:line="360" w:lineRule="auto"/>
        <w:jc w:val="left"/>
        <w:outlineLvl w:val="1"/>
        <w:rPr>
          <w:rFonts w:hint="eastAsia" w:ascii="宋体" w:hAnsi="宋体" w:cs="宋体"/>
          <w:sz w:val="30"/>
          <w:szCs w:val="30"/>
          <w:highlight w:val="none"/>
          <w:lang w:val="zh-CN"/>
        </w:rPr>
      </w:pPr>
      <w:bookmarkStart w:id="199" w:name="_Toc5037"/>
      <w:r>
        <w:rPr>
          <w:rFonts w:hint="eastAsia" w:ascii="宋体" w:hAnsi="宋体" w:cs="宋体"/>
          <w:sz w:val="30"/>
          <w:szCs w:val="30"/>
          <w:highlight w:val="none"/>
          <w:lang w:val="zh-CN"/>
        </w:rPr>
        <w:t>（1</w:t>
      </w:r>
      <w:r>
        <w:rPr>
          <w:rFonts w:hint="eastAsia" w:ascii="宋体" w:hAnsi="宋体" w:cs="宋体"/>
          <w:sz w:val="30"/>
          <w:szCs w:val="30"/>
          <w:highlight w:val="none"/>
          <w:lang w:val="en-US" w:eastAsia="zh-CN"/>
        </w:rPr>
        <w:t>6</w:t>
      </w:r>
      <w:r>
        <w:rPr>
          <w:rFonts w:hint="eastAsia" w:ascii="宋体" w:hAnsi="宋体" w:cs="宋体"/>
          <w:sz w:val="30"/>
          <w:szCs w:val="30"/>
          <w:highlight w:val="none"/>
          <w:lang w:val="zh-CN"/>
        </w:rPr>
        <w:t>）残疾人福利性单位声明函</w:t>
      </w:r>
      <w:bookmarkEnd w:id="197"/>
      <w:bookmarkEnd w:id="199"/>
    </w:p>
    <w:p w14:paraId="21879573">
      <w:pPr>
        <w:jc w:val="center"/>
        <w:rPr>
          <w:rFonts w:hint="eastAsia" w:ascii="宋体" w:hAnsi="宋体" w:cs="宋体"/>
          <w:b/>
          <w:sz w:val="36"/>
          <w:szCs w:val="36"/>
          <w:highlight w:val="none"/>
        </w:rPr>
      </w:pPr>
      <w:bookmarkStart w:id="200" w:name="OLE_LINK14"/>
      <w:bookmarkStart w:id="201" w:name="OLE_LINK13"/>
    </w:p>
    <w:p w14:paraId="697D1E56">
      <w:pPr>
        <w:jc w:val="center"/>
        <w:rPr>
          <w:rFonts w:hint="eastAsia" w:ascii="宋体" w:hAnsi="宋体" w:cs="宋体"/>
          <w:b/>
          <w:sz w:val="28"/>
          <w:szCs w:val="28"/>
          <w:highlight w:val="none"/>
        </w:rPr>
      </w:pPr>
      <w:r>
        <w:rPr>
          <w:rFonts w:hint="eastAsia" w:ascii="宋体" w:hAnsi="宋体" w:cs="宋体"/>
          <w:b/>
          <w:sz w:val="28"/>
          <w:szCs w:val="28"/>
          <w:highlight w:val="none"/>
        </w:rPr>
        <w:t>残疾人福利性单位声明函</w:t>
      </w:r>
    </w:p>
    <w:bookmarkEnd w:id="200"/>
    <w:bookmarkEnd w:id="201"/>
    <w:p w14:paraId="0001C6FA">
      <w:pPr>
        <w:spacing w:after="156" w:afterLines="50"/>
        <w:rPr>
          <w:rFonts w:hint="eastAsia" w:ascii="宋体" w:hAnsi="宋体" w:cs="宋体"/>
          <w:bCs/>
          <w:highlight w:val="none"/>
        </w:rPr>
      </w:pPr>
    </w:p>
    <w:p w14:paraId="5F3B105A">
      <w:pPr>
        <w:spacing w:after="156" w:afterLines="50"/>
        <w:rPr>
          <w:rFonts w:hint="eastAsia" w:ascii="宋体" w:hAnsi="宋体" w:cs="宋体"/>
          <w:b/>
          <w:bCs/>
          <w:highlight w:val="none"/>
        </w:rPr>
      </w:pPr>
      <w:r>
        <w:rPr>
          <w:rFonts w:hint="eastAsia" w:ascii="宋体" w:hAnsi="宋体" w:cs="宋体"/>
          <w:b/>
          <w:bCs/>
          <w:highlight w:val="none"/>
        </w:rPr>
        <w:t>致：</w:t>
      </w:r>
      <w:r>
        <w:rPr>
          <w:rFonts w:hint="eastAsia" w:ascii="宋体" w:hAnsi="宋体" w:cs="宋体"/>
          <w:b/>
          <w:bCs/>
          <w:kern w:val="0"/>
          <w:highlight w:val="none"/>
          <w:lang w:val="zh-CN"/>
        </w:rPr>
        <w:t>青海浩驰招标代理有限公司</w:t>
      </w:r>
    </w:p>
    <w:p w14:paraId="77EF3AFD">
      <w:pPr>
        <w:spacing w:line="360" w:lineRule="auto"/>
        <w:ind w:firstLine="480"/>
        <w:rPr>
          <w:rFonts w:hint="eastAsia" w:ascii="宋体" w:hAnsi="宋体" w:cs="宋体"/>
          <w:highlight w:val="none"/>
        </w:rPr>
      </w:pPr>
    </w:p>
    <w:p w14:paraId="2FB6F200">
      <w:pPr>
        <w:spacing w:line="360" w:lineRule="auto"/>
        <w:ind w:firstLine="480"/>
        <w:rPr>
          <w:rFonts w:hint="eastAsia" w:ascii="宋体" w:hAnsi="宋体" w:cs="宋体"/>
          <w:highlight w:val="none"/>
        </w:rPr>
      </w:pPr>
      <w:r>
        <w:rPr>
          <w:rFonts w:hint="eastAsia" w:ascii="宋体" w:hAnsi="宋体" w:cs="宋体"/>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highlight w:val="none"/>
          <w:u w:val="single"/>
        </w:rPr>
        <w:t xml:space="preserve">       </w:t>
      </w:r>
      <w:r>
        <w:rPr>
          <w:rFonts w:hint="eastAsia" w:ascii="宋体" w:hAnsi="宋体" w:cs="宋体"/>
          <w:highlight w:val="none"/>
        </w:rPr>
        <w:t>人，安置的残疾人人数</w:t>
      </w:r>
    </w:p>
    <w:p w14:paraId="186EA7AB">
      <w:pPr>
        <w:spacing w:line="360" w:lineRule="auto"/>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人。且本单位参加______单位的______项目采购活动提供本单位制造的货物（由本单位承担工程/提供服务），或者提供其他残疾人福利性单位制造的货物（不包括使用非残疾人福利性单位注册商标的货物）。</w:t>
      </w:r>
    </w:p>
    <w:p w14:paraId="68231167">
      <w:pPr>
        <w:spacing w:line="360" w:lineRule="auto"/>
        <w:ind w:firstLine="480"/>
        <w:rPr>
          <w:rFonts w:hint="eastAsia" w:ascii="宋体" w:hAnsi="宋体" w:cs="宋体"/>
          <w:highlight w:val="none"/>
        </w:rPr>
      </w:pPr>
      <w:r>
        <w:rPr>
          <w:rFonts w:hint="eastAsia" w:ascii="宋体" w:hAnsi="宋体" w:cs="宋体"/>
          <w:highlight w:val="none"/>
        </w:rPr>
        <w:t>本单位对上述声明的真实性负责。如有虚假，将依法承担相应责任。</w:t>
      </w:r>
    </w:p>
    <w:p w14:paraId="245F84CC">
      <w:pPr>
        <w:spacing w:line="360" w:lineRule="auto"/>
        <w:ind w:firstLine="480"/>
        <w:rPr>
          <w:rFonts w:hint="eastAsia" w:ascii="宋体" w:hAnsi="宋体" w:cs="宋体"/>
          <w:highlight w:val="none"/>
        </w:rPr>
      </w:pPr>
    </w:p>
    <w:p w14:paraId="7F763A8E">
      <w:pPr>
        <w:spacing w:line="360" w:lineRule="auto"/>
        <w:rPr>
          <w:rFonts w:hint="eastAsia" w:ascii="宋体" w:hAnsi="宋体" w:cs="宋体"/>
          <w:b/>
          <w:bCs/>
          <w:highlight w:val="none"/>
        </w:rPr>
      </w:pPr>
      <w:r>
        <w:rPr>
          <w:rFonts w:hint="eastAsia" w:ascii="宋体" w:hAnsi="宋体" w:cs="宋体"/>
          <w:b/>
          <w:bCs/>
          <w:highlight w:val="none"/>
        </w:rPr>
        <w:t>注：若无此项内容，可不提供此函。</w:t>
      </w:r>
    </w:p>
    <w:p w14:paraId="75B15F7B">
      <w:pPr>
        <w:spacing w:line="360" w:lineRule="auto"/>
        <w:ind w:firstLine="480"/>
        <w:rPr>
          <w:rFonts w:hint="eastAsia" w:ascii="宋体" w:hAnsi="宋体" w:cs="宋体"/>
          <w:highlight w:val="none"/>
        </w:rPr>
      </w:pPr>
    </w:p>
    <w:p w14:paraId="30A8E24D">
      <w:pPr>
        <w:spacing w:line="360" w:lineRule="auto"/>
        <w:ind w:firstLine="480"/>
        <w:rPr>
          <w:rFonts w:hint="eastAsia" w:ascii="宋体" w:hAnsi="宋体" w:cs="宋体"/>
          <w:highlight w:val="none"/>
        </w:rPr>
      </w:pPr>
    </w:p>
    <w:p w14:paraId="59FE7E1C">
      <w:pPr>
        <w:spacing w:line="360" w:lineRule="auto"/>
        <w:ind w:firstLine="480"/>
        <w:rPr>
          <w:rFonts w:hint="eastAsia" w:ascii="宋体" w:hAnsi="宋体" w:cs="宋体"/>
          <w:highlight w:val="none"/>
        </w:rPr>
      </w:pPr>
    </w:p>
    <w:p w14:paraId="1338E5B8">
      <w:pPr>
        <w:spacing w:line="360" w:lineRule="auto"/>
        <w:ind w:firstLine="480"/>
        <w:rPr>
          <w:rFonts w:hint="eastAsia" w:ascii="宋体" w:hAnsi="宋体" w:cs="宋体"/>
          <w:highlight w:val="none"/>
        </w:rPr>
      </w:pPr>
    </w:p>
    <w:p w14:paraId="08D18CC1">
      <w:pPr>
        <w:spacing w:line="360" w:lineRule="auto"/>
        <w:ind w:firstLine="480"/>
        <w:rPr>
          <w:rFonts w:hint="eastAsia" w:ascii="宋体" w:hAnsi="宋体" w:cs="宋体"/>
          <w:highlight w:val="none"/>
        </w:rPr>
      </w:pPr>
    </w:p>
    <w:p w14:paraId="6A117179">
      <w:pPr>
        <w:spacing w:line="360" w:lineRule="auto"/>
        <w:ind w:firstLine="480"/>
        <w:rPr>
          <w:rFonts w:hint="eastAsia" w:ascii="宋体" w:hAnsi="宋体" w:cs="宋体"/>
          <w:highlight w:val="none"/>
        </w:rPr>
      </w:pPr>
    </w:p>
    <w:p w14:paraId="3A3B12FD">
      <w:pPr>
        <w:spacing w:line="360" w:lineRule="auto"/>
        <w:ind w:firstLine="480"/>
        <w:rPr>
          <w:rFonts w:hint="eastAsia" w:ascii="宋体" w:hAnsi="宋体" w:cs="宋体"/>
          <w:highlight w:val="none"/>
        </w:rPr>
      </w:pPr>
    </w:p>
    <w:p w14:paraId="07543A32">
      <w:pPr>
        <w:spacing w:line="360" w:lineRule="auto"/>
        <w:jc w:val="center"/>
        <w:rPr>
          <w:rFonts w:hint="eastAsia" w:ascii="宋体" w:hAnsi="宋体" w:cs="宋体"/>
          <w:b/>
          <w:highlight w:val="none"/>
        </w:rPr>
      </w:pPr>
      <w:r>
        <w:rPr>
          <w:rFonts w:hint="eastAsia" w:ascii="宋体" w:hAnsi="宋体" w:cs="宋体"/>
          <w:b/>
          <w:highlight w:val="none"/>
        </w:rPr>
        <w:t xml:space="preserve">                                企业名称：</w:t>
      </w:r>
      <w:r>
        <w:rPr>
          <w:rFonts w:hint="eastAsia" w:ascii="宋体" w:hAnsi="宋体" w:cs="宋体"/>
          <w:kern w:val="0"/>
          <w:sz w:val="28"/>
          <w:szCs w:val="28"/>
          <w:highlight w:val="none"/>
          <w:u w:val="single"/>
        </w:rPr>
        <w:t xml:space="preserve">       </w:t>
      </w:r>
      <w:r>
        <w:rPr>
          <w:rFonts w:hint="eastAsia" w:ascii="宋体" w:hAnsi="宋体" w:cs="宋体"/>
          <w:b/>
          <w:highlight w:val="none"/>
        </w:rPr>
        <w:t>（公章）</w:t>
      </w:r>
    </w:p>
    <w:p w14:paraId="4549522D">
      <w:pPr>
        <w:spacing w:line="360" w:lineRule="auto"/>
        <w:ind w:firstLine="482"/>
        <w:jc w:val="right"/>
        <w:rPr>
          <w:rFonts w:hint="eastAsia" w:ascii="宋体" w:hAnsi="宋体" w:cs="宋体"/>
          <w:b/>
          <w:highlight w:val="none"/>
        </w:rPr>
      </w:pPr>
      <w:r>
        <w:rPr>
          <w:rFonts w:hint="eastAsia" w:ascii="宋体" w:hAnsi="宋体" w:cs="宋体"/>
          <w:b/>
          <w:highlight w:val="none"/>
        </w:rPr>
        <w:t xml:space="preserve">       企业法定代表人：</w:t>
      </w:r>
      <w:r>
        <w:rPr>
          <w:rFonts w:hint="eastAsia" w:ascii="宋体" w:hAnsi="宋体" w:cs="宋体"/>
          <w:kern w:val="0"/>
          <w:sz w:val="28"/>
          <w:szCs w:val="28"/>
          <w:highlight w:val="none"/>
          <w:u w:val="single"/>
        </w:rPr>
        <w:t xml:space="preserve">       </w:t>
      </w:r>
      <w:r>
        <w:rPr>
          <w:rFonts w:hint="eastAsia" w:ascii="宋体" w:hAnsi="宋体" w:cs="宋体"/>
          <w:b/>
          <w:highlight w:val="none"/>
        </w:rPr>
        <w:t>（签字或盖章）</w:t>
      </w:r>
    </w:p>
    <w:p w14:paraId="28E2632A">
      <w:pPr>
        <w:ind w:firstLine="482"/>
        <w:jc w:val="center"/>
        <w:rPr>
          <w:rFonts w:hint="eastAsia" w:ascii="宋体" w:hAnsi="宋体" w:cs="宋体"/>
          <w:b/>
          <w:highlight w:val="none"/>
        </w:rPr>
      </w:pPr>
      <w:r>
        <w:rPr>
          <w:rFonts w:hint="eastAsia" w:ascii="宋体" w:hAnsi="宋体" w:cs="宋体"/>
          <w:b/>
          <w:highlight w:val="none"/>
        </w:rPr>
        <w:t xml:space="preserve">              年   月  日</w:t>
      </w:r>
    </w:p>
    <w:p w14:paraId="1002FB6E">
      <w:pPr>
        <w:pStyle w:val="28"/>
        <w:spacing w:before="0" w:after="0" w:line="360" w:lineRule="auto"/>
        <w:jc w:val="left"/>
        <w:outlineLvl w:val="9"/>
        <w:rPr>
          <w:rFonts w:hint="eastAsia" w:ascii="宋体" w:hAnsi="宋体" w:cs="宋体"/>
          <w:highlight w:val="none"/>
          <w:lang w:val="zh-CN"/>
        </w:rPr>
      </w:pPr>
      <w:r>
        <w:rPr>
          <w:rFonts w:hint="eastAsia" w:ascii="宋体" w:hAnsi="宋体" w:cs="宋体"/>
          <w:highlight w:val="none"/>
          <w:lang w:val="zh-CN"/>
        </w:rPr>
        <w:br w:type="page"/>
      </w:r>
    </w:p>
    <w:p w14:paraId="5D747523">
      <w:pPr>
        <w:pStyle w:val="28"/>
        <w:spacing w:before="0" w:after="0" w:line="360" w:lineRule="auto"/>
        <w:jc w:val="left"/>
        <w:outlineLvl w:val="1"/>
        <w:rPr>
          <w:rFonts w:hint="eastAsia" w:ascii="宋体" w:hAnsi="宋体" w:cs="宋体"/>
          <w:sz w:val="30"/>
          <w:szCs w:val="30"/>
          <w:highlight w:val="none"/>
          <w:lang w:val="zh-CN"/>
        </w:rPr>
      </w:pPr>
      <w:bookmarkStart w:id="202" w:name="_Toc29358"/>
      <w:bookmarkStart w:id="203" w:name="_Toc31190"/>
      <w:r>
        <w:rPr>
          <w:rFonts w:hint="eastAsia" w:ascii="宋体" w:hAnsi="宋体" w:cs="宋体"/>
          <w:sz w:val="30"/>
          <w:szCs w:val="30"/>
          <w:highlight w:val="none"/>
          <w:lang w:val="zh-CN"/>
        </w:rPr>
        <w:t>（</w:t>
      </w:r>
      <w:r>
        <w:rPr>
          <w:rFonts w:hint="eastAsia" w:ascii="宋体" w:hAnsi="宋体" w:cs="宋体"/>
          <w:sz w:val="30"/>
          <w:szCs w:val="30"/>
          <w:highlight w:val="none"/>
        </w:rPr>
        <w:t>1</w:t>
      </w:r>
      <w:r>
        <w:rPr>
          <w:rFonts w:hint="eastAsia" w:ascii="宋体" w:hAnsi="宋体" w:cs="宋体"/>
          <w:sz w:val="30"/>
          <w:szCs w:val="30"/>
          <w:highlight w:val="none"/>
          <w:lang w:val="en-US" w:eastAsia="zh-CN"/>
        </w:rPr>
        <w:t>7</w:t>
      </w:r>
      <w:r>
        <w:rPr>
          <w:rFonts w:hint="eastAsia" w:ascii="宋体" w:hAnsi="宋体" w:cs="宋体"/>
          <w:sz w:val="30"/>
          <w:szCs w:val="30"/>
          <w:highlight w:val="none"/>
          <w:lang w:val="zh-CN"/>
        </w:rPr>
        <w:t>）监狱企业证明资料</w:t>
      </w:r>
      <w:bookmarkEnd w:id="202"/>
    </w:p>
    <w:p w14:paraId="57BEB92C">
      <w:pPr>
        <w:widowControl/>
        <w:spacing w:before="100" w:beforeAutospacing="1" w:after="100" w:afterAutospacing="1" w:line="435" w:lineRule="atLeast"/>
        <w:ind w:firstLine="562"/>
        <w:jc w:val="center"/>
        <w:rPr>
          <w:rStyle w:val="34"/>
          <w:rFonts w:hint="eastAsia" w:ascii="宋体" w:hAnsi="宋体" w:cs="宋体"/>
          <w:color w:val="333333"/>
          <w:kern w:val="0"/>
          <w:sz w:val="28"/>
          <w:szCs w:val="28"/>
          <w:highlight w:val="none"/>
          <w:shd w:val="clear" w:color="auto" w:fill="FFFFFF"/>
          <w:lang w:val="zh-CN" w:bidi="ar"/>
        </w:rPr>
      </w:pPr>
      <w:r>
        <w:rPr>
          <w:rStyle w:val="34"/>
          <w:rFonts w:hint="eastAsia" w:ascii="宋体" w:hAnsi="宋体" w:cs="宋体"/>
          <w:color w:val="333333"/>
          <w:kern w:val="0"/>
          <w:sz w:val="28"/>
          <w:szCs w:val="28"/>
          <w:highlight w:val="none"/>
          <w:shd w:val="clear" w:color="auto" w:fill="FFFFFF"/>
          <w:lang w:val="zh-CN" w:bidi="ar"/>
        </w:rPr>
        <w:t>监狱企业证明资料</w:t>
      </w: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注：投标人参加本次采购活动时，提供虚假监狱企业证明材料的，以提供虚假材料谋取中标处理；若无此项内容可不提供此函。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04" w:name="_Toc22071_WPSOffice_Level3"/>
    </w:p>
    <w:p w14:paraId="2CB9C246">
      <w:pPr>
        <w:spacing w:line="360" w:lineRule="auto"/>
        <w:jc w:val="center"/>
        <w:rPr>
          <w:rFonts w:hint="eastAsia" w:ascii="宋体" w:hAnsi="宋体" w:cs="宋体"/>
          <w:b/>
          <w:highlight w:val="none"/>
        </w:rPr>
      </w:pPr>
    </w:p>
    <w:bookmarkEnd w:id="204"/>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2BF9F590">
      <w:pPr>
        <w:pStyle w:val="28"/>
        <w:spacing w:before="0" w:after="0" w:line="360" w:lineRule="auto"/>
        <w:jc w:val="left"/>
        <w:outlineLvl w:val="9"/>
        <w:rPr>
          <w:rFonts w:hint="eastAsia" w:ascii="宋体" w:hAnsi="宋体" w:cs="宋体"/>
          <w:sz w:val="30"/>
          <w:szCs w:val="30"/>
          <w:highlight w:val="none"/>
        </w:rPr>
      </w:pPr>
    </w:p>
    <w:p w14:paraId="2F4E6F61">
      <w:pPr>
        <w:pStyle w:val="28"/>
        <w:spacing w:before="0" w:after="0" w:line="360" w:lineRule="auto"/>
        <w:jc w:val="left"/>
        <w:outlineLvl w:val="9"/>
        <w:rPr>
          <w:rFonts w:hint="eastAsia" w:ascii="宋体" w:hAnsi="宋体" w:cs="宋体"/>
          <w:sz w:val="30"/>
          <w:szCs w:val="30"/>
          <w:highlight w:val="none"/>
        </w:rPr>
      </w:pPr>
    </w:p>
    <w:p w14:paraId="6F139C73">
      <w:pPr>
        <w:pStyle w:val="28"/>
        <w:spacing w:before="0" w:after="0" w:line="360" w:lineRule="auto"/>
        <w:jc w:val="left"/>
        <w:outlineLvl w:val="9"/>
        <w:rPr>
          <w:rFonts w:hint="eastAsia" w:ascii="宋体" w:hAnsi="宋体" w:cs="宋体"/>
          <w:sz w:val="30"/>
          <w:szCs w:val="30"/>
          <w:highlight w:val="none"/>
        </w:rPr>
      </w:pPr>
    </w:p>
    <w:p w14:paraId="5E65DB2A">
      <w:pPr>
        <w:pStyle w:val="28"/>
        <w:spacing w:before="0" w:after="0" w:line="360" w:lineRule="auto"/>
        <w:jc w:val="left"/>
        <w:outlineLvl w:val="9"/>
        <w:rPr>
          <w:rFonts w:hint="eastAsia" w:ascii="宋体" w:hAnsi="宋体" w:cs="宋体"/>
          <w:sz w:val="30"/>
          <w:szCs w:val="30"/>
          <w:highlight w:val="none"/>
        </w:rPr>
      </w:pPr>
    </w:p>
    <w:p w14:paraId="0495CFF9">
      <w:pPr>
        <w:pStyle w:val="28"/>
        <w:spacing w:before="0" w:after="0" w:line="360" w:lineRule="auto"/>
        <w:jc w:val="left"/>
        <w:outlineLvl w:val="9"/>
        <w:rPr>
          <w:rFonts w:hint="eastAsia" w:ascii="宋体" w:hAnsi="宋体" w:cs="宋体"/>
          <w:sz w:val="30"/>
          <w:szCs w:val="30"/>
          <w:highlight w:val="none"/>
        </w:rPr>
      </w:pPr>
    </w:p>
    <w:p w14:paraId="025844A6">
      <w:pPr>
        <w:pStyle w:val="28"/>
        <w:spacing w:before="0" w:after="0" w:line="360" w:lineRule="auto"/>
        <w:jc w:val="left"/>
        <w:outlineLvl w:val="9"/>
        <w:rPr>
          <w:rFonts w:hint="eastAsia" w:ascii="宋体" w:hAnsi="宋体" w:cs="宋体"/>
          <w:sz w:val="30"/>
          <w:szCs w:val="30"/>
          <w:highlight w:val="none"/>
        </w:rPr>
      </w:pPr>
    </w:p>
    <w:p w14:paraId="0F4E48D5">
      <w:pPr>
        <w:pStyle w:val="28"/>
        <w:spacing w:before="0" w:after="0" w:line="360" w:lineRule="auto"/>
        <w:jc w:val="left"/>
        <w:outlineLvl w:val="9"/>
        <w:rPr>
          <w:rFonts w:hint="eastAsia" w:ascii="宋体" w:hAnsi="宋体" w:cs="宋体"/>
          <w:sz w:val="30"/>
          <w:szCs w:val="30"/>
          <w:highlight w:val="none"/>
        </w:rPr>
      </w:pPr>
    </w:p>
    <w:p w14:paraId="494CD385">
      <w:pPr>
        <w:pStyle w:val="28"/>
        <w:spacing w:before="0" w:after="0" w:line="360" w:lineRule="auto"/>
        <w:jc w:val="left"/>
        <w:outlineLvl w:val="9"/>
        <w:rPr>
          <w:rFonts w:hint="eastAsia" w:ascii="宋体" w:hAnsi="宋体" w:cs="宋体"/>
          <w:sz w:val="30"/>
          <w:szCs w:val="30"/>
          <w:highlight w:val="none"/>
        </w:rPr>
      </w:pPr>
    </w:p>
    <w:p w14:paraId="235B7261">
      <w:pPr>
        <w:pStyle w:val="28"/>
        <w:spacing w:before="0" w:after="0" w:line="360" w:lineRule="auto"/>
        <w:jc w:val="left"/>
        <w:outlineLvl w:val="9"/>
        <w:rPr>
          <w:rFonts w:hint="eastAsia" w:ascii="宋体" w:hAnsi="宋体" w:cs="宋体"/>
          <w:sz w:val="30"/>
          <w:szCs w:val="30"/>
          <w:highlight w:val="none"/>
        </w:rPr>
      </w:pPr>
    </w:p>
    <w:p w14:paraId="063FBDA5">
      <w:pPr>
        <w:pStyle w:val="28"/>
        <w:spacing w:before="0" w:after="0" w:line="360" w:lineRule="auto"/>
        <w:jc w:val="left"/>
        <w:outlineLvl w:val="9"/>
        <w:rPr>
          <w:rFonts w:hint="eastAsia" w:ascii="宋体" w:hAnsi="宋体" w:cs="宋体"/>
          <w:sz w:val="30"/>
          <w:szCs w:val="30"/>
          <w:highlight w:val="none"/>
        </w:rPr>
      </w:pPr>
    </w:p>
    <w:p w14:paraId="0197201B">
      <w:pPr>
        <w:pStyle w:val="28"/>
        <w:spacing w:before="0" w:after="0" w:line="360" w:lineRule="auto"/>
        <w:jc w:val="left"/>
        <w:outlineLvl w:val="9"/>
        <w:rPr>
          <w:rFonts w:hint="eastAsia" w:ascii="宋体" w:hAnsi="宋体" w:cs="宋体"/>
          <w:sz w:val="30"/>
          <w:szCs w:val="30"/>
          <w:highlight w:val="none"/>
        </w:rPr>
      </w:pPr>
    </w:p>
    <w:p w14:paraId="1DB75339">
      <w:pPr>
        <w:pStyle w:val="28"/>
        <w:spacing w:before="0" w:after="0" w:line="360" w:lineRule="auto"/>
        <w:jc w:val="left"/>
        <w:outlineLvl w:val="1"/>
        <w:rPr>
          <w:rFonts w:hint="eastAsia" w:ascii="宋体" w:hAnsi="宋体" w:cs="宋体"/>
          <w:highlight w:val="none"/>
        </w:rPr>
      </w:pPr>
      <w:bookmarkStart w:id="205" w:name="_Toc12187"/>
      <w:r>
        <w:rPr>
          <w:rFonts w:hint="eastAsia" w:ascii="宋体" w:hAnsi="宋体" w:cs="宋体"/>
          <w:sz w:val="30"/>
          <w:szCs w:val="30"/>
          <w:highlight w:val="none"/>
        </w:rPr>
        <w:t>（1</w:t>
      </w:r>
      <w:r>
        <w:rPr>
          <w:rFonts w:hint="eastAsia" w:ascii="宋体" w:hAnsi="宋体" w:cs="宋体"/>
          <w:sz w:val="30"/>
          <w:szCs w:val="30"/>
          <w:highlight w:val="none"/>
          <w:lang w:val="en-US" w:eastAsia="zh-CN"/>
        </w:rPr>
        <w:t>8</w:t>
      </w:r>
      <w:r>
        <w:rPr>
          <w:rFonts w:hint="eastAsia" w:ascii="宋体" w:hAnsi="宋体" w:cs="宋体"/>
          <w:sz w:val="30"/>
          <w:szCs w:val="30"/>
          <w:highlight w:val="none"/>
        </w:rPr>
        <w:t>）</w:t>
      </w:r>
      <w:r>
        <w:rPr>
          <w:rFonts w:hint="eastAsia" w:ascii="宋体" w:hAnsi="宋体" w:cs="宋体"/>
          <w:sz w:val="30"/>
          <w:szCs w:val="30"/>
          <w:highlight w:val="none"/>
          <w:lang w:val="zh-CN"/>
        </w:rPr>
        <w:t>投标人认为在其他方面有必要说明的事项</w:t>
      </w:r>
      <w:bookmarkEnd w:id="198"/>
      <w:bookmarkEnd w:id="203"/>
      <w:bookmarkEnd w:id="205"/>
    </w:p>
    <w:p w14:paraId="1D007A04">
      <w:pPr>
        <w:autoSpaceDE w:val="0"/>
        <w:autoSpaceDN w:val="0"/>
        <w:spacing w:line="360" w:lineRule="auto"/>
        <w:rPr>
          <w:rFonts w:hint="eastAsia" w:ascii="宋体" w:hAnsi="宋体" w:cs="宋体"/>
          <w:kern w:val="0"/>
          <w:sz w:val="28"/>
          <w:szCs w:val="28"/>
          <w:highlight w:val="none"/>
          <w:lang w:val="zh-CN"/>
        </w:rPr>
      </w:pPr>
    </w:p>
    <w:p w14:paraId="3655B54C">
      <w:pPr>
        <w:jc w:val="center"/>
        <w:rPr>
          <w:rFonts w:hint="eastAsia" w:ascii="宋体" w:hAnsi="宋体" w:cs="宋体"/>
          <w:b/>
          <w:sz w:val="28"/>
          <w:szCs w:val="28"/>
          <w:highlight w:val="none"/>
          <w:lang w:val="zh-CN"/>
        </w:rPr>
      </w:pPr>
      <w:r>
        <w:rPr>
          <w:rFonts w:hint="eastAsia" w:ascii="宋体" w:hAnsi="宋体" w:cs="宋体"/>
          <w:b/>
          <w:sz w:val="28"/>
          <w:szCs w:val="28"/>
          <w:highlight w:val="none"/>
          <w:lang w:val="zh-CN"/>
        </w:rPr>
        <w:t>投标人认为在其他方面有必要说明的事项</w:t>
      </w:r>
    </w:p>
    <w:p w14:paraId="1118EB88">
      <w:pPr>
        <w:autoSpaceDE w:val="0"/>
        <w:autoSpaceDN w:val="0"/>
        <w:spacing w:line="360" w:lineRule="auto"/>
        <w:rPr>
          <w:rFonts w:hint="eastAsia" w:ascii="宋体" w:hAnsi="宋体" w:cs="宋体"/>
          <w:highlight w:val="none"/>
          <w:lang w:val="zh-CN"/>
        </w:rPr>
      </w:pPr>
      <w:r>
        <w:rPr>
          <w:rFonts w:hint="eastAsia" w:ascii="宋体" w:hAnsi="宋体" w:cs="宋体"/>
          <w:highlight w:val="none"/>
          <w:lang w:val="zh-CN"/>
        </w:rPr>
        <w:t>格式自定</w:t>
      </w:r>
    </w:p>
    <w:p w14:paraId="04108425">
      <w:pPr>
        <w:pStyle w:val="28"/>
        <w:spacing w:before="0" w:after="0" w:line="480" w:lineRule="auto"/>
        <w:rPr>
          <w:rFonts w:hint="eastAsia" w:ascii="宋体" w:hAnsi="宋体" w:cs="宋体"/>
          <w:sz w:val="30"/>
          <w:szCs w:val="30"/>
          <w:highlight w:val="none"/>
          <w:lang w:val="zh-CN"/>
        </w:rPr>
      </w:pPr>
      <w:r>
        <w:rPr>
          <w:rFonts w:hint="eastAsia" w:ascii="宋体" w:hAnsi="宋体" w:cs="宋体"/>
          <w:highlight w:val="none"/>
          <w:lang w:val="zh-CN"/>
        </w:rPr>
        <w:br w:type="page"/>
      </w:r>
      <w:bookmarkStart w:id="206" w:name="_Toc18752"/>
      <w:bookmarkStart w:id="207" w:name="_Toc14121"/>
      <w:bookmarkStart w:id="208" w:name="_Toc3639"/>
      <w:r>
        <w:rPr>
          <w:rFonts w:hint="eastAsia" w:ascii="宋体" w:hAnsi="宋体" w:cs="宋体"/>
          <w:sz w:val="30"/>
          <w:szCs w:val="30"/>
          <w:highlight w:val="none"/>
          <w:lang w:val="zh-CN"/>
        </w:rPr>
        <w:t>第五部分  采购项目</w:t>
      </w:r>
      <w:bookmarkEnd w:id="206"/>
      <w:bookmarkStart w:id="209" w:name="_Toc9451"/>
      <w:r>
        <w:rPr>
          <w:rFonts w:hint="eastAsia" w:ascii="宋体" w:hAnsi="宋体" w:cs="宋体"/>
          <w:sz w:val="30"/>
          <w:szCs w:val="30"/>
          <w:highlight w:val="none"/>
          <w:lang w:val="zh-CN"/>
        </w:rPr>
        <w:t>要求及</w:t>
      </w:r>
      <w:r>
        <w:rPr>
          <w:rFonts w:hint="eastAsia" w:ascii="宋体" w:hAnsi="宋体" w:cs="宋体"/>
          <w:sz w:val="30"/>
          <w:szCs w:val="30"/>
          <w:highlight w:val="none"/>
        </w:rPr>
        <w:t>服务内容</w:t>
      </w:r>
      <w:bookmarkEnd w:id="207"/>
      <w:bookmarkEnd w:id="208"/>
    </w:p>
    <w:p w14:paraId="08AA3AB7">
      <w:pPr>
        <w:pStyle w:val="28"/>
        <w:spacing w:before="0" w:after="0" w:line="480" w:lineRule="auto"/>
        <w:outlineLvl w:val="9"/>
        <w:rPr>
          <w:rFonts w:hint="eastAsia" w:ascii="宋体" w:hAnsi="宋体" w:cs="宋体"/>
          <w:highlight w:val="none"/>
          <w:lang w:val="zh-CN"/>
        </w:rPr>
      </w:pPr>
    </w:p>
    <w:p w14:paraId="059B2599">
      <w:pPr>
        <w:pStyle w:val="28"/>
        <w:spacing w:before="0" w:after="0" w:line="480" w:lineRule="auto"/>
        <w:outlineLvl w:val="1"/>
        <w:rPr>
          <w:rFonts w:hint="eastAsia" w:ascii="宋体" w:hAnsi="宋体" w:cs="宋体"/>
          <w:sz w:val="28"/>
          <w:szCs w:val="28"/>
          <w:highlight w:val="none"/>
        </w:rPr>
      </w:pPr>
      <w:bookmarkStart w:id="210" w:name="_Toc2218"/>
      <w:bookmarkStart w:id="211" w:name="_Toc32522"/>
      <w:r>
        <w:rPr>
          <w:rFonts w:hint="eastAsia" w:ascii="宋体" w:hAnsi="宋体" w:cs="宋体"/>
          <w:sz w:val="28"/>
          <w:szCs w:val="28"/>
          <w:highlight w:val="none"/>
          <w:lang w:val="zh-CN"/>
        </w:rPr>
        <w:t>（一）投标要求</w:t>
      </w:r>
      <w:bookmarkEnd w:id="209"/>
      <w:bookmarkEnd w:id="210"/>
      <w:bookmarkEnd w:id="211"/>
    </w:p>
    <w:p w14:paraId="2BFE0B04">
      <w:pPr>
        <w:pStyle w:val="28"/>
        <w:spacing w:before="0" w:after="0" w:line="560" w:lineRule="exact"/>
        <w:jc w:val="left"/>
        <w:outlineLvl w:val="1"/>
        <w:rPr>
          <w:rFonts w:hint="eastAsia" w:ascii="宋体" w:hAnsi="宋体" w:cs="宋体"/>
          <w:sz w:val="24"/>
          <w:szCs w:val="24"/>
          <w:highlight w:val="none"/>
          <w:lang w:val="zh-CN"/>
        </w:rPr>
      </w:pPr>
      <w:r>
        <w:rPr>
          <w:rFonts w:hint="eastAsia" w:ascii="宋体" w:hAnsi="宋体" w:cs="宋体"/>
          <w:sz w:val="28"/>
          <w:szCs w:val="28"/>
          <w:highlight w:val="none"/>
        </w:rPr>
        <w:t xml:space="preserve">  </w:t>
      </w:r>
      <w:bookmarkStart w:id="212" w:name="_Toc4907"/>
      <w:bookmarkStart w:id="213" w:name="_Toc17418"/>
      <w:bookmarkStart w:id="214" w:name="_Toc13273"/>
      <w:r>
        <w:rPr>
          <w:rFonts w:hint="eastAsia" w:ascii="宋体" w:hAnsi="宋体" w:cs="宋体"/>
          <w:sz w:val="24"/>
          <w:szCs w:val="24"/>
          <w:highlight w:val="none"/>
          <w:lang w:val="zh-CN"/>
        </w:rPr>
        <w:t>1.投标说明</w:t>
      </w:r>
      <w:bookmarkEnd w:id="212"/>
      <w:bookmarkEnd w:id="213"/>
      <w:bookmarkEnd w:id="214"/>
    </w:p>
    <w:p w14:paraId="4BF96747">
      <w:pPr>
        <w:spacing w:line="560" w:lineRule="exact"/>
        <w:ind w:firstLine="480" w:firstLineChars="200"/>
        <w:rPr>
          <w:rFonts w:hint="eastAsia" w:ascii="宋体" w:hAnsi="宋体" w:cs="宋体"/>
          <w:highlight w:val="none"/>
        </w:rPr>
      </w:pPr>
      <w:r>
        <w:rPr>
          <w:rFonts w:hint="eastAsia" w:ascii="宋体" w:hAnsi="宋体" w:cs="宋体"/>
          <w:highlight w:val="none"/>
          <w:lang w:val="zh-CN"/>
        </w:rPr>
        <w:t>1.1</w:t>
      </w:r>
      <w:r>
        <w:rPr>
          <w:rFonts w:hint="eastAsia" w:ascii="宋体" w:hAnsi="宋体" w:cs="宋体"/>
          <w:highlight w:val="none"/>
        </w:rPr>
        <w:t xml:space="preserve"> </w:t>
      </w:r>
      <w:r>
        <w:rPr>
          <w:rFonts w:hint="eastAsia" w:ascii="宋体" w:hAnsi="宋体" w:cs="宋体"/>
          <w:highlight w:val="none"/>
          <w:lang w:val="zh-CN"/>
        </w:rPr>
        <w:t>投标人</w:t>
      </w:r>
      <w:r>
        <w:rPr>
          <w:rFonts w:hint="eastAsia" w:ascii="宋体" w:hAnsi="宋体" w:cs="宋体"/>
          <w:highlight w:val="none"/>
        </w:rPr>
        <w:t>对本招标文件中所有内容必须作为一个整体进行投标,不能拆分或少报,否则投标无效。</w:t>
      </w:r>
    </w:p>
    <w:p w14:paraId="39FBEBEE">
      <w:pPr>
        <w:spacing w:line="560" w:lineRule="exact"/>
        <w:ind w:firstLine="480" w:firstLineChars="200"/>
        <w:rPr>
          <w:rFonts w:hint="eastAsia" w:ascii="宋体" w:hAnsi="宋体" w:cs="宋体"/>
          <w:highlight w:val="none"/>
        </w:rPr>
      </w:pPr>
      <w:r>
        <w:rPr>
          <w:rFonts w:hint="eastAsia" w:ascii="宋体" w:hAnsi="宋体" w:cs="宋体"/>
          <w:highlight w:val="none"/>
          <w:lang w:val="zh-CN"/>
        </w:rPr>
        <w:t>1.2</w:t>
      </w:r>
      <w:r>
        <w:rPr>
          <w:rFonts w:hint="eastAsia" w:ascii="宋体" w:hAnsi="宋体" w:cs="宋体"/>
          <w:highlight w:val="none"/>
        </w:rPr>
        <w:t xml:space="preserve"> 有关投标服务内容必须满足或实质上优于本招标文件的要求。</w:t>
      </w:r>
    </w:p>
    <w:p w14:paraId="1096DAD6">
      <w:pPr>
        <w:spacing w:line="560" w:lineRule="exact"/>
        <w:ind w:firstLine="480" w:firstLineChars="200"/>
        <w:rPr>
          <w:rFonts w:hint="eastAsia" w:ascii="宋体" w:hAnsi="宋体" w:cs="宋体"/>
          <w:highlight w:val="none"/>
          <w:lang w:val="zh-CN"/>
        </w:rPr>
      </w:pPr>
      <w:r>
        <w:rPr>
          <w:rFonts w:hint="eastAsia" w:ascii="宋体" w:hAnsi="宋体" w:cs="宋体"/>
          <w:highlight w:val="none"/>
          <w:lang w:val="zh-CN"/>
        </w:rPr>
        <w:t>1.</w:t>
      </w:r>
      <w:r>
        <w:rPr>
          <w:rFonts w:hint="eastAsia" w:ascii="宋体" w:hAnsi="宋体" w:cs="宋体"/>
          <w:highlight w:val="none"/>
        </w:rPr>
        <w:t>3 所投产品或其任何一部分不得侵犯专利权、著作权、商标权和工业设计权等知识产权。</w:t>
      </w:r>
    </w:p>
    <w:p w14:paraId="06560143">
      <w:pPr>
        <w:spacing w:line="560" w:lineRule="exact"/>
        <w:ind w:firstLine="482" w:firstLineChars="200"/>
        <w:rPr>
          <w:rFonts w:hint="eastAsia" w:ascii="宋体" w:hAnsi="宋体" w:cs="宋体"/>
          <w:b/>
          <w:bCs/>
          <w:highlight w:val="none"/>
          <w:lang w:val="zh-CN"/>
        </w:rPr>
      </w:pPr>
      <w:r>
        <w:rPr>
          <w:rFonts w:hint="eastAsia" w:ascii="宋体" w:hAnsi="宋体" w:cs="宋体"/>
          <w:b/>
          <w:bCs/>
          <w:highlight w:val="none"/>
        </w:rPr>
        <w:t>2</w:t>
      </w:r>
      <w:r>
        <w:rPr>
          <w:rFonts w:hint="eastAsia" w:ascii="宋体" w:hAnsi="宋体" w:cs="宋体"/>
          <w:b/>
          <w:bCs/>
          <w:highlight w:val="none"/>
          <w:lang w:val="zh-CN"/>
        </w:rPr>
        <w:t>、商务要求</w:t>
      </w:r>
    </w:p>
    <w:p w14:paraId="2C7B1FB0">
      <w:pPr>
        <w:autoSpaceDE w:val="0"/>
        <w:autoSpaceDN w:val="0"/>
        <w:spacing w:line="360" w:lineRule="auto"/>
        <w:ind w:firstLine="480" w:firstLineChars="200"/>
        <w:rPr>
          <w:rFonts w:hint="default" w:ascii="宋体" w:hAnsi="宋体" w:eastAsia="宋体" w:cs="宋体"/>
          <w:highlight w:val="none"/>
          <w:lang w:val="en-US" w:eastAsia="zh-CN"/>
        </w:rPr>
      </w:pP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lang w:val="en-US" w:eastAsia="zh-CN"/>
        </w:rPr>
        <w:t xml:space="preserve">1 </w:t>
      </w:r>
      <w:r>
        <w:rPr>
          <w:rFonts w:hint="eastAsia" w:ascii="宋体" w:hAnsi="宋体" w:cs="宋体"/>
          <w:highlight w:val="none"/>
        </w:rPr>
        <w:t>服务</w:t>
      </w:r>
      <w:r>
        <w:rPr>
          <w:rFonts w:hint="eastAsia" w:ascii="宋体" w:hAnsi="宋体" w:cs="宋体"/>
          <w:highlight w:val="none"/>
          <w:lang w:val="zh-CN"/>
        </w:rPr>
        <w:t>期</w:t>
      </w:r>
      <w:r>
        <w:rPr>
          <w:rFonts w:hint="eastAsia" w:ascii="宋体" w:hAnsi="宋体" w:cs="宋体"/>
          <w:highlight w:val="none"/>
          <w:lang w:val="en-US" w:eastAsia="zh-CN"/>
        </w:rPr>
        <w:t>限</w:t>
      </w:r>
      <w:r>
        <w:rPr>
          <w:rFonts w:hint="eastAsia" w:ascii="宋体" w:hAnsi="宋体" w:cs="宋体"/>
          <w:highlight w:val="none"/>
          <w:lang w:val="zh-CN"/>
        </w:rPr>
        <w:t>：</w:t>
      </w:r>
      <w:r>
        <w:rPr>
          <w:rFonts w:hint="eastAsia" w:ascii="宋体" w:hAnsi="宋体" w:cs="宋体"/>
          <w:highlight w:val="none"/>
          <w:lang w:val="en-US" w:eastAsia="zh-CN"/>
        </w:rPr>
        <w:t>自签订合同之日起1年</w:t>
      </w:r>
    </w:p>
    <w:p w14:paraId="0A7B6D32">
      <w:pPr>
        <w:spacing w:line="360" w:lineRule="auto"/>
        <w:ind w:firstLine="480" w:firstLineChars="200"/>
        <w:rPr>
          <w:rFonts w:hint="eastAsia" w:ascii="宋体" w:hAnsi="宋体" w:cs="宋体"/>
          <w:highlight w:val="none"/>
          <w:lang w:val="zh-CN"/>
        </w:rPr>
      </w:pP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lang w:val="en-US" w:eastAsia="zh-CN"/>
        </w:rPr>
        <w:t xml:space="preserve">2 </w:t>
      </w:r>
      <w:r>
        <w:rPr>
          <w:rFonts w:hint="eastAsia" w:ascii="宋体" w:hAnsi="宋体" w:cs="宋体"/>
          <w:highlight w:val="none"/>
          <w:lang w:val="zh-CN"/>
        </w:rPr>
        <w:t>服务地点：采购人指定服务区域。</w:t>
      </w:r>
    </w:p>
    <w:p w14:paraId="3C18CADD">
      <w:pPr>
        <w:autoSpaceDE w:val="0"/>
        <w:autoSpaceDN w:val="0"/>
        <w:spacing w:line="360" w:lineRule="auto"/>
        <w:ind w:firstLine="480" w:firstLineChars="200"/>
        <w:rPr>
          <w:rFonts w:hint="eastAsia" w:ascii="宋体" w:hAnsi="宋体" w:cs="宋体"/>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.付款方式：</w:t>
      </w:r>
      <w:r>
        <w:rPr>
          <w:rFonts w:hint="eastAsia" w:ascii="宋体" w:hAnsi="宋体" w:cs="宋体"/>
          <w:color w:val="000000"/>
          <w:kern w:val="0"/>
          <w:highlight w:val="none"/>
        </w:rPr>
        <w:t>详见“第三部分  青海省政府采购项目合同书范本”中“四、付款方式”的规定</w:t>
      </w:r>
      <w:r>
        <w:rPr>
          <w:rFonts w:hint="eastAsia" w:ascii="宋体" w:hAnsi="宋体" w:cs="宋体"/>
          <w:highlight w:val="none"/>
        </w:rPr>
        <w:t>。</w:t>
      </w:r>
    </w:p>
    <w:p w14:paraId="15C75AD5">
      <w:pPr>
        <w:autoSpaceDE w:val="0"/>
        <w:autoSpaceDN w:val="0"/>
        <w:spacing w:line="360" w:lineRule="auto"/>
        <w:ind w:firstLine="482" w:firstLineChars="200"/>
        <w:rPr>
          <w:rFonts w:hint="eastAsia" w:ascii="宋体" w:hAnsi="宋体" w:eastAsia="宋体" w:cs="宋体"/>
          <w:b/>
          <w:bCs/>
          <w:kern w:val="0"/>
          <w:highlight w:val="none"/>
          <w:lang w:val="en-US" w:eastAsia="zh-CN"/>
        </w:rPr>
      </w:pPr>
      <w:bookmarkStart w:id="215" w:name="_Toc12299"/>
      <w:r>
        <w:rPr>
          <w:rFonts w:hint="eastAsia" w:ascii="宋体" w:hAnsi="宋体" w:cs="宋体"/>
          <w:b/>
          <w:bCs/>
          <w:kern w:val="0"/>
          <w:highlight w:val="none"/>
          <w:lang w:val="en-US" w:eastAsia="zh-CN"/>
        </w:rPr>
        <w:t xml:space="preserve">2.4 </w:t>
      </w:r>
      <w:r>
        <w:rPr>
          <w:rFonts w:hint="eastAsia" w:ascii="宋体" w:hAnsi="宋体" w:eastAsia="宋体" w:cs="宋体"/>
          <w:b/>
          <w:bCs/>
          <w:kern w:val="0"/>
          <w:highlight w:val="none"/>
          <w:lang w:val="en-US" w:eastAsia="zh-CN"/>
        </w:rPr>
        <w:t>本项目报价按照采购预算控制单价</w:t>
      </w:r>
      <w:r>
        <w:rPr>
          <w:rFonts w:hint="eastAsia" w:ascii="宋体" w:hAnsi="宋体" w:cs="宋体"/>
          <w:b/>
          <w:bCs/>
          <w:kern w:val="0"/>
          <w:highlight w:val="none"/>
          <w:lang w:val="en-US" w:eastAsia="zh-CN"/>
        </w:rPr>
        <w:t>合计</w:t>
      </w:r>
      <w:r>
        <w:rPr>
          <w:rFonts w:hint="eastAsia" w:ascii="宋体" w:hAnsi="宋体" w:eastAsia="宋体" w:cs="宋体"/>
          <w:b/>
          <w:bCs/>
          <w:kern w:val="0"/>
          <w:highlight w:val="none"/>
          <w:lang w:val="en-US" w:eastAsia="zh-CN"/>
        </w:rPr>
        <w:t>进行报价，采购预算控制单价</w:t>
      </w:r>
      <w:r>
        <w:rPr>
          <w:rFonts w:hint="eastAsia" w:ascii="宋体" w:hAnsi="宋体" w:cs="宋体"/>
          <w:b/>
          <w:bCs/>
          <w:kern w:val="0"/>
          <w:highlight w:val="none"/>
          <w:lang w:val="en-US" w:eastAsia="zh-CN"/>
        </w:rPr>
        <w:t>合计</w:t>
      </w:r>
      <w:r>
        <w:rPr>
          <w:rFonts w:hint="eastAsia" w:ascii="宋体" w:hAnsi="宋体" w:eastAsia="宋体" w:cs="宋体"/>
          <w:b/>
          <w:bCs/>
          <w:kern w:val="0"/>
          <w:highlight w:val="none"/>
          <w:lang w:val="en-US" w:eastAsia="zh-CN"/>
        </w:rPr>
        <w:t>为17331.62元，投标单价</w:t>
      </w:r>
      <w:r>
        <w:rPr>
          <w:rFonts w:hint="eastAsia" w:ascii="宋体" w:hAnsi="宋体" w:cs="宋体"/>
          <w:b/>
          <w:bCs/>
          <w:kern w:val="0"/>
          <w:highlight w:val="none"/>
          <w:lang w:val="en-US" w:eastAsia="zh-CN"/>
        </w:rPr>
        <w:t>合计</w:t>
      </w:r>
      <w:r>
        <w:rPr>
          <w:rFonts w:hint="eastAsia" w:ascii="宋体" w:hAnsi="宋体" w:eastAsia="宋体" w:cs="宋体"/>
          <w:b/>
          <w:bCs/>
          <w:kern w:val="0"/>
          <w:highlight w:val="none"/>
          <w:lang w:val="en-US" w:eastAsia="zh-CN"/>
        </w:rPr>
        <w:t>不得高于采购预算控制单价</w:t>
      </w:r>
      <w:r>
        <w:rPr>
          <w:rFonts w:hint="eastAsia" w:ascii="宋体" w:hAnsi="宋体" w:cs="宋体"/>
          <w:b/>
          <w:bCs/>
          <w:kern w:val="0"/>
          <w:highlight w:val="none"/>
          <w:lang w:val="en-US" w:eastAsia="zh-CN"/>
        </w:rPr>
        <w:t>合计</w:t>
      </w:r>
      <w:r>
        <w:rPr>
          <w:rFonts w:hint="eastAsia" w:ascii="宋体" w:hAnsi="宋体" w:eastAsia="宋体" w:cs="宋体"/>
          <w:b/>
          <w:bCs/>
          <w:kern w:val="0"/>
          <w:highlight w:val="none"/>
          <w:lang w:val="en-US" w:eastAsia="zh-CN"/>
        </w:rPr>
        <w:t>。投标文件不满足以上条件的视为无效投标。</w:t>
      </w:r>
    </w:p>
    <w:p w14:paraId="66DE69F5">
      <w:pPr>
        <w:pStyle w:val="28"/>
        <w:spacing w:before="0" w:after="0" w:line="560" w:lineRule="exact"/>
        <w:jc w:val="both"/>
        <w:outlineLvl w:val="9"/>
        <w:rPr>
          <w:rFonts w:hint="default" w:ascii="宋体" w:hAnsi="宋体" w:eastAsia="宋体" w:cs="宋体"/>
          <w:sz w:val="32"/>
          <w:highlight w:val="none"/>
          <w:lang w:val="en-US" w:eastAsia="zh-CN"/>
        </w:rPr>
      </w:pPr>
      <w:r>
        <w:rPr>
          <w:rFonts w:hint="eastAsia" w:ascii="宋体" w:hAnsi="宋体" w:cs="宋体"/>
          <w:sz w:val="32"/>
          <w:highlight w:val="none"/>
          <w:lang w:val="en-US" w:eastAsia="zh-CN"/>
        </w:rPr>
        <w:t xml:space="preserve">  </w:t>
      </w:r>
      <w:r>
        <w:rPr>
          <w:rFonts w:hint="eastAsia" w:ascii="宋体" w:hAnsi="宋体" w:eastAsia="宋体" w:cs="宋体"/>
          <w:b w:val="0"/>
          <w:bCs w:val="0"/>
          <w:color w:val="000000"/>
          <w:kern w:val="0"/>
          <w:sz w:val="24"/>
          <w:szCs w:val="24"/>
          <w:highlight w:val="none"/>
          <w:lang w:val="en-US" w:eastAsia="zh-CN" w:bidi="ar-SA"/>
        </w:rPr>
        <w:t xml:space="preserve"> 2.5</w:t>
      </w:r>
      <w:r>
        <w:rPr>
          <w:rFonts w:hint="eastAsia" w:ascii="宋体" w:hAnsi="宋体" w:cs="宋体"/>
          <w:b w:val="0"/>
          <w:bCs w:val="0"/>
          <w:color w:val="000000"/>
          <w:kern w:val="0"/>
          <w:sz w:val="24"/>
          <w:szCs w:val="24"/>
          <w:highlight w:val="non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质保</w:t>
      </w:r>
      <w:r>
        <w:rPr>
          <w:rFonts w:hint="eastAsia" w:ascii="宋体" w:hAnsi="宋体" w:eastAsia="宋体" w:cs="宋体"/>
          <w:b w:val="0"/>
          <w:bCs w:val="0"/>
          <w:kern w:val="2"/>
          <w:sz w:val="24"/>
          <w:szCs w:val="24"/>
          <w:highlight w:val="none"/>
          <w:lang w:val="en-US" w:eastAsia="zh-CN" w:bidi="ar-SA"/>
        </w:rPr>
        <w:t>期</w:t>
      </w:r>
      <w:r>
        <w:rPr>
          <w:rFonts w:hint="eastAsia" w:ascii="宋体" w:hAnsi="宋体" w:cs="宋体"/>
          <w:b w:val="0"/>
          <w:bCs w:val="0"/>
          <w:kern w:val="2"/>
          <w:sz w:val="24"/>
          <w:szCs w:val="24"/>
          <w:highlight w:val="none"/>
          <w:lang w:val="en-US" w:eastAsia="zh-CN" w:bidi="ar-SA"/>
        </w:rPr>
        <w:t>：1年</w:t>
      </w:r>
    </w:p>
    <w:p w14:paraId="200A416A">
      <w:pPr>
        <w:rPr>
          <w:rFonts w:hint="eastAsia" w:ascii="宋体" w:hAnsi="宋体" w:cs="宋体"/>
          <w:sz w:val="32"/>
          <w:highlight w:val="none"/>
          <w:lang w:val="zh-CN"/>
        </w:rPr>
      </w:pPr>
    </w:p>
    <w:p w14:paraId="447C40B3">
      <w:pPr>
        <w:rPr>
          <w:rFonts w:hint="eastAsia" w:ascii="宋体" w:hAnsi="宋体" w:cs="宋体"/>
          <w:sz w:val="32"/>
          <w:highlight w:val="none"/>
          <w:lang w:val="zh-CN"/>
        </w:rPr>
      </w:pPr>
    </w:p>
    <w:p w14:paraId="6DCADE8D">
      <w:pPr>
        <w:rPr>
          <w:rFonts w:hint="eastAsia" w:ascii="宋体" w:hAnsi="宋体" w:cs="宋体"/>
          <w:sz w:val="32"/>
          <w:highlight w:val="none"/>
          <w:lang w:val="zh-CN"/>
        </w:rPr>
      </w:pPr>
    </w:p>
    <w:p w14:paraId="1AC8CB06">
      <w:pPr>
        <w:rPr>
          <w:rFonts w:hint="eastAsia" w:ascii="宋体" w:hAnsi="宋体" w:cs="宋体"/>
          <w:sz w:val="32"/>
          <w:highlight w:val="none"/>
          <w:lang w:val="zh-CN"/>
        </w:rPr>
      </w:pPr>
    </w:p>
    <w:p w14:paraId="4AB5CB14">
      <w:pPr>
        <w:rPr>
          <w:rFonts w:hint="eastAsia" w:ascii="宋体" w:hAnsi="宋体" w:cs="宋体"/>
          <w:sz w:val="32"/>
          <w:highlight w:val="none"/>
          <w:lang w:val="zh-CN"/>
        </w:rPr>
      </w:pPr>
    </w:p>
    <w:p w14:paraId="15509963">
      <w:pPr>
        <w:rPr>
          <w:rFonts w:hint="eastAsia" w:ascii="宋体" w:hAnsi="宋体" w:cs="宋体"/>
          <w:sz w:val="32"/>
          <w:highlight w:val="none"/>
          <w:lang w:val="zh-CN"/>
        </w:rPr>
      </w:pPr>
    </w:p>
    <w:p w14:paraId="44C3144E">
      <w:pPr>
        <w:rPr>
          <w:rFonts w:hint="eastAsia" w:ascii="宋体" w:hAnsi="宋体" w:cs="宋体"/>
          <w:sz w:val="32"/>
          <w:highlight w:val="none"/>
          <w:lang w:val="zh-CN"/>
        </w:rPr>
      </w:pPr>
    </w:p>
    <w:p w14:paraId="0A2AF95C">
      <w:pPr>
        <w:pStyle w:val="28"/>
        <w:numPr>
          <w:ilvl w:val="0"/>
          <w:numId w:val="11"/>
        </w:numPr>
        <w:spacing w:before="0" w:after="0" w:line="560" w:lineRule="exact"/>
        <w:outlineLvl w:val="1"/>
        <w:rPr>
          <w:rFonts w:hint="eastAsia" w:ascii="宋体" w:hAnsi="宋体" w:cs="宋体"/>
          <w:b/>
          <w:bCs/>
          <w:sz w:val="28"/>
          <w:szCs w:val="28"/>
          <w:highlight w:val="none"/>
          <w:lang w:val="zh-CN"/>
        </w:rPr>
      </w:pPr>
      <w:bookmarkStart w:id="216" w:name="_Toc2701"/>
      <w:bookmarkStart w:id="217" w:name="_Toc4106"/>
      <w:r>
        <w:rPr>
          <w:rFonts w:hint="eastAsia" w:ascii="宋体" w:hAnsi="宋体" w:cs="宋体"/>
          <w:b/>
          <w:bCs/>
          <w:sz w:val="28"/>
          <w:szCs w:val="28"/>
          <w:highlight w:val="none"/>
          <w:lang w:val="zh-CN"/>
        </w:rPr>
        <w:t>服务内容</w:t>
      </w:r>
      <w:bookmarkEnd w:id="215"/>
      <w:bookmarkEnd w:id="216"/>
      <w:bookmarkEnd w:id="217"/>
    </w:p>
    <w:p w14:paraId="064A52E0">
      <w:pPr>
        <w:spacing w:line="5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一、目标</w:t>
      </w:r>
    </w:p>
    <w:p w14:paraId="2CFD1B09">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1.保障设施安全运行，及时排查并消除道路、桥梁、排水、照明等市政设施安全隐患，保障公共安全；2.保持市政设施设计使用功能，通过常态化养护、预防性维修、精细化管护，降低设施老化速度，延长设施使用寿命；3.提升设施运行效率，改善园区市容市貌、道路通行舒适度、公共空间景观品质。</w:t>
      </w:r>
    </w:p>
    <w:p w14:paraId="34B7BDB7">
      <w:pPr>
        <w:spacing w:line="5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二、要求</w:t>
      </w:r>
    </w:p>
    <w:p w14:paraId="7A1037C6">
      <w:pPr>
        <w:spacing w:line="5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1.严格按照市政设施养护规范、技术标准、操作规程执行，确保养护作业安全、规范、高效；2.负责园区城市道路、人行道、排水</w:t>
      </w:r>
      <w:r>
        <w:rPr>
          <w:rFonts w:hint="eastAsia" w:ascii="宋体" w:hAnsi="宋体" w:cs="宋体"/>
          <w:highlight w:val="none"/>
          <w:lang w:val="en-US" w:eastAsia="zh-CN"/>
        </w:rPr>
        <w:t>管</w:t>
      </w:r>
      <w:r>
        <w:rPr>
          <w:rFonts w:hint="eastAsia" w:ascii="宋体" w:hAnsi="宋体" w:eastAsia="宋体" w:cs="宋体"/>
          <w:highlight w:val="none"/>
          <w:lang w:val="en-US" w:eastAsia="zh-CN"/>
        </w:rPr>
        <w:t>网、照明设施、市政附属设施等日常巡查、维护、养护、清掏、疏通及应急处置；3.设施完好率、维修及时率、合格率达到约定标准，满足使用要求；4.按照合同约定、养护标准及考核办法进行日常考核与阶段性验收；5.验收不合格的须限期整改，整改完成后重新组织验收，直至符合标准。</w:t>
      </w:r>
    </w:p>
    <w:p w14:paraId="42FBCD2A">
      <w:pPr>
        <w:spacing w:line="560" w:lineRule="exact"/>
        <w:ind w:firstLine="48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三、分部分项工程和单价措施项目清单</w:t>
      </w:r>
    </w:p>
    <w:p w14:paraId="3EFE8EE1">
      <w:pPr>
        <w:pStyle w:val="22"/>
        <w:rPr>
          <w:rFonts w:hint="eastAsia" w:ascii="宋体" w:hAnsi="宋体" w:eastAsia="宋体" w:cs="宋体"/>
          <w:highlight w:val="yellow"/>
          <w:lang w:val="en-US" w:eastAsia="zh-CN"/>
        </w:rPr>
      </w:pPr>
    </w:p>
    <w:tbl>
      <w:tblPr>
        <w:tblStyle w:val="124"/>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074"/>
        <w:gridCol w:w="1265"/>
        <w:gridCol w:w="1954"/>
        <w:gridCol w:w="1016"/>
        <w:gridCol w:w="1135"/>
        <w:gridCol w:w="1263"/>
      </w:tblGrid>
      <w:tr w14:paraId="070F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371" w:type="pct"/>
            <w:tcBorders>
              <w:top w:val="single" w:color="000000" w:sz="10" w:space="0"/>
              <w:left w:val="single" w:color="000000" w:sz="10" w:space="0"/>
              <w:bottom w:val="nil"/>
            </w:tcBorders>
            <w:vAlign w:val="top"/>
          </w:tcPr>
          <w:p w14:paraId="5415AF38">
            <w:pPr>
              <w:pStyle w:val="133"/>
              <w:spacing w:before="55" w:line="232" w:lineRule="auto"/>
              <w:rPr>
                <w:sz w:val="24"/>
                <w:szCs w:val="24"/>
              </w:rPr>
            </w:pPr>
            <w:r>
              <w:rPr>
                <w:spacing w:val="6"/>
                <w:sz w:val="24"/>
                <w:szCs w:val="24"/>
              </w:rPr>
              <w:t>序号</w:t>
            </w:r>
          </w:p>
        </w:tc>
        <w:tc>
          <w:tcPr>
            <w:tcW w:w="645" w:type="pct"/>
            <w:tcBorders>
              <w:top w:val="single" w:color="000000" w:sz="10" w:space="0"/>
              <w:bottom w:val="nil"/>
            </w:tcBorders>
            <w:vAlign w:val="top"/>
          </w:tcPr>
          <w:p w14:paraId="2F42691F">
            <w:pPr>
              <w:pStyle w:val="133"/>
              <w:spacing w:before="56" w:line="230" w:lineRule="auto"/>
              <w:jc w:val="center"/>
              <w:rPr>
                <w:sz w:val="24"/>
                <w:szCs w:val="24"/>
              </w:rPr>
            </w:pPr>
            <w:r>
              <w:rPr>
                <w:spacing w:val="7"/>
                <w:sz w:val="24"/>
                <w:szCs w:val="24"/>
              </w:rPr>
              <w:t>编码</w:t>
            </w:r>
          </w:p>
        </w:tc>
        <w:tc>
          <w:tcPr>
            <w:tcW w:w="759" w:type="pct"/>
            <w:tcBorders>
              <w:top w:val="single" w:color="000000" w:sz="10" w:space="0"/>
              <w:bottom w:val="nil"/>
            </w:tcBorders>
            <w:vAlign w:val="top"/>
          </w:tcPr>
          <w:p w14:paraId="532344D7">
            <w:pPr>
              <w:pStyle w:val="133"/>
              <w:spacing w:before="55" w:line="231" w:lineRule="auto"/>
              <w:jc w:val="center"/>
              <w:rPr>
                <w:sz w:val="24"/>
                <w:szCs w:val="24"/>
              </w:rPr>
            </w:pPr>
            <w:r>
              <w:rPr>
                <w:spacing w:val="7"/>
                <w:sz w:val="24"/>
                <w:szCs w:val="24"/>
              </w:rPr>
              <w:t>名称</w:t>
            </w:r>
          </w:p>
        </w:tc>
        <w:tc>
          <w:tcPr>
            <w:tcW w:w="1173" w:type="pct"/>
            <w:tcBorders>
              <w:top w:val="single" w:color="000000" w:sz="10" w:space="0"/>
              <w:bottom w:val="nil"/>
            </w:tcBorders>
            <w:vAlign w:val="top"/>
          </w:tcPr>
          <w:p w14:paraId="281E4678">
            <w:pPr>
              <w:pStyle w:val="133"/>
              <w:spacing w:before="56" w:line="230" w:lineRule="auto"/>
              <w:jc w:val="center"/>
              <w:rPr>
                <w:sz w:val="24"/>
                <w:szCs w:val="24"/>
              </w:rPr>
            </w:pPr>
            <w:r>
              <w:rPr>
                <w:spacing w:val="8"/>
                <w:sz w:val="24"/>
                <w:szCs w:val="24"/>
              </w:rPr>
              <w:t>特征描述</w:t>
            </w:r>
          </w:p>
        </w:tc>
        <w:tc>
          <w:tcPr>
            <w:tcW w:w="610" w:type="pct"/>
            <w:tcBorders>
              <w:top w:val="single" w:color="000000" w:sz="10" w:space="0"/>
              <w:bottom w:val="nil"/>
            </w:tcBorders>
            <w:vAlign w:val="top"/>
          </w:tcPr>
          <w:p w14:paraId="72C71B69">
            <w:pPr>
              <w:pStyle w:val="133"/>
              <w:spacing w:before="55" w:line="214" w:lineRule="auto"/>
              <w:ind w:right="26"/>
              <w:jc w:val="center"/>
              <w:rPr>
                <w:sz w:val="24"/>
                <w:szCs w:val="24"/>
              </w:rPr>
            </w:pPr>
            <w:r>
              <w:rPr>
                <w:spacing w:val="7"/>
                <w:sz w:val="24"/>
                <w:szCs w:val="24"/>
              </w:rPr>
              <w:t>单</w:t>
            </w:r>
            <w:r>
              <w:rPr>
                <w:spacing w:val="2"/>
                <w:sz w:val="24"/>
                <w:szCs w:val="24"/>
              </w:rPr>
              <w:t>位</w:t>
            </w:r>
          </w:p>
        </w:tc>
        <w:tc>
          <w:tcPr>
            <w:tcW w:w="681" w:type="pct"/>
            <w:tcBorders>
              <w:top w:val="single" w:color="000000" w:sz="10" w:space="0"/>
              <w:bottom w:val="nil"/>
            </w:tcBorders>
            <w:vAlign w:val="top"/>
          </w:tcPr>
          <w:p w14:paraId="7FEA730D">
            <w:pPr>
              <w:pStyle w:val="133"/>
              <w:spacing w:before="55" w:line="231" w:lineRule="auto"/>
              <w:jc w:val="center"/>
              <w:rPr>
                <w:sz w:val="24"/>
                <w:szCs w:val="24"/>
              </w:rPr>
            </w:pPr>
            <w:r>
              <w:rPr>
                <w:spacing w:val="6"/>
                <w:sz w:val="24"/>
                <w:szCs w:val="24"/>
              </w:rPr>
              <w:t>工程量</w:t>
            </w:r>
          </w:p>
        </w:tc>
        <w:tc>
          <w:tcPr>
            <w:tcW w:w="758" w:type="pct"/>
            <w:tcBorders>
              <w:top w:val="single" w:color="000000" w:sz="10" w:space="0"/>
              <w:right w:val="single" w:color="auto" w:sz="4" w:space="0"/>
            </w:tcBorders>
            <w:vAlign w:val="top"/>
          </w:tcPr>
          <w:p w14:paraId="47D9B5D8">
            <w:pPr>
              <w:pStyle w:val="133"/>
              <w:spacing w:before="55" w:line="231" w:lineRule="auto"/>
              <w:jc w:val="center"/>
              <w:rPr>
                <w:rFonts w:hint="eastAsia" w:eastAsia="宋体"/>
                <w:sz w:val="24"/>
                <w:szCs w:val="24"/>
                <w:lang w:eastAsia="zh-CN"/>
              </w:rPr>
            </w:pPr>
            <w:r>
              <w:rPr>
                <w:rFonts w:hint="eastAsia"/>
                <w:spacing w:val="6"/>
                <w:sz w:val="24"/>
                <w:szCs w:val="24"/>
                <w:lang w:val="en-US" w:eastAsia="zh-CN"/>
              </w:rPr>
              <w:t>最高限制</w:t>
            </w:r>
            <w:r>
              <w:rPr>
                <w:spacing w:val="6"/>
                <w:sz w:val="24"/>
                <w:szCs w:val="24"/>
              </w:rPr>
              <w:t>单价</w:t>
            </w:r>
            <w:r>
              <w:rPr>
                <w:rFonts w:hint="eastAsia"/>
                <w:spacing w:val="6"/>
                <w:sz w:val="24"/>
                <w:szCs w:val="24"/>
                <w:lang w:eastAsia="zh-CN"/>
              </w:rPr>
              <w:t>（</w:t>
            </w:r>
            <w:r>
              <w:rPr>
                <w:rFonts w:hint="eastAsia"/>
                <w:spacing w:val="6"/>
                <w:sz w:val="24"/>
                <w:szCs w:val="24"/>
                <w:lang w:val="en-US" w:eastAsia="zh-CN"/>
              </w:rPr>
              <w:t>元</w:t>
            </w:r>
            <w:r>
              <w:rPr>
                <w:rFonts w:hint="eastAsia"/>
                <w:spacing w:val="6"/>
                <w:sz w:val="24"/>
                <w:szCs w:val="24"/>
                <w:lang w:eastAsia="zh-CN"/>
              </w:rPr>
              <w:t>）</w:t>
            </w:r>
          </w:p>
        </w:tc>
      </w:tr>
      <w:tr w14:paraId="5C2AF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1" w:type="pct"/>
            <w:tcBorders>
              <w:left w:val="single" w:color="000000" w:sz="10" w:space="0"/>
            </w:tcBorders>
            <w:vAlign w:val="top"/>
          </w:tcPr>
          <w:p w14:paraId="7FC6EB32">
            <w:pPr>
              <w:spacing w:line="296" w:lineRule="auto"/>
              <w:rPr>
                <w:rFonts w:ascii="Arial"/>
                <w:sz w:val="24"/>
                <w:szCs w:val="24"/>
              </w:rPr>
            </w:pPr>
          </w:p>
          <w:p w14:paraId="7D28F430">
            <w:pPr>
              <w:spacing w:line="296" w:lineRule="auto"/>
              <w:rPr>
                <w:rFonts w:ascii="Arial"/>
                <w:sz w:val="24"/>
                <w:szCs w:val="24"/>
              </w:rPr>
            </w:pPr>
          </w:p>
          <w:p w14:paraId="1EBF1715">
            <w:pPr>
              <w:spacing w:line="297" w:lineRule="auto"/>
              <w:rPr>
                <w:rFonts w:ascii="Arial"/>
                <w:sz w:val="24"/>
                <w:szCs w:val="24"/>
              </w:rPr>
            </w:pPr>
          </w:p>
          <w:p w14:paraId="371478D6">
            <w:pPr>
              <w:pStyle w:val="133"/>
              <w:spacing w:before="55" w:line="232" w:lineRule="exact"/>
              <w:ind w:left="339"/>
              <w:rPr>
                <w:sz w:val="24"/>
                <w:szCs w:val="24"/>
              </w:rPr>
            </w:pPr>
            <w:r>
              <w:rPr>
                <w:position w:val="1"/>
                <w:sz w:val="24"/>
                <w:szCs w:val="24"/>
              </w:rPr>
              <w:t>1</w:t>
            </w:r>
          </w:p>
        </w:tc>
        <w:tc>
          <w:tcPr>
            <w:tcW w:w="645" w:type="pct"/>
            <w:vAlign w:val="top"/>
          </w:tcPr>
          <w:p w14:paraId="333F1EAC">
            <w:pPr>
              <w:spacing w:line="296" w:lineRule="auto"/>
              <w:rPr>
                <w:rFonts w:ascii="Arial"/>
                <w:sz w:val="24"/>
                <w:szCs w:val="24"/>
              </w:rPr>
            </w:pPr>
          </w:p>
          <w:p w14:paraId="299939FD">
            <w:pPr>
              <w:spacing w:line="296" w:lineRule="auto"/>
              <w:rPr>
                <w:rFonts w:ascii="Arial"/>
                <w:sz w:val="24"/>
                <w:szCs w:val="24"/>
              </w:rPr>
            </w:pPr>
          </w:p>
          <w:p w14:paraId="2E5DD437">
            <w:pPr>
              <w:spacing w:line="297" w:lineRule="auto"/>
              <w:rPr>
                <w:rFonts w:ascii="Arial"/>
                <w:sz w:val="24"/>
                <w:szCs w:val="24"/>
              </w:rPr>
            </w:pPr>
          </w:p>
          <w:p w14:paraId="58A5249B">
            <w:pPr>
              <w:pStyle w:val="133"/>
              <w:spacing w:before="55" w:line="231" w:lineRule="exact"/>
              <w:ind w:left="17"/>
              <w:rPr>
                <w:sz w:val="24"/>
                <w:szCs w:val="24"/>
              </w:rPr>
            </w:pPr>
            <w:r>
              <w:rPr>
                <w:spacing w:val="4"/>
                <w:position w:val="1"/>
                <w:sz w:val="24"/>
                <w:szCs w:val="24"/>
              </w:rPr>
              <w:t>040204002001</w:t>
            </w:r>
          </w:p>
        </w:tc>
        <w:tc>
          <w:tcPr>
            <w:tcW w:w="759" w:type="pct"/>
            <w:vAlign w:val="top"/>
          </w:tcPr>
          <w:p w14:paraId="69752166">
            <w:pPr>
              <w:spacing w:line="296" w:lineRule="auto"/>
              <w:rPr>
                <w:rFonts w:ascii="Arial"/>
                <w:sz w:val="24"/>
                <w:szCs w:val="24"/>
              </w:rPr>
            </w:pPr>
          </w:p>
          <w:p w14:paraId="4E18525C">
            <w:pPr>
              <w:spacing w:line="296" w:lineRule="auto"/>
              <w:rPr>
                <w:rFonts w:ascii="Arial"/>
                <w:sz w:val="24"/>
                <w:szCs w:val="24"/>
              </w:rPr>
            </w:pPr>
          </w:p>
          <w:p w14:paraId="46F11612">
            <w:pPr>
              <w:spacing w:line="297" w:lineRule="auto"/>
              <w:rPr>
                <w:rFonts w:ascii="Arial"/>
                <w:sz w:val="24"/>
                <w:szCs w:val="24"/>
              </w:rPr>
            </w:pPr>
          </w:p>
          <w:p w14:paraId="05436207">
            <w:pPr>
              <w:pStyle w:val="133"/>
              <w:spacing w:before="55" w:line="231" w:lineRule="auto"/>
              <w:ind w:left="25"/>
              <w:rPr>
                <w:sz w:val="24"/>
                <w:szCs w:val="24"/>
              </w:rPr>
            </w:pPr>
            <w:r>
              <w:rPr>
                <w:spacing w:val="8"/>
                <w:sz w:val="24"/>
                <w:szCs w:val="24"/>
              </w:rPr>
              <w:t>人行道新建</w:t>
            </w:r>
          </w:p>
        </w:tc>
        <w:tc>
          <w:tcPr>
            <w:tcW w:w="1173" w:type="pct"/>
            <w:vAlign w:val="top"/>
          </w:tcPr>
          <w:p w14:paraId="4C163F90">
            <w:pPr>
              <w:pStyle w:val="133"/>
              <w:spacing w:before="231" w:line="195" w:lineRule="auto"/>
              <w:ind w:left="40" w:right="146" w:hanging="1"/>
              <w:rPr>
                <w:sz w:val="24"/>
                <w:szCs w:val="24"/>
              </w:rPr>
            </w:pPr>
            <w:r>
              <w:rPr>
                <w:spacing w:val="6"/>
                <w:sz w:val="24"/>
                <w:szCs w:val="24"/>
              </w:rPr>
              <w:t>1.基层：采用C15混凝土</w:t>
            </w:r>
            <w:r>
              <w:rPr>
                <w:spacing w:val="2"/>
                <w:sz w:val="24"/>
                <w:szCs w:val="24"/>
              </w:rPr>
              <w:t xml:space="preserve"> </w:t>
            </w:r>
            <w:r>
              <w:rPr>
                <w:spacing w:val="14"/>
                <w:sz w:val="24"/>
                <w:szCs w:val="24"/>
              </w:rPr>
              <w:t>,厚度150</w:t>
            </w:r>
            <w:r>
              <w:rPr>
                <w:sz w:val="24"/>
                <w:szCs w:val="24"/>
              </w:rPr>
              <w:t>mm</w:t>
            </w:r>
            <w:r>
              <w:rPr>
                <w:spacing w:val="14"/>
                <w:sz w:val="24"/>
                <w:szCs w:val="24"/>
              </w:rPr>
              <w:t>，强度等级</w:t>
            </w:r>
            <w:r>
              <w:rPr>
                <w:sz w:val="24"/>
                <w:szCs w:val="24"/>
              </w:rPr>
              <w:t>≥C15；</w:t>
            </w:r>
          </w:p>
          <w:p w14:paraId="46086EF4">
            <w:pPr>
              <w:pStyle w:val="133"/>
              <w:spacing w:before="1" w:line="195" w:lineRule="auto"/>
              <w:ind w:left="25" w:right="56" w:firstLine="2"/>
              <w:rPr>
                <w:sz w:val="24"/>
                <w:szCs w:val="24"/>
              </w:rPr>
            </w:pPr>
            <w:r>
              <w:rPr>
                <w:spacing w:val="1"/>
                <w:sz w:val="24"/>
                <w:szCs w:val="24"/>
              </w:rPr>
              <w:t>2.面层：采用600×</w:t>
            </w:r>
            <w:r>
              <w:rPr>
                <w:spacing w:val="-39"/>
                <w:sz w:val="24"/>
                <w:szCs w:val="24"/>
              </w:rPr>
              <w:t xml:space="preserve"> </w:t>
            </w:r>
            <w:r>
              <w:rPr>
                <w:spacing w:val="1"/>
                <w:sz w:val="24"/>
                <w:szCs w:val="24"/>
              </w:rPr>
              <w:t>300×</w:t>
            </w:r>
            <w:r>
              <w:rPr>
                <w:sz w:val="24"/>
                <w:szCs w:val="24"/>
              </w:rPr>
              <w:t xml:space="preserve"> </w:t>
            </w:r>
            <w:r>
              <w:rPr>
                <w:spacing w:val="9"/>
                <w:sz w:val="24"/>
                <w:szCs w:val="24"/>
              </w:rPr>
              <w:t>80</w:t>
            </w:r>
            <w:r>
              <w:rPr>
                <w:sz w:val="24"/>
                <w:szCs w:val="24"/>
              </w:rPr>
              <w:t>mm</w:t>
            </w:r>
            <w:r>
              <w:rPr>
                <w:spacing w:val="9"/>
                <w:sz w:val="24"/>
                <w:szCs w:val="24"/>
              </w:rPr>
              <w:t>防滑透水砖，抗压强</w:t>
            </w:r>
            <w:r>
              <w:rPr>
                <w:spacing w:val="7"/>
                <w:sz w:val="24"/>
                <w:szCs w:val="24"/>
              </w:rPr>
              <w:t>度≥C30，防滑系数≥0.6</w:t>
            </w:r>
            <w:r>
              <w:rPr>
                <w:spacing w:val="1"/>
                <w:sz w:val="24"/>
                <w:szCs w:val="24"/>
              </w:rPr>
              <w:t xml:space="preserve"> </w:t>
            </w:r>
            <w:r>
              <w:rPr>
                <w:sz w:val="24"/>
                <w:szCs w:val="24"/>
              </w:rPr>
              <w:t>;</w:t>
            </w:r>
          </w:p>
          <w:p w14:paraId="691A69E8">
            <w:pPr>
              <w:pStyle w:val="133"/>
              <w:spacing w:before="1" w:line="212" w:lineRule="auto"/>
              <w:ind w:left="26" w:right="146" w:firstLine="3"/>
              <w:rPr>
                <w:sz w:val="24"/>
                <w:szCs w:val="24"/>
              </w:rPr>
            </w:pPr>
            <w:r>
              <w:rPr>
                <w:spacing w:val="7"/>
                <w:sz w:val="24"/>
                <w:szCs w:val="24"/>
              </w:rPr>
              <w:t>3.砂浆：采用M10水泥砂浆找平，厚度20</w:t>
            </w:r>
            <w:r>
              <w:rPr>
                <w:sz w:val="24"/>
                <w:szCs w:val="24"/>
              </w:rPr>
              <w:t>mm</w:t>
            </w:r>
            <w:r>
              <w:rPr>
                <w:spacing w:val="7"/>
                <w:sz w:val="24"/>
                <w:szCs w:val="24"/>
              </w:rPr>
              <w:t>；</w:t>
            </w:r>
          </w:p>
        </w:tc>
        <w:tc>
          <w:tcPr>
            <w:tcW w:w="610" w:type="pct"/>
            <w:vAlign w:val="top"/>
          </w:tcPr>
          <w:p w14:paraId="213C53F1">
            <w:pPr>
              <w:spacing w:line="296" w:lineRule="auto"/>
              <w:jc w:val="center"/>
              <w:rPr>
                <w:rFonts w:ascii="Arial"/>
                <w:sz w:val="24"/>
                <w:szCs w:val="24"/>
              </w:rPr>
            </w:pPr>
          </w:p>
          <w:p w14:paraId="341890AC">
            <w:pPr>
              <w:spacing w:line="296" w:lineRule="auto"/>
              <w:jc w:val="center"/>
              <w:rPr>
                <w:rFonts w:ascii="Arial"/>
                <w:sz w:val="24"/>
                <w:szCs w:val="24"/>
              </w:rPr>
            </w:pPr>
          </w:p>
          <w:p w14:paraId="57040650">
            <w:pPr>
              <w:spacing w:line="297" w:lineRule="auto"/>
              <w:jc w:val="center"/>
              <w:rPr>
                <w:rFonts w:ascii="Arial"/>
                <w:sz w:val="24"/>
                <w:szCs w:val="24"/>
              </w:rPr>
            </w:pPr>
          </w:p>
          <w:p w14:paraId="06FDA260">
            <w:pPr>
              <w:pStyle w:val="133"/>
              <w:spacing w:before="55" w:line="232" w:lineRule="exact"/>
              <w:ind w:left="204"/>
              <w:jc w:val="center"/>
              <w:rPr>
                <w:sz w:val="24"/>
                <w:szCs w:val="24"/>
              </w:rPr>
            </w:pPr>
            <w:r>
              <w:rPr>
                <w:spacing w:val="3"/>
                <w:position w:val="1"/>
                <w:sz w:val="24"/>
                <w:szCs w:val="24"/>
              </w:rPr>
              <w:t>m2</w:t>
            </w:r>
          </w:p>
        </w:tc>
        <w:tc>
          <w:tcPr>
            <w:tcW w:w="681" w:type="pct"/>
            <w:vAlign w:val="top"/>
          </w:tcPr>
          <w:p w14:paraId="30B725C5">
            <w:pPr>
              <w:spacing w:line="296" w:lineRule="auto"/>
              <w:rPr>
                <w:rFonts w:ascii="Arial"/>
                <w:sz w:val="24"/>
                <w:szCs w:val="24"/>
              </w:rPr>
            </w:pPr>
          </w:p>
          <w:p w14:paraId="3EED708C">
            <w:pPr>
              <w:spacing w:line="296" w:lineRule="auto"/>
              <w:rPr>
                <w:rFonts w:ascii="Arial"/>
                <w:sz w:val="24"/>
                <w:szCs w:val="24"/>
              </w:rPr>
            </w:pPr>
          </w:p>
          <w:p w14:paraId="742EE005">
            <w:pPr>
              <w:spacing w:line="297" w:lineRule="auto"/>
              <w:rPr>
                <w:rFonts w:ascii="Arial"/>
                <w:sz w:val="24"/>
                <w:szCs w:val="24"/>
              </w:rPr>
            </w:pPr>
          </w:p>
          <w:p w14:paraId="444DAF4A">
            <w:pPr>
              <w:pStyle w:val="133"/>
              <w:spacing w:before="55" w:line="232" w:lineRule="exact"/>
              <w:ind w:left="373"/>
              <w:rPr>
                <w:sz w:val="24"/>
                <w:szCs w:val="24"/>
              </w:rPr>
            </w:pPr>
            <w:r>
              <w:rPr>
                <w:position w:val="1"/>
                <w:sz w:val="24"/>
                <w:szCs w:val="24"/>
              </w:rPr>
              <w:t>1</w:t>
            </w:r>
          </w:p>
        </w:tc>
        <w:tc>
          <w:tcPr>
            <w:tcW w:w="758" w:type="pct"/>
            <w:vAlign w:val="top"/>
          </w:tcPr>
          <w:p w14:paraId="361CBB91">
            <w:pPr>
              <w:jc w:val="both"/>
              <w:rPr>
                <w:rFonts w:ascii="Arial"/>
                <w:sz w:val="24"/>
                <w:szCs w:val="24"/>
              </w:rPr>
            </w:pPr>
          </w:p>
          <w:p w14:paraId="30A76942">
            <w:pPr>
              <w:jc w:val="both"/>
              <w:rPr>
                <w:rFonts w:ascii="Arial"/>
                <w:sz w:val="24"/>
                <w:szCs w:val="24"/>
              </w:rPr>
            </w:pPr>
          </w:p>
          <w:p w14:paraId="0CCE5779">
            <w:pPr>
              <w:jc w:val="both"/>
              <w:rPr>
                <w:rFonts w:ascii="Arial"/>
                <w:sz w:val="24"/>
                <w:szCs w:val="24"/>
              </w:rPr>
            </w:pPr>
          </w:p>
          <w:p w14:paraId="386EE346">
            <w:pPr>
              <w:jc w:val="both"/>
              <w:rPr>
                <w:rFonts w:ascii="Arial"/>
                <w:sz w:val="24"/>
                <w:szCs w:val="24"/>
              </w:rPr>
            </w:pPr>
          </w:p>
          <w:p w14:paraId="0D42916D">
            <w:pPr>
              <w:pStyle w:val="133"/>
              <w:spacing w:before="55" w:line="232" w:lineRule="exact"/>
              <w:ind w:left="373"/>
              <w:jc w:val="both"/>
              <w:rPr>
                <w:rFonts w:hint="default" w:ascii="Arial" w:eastAsia="宋体"/>
                <w:sz w:val="24"/>
                <w:szCs w:val="24"/>
                <w:lang w:val="en-US" w:eastAsia="zh-CN"/>
              </w:rPr>
            </w:pPr>
            <w:r>
              <w:rPr>
                <w:rFonts w:hint="eastAsia"/>
                <w:sz w:val="24"/>
                <w:szCs w:val="24"/>
                <w:lang w:val="en-US" w:eastAsia="zh-CN"/>
              </w:rPr>
              <w:t>150</w:t>
            </w:r>
          </w:p>
        </w:tc>
      </w:tr>
      <w:tr w14:paraId="4C86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6" w:hRule="atLeast"/>
        </w:trPr>
        <w:tc>
          <w:tcPr>
            <w:tcW w:w="371" w:type="pct"/>
            <w:tcBorders>
              <w:left w:val="single" w:color="000000" w:sz="10" w:space="0"/>
            </w:tcBorders>
            <w:vAlign w:val="top"/>
          </w:tcPr>
          <w:p w14:paraId="3B08AECF">
            <w:pPr>
              <w:spacing w:line="278" w:lineRule="auto"/>
              <w:rPr>
                <w:rFonts w:ascii="Arial"/>
                <w:sz w:val="24"/>
                <w:szCs w:val="24"/>
              </w:rPr>
            </w:pPr>
          </w:p>
          <w:p w14:paraId="4D52DF1A">
            <w:pPr>
              <w:spacing w:line="278" w:lineRule="auto"/>
              <w:rPr>
                <w:rFonts w:ascii="Arial"/>
                <w:sz w:val="24"/>
                <w:szCs w:val="24"/>
              </w:rPr>
            </w:pPr>
          </w:p>
          <w:p w14:paraId="67055544">
            <w:pPr>
              <w:spacing w:line="279" w:lineRule="auto"/>
              <w:rPr>
                <w:rFonts w:ascii="Arial"/>
                <w:sz w:val="24"/>
                <w:szCs w:val="24"/>
              </w:rPr>
            </w:pPr>
          </w:p>
          <w:p w14:paraId="42526770">
            <w:pPr>
              <w:spacing w:line="279" w:lineRule="auto"/>
              <w:rPr>
                <w:rFonts w:ascii="Arial"/>
                <w:sz w:val="24"/>
                <w:szCs w:val="24"/>
              </w:rPr>
            </w:pPr>
          </w:p>
          <w:p w14:paraId="18CC34FE">
            <w:pPr>
              <w:pStyle w:val="133"/>
              <w:spacing w:before="55" w:line="232" w:lineRule="exact"/>
              <w:ind w:left="328"/>
              <w:rPr>
                <w:sz w:val="24"/>
                <w:szCs w:val="24"/>
              </w:rPr>
            </w:pPr>
            <w:r>
              <w:rPr>
                <w:position w:val="1"/>
                <w:sz w:val="24"/>
                <w:szCs w:val="24"/>
              </w:rPr>
              <w:t>2</w:t>
            </w:r>
          </w:p>
        </w:tc>
        <w:tc>
          <w:tcPr>
            <w:tcW w:w="645" w:type="pct"/>
            <w:vAlign w:val="top"/>
          </w:tcPr>
          <w:p w14:paraId="372E0412">
            <w:pPr>
              <w:spacing w:line="278" w:lineRule="auto"/>
              <w:rPr>
                <w:rFonts w:ascii="Arial"/>
                <w:sz w:val="24"/>
                <w:szCs w:val="24"/>
              </w:rPr>
            </w:pPr>
          </w:p>
          <w:p w14:paraId="7834990C">
            <w:pPr>
              <w:spacing w:line="278" w:lineRule="auto"/>
              <w:rPr>
                <w:rFonts w:ascii="Arial"/>
                <w:sz w:val="24"/>
                <w:szCs w:val="24"/>
              </w:rPr>
            </w:pPr>
          </w:p>
          <w:p w14:paraId="0DC0EC7D">
            <w:pPr>
              <w:spacing w:line="279" w:lineRule="auto"/>
              <w:rPr>
                <w:rFonts w:ascii="Arial"/>
                <w:sz w:val="24"/>
                <w:szCs w:val="24"/>
              </w:rPr>
            </w:pPr>
          </w:p>
          <w:p w14:paraId="324A1C09">
            <w:pPr>
              <w:spacing w:line="279" w:lineRule="auto"/>
              <w:rPr>
                <w:rFonts w:ascii="Arial"/>
                <w:sz w:val="24"/>
                <w:szCs w:val="24"/>
              </w:rPr>
            </w:pPr>
          </w:p>
          <w:p w14:paraId="7EC1B4DC">
            <w:pPr>
              <w:pStyle w:val="133"/>
              <w:spacing w:before="55" w:line="231" w:lineRule="exact"/>
              <w:ind w:left="17"/>
              <w:rPr>
                <w:sz w:val="24"/>
                <w:szCs w:val="24"/>
              </w:rPr>
            </w:pPr>
            <w:r>
              <w:rPr>
                <w:spacing w:val="4"/>
                <w:position w:val="1"/>
                <w:sz w:val="24"/>
                <w:szCs w:val="24"/>
              </w:rPr>
              <w:t>040204002002</w:t>
            </w:r>
          </w:p>
        </w:tc>
        <w:tc>
          <w:tcPr>
            <w:tcW w:w="759" w:type="pct"/>
            <w:vAlign w:val="top"/>
          </w:tcPr>
          <w:p w14:paraId="0C9BE98B">
            <w:pPr>
              <w:spacing w:line="278" w:lineRule="auto"/>
              <w:rPr>
                <w:rFonts w:ascii="Arial"/>
                <w:sz w:val="24"/>
                <w:szCs w:val="24"/>
              </w:rPr>
            </w:pPr>
          </w:p>
          <w:p w14:paraId="6BAB04CA">
            <w:pPr>
              <w:spacing w:line="278" w:lineRule="auto"/>
              <w:rPr>
                <w:rFonts w:ascii="Arial"/>
                <w:sz w:val="24"/>
                <w:szCs w:val="24"/>
              </w:rPr>
            </w:pPr>
          </w:p>
          <w:p w14:paraId="2CC9F4A2">
            <w:pPr>
              <w:spacing w:line="279" w:lineRule="auto"/>
              <w:rPr>
                <w:rFonts w:ascii="Arial"/>
                <w:sz w:val="24"/>
                <w:szCs w:val="24"/>
              </w:rPr>
            </w:pPr>
          </w:p>
          <w:p w14:paraId="36F187E1">
            <w:pPr>
              <w:spacing w:line="279" w:lineRule="auto"/>
              <w:rPr>
                <w:rFonts w:ascii="Arial"/>
                <w:sz w:val="24"/>
                <w:szCs w:val="24"/>
              </w:rPr>
            </w:pPr>
          </w:p>
          <w:p w14:paraId="5590B96B">
            <w:pPr>
              <w:pStyle w:val="133"/>
              <w:spacing w:before="55" w:line="230" w:lineRule="auto"/>
              <w:ind w:left="25"/>
              <w:rPr>
                <w:sz w:val="24"/>
                <w:szCs w:val="24"/>
              </w:rPr>
            </w:pPr>
            <w:r>
              <w:rPr>
                <w:spacing w:val="8"/>
                <w:sz w:val="24"/>
                <w:szCs w:val="24"/>
              </w:rPr>
              <w:t>人行道面层修复</w:t>
            </w:r>
          </w:p>
        </w:tc>
        <w:tc>
          <w:tcPr>
            <w:tcW w:w="1173" w:type="pct"/>
            <w:vAlign w:val="top"/>
          </w:tcPr>
          <w:p w14:paraId="026B2E30">
            <w:pPr>
              <w:pStyle w:val="133"/>
              <w:spacing w:before="277" w:line="195" w:lineRule="auto"/>
              <w:ind w:left="28" w:right="56" w:firstLine="11"/>
              <w:rPr>
                <w:sz w:val="24"/>
                <w:szCs w:val="24"/>
              </w:rPr>
            </w:pPr>
            <w:r>
              <w:rPr>
                <w:spacing w:val="7"/>
                <w:sz w:val="24"/>
                <w:szCs w:val="24"/>
              </w:rPr>
              <w:t>1.拆除原有破损面层，清</w:t>
            </w:r>
            <w:r>
              <w:rPr>
                <w:spacing w:val="-4"/>
                <w:sz w:val="24"/>
                <w:szCs w:val="24"/>
              </w:rPr>
              <w:t>理基层；</w:t>
            </w:r>
          </w:p>
          <w:p w14:paraId="03065915">
            <w:pPr>
              <w:pStyle w:val="133"/>
              <w:spacing w:before="1" w:line="195" w:lineRule="auto"/>
              <w:ind w:left="27" w:right="56"/>
              <w:rPr>
                <w:sz w:val="24"/>
                <w:szCs w:val="24"/>
              </w:rPr>
            </w:pPr>
            <w:r>
              <w:rPr>
                <w:spacing w:val="3"/>
                <w:sz w:val="24"/>
                <w:szCs w:val="24"/>
              </w:rPr>
              <w:t>2.新铺面层：采用600×</w:t>
            </w:r>
            <w:r>
              <w:rPr>
                <w:spacing w:val="-31"/>
                <w:sz w:val="24"/>
                <w:szCs w:val="24"/>
              </w:rPr>
              <w:t xml:space="preserve"> </w:t>
            </w:r>
            <w:r>
              <w:rPr>
                <w:spacing w:val="3"/>
                <w:sz w:val="24"/>
                <w:szCs w:val="24"/>
              </w:rPr>
              <w:t>3</w:t>
            </w:r>
            <w:r>
              <w:rPr>
                <w:sz w:val="24"/>
                <w:szCs w:val="24"/>
              </w:rPr>
              <w:t xml:space="preserve"> </w:t>
            </w:r>
            <w:r>
              <w:rPr>
                <w:spacing w:val="4"/>
                <w:sz w:val="24"/>
                <w:szCs w:val="24"/>
              </w:rPr>
              <w:t>00×</w:t>
            </w:r>
            <w:r>
              <w:rPr>
                <w:spacing w:val="-36"/>
                <w:sz w:val="24"/>
                <w:szCs w:val="24"/>
              </w:rPr>
              <w:t xml:space="preserve"> </w:t>
            </w:r>
            <w:r>
              <w:rPr>
                <w:spacing w:val="4"/>
                <w:sz w:val="24"/>
                <w:szCs w:val="24"/>
              </w:rPr>
              <w:t>80</w:t>
            </w:r>
            <w:r>
              <w:rPr>
                <w:sz w:val="24"/>
                <w:szCs w:val="24"/>
              </w:rPr>
              <w:t>mm</w:t>
            </w:r>
            <w:r>
              <w:rPr>
                <w:spacing w:val="4"/>
                <w:sz w:val="24"/>
                <w:szCs w:val="24"/>
              </w:rPr>
              <w:t>防滑透水砖，与</w:t>
            </w:r>
            <w:r>
              <w:rPr>
                <w:spacing w:val="8"/>
                <w:sz w:val="24"/>
                <w:szCs w:val="24"/>
              </w:rPr>
              <w:t>原有路面材质、颜色保持</w:t>
            </w:r>
            <w:r>
              <w:rPr>
                <w:spacing w:val="-5"/>
                <w:sz w:val="24"/>
                <w:szCs w:val="24"/>
              </w:rPr>
              <w:t>一致；</w:t>
            </w:r>
          </w:p>
          <w:p w14:paraId="61C776C8">
            <w:pPr>
              <w:pStyle w:val="133"/>
              <w:spacing w:line="195" w:lineRule="auto"/>
              <w:ind w:left="40" w:right="146" w:hanging="11"/>
              <w:rPr>
                <w:sz w:val="24"/>
                <w:szCs w:val="24"/>
              </w:rPr>
            </w:pPr>
            <w:r>
              <w:rPr>
                <w:spacing w:val="7"/>
                <w:sz w:val="24"/>
                <w:szCs w:val="24"/>
              </w:rPr>
              <w:t>3.采用M10水泥砂浆找平</w:t>
            </w:r>
            <w:r>
              <w:rPr>
                <w:sz w:val="24"/>
                <w:szCs w:val="24"/>
              </w:rPr>
              <w:t xml:space="preserve"> </w:t>
            </w:r>
            <w:r>
              <w:rPr>
                <w:spacing w:val="18"/>
                <w:sz w:val="24"/>
                <w:szCs w:val="24"/>
              </w:rPr>
              <w:t>,厚度20</w:t>
            </w:r>
            <w:r>
              <w:rPr>
                <w:sz w:val="24"/>
                <w:szCs w:val="24"/>
              </w:rPr>
              <w:t>mm</w:t>
            </w:r>
            <w:r>
              <w:rPr>
                <w:spacing w:val="18"/>
                <w:sz w:val="24"/>
                <w:szCs w:val="24"/>
              </w:rPr>
              <w:t>；</w:t>
            </w:r>
          </w:p>
          <w:p w14:paraId="1E6A9A17">
            <w:pPr>
              <w:pStyle w:val="133"/>
              <w:spacing w:before="2" w:line="206" w:lineRule="auto"/>
              <w:ind w:left="31" w:right="56" w:hanging="6"/>
              <w:rPr>
                <w:sz w:val="24"/>
                <w:szCs w:val="24"/>
              </w:rPr>
            </w:pPr>
            <w:r>
              <w:rPr>
                <w:spacing w:val="8"/>
                <w:sz w:val="24"/>
                <w:szCs w:val="24"/>
              </w:rPr>
              <w:t>4.修复后路面平整度误差</w:t>
            </w:r>
            <w:r>
              <w:rPr>
                <w:spacing w:val="7"/>
                <w:sz w:val="24"/>
                <w:szCs w:val="24"/>
              </w:rPr>
              <w:t>≤5</w:t>
            </w:r>
            <w:r>
              <w:rPr>
                <w:sz w:val="24"/>
                <w:szCs w:val="24"/>
              </w:rPr>
              <w:t>mm</w:t>
            </w:r>
            <w:r>
              <w:rPr>
                <w:spacing w:val="7"/>
                <w:sz w:val="24"/>
                <w:szCs w:val="24"/>
              </w:rPr>
              <w:t>/2m，缝宽均匀，无</w:t>
            </w:r>
            <w:r>
              <w:rPr>
                <w:spacing w:val="-1"/>
                <w:sz w:val="24"/>
                <w:szCs w:val="24"/>
              </w:rPr>
              <w:t>空鼓、松动；</w:t>
            </w:r>
          </w:p>
        </w:tc>
        <w:tc>
          <w:tcPr>
            <w:tcW w:w="610" w:type="pct"/>
            <w:vAlign w:val="top"/>
          </w:tcPr>
          <w:p w14:paraId="0F1A740B">
            <w:pPr>
              <w:spacing w:line="278" w:lineRule="auto"/>
              <w:jc w:val="center"/>
              <w:rPr>
                <w:rFonts w:ascii="Arial"/>
                <w:sz w:val="24"/>
                <w:szCs w:val="24"/>
              </w:rPr>
            </w:pPr>
          </w:p>
          <w:p w14:paraId="3C0495BA">
            <w:pPr>
              <w:spacing w:line="278" w:lineRule="auto"/>
              <w:jc w:val="center"/>
              <w:rPr>
                <w:rFonts w:ascii="Arial"/>
                <w:sz w:val="24"/>
                <w:szCs w:val="24"/>
              </w:rPr>
            </w:pPr>
          </w:p>
          <w:p w14:paraId="65F7A361">
            <w:pPr>
              <w:spacing w:line="279" w:lineRule="auto"/>
              <w:jc w:val="center"/>
              <w:rPr>
                <w:rFonts w:ascii="Arial"/>
                <w:sz w:val="24"/>
                <w:szCs w:val="24"/>
              </w:rPr>
            </w:pPr>
          </w:p>
          <w:p w14:paraId="4E05FB40">
            <w:pPr>
              <w:spacing w:line="279" w:lineRule="auto"/>
              <w:jc w:val="center"/>
              <w:rPr>
                <w:rFonts w:ascii="Arial"/>
                <w:sz w:val="24"/>
                <w:szCs w:val="24"/>
              </w:rPr>
            </w:pPr>
          </w:p>
          <w:p w14:paraId="0CDA78A9">
            <w:pPr>
              <w:pStyle w:val="133"/>
              <w:spacing w:before="55" w:line="232" w:lineRule="exact"/>
              <w:ind w:left="204"/>
              <w:jc w:val="center"/>
              <w:rPr>
                <w:sz w:val="24"/>
                <w:szCs w:val="24"/>
              </w:rPr>
            </w:pPr>
            <w:r>
              <w:rPr>
                <w:spacing w:val="3"/>
                <w:position w:val="1"/>
                <w:sz w:val="24"/>
                <w:szCs w:val="24"/>
              </w:rPr>
              <w:t>m2</w:t>
            </w:r>
          </w:p>
        </w:tc>
        <w:tc>
          <w:tcPr>
            <w:tcW w:w="681" w:type="pct"/>
            <w:vAlign w:val="top"/>
          </w:tcPr>
          <w:p w14:paraId="06E37AD9">
            <w:pPr>
              <w:spacing w:line="278" w:lineRule="auto"/>
              <w:rPr>
                <w:rFonts w:ascii="Arial"/>
                <w:sz w:val="24"/>
                <w:szCs w:val="24"/>
              </w:rPr>
            </w:pPr>
          </w:p>
          <w:p w14:paraId="0B402399">
            <w:pPr>
              <w:spacing w:line="278" w:lineRule="auto"/>
              <w:rPr>
                <w:rFonts w:ascii="Arial"/>
                <w:sz w:val="24"/>
                <w:szCs w:val="24"/>
              </w:rPr>
            </w:pPr>
          </w:p>
          <w:p w14:paraId="11CDA11E">
            <w:pPr>
              <w:spacing w:line="279" w:lineRule="auto"/>
              <w:rPr>
                <w:rFonts w:ascii="Arial"/>
                <w:sz w:val="24"/>
                <w:szCs w:val="24"/>
              </w:rPr>
            </w:pPr>
          </w:p>
          <w:p w14:paraId="3900015A">
            <w:pPr>
              <w:spacing w:line="279" w:lineRule="auto"/>
              <w:rPr>
                <w:rFonts w:ascii="Arial"/>
                <w:sz w:val="24"/>
                <w:szCs w:val="24"/>
              </w:rPr>
            </w:pPr>
          </w:p>
          <w:p w14:paraId="520F4615">
            <w:pPr>
              <w:pStyle w:val="133"/>
              <w:spacing w:before="55" w:line="232" w:lineRule="exact"/>
              <w:ind w:left="373"/>
              <w:rPr>
                <w:sz w:val="24"/>
                <w:szCs w:val="24"/>
              </w:rPr>
            </w:pPr>
            <w:r>
              <w:rPr>
                <w:position w:val="1"/>
                <w:sz w:val="24"/>
                <w:szCs w:val="24"/>
              </w:rPr>
              <w:t>1</w:t>
            </w:r>
          </w:p>
        </w:tc>
        <w:tc>
          <w:tcPr>
            <w:tcW w:w="758" w:type="pct"/>
            <w:vAlign w:val="top"/>
          </w:tcPr>
          <w:p w14:paraId="07618218">
            <w:pPr>
              <w:pStyle w:val="133"/>
              <w:spacing w:before="56" w:line="232" w:lineRule="exact"/>
              <w:ind w:left="373"/>
              <w:jc w:val="both"/>
              <w:rPr>
                <w:rFonts w:hint="eastAsia"/>
                <w:position w:val="1"/>
                <w:sz w:val="24"/>
                <w:szCs w:val="24"/>
                <w:lang w:val="en-US" w:eastAsia="zh-CN"/>
              </w:rPr>
            </w:pPr>
          </w:p>
          <w:p w14:paraId="486CDF97">
            <w:pPr>
              <w:pStyle w:val="133"/>
              <w:spacing w:before="56" w:line="232" w:lineRule="exact"/>
              <w:ind w:left="373"/>
              <w:jc w:val="both"/>
              <w:rPr>
                <w:rFonts w:hint="eastAsia"/>
                <w:position w:val="1"/>
                <w:sz w:val="24"/>
                <w:szCs w:val="24"/>
                <w:lang w:val="en-US" w:eastAsia="zh-CN"/>
              </w:rPr>
            </w:pPr>
          </w:p>
          <w:p w14:paraId="2F3CC3E8">
            <w:pPr>
              <w:pStyle w:val="133"/>
              <w:spacing w:before="56" w:line="232" w:lineRule="exact"/>
              <w:ind w:left="373"/>
              <w:jc w:val="both"/>
              <w:rPr>
                <w:rFonts w:hint="eastAsia"/>
                <w:position w:val="1"/>
                <w:sz w:val="24"/>
                <w:szCs w:val="24"/>
                <w:lang w:val="en-US" w:eastAsia="zh-CN"/>
              </w:rPr>
            </w:pPr>
          </w:p>
          <w:p w14:paraId="026D8E3C">
            <w:pPr>
              <w:pStyle w:val="133"/>
              <w:spacing w:before="56" w:line="232" w:lineRule="exact"/>
              <w:ind w:left="373"/>
              <w:jc w:val="both"/>
              <w:rPr>
                <w:rFonts w:hint="eastAsia"/>
                <w:position w:val="1"/>
                <w:sz w:val="24"/>
                <w:szCs w:val="24"/>
                <w:lang w:val="en-US" w:eastAsia="zh-CN"/>
              </w:rPr>
            </w:pPr>
          </w:p>
          <w:p w14:paraId="410CB0F2">
            <w:pPr>
              <w:pStyle w:val="133"/>
              <w:spacing w:before="56" w:line="232" w:lineRule="exact"/>
              <w:ind w:left="373"/>
              <w:jc w:val="both"/>
              <w:rPr>
                <w:rFonts w:hint="eastAsia"/>
                <w:position w:val="1"/>
                <w:sz w:val="24"/>
                <w:szCs w:val="24"/>
                <w:lang w:val="en-US" w:eastAsia="zh-CN"/>
              </w:rPr>
            </w:pPr>
          </w:p>
          <w:p w14:paraId="368F75E3">
            <w:pPr>
              <w:pStyle w:val="133"/>
              <w:spacing w:before="56" w:line="232" w:lineRule="exact"/>
              <w:ind w:left="373"/>
              <w:jc w:val="both"/>
              <w:rPr>
                <w:rFonts w:hint="default"/>
                <w:position w:val="1"/>
                <w:sz w:val="24"/>
                <w:szCs w:val="24"/>
                <w:lang w:val="en-US" w:eastAsia="zh-CN"/>
              </w:rPr>
            </w:pPr>
            <w:r>
              <w:rPr>
                <w:rFonts w:hint="eastAsia"/>
                <w:position w:val="1"/>
                <w:sz w:val="24"/>
                <w:szCs w:val="24"/>
                <w:lang w:val="en-US" w:eastAsia="zh-CN"/>
              </w:rPr>
              <w:t>104</w:t>
            </w:r>
          </w:p>
        </w:tc>
      </w:tr>
      <w:tr w14:paraId="1361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371" w:type="pct"/>
            <w:tcBorders>
              <w:left w:val="single" w:color="000000" w:sz="10" w:space="0"/>
            </w:tcBorders>
            <w:vAlign w:val="top"/>
          </w:tcPr>
          <w:p w14:paraId="1BB1734A">
            <w:pPr>
              <w:spacing w:line="297" w:lineRule="auto"/>
              <w:rPr>
                <w:rFonts w:ascii="Arial"/>
                <w:sz w:val="24"/>
                <w:szCs w:val="24"/>
              </w:rPr>
            </w:pPr>
          </w:p>
          <w:p w14:paraId="3F9E836E">
            <w:pPr>
              <w:spacing w:line="297" w:lineRule="auto"/>
              <w:rPr>
                <w:rFonts w:ascii="Arial"/>
                <w:sz w:val="24"/>
                <w:szCs w:val="24"/>
              </w:rPr>
            </w:pPr>
          </w:p>
          <w:p w14:paraId="4932FC7E">
            <w:pPr>
              <w:spacing w:line="297" w:lineRule="auto"/>
              <w:rPr>
                <w:rFonts w:ascii="Arial"/>
                <w:sz w:val="24"/>
                <w:szCs w:val="24"/>
              </w:rPr>
            </w:pPr>
          </w:p>
          <w:p w14:paraId="30C7A7ED">
            <w:pPr>
              <w:pStyle w:val="133"/>
              <w:spacing w:before="56" w:line="230" w:lineRule="exact"/>
              <w:ind w:left="330"/>
              <w:rPr>
                <w:sz w:val="24"/>
                <w:szCs w:val="24"/>
              </w:rPr>
            </w:pPr>
            <w:r>
              <w:rPr>
                <w:position w:val="1"/>
                <w:sz w:val="24"/>
                <w:szCs w:val="24"/>
              </w:rPr>
              <w:t>3</w:t>
            </w:r>
          </w:p>
        </w:tc>
        <w:tc>
          <w:tcPr>
            <w:tcW w:w="645" w:type="pct"/>
            <w:vAlign w:val="top"/>
          </w:tcPr>
          <w:p w14:paraId="420470F2">
            <w:pPr>
              <w:spacing w:line="297" w:lineRule="auto"/>
              <w:rPr>
                <w:rFonts w:ascii="Arial"/>
                <w:sz w:val="24"/>
                <w:szCs w:val="24"/>
              </w:rPr>
            </w:pPr>
          </w:p>
          <w:p w14:paraId="1F1E370E">
            <w:pPr>
              <w:spacing w:line="297" w:lineRule="auto"/>
              <w:rPr>
                <w:rFonts w:ascii="Arial"/>
                <w:sz w:val="24"/>
                <w:szCs w:val="24"/>
              </w:rPr>
            </w:pPr>
          </w:p>
          <w:p w14:paraId="6C865CB7">
            <w:pPr>
              <w:spacing w:line="297" w:lineRule="auto"/>
              <w:rPr>
                <w:rFonts w:ascii="Arial"/>
                <w:sz w:val="24"/>
                <w:szCs w:val="24"/>
              </w:rPr>
            </w:pPr>
          </w:p>
          <w:p w14:paraId="03142D6D">
            <w:pPr>
              <w:pStyle w:val="133"/>
              <w:spacing w:before="56" w:line="230" w:lineRule="exact"/>
              <w:ind w:left="17"/>
              <w:rPr>
                <w:sz w:val="24"/>
                <w:szCs w:val="24"/>
              </w:rPr>
            </w:pPr>
            <w:r>
              <w:rPr>
                <w:spacing w:val="4"/>
                <w:position w:val="1"/>
                <w:sz w:val="24"/>
                <w:szCs w:val="24"/>
              </w:rPr>
              <w:t>040204002003</w:t>
            </w:r>
          </w:p>
        </w:tc>
        <w:tc>
          <w:tcPr>
            <w:tcW w:w="759" w:type="pct"/>
            <w:vAlign w:val="top"/>
          </w:tcPr>
          <w:p w14:paraId="24069981">
            <w:pPr>
              <w:spacing w:line="297" w:lineRule="auto"/>
              <w:rPr>
                <w:rFonts w:ascii="Arial"/>
                <w:sz w:val="24"/>
                <w:szCs w:val="24"/>
              </w:rPr>
            </w:pPr>
          </w:p>
          <w:p w14:paraId="604282E9">
            <w:pPr>
              <w:spacing w:line="297" w:lineRule="auto"/>
              <w:rPr>
                <w:rFonts w:ascii="Arial"/>
                <w:sz w:val="24"/>
                <w:szCs w:val="24"/>
              </w:rPr>
            </w:pPr>
          </w:p>
          <w:p w14:paraId="223F5BD5">
            <w:pPr>
              <w:spacing w:line="298" w:lineRule="auto"/>
              <w:rPr>
                <w:rFonts w:ascii="Arial"/>
                <w:sz w:val="24"/>
                <w:szCs w:val="24"/>
              </w:rPr>
            </w:pPr>
          </w:p>
          <w:p w14:paraId="38274F70">
            <w:pPr>
              <w:pStyle w:val="133"/>
              <w:spacing w:before="55" w:line="230" w:lineRule="auto"/>
              <w:ind w:left="25"/>
              <w:rPr>
                <w:sz w:val="24"/>
                <w:szCs w:val="24"/>
              </w:rPr>
            </w:pPr>
            <w:r>
              <w:rPr>
                <w:spacing w:val="8"/>
                <w:sz w:val="24"/>
                <w:szCs w:val="24"/>
              </w:rPr>
              <w:t>人行道基层修复</w:t>
            </w:r>
          </w:p>
        </w:tc>
        <w:tc>
          <w:tcPr>
            <w:tcW w:w="1173" w:type="pct"/>
            <w:vAlign w:val="top"/>
          </w:tcPr>
          <w:p w14:paraId="191D2D95">
            <w:pPr>
              <w:pStyle w:val="133"/>
              <w:spacing w:before="234" w:line="195" w:lineRule="auto"/>
              <w:ind w:right="56"/>
              <w:rPr>
                <w:sz w:val="24"/>
                <w:szCs w:val="24"/>
              </w:rPr>
            </w:pPr>
            <w:r>
              <w:rPr>
                <w:spacing w:val="7"/>
                <w:sz w:val="24"/>
                <w:szCs w:val="24"/>
              </w:rPr>
              <w:t>1.拆除破损基层，开挖深</w:t>
            </w:r>
            <w:r>
              <w:rPr>
                <w:spacing w:val="9"/>
                <w:sz w:val="24"/>
                <w:szCs w:val="24"/>
              </w:rPr>
              <w:t>度至设计标高，基底夯实</w:t>
            </w:r>
            <w:r>
              <w:rPr>
                <w:sz w:val="24"/>
                <w:szCs w:val="24"/>
              </w:rPr>
              <w:t xml:space="preserve"> </w:t>
            </w:r>
            <w:r>
              <w:rPr>
                <w:spacing w:val="15"/>
                <w:sz w:val="24"/>
                <w:szCs w:val="24"/>
              </w:rPr>
              <w:t>,压实度≥95%；</w:t>
            </w:r>
          </w:p>
          <w:p w14:paraId="7B1A1CFF">
            <w:pPr>
              <w:pStyle w:val="133"/>
              <w:spacing w:line="195" w:lineRule="auto"/>
              <w:ind w:left="27" w:right="146"/>
              <w:rPr>
                <w:sz w:val="24"/>
                <w:szCs w:val="24"/>
              </w:rPr>
            </w:pPr>
            <w:r>
              <w:rPr>
                <w:spacing w:val="7"/>
                <w:sz w:val="24"/>
                <w:szCs w:val="24"/>
              </w:rPr>
              <w:t>2.基层采用C15混凝土浇筑，厚度150</w:t>
            </w:r>
            <w:r>
              <w:rPr>
                <w:sz w:val="24"/>
                <w:szCs w:val="24"/>
              </w:rPr>
              <w:t>mm</w:t>
            </w:r>
            <w:r>
              <w:rPr>
                <w:spacing w:val="7"/>
                <w:sz w:val="24"/>
                <w:szCs w:val="24"/>
              </w:rPr>
              <w:t>，强度等</w:t>
            </w:r>
            <w:r>
              <w:rPr>
                <w:spacing w:val="4"/>
                <w:sz w:val="24"/>
                <w:szCs w:val="24"/>
              </w:rPr>
              <w:t>级≥C15；</w:t>
            </w:r>
          </w:p>
          <w:p w14:paraId="4F5EB401">
            <w:pPr>
              <w:pStyle w:val="133"/>
              <w:spacing w:before="1" w:line="207" w:lineRule="auto"/>
              <w:ind w:left="21" w:right="146" w:firstLine="8"/>
              <w:rPr>
                <w:sz w:val="24"/>
                <w:szCs w:val="24"/>
              </w:rPr>
            </w:pPr>
            <w:r>
              <w:rPr>
                <w:spacing w:val="7"/>
                <w:sz w:val="24"/>
                <w:szCs w:val="24"/>
              </w:rPr>
              <w:t>3.混凝土浇筑后养护≥7</w:t>
            </w:r>
            <w:r>
              <w:rPr>
                <w:spacing w:val="9"/>
                <w:sz w:val="24"/>
                <w:szCs w:val="24"/>
              </w:rPr>
              <w:t>天，表面平整度误差≤3</w:t>
            </w:r>
            <w:r>
              <w:rPr>
                <w:sz w:val="24"/>
                <w:szCs w:val="24"/>
              </w:rPr>
              <w:t xml:space="preserve"> mm</w:t>
            </w:r>
            <w:r>
              <w:rPr>
                <w:spacing w:val="5"/>
                <w:sz w:val="24"/>
                <w:szCs w:val="24"/>
              </w:rPr>
              <w:t>/2m；</w:t>
            </w:r>
          </w:p>
        </w:tc>
        <w:tc>
          <w:tcPr>
            <w:tcW w:w="610" w:type="pct"/>
            <w:vAlign w:val="top"/>
          </w:tcPr>
          <w:p w14:paraId="7BA93AE8">
            <w:pPr>
              <w:spacing w:line="297" w:lineRule="auto"/>
              <w:jc w:val="center"/>
              <w:rPr>
                <w:rFonts w:ascii="Arial"/>
                <w:sz w:val="24"/>
                <w:szCs w:val="24"/>
              </w:rPr>
            </w:pPr>
          </w:p>
          <w:p w14:paraId="34218B89">
            <w:pPr>
              <w:spacing w:line="297" w:lineRule="auto"/>
              <w:jc w:val="center"/>
              <w:rPr>
                <w:rFonts w:ascii="Arial"/>
                <w:sz w:val="24"/>
                <w:szCs w:val="24"/>
              </w:rPr>
            </w:pPr>
          </w:p>
          <w:p w14:paraId="3DCD8606">
            <w:pPr>
              <w:spacing w:line="297" w:lineRule="auto"/>
              <w:jc w:val="center"/>
              <w:rPr>
                <w:rFonts w:ascii="Arial"/>
                <w:sz w:val="24"/>
                <w:szCs w:val="24"/>
              </w:rPr>
            </w:pPr>
          </w:p>
          <w:p w14:paraId="531293E4">
            <w:pPr>
              <w:pStyle w:val="133"/>
              <w:spacing w:before="56" w:line="232" w:lineRule="exact"/>
              <w:ind w:left="204"/>
              <w:jc w:val="center"/>
              <w:rPr>
                <w:sz w:val="24"/>
                <w:szCs w:val="24"/>
              </w:rPr>
            </w:pPr>
            <w:r>
              <w:rPr>
                <w:spacing w:val="3"/>
                <w:position w:val="1"/>
                <w:sz w:val="24"/>
                <w:szCs w:val="24"/>
              </w:rPr>
              <w:t>m2</w:t>
            </w:r>
          </w:p>
        </w:tc>
        <w:tc>
          <w:tcPr>
            <w:tcW w:w="681" w:type="pct"/>
            <w:vAlign w:val="top"/>
          </w:tcPr>
          <w:p w14:paraId="648EDBF8">
            <w:pPr>
              <w:spacing w:line="297" w:lineRule="auto"/>
              <w:rPr>
                <w:rFonts w:ascii="Arial"/>
                <w:sz w:val="24"/>
                <w:szCs w:val="24"/>
              </w:rPr>
            </w:pPr>
          </w:p>
          <w:p w14:paraId="769EA53C">
            <w:pPr>
              <w:spacing w:line="297" w:lineRule="auto"/>
              <w:rPr>
                <w:rFonts w:ascii="Arial"/>
                <w:sz w:val="24"/>
                <w:szCs w:val="24"/>
              </w:rPr>
            </w:pPr>
          </w:p>
          <w:p w14:paraId="6E33739B">
            <w:pPr>
              <w:spacing w:line="297" w:lineRule="auto"/>
              <w:rPr>
                <w:rFonts w:ascii="Arial"/>
                <w:sz w:val="24"/>
                <w:szCs w:val="24"/>
              </w:rPr>
            </w:pPr>
          </w:p>
          <w:p w14:paraId="21B6B54E">
            <w:pPr>
              <w:pStyle w:val="133"/>
              <w:spacing w:before="56" w:line="232" w:lineRule="exact"/>
              <w:ind w:left="373"/>
              <w:rPr>
                <w:sz w:val="24"/>
                <w:szCs w:val="24"/>
              </w:rPr>
            </w:pPr>
            <w:r>
              <w:rPr>
                <w:position w:val="1"/>
                <w:sz w:val="24"/>
                <w:szCs w:val="24"/>
              </w:rPr>
              <w:t>1</w:t>
            </w:r>
          </w:p>
        </w:tc>
        <w:tc>
          <w:tcPr>
            <w:tcW w:w="758" w:type="pct"/>
            <w:vAlign w:val="top"/>
          </w:tcPr>
          <w:p w14:paraId="00B5DD31">
            <w:pPr>
              <w:pStyle w:val="133"/>
              <w:spacing w:before="56" w:line="232" w:lineRule="exact"/>
              <w:ind w:left="373"/>
              <w:jc w:val="both"/>
              <w:rPr>
                <w:rFonts w:hint="eastAsia"/>
                <w:position w:val="1"/>
                <w:sz w:val="24"/>
                <w:szCs w:val="24"/>
                <w:lang w:val="en-US" w:eastAsia="zh-CN"/>
              </w:rPr>
            </w:pPr>
          </w:p>
          <w:p w14:paraId="593E9CF1">
            <w:pPr>
              <w:pStyle w:val="133"/>
              <w:spacing w:before="56" w:line="232" w:lineRule="exact"/>
              <w:ind w:left="373"/>
              <w:jc w:val="both"/>
              <w:rPr>
                <w:rFonts w:hint="eastAsia"/>
                <w:position w:val="1"/>
                <w:sz w:val="24"/>
                <w:szCs w:val="24"/>
                <w:lang w:val="en-US" w:eastAsia="zh-CN"/>
              </w:rPr>
            </w:pPr>
          </w:p>
          <w:p w14:paraId="0983FBE8">
            <w:pPr>
              <w:pStyle w:val="133"/>
              <w:spacing w:before="56" w:line="232" w:lineRule="exact"/>
              <w:ind w:left="373"/>
              <w:jc w:val="both"/>
              <w:rPr>
                <w:rFonts w:hint="eastAsia"/>
                <w:position w:val="1"/>
                <w:sz w:val="24"/>
                <w:szCs w:val="24"/>
                <w:lang w:val="en-US" w:eastAsia="zh-CN"/>
              </w:rPr>
            </w:pPr>
          </w:p>
          <w:p w14:paraId="29DD062D">
            <w:pPr>
              <w:pStyle w:val="133"/>
              <w:spacing w:before="56" w:line="232" w:lineRule="exact"/>
              <w:ind w:left="373"/>
              <w:jc w:val="both"/>
              <w:rPr>
                <w:rFonts w:hint="eastAsia"/>
                <w:position w:val="1"/>
                <w:sz w:val="24"/>
                <w:szCs w:val="24"/>
                <w:lang w:val="en-US" w:eastAsia="zh-CN"/>
              </w:rPr>
            </w:pPr>
          </w:p>
          <w:p w14:paraId="6D20D929">
            <w:pPr>
              <w:pStyle w:val="133"/>
              <w:spacing w:before="56" w:line="232" w:lineRule="exact"/>
              <w:ind w:left="373"/>
              <w:jc w:val="both"/>
              <w:rPr>
                <w:rFonts w:hint="default"/>
                <w:position w:val="1"/>
                <w:sz w:val="24"/>
                <w:szCs w:val="24"/>
                <w:lang w:val="en-US" w:eastAsia="zh-CN"/>
              </w:rPr>
            </w:pPr>
            <w:r>
              <w:rPr>
                <w:rFonts w:hint="eastAsia"/>
                <w:position w:val="1"/>
                <w:sz w:val="24"/>
                <w:szCs w:val="24"/>
                <w:lang w:val="en-US" w:eastAsia="zh-CN"/>
              </w:rPr>
              <w:t>68</w:t>
            </w:r>
          </w:p>
        </w:tc>
      </w:tr>
      <w:tr w14:paraId="2F83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371" w:type="pct"/>
            <w:tcBorders>
              <w:left w:val="single" w:color="000000" w:sz="10" w:space="0"/>
            </w:tcBorders>
            <w:vAlign w:val="top"/>
          </w:tcPr>
          <w:p w14:paraId="16922D98">
            <w:pPr>
              <w:spacing w:line="267" w:lineRule="auto"/>
              <w:rPr>
                <w:rFonts w:ascii="Arial"/>
                <w:sz w:val="24"/>
                <w:szCs w:val="24"/>
              </w:rPr>
            </w:pPr>
          </w:p>
          <w:p w14:paraId="505212ED">
            <w:pPr>
              <w:spacing w:line="268" w:lineRule="auto"/>
              <w:rPr>
                <w:rFonts w:ascii="Arial"/>
                <w:sz w:val="24"/>
                <w:szCs w:val="24"/>
              </w:rPr>
            </w:pPr>
          </w:p>
          <w:p w14:paraId="04FCBAC3">
            <w:pPr>
              <w:spacing w:line="268" w:lineRule="auto"/>
              <w:rPr>
                <w:rFonts w:ascii="Arial"/>
                <w:sz w:val="24"/>
                <w:szCs w:val="24"/>
              </w:rPr>
            </w:pPr>
          </w:p>
          <w:p w14:paraId="5484A384">
            <w:pPr>
              <w:spacing w:line="268" w:lineRule="auto"/>
              <w:rPr>
                <w:rFonts w:ascii="Arial"/>
                <w:sz w:val="24"/>
                <w:szCs w:val="24"/>
              </w:rPr>
            </w:pPr>
          </w:p>
          <w:p w14:paraId="2013E5D5">
            <w:pPr>
              <w:spacing w:line="268" w:lineRule="auto"/>
              <w:rPr>
                <w:rFonts w:ascii="Arial"/>
                <w:sz w:val="24"/>
                <w:szCs w:val="24"/>
              </w:rPr>
            </w:pPr>
          </w:p>
          <w:p w14:paraId="4B117D6A">
            <w:pPr>
              <w:pStyle w:val="133"/>
              <w:spacing w:before="55" w:line="232" w:lineRule="exact"/>
              <w:ind w:left="325"/>
              <w:rPr>
                <w:sz w:val="24"/>
                <w:szCs w:val="24"/>
              </w:rPr>
            </w:pPr>
            <w:r>
              <w:rPr>
                <w:position w:val="1"/>
                <w:sz w:val="24"/>
                <w:szCs w:val="24"/>
              </w:rPr>
              <w:t>4</w:t>
            </w:r>
          </w:p>
        </w:tc>
        <w:tc>
          <w:tcPr>
            <w:tcW w:w="645" w:type="pct"/>
            <w:vAlign w:val="top"/>
          </w:tcPr>
          <w:p w14:paraId="057E721F">
            <w:pPr>
              <w:spacing w:line="267" w:lineRule="auto"/>
              <w:rPr>
                <w:rFonts w:ascii="Arial"/>
                <w:sz w:val="24"/>
                <w:szCs w:val="24"/>
              </w:rPr>
            </w:pPr>
          </w:p>
          <w:p w14:paraId="7864DEED">
            <w:pPr>
              <w:spacing w:line="268" w:lineRule="auto"/>
              <w:rPr>
                <w:rFonts w:ascii="Arial"/>
                <w:sz w:val="24"/>
                <w:szCs w:val="24"/>
              </w:rPr>
            </w:pPr>
          </w:p>
          <w:p w14:paraId="1B9198E5">
            <w:pPr>
              <w:spacing w:line="268" w:lineRule="auto"/>
              <w:rPr>
                <w:rFonts w:ascii="Arial"/>
                <w:sz w:val="24"/>
                <w:szCs w:val="24"/>
              </w:rPr>
            </w:pPr>
          </w:p>
          <w:p w14:paraId="6AC233EF">
            <w:pPr>
              <w:spacing w:line="268" w:lineRule="auto"/>
              <w:rPr>
                <w:rFonts w:ascii="Arial"/>
                <w:sz w:val="24"/>
                <w:szCs w:val="24"/>
              </w:rPr>
            </w:pPr>
          </w:p>
          <w:p w14:paraId="5835FA0E">
            <w:pPr>
              <w:spacing w:line="268" w:lineRule="auto"/>
              <w:rPr>
                <w:rFonts w:ascii="Arial"/>
                <w:sz w:val="24"/>
                <w:szCs w:val="24"/>
              </w:rPr>
            </w:pPr>
          </w:p>
          <w:p w14:paraId="1717AE22">
            <w:pPr>
              <w:pStyle w:val="133"/>
              <w:spacing w:before="55" w:line="231" w:lineRule="exact"/>
              <w:ind w:left="17"/>
              <w:rPr>
                <w:sz w:val="24"/>
                <w:szCs w:val="24"/>
              </w:rPr>
            </w:pPr>
            <w:r>
              <w:rPr>
                <w:spacing w:val="4"/>
                <w:position w:val="1"/>
                <w:sz w:val="24"/>
                <w:szCs w:val="24"/>
              </w:rPr>
              <w:t>040204002004</w:t>
            </w:r>
          </w:p>
        </w:tc>
        <w:tc>
          <w:tcPr>
            <w:tcW w:w="759" w:type="pct"/>
            <w:vAlign w:val="top"/>
          </w:tcPr>
          <w:p w14:paraId="435A695C">
            <w:pPr>
              <w:spacing w:line="249" w:lineRule="auto"/>
              <w:rPr>
                <w:rFonts w:ascii="Arial"/>
                <w:sz w:val="24"/>
                <w:szCs w:val="24"/>
              </w:rPr>
            </w:pPr>
          </w:p>
          <w:p w14:paraId="6BE34F97">
            <w:pPr>
              <w:spacing w:line="250" w:lineRule="auto"/>
              <w:rPr>
                <w:rFonts w:ascii="Arial"/>
                <w:sz w:val="24"/>
                <w:szCs w:val="24"/>
              </w:rPr>
            </w:pPr>
          </w:p>
          <w:p w14:paraId="785FCEA2">
            <w:pPr>
              <w:spacing w:line="250" w:lineRule="auto"/>
              <w:rPr>
                <w:rFonts w:ascii="Arial"/>
                <w:sz w:val="24"/>
                <w:szCs w:val="24"/>
              </w:rPr>
            </w:pPr>
          </w:p>
          <w:p w14:paraId="74820311">
            <w:pPr>
              <w:spacing w:line="250" w:lineRule="auto"/>
              <w:rPr>
                <w:rFonts w:ascii="Arial"/>
                <w:sz w:val="24"/>
                <w:szCs w:val="24"/>
              </w:rPr>
            </w:pPr>
          </w:p>
          <w:p w14:paraId="7B081924">
            <w:pPr>
              <w:spacing w:line="250" w:lineRule="auto"/>
              <w:rPr>
                <w:rFonts w:ascii="Arial"/>
                <w:sz w:val="24"/>
                <w:szCs w:val="24"/>
              </w:rPr>
            </w:pPr>
          </w:p>
          <w:p w14:paraId="68AE7406">
            <w:pPr>
              <w:pStyle w:val="133"/>
              <w:spacing w:before="55" w:line="213" w:lineRule="auto"/>
              <w:ind w:left="23" w:right="60" w:firstLine="1"/>
              <w:rPr>
                <w:sz w:val="24"/>
                <w:szCs w:val="24"/>
              </w:rPr>
            </w:pPr>
            <w:r>
              <w:rPr>
                <w:spacing w:val="8"/>
                <w:sz w:val="24"/>
                <w:szCs w:val="24"/>
              </w:rPr>
              <w:t>人行道基层及面</w:t>
            </w:r>
            <w:r>
              <w:rPr>
                <w:spacing w:val="7"/>
                <w:sz w:val="24"/>
                <w:szCs w:val="24"/>
              </w:rPr>
              <w:t>层修复</w:t>
            </w:r>
          </w:p>
        </w:tc>
        <w:tc>
          <w:tcPr>
            <w:tcW w:w="1173" w:type="pct"/>
            <w:vAlign w:val="top"/>
          </w:tcPr>
          <w:p w14:paraId="074A29D9">
            <w:pPr>
              <w:pStyle w:val="133"/>
              <w:spacing w:before="56" w:line="195" w:lineRule="auto"/>
              <w:ind w:right="56"/>
              <w:rPr>
                <w:sz w:val="24"/>
                <w:szCs w:val="24"/>
              </w:rPr>
            </w:pPr>
            <w:r>
              <w:rPr>
                <w:spacing w:val="7"/>
                <w:sz w:val="24"/>
                <w:szCs w:val="24"/>
              </w:rPr>
              <w:t>1.基层修复：拆除破损面</w:t>
            </w:r>
            <w:r>
              <w:rPr>
                <w:spacing w:val="3"/>
                <w:sz w:val="24"/>
                <w:szCs w:val="24"/>
              </w:rPr>
              <w:t>层及基层，</w:t>
            </w:r>
            <w:r>
              <w:rPr>
                <w:spacing w:val="-28"/>
                <w:sz w:val="24"/>
                <w:szCs w:val="24"/>
              </w:rPr>
              <w:t xml:space="preserve"> </w:t>
            </w:r>
            <w:r>
              <w:rPr>
                <w:spacing w:val="3"/>
                <w:sz w:val="24"/>
                <w:szCs w:val="24"/>
              </w:rPr>
              <w:t>C15混凝土浇</w:t>
            </w:r>
            <w:r>
              <w:rPr>
                <w:spacing w:val="7"/>
                <w:sz w:val="24"/>
                <w:szCs w:val="24"/>
              </w:rPr>
              <w:t>筑，厚度150</w:t>
            </w:r>
            <w:r>
              <w:rPr>
                <w:sz w:val="24"/>
                <w:szCs w:val="24"/>
              </w:rPr>
              <w:t>mm</w:t>
            </w:r>
            <w:r>
              <w:rPr>
                <w:spacing w:val="7"/>
                <w:sz w:val="24"/>
                <w:szCs w:val="24"/>
              </w:rPr>
              <w:t>，压实度</w:t>
            </w:r>
            <w:r>
              <w:rPr>
                <w:spacing w:val="3"/>
                <w:sz w:val="24"/>
                <w:szCs w:val="24"/>
              </w:rPr>
              <w:t>≥95%；</w:t>
            </w:r>
          </w:p>
          <w:p w14:paraId="3F643FC2">
            <w:pPr>
              <w:pStyle w:val="133"/>
              <w:spacing w:line="195" w:lineRule="auto"/>
              <w:ind w:left="26" w:right="92" w:firstLine="1"/>
              <w:rPr>
                <w:sz w:val="24"/>
                <w:szCs w:val="24"/>
              </w:rPr>
            </w:pPr>
            <w:r>
              <w:rPr>
                <w:spacing w:val="-3"/>
                <w:sz w:val="24"/>
                <w:szCs w:val="24"/>
              </w:rPr>
              <w:t>2.面层修复：</w:t>
            </w:r>
            <w:r>
              <w:rPr>
                <w:spacing w:val="-25"/>
                <w:sz w:val="24"/>
                <w:szCs w:val="24"/>
              </w:rPr>
              <w:t xml:space="preserve"> </w:t>
            </w:r>
            <w:r>
              <w:rPr>
                <w:spacing w:val="-3"/>
                <w:sz w:val="24"/>
                <w:szCs w:val="24"/>
              </w:rPr>
              <w:t>600×</w:t>
            </w:r>
            <w:r>
              <w:rPr>
                <w:spacing w:val="-39"/>
                <w:sz w:val="24"/>
                <w:szCs w:val="24"/>
              </w:rPr>
              <w:t xml:space="preserve"> </w:t>
            </w:r>
            <w:r>
              <w:rPr>
                <w:spacing w:val="-3"/>
                <w:sz w:val="24"/>
                <w:szCs w:val="24"/>
              </w:rPr>
              <w:t>300×</w:t>
            </w:r>
            <w:r>
              <w:rPr>
                <w:sz w:val="24"/>
                <w:szCs w:val="24"/>
              </w:rPr>
              <w:t xml:space="preserve"> </w:t>
            </w:r>
            <w:r>
              <w:rPr>
                <w:spacing w:val="2"/>
                <w:sz w:val="24"/>
                <w:szCs w:val="24"/>
              </w:rPr>
              <w:t>80</w:t>
            </w:r>
            <w:r>
              <w:rPr>
                <w:sz w:val="24"/>
                <w:szCs w:val="24"/>
              </w:rPr>
              <w:t>mm</w:t>
            </w:r>
            <w:r>
              <w:rPr>
                <w:spacing w:val="2"/>
                <w:sz w:val="24"/>
                <w:szCs w:val="24"/>
              </w:rPr>
              <w:t>防滑透水砖，</w:t>
            </w:r>
            <w:r>
              <w:rPr>
                <w:spacing w:val="-16"/>
                <w:sz w:val="24"/>
                <w:szCs w:val="24"/>
              </w:rPr>
              <w:t xml:space="preserve"> </w:t>
            </w:r>
            <w:r>
              <w:rPr>
                <w:spacing w:val="2"/>
                <w:sz w:val="24"/>
                <w:szCs w:val="24"/>
              </w:rPr>
              <w:t>M10水</w:t>
            </w:r>
            <w:r>
              <w:rPr>
                <w:sz w:val="24"/>
                <w:szCs w:val="24"/>
              </w:rPr>
              <w:t>泥砂浆找平；</w:t>
            </w:r>
          </w:p>
          <w:p w14:paraId="7BC1E566">
            <w:pPr>
              <w:pStyle w:val="133"/>
              <w:spacing w:line="195" w:lineRule="auto"/>
              <w:ind w:left="21" w:right="56" w:firstLine="8"/>
              <w:rPr>
                <w:sz w:val="24"/>
                <w:szCs w:val="24"/>
              </w:rPr>
            </w:pPr>
            <w:r>
              <w:rPr>
                <w:spacing w:val="8"/>
                <w:sz w:val="24"/>
                <w:szCs w:val="24"/>
              </w:rPr>
              <w:t>3.与原有路面顺接，高度</w:t>
            </w:r>
            <w:r>
              <w:rPr>
                <w:spacing w:val="9"/>
                <w:sz w:val="24"/>
                <w:szCs w:val="24"/>
              </w:rPr>
              <w:t>差≤3</w:t>
            </w:r>
            <w:r>
              <w:rPr>
                <w:sz w:val="24"/>
                <w:szCs w:val="24"/>
              </w:rPr>
              <w:t>mm</w:t>
            </w:r>
            <w:r>
              <w:rPr>
                <w:spacing w:val="9"/>
                <w:sz w:val="24"/>
                <w:szCs w:val="24"/>
              </w:rPr>
              <w:t>，平整度误差≤5</w:t>
            </w:r>
            <w:r>
              <w:rPr>
                <w:spacing w:val="4"/>
                <w:sz w:val="24"/>
                <w:szCs w:val="24"/>
              </w:rPr>
              <w:t xml:space="preserve"> </w:t>
            </w:r>
            <w:r>
              <w:rPr>
                <w:sz w:val="24"/>
                <w:szCs w:val="24"/>
              </w:rPr>
              <w:t>mm</w:t>
            </w:r>
            <w:r>
              <w:rPr>
                <w:spacing w:val="5"/>
                <w:sz w:val="24"/>
                <w:szCs w:val="24"/>
              </w:rPr>
              <w:t>/2m；</w:t>
            </w:r>
          </w:p>
          <w:p w14:paraId="3B1D02E5">
            <w:pPr>
              <w:pStyle w:val="133"/>
              <w:spacing w:before="1" w:line="207" w:lineRule="auto"/>
              <w:ind w:left="29" w:right="56" w:hanging="4"/>
              <w:rPr>
                <w:rFonts w:hint="eastAsia" w:eastAsia="宋体"/>
                <w:sz w:val="24"/>
                <w:szCs w:val="24"/>
                <w:lang w:eastAsia="zh-CN"/>
              </w:rPr>
            </w:pPr>
            <w:r>
              <w:rPr>
                <w:spacing w:val="8"/>
                <w:sz w:val="24"/>
                <w:szCs w:val="24"/>
              </w:rPr>
              <w:t>4.修复范围超出破损区域</w:t>
            </w:r>
            <w:r>
              <w:rPr>
                <w:spacing w:val="7"/>
                <w:sz w:val="24"/>
                <w:szCs w:val="24"/>
              </w:rPr>
              <w:t>300</w:t>
            </w:r>
            <w:r>
              <w:rPr>
                <w:sz w:val="24"/>
                <w:szCs w:val="24"/>
              </w:rPr>
              <w:t>mm</w:t>
            </w:r>
            <w:r>
              <w:rPr>
                <w:spacing w:val="7"/>
                <w:sz w:val="24"/>
                <w:szCs w:val="24"/>
              </w:rPr>
              <w:t>，确保整体稳定性</w:t>
            </w:r>
            <w:r>
              <w:rPr>
                <w:rFonts w:hint="eastAsia"/>
                <w:spacing w:val="3"/>
                <w:sz w:val="24"/>
                <w:szCs w:val="24"/>
                <w:lang w:eastAsia="zh-CN"/>
              </w:rPr>
              <w:t>；</w:t>
            </w:r>
          </w:p>
        </w:tc>
        <w:tc>
          <w:tcPr>
            <w:tcW w:w="610" w:type="pct"/>
            <w:vAlign w:val="top"/>
          </w:tcPr>
          <w:p w14:paraId="582EA73D">
            <w:pPr>
              <w:spacing w:line="267" w:lineRule="auto"/>
              <w:jc w:val="center"/>
              <w:rPr>
                <w:rFonts w:ascii="Arial"/>
                <w:sz w:val="24"/>
                <w:szCs w:val="24"/>
              </w:rPr>
            </w:pPr>
          </w:p>
          <w:p w14:paraId="3D72A2AD">
            <w:pPr>
              <w:spacing w:line="268" w:lineRule="auto"/>
              <w:jc w:val="center"/>
              <w:rPr>
                <w:rFonts w:ascii="Arial"/>
                <w:sz w:val="24"/>
                <w:szCs w:val="24"/>
              </w:rPr>
            </w:pPr>
          </w:p>
          <w:p w14:paraId="0B146020">
            <w:pPr>
              <w:spacing w:line="268" w:lineRule="auto"/>
              <w:jc w:val="center"/>
              <w:rPr>
                <w:rFonts w:ascii="Arial"/>
                <w:sz w:val="24"/>
                <w:szCs w:val="24"/>
              </w:rPr>
            </w:pPr>
          </w:p>
          <w:p w14:paraId="52A6FA7F">
            <w:pPr>
              <w:spacing w:line="268" w:lineRule="auto"/>
              <w:jc w:val="center"/>
              <w:rPr>
                <w:rFonts w:ascii="Arial"/>
                <w:sz w:val="24"/>
                <w:szCs w:val="24"/>
              </w:rPr>
            </w:pPr>
          </w:p>
          <w:p w14:paraId="66C21C88">
            <w:pPr>
              <w:spacing w:line="268" w:lineRule="auto"/>
              <w:jc w:val="center"/>
              <w:rPr>
                <w:rFonts w:ascii="Arial"/>
                <w:sz w:val="24"/>
                <w:szCs w:val="24"/>
              </w:rPr>
            </w:pPr>
          </w:p>
          <w:p w14:paraId="0B8CC61B">
            <w:pPr>
              <w:pStyle w:val="133"/>
              <w:spacing w:before="55" w:line="232" w:lineRule="exact"/>
              <w:ind w:left="204"/>
              <w:jc w:val="center"/>
              <w:rPr>
                <w:sz w:val="24"/>
                <w:szCs w:val="24"/>
              </w:rPr>
            </w:pPr>
            <w:r>
              <w:rPr>
                <w:spacing w:val="3"/>
                <w:position w:val="1"/>
                <w:sz w:val="24"/>
                <w:szCs w:val="24"/>
              </w:rPr>
              <w:t>m2</w:t>
            </w:r>
          </w:p>
        </w:tc>
        <w:tc>
          <w:tcPr>
            <w:tcW w:w="681" w:type="pct"/>
            <w:vAlign w:val="top"/>
          </w:tcPr>
          <w:p w14:paraId="649405BC">
            <w:pPr>
              <w:spacing w:line="267" w:lineRule="auto"/>
              <w:rPr>
                <w:rFonts w:ascii="Arial"/>
                <w:sz w:val="24"/>
                <w:szCs w:val="24"/>
              </w:rPr>
            </w:pPr>
          </w:p>
          <w:p w14:paraId="766E8E90">
            <w:pPr>
              <w:spacing w:line="268" w:lineRule="auto"/>
              <w:rPr>
                <w:rFonts w:ascii="Arial"/>
                <w:sz w:val="24"/>
                <w:szCs w:val="24"/>
              </w:rPr>
            </w:pPr>
          </w:p>
          <w:p w14:paraId="3F7F1015">
            <w:pPr>
              <w:spacing w:line="268" w:lineRule="auto"/>
              <w:rPr>
                <w:rFonts w:ascii="Arial"/>
                <w:sz w:val="24"/>
                <w:szCs w:val="24"/>
              </w:rPr>
            </w:pPr>
          </w:p>
          <w:p w14:paraId="77ABD665">
            <w:pPr>
              <w:spacing w:line="268" w:lineRule="auto"/>
              <w:rPr>
                <w:rFonts w:ascii="Arial"/>
                <w:sz w:val="24"/>
                <w:szCs w:val="24"/>
              </w:rPr>
            </w:pPr>
          </w:p>
          <w:p w14:paraId="59A9D389">
            <w:pPr>
              <w:spacing w:line="268" w:lineRule="auto"/>
              <w:rPr>
                <w:rFonts w:ascii="Arial"/>
                <w:sz w:val="24"/>
                <w:szCs w:val="24"/>
              </w:rPr>
            </w:pPr>
          </w:p>
          <w:p w14:paraId="665571B8">
            <w:pPr>
              <w:pStyle w:val="133"/>
              <w:spacing w:before="55" w:line="232" w:lineRule="exact"/>
              <w:ind w:left="373"/>
              <w:rPr>
                <w:sz w:val="24"/>
                <w:szCs w:val="24"/>
              </w:rPr>
            </w:pPr>
            <w:r>
              <w:rPr>
                <w:position w:val="1"/>
                <w:sz w:val="24"/>
                <w:szCs w:val="24"/>
              </w:rPr>
              <w:t>1</w:t>
            </w:r>
          </w:p>
        </w:tc>
        <w:tc>
          <w:tcPr>
            <w:tcW w:w="758" w:type="pct"/>
            <w:vAlign w:val="top"/>
          </w:tcPr>
          <w:p w14:paraId="634D48EB">
            <w:pPr>
              <w:pStyle w:val="133"/>
              <w:spacing w:before="56" w:line="232" w:lineRule="exact"/>
              <w:ind w:left="373"/>
              <w:jc w:val="both"/>
              <w:rPr>
                <w:rFonts w:hint="eastAsia"/>
                <w:position w:val="1"/>
                <w:sz w:val="24"/>
                <w:szCs w:val="24"/>
                <w:lang w:val="en-US" w:eastAsia="zh-CN"/>
              </w:rPr>
            </w:pPr>
          </w:p>
          <w:p w14:paraId="24E3EFFE">
            <w:pPr>
              <w:pStyle w:val="133"/>
              <w:spacing w:before="56" w:line="232" w:lineRule="exact"/>
              <w:ind w:left="373"/>
              <w:jc w:val="both"/>
              <w:rPr>
                <w:rFonts w:hint="eastAsia"/>
                <w:position w:val="1"/>
                <w:sz w:val="24"/>
                <w:szCs w:val="24"/>
                <w:lang w:val="en-US" w:eastAsia="zh-CN"/>
              </w:rPr>
            </w:pPr>
          </w:p>
          <w:p w14:paraId="1B449794">
            <w:pPr>
              <w:pStyle w:val="133"/>
              <w:spacing w:before="56" w:line="232" w:lineRule="exact"/>
              <w:ind w:left="373"/>
              <w:jc w:val="both"/>
              <w:rPr>
                <w:rFonts w:hint="eastAsia"/>
                <w:position w:val="1"/>
                <w:sz w:val="24"/>
                <w:szCs w:val="24"/>
                <w:lang w:val="en-US" w:eastAsia="zh-CN"/>
              </w:rPr>
            </w:pPr>
          </w:p>
          <w:p w14:paraId="45237F49">
            <w:pPr>
              <w:pStyle w:val="133"/>
              <w:spacing w:before="56" w:line="232" w:lineRule="exact"/>
              <w:ind w:left="373"/>
              <w:jc w:val="both"/>
              <w:rPr>
                <w:rFonts w:hint="eastAsia"/>
                <w:position w:val="1"/>
                <w:sz w:val="24"/>
                <w:szCs w:val="24"/>
                <w:lang w:val="en-US" w:eastAsia="zh-CN"/>
              </w:rPr>
            </w:pPr>
          </w:p>
          <w:p w14:paraId="3219EA97">
            <w:pPr>
              <w:pStyle w:val="133"/>
              <w:spacing w:before="56" w:line="232" w:lineRule="exact"/>
              <w:ind w:left="373"/>
              <w:jc w:val="both"/>
              <w:rPr>
                <w:rFonts w:hint="eastAsia"/>
                <w:position w:val="1"/>
                <w:sz w:val="24"/>
                <w:szCs w:val="24"/>
                <w:lang w:val="en-US" w:eastAsia="zh-CN"/>
              </w:rPr>
            </w:pPr>
          </w:p>
          <w:p w14:paraId="0D2B08CB">
            <w:pPr>
              <w:pStyle w:val="133"/>
              <w:spacing w:before="56" w:line="232" w:lineRule="exact"/>
              <w:ind w:left="373"/>
              <w:jc w:val="both"/>
              <w:rPr>
                <w:rFonts w:hint="eastAsia"/>
                <w:position w:val="1"/>
                <w:sz w:val="24"/>
                <w:szCs w:val="24"/>
                <w:lang w:val="en-US" w:eastAsia="zh-CN"/>
              </w:rPr>
            </w:pPr>
          </w:p>
          <w:p w14:paraId="4D77F936">
            <w:pPr>
              <w:pStyle w:val="133"/>
              <w:spacing w:before="56" w:line="232" w:lineRule="exact"/>
              <w:jc w:val="center"/>
              <w:rPr>
                <w:rFonts w:hint="eastAsia"/>
                <w:position w:val="1"/>
                <w:sz w:val="24"/>
                <w:szCs w:val="24"/>
                <w:lang w:val="en-US" w:eastAsia="zh-CN"/>
              </w:rPr>
            </w:pPr>
            <w:r>
              <w:rPr>
                <w:rFonts w:hint="eastAsia"/>
                <w:position w:val="1"/>
                <w:sz w:val="24"/>
                <w:szCs w:val="24"/>
                <w:lang w:val="en-US" w:eastAsia="zh-CN"/>
              </w:rPr>
              <w:t>193.4</w:t>
            </w:r>
          </w:p>
          <w:p w14:paraId="2B9B2169">
            <w:pPr>
              <w:pStyle w:val="133"/>
              <w:spacing w:before="56" w:line="232" w:lineRule="exact"/>
              <w:ind w:left="373"/>
              <w:jc w:val="both"/>
              <w:rPr>
                <w:rFonts w:hint="eastAsia"/>
                <w:position w:val="1"/>
                <w:sz w:val="24"/>
                <w:szCs w:val="24"/>
                <w:lang w:val="en-US" w:eastAsia="zh-CN"/>
              </w:rPr>
            </w:pPr>
          </w:p>
          <w:p w14:paraId="10F01566">
            <w:pPr>
              <w:pStyle w:val="133"/>
              <w:spacing w:before="56" w:line="232" w:lineRule="exact"/>
              <w:ind w:left="373"/>
              <w:jc w:val="both"/>
              <w:rPr>
                <w:rFonts w:hint="default"/>
                <w:position w:val="1"/>
                <w:sz w:val="24"/>
                <w:szCs w:val="24"/>
                <w:lang w:val="en-US" w:eastAsia="zh-CN"/>
              </w:rPr>
            </w:pPr>
          </w:p>
        </w:tc>
      </w:tr>
      <w:tr w14:paraId="1C53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vAlign w:val="top"/>
          </w:tcPr>
          <w:p w14:paraId="552218A3">
            <w:pPr>
              <w:spacing w:line="297" w:lineRule="auto"/>
              <w:rPr>
                <w:rFonts w:ascii="Arial"/>
                <w:sz w:val="24"/>
                <w:szCs w:val="24"/>
              </w:rPr>
            </w:pPr>
          </w:p>
          <w:p w14:paraId="79B7E00F">
            <w:pPr>
              <w:pStyle w:val="133"/>
              <w:spacing w:before="55" w:line="231" w:lineRule="exact"/>
              <w:ind w:left="330"/>
              <w:rPr>
                <w:sz w:val="24"/>
                <w:szCs w:val="24"/>
              </w:rPr>
            </w:pPr>
            <w:r>
              <w:rPr>
                <w:position w:val="1"/>
                <w:sz w:val="24"/>
                <w:szCs w:val="24"/>
              </w:rPr>
              <w:t>5</w:t>
            </w:r>
          </w:p>
        </w:tc>
        <w:tc>
          <w:tcPr>
            <w:tcW w:w="645" w:type="pct"/>
            <w:vAlign w:val="top"/>
          </w:tcPr>
          <w:p w14:paraId="636D6988">
            <w:pPr>
              <w:spacing w:line="297" w:lineRule="auto"/>
              <w:rPr>
                <w:rFonts w:ascii="Arial"/>
                <w:sz w:val="24"/>
                <w:szCs w:val="24"/>
              </w:rPr>
            </w:pPr>
          </w:p>
          <w:p w14:paraId="42EF00E5">
            <w:pPr>
              <w:pStyle w:val="133"/>
              <w:spacing w:before="55" w:line="231" w:lineRule="exact"/>
              <w:ind w:left="17"/>
              <w:rPr>
                <w:sz w:val="24"/>
                <w:szCs w:val="24"/>
              </w:rPr>
            </w:pPr>
            <w:r>
              <w:rPr>
                <w:spacing w:val="4"/>
                <w:position w:val="1"/>
                <w:sz w:val="24"/>
                <w:szCs w:val="24"/>
              </w:rPr>
              <w:t>040204007001</w:t>
            </w:r>
          </w:p>
        </w:tc>
        <w:tc>
          <w:tcPr>
            <w:tcW w:w="759" w:type="pct"/>
            <w:vAlign w:val="top"/>
          </w:tcPr>
          <w:p w14:paraId="26A7A6CB">
            <w:pPr>
              <w:spacing w:line="297" w:lineRule="auto"/>
              <w:rPr>
                <w:rFonts w:ascii="Arial"/>
                <w:sz w:val="24"/>
                <w:szCs w:val="24"/>
              </w:rPr>
            </w:pPr>
          </w:p>
          <w:p w14:paraId="3DA7A559">
            <w:pPr>
              <w:pStyle w:val="133"/>
              <w:spacing w:before="55" w:line="230" w:lineRule="auto"/>
              <w:ind w:left="23"/>
              <w:rPr>
                <w:sz w:val="24"/>
                <w:szCs w:val="24"/>
              </w:rPr>
            </w:pPr>
            <w:r>
              <w:rPr>
                <w:spacing w:val="7"/>
                <w:sz w:val="24"/>
                <w:szCs w:val="24"/>
              </w:rPr>
              <w:t>树池砌筑</w:t>
            </w:r>
          </w:p>
        </w:tc>
        <w:tc>
          <w:tcPr>
            <w:tcW w:w="1173" w:type="pct"/>
            <w:vAlign w:val="top"/>
          </w:tcPr>
          <w:p w14:paraId="03D05031">
            <w:pPr>
              <w:pStyle w:val="133"/>
              <w:spacing w:before="175" w:line="195" w:lineRule="auto"/>
              <w:ind w:left="26" w:right="56" w:firstLine="12"/>
              <w:rPr>
                <w:sz w:val="24"/>
                <w:szCs w:val="24"/>
              </w:rPr>
            </w:pPr>
            <w:r>
              <w:rPr>
                <w:spacing w:val="7"/>
                <w:sz w:val="24"/>
                <w:szCs w:val="24"/>
              </w:rPr>
              <w:t>1.材质：采用混凝土立缘</w:t>
            </w:r>
            <w:r>
              <w:rPr>
                <w:spacing w:val="-1"/>
                <w:sz w:val="24"/>
                <w:szCs w:val="24"/>
              </w:rPr>
              <w:t>石，规格1200×</w:t>
            </w:r>
            <w:r>
              <w:rPr>
                <w:spacing w:val="-16"/>
                <w:sz w:val="24"/>
                <w:szCs w:val="24"/>
              </w:rPr>
              <w:t xml:space="preserve"> </w:t>
            </w:r>
            <w:r>
              <w:rPr>
                <w:spacing w:val="-1"/>
                <w:sz w:val="24"/>
                <w:szCs w:val="24"/>
              </w:rPr>
              <w:t>100×</w:t>
            </w:r>
            <w:r>
              <w:rPr>
                <w:spacing w:val="-40"/>
                <w:sz w:val="24"/>
                <w:szCs w:val="24"/>
              </w:rPr>
              <w:t xml:space="preserve"> </w:t>
            </w:r>
            <w:r>
              <w:rPr>
                <w:spacing w:val="-1"/>
                <w:sz w:val="24"/>
                <w:szCs w:val="24"/>
              </w:rPr>
              <w:t>250</w:t>
            </w:r>
          </w:p>
          <w:p w14:paraId="29284D10">
            <w:pPr>
              <w:pStyle w:val="133"/>
              <w:spacing w:line="230" w:lineRule="auto"/>
              <w:ind w:left="21"/>
              <w:rPr>
                <w:rFonts w:hint="eastAsia"/>
                <w:spacing w:val="7"/>
                <w:sz w:val="24"/>
                <w:szCs w:val="24"/>
              </w:rPr>
            </w:pPr>
            <w:r>
              <w:rPr>
                <w:sz w:val="24"/>
                <w:szCs w:val="24"/>
              </w:rPr>
              <w:t>mm</w:t>
            </w:r>
            <w:r>
              <w:rPr>
                <w:spacing w:val="7"/>
                <w:sz w:val="24"/>
                <w:szCs w:val="24"/>
              </w:rPr>
              <w:t>，抗压强度≥</w:t>
            </w:r>
            <w:r>
              <w:rPr>
                <w:rFonts w:hint="eastAsia"/>
                <w:spacing w:val="7"/>
                <w:sz w:val="24"/>
                <w:szCs w:val="24"/>
              </w:rPr>
              <w:t>120MPa；</w:t>
            </w:r>
          </w:p>
          <w:p w14:paraId="3364658F">
            <w:pPr>
              <w:pStyle w:val="133"/>
              <w:spacing w:line="230" w:lineRule="auto"/>
              <w:ind w:left="21"/>
              <w:rPr>
                <w:rFonts w:hint="eastAsia"/>
                <w:spacing w:val="7"/>
                <w:sz w:val="24"/>
                <w:szCs w:val="24"/>
              </w:rPr>
            </w:pPr>
            <w:r>
              <w:rPr>
                <w:rFonts w:hint="eastAsia"/>
                <w:spacing w:val="7"/>
                <w:sz w:val="24"/>
                <w:szCs w:val="24"/>
              </w:rPr>
              <w:t>2.砌筑方式： M10水泥砂浆砌筑，缝宽8-10mm，勾缝平整；</w:t>
            </w:r>
          </w:p>
          <w:p w14:paraId="10BEB843">
            <w:pPr>
              <w:pStyle w:val="133"/>
              <w:spacing w:line="230" w:lineRule="auto"/>
              <w:ind w:left="21"/>
              <w:rPr>
                <w:rFonts w:hint="eastAsia"/>
                <w:spacing w:val="7"/>
                <w:sz w:val="24"/>
                <w:szCs w:val="24"/>
              </w:rPr>
            </w:pPr>
            <w:r>
              <w:rPr>
                <w:rFonts w:hint="eastAsia"/>
                <w:spacing w:val="7"/>
                <w:sz w:val="24"/>
                <w:szCs w:val="24"/>
              </w:rPr>
              <w:t>3.树池尺寸： 1.2m× 1.2m （或按实际树木胸径调整 ),边缘高出人行道50mm ;</w:t>
            </w:r>
          </w:p>
          <w:p w14:paraId="320F810A">
            <w:pPr>
              <w:pStyle w:val="133"/>
              <w:spacing w:line="230" w:lineRule="auto"/>
              <w:ind w:left="21"/>
              <w:rPr>
                <w:sz w:val="24"/>
                <w:szCs w:val="24"/>
              </w:rPr>
            </w:pPr>
            <w:r>
              <w:rPr>
                <w:rFonts w:hint="eastAsia"/>
                <w:spacing w:val="7"/>
                <w:sz w:val="24"/>
                <w:szCs w:val="24"/>
              </w:rPr>
              <w:t>4.底部铺设100mm厚级配砂石垫层，透水率≥1×10</w:t>
            </w:r>
            <w:r>
              <w:rPr>
                <w:rFonts w:ascii="Arial" w:hAnsi="Arial" w:eastAsia="宋体" w:cs="Arial"/>
                <w:i w:val="0"/>
                <w:iCs w:val="0"/>
                <w:caps w:val="0"/>
                <w:color w:val="333333"/>
                <w:spacing w:val="0"/>
                <w:sz w:val="21"/>
                <w:szCs w:val="21"/>
                <w:shd w:val="clear" w:fill="FFFFFF"/>
              </w:rPr>
              <w:t>⁻³</w:t>
            </w:r>
            <w:r>
              <w:rPr>
                <w:rFonts w:hint="eastAsia"/>
                <w:spacing w:val="7"/>
                <w:sz w:val="24"/>
                <w:szCs w:val="24"/>
              </w:rPr>
              <w:t>m/S;</w:t>
            </w:r>
          </w:p>
        </w:tc>
        <w:tc>
          <w:tcPr>
            <w:tcW w:w="610" w:type="pct"/>
            <w:vAlign w:val="top"/>
          </w:tcPr>
          <w:p w14:paraId="66AA7447">
            <w:pPr>
              <w:spacing w:line="297" w:lineRule="auto"/>
              <w:jc w:val="center"/>
              <w:rPr>
                <w:rFonts w:ascii="Arial"/>
                <w:sz w:val="24"/>
                <w:szCs w:val="24"/>
              </w:rPr>
            </w:pPr>
          </w:p>
          <w:p w14:paraId="364F1D17">
            <w:pPr>
              <w:pStyle w:val="133"/>
              <w:spacing w:before="55" w:line="230" w:lineRule="auto"/>
              <w:ind w:left="209"/>
              <w:jc w:val="center"/>
              <w:rPr>
                <w:sz w:val="24"/>
                <w:szCs w:val="24"/>
              </w:rPr>
            </w:pPr>
            <w:r>
              <w:rPr>
                <w:spacing w:val="2"/>
                <w:sz w:val="24"/>
                <w:szCs w:val="24"/>
              </w:rPr>
              <w:t>个</w:t>
            </w:r>
          </w:p>
        </w:tc>
        <w:tc>
          <w:tcPr>
            <w:tcW w:w="681" w:type="pct"/>
            <w:vAlign w:val="top"/>
          </w:tcPr>
          <w:p w14:paraId="5791962B">
            <w:pPr>
              <w:spacing w:line="297" w:lineRule="auto"/>
              <w:rPr>
                <w:rFonts w:ascii="Arial"/>
                <w:sz w:val="24"/>
                <w:szCs w:val="24"/>
              </w:rPr>
            </w:pPr>
          </w:p>
          <w:p w14:paraId="6D83755B">
            <w:pPr>
              <w:pStyle w:val="133"/>
              <w:spacing w:before="55" w:line="232" w:lineRule="exact"/>
              <w:ind w:left="373"/>
              <w:rPr>
                <w:sz w:val="24"/>
                <w:szCs w:val="24"/>
              </w:rPr>
            </w:pPr>
            <w:r>
              <w:rPr>
                <w:position w:val="1"/>
                <w:sz w:val="24"/>
                <w:szCs w:val="24"/>
              </w:rPr>
              <w:t>1</w:t>
            </w:r>
          </w:p>
        </w:tc>
        <w:tc>
          <w:tcPr>
            <w:tcW w:w="758" w:type="pct"/>
            <w:vAlign w:val="top"/>
          </w:tcPr>
          <w:p w14:paraId="708F8D1B">
            <w:pPr>
              <w:pStyle w:val="133"/>
              <w:spacing w:before="56" w:line="232" w:lineRule="exact"/>
              <w:ind w:left="373"/>
              <w:jc w:val="both"/>
              <w:rPr>
                <w:position w:val="1"/>
                <w:sz w:val="24"/>
                <w:szCs w:val="24"/>
              </w:rPr>
            </w:pPr>
          </w:p>
          <w:p w14:paraId="1A016F02">
            <w:pPr>
              <w:pStyle w:val="133"/>
              <w:spacing w:before="56" w:line="232" w:lineRule="exact"/>
              <w:ind w:left="373"/>
              <w:jc w:val="both"/>
              <w:rPr>
                <w:rFonts w:hint="default"/>
                <w:position w:val="1"/>
                <w:sz w:val="24"/>
                <w:szCs w:val="24"/>
                <w:lang w:val="en-US" w:eastAsia="zh-CN"/>
              </w:rPr>
            </w:pPr>
            <w:r>
              <w:rPr>
                <w:rFonts w:hint="eastAsia"/>
                <w:position w:val="1"/>
                <w:sz w:val="24"/>
                <w:szCs w:val="24"/>
                <w:lang w:val="en-US" w:eastAsia="zh-CN"/>
              </w:rPr>
              <w:t>120</w:t>
            </w:r>
          </w:p>
        </w:tc>
      </w:tr>
      <w:tr w14:paraId="5E98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79A35D68">
            <w:pPr>
              <w:spacing w:line="278" w:lineRule="auto"/>
              <w:rPr>
                <w:rFonts w:ascii="Arial"/>
                <w:sz w:val="24"/>
                <w:szCs w:val="24"/>
              </w:rPr>
            </w:pPr>
          </w:p>
          <w:p w14:paraId="0735BB75">
            <w:pPr>
              <w:spacing w:line="278" w:lineRule="auto"/>
              <w:rPr>
                <w:rFonts w:ascii="Arial"/>
                <w:sz w:val="24"/>
                <w:szCs w:val="24"/>
              </w:rPr>
            </w:pPr>
          </w:p>
          <w:p w14:paraId="376F799C">
            <w:pPr>
              <w:spacing w:line="278" w:lineRule="auto"/>
              <w:rPr>
                <w:rFonts w:ascii="Arial"/>
                <w:sz w:val="24"/>
                <w:szCs w:val="24"/>
              </w:rPr>
            </w:pPr>
          </w:p>
          <w:p w14:paraId="1EBDEA5F">
            <w:pPr>
              <w:spacing w:line="279" w:lineRule="auto"/>
              <w:rPr>
                <w:rFonts w:ascii="Arial"/>
                <w:sz w:val="24"/>
                <w:szCs w:val="24"/>
              </w:rPr>
            </w:pPr>
          </w:p>
          <w:p w14:paraId="640F5B07">
            <w:pPr>
              <w:pStyle w:val="133"/>
              <w:spacing w:before="56" w:line="230" w:lineRule="exact"/>
              <w:ind w:left="327" w:leftChars="0"/>
              <w:rPr>
                <w:rFonts w:ascii="宋体" w:hAnsi="宋体" w:eastAsia="宋体" w:cs="宋体"/>
                <w:snapToGrid w:val="0"/>
                <w:color w:val="000000"/>
                <w:kern w:val="0"/>
                <w:sz w:val="24"/>
                <w:szCs w:val="24"/>
                <w:lang w:val="en-US" w:eastAsia="en-US" w:bidi="ar-SA"/>
              </w:rPr>
            </w:pPr>
            <w:r>
              <w:rPr>
                <w:position w:val="1"/>
                <w:sz w:val="24"/>
                <w:szCs w:val="24"/>
              </w:rPr>
              <w:t>6</w:t>
            </w:r>
          </w:p>
        </w:tc>
        <w:tc>
          <w:tcPr>
            <w:tcW w:w="645" w:type="pct"/>
            <w:shd w:val="clear" w:color="auto" w:fill="auto"/>
            <w:vAlign w:val="top"/>
          </w:tcPr>
          <w:p w14:paraId="39E791F4">
            <w:pPr>
              <w:spacing w:line="278" w:lineRule="auto"/>
              <w:rPr>
                <w:rFonts w:ascii="Arial"/>
                <w:sz w:val="24"/>
                <w:szCs w:val="24"/>
              </w:rPr>
            </w:pPr>
          </w:p>
          <w:p w14:paraId="5F1A821A">
            <w:pPr>
              <w:spacing w:line="278" w:lineRule="auto"/>
              <w:rPr>
                <w:rFonts w:ascii="Arial"/>
                <w:sz w:val="24"/>
                <w:szCs w:val="24"/>
              </w:rPr>
            </w:pPr>
          </w:p>
          <w:p w14:paraId="3779E99A">
            <w:pPr>
              <w:spacing w:line="278" w:lineRule="auto"/>
              <w:rPr>
                <w:rFonts w:ascii="Arial"/>
                <w:sz w:val="24"/>
                <w:szCs w:val="24"/>
              </w:rPr>
            </w:pPr>
          </w:p>
          <w:p w14:paraId="30070E8E">
            <w:pPr>
              <w:spacing w:line="279" w:lineRule="auto"/>
              <w:rPr>
                <w:rFonts w:ascii="Arial"/>
                <w:sz w:val="24"/>
                <w:szCs w:val="24"/>
              </w:rPr>
            </w:pPr>
          </w:p>
          <w:p w14:paraId="5FCCD7AA">
            <w:pPr>
              <w:pStyle w:val="133"/>
              <w:spacing w:before="56" w:line="230"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040204007002</w:t>
            </w:r>
          </w:p>
        </w:tc>
        <w:tc>
          <w:tcPr>
            <w:tcW w:w="759" w:type="pct"/>
            <w:shd w:val="clear" w:color="auto" w:fill="auto"/>
            <w:vAlign w:val="top"/>
          </w:tcPr>
          <w:p w14:paraId="6D268964">
            <w:pPr>
              <w:spacing w:line="278" w:lineRule="auto"/>
              <w:rPr>
                <w:rFonts w:ascii="Arial"/>
                <w:sz w:val="24"/>
                <w:szCs w:val="24"/>
              </w:rPr>
            </w:pPr>
          </w:p>
          <w:p w14:paraId="67EB2115">
            <w:pPr>
              <w:spacing w:line="278" w:lineRule="auto"/>
              <w:rPr>
                <w:rFonts w:ascii="Arial"/>
                <w:sz w:val="24"/>
                <w:szCs w:val="24"/>
              </w:rPr>
            </w:pPr>
          </w:p>
          <w:p w14:paraId="75ED2DEA">
            <w:pPr>
              <w:spacing w:line="279" w:lineRule="auto"/>
              <w:rPr>
                <w:rFonts w:ascii="Arial"/>
                <w:sz w:val="24"/>
                <w:szCs w:val="24"/>
              </w:rPr>
            </w:pPr>
          </w:p>
          <w:p w14:paraId="1C0FCE92">
            <w:pPr>
              <w:spacing w:line="279" w:lineRule="auto"/>
              <w:rPr>
                <w:rFonts w:ascii="Arial"/>
                <w:sz w:val="24"/>
                <w:szCs w:val="24"/>
              </w:rPr>
            </w:pPr>
          </w:p>
          <w:p w14:paraId="1F262620">
            <w:pPr>
              <w:pStyle w:val="133"/>
              <w:spacing w:before="55" w:line="230" w:lineRule="auto"/>
              <w:ind w:left="22" w:leftChars="0"/>
              <w:rPr>
                <w:rFonts w:ascii="宋体" w:hAnsi="宋体" w:eastAsia="宋体" w:cs="宋体"/>
                <w:snapToGrid w:val="0"/>
                <w:color w:val="000000"/>
                <w:kern w:val="0"/>
                <w:sz w:val="24"/>
                <w:szCs w:val="24"/>
                <w:lang w:val="en-US" w:eastAsia="en-US" w:bidi="ar-SA"/>
              </w:rPr>
            </w:pPr>
            <w:r>
              <w:rPr>
                <w:spacing w:val="7"/>
                <w:sz w:val="24"/>
                <w:szCs w:val="24"/>
              </w:rPr>
              <w:t>树池修复</w:t>
            </w:r>
          </w:p>
        </w:tc>
        <w:tc>
          <w:tcPr>
            <w:tcW w:w="1173" w:type="pct"/>
            <w:shd w:val="clear" w:color="auto" w:fill="auto"/>
            <w:vAlign w:val="top"/>
          </w:tcPr>
          <w:p w14:paraId="286E40AB">
            <w:pPr>
              <w:pStyle w:val="133"/>
              <w:spacing w:before="277" w:line="195" w:lineRule="auto"/>
              <w:ind w:left="25" w:right="57" w:firstLine="13"/>
              <w:rPr>
                <w:sz w:val="24"/>
                <w:szCs w:val="24"/>
              </w:rPr>
            </w:pPr>
            <w:r>
              <w:rPr>
                <w:spacing w:val="7"/>
                <w:sz w:val="24"/>
                <w:szCs w:val="24"/>
              </w:rPr>
              <w:t>1.拆除破损立缘石，清理</w:t>
            </w:r>
            <w:r>
              <w:rPr>
                <w:spacing w:val="-1"/>
                <w:sz w:val="24"/>
                <w:szCs w:val="24"/>
              </w:rPr>
              <w:t>基础杂物；</w:t>
            </w:r>
          </w:p>
          <w:p w14:paraId="0CA45788">
            <w:pPr>
              <w:pStyle w:val="133"/>
              <w:spacing w:line="195" w:lineRule="auto"/>
              <w:ind w:left="25" w:right="57" w:firstLine="2"/>
              <w:rPr>
                <w:sz w:val="24"/>
                <w:szCs w:val="24"/>
              </w:rPr>
            </w:pPr>
            <w:r>
              <w:rPr>
                <w:spacing w:val="8"/>
                <w:sz w:val="24"/>
                <w:szCs w:val="24"/>
              </w:rPr>
              <w:t>2.重新砌筑：采用与原有</w:t>
            </w:r>
            <w:r>
              <w:rPr>
                <w:spacing w:val="9"/>
                <w:sz w:val="24"/>
                <w:szCs w:val="24"/>
              </w:rPr>
              <w:t>材质一致的混凝土立缘石</w:t>
            </w:r>
            <w:r>
              <w:rPr>
                <w:sz w:val="24"/>
                <w:szCs w:val="24"/>
              </w:rPr>
              <w:t xml:space="preserve"> </w:t>
            </w:r>
            <w:r>
              <w:rPr>
                <w:spacing w:val="-1"/>
                <w:sz w:val="24"/>
                <w:szCs w:val="24"/>
              </w:rPr>
              <w:t>,</w:t>
            </w:r>
            <w:r>
              <w:rPr>
                <w:spacing w:val="48"/>
                <w:sz w:val="24"/>
                <w:szCs w:val="24"/>
              </w:rPr>
              <w:t xml:space="preserve"> </w:t>
            </w:r>
            <w:r>
              <w:rPr>
                <w:spacing w:val="-1"/>
                <w:sz w:val="24"/>
                <w:szCs w:val="24"/>
              </w:rPr>
              <w:t>M10水泥砂浆砌筑；</w:t>
            </w:r>
          </w:p>
          <w:p w14:paraId="76806B00">
            <w:pPr>
              <w:pStyle w:val="133"/>
              <w:spacing w:line="195" w:lineRule="auto"/>
              <w:ind w:left="25" w:right="57" w:firstLine="2"/>
              <w:rPr>
                <w:sz w:val="24"/>
                <w:szCs w:val="24"/>
              </w:rPr>
            </w:pPr>
            <w:r>
              <w:rPr>
                <w:spacing w:val="4"/>
                <w:sz w:val="24"/>
                <w:szCs w:val="24"/>
              </w:rPr>
              <w:t>3.修复后树池边缘平整，</w:t>
            </w:r>
            <w:r>
              <w:rPr>
                <w:spacing w:val="9"/>
                <w:sz w:val="24"/>
                <w:szCs w:val="24"/>
              </w:rPr>
              <w:t>与人行道衔接顺畅，无松</w:t>
            </w:r>
            <w:r>
              <w:rPr>
                <w:spacing w:val="-1"/>
                <w:sz w:val="24"/>
                <w:szCs w:val="24"/>
              </w:rPr>
              <w:t>动、倾斜；</w:t>
            </w:r>
          </w:p>
          <w:p w14:paraId="197276AB">
            <w:pPr>
              <w:pStyle w:val="133"/>
              <w:spacing w:before="1" w:line="207" w:lineRule="auto"/>
              <w:ind w:left="25" w:leftChars="0" w:right="57" w:rightChars="0" w:hanging="1" w:firstLineChars="0"/>
              <w:rPr>
                <w:rFonts w:ascii="宋体" w:hAnsi="宋体" w:eastAsia="宋体" w:cs="宋体"/>
                <w:snapToGrid w:val="0"/>
                <w:color w:val="000000"/>
                <w:kern w:val="0"/>
                <w:sz w:val="24"/>
                <w:szCs w:val="24"/>
                <w:lang w:val="en-US" w:eastAsia="en-US" w:bidi="ar-SA"/>
              </w:rPr>
            </w:pPr>
            <w:r>
              <w:rPr>
                <w:spacing w:val="8"/>
                <w:sz w:val="24"/>
                <w:szCs w:val="24"/>
              </w:rPr>
              <w:t>4.对树池内土壤进行改良</w:t>
            </w:r>
            <w:r>
              <w:rPr>
                <w:spacing w:val="3"/>
                <w:sz w:val="24"/>
                <w:szCs w:val="24"/>
              </w:rPr>
              <w:t xml:space="preserve"> </w:t>
            </w:r>
            <w:r>
              <w:rPr>
                <w:spacing w:val="16"/>
                <w:sz w:val="24"/>
                <w:szCs w:val="24"/>
              </w:rPr>
              <w:t>,添加有机基质，改善透</w:t>
            </w:r>
            <w:r>
              <w:rPr>
                <w:spacing w:val="-6"/>
                <w:sz w:val="24"/>
                <w:szCs w:val="24"/>
              </w:rPr>
              <w:t>气性；</w:t>
            </w:r>
          </w:p>
        </w:tc>
        <w:tc>
          <w:tcPr>
            <w:tcW w:w="610" w:type="pct"/>
            <w:shd w:val="clear" w:color="auto" w:fill="auto"/>
            <w:vAlign w:val="top"/>
          </w:tcPr>
          <w:p w14:paraId="27A660EC">
            <w:pPr>
              <w:spacing w:line="278" w:lineRule="auto"/>
              <w:rPr>
                <w:rFonts w:ascii="Arial"/>
                <w:sz w:val="24"/>
                <w:szCs w:val="24"/>
              </w:rPr>
            </w:pPr>
          </w:p>
          <w:p w14:paraId="48CABBE5">
            <w:pPr>
              <w:spacing w:line="278" w:lineRule="auto"/>
              <w:rPr>
                <w:rFonts w:ascii="Arial"/>
                <w:sz w:val="24"/>
                <w:szCs w:val="24"/>
              </w:rPr>
            </w:pPr>
          </w:p>
          <w:p w14:paraId="61931DA6">
            <w:pPr>
              <w:spacing w:line="279" w:lineRule="auto"/>
              <w:rPr>
                <w:rFonts w:ascii="Arial"/>
                <w:sz w:val="24"/>
                <w:szCs w:val="24"/>
              </w:rPr>
            </w:pPr>
          </w:p>
          <w:p w14:paraId="0E65BAF0">
            <w:pPr>
              <w:spacing w:line="279" w:lineRule="auto"/>
              <w:rPr>
                <w:rFonts w:ascii="Arial"/>
                <w:sz w:val="24"/>
                <w:szCs w:val="24"/>
              </w:rPr>
            </w:pPr>
          </w:p>
          <w:p w14:paraId="6FE6809D">
            <w:pPr>
              <w:pStyle w:val="133"/>
              <w:spacing w:before="55" w:line="230" w:lineRule="auto"/>
              <w:ind w:left="208" w:leftChars="0"/>
              <w:rPr>
                <w:rFonts w:ascii="宋体" w:hAnsi="宋体" w:eastAsia="宋体" w:cs="宋体"/>
                <w:snapToGrid w:val="0"/>
                <w:color w:val="000000"/>
                <w:kern w:val="0"/>
                <w:sz w:val="24"/>
                <w:szCs w:val="24"/>
                <w:lang w:val="en-US" w:eastAsia="en-US" w:bidi="ar-SA"/>
              </w:rPr>
            </w:pPr>
            <w:r>
              <w:rPr>
                <w:spacing w:val="2"/>
                <w:sz w:val="24"/>
                <w:szCs w:val="24"/>
              </w:rPr>
              <w:t>个</w:t>
            </w:r>
          </w:p>
        </w:tc>
        <w:tc>
          <w:tcPr>
            <w:tcW w:w="681" w:type="pct"/>
            <w:shd w:val="clear" w:color="auto" w:fill="auto"/>
            <w:vAlign w:val="top"/>
          </w:tcPr>
          <w:p w14:paraId="359722A1">
            <w:pPr>
              <w:spacing w:line="278" w:lineRule="auto"/>
              <w:rPr>
                <w:rFonts w:ascii="Arial"/>
                <w:sz w:val="24"/>
                <w:szCs w:val="24"/>
              </w:rPr>
            </w:pPr>
          </w:p>
          <w:p w14:paraId="01967E34">
            <w:pPr>
              <w:spacing w:line="278" w:lineRule="auto"/>
              <w:rPr>
                <w:rFonts w:ascii="Arial"/>
                <w:sz w:val="24"/>
                <w:szCs w:val="24"/>
              </w:rPr>
            </w:pPr>
          </w:p>
          <w:p w14:paraId="007D3772">
            <w:pPr>
              <w:spacing w:line="278" w:lineRule="auto"/>
              <w:rPr>
                <w:rFonts w:ascii="Arial"/>
                <w:sz w:val="24"/>
                <w:szCs w:val="24"/>
              </w:rPr>
            </w:pPr>
          </w:p>
          <w:p w14:paraId="40712089">
            <w:pPr>
              <w:spacing w:line="279" w:lineRule="auto"/>
              <w:rPr>
                <w:rFonts w:ascii="Arial"/>
                <w:sz w:val="24"/>
                <w:szCs w:val="24"/>
              </w:rPr>
            </w:pPr>
          </w:p>
          <w:p w14:paraId="1C3E782C">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ED4613F">
            <w:pPr>
              <w:pStyle w:val="133"/>
              <w:spacing w:before="55" w:line="230" w:lineRule="auto"/>
              <w:jc w:val="center"/>
              <w:rPr>
                <w:rFonts w:hint="eastAsia"/>
                <w:sz w:val="24"/>
                <w:szCs w:val="24"/>
                <w:lang w:val="en-US" w:eastAsia="zh-CN"/>
              </w:rPr>
            </w:pPr>
          </w:p>
          <w:p w14:paraId="20BDD575">
            <w:pPr>
              <w:pStyle w:val="133"/>
              <w:spacing w:before="55" w:line="230" w:lineRule="auto"/>
              <w:jc w:val="center"/>
              <w:rPr>
                <w:rFonts w:hint="eastAsia"/>
                <w:sz w:val="24"/>
                <w:szCs w:val="24"/>
                <w:lang w:val="en-US" w:eastAsia="zh-CN"/>
              </w:rPr>
            </w:pPr>
          </w:p>
          <w:p w14:paraId="1245D9BF">
            <w:pPr>
              <w:pStyle w:val="133"/>
              <w:spacing w:before="55" w:line="230" w:lineRule="auto"/>
              <w:jc w:val="center"/>
              <w:rPr>
                <w:rFonts w:hint="eastAsia"/>
                <w:sz w:val="24"/>
                <w:szCs w:val="24"/>
                <w:lang w:val="en-US" w:eastAsia="zh-CN"/>
              </w:rPr>
            </w:pPr>
          </w:p>
          <w:p w14:paraId="05F3909F">
            <w:pPr>
              <w:pStyle w:val="133"/>
              <w:spacing w:before="55" w:line="230" w:lineRule="auto"/>
              <w:jc w:val="center"/>
              <w:rPr>
                <w:rFonts w:hint="eastAsia"/>
                <w:sz w:val="24"/>
                <w:szCs w:val="24"/>
                <w:lang w:val="en-US" w:eastAsia="zh-CN"/>
              </w:rPr>
            </w:pPr>
          </w:p>
          <w:p w14:paraId="5F0ECC07">
            <w:pPr>
              <w:pStyle w:val="133"/>
              <w:spacing w:before="55" w:line="230" w:lineRule="auto"/>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160</w:t>
            </w:r>
          </w:p>
        </w:tc>
      </w:tr>
      <w:tr w14:paraId="1435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276561C3">
            <w:pPr>
              <w:spacing w:line="246" w:lineRule="auto"/>
              <w:rPr>
                <w:rFonts w:ascii="Arial"/>
                <w:sz w:val="24"/>
                <w:szCs w:val="24"/>
              </w:rPr>
            </w:pPr>
          </w:p>
          <w:p w14:paraId="57B72484">
            <w:pPr>
              <w:spacing w:line="247" w:lineRule="auto"/>
              <w:rPr>
                <w:rFonts w:ascii="Arial"/>
                <w:sz w:val="24"/>
                <w:szCs w:val="24"/>
              </w:rPr>
            </w:pPr>
          </w:p>
          <w:p w14:paraId="229BCF83">
            <w:pPr>
              <w:spacing w:line="247" w:lineRule="auto"/>
              <w:rPr>
                <w:rFonts w:ascii="Arial"/>
                <w:sz w:val="24"/>
                <w:szCs w:val="24"/>
              </w:rPr>
            </w:pPr>
          </w:p>
          <w:p w14:paraId="6601478B">
            <w:pPr>
              <w:spacing w:line="247" w:lineRule="auto"/>
              <w:rPr>
                <w:rFonts w:ascii="Arial"/>
                <w:sz w:val="24"/>
                <w:szCs w:val="24"/>
              </w:rPr>
            </w:pPr>
          </w:p>
          <w:p w14:paraId="3802F8F8">
            <w:pPr>
              <w:spacing w:line="247" w:lineRule="auto"/>
              <w:rPr>
                <w:rFonts w:ascii="Arial"/>
                <w:sz w:val="24"/>
                <w:szCs w:val="24"/>
              </w:rPr>
            </w:pPr>
          </w:p>
          <w:p w14:paraId="1662B3A7">
            <w:pPr>
              <w:pStyle w:val="133"/>
              <w:spacing w:before="55" w:line="231" w:lineRule="exact"/>
              <w:ind w:left="330" w:leftChars="0"/>
              <w:rPr>
                <w:rFonts w:ascii="宋体" w:hAnsi="宋体" w:eastAsia="宋体" w:cs="宋体"/>
                <w:snapToGrid w:val="0"/>
                <w:color w:val="000000"/>
                <w:kern w:val="0"/>
                <w:sz w:val="24"/>
                <w:szCs w:val="24"/>
                <w:lang w:val="en-US" w:eastAsia="en-US" w:bidi="ar-SA"/>
              </w:rPr>
            </w:pPr>
            <w:r>
              <w:rPr>
                <w:position w:val="1"/>
                <w:sz w:val="24"/>
                <w:szCs w:val="24"/>
              </w:rPr>
              <w:t>7</w:t>
            </w:r>
          </w:p>
        </w:tc>
        <w:tc>
          <w:tcPr>
            <w:tcW w:w="645" w:type="pct"/>
            <w:shd w:val="clear" w:color="auto" w:fill="auto"/>
            <w:vAlign w:val="top"/>
          </w:tcPr>
          <w:p w14:paraId="3D82F6C1">
            <w:pPr>
              <w:spacing w:line="246" w:lineRule="auto"/>
              <w:rPr>
                <w:rFonts w:ascii="Arial"/>
                <w:sz w:val="24"/>
                <w:szCs w:val="24"/>
              </w:rPr>
            </w:pPr>
          </w:p>
          <w:p w14:paraId="5FD985F9">
            <w:pPr>
              <w:spacing w:line="247" w:lineRule="auto"/>
              <w:rPr>
                <w:rFonts w:ascii="Arial"/>
                <w:sz w:val="24"/>
                <w:szCs w:val="24"/>
              </w:rPr>
            </w:pPr>
          </w:p>
          <w:p w14:paraId="3EA95748">
            <w:pPr>
              <w:spacing w:line="247" w:lineRule="auto"/>
              <w:rPr>
                <w:rFonts w:ascii="Arial"/>
                <w:sz w:val="24"/>
                <w:szCs w:val="24"/>
              </w:rPr>
            </w:pPr>
          </w:p>
          <w:p w14:paraId="41993125">
            <w:pPr>
              <w:spacing w:line="247" w:lineRule="auto"/>
              <w:rPr>
                <w:rFonts w:ascii="Arial"/>
                <w:sz w:val="24"/>
                <w:szCs w:val="24"/>
              </w:rPr>
            </w:pPr>
          </w:p>
          <w:p w14:paraId="6FA38B6E">
            <w:pPr>
              <w:spacing w:line="247" w:lineRule="auto"/>
              <w:rPr>
                <w:rFonts w:ascii="Arial"/>
                <w:sz w:val="24"/>
                <w:szCs w:val="24"/>
              </w:rPr>
            </w:pPr>
          </w:p>
          <w:p w14:paraId="60D2280C">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040204004001</w:t>
            </w:r>
          </w:p>
        </w:tc>
        <w:tc>
          <w:tcPr>
            <w:tcW w:w="759" w:type="pct"/>
            <w:shd w:val="clear" w:color="auto" w:fill="auto"/>
            <w:vAlign w:val="top"/>
          </w:tcPr>
          <w:p w14:paraId="5632921B">
            <w:pPr>
              <w:spacing w:line="246" w:lineRule="auto"/>
              <w:rPr>
                <w:rFonts w:ascii="Arial"/>
                <w:sz w:val="24"/>
                <w:szCs w:val="24"/>
              </w:rPr>
            </w:pPr>
          </w:p>
          <w:p w14:paraId="7AC341A1">
            <w:pPr>
              <w:spacing w:line="247" w:lineRule="auto"/>
              <w:rPr>
                <w:rFonts w:ascii="Arial"/>
                <w:sz w:val="24"/>
                <w:szCs w:val="24"/>
              </w:rPr>
            </w:pPr>
          </w:p>
          <w:p w14:paraId="550DDCA3">
            <w:pPr>
              <w:spacing w:line="247" w:lineRule="auto"/>
              <w:rPr>
                <w:rFonts w:ascii="Arial"/>
                <w:sz w:val="24"/>
                <w:szCs w:val="24"/>
              </w:rPr>
            </w:pPr>
          </w:p>
          <w:p w14:paraId="6628041D">
            <w:pPr>
              <w:spacing w:line="247" w:lineRule="auto"/>
              <w:rPr>
                <w:rFonts w:ascii="Arial"/>
                <w:sz w:val="24"/>
                <w:szCs w:val="24"/>
              </w:rPr>
            </w:pPr>
          </w:p>
          <w:p w14:paraId="2D92905F">
            <w:pPr>
              <w:spacing w:line="247" w:lineRule="auto"/>
              <w:rPr>
                <w:rFonts w:ascii="Arial"/>
                <w:sz w:val="24"/>
                <w:szCs w:val="24"/>
              </w:rPr>
            </w:pPr>
          </w:p>
          <w:p w14:paraId="04AFBDE4">
            <w:pPr>
              <w:pStyle w:val="133"/>
              <w:spacing w:before="55" w:line="231"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道牙石新建</w:t>
            </w:r>
          </w:p>
        </w:tc>
        <w:tc>
          <w:tcPr>
            <w:tcW w:w="1173" w:type="pct"/>
            <w:shd w:val="clear" w:color="auto" w:fill="auto"/>
            <w:vAlign w:val="top"/>
          </w:tcPr>
          <w:p w14:paraId="30A04622">
            <w:pPr>
              <w:spacing w:line="252" w:lineRule="auto"/>
              <w:rPr>
                <w:rFonts w:ascii="Arial"/>
                <w:sz w:val="24"/>
                <w:szCs w:val="24"/>
              </w:rPr>
            </w:pPr>
          </w:p>
          <w:p w14:paraId="33E2D5F1">
            <w:pPr>
              <w:pStyle w:val="133"/>
              <w:spacing w:before="55" w:line="195" w:lineRule="auto"/>
              <w:ind w:left="25" w:right="102" w:firstLine="12"/>
              <w:rPr>
                <w:sz w:val="24"/>
                <w:szCs w:val="24"/>
              </w:rPr>
            </w:pPr>
            <w:r>
              <w:rPr>
                <w:spacing w:val="3"/>
                <w:sz w:val="24"/>
                <w:szCs w:val="24"/>
              </w:rPr>
              <w:t>1.材质：混凝土道牙石，</w:t>
            </w:r>
            <w:r>
              <w:rPr>
                <w:spacing w:val="-1"/>
                <w:sz w:val="24"/>
                <w:szCs w:val="24"/>
              </w:rPr>
              <w:t>规800×</w:t>
            </w:r>
            <w:r>
              <w:rPr>
                <w:spacing w:val="-29"/>
                <w:sz w:val="24"/>
                <w:szCs w:val="24"/>
              </w:rPr>
              <w:t xml:space="preserve"> </w:t>
            </w:r>
            <w:r>
              <w:rPr>
                <w:spacing w:val="-1"/>
                <w:sz w:val="24"/>
                <w:szCs w:val="24"/>
              </w:rPr>
              <w:t>100×</w:t>
            </w:r>
            <w:r>
              <w:rPr>
                <w:spacing w:val="-41"/>
                <w:sz w:val="24"/>
                <w:szCs w:val="24"/>
              </w:rPr>
              <w:t xml:space="preserve"> </w:t>
            </w:r>
            <w:r>
              <w:rPr>
                <w:spacing w:val="-1"/>
                <w:sz w:val="24"/>
                <w:szCs w:val="24"/>
              </w:rPr>
              <w:t>250mm，表</w:t>
            </w:r>
            <w:r>
              <w:rPr>
                <w:sz w:val="24"/>
                <w:szCs w:val="24"/>
              </w:rPr>
              <w:t>面抛光处理；</w:t>
            </w:r>
          </w:p>
          <w:p w14:paraId="4E040E87">
            <w:pPr>
              <w:pStyle w:val="133"/>
              <w:spacing w:line="195" w:lineRule="auto"/>
              <w:ind w:left="25" w:right="57" w:firstLine="2"/>
              <w:rPr>
                <w:sz w:val="24"/>
                <w:szCs w:val="24"/>
              </w:rPr>
            </w:pPr>
            <w:r>
              <w:rPr>
                <w:spacing w:val="7"/>
                <w:sz w:val="24"/>
                <w:szCs w:val="24"/>
              </w:rPr>
              <w:t>2.基础：采用C15混凝土</w:t>
            </w:r>
            <w:r>
              <w:rPr>
                <w:spacing w:val="8"/>
                <w:sz w:val="24"/>
                <w:szCs w:val="24"/>
              </w:rPr>
              <w:t>基础，厚度100</w:t>
            </w:r>
            <w:r>
              <w:rPr>
                <w:sz w:val="24"/>
                <w:szCs w:val="24"/>
              </w:rPr>
              <w:t>mm</w:t>
            </w:r>
            <w:r>
              <w:rPr>
                <w:spacing w:val="8"/>
                <w:sz w:val="24"/>
                <w:szCs w:val="24"/>
              </w:rPr>
              <w:t>，宽度2</w:t>
            </w:r>
            <w:r>
              <w:rPr>
                <w:spacing w:val="2"/>
                <w:sz w:val="24"/>
                <w:szCs w:val="24"/>
              </w:rPr>
              <w:t xml:space="preserve"> </w:t>
            </w:r>
            <w:r>
              <w:rPr>
                <w:spacing w:val="4"/>
                <w:sz w:val="24"/>
                <w:szCs w:val="24"/>
              </w:rPr>
              <w:t>00</w:t>
            </w:r>
            <w:r>
              <w:rPr>
                <w:sz w:val="24"/>
                <w:szCs w:val="24"/>
              </w:rPr>
              <w:t>mm</w:t>
            </w:r>
            <w:r>
              <w:rPr>
                <w:spacing w:val="4"/>
                <w:sz w:val="24"/>
                <w:szCs w:val="24"/>
              </w:rPr>
              <w:t>；</w:t>
            </w:r>
          </w:p>
          <w:p w14:paraId="3589B797">
            <w:pPr>
              <w:pStyle w:val="133"/>
              <w:spacing w:line="195" w:lineRule="auto"/>
              <w:ind w:left="25" w:right="147" w:firstLine="2"/>
              <w:rPr>
                <w:sz w:val="24"/>
                <w:szCs w:val="24"/>
              </w:rPr>
            </w:pPr>
            <w:r>
              <w:rPr>
                <w:spacing w:val="7"/>
                <w:sz w:val="24"/>
                <w:szCs w:val="24"/>
              </w:rPr>
              <w:t>3.安装：M10水泥砂浆砌筑，缝宽8</w:t>
            </w:r>
            <w:r>
              <w:rPr>
                <w:sz w:val="24"/>
                <w:szCs w:val="24"/>
              </w:rPr>
              <w:t>mm</w:t>
            </w:r>
            <w:r>
              <w:rPr>
                <w:spacing w:val="7"/>
                <w:sz w:val="24"/>
                <w:szCs w:val="24"/>
              </w:rPr>
              <w:t>，勾缝采用</w:t>
            </w:r>
            <w:r>
              <w:rPr>
                <w:sz w:val="24"/>
                <w:szCs w:val="24"/>
              </w:rPr>
              <w:t>专用勾缝剂；</w:t>
            </w:r>
          </w:p>
          <w:p w14:paraId="0D52909F">
            <w:pPr>
              <w:pStyle w:val="133"/>
              <w:spacing w:before="2" w:line="206" w:lineRule="auto"/>
              <w:ind w:left="20" w:leftChars="0" w:right="65" w:rightChars="0" w:firstLine="4" w:firstLineChars="0"/>
              <w:rPr>
                <w:rFonts w:ascii="宋体" w:hAnsi="宋体" w:eastAsia="宋体" w:cs="宋体"/>
                <w:snapToGrid w:val="0"/>
                <w:color w:val="000000"/>
                <w:kern w:val="0"/>
                <w:sz w:val="24"/>
                <w:szCs w:val="24"/>
                <w:lang w:val="en-US" w:eastAsia="en-US" w:bidi="ar-SA"/>
              </w:rPr>
            </w:pPr>
            <w:r>
              <w:rPr>
                <w:spacing w:val="7"/>
                <w:sz w:val="24"/>
                <w:szCs w:val="24"/>
              </w:rPr>
              <w:t>4.直线段平整度误差≤3</w:t>
            </w:r>
            <w:r>
              <w:rPr>
                <w:spacing w:val="5"/>
                <w:sz w:val="24"/>
                <w:szCs w:val="24"/>
              </w:rPr>
              <w:t xml:space="preserve"> </w:t>
            </w:r>
            <w:r>
              <w:rPr>
                <w:sz w:val="24"/>
                <w:szCs w:val="24"/>
              </w:rPr>
              <w:t>mm</w:t>
            </w:r>
            <w:r>
              <w:rPr>
                <w:spacing w:val="8"/>
                <w:sz w:val="24"/>
                <w:szCs w:val="24"/>
              </w:rPr>
              <w:t>/10m，曲线段圆顺，无</w:t>
            </w:r>
            <w:r>
              <w:rPr>
                <w:spacing w:val="-5"/>
                <w:sz w:val="24"/>
                <w:szCs w:val="24"/>
              </w:rPr>
              <w:t>折角；</w:t>
            </w:r>
          </w:p>
        </w:tc>
        <w:tc>
          <w:tcPr>
            <w:tcW w:w="610" w:type="pct"/>
            <w:shd w:val="clear" w:color="auto" w:fill="auto"/>
            <w:vAlign w:val="top"/>
          </w:tcPr>
          <w:p w14:paraId="21746109">
            <w:pPr>
              <w:spacing w:line="246" w:lineRule="auto"/>
              <w:rPr>
                <w:rFonts w:ascii="Arial"/>
                <w:sz w:val="24"/>
                <w:szCs w:val="24"/>
              </w:rPr>
            </w:pPr>
          </w:p>
          <w:p w14:paraId="30C7B093">
            <w:pPr>
              <w:spacing w:line="247" w:lineRule="auto"/>
              <w:rPr>
                <w:rFonts w:ascii="Arial"/>
                <w:sz w:val="24"/>
                <w:szCs w:val="24"/>
              </w:rPr>
            </w:pPr>
          </w:p>
          <w:p w14:paraId="62C22A32">
            <w:pPr>
              <w:spacing w:line="247" w:lineRule="auto"/>
              <w:rPr>
                <w:rFonts w:ascii="Arial"/>
                <w:sz w:val="24"/>
                <w:szCs w:val="24"/>
              </w:rPr>
            </w:pPr>
          </w:p>
          <w:p w14:paraId="7C2337A6">
            <w:pPr>
              <w:spacing w:line="247" w:lineRule="auto"/>
              <w:rPr>
                <w:rFonts w:ascii="Arial"/>
                <w:sz w:val="24"/>
                <w:szCs w:val="24"/>
              </w:rPr>
            </w:pPr>
          </w:p>
          <w:p w14:paraId="37EF5144">
            <w:pPr>
              <w:spacing w:line="247" w:lineRule="auto"/>
              <w:rPr>
                <w:rFonts w:ascii="Arial"/>
                <w:sz w:val="24"/>
                <w:szCs w:val="24"/>
              </w:rPr>
            </w:pPr>
          </w:p>
          <w:p w14:paraId="260BED38">
            <w:pPr>
              <w:pStyle w:val="133"/>
              <w:spacing w:before="55"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12FDD80C">
            <w:pPr>
              <w:spacing w:line="246" w:lineRule="auto"/>
              <w:rPr>
                <w:rFonts w:ascii="Arial"/>
                <w:sz w:val="24"/>
                <w:szCs w:val="24"/>
              </w:rPr>
            </w:pPr>
          </w:p>
          <w:p w14:paraId="01BD29D4">
            <w:pPr>
              <w:spacing w:line="247" w:lineRule="auto"/>
              <w:rPr>
                <w:rFonts w:ascii="Arial"/>
                <w:sz w:val="24"/>
                <w:szCs w:val="24"/>
              </w:rPr>
            </w:pPr>
          </w:p>
          <w:p w14:paraId="4DEB83AB">
            <w:pPr>
              <w:spacing w:line="247" w:lineRule="auto"/>
              <w:rPr>
                <w:rFonts w:ascii="Arial"/>
                <w:sz w:val="24"/>
                <w:szCs w:val="24"/>
              </w:rPr>
            </w:pPr>
          </w:p>
          <w:p w14:paraId="0FBD4C77">
            <w:pPr>
              <w:spacing w:line="247" w:lineRule="auto"/>
              <w:rPr>
                <w:rFonts w:ascii="Arial"/>
                <w:sz w:val="24"/>
                <w:szCs w:val="24"/>
              </w:rPr>
            </w:pPr>
          </w:p>
          <w:p w14:paraId="540B13A3">
            <w:pPr>
              <w:spacing w:line="247" w:lineRule="auto"/>
              <w:rPr>
                <w:rFonts w:ascii="Arial"/>
                <w:sz w:val="24"/>
                <w:szCs w:val="24"/>
              </w:rPr>
            </w:pPr>
          </w:p>
          <w:p w14:paraId="3D683D0F">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D0C2138">
            <w:pPr>
              <w:pStyle w:val="133"/>
              <w:spacing w:before="55" w:line="230" w:lineRule="auto"/>
              <w:ind w:left="208"/>
              <w:rPr>
                <w:sz w:val="24"/>
                <w:szCs w:val="24"/>
              </w:rPr>
            </w:pPr>
          </w:p>
          <w:p w14:paraId="56E2E320">
            <w:pPr>
              <w:pStyle w:val="133"/>
              <w:spacing w:before="55" w:line="230" w:lineRule="auto"/>
              <w:ind w:left="208"/>
              <w:rPr>
                <w:sz w:val="24"/>
                <w:szCs w:val="24"/>
              </w:rPr>
            </w:pPr>
          </w:p>
          <w:p w14:paraId="30778C59">
            <w:pPr>
              <w:pStyle w:val="133"/>
              <w:spacing w:before="55" w:line="230" w:lineRule="auto"/>
              <w:ind w:left="208"/>
              <w:rPr>
                <w:sz w:val="24"/>
                <w:szCs w:val="24"/>
              </w:rPr>
            </w:pPr>
          </w:p>
          <w:p w14:paraId="4877A45E">
            <w:pPr>
              <w:pStyle w:val="133"/>
              <w:spacing w:before="55" w:line="230" w:lineRule="auto"/>
              <w:ind w:left="208"/>
              <w:rPr>
                <w:sz w:val="24"/>
                <w:szCs w:val="24"/>
              </w:rPr>
            </w:pPr>
          </w:p>
          <w:p w14:paraId="7B8F9642">
            <w:pPr>
              <w:pStyle w:val="133"/>
              <w:spacing w:before="55" w:line="230" w:lineRule="auto"/>
              <w:ind w:left="208"/>
              <w:rPr>
                <w:sz w:val="24"/>
                <w:szCs w:val="24"/>
              </w:rPr>
            </w:pPr>
          </w:p>
          <w:p w14:paraId="1A23D81C">
            <w:pPr>
              <w:pStyle w:val="133"/>
              <w:spacing w:before="55" w:line="230" w:lineRule="auto"/>
              <w:ind w:left="208" w:lef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40</w:t>
            </w:r>
          </w:p>
        </w:tc>
      </w:tr>
      <w:tr w14:paraId="07CC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43BDB93">
            <w:pPr>
              <w:spacing w:line="279" w:lineRule="auto"/>
              <w:rPr>
                <w:rFonts w:ascii="Arial"/>
                <w:sz w:val="24"/>
                <w:szCs w:val="24"/>
              </w:rPr>
            </w:pPr>
          </w:p>
          <w:p w14:paraId="66BD7679">
            <w:pPr>
              <w:spacing w:line="279" w:lineRule="auto"/>
              <w:rPr>
                <w:rFonts w:ascii="Arial"/>
                <w:sz w:val="24"/>
                <w:szCs w:val="24"/>
              </w:rPr>
            </w:pPr>
          </w:p>
          <w:p w14:paraId="552CA1D6">
            <w:pPr>
              <w:spacing w:line="279" w:lineRule="auto"/>
              <w:rPr>
                <w:rFonts w:ascii="Arial"/>
                <w:sz w:val="24"/>
                <w:szCs w:val="24"/>
              </w:rPr>
            </w:pPr>
          </w:p>
          <w:p w14:paraId="4FA0D444">
            <w:pPr>
              <w:spacing w:line="279" w:lineRule="auto"/>
              <w:rPr>
                <w:rFonts w:ascii="Arial"/>
                <w:sz w:val="24"/>
                <w:szCs w:val="24"/>
              </w:rPr>
            </w:pPr>
          </w:p>
          <w:p w14:paraId="191F86E9">
            <w:pPr>
              <w:pStyle w:val="133"/>
              <w:spacing w:before="55" w:line="231" w:lineRule="exact"/>
              <w:ind w:left="327" w:leftChars="0"/>
              <w:rPr>
                <w:rFonts w:ascii="宋体" w:hAnsi="宋体" w:eastAsia="宋体" w:cs="宋体"/>
                <w:snapToGrid w:val="0"/>
                <w:color w:val="000000"/>
                <w:kern w:val="0"/>
                <w:sz w:val="24"/>
                <w:szCs w:val="24"/>
                <w:lang w:val="en-US" w:eastAsia="en-US" w:bidi="ar-SA"/>
              </w:rPr>
            </w:pPr>
            <w:r>
              <w:rPr>
                <w:position w:val="1"/>
                <w:sz w:val="24"/>
                <w:szCs w:val="24"/>
              </w:rPr>
              <w:t>8</w:t>
            </w:r>
          </w:p>
        </w:tc>
        <w:tc>
          <w:tcPr>
            <w:tcW w:w="645" w:type="pct"/>
            <w:shd w:val="clear" w:color="auto" w:fill="auto"/>
            <w:vAlign w:val="top"/>
          </w:tcPr>
          <w:p w14:paraId="1E50E613">
            <w:pPr>
              <w:spacing w:line="279" w:lineRule="auto"/>
              <w:rPr>
                <w:rFonts w:ascii="Arial"/>
                <w:sz w:val="24"/>
                <w:szCs w:val="24"/>
              </w:rPr>
            </w:pPr>
          </w:p>
          <w:p w14:paraId="11F648F4">
            <w:pPr>
              <w:spacing w:line="279" w:lineRule="auto"/>
              <w:rPr>
                <w:rFonts w:ascii="Arial"/>
                <w:sz w:val="24"/>
                <w:szCs w:val="24"/>
              </w:rPr>
            </w:pPr>
          </w:p>
          <w:p w14:paraId="0A4BA451">
            <w:pPr>
              <w:spacing w:line="279" w:lineRule="auto"/>
              <w:rPr>
                <w:rFonts w:ascii="Arial"/>
                <w:sz w:val="24"/>
                <w:szCs w:val="24"/>
              </w:rPr>
            </w:pPr>
          </w:p>
          <w:p w14:paraId="44B2121A">
            <w:pPr>
              <w:spacing w:line="279" w:lineRule="auto"/>
              <w:rPr>
                <w:rFonts w:ascii="Arial"/>
                <w:sz w:val="24"/>
                <w:szCs w:val="24"/>
              </w:rPr>
            </w:pPr>
          </w:p>
          <w:p w14:paraId="5B3AD45D">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040204004003</w:t>
            </w:r>
          </w:p>
        </w:tc>
        <w:tc>
          <w:tcPr>
            <w:tcW w:w="759" w:type="pct"/>
            <w:shd w:val="clear" w:color="auto" w:fill="auto"/>
            <w:vAlign w:val="top"/>
          </w:tcPr>
          <w:p w14:paraId="004729DB">
            <w:pPr>
              <w:spacing w:line="279" w:lineRule="auto"/>
              <w:rPr>
                <w:rFonts w:ascii="Arial"/>
                <w:sz w:val="24"/>
                <w:szCs w:val="24"/>
              </w:rPr>
            </w:pPr>
          </w:p>
          <w:p w14:paraId="19D3AA2C">
            <w:pPr>
              <w:spacing w:line="279" w:lineRule="auto"/>
              <w:rPr>
                <w:rFonts w:ascii="Arial"/>
                <w:sz w:val="24"/>
                <w:szCs w:val="24"/>
              </w:rPr>
            </w:pPr>
          </w:p>
          <w:p w14:paraId="3FD2E8CA">
            <w:pPr>
              <w:spacing w:line="279" w:lineRule="auto"/>
              <w:rPr>
                <w:rFonts w:ascii="Arial"/>
                <w:sz w:val="24"/>
                <w:szCs w:val="24"/>
              </w:rPr>
            </w:pPr>
          </w:p>
          <w:p w14:paraId="62609099">
            <w:pPr>
              <w:spacing w:line="279" w:lineRule="auto"/>
              <w:rPr>
                <w:rFonts w:ascii="Arial"/>
                <w:sz w:val="24"/>
                <w:szCs w:val="24"/>
              </w:rPr>
            </w:pPr>
          </w:p>
          <w:p w14:paraId="08B78F56">
            <w:pPr>
              <w:pStyle w:val="133"/>
              <w:spacing w:before="55" w:line="231"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道牙石更换</w:t>
            </w:r>
          </w:p>
        </w:tc>
        <w:tc>
          <w:tcPr>
            <w:tcW w:w="1173" w:type="pct"/>
            <w:shd w:val="clear" w:color="auto" w:fill="auto"/>
            <w:vAlign w:val="top"/>
          </w:tcPr>
          <w:p w14:paraId="602AFE6A">
            <w:pPr>
              <w:pStyle w:val="133"/>
              <w:spacing w:before="279" w:line="195" w:lineRule="auto"/>
              <w:ind w:left="25" w:right="57" w:firstLine="13"/>
              <w:rPr>
                <w:sz w:val="24"/>
                <w:szCs w:val="24"/>
              </w:rPr>
            </w:pPr>
            <w:r>
              <w:rPr>
                <w:spacing w:val="7"/>
                <w:sz w:val="24"/>
                <w:szCs w:val="24"/>
              </w:rPr>
              <w:t>1.拆除破损道牙石，清理</w:t>
            </w:r>
            <w:r>
              <w:rPr>
                <w:spacing w:val="4"/>
                <w:sz w:val="24"/>
                <w:szCs w:val="24"/>
              </w:rPr>
              <w:t>基础，确保基底平整；</w:t>
            </w:r>
          </w:p>
          <w:p w14:paraId="14FF54CE">
            <w:pPr>
              <w:pStyle w:val="133"/>
              <w:spacing w:line="195" w:lineRule="auto"/>
              <w:ind w:left="26" w:right="57"/>
              <w:rPr>
                <w:sz w:val="24"/>
                <w:szCs w:val="24"/>
              </w:rPr>
            </w:pPr>
            <w:r>
              <w:rPr>
                <w:spacing w:val="8"/>
                <w:sz w:val="24"/>
                <w:szCs w:val="24"/>
              </w:rPr>
              <w:t>2.更换道牙石材质、规格</w:t>
            </w:r>
            <w:r>
              <w:rPr>
                <w:spacing w:val="7"/>
                <w:sz w:val="24"/>
                <w:szCs w:val="24"/>
              </w:rPr>
              <w:t>与原有一致，采用M10水</w:t>
            </w:r>
            <w:r>
              <w:rPr>
                <w:sz w:val="24"/>
                <w:szCs w:val="24"/>
              </w:rPr>
              <w:t>泥砂浆砌筑；</w:t>
            </w:r>
          </w:p>
          <w:p w14:paraId="40D9F9D4">
            <w:pPr>
              <w:pStyle w:val="133"/>
              <w:spacing w:line="195" w:lineRule="auto"/>
              <w:ind w:left="25" w:right="57" w:firstLine="2"/>
              <w:rPr>
                <w:sz w:val="24"/>
                <w:szCs w:val="24"/>
              </w:rPr>
            </w:pPr>
            <w:r>
              <w:rPr>
                <w:spacing w:val="8"/>
                <w:sz w:val="24"/>
                <w:szCs w:val="24"/>
              </w:rPr>
              <w:t>3.修复后道牙石高度一致</w:t>
            </w:r>
            <w:r>
              <w:rPr>
                <w:sz w:val="24"/>
                <w:szCs w:val="24"/>
              </w:rPr>
              <w:t xml:space="preserve"> </w:t>
            </w:r>
            <w:r>
              <w:rPr>
                <w:spacing w:val="15"/>
                <w:sz w:val="24"/>
                <w:szCs w:val="24"/>
              </w:rPr>
              <w:t>,与路面衔接平顺，缝隙</w:t>
            </w:r>
            <w:r>
              <w:rPr>
                <w:spacing w:val="-6"/>
                <w:sz w:val="24"/>
                <w:szCs w:val="24"/>
              </w:rPr>
              <w:t>均匀；</w:t>
            </w:r>
          </w:p>
          <w:p w14:paraId="2FFD9BD6">
            <w:pPr>
              <w:pStyle w:val="133"/>
              <w:spacing w:before="3" w:line="206" w:lineRule="auto"/>
              <w:ind w:left="25" w:leftChars="0" w:right="57" w:rightChars="0" w:hanging="1" w:firstLineChars="0"/>
              <w:rPr>
                <w:rFonts w:ascii="宋体" w:hAnsi="宋体" w:eastAsia="宋体" w:cs="宋体"/>
                <w:snapToGrid w:val="0"/>
                <w:color w:val="000000"/>
                <w:kern w:val="0"/>
                <w:sz w:val="24"/>
                <w:szCs w:val="24"/>
                <w:lang w:val="en-US" w:eastAsia="en-US" w:bidi="ar-SA"/>
              </w:rPr>
            </w:pPr>
            <w:r>
              <w:rPr>
                <w:spacing w:val="8"/>
                <w:sz w:val="24"/>
                <w:szCs w:val="24"/>
              </w:rPr>
              <w:t>4.对松动道牙石进行加固</w:t>
            </w:r>
            <w:r>
              <w:rPr>
                <w:spacing w:val="9"/>
                <w:sz w:val="24"/>
                <w:szCs w:val="24"/>
              </w:rPr>
              <w:t>处理，必要时增设混凝土</w:t>
            </w:r>
            <w:r>
              <w:rPr>
                <w:spacing w:val="-6"/>
                <w:sz w:val="24"/>
                <w:szCs w:val="24"/>
              </w:rPr>
              <w:t>靠背；</w:t>
            </w:r>
          </w:p>
        </w:tc>
        <w:tc>
          <w:tcPr>
            <w:tcW w:w="610" w:type="pct"/>
            <w:shd w:val="clear" w:color="auto" w:fill="auto"/>
            <w:vAlign w:val="top"/>
          </w:tcPr>
          <w:p w14:paraId="44D393E3">
            <w:pPr>
              <w:spacing w:line="279" w:lineRule="auto"/>
              <w:rPr>
                <w:rFonts w:ascii="Arial"/>
                <w:sz w:val="24"/>
                <w:szCs w:val="24"/>
              </w:rPr>
            </w:pPr>
          </w:p>
          <w:p w14:paraId="2D02D691">
            <w:pPr>
              <w:spacing w:line="279" w:lineRule="auto"/>
              <w:rPr>
                <w:rFonts w:ascii="Arial"/>
                <w:sz w:val="24"/>
                <w:szCs w:val="24"/>
              </w:rPr>
            </w:pPr>
          </w:p>
          <w:p w14:paraId="58D15C89">
            <w:pPr>
              <w:spacing w:line="279" w:lineRule="auto"/>
              <w:rPr>
                <w:rFonts w:ascii="Arial"/>
                <w:sz w:val="24"/>
                <w:szCs w:val="24"/>
              </w:rPr>
            </w:pPr>
          </w:p>
          <w:p w14:paraId="2562AE82">
            <w:pPr>
              <w:spacing w:line="279" w:lineRule="auto"/>
              <w:rPr>
                <w:rFonts w:ascii="Arial"/>
                <w:sz w:val="24"/>
                <w:szCs w:val="24"/>
              </w:rPr>
            </w:pPr>
          </w:p>
          <w:p w14:paraId="5C547DDE">
            <w:pPr>
              <w:pStyle w:val="133"/>
              <w:spacing w:before="55"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0B39D103">
            <w:pPr>
              <w:spacing w:line="279" w:lineRule="auto"/>
              <w:rPr>
                <w:rFonts w:ascii="Arial"/>
                <w:sz w:val="24"/>
                <w:szCs w:val="24"/>
              </w:rPr>
            </w:pPr>
          </w:p>
          <w:p w14:paraId="0B57A67F">
            <w:pPr>
              <w:spacing w:line="279" w:lineRule="auto"/>
              <w:rPr>
                <w:rFonts w:ascii="Arial"/>
                <w:sz w:val="24"/>
                <w:szCs w:val="24"/>
              </w:rPr>
            </w:pPr>
          </w:p>
          <w:p w14:paraId="78E14D51">
            <w:pPr>
              <w:spacing w:line="279" w:lineRule="auto"/>
              <w:rPr>
                <w:rFonts w:ascii="Arial"/>
                <w:sz w:val="24"/>
                <w:szCs w:val="24"/>
              </w:rPr>
            </w:pPr>
          </w:p>
          <w:p w14:paraId="1E9DFA4F">
            <w:pPr>
              <w:spacing w:line="279" w:lineRule="auto"/>
              <w:rPr>
                <w:rFonts w:ascii="Arial"/>
                <w:sz w:val="24"/>
                <w:szCs w:val="24"/>
              </w:rPr>
            </w:pPr>
          </w:p>
          <w:p w14:paraId="6DA29F84">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373E944">
            <w:pPr>
              <w:pStyle w:val="133"/>
              <w:spacing w:before="55" w:line="230" w:lineRule="auto"/>
              <w:ind w:left="208"/>
              <w:rPr>
                <w:sz w:val="24"/>
                <w:szCs w:val="24"/>
              </w:rPr>
            </w:pPr>
          </w:p>
          <w:p w14:paraId="5209C8C6">
            <w:pPr>
              <w:pStyle w:val="133"/>
              <w:spacing w:before="55" w:line="230" w:lineRule="auto"/>
              <w:ind w:left="208"/>
              <w:rPr>
                <w:sz w:val="24"/>
                <w:szCs w:val="24"/>
              </w:rPr>
            </w:pPr>
          </w:p>
          <w:p w14:paraId="5A09AB5D">
            <w:pPr>
              <w:pStyle w:val="133"/>
              <w:spacing w:before="55" w:line="230" w:lineRule="auto"/>
              <w:ind w:left="208"/>
              <w:rPr>
                <w:sz w:val="24"/>
                <w:szCs w:val="24"/>
              </w:rPr>
            </w:pPr>
          </w:p>
          <w:p w14:paraId="59295926">
            <w:pPr>
              <w:pStyle w:val="133"/>
              <w:spacing w:before="55" w:line="230" w:lineRule="auto"/>
              <w:ind w:left="208"/>
              <w:rPr>
                <w:sz w:val="24"/>
                <w:szCs w:val="24"/>
              </w:rPr>
            </w:pPr>
          </w:p>
          <w:p w14:paraId="137469D1">
            <w:pPr>
              <w:pStyle w:val="133"/>
              <w:spacing w:before="55" w:line="230" w:lineRule="auto"/>
              <w:ind w:firstLine="480" w:firstLineChars="200"/>
              <w:jc w:val="both"/>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40</w:t>
            </w:r>
          </w:p>
        </w:tc>
      </w:tr>
      <w:tr w14:paraId="6E8D0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87ED4E1">
            <w:pPr>
              <w:pStyle w:val="133"/>
              <w:spacing w:before="100" w:line="230" w:lineRule="exact"/>
              <w:ind w:left="327" w:leftChars="0"/>
              <w:rPr>
                <w:rFonts w:ascii="宋体" w:hAnsi="宋体" w:eastAsia="宋体" w:cs="宋体"/>
                <w:snapToGrid w:val="0"/>
                <w:color w:val="000000"/>
                <w:kern w:val="0"/>
                <w:sz w:val="24"/>
                <w:szCs w:val="24"/>
                <w:lang w:val="en-US" w:eastAsia="en-US" w:bidi="ar-SA"/>
              </w:rPr>
            </w:pPr>
            <w:r>
              <w:rPr>
                <w:position w:val="1"/>
                <w:sz w:val="24"/>
                <w:szCs w:val="24"/>
              </w:rPr>
              <w:t>9</w:t>
            </w:r>
          </w:p>
        </w:tc>
        <w:tc>
          <w:tcPr>
            <w:tcW w:w="645" w:type="pct"/>
            <w:shd w:val="clear" w:color="auto" w:fill="auto"/>
            <w:vAlign w:val="top"/>
          </w:tcPr>
          <w:p w14:paraId="46997DDB">
            <w:pPr>
              <w:pStyle w:val="133"/>
              <w:spacing w:before="100" w:line="230"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040204004002</w:t>
            </w:r>
          </w:p>
        </w:tc>
        <w:tc>
          <w:tcPr>
            <w:tcW w:w="759" w:type="pct"/>
            <w:shd w:val="clear" w:color="auto" w:fill="auto"/>
            <w:vAlign w:val="top"/>
          </w:tcPr>
          <w:p w14:paraId="02AB4219">
            <w:pPr>
              <w:pStyle w:val="133"/>
              <w:spacing w:before="100"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道牙石抹灰修补</w:t>
            </w:r>
          </w:p>
        </w:tc>
        <w:tc>
          <w:tcPr>
            <w:tcW w:w="1173" w:type="pct"/>
            <w:shd w:val="clear" w:color="auto" w:fill="auto"/>
            <w:vAlign w:val="top"/>
          </w:tcPr>
          <w:p w14:paraId="67EF5916">
            <w:pPr>
              <w:pStyle w:val="133"/>
              <w:spacing w:before="55" w:line="195" w:lineRule="auto"/>
              <w:ind w:left="26" w:right="57" w:hanging="2"/>
              <w:rPr>
                <w:sz w:val="24"/>
                <w:szCs w:val="24"/>
              </w:rPr>
            </w:pPr>
            <w:r>
              <w:rPr>
                <w:spacing w:val="7"/>
                <w:sz w:val="24"/>
                <w:szCs w:val="24"/>
              </w:rPr>
              <w:t>1.基层处理：清理道牙石</w:t>
            </w:r>
            <w:r>
              <w:rPr>
                <w:spacing w:val="9"/>
                <w:sz w:val="24"/>
                <w:szCs w:val="24"/>
              </w:rPr>
              <w:t>表面灰尘、松动砂浆，洒</w:t>
            </w:r>
            <w:r>
              <w:rPr>
                <w:spacing w:val="-4"/>
                <w:sz w:val="24"/>
                <w:szCs w:val="24"/>
              </w:rPr>
              <w:t>水湿润；</w:t>
            </w:r>
          </w:p>
          <w:p w14:paraId="749007BB">
            <w:pPr>
              <w:pStyle w:val="133"/>
              <w:spacing w:line="195" w:lineRule="auto"/>
              <w:ind w:left="26" w:right="104"/>
              <w:rPr>
                <w:sz w:val="24"/>
                <w:szCs w:val="24"/>
              </w:rPr>
            </w:pPr>
            <w:r>
              <w:rPr>
                <w:spacing w:val="7"/>
                <w:sz w:val="24"/>
                <w:szCs w:val="24"/>
              </w:rPr>
              <w:t>2.抹灰材料：采用M10水</w:t>
            </w:r>
            <w:r>
              <w:rPr>
                <w:spacing w:val="4"/>
                <w:sz w:val="24"/>
                <w:szCs w:val="24"/>
              </w:rPr>
              <w:t>泥砂浆，内掺5%防水剂；</w:t>
            </w:r>
          </w:p>
          <w:p w14:paraId="3CCB07CE">
            <w:pPr>
              <w:pStyle w:val="133"/>
              <w:spacing w:line="195" w:lineRule="auto"/>
              <w:ind w:left="28"/>
              <w:rPr>
                <w:sz w:val="24"/>
                <w:szCs w:val="24"/>
              </w:rPr>
            </w:pPr>
            <w:r>
              <w:rPr>
                <w:sz w:val="24"/>
                <w:szCs w:val="24"/>
              </w:rPr>
              <w:t>3.抹灰厚度：</w:t>
            </w:r>
            <w:r>
              <w:rPr>
                <w:spacing w:val="-5"/>
                <w:sz w:val="24"/>
                <w:szCs w:val="24"/>
              </w:rPr>
              <w:t xml:space="preserve"> </w:t>
            </w:r>
            <w:r>
              <w:rPr>
                <w:sz w:val="24"/>
                <w:szCs w:val="24"/>
              </w:rPr>
              <w:t>15-20mm，</w:t>
            </w:r>
          </w:p>
          <w:p w14:paraId="5AD03BE6">
            <w:pPr>
              <w:pStyle w:val="133"/>
              <w:spacing w:line="195" w:lineRule="auto"/>
              <w:ind w:left="26" w:right="57" w:hanging="2"/>
              <w:rPr>
                <w:sz w:val="24"/>
                <w:szCs w:val="24"/>
              </w:rPr>
            </w:pPr>
            <w:r>
              <w:rPr>
                <w:spacing w:val="9"/>
                <w:sz w:val="24"/>
                <w:szCs w:val="24"/>
              </w:rPr>
              <w:t>表面压实抹光，平整度误</w:t>
            </w:r>
            <w:r>
              <w:rPr>
                <w:spacing w:val="6"/>
                <w:sz w:val="24"/>
                <w:szCs w:val="24"/>
              </w:rPr>
              <w:t>差≤2</w:t>
            </w:r>
            <w:r>
              <w:rPr>
                <w:sz w:val="24"/>
                <w:szCs w:val="24"/>
              </w:rPr>
              <w:t>mm</w:t>
            </w:r>
            <w:r>
              <w:rPr>
                <w:spacing w:val="6"/>
                <w:sz w:val="24"/>
                <w:szCs w:val="24"/>
              </w:rPr>
              <w:t>；</w:t>
            </w:r>
          </w:p>
          <w:p w14:paraId="03AC97D3">
            <w:pPr>
              <w:pStyle w:val="133"/>
              <w:spacing w:before="1" w:line="195" w:lineRule="auto"/>
              <w:ind w:left="28" w:right="57" w:hanging="4"/>
              <w:rPr>
                <w:sz w:val="24"/>
                <w:szCs w:val="24"/>
              </w:rPr>
            </w:pPr>
            <w:r>
              <w:rPr>
                <w:spacing w:val="8"/>
                <w:sz w:val="24"/>
                <w:szCs w:val="24"/>
              </w:rPr>
              <w:t>4.修补范围超出破损区域50</w:t>
            </w:r>
            <w:r>
              <w:rPr>
                <w:sz w:val="24"/>
                <w:szCs w:val="24"/>
              </w:rPr>
              <w:t>mm</w:t>
            </w:r>
            <w:r>
              <w:rPr>
                <w:spacing w:val="8"/>
                <w:sz w:val="24"/>
                <w:szCs w:val="24"/>
              </w:rPr>
              <w:t>，与原有抹灰面顺接</w:t>
            </w:r>
            <w:r>
              <w:rPr>
                <w:sz w:val="24"/>
                <w:szCs w:val="24"/>
              </w:rPr>
              <w:t xml:space="preserve"> ;</w:t>
            </w:r>
          </w:p>
          <w:p w14:paraId="5B4C0162">
            <w:pPr>
              <w:pStyle w:val="133"/>
              <w:spacing w:before="100" w:line="230" w:lineRule="auto"/>
              <w:ind w:left="38" w:leftChars="0"/>
              <w:rPr>
                <w:rFonts w:ascii="宋体" w:hAnsi="宋体" w:eastAsia="宋体" w:cs="宋体"/>
                <w:snapToGrid w:val="0"/>
                <w:color w:val="000000"/>
                <w:kern w:val="0"/>
                <w:sz w:val="24"/>
                <w:szCs w:val="24"/>
                <w:lang w:val="en-US" w:eastAsia="en-US" w:bidi="ar-SA"/>
              </w:rPr>
            </w:pPr>
            <w:r>
              <w:rPr>
                <w:spacing w:val="7"/>
                <w:sz w:val="24"/>
                <w:szCs w:val="24"/>
              </w:rPr>
              <w:t>5.养护≥7天，确保无裂</w:t>
            </w:r>
            <w:r>
              <w:rPr>
                <w:spacing w:val="8"/>
                <w:sz w:val="24"/>
                <w:szCs w:val="24"/>
              </w:rPr>
              <w:t>缝、空鼓现象</w:t>
            </w:r>
          </w:p>
        </w:tc>
        <w:tc>
          <w:tcPr>
            <w:tcW w:w="610" w:type="pct"/>
            <w:shd w:val="clear" w:color="auto" w:fill="auto"/>
            <w:vAlign w:val="top"/>
          </w:tcPr>
          <w:p w14:paraId="6EC51D63">
            <w:pPr>
              <w:pStyle w:val="133"/>
              <w:spacing w:before="100"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03DD040D">
            <w:pPr>
              <w:pStyle w:val="133"/>
              <w:spacing w:before="100"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215BBB0F">
            <w:pPr>
              <w:pStyle w:val="133"/>
              <w:spacing w:before="55" w:line="230" w:lineRule="auto"/>
              <w:ind w:left="208" w:lef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6</w:t>
            </w:r>
          </w:p>
        </w:tc>
      </w:tr>
      <w:tr w14:paraId="01CD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473862D">
            <w:pPr>
              <w:spacing w:line="261" w:lineRule="auto"/>
              <w:rPr>
                <w:rFonts w:ascii="Arial"/>
                <w:sz w:val="24"/>
                <w:szCs w:val="24"/>
              </w:rPr>
            </w:pPr>
          </w:p>
          <w:p w14:paraId="3C615588">
            <w:pPr>
              <w:spacing w:line="261" w:lineRule="auto"/>
              <w:rPr>
                <w:rFonts w:ascii="Arial"/>
                <w:sz w:val="24"/>
                <w:szCs w:val="24"/>
              </w:rPr>
            </w:pPr>
          </w:p>
          <w:p w14:paraId="7E6CBA5B">
            <w:pPr>
              <w:spacing w:line="261" w:lineRule="auto"/>
              <w:rPr>
                <w:rFonts w:ascii="Arial"/>
                <w:sz w:val="24"/>
                <w:szCs w:val="24"/>
              </w:rPr>
            </w:pPr>
          </w:p>
          <w:p w14:paraId="381FD9E3">
            <w:pPr>
              <w:spacing w:line="261" w:lineRule="auto"/>
              <w:rPr>
                <w:rFonts w:ascii="Arial"/>
                <w:sz w:val="24"/>
                <w:szCs w:val="24"/>
              </w:rPr>
            </w:pPr>
          </w:p>
          <w:p w14:paraId="0DDD3D13">
            <w:pPr>
              <w:spacing w:line="261" w:lineRule="auto"/>
              <w:rPr>
                <w:rFonts w:ascii="Arial"/>
                <w:sz w:val="24"/>
                <w:szCs w:val="24"/>
              </w:rPr>
            </w:pPr>
          </w:p>
          <w:p w14:paraId="30DB6859">
            <w:pPr>
              <w:spacing w:line="261" w:lineRule="auto"/>
              <w:rPr>
                <w:rFonts w:ascii="Arial"/>
                <w:sz w:val="24"/>
                <w:szCs w:val="24"/>
              </w:rPr>
            </w:pPr>
          </w:p>
          <w:p w14:paraId="5E168F5B">
            <w:pPr>
              <w:spacing w:line="261" w:lineRule="auto"/>
              <w:rPr>
                <w:rFonts w:ascii="Arial"/>
                <w:sz w:val="24"/>
                <w:szCs w:val="24"/>
              </w:rPr>
            </w:pPr>
          </w:p>
          <w:p w14:paraId="3808F469">
            <w:pPr>
              <w:spacing w:line="261" w:lineRule="auto"/>
              <w:rPr>
                <w:rFonts w:ascii="Arial"/>
                <w:sz w:val="24"/>
                <w:szCs w:val="24"/>
              </w:rPr>
            </w:pPr>
          </w:p>
          <w:p w14:paraId="7E7BCBBE">
            <w:pPr>
              <w:spacing w:line="262" w:lineRule="auto"/>
              <w:rPr>
                <w:rFonts w:ascii="Arial"/>
                <w:sz w:val="24"/>
                <w:szCs w:val="24"/>
              </w:rPr>
            </w:pPr>
          </w:p>
          <w:p w14:paraId="7C781DC4">
            <w:pPr>
              <w:pStyle w:val="133"/>
              <w:spacing w:before="55" w:line="231"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10</w:t>
            </w:r>
          </w:p>
        </w:tc>
        <w:tc>
          <w:tcPr>
            <w:tcW w:w="645" w:type="pct"/>
            <w:shd w:val="clear" w:color="auto" w:fill="auto"/>
            <w:vAlign w:val="top"/>
          </w:tcPr>
          <w:p w14:paraId="0F223B87">
            <w:pPr>
              <w:spacing w:line="261" w:lineRule="auto"/>
              <w:rPr>
                <w:rFonts w:ascii="Arial"/>
                <w:sz w:val="24"/>
                <w:szCs w:val="24"/>
              </w:rPr>
            </w:pPr>
          </w:p>
          <w:p w14:paraId="118A3F18">
            <w:pPr>
              <w:spacing w:line="261" w:lineRule="auto"/>
              <w:rPr>
                <w:rFonts w:ascii="Arial"/>
                <w:sz w:val="24"/>
                <w:szCs w:val="24"/>
              </w:rPr>
            </w:pPr>
          </w:p>
          <w:p w14:paraId="1982EFB9">
            <w:pPr>
              <w:spacing w:line="261" w:lineRule="auto"/>
              <w:rPr>
                <w:rFonts w:ascii="Arial"/>
                <w:sz w:val="24"/>
                <w:szCs w:val="24"/>
              </w:rPr>
            </w:pPr>
          </w:p>
          <w:p w14:paraId="5D62B76A">
            <w:pPr>
              <w:spacing w:line="261" w:lineRule="auto"/>
              <w:rPr>
                <w:rFonts w:ascii="Arial"/>
                <w:sz w:val="24"/>
                <w:szCs w:val="24"/>
              </w:rPr>
            </w:pPr>
          </w:p>
          <w:p w14:paraId="6E921D53">
            <w:pPr>
              <w:spacing w:line="261" w:lineRule="auto"/>
              <w:rPr>
                <w:rFonts w:ascii="Arial"/>
                <w:sz w:val="24"/>
                <w:szCs w:val="24"/>
              </w:rPr>
            </w:pPr>
          </w:p>
          <w:p w14:paraId="26EFF3F6">
            <w:pPr>
              <w:spacing w:line="261" w:lineRule="auto"/>
              <w:rPr>
                <w:rFonts w:ascii="Arial"/>
                <w:sz w:val="24"/>
                <w:szCs w:val="24"/>
              </w:rPr>
            </w:pPr>
          </w:p>
          <w:p w14:paraId="32162E10">
            <w:pPr>
              <w:spacing w:line="261" w:lineRule="auto"/>
              <w:rPr>
                <w:rFonts w:ascii="Arial"/>
                <w:sz w:val="24"/>
                <w:szCs w:val="24"/>
              </w:rPr>
            </w:pPr>
          </w:p>
          <w:p w14:paraId="384C2A6B">
            <w:pPr>
              <w:spacing w:line="261" w:lineRule="auto"/>
              <w:rPr>
                <w:rFonts w:ascii="Arial"/>
                <w:sz w:val="24"/>
                <w:szCs w:val="24"/>
              </w:rPr>
            </w:pPr>
          </w:p>
          <w:p w14:paraId="2F9A5C1D">
            <w:pPr>
              <w:spacing w:line="262" w:lineRule="auto"/>
              <w:rPr>
                <w:rFonts w:ascii="Arial"/>
                <w:sz w:val="24"/>
                <w:szCs w:val="24"/>
              </w:rPr>
            </w:pPr>
          </w:p>
          <w:p w14:paraId="7C2E9DE9">
            <w:pPr>
              <w:pStyle w:val="133"/>
              <w:spacing w:before="55" w:line="231"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040204004004</w:t>
            </w:r>
          </w:p>
        </w:tc>
        <w:tc>
          <w:tcPr>
            <w:tcW w:w="759" w:type="pct"/>
            <w:shd w:val="clear" w:color="auto" w:fill="auto"/>
            <w:vAlign w:val="top"/>
          </w:tcPr>
          <w:p w14:paraId="37447C15">
            <w:pPr>
              <w:spacing w:line="261" w:lineRule="auto"/>
              <w:rPr>
                <w:rFonts w:ascii="Arial"/>
                <w:sz w:val="24"/>
                <w:szCs w:val="24"/>
              </w:rPr>
            </w:pPr>
          </w:p>
          <w:p w14:paraId="43EFDD61">
            <w:pPr>
              <w:spacing w:line="261" w:lineRule="auto"/>
              <w:rPr>
                <w:rFonts w:ascii="Arial"/>
                <w:sz w:val="24"/>
                <w:szCs w:val="24"/>
              </w:rPr>
            </w:pPr>
          </w:p>
          <w:p w14:paraId="436E8C58">
            <w:pPr>
              <w:spacing w:line="261" w:lineRule="auto"/>
              <w:rPr>
                <w:rFonts w:ascii="Arial"/>
                <w:sz w:val="24"/>
                <w:szCs w:val="24"/>
              </w:rPr>
            </w:pPr>
          </w:p>
          <w:p w14:paraId="6536F601">
            <w:pPr>
              <w:spacing w:line="261" w:lineRule="auto"/>
              <w:rPr>
                <w:rFonts w:ascii="Arial"/>
                <w:sz w:val="24"/>
                <w:szCs w:val="24"/>
              </w:rPr>
            </w:pPr>
          </w:p>
          <w:p w14:paraId="6449FD91">
            <w:pPr>
              <w:spacing w:line="261" w:lineRule="auto"/>
              <w:rPr>
                <w:rFonts w:ascii="Arial"/>
                <w:sz w:val="24"/>
                <w:szCs w:val="24"/>
              </w:rPr>
            </w:pPr>
          </w:p>
          <w:p w14:paraId="05D6C03C">
            <w:pPr>
              <w:spacing w:line="261" w:lineRule="auto"/>
              <w:rPr>
                <w:rFonts w:ascii="Arial"/>
                <w:sz w:val="24"/>
                <w:szCs w:val="24"/>
              </w:rPr>
            </w:pPr>
          </w:p>
          <w:p w14:paraId="0EB00140">
            <w:pPr>
              <w:spacing w:line="261" w:lineRule="auto"/>
              <w:rPr>
                <w:rFonts w:ascii="Arial"/>
                <w:sz w:val="24"/>
                <w:szCs w:val="24"/>
              </w:rPr>
            </w:pPr>
          </w:p>
          <w:p w14:paraId="6A80BB06">
            <w:pPr>
              <w:spacing w:line="261" w:lineRule="auto"/>
              <w:rPr>
                <w:rFonts w:ascii="Arial"/>
                <w:sz w:val="24"/>
                <w:szCs w:val="24"/>
              </w:rPr>
            </w:pPr>
          </w:p>
          <w:p w14:paraId="0FDFF156">
            <w:pPr>
              <w:spacing w:line="262" w:lineRule="auto"/>
              <w:rPr>
                <w:rFonts w:ascii="Arial"/>
                <w:sz w:val="24"/>
                <w:szCs w:val="24"/>
              </w:rPr>
            </w:pPr>
          </w:p>
          <w:p w14:paraId="003E057E">
            <w:pPr>
              <w:pStyle w:val="133"/>
              <w:spacing w:before="55" w:line="231"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道牙石刷漆</w:t>
            </w:r>
          </w:p>
        </w:tc>
        <w:tc>
          <w:tcPr>
            <w:tcW w:w="1173" w:type="pct"/>
            <w:shd w:val="clear" w:color="auto" w:fill="auto"/>
            <w:vAlign w:val="top"/>
          </w:tcPr>
          <w:p w14:paraId="70EF9ACA">
            <w:pPr>
              <w:pStyle w:val="133"/>
              <w:spacing w:before="55" w:line="195" w:lineRule="auto"/>
              <w:ind w:right="57"/>
              <w:rPr>
                <w:sz w:val="24"/>
                <w:szCs w:val="24"/>
              </w:rPr>
            </w:pPr>
            <w:r>
              <w:rPr>
                <w:spacing w:val="7"/>
                <w:sz w:val="24"/>
                <w:szCs w:val="24"/>
              </w:rPr>
              <w:t>1.基层处理：清除道牙石</w:t>
            </w:r>
            <w:r>
              <w:rPr>
                <w:spacing w:val="9"/>
                <w:sz w:val="24"/>
                <w:szCs w:val="24"/>
              </w:rPr>
              <w:t>表面灰尘、油污、松动涂</w:t>
            </w:r>
            <w:r>
              <w:rPr>
                <w:spacing w:val="-9"/>
                <w:sz w:val="24"/>
                <w:szCs w:val="24"/>
              </w:rPr>
              <w:t>层；</w:t>
            </w:r>
          </w:p>
          <w:p w14:paraId="637B0E3F">
            <w:pPr>
              <w:pStyle w:val="133"/>
              <w:spacing w:line="195" w:lineRule="auto"/>
              <w:ind w:left="26" w:right="57"/>
              <w:rPr>
                <w:sz w:val="24"/>
                <w:szCs w:val="24"/>
              </w:rPr>
            </w:pPr>
            <w:r>
              <w:rPr>
                <w:spacing w:val="8"/>
                <w:sz w:val="24"/>
                <w:szCs w:val="24"/>
              </w:rPr>
              <w:t>2.涂料类型：采用户外专用氟碳漆（或丙烯酸聚氨</w:t>
            </w:r>
            <w:r>
              <w:rPr>
                <w:spacing w:val="4"/>
                <w:sz w:val="24"/>
                <w:szCs w:val="24"/>
              </w:rPr>
              <w:t>酯漆</w:t>
            </w:r>
            <w:r>
              <w:rPr>
                <w:spacing w:val="12"/>
                <w:sz w:val="24"/>
                <w:szCs w:val="24"/>
              </w:rPr>
              <w:t>），</w:t>
            </w:r>
            <w:r>
              <w:rPr>
                <w:spacing w:val="4"/>
                <w:sz w:val="24"/>
                <w:szCs w:val="24"/>
              </w:rPr>
              <w:t>耐候性≥8年，</w:t>
            </w:r>
          </w:p>
          <w:p w14:paraId="781A71CE">
            <w:pPr>
              <w:pStyle w:val="133"/>
              <w:spacing w:line="195" w:lineRule="auto"/>
              <w:ind w:left="40" w:right="164" w:hanging="1"/>
              <w:rPr>
                <w:sz w:val="24"/>
                <w:szCs w:val="24"/>
              </w:rPr>
            </w:pPr>
            <w:r>
              <w:rPr>
                <w:spacing w:val="5"/>
                <w:sz w:val="24"/>
                <w:szCs w:val="24"/>
              </w:rPr>
              <w:t>附着力≤1级（划格法）</w:t>
            </w:r>
            <w:r>
              <w:rPr>
                <w:spacing w:val="8"/>
                <w:sz w:val="24"/>
                <w:szCs w:val="24"/>
              </w:rPr>
              <w:t xml:space="preserve"> </w:t>
            </w:r>
            <w:r>
              <w:rPr>
                <w:sz w:val="24"/>
                <w:szCs w:val="24"/>
              </w:rPr>
              <w:t>;</w:t>
            </w:r>
          </w:p>
          <w:p w14:paraId="0E331FDC">
            <w:pPr>
              <w:pStyle w:val="133"/>
              <w:spacing w:line="195" w:lineRule="auto"/>
              <w:ind w:left="25" w:right="57" w:firstLine="3"/>
              <w:rPr>
                <w:sz w:val="24"/>
                <w:szCs w:val="24"/>
              </w:rPr>
            </w:pPr>
            <w:r>
              <w:rPr>
                <w:spacing w:val="8"/>
                <w:sz w:val="24"/>
                <w:szCs w:val="24"/>
              </w:rPr>
              <w:t>3.颜色：按设计要求（色</w:t>
            </w:r>
            <w:r>
              <w:rPr>
                <w:spacing w:val="5"/>
                <w:sz w:val="24"/>
                <w:szCs w:val="24"/>
              </w:rPr>
              <w:t>号符合</w:t>
            </w:r>
            <w:r>
              <w:rPr>
                <w:sz w:val="24"/>
                <w:szCs w:val="24"/>
              </w:rPr>
              <w:t>GB</w:t>
            </w:r>
            <w:r>
              <w:rPr>
                <w:spacing w:val="5"/>
                <w:sz w:val="24"/>
                <w:szCs w:val="24"/>
              </w:rPr>
              <w:t>/T 3181-2008《</w:t>
            </w:r>
            <w:r>
              <w:rPr>
                <w:spacing w:val="3"/>
                <w:sz w:val="24"/>
                <w:szCs w:val="24"/>
              </w:rPr>
              <w:t>漆膜颜色标准》</w:t>
            </w:r>
            <w:r>
              <w:rPr>
                <w:spacing w:val="5"/>
                <w:sz w:val="24"/>
                <w:szCs w:val="24"/>
              </w:rPr>
              <w:t>）；</w:t>
            </w:r>
          </w:p>
          <w:p w14:paraId="65BAECEB">
            <w:pPr>
              <w:pStyle w:val="133"/>
              <w:spacing w:before="2" w:line="195" w:lineRule="auto"/>
              <w:ind w:left="24" w:right="147"/>
              <w:rPr>
                <w:sz w:val="24"/>
                <w:szCs w:val="24"/>
              </w:rPr>
            </w:pPr>
            <w:r>
              <w:rPr>
                <w:spacing w:val="12"/>
                <w:sz w:val="24"/>
                <w:szCs w:val="24"/>
              </w:rPr>
              <w:t>4.涂刷要求：涂刷2遍(</w:t>
            </w:r>
            <w:r>
              <w:rPr>
                <w:spacing w:val="7"/>
                <w:sz w:val="24"/>
                <w:szCs w:val="24"/>
              </w:rPr>
              <w:t>底漆1遍+面漆1遍</w:t>
            </w:r>
            <w:r>
              <w:rPr>
                <w:spacing w:val="12"/>
                <w:sz w:val="24"/>
                <w:szCs w:val="24"/>
              </w:rPr>
              <w:t>），</w:t>
            </w:r>
            <w:r>
              <w:rPr>
                <w:spacing w:val="7"/>
                <w:sz w:val="24"/>
                <w:szCs w:val="24"/>
              </w:rPr>
              <w:t>干</w:t>
            </w:r>
            <w:r>
              <w:rPr>
                <w:spacing w:val="3"/>
                <w:sz w:val="24"/>
                <w:szCs w:val="24"/>
              </w:rPr>
              <w:t>膜总厚度≥80</w:t>
            </w:r>
            <w:r>
              <w:rPr>
                <w:spacing w:val="-34"/>
                <w:sz w:val="24"/>
                <w:szCs w:val="24"/>
              </w:rPr>
              <w:t xml:space="preserve"> </w:t>
            </w:r>
            <w:r>
              <w:rPr>
                <w:spacing w:val="3"/>
                <w:sz w:val="24"/>
                <w:szCs w:val="24"/>
              </w:rPr>
              <w:t>μm，底漆</w:t>
            </w:r>
            <w:r>
              <w:rPr>
                <w:spacing w:val="8"/>
                <w:sz w:val="24"/>
                <w:szCs w:val="24"/>
              </w:rPr>
              <w:t>干燥时间≥4小时，面漆</w:t>
            </w:r>
            <w:r>
              <w:rPr>
                <w:spacing w:val="3"/>
                <w:sz w:val="24"/>
                <w:szCs w:val="24"/>
              </w:rPr>
              <w:t>干燥时间≥8小时；</w:t>
            </w:r>
          </w:p>
          <w:p w14:paraId="1C34489E">
            <w:pPr>
              <w:pStyle w:val="133"/>
              <w:spacing w:before="1" w:line="201" w:lineRule="auto"/>
              <w:ind w:left="25" w:leftChars="0" w:right="57" w:rightChars="0" w:firstLine="3" w:firstLineChars="0"/>
              <w:rPr>
                <w:rFonts w:ascii="宋体" w:hAnsi="宋体" w:eastAsia="宋体" w:cs="宋体"/>
                <w:snapToGrid w:val="0"/>
                <w:color w:val="000000"/>
                <w:kern w:val="0"/>
                <w:sz w:val="24"/>
                <w:szCs w:val="24"/>
                <w:lang w:val="en-US" w:eastAsia="en-US" w:bidi="ar-SA"/>
              </w:rPr>
            </w:pPr>
            <w:r>
              <w:rPr>
                <w:spacing w:val="8"/>
                <w:sz w:val="24"/>
                <w:szCs w:val="24"/>
              </w:rPr>
              <w:t>5.质量要求：表面均匀光</w:t>
            </w:r>
            <w:r>
              <w:rPr>
                <w:spacing w:val="9"/>
                <w:sz w:val="24"/>
                <w:szCs w:val="24"/>
              </w:rPr>
              <w:t>滑，无流挂、漏涂、气泡</w:t>
            </w:r>
            <w:r>
              <w:rPr>
                <w:sz w:val="24"/>
                <w:szCs w:val="24"/>
              </w:rPr>
              <w:t xml:space="preserve"> </w:t>
            </w:r>
            <w:r>
              <w:rPr>
                <w:spacing w:val="16"/>
                <w:sz w:val="24"/>
                <w:szCs w:val="24"/>
              </w:rPr>
              <w:t>,与道牙石粘结牢固，耐</w:t>
            </w:r>
            <w:r>
              <w:rPr>
                <w:spacing w:val="8"/>
                <w:sz w:val="24"/>
                <w:szCs w:val="24"/>
              </w:rPr>
              <w:t>水性（浸泡24小时无脱落</w:t>
            </w:r>
            <w:r>
              <w:rPr>
                <w:spacing w:val="2"/>
                <w:sz w:val="24"/>
                <w:szCs w:val="24"/>
              </w:rPr>
              <w:t xml:space="preserve"> </w:t>
            </w:r>
            <w:r>
              <w:rPr>
                <w:spacing w:val="15"/>
                <w:sz w:val="24"/>
                <w:szCs w:val="24"/>
              </w:rPr>
              <w:t>)、耐碱性（浸泡24小时</w:t>
            </w:r>
            <w:r>
              <w:rPr>
                <w:spacing w:val="-2"/>
                <w:sz w:val="24"/>
                <w:szCs w:val="24"/>
              </w:rPr>
              <w:t>无变色</w:t>
            </w:r>
            <w:r>
              <w:rPr>
                <w:sz w:val="24"/>
                <w:szCs w:val="24"/>
              </w:rPr>
              <w:t>）；</w:t>
            </w:r>
          </w:p>
        </w:tc>
        <w:tc>
          <w:tcPr>
            <w:tcW w:w="610" w:type="pct"/>
            <w:shd w:val="clear" w:color="auto" w:fill="auto"/>
            <w:vAlign w:val="top"/>
          </w:tcPr>
          <w:p w14:paraId="4D83D14F">
            <w:pPr>
              <w:spacing w:line="261" w:lineRule="auto"/>
              <w:rPr>
                <w:rFonts w:ascii="Arial"/>
                <w:sz w:val="24"/>
                <w:szCs w:val="24"/>
              </w:rPr>
            </w:pPr>
          </w:p>
          <w:p w14:paraId="699C869F">
            <w:pPr>
              <w:spacing w:line="261" w:lineRule="auto"/>
              <w:rPr>
                <w:rFonts w:ascii="Arial"/>
                <w:sz w:val="24"/>
                <w:szCs w:val="24"/>
              </w:rPr>
            </w:pPr>
          </w:p>
          <w:p w14:paraId="7F9E57B8">
            <w:pPr>
              <w:spacing w:line="261" w:lineRule="auto"/>
              <w:rPr>
                <w:rFonts w:ascii="Arial"/>
                <w:sz w:val="24"/>
                <w:szCs w:val="24"/>
              </w:rPr>
            </w:pPr>
          </w:p>
          <w:p w14:paraId="33C883D6">
            <w:pPr>
              <w:spacing w:line="261" w:lineRule="auto"/>
              <w:rPr>
                <w:rFonts w:ascii="Arial"/>
                <w:sz w:val="24"/>
                <w:szCs w:val="24"/>
              </w:rPr>
            </w:pPr>
          </w:p>
          <w:p w14:paraId="0481FB9A">
            <w:pPr>
              <w:spacing w:line="261" w:lineRule="auto"/>
              <w:rPr>
                <w:rFonts w:ascii="Arial"/>
                <w:sz w:val="24"/>
                <w:szCs w:val="24"/>
              </w:rPr>
            </w:pPr>
          </w:p>
          <w:p w14:paraId="39DBF1EE">
            <w:pPr>
              <w:spacing w:line="261" w:lineRule="auto"/>
              <w:rPr>
                <w:rFonts w:ascii="Arial"/>
                <w:sz w:val="24"/>
                <w:szCs w:val="24"/>
              </w:rPr>
            </w:pPr>
          </w:p>
          <w:p w14:paraId="2E722E35">
            <w:pPr>
              <w:spacing w:line="261" w:lineRule="auto"/>
              <w:rPr>
                <w:rFonts w:ascii="Arial"/>
                <w:sz w:val="24"/>
                <w:szCs w:val="24"/>
              </w:rPr>
            </w:pPr>
          </w:p>
          <w:p w14:paraId="6F258E43">
            <w:pPr>
              <w:spacing w:line="261" w:lineRule="auto"/>
              <w:rPr>
                <w:rFonts w:ascii="Arial"/>
                <w:sz w:val="24"/>
                <w:szCs w:val="24"/>
              </w:rPr>
            </w:pPr>
          </w:p>
          <w:p w14:paraId="56D97E69">
            <w:pPr>
              <w:spacing w:line="262" w:lineRule="auto"/>
              <w:rPr>
                <w:rFonts w:ascii="Arial"/>
                <w:sz w:val="24"/>
                <w:szCs w:val="24"/>
              </w:rPr>
            </w:pPr>
          </w:p>
          <w:p w14:paraId="030AF318">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711E97F0">
            <w:pPr>
              <w:spacing w:line="261" w:lineRule="auto"/>
              <w:rPr>
                <w:rFonts w:ascii="Arial"/>
                <w:sz w:val="24"/>
                <w:szCs w:val="24"/>
              </w:rPr>
            </w:pPr>
          </w:p>
          <w:p w14:paraId="26892BFC">
            <w:pPr>
              <w:spacing w:line="261" w:lineRule="auto"/>
              <w:rPr>
                <w:rFonts w:ascii="Arial"/>
                <w:sz w:val="24"/>
                <w:szCs w:val="24"/>
              </w:rPr>
            </w:pPr>
          </w:p>
          <w:p w14:paraId="143B9580">
            <w:pPr>
              <w:spacing w:line="261" w:lineRule="auto"/>
              <w:rPr>
                <w:rFonts w:ascii="Arial"/>
                <w:sz w:val="24"/>
                <w:szCs w:val="24"/>
              </w:rPr>
            </w:pPr>
          </w:p>
          <w:p w14:paraId="5401591C">
            <w:pPr>
              <w:spacing w:line="261" w:lineRule="auto"/>
              <w:rPr>
                <w:rFonts w:ascii="Arial"/>
                <w:sz w:val="24"/>
                <w:szCs w:val="24"/>
              </w:rPr>
            </w:pPr>
          </w:p>
          <w:p w14:paraId="5B5491A6">
            <w:pPr>
              <w:spacing w:line="261" w:lineRule="auto"/>
              <w:rPr>
                <w:rFonts w:ascii="Arial"/>
                <w:sz w:val="24"/>
                <w:szCs w:val="24"/>
              </w:rPr>
            </w:pPr>
          </w:p>
          <w:p w14:paraId="0897656D">
            <w:pPr>
              <w:spacing w:line="261" w:lineRule="auto"/>
              <w:rPr>
                <w:rFonts w:ascii="Arial"/>
                <w:sz w:val="24"/>
                <w:szCs w:val="24"/>
              </w:rPr>
            </w:pPr>
          </w:p>
          <w:p w14:paraId="5AC14D3B">
            <w:pPr>
              <w:spacing w:line="261" w:lineRule="auto"/>
              <w:rPr>
                <w:rFonts w:ascii="Arial"/>
                <w:sz w:val="24"/>
                <w:szCs w:val="24"/>
              </w:rPr>
            </w:pPr>
          </w:p>
          <w:p w14:paraId="780361BE">
            <w:pPr>
              <w:spacing w:line="261" w:lineRule="auto"/>
              <w:rPr>
                <w:rFonts w:ascii="Arial"/>
                <w:sz w:val="24"/>
                <w:szCs w:val="24"/>
              </w:rPr>
            </w:pPr>
          </w:p>
          <w:p w14:paraId="66471398">
            <w:pPr>
              <w:spacing w:line="262" w:lineRule="auto"/>
              <w:rPr>
                <w:rFonts w:ascii="Arial"/>
                <w:sz w:val="24"/>
                <w:szCs w:val="24"/>
              </w:rPr>
            </w:pPr>
          </w:p>
          <w:p w14:paraId="69158D2B">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7E80EA4">
            <w:pPr>
              <w:pStyle w:val="133"/>
              <w:spacing w:before="55" w:line="232" w:lineRule="exact"/>
              <w:ind w:left="372"/>
              <w:rPr>
                <w:position w:val="1"/>
                <w:sz w:val="24"/>
                <w:szCs w:val="24"/>
              </w:rPr>
            </w:pPr>
          </w:p>
          <w:p w14:paraId="61F8473C">
            <w:pPr>
              <w:pStyle w:val="133"/>
              <w:spacing w:before="55" w:line="232" w:lineRule="exact"/>
              <w:ind w:left="372"/>
              <w:rPr>
                <w:position w:val="1"/>
                <w:sz w:val="24"/>
                <w:szCs w:val="24"/>
              </w:rPr>
            </w:pPr>
          </w:p>
          <w:p w14:paraId="7ABB9189">
            <w:pPr>
              <w:pStyle w:val="133"/>
              <w:spacing w:before="55" w:line="232" w:lineRule="exact"/>
              <w:ind w:left="372"/>
              <w:rPr>
                <w:position w:val="1"/>
                <w:sz w:val="24"/>
                <w:szCs w:val="24"/>
              </w:rPr>
            </w:pPr>
          </w:p>
          <w:p w14:paraId="09A4D054">
            <w:pPr>
              <w:pStyle w:val="133"/>
              <w:spacing w:before="55" w:line="232" w:lineRule="exact"/>
              <w:ind w:left="372"/>
              <w:rPr>
                <w:position w:val="1"/>
                <w:sz w:val="24"/>
                <w:szCs w:val="24"/>
              </w:rPr>
            </w:pPr>
          </w:p>
          <w:p w14:paraId="3593D8A7">
            <w:pPr>
              <w:pStyle w:val="133"/>
              <w:spacing w:before="55" w:line="232" w:lineRule="exact"/>
              <w:ind w:left="372"/>
              <w:rPr>
                <w:position w:val="1"/>
                <w:sz w:val="24"/>
                <w:szCs w:val="24"/>
              </w:rPr>
            </w:pPr>
          </w:p>
          <w:p w14:paraId="4DCE0646">
            <w:pPr>
              <w:pStyle w:val="133"/>
              <w:spacing w:before="55" w:line="232" w:lineRule="exact"/>
              <w:ind w:left="372"/>
              <w:rPr>
                <w:position w:val="1"/>
                <w:sz w:val="24"/>
                <w:szCs w:val="24"/>
              </w:rPr>
            </w:pPr>
          </w:p>
          <w:p w14:paraId="17D6C812">
            <w:pPr>
              <w:pStyle w:val="133"/>
              <w:spacing w:before="55" w:line="232" w:lineRule="exact"/>
              <w:ind w:left="372"/>
              <w:rPr>
                <w:position w:val="1"/>
                <w:sz w:val="24"/>
                <w:szCs w:val="24"/>
              </w:rPr>
            </w:pPr>
          </w:p>
          <w:p w14:paraId="7DF8C8E9">
            <w:pPr>
              <w:pStyle w:val="133"/>
              <w:spacing w:before="55" w:line="232" w:lineRule="exact"/>
              <w:ind w:left="372"/>
              <w:rPr>
                <w:position w:val="1"/>
                <w:sz w:val="24"/>
                <w:szCs w:val="24"/>
              </w:rPr>
            </w:pPr>
          </w:p>
          <w:p w14:paraId="0C93C2E5">
            <w:pPr>
              <w:pStyle w:val="133"/>
              <w:spacing w:before="55" w:line="232" w:lineRule="exact"/>
              <w:ind w:left="372"/>
              <w:rPr>
                <w:position w:val="1"/>
                <w:sz w:val="24"/>
                <w:szCs w:val="24"/>
              </w:rPr>
            </w:pPr>
          </w:p>
          <w:p w14:paraId="5EABEF92">
            <w:pPr>
              <w:pStyle w:val="133"/>
              <w:spacing w:before="55" w:line="232" w:lineRule="exact"/>
              <w:ind w:left="372"/>
              <w:rPr>
                <w:position w:val="1"/>
                <w:sz w:val="24"/>
                <w:szCs w:val="24"/>
              </w:rPr>
            </w:pPr>
          </w:p>
          <w:p w14:paraId="66080BCA">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55</w:t>
            </w:r>
          </w:p>
        </w:tc>
      </w:tr>
      <w:tr w14:paraId="5FA0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71" w:type="pct"/>
            <w:tcBorders>
              <w:left w:val="single" w:color="000000" w:sz="10" w:space="0"/>
            </w:tcBorders>
            <w:shd w:val="clear" w:color="auto" w:fill="auto"/>
            <w:vAlign w:val="top"/>
          </w:tcPr>
          <w:p w14:paraId="7F2935F8">
            <w:pPr>
              <w:spacing w:line="267" w:lineRule="auto"/>
              <w:rPr>
                <w:rFonts w:ascii="Arial"/>
                <w:sz w:val="24"/>
                <w:szCs w:val="24"/>
              </w:rPr>
            </w:pPr>
          </w:p>
          <w:p w14:paraId="522929F4">
            <w:pPr>
              <w:spacing w:line="268" w:lineRule="auto"/>
              <w:rPr>
                <w:rFonts w:ascii="Arial"/>
                <w:sz w:val="24"/>
                <w:szCs w:val="24"/>
              </w:rPr>
            </w:pPr>
          </w:p>
          <w:p w14:paraId="5592BDD2">
            <w:pPr>
              <w:spacing w:line="268" w:lineRule="auto"/>
              <w:rPr>
                <w:rFonts w:ascii="Arial"/>
                <w:sz w:val="24"/>
                <w:szCs w:val="24"/>
              </w:rPr>
            </w:pPr>
          </w:p>
          <w:p w14:paraId="58A4DD6F">
            <w:pPr>
              <w:spacing w:line="268" w:lineRule="auto"/>
              <w:rPr>
                <w:rFonts w:ascii="Arial"/>
                <w:sz w:val="24"/>
                <w:szCs w:val="24"/>
              </w:rPr>
            </w:pPr>
          </w:p>
          <w:p w14:paraId="19B5E743">
            <w:pPr>
              <w:spacing w:line="268" w:lineRule="auto"/>
              <w:rPr>
                <w:rFonts w:ascii="Arial"/>
                <w:sz w:val="24"/>
                <w:szCs w:val="24"/>
              </w:rPr>
            </w:pPr>
          </w:p>
          <w:p w14:paraId="17ADD790">
            <w:pPr>
              <w:pStyle w:val="133"/>
              <w:spacing w:before="55" w:line="232"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11</w:t>
            </w:r>
          </w:p>
        </w:tc>
        <w:tc>
          <w:tcPr>
            <w:tcW w:w="645" w:type="pct"/>
            <w:shd w:val="clear" w:color="auto" w:fill="auto"/>
            <w:vAlign w:val="top"/>
          </w:tcPr>
          <w:p w14:paraId="369D2A38">
            <w:pPr>
              <w:spacing w:line="267" w:lineRule="auto"/>
              <w:rPr>
                <w:rFonts w:ascii="Arial"/>
                <w:sz w:val="24"/>
                <w:szCs w:val="24"/>
              </w:rPr>
            </w:pPr>
          </w:p>
          <w:p w14:paraId="6EA5A4AE">
            <w:pPr>
              <w:spacing w:line="268" w:lineRule="auto"/>
              <w:rPr>
                <w:rFonts w:ascii="Arial"/>
                <w:sz w:val="24"/>
                <w:szCs w:val="24"/>
              </w:rPr>
            </w:pPr>
          </w:p>
          <w:p w14:paraId="27367515">
            <w:pPr>
              <w:spacing w:line="268" w:lineRule="auto"/>
              <w:rPr>
                <w:rFonts w:ascii="Arial"/>
                <w:sz w:val="24"/>
                <w:szCs w:val="24"/>
              </w:rPr>
            </w:pPr>
          </w:p>
          <w:p w14:paraId="65C5236A">
            <w:pPr>
              <w:spacing w:line="268" w:lineRule="auto"/>
              <w:rPr>
                <w:rFonts w:ascii="Arial"/>
                <w:sz w:val="24"/>
                <w:szCs w:val="24"/>
              </w:rPr>
            </w:pPr>
          </w:p>
          <w:p w14:paraId="0B7297E5">
            <w:pPr>
              <w:spacing w:line="268" w:lineRule="auto"/>
              <w:rPr>
                <w:rFonts w:ascii="Arial"/>
                <w:sz w:val="24"/>
                <w:szCs w:val="24"/>
              </w:rPr>
            </w:pPr>
          </w:p>
          <w:p w14:paraId="5463F1A2">
            <w:pPr>
              <w:pStyle w:val="133"/>
              <w:spacing w:before="55" w:line="231"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040504001001</w:t>
            </w:r>
          </w:p>
        </w:tc>
        <w:tc>
          <w:tcPr>
            <w:tcW w:w="759" w:type="pct"/>
            <w:shd w:val="clear" w:color="auto" w:fill="auto"/>
            <w:vAlign w:val="top"/>
          </w:tcPr>
          <w:p w14:paraId="4FDD50A0">
            <w:pPr>
              <w:spacing w:line="267" w:lineRule="auto"/>
              <w:rPr>
                <w:rFonts w:ascii="Arial"/>
                <w:sz w:val="24"/>
                <w:szCs w:val="24"/>
              </w:rPr>
            </w:pPr>
          </w:p>
          <w:p w14:paraId="6C063D41">
            <w:pPr>
              <w:spacing w:line="268" w:lineRule="auto"/>
              <w:rPr>
                <w:rFonts w:ascii="Arial"/>
                <w:sz w:val="24"/>
                <w:szCs w:val="24"/>
              </w:rPr>
            </w:pPr>
          </w:p>
          <w:p w14:paraId="7E217920">
            <w:pPr>
              <w:spacing w:line="268" w:lineRule="auto"/>
              <w:rPr>
                <w:rFonts w:ascii="Arial"/>
                <w:sz w:val="24"/>
                <w:szCs w:val="24"/>
              </w:rPr>
            </w:pPr>
          </w:p>
          <w:p w14:paraId="6819AEC7">
            <w:pPr>
              <w:spacing w:line="268" w:lineRule="auto"/>
              <w:rPr>
                <w:rFonts w:ascii="Arial"/>
                <w:sz w:val="24"/>
                <w:szCs w:val="24"/>
              </w:rPr>
            </w:pPr>
          </w:p>
          <w:p w14:paraId="411337BB">
            <w:pPr>
              <w:spacing w:line="268" w:lineRule="auto"/>
              <w:rPr>
                <w:rFonts w:ascii="Arial"/>
                <w:sz w:val="24"/>
                <w:szCs w:val="24"/>
              </w:rPr>
            </w:pPr>
          </w:p>
          <w:p w14:paraId="7EDC2EF2">
            <w:pPr>
              <w:pStyle w:val="133"/>
              <w:spacing w:before="55" w:line="231" w:lineRule="auto"/>
              <w:ind w:left="22" w:leftChars="0"/>
              <w:rPr>
                <w:rFonts w:ascii="宋体" w:hAnsi="宋体" w:eastAsia="宋体" w:cs="宋体"/>
                <w:snapToGrid w:val="0"/>
                <w:color w:val="000000"/>
                <w:kern w:val="0"/>
                <w:sz w:val="24"/>
                <w:szCs w:val="24"/>
                <w:lang w:val="en-US" w:eastAsia="en-US" w:bidi="ar-SA"/>
              </w:rPr>
            </w:pPr>
            <w:r>
              <w:rPr>
                <w:spacing w:val="7"/>
                <w:sz w:val="24"/>
                <w:szCs w:val="24"/>
              </w:rPr>
              <w:t>井盖更换</w:t>
            </w:r>
          </w:p>
        </w:tc>
        <w:tc>
          <w:tcPr>
            <w:tcW w:w="1173" w:type="pct"/>
            <w:shd w:val="clear" w:color="auto" w:fill="auto"/>
            <w:vAlign w:val="top"/>
          </w:tcPr>
          <w:p w14:paraId="040F3C86">
            <w:pPr>
              <w:pStyle w:val="133"/>
              <w:spacing w:before="55" w:line="195" w:lineRule="auto"/>
              <w:ind w:right="57"/>
              <w:rPr>
                <w:sz w:val="24"/>
                <w:szCs w:val="24"/>
              </w:rPr>
            </w:pPr>
            <w:r>
              <w:rPr>
                <w:spacing w:val="7"/>
                <w:sz w:val="24"/>
                <w:szCs w:val="24"/>
              </w:rPr>
              <w:t>1.井盖类型：重型球墨铸铁井盖，承载等级≥D400</w:t>
            </w:r>
            <w:r>
              <w:rPr>
                <w:spacing w:val="8"/>
                <w:sz w:val="24"/>
                <w:szCs w:val="24"/>
              </w:rPr>
              <w:t xml:space="preserve"> </w:t>
            </w:r>
            <w:r>
              <w:rPr>
                <w:spacing w:val="7"/>
                <w:sz w:val="24"/>
                <w:szCs w:val="24"/>
              </w:rPr>
              <w:t>（适用于车行道）或C250</w:t>
            </w:r>
            <w:r>
              <w:rPr>
                <w:spacing w:val="8"/>
                <w:sz w:val="24"/>
                <w:szCs w:val="24"/>
              </w:rPr>
              <w:t xml:space="preserve"> </w:t>
            </w:r>
            <w:r>
              <w:rPr>
                <w:spacing w:val="3"/>
                <w:sz w:val="24"/>
                <w:szCs w:val="24"/>
              </w:rPr>
              <w:t>（适用于人行道</w:t>
            </w:r>
            <w:r>
              <w:rPr>
                <w:spacing w:val="6"/>
                <w:sz w:val="24"/>
                <w:szCs w:val="24"/>
              </w:rPr>
              <w:t>）；</w:t>
            </w:r>
          </w:p>
          <w:p w14:paraId="7FF456E1">
            <w:pPr>
              <w:pStyle w:val="133"/>
              <w:spacing w:line="195" w:lineRule="auto"/>
              <w:ind w:left="25" w:right="57" w:firstLine="2"/>
              <w:rPr>
                <w:sz w:val="24"/>
                <w:szCs w:val="24"/>
              </w:rPr>
            </w:pPr>
            <w:r>
              <w:rPr>
                <w:spacing w:val="6"/>
                <w:sz w:val="24"/>
                <w:szCs w:val="24"/>
              </w:rPr>
              <w:t>2.规格：Φ700</w:t>
            </w:r>
            <w:r>
              <w:rPr>
                <w:sz w:val="24"/>
                <w:szCs w:val="24"/>
              </w:rPr>
              <w:t>mm</w:t>
            </w:r>
            <w:r>
              <w:rPr>
                <w:spacing w:val="6"/>
                <w:sz w:val="24"/>
                <w:szCs w:val="24"/>
              </w:rPr>
              <w:t>（或按</w:t>
            </w:r>
            <w:r>
              <w:rPr>
                <w:spacing w:val="9"/>
                <w:sz w:val="24"/>
                <w:szCs w:val="24"/>
              </w:rPr>
              <w:t>实际井径调整），井盖与</w:t>
            </w:r>
            <w:r>
              <w:rPr>
                <w:spacing w:val="8"/>
                <w:sz w:val="24"/>
                <w:szCs w:val="24"/>
              </w:rPr>
              <w:t>井座配合间隙≤3</w:t>
            </w:r>
            <w:r>
              <w:rPr>
                <w:sz w:val="24"/>
                <w:szCs w:val="24"/>
              </w:rPr>
              <w:t>mm</w:t>
            </w:r>
            <w:r>
              <w:rPr>
                <w:spacing w:val="8"/>
                <w:sz w:val="24"/>
                <w:szCs w:val="24"/>
              </w:rPr>
              <w:t>；</w:t>
            </w:r>
          </w:p>
          <w:p w14:paraId="6D1D98C4">
            <w:pPr>
              <w:pStyle w:val="133"/>
              <w:spacing w:line="195" w:lineRule="auto"/>
              <w:ind w:left="28" w:right="57"/>
              <w:rPr>
                <w:sz w:val="24"/>
                <w:szCs w:val="24"/>
              </w:rPr>
            </w:pPr>
            <w:r>
              <w:rPr>
                <w:spacing w:val="8"/>
                <w:sz w:val="24"/>
                <w:szCs w:val="24"/>
              </w:rPr>
              <w:t>3.材质要求：球墨铸铁</w:t>
            </w:r>
            <w:r>
              <w:rPr>
                <w:sz w:val="24"/>
                <w:szCs w:val="24"/>
              </w:rPr>
              <w:t>QT</w:t>
            </w:r>
            <w:r>
              <w:rPr>
                <w:spacing w:val="7"/>
                <w:sz w:val="24"/>
                <w:szCs w:val="24"/>
              </w:rPr>
              <w:t xml:space="preserve"> </w:t>
            </w:r>
            <w:r>
              <w:rPr>
                <w:spacing w:val="6"/>
                <w:sz w:val="24"/>
                <w:szCs w:val="24"/>
              </w:rPr>
              <w:t>500-7，抗拉强度≥500</w:t>
            </w:r>
          </w:p>
          <w:p w14:paraId="29673619">
            <w:pPr>
              <w:pStyle w:val="133"/>
              <w:spacing w:line="195" w:lineRule="auto"/>
              <w:ind w:left="19"/>
              <w:rPr>
                <w:sz w:val="24"/>
                <w:szCs w:val="24"/>
              </w:rPr>
            </w:pPr>
            <w:r>
              <w:rPr>
                <w:sz w:val="24"/>
                <w:szCs w:val="24"/>
              </w:rPr>
              <w:t>MPa</w:t>
            </w:r>
            <w:r>
              <w:rPr>
                <w:spacing w:val="8"/>
                <w:sz w:val="24"/>
                <w:szCs w:val="24"/>
              </w:rPr>
              <w:t>，延伸率≥7%；</w:t>
            </w:r>
          </w:p>
          <w:p w14:paraId="58FAB241">
            <w:pPr>
              <w:pStyle w:val="133"/>
              <w:numPr>
                <w:ilvl w:val="0"/>
                <w:numId w:val="12"/>
              </w:numPr>
              <w:spacing w:before="2" w:line="212" w:lineRule="auto"/>
              <w:ind w:left="28" w:leftChars="0" w:right="147" w:rightChars="0" w:hanging="4" w:firstLineChars="0"/>
              <w:rPr>
                <w:spacing w:val="8"/>
                <w:sz w:val="24"/>
                <w:szCs w:val="24"/>
              </w:rPr>
            </w:pPr>
            <w:r>
              <w:rPr>
                <w:spacing w:val="7"/>
                <w:sz w:val="24"/>
                <w:szCs w:val="24"/>
              </w:rPr>
              <w:t>表面处理：热镀锌+喷</w:t>
            </w:r>
            <w:r>
              <w:rPr>
                <w:spacing w:val="8"/>
                <w:sz w:val="24"/>
                <w:szCs w:val="24"/>
              </w:rPr>
              <w:t>塑，防锈等级≥</w:t>
            </w:r>
            <w:r>
              <w:rPr>
                <w:sz w:val="24"/>
                <w:szCs w:val="24"/>
              </w:rPr>
              <w:t>GB</w:t>
            </w:r>
            <w:r>
              <w:rPr>
                <w:spacing w:val="8"/>
                <w:sz w:val="24"/>
                <w:szCs w:val="24"/>
              </w:rPr>
              <w:t>/T</w:t>
            </w:r>
          </w:p>
          <w:p w14:paraId="0F0DBEC5">
            <w:pPr>
              <w:pStyle w:val="133"/>
              <w:spacing w:before="156" w:line="195" w:lineRule="auto"/>
              <w:ind w:left="38"/>
              <w:rPr>
                <w:sz w:val="24"/>
                <w:szCs w:val="24"/>
              </w:rPr>
            </w:pPr>
            <w:r>
              <w:rPr>
                <w:spacing w:val="3"/>
                <w:sz w:val="24"/>
                <w:szCs w:val="24"/>
              </w:rPr>
              <w:t xml:space="preserve">18226-2015 </w:t>
            </w:r>
            <w:r>
              <w:rPr>
                <w:sz w:val="24"/>
                <w:szCs w:val="24"/>
              </w:rPr>
              <w:t>Class</w:t>
            </w:r>
            <w:r>
              <w:rPr>
                <w:spacing w:val="27"/>
                <w:sz w:val="24"/>
                <w:szCs w:val="24"/>
              </w:rPr>
              <w:t xml:space="preserve"> </w:t>
            </w:r>
            <w:r>
              <w:rPr>
                <w:spacing w:val="3"/>
                <w:sz w:val="24"/>
                <w:szCs w:val="24"/>
              </w:rPr>
              <w:t>3；</w:t>
            </w:r>
          </w:p>
          <w:p w14:paraId="79B58F3E">
            <w:pPr>
              <w:pStyle w:val="133"/>
              <w:numPr>
                <w:ilvl w:val="0"/>
                <w:numId w:val="0"/>
              </w:numPr>
              <w:spacing w:before="2" w:line="212" w:lineRule="auto"/>
              <w:ind w:left="24" w:leftChars="0" w:right="147" w:rightChars="0"/>
              <w:rPr>
                <w:spacing w:val="8"/>
                <w:sz w:val="24"/>
                <w:szCs w:val="24"/>
                <w:lang w:val="en-US" w:eastAsia="en-US"/>
              </w:rPr>
            </w:pPr>
            <w:r>
              <w:rPr>
                <w:spacing w:val="8"/>
                <w:sz w:val="24"/>
                <w:szCs w:val="24"/>
              </w:rPr>
              <w:t>5.安装：采用防沉降结构</w:t>
            </w:r>
            <w:r>
              <w:rPr>
                <w:sz w:val="24"/>
                <w:szCs w:val="24"/>
              </w:rPr>
              <w:t xml:space="preserve"> </w:t>
            </w:r>
            <w:r>
              <w:rPr>
                <w:spacing w:val="14"/>
                <w:sz w:val="24"/>
                <w:szCs w:val="24"/>
              </w:rPr>
              <w:t>,井周回填采用C30混凝</w:t>
            </w:r>
            <w:r>
              <w:rPr>
                <w:spacing w:val="6"/>
                <w:sz w:val="24"/>
                <w:szCs w:val="24"/>
              </w:rPr>
              <w:t>土，压实度≥98%；</w:t>
            </w:r>
          </w:p>
        </w:tc>
        <w:tc>
          <w:tcPr>
            <w:tcW w:w="610" w:type="pct"/>
            <w:shd w:val="clear" w:color="auto" w:fill="auto"/>
            <w:vAlign w:val="top"/>
          </w:tcPr>
          <w:p w14:paraId="2F26C008">
            <w:pPr>
              <w:spacing w:line="267" w:lineRule="auto"/>
              <w:rPr>
                <w:rFonts w:ascii="Arial"/>
                <w:sz w:val="24"/>
                <w:szCs w:val="24"/>
              </w:rPr>
            </w:pPr>
          </w:p>
          <w:p w14:paraId="7E688225">
            <w:pPr>
              <w:spacing w:line="268" w:lineRule="auto"/>
              <w:rPr>
                <w:rFonts w:ascii="Arial"/>
                <w:sz w:val="24"/>
                <w:szCs w:val="24"/>
              </w:rPr>
            </w:pPr>
          </w:p>
          <w:p w14:paraId="0403B7A8">
            <w:pPr>
              <w:spacing w:line="268" w:lineRule="auto"/>
              <w:rPr>
                <w:rFonts w:ascii="Arial"/>
                <w:sz w:val="24"/>
                <w:szCs w:val="24"/>
              </w:rPr>
            </w:pPr>
          </w:p>
          <w:p w14:paraId="423E6C0F">
            <w:pPr>
              <w:spacing w:line="268" w:lineRule="auto"/>
              <w:rPr>
                <w:rFonts w:ascii="Arial"/>
                <w:sz w:val="24"/>
                <w:szCs w:val="24"/>
              </w:rPr>
            </w:pPr>
          </w:p>
          <w:p w14:paraId="0A8BAB99">
            <w:pPr>
              <w:spacing w:line="268" w:lineRule="auto"/>
              <w:rPr>
                <w:rFonts w:ascii="Arial"/>
                <w:sz w:val="24"/>
                <w:szCs w:val="24"/>
              </w:rPr>
            </w:pPr>
          </w:p>
          <w:p w14:paraId="2D435671">
            <w:pPr>
              <w:pStyle w:val="133"/>
              <w:spacing w:before="56" w:line="230" w:lineRule="auto"/>
              <w:ind w:left="208" w:leftChars="0"/>
              <w:rPr>
                <w:rFonts w:ascii="宋体" w:hAnsi="宋体" w:eastAsia="宋体" w:cs="宋体"/>
                <w:snapToGrid w:val="0"/>
                <w:color w:val="000000"/>
                <w:kern w:val="0"/>
                <w:sz w:val="24"/>
                <w:szCs w:val="24"/>
                <w:lang w:val="en-US" w:eastAsia="en-US" w:bidi="ar-SA"/>
              </w:rPr>
            </w:pPr>
            <w:r>
              <w:rPr>
                <w:spacing w:val="2"/>
                <w:sz w:val="24"/>
                <w:szCs w:val="24"/>
              </w:rPr>
              <w:t>个</w:t>
            </w:r>
          </w:p>
        </w:tc>
        <w:tc>
          <w:tcPr>
            <w:tcW w:w="681" w:type="pct"/>
            <w:shd w:val="clear" w:color="auto" w:fill="auto"/>
            <w:vAlign w:val="top"/>
          </w:tcPr>
          <w:p w14:paraId="4926B93C">
            <w:pPr>
              <w:spacing w:line="267" w:lineRule="auto"/>
              <w:rPr>
                <w:rFonts w:ascii="Arial"/>
                <w:sz w:val="24"/>
                <w:szCs w:val="24"/>
              </w:rPr>
            </w:pPr>
          </w:p>
          <w:p w14:paraId="602D3AC8">
            <w:pPr>
              <w:spacing w:line="268" w:lineRule="auto"/>
              <w:rPr>
                <w:rFonts w:ascii="Arial"/>
                <w:sz w:val="24"/>
                <w:szCs w:val="24"/>
              </w:rPr>
            </w:pPr>
          </w:p>
          <w:p w14:paraId="01200A51">
            <w:pPr>
              <w:spacing w:line="268" w:lineRule="auto"/>
              <w:rPr>
                <w:rFonts w:ascii="Arial"/>
                <w:sz w:val="24"/>
                <w:szCs w:val="24"/>
              </w:rPr>
            </w:pPr>
          </w:p>
          <w:p w14:paraId="2B8E5C57">
            <w:pPr>
              <w:spacing w:line="268" w:lineRule="auto"/>
              <w:rPr>
                <w:rFonts w:ascii="Arial"/>
                <w:sz w:val="24"/>
                <w:szCs w:val="24"/>
              </w:rPr>
            </w:pPr>
          </w:p>
          <w:p w14:paraId="573D4852">
            <w:pPr>
              <w:spacing w:line="268" w:lineRule="auto"/>
              <w:rPr>
                <w:rFonts w:ascii="Arial"/>
                <w:sz w:val="24"/>
                <w:szCs w:val="24"/>
              </w:rPr>
            </w:pPr>
          </w:p>
          <w:p w14:paraId="547852E5">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58D99814">
            <w:pPr>
              <w:pStyle w:val="133"/>
              <w:spacing w:before="55" w:line="232" w:lineRule="exact"/>
              <w:ind w:left="372"/>
              <w:rPr>
                <w:position w:val="1"/>
                <w:sz w:val="24"/>
                <w:szCs w:val="24"/>
              </w:rPr>
            </w:pPr>
          </w:p>
          <w:p w14:paraId="186BB784">
            <w:pPr>
              <w:pStyle w:val="133"/>
              <w:spacing w:before="55" w:line="232" w:lineRule="exact"/>
              <w:ind w:left="372"/>
              <w:rPr>
                <w:position w:val="1"/>
                <w:sz w:val="24"/>
                <w:szCs w:val="24"/>
              </w:rPr>
            </w:pPr>
          </w:p>
          <w:p w14:paraId="58C0ED31">
            <w:pPr>
              <w:pStyle w:val="133"/>
              <w:spacing w:before="55" w:line="232" w:lineRule="exact"/>
              <w:ind w:left="372"/>
              <w:rPr>
                <w:position w:val="1"/>
                <w:sz w:val="24"/>
                <w:szCs w:val="24"/>
              </w:rPr>
            </w:pPr>
          </w:p>
          <w:p w14:paraId="4331A05B">
            <w:pPr>
              <w:pStyle w:val="133"/>
              <w:spacing w:before="55" w:line="232" w:lineRule="exact"/>
              <w:ind w:left="372"/>
              <w:rPr>
                <w:position w:val="1"/>
                <w:sz w:val="24"/>
                <w:szCs w:val="24"/>
              </w:rPr>
            </w:pPr>
          </w:p>
          <w:p w14:paraId="179A90FE">
            <w:pPr>
              <w:pStyle w:val="133"/>
              <w:spacing w:before="55" w:line="232" w:lineRule="exact"/>
              <w:ind w:left="372"/>
              <w:rPr>
                <w:position w:val="1"/>
                <w:sz w:val="24"/>
                <w:szCs w:val="24"/>
              </w:rPr>
            </w:pPr>
          </w:p>
          <w:p w14:paraId="25BD52E8">
            <w:pPr>
              <w:pStyle w:val="133"/>
              <w:spacing w:before="55" w:line="232" w:lineRule="exact"/>
              <w:ind w:left="372"/>
              <w:rPr>
                <w:position w:val="1"/>
                <w:sz w:val="24"/>
                <w:szCs w:val="24"/>
              </w:rPr>
            </w:pPr>
          </w:p>
          <w:p w14:paraId="29121DFE">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300</w:t>
            </w:r>
          </w:p>
        </w:tc>
      </w:tr>
      <w:tr w14:paraId="5B234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72894FDC">
            <w:pPr>
              <w:spacing w:line="260" w:lineRule="auto"/>
              <w:rPr>
                <w:rFonts w:ascii="Arial"/>
                <w:sz w:val="24"/>
                <w:szCs w:val="24"/>
              </w:rPr>
            </w:pPr>
          </w:p>
          <w:p w14:paraId="7D94DA79">
            <w:pPr>
              <w:spacing w:line="260" w:lineRule="auto"/>
              <w:rPr>
                <w:rFonts w:ascii="Arial"/>
                <w:sz w:val="24"/>
                <w:szCs w:val="24"/>
              </w:rPr>
            </w:pPr>
          </w:p>
          <w:p w14:paraId="60B6C397">
            <w:pPr>
              <w:spacing w:line="260" w:lineRule="auto"/>
              <w:rPr>
                <w:rFonts w:ascii="Arial"/>
                <w:sz w:val="24"/>
                <w:szCs w:val="24"/>
              </w:rPr>
            </w:pPr>
          </w:p>
          <w:p w14:paraId="573F6EEB">
            <w:pPr>
              <w:spacing w:line="260" w:lineRule="auto"/>
              <w:rPr>
                <w:rFonts w:ascii="Arial"/>
                <w:sz w:val="24"/>
                <w:szCs w:val="24"/>
              </w:rPr>
            </w:pPr>
          </w:p>
          <w:p w14:paraId="042BE131">
            <w:pPr>
              <w:spacing w:line="260" w:lineRule="auto"/>
              <w:rPr>
                <w:rFonts w:ascii="Arial"/>
                <w:sz w:val="24"/>
                <w:szCs w:val="24"/>
              </w:rPr>
            </w:pPr>
          </w:p>
          <w:p w14:paraId="69294073">
            <w:pPr>
              <w:spacing w:line="260" w:lineRule="auto"/>
              <w:rPr>
                <w:rFonts w:ascii="Arial"/>
                <w:sz w:val="24"/>
                <w:szCs w:val="24"/>
              </w:rPr>
            </w:pPr>
          </w:p>
          <w:p w14:paraId="4B6FAE7D">
            <w:pPr>
              <w:pStyle w:val="133"/>
              <w:spacing w:before="55" w:line="232"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12</w:t>
            </w:r>
          </w:p>
        </w:tc>
        <w:tc>
          <w:tcPr>
            <w:tcW w:w="645" w:type="pct"/>
            <w:shd w:val="clear" w:color="auto" w:fill="auto"/>
            <w:vAlign w:val="top"/>
          </w:tcPr>
          <w:p w14:paraId="2E68221D">
            <w:pPr>
              <w:spacing w:line="260" w:lineRule="auto"/>
              <w:rPr>
                <w:rFonts w:ascii="Arial"/>
                <w:sz w:val="24"/>
                <w:szCs w:val="24"/>
              </w:rPr>
            </w:pPr>
          </w:p>
          <w:p w14:paraId="10CD1126">
            <w:pPr>
              <w:spacing w:line="260" w:lineRule="auto"/>
              <w:rPr>
                <w:rFonts w:ascii="Arial"/>
                <w:sz w:val="24"/>
                <w:szCs w:val="24"/>
              </w:rPr>
            </w:pPr>
          </w:p>
          <w:p w14:paraId="62691B60">
            <w:pPr>
              <w:spacing w:line="260" w:lineRule="auto"/>
              <w:rPr>
                <w:rFonts w:ascii="Arial"/>
                <w:sz w:val="24"/>
                <w:szCs w:val="24"/>
              </w:rPr>
            </w:pPr>
          </w:p>
          <w:p w14:paraId="254BAC19">
            <w:pPr>
              <w:spacing w:line="260" w:lineRule="auto"/>
              <w:rPr>
                <w:rFonts w:ascii="Arial"/>
                <w:sz w:val="24"/>
                <w:szCs w:val="24"/>
              </w:rPr>
            </w:pPr>
          </w:p>
          <w:p w14:paraId="60BA8A95">
            <w:pPr>
              <w:spacing w:line="260" w:lineRule="auto"/>
              <w:rPr>
                <w:rFonts w:ascii="Arial"/>
                <w:sz w:val="24"/>
                <w:szCs w:val="24"/>
              </w:rPr>
            </w:pPr>
          </w:p>
          <w:p w14:paraId="55E75CA9">
            <w:pPr>
              <w:spacing w:line="260" w:lineRule="auto"/>
              <w:rPr>
                <w:rFonts w:ascii="Arial"/>
                <w:sz w:val="24"/>
                <w:szCs w:val="24"/>
              </w:rPr>
            </w:pPr>
          </w:p>
          <w:p w14:paraId="33D3DCD4">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040504001002</w:t>
            </w:r>
          </w:p>
        </w:tc>
        <w:tc>
          <w:tcPr>
            <w:tcW w:w="759" w:type="pct"/>
            <w:shd w:val="clear" w:color="auto" w:fill="auto"/>
            <w:vAlign w:val="top"/>
          </w:tcPr>
          <w:p w14:paraId="01D11690">
            <w:pPr>
              <w:spacing w:line="260" w:lineRule="auto"/>
              <w:rPr>
                <w:rFonts w:ascii="Arial"/>
                <w:sz w:val="24"/>
                <w:szCs w:val="24"/>
              </w:rPr>
            </w:pPr>
          </w:p>
          <w:p w14:paraId="4CB9F058">
            <w:pPr>
              <w:spacing w:line="260" w:lineRule="auto"/>
              <w:rPr>
                <w:rFonts w:ascii="Arial"/>
                <w:sz w:val="24"/>
                <w:szCs w:val="24"/>
              </w:rPr>
            </w:pPr>
          </w:p>
          <w:p w14:paraId="75DFBE76">
            <w:pPr>
              <w:spacing w:line="260" w:lineRule="auto"/>
              <w:rPr>
                <w:rFonts w:ascii="Arial"/>
                <w:sz w:val="24"/>
                <w:szCs w:val="24"/>
              </w:rPr>
            </w:pPr>
          </w:p>
          <w:p w14:paraId="12B6F31F">
            <w:pPr>
              <w:spacing w:line="260" w:lineRule="auto"/>
              <w:rPr>
                <w:rFonts w:ascii="Arial"/>
                <w:sz w:val="24"/>
                <w:szCs w:val="24"/>
              </w:rPr>
            </w:pPr>
          </w:p>
          <w:p w14:paraId="30B01BDD">
            <w:pPr>
              <w:spacing w:line="260" w:lineRule="auto"/>
              <w:rPr>
                <w:rFonts w:ascii="Arial"/>
                <w:sz w:val="24"/>
                <w:szCs w:val="24"/>
              </w:rPr>
            </w:pPr>
          </w:p>
          <w:p w14:paraId="7B9A0797">
            <w:pPr>
              <w:spacing w:line="260" w:lineRule="auto"/>
              <w:rPr>
                <w:rFonts w:ascii="Arial"/>
                <w:sz w:val="24"/>
                <w:szCs w:val="24"/>
              </w:rPr>
            </w:pPr>
          </w:p>
          <w:p w14:paraId="542E8EA7">
            <w:pPr>
              <w:pStyle w:val="133"/>
              <w:spacing w:before="55"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检查井新建</w:t>
            </w:r>
          </w:p>
        </w:tc>
        <w:tc>
          <w:tcPr>
            <w:tcW w:w="1173" w:type="pct"/>
            <w:shd w:val="clear" w:color="auto" w:fill="auto"/>
            <w:vAlign w:val="top"/>
          </w:tcPr>
          <w:p w14:paraId="0C8E3752">
            <w:pPr>
              <w:pStyle w:val="133"/>
              <w:spacing w:before="55" w:line="195" w:lineRule="auto"/>
              <w:ind w:right="57"/>
              <w:rPr>
                <w:sz w:val="24"/>
                <w:szCs w:val="24"/>
              </w:rPr>
            </w:pPr>
            <w:r>
              <w:rPr>
                <w:spacing w:val="7"/>
                <w:sz w:val="24"/>
                <w:szCs w:val="24"/>
              </w:rPr>
              <w:t>1.材质：井壁采用</w:t>
            </w:r>
            <w:r>
              <w:rPr>
                <w:sz w:val="24"/>
                <w:szCs w:val="24"/>
              </w:rPr>
              <w:t>MU</w:t>
            </w:r>
            <w:r>
              <w:rPr>
                <w:spacing w:val="7"/>
                <w:sz w:val="24"/>
                <w:szCs w:val="24"/>
              </w:rPr>
              <w:t>10页岩砖，M10水泥砂浆砌筑</w:t>
            </w:r>
            <w:r>
              <w:rPr>
                <w:sz w:val="24"/>
                <w:szCs w:val="24"/>
              </w:rPr>
              <w:t>;</w:t>
            </w:r>
          </w:p>
          <w:p w14:paraId="05010DA3">
            <w:pPr>
              <w:pStyle w:val="133"/>
              <w:spacing w:line="195" w:lineRule="auto"/>
              <w:ind w:left="20" w:right="65" w:firstLine="7"/>
              <w:rPr>
                <w:sz w:val="24"/>
                <w:szCs w:val="24"/>
              </w:rPr>
            </w:pPr>
            <w:r>
              <w:rPr>
                <w:spacing w:val="6"/>
                <w:sz w:val="24"/>
                <w:szCs w:val="24"/>
              </w:rPr>
              <w:t>2.规格：内径1000</w:t>
            </w:r>
            <w:r>
              <w:rPr>
                <w:sz w:val="24"/>
                <w:szCs w:val="24"/>
              </w:rPr>
              <w:t>mm</w:t>
            </w:r>
            <w:r>
              <w:rPr>
                <w:spacing w:val="6"/>
                <w:sz w:val="24"/>
                <w:szCs w:val="24"/>
              </w:rPr>
              <w:t>，井</w:t>
            </w:r>
            <w:r>
              <w:rPr>
                <w:spacing w:val="8"/>
                <w:sz w:val="24"/>
                <w:szCs w:val="24"/>
              </w:rPr>
              <w:t>深按设计要求，壁厚240</w:t>
            </w:r>
            <w:r>
              <w:rPr>
                <w:spacing w:val="1"/>
                <w:sz w:val="24"/>
                <w:szCs w:val="24"/>
              </w:rPr>
              <w:t xml:space="preserve"> </w:t>
            </w:r>
            <w:r>
              <w:rPr>
                <w:sz w:val="24"/>
                <w:szCs w:val="24"/>
              </w:rPr>
              <w:t>mm</w:t>
            </w:r>
            <w:r>
              <w:rPr>
                <w:spacing w:val="7"/>
                <w:sz w:val="24"/>
                <w:szCs w:val="24"/>
              </w:rPr>
              <w:t>；</w:t>
            </w:r>
          </w:p>
          <w:p w14:paraId="55AA6F30">
            <w:pPr>
              <w:pStyle w:val="133"/>
              <w:spacing w:line="195" w:lineRule="auto"/>
              <w:ind w:left="25" w:right="147" w:firstLine="3"/>
              <w:rPr>
                <w:sz w:val="24"/>
                <w:szCs w:val="24"/>
              </w:rPr>
            </w:pPr>
            <w:r>
              <w:rPr>
                <w:spacing w:val="4"/>
                <w:sz w:val="24"/>
                <w:szCs w:val="24"/>
              </w:rPr>
              <w:t>3.基础：</w:t>
            </w:r>
            <w:r>
              <w:rPr>
                <w:spacing w:val="-47"/>
                <w:sz w:val="24"/>
                <w:szCs w:val="24"/>
              </w:rPr>
              <w:t xml:space="preserve"> </w:t>
            </w:r>
            <w:r>
              <w:rPr>
                <w:spacing w:val="4"/>
                <w:sz w:val="24"/>
                <w:szCs w:val="24"/>
              </w:rPr>
              <w:t>C15混凝土基础</w:t>
            </w:r>
            <w:r>
              <w:rPr>
                <w:sz w:val="24"/>
                <w:szCs w:val="24"/>
              </w:rPr>
              <w:t xml:space="preserve"> </w:t>
            </w:r>
            <w:r>
              <w:rPr>
                <w:spacing w:val="14"/>
                <w:sz w:val="24"/>
                <w:szCs w:val="24"/>
              </w:rPr>
              <w:t>,厚度100</w:t>
            </w:r>
            <w:r>
              <w:rPr>
                <w:sz w:val="24"/>
                <w:szCs w:val="24"/>
              </w:rPr>
              <w:t>mm</w:t>
            </w:r>
            <w:r>
              <w:rPr>
                <w:spacing w:val="14"/>
                <w:sz w:val="24"/>
                <w:szCs w:val="24"/>
              </w:rPr>
              <w:t>，宽度超出</w:t>
            </w:r>
            <w:r>
              <w:rPr>
                <w:spacing w:val="6"/>
                <w:sz w:val="24"/>
                <w:szCs w:val="24"/>
              </w:rPr>
              <w:t>井壁100</w:t>
            </w:r>
            <w:r>
              <w:rPr>
                <w:sz w:val="24"/>
                <w:szCs w:val="24"/>
              </w:rPr>
              <w:t>mm</w:t>
            </w:r>
            <w:r>
              <w:rPr>
                <w:spacing w:val="6"/>
                <w:sz w:val="24"/>
                <w:szCs w:val="24"/>
              </w:rPr>
              <w:t>；</w:t>
            </w:r>
          </w:p>
          <w:p w14:paraId="7644BC81">
            <w:pPr>
              <w:pStyle w:val="133"/>
              <w:spacing w:before="1" w:line="195" w:lineRule="auto"/>
              <w:ind w:left="25" w:right="57" w:hanging="1"/>
              <w:rPr>
                <w:sz w:val="24"/>
                <w:szCs w:val="24"/>
              </w:rPr>
            </w:pPr>
            <w:r>
              <w:rPr>
                <w:spacing w:val="8"/>
                <w:sz w:val="24"/>
                <w:szCs w:val="24"/>
              </w:rPr>
              <w:t>4.井盖：重型球墨铸铁井</w:t>
            </w:r>
            <w:r>
              <w:rPr>
                <w:spacing w:val="6"/>
                <w:sz w:val="24"/>
                <w:szCs w:val="24"/>
              </w:rPr>
              <w:t>盖，承载等级D400；</w:t>
            </w:r>
          </w:p>
          <w:p w14:paraId="75CF74B5">
            <w:pPr>
              <w:pStyle w:val="133"/>
              <w:spacing w:before="1" w:line="204" w:lineRule="auto"/>
              <w:ind w:left="25" w:leftChars="0" w:right="57" w:rightChars="0" w:firstLine="3" w:firstLineChars="0"/>
              <w:rPr>
                <w:rFonts w:ascii="宋体" w:hAnsi="宋体" w:eastAsia="宋体" w:cs="宋体"/>
                <w:snapToGrid w:val="0"/>
                <w:color w:val="000000"/>
                <w:kern w:val="0"/>
                <w:sz w:val="24"/>
                <w:szCs w:val="24"/>
                <w:lang w:val="en-US" w:eastAsia="en-US" w:bidi="ar-SA"/>
              </w:rPr>
            </w:pPr>
            <w:r>
              <w:rPr>
                <w:spacing w:val="8"/>
                <w:sz w:val="24"/>
                <w:szCs w:val="24"/>
              </w:rPr>
              <w:t>5.含踏步安装（塑钢材质</w:t>
            </w:r>
            <w:r>
              <w:rPr>
                <w:sz w:val="24"/>
                <w:szCs w:val="24"/>
              </w:rPr>
              <w:t xml:space="preserve"> </w:t>
            </w:r>
            <w:r>
              <w:rPr>
                <w:spacing w:val="14"/>
                <w:sz w:val="24"/>
                <w:szCs w:val="24"/>
              </w:rPr>
              <w:t>)、防水处理（内壁采用</w:t>
            </w:r>
            <w:r>
              <w:rPr>
                <w:spacing w:val="9"/>
                <w:sz w:val="24"/>
                <w:szCs w:val="24"/>
              </w:rPr>
              <w:t>水泥基渗透结晶型防水涂</w:t>
            </w:r>
            <w:r>
              <w:rPr>
                <w:spacing w:val="-9"/>
                <w:sz w:val="24"/>
                <w:szCs w:val="24"/>
              </w:rPr>
              <w:t>料</w:t>
            </w:r>
            <w:r>
              <w:rPr>
                <w:spacing w:val="-5"/>
                <w:sz w:val="24"/>
                <w:szCs w:val="24"/>
              </w:rPr>
              <w:t>）；</w:t>
            </w:r>
          </w:p>
        </w:tc>
        <w:tc>
          <w:tcPr>
            <w:tcW w:w="610" w:type="pct"/>
            <w:shd w:val="clear" w:color="auto" w:fill="auto"/>
            <w:vAlign w:val="top"/>
          </w:tcPr>
          <w:p w14:paraId="4F4D94DC">
            <w:pPr>
              <w:spacing w:line="260" w:lineRule="auto"/>
              <w:rPr>
                <w:rFonts w:ascii="Arial"/>
                <w:sz w:val="24"/>
                <w:szCs w:val="24"/>
              </w:rPr>
            </w:pPr>
          </w:p>
          <w:p w14:paraId="48494BEB">
            <w:pPr>
              <w:spacing w:line="260" w:lineRule="auto"/>
              <w:rPr>
                <w:rFonts w:ascii="Arial"/>
                <w:sz w:val="24"/>
                <w:szCs w:val="24"/>
              </w:rPr>
            </w:pPr>
          </w:p>
          <w:p w14:paraId="4A5012C4">
            <w:pPr>
              <w:spacing w:line="260" w:lineRule="auto"/>
              <w:rPr>
                <w:rFonts w:ascii="Arial"/>
                <w:sz w:val="24"/>
                <w:szCs w:val="24"/>
              </w:rPr>
            </w:pPr>
          </w:p>
          <w:p w14:paraId="169AC783">
            <w:pPr>
              <w:spacing w:line="260" w:lineRule="auto"/>
              <w:rPr>
                <w:rFonts w:ascii="Arial"/>
                <w:sz w:val="24"/>
                <w:szCs w:val="24"/>
              </w:rPr>
            </w:pPr>
          </w:p>
          <w:p w14:paraId="753A6BFE">
            <w:pPr>
              <w:spacing w:line="260" w:lineRule="auto"/>
              <w:rPr>
                <w:rFonts w:ascii="Arial"/>
                <w:sz w:val="24"/>
                <w:szCs w:val="24"/>
              </w:rPr>
            </w:pPr>
          </w:p>
          <w:p w14:paraId="4C597FEF">
            <w:pPr>
              <w:spacing w:line="260" w:lineRule="auto"/>
              <w:rPr>
                <w:rFonts w:ascii="Arial"/>
                <w:sz w:val="24"/>
                <w:szCs w:val="24"/>
              </w:rPr>
            </w:pPr>
          </w:p>
          <w:p w14:paraId="1F09585F">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25F02913">
            <w:pPr>
              <w:spacing w:line="260" w:lineRule="auto"/>
              <w:rPr>
                <w:rFonts w:ascii="Arial"/>
                <w:sz w:val="24"/>
                <w:szCs w:val="24"/>
              </w:rPr>
            </w:pPr>
          </w:p>
          <w:p w14:paraId="140AACB7">
            <w:pPr>
              <w:spacing w:line="260" w:lineRule="auto"/>
              <w:rPr>
                <w:rFonts w:ascii="Arial"/>
                <w:sz w:val="24"/>
                <w:szCs w:val="24"/>
              </w:rPr>
            </w:pPr>
          </w:p>
          <w:p w14:paraId="4B964A36">
            <w:pPr>
              <w:spacing w:line="260" w:lineRule="auto"/>
              <w:rPr>
                <w:rFonts w:ascii="Arial"/>
                <w:sz w:val="24"/>
                <w:szCs w:val="24"/>
              </w:rPr>
            </w:pPr>
          </w:p>
          <w:p w14:paraId="1ECB523E">
            <w:pPr>
              <w:spacing w:line="260" w:lineRule="auto"/>
              <w:rPr>
                <w:rFonts w:ascii="Arial"/>
                <w:sz w:val="24"/>
                <w:szCs w:val="24"/>
              </w:rPr>
            </w:pPr>
          </w:p>
          <w:p w14:paraId="51B4681D">
            <w:pPr>
              <w:spacing w:line="260" w:lineRule="auto"/>
              <w:rPr>
                <w:rFonts w:ascii="Arial"/>
                <w:sz w:val="24"/>
                <w:szCs w:val="24"/>
              </w:rPr>
            </w:pPr>
          </w:p>
          <w:p w14:paraId="3B33538C">
            <w:pPr>
              <w:spacing w:line="260" w:lineRule="auto"/>
              <w:rPr>
                <w:rFonts w:ascii="Arial"/>
                <w:sz w:val="24"/>
                <w:szCs w:val="24"/>
              </w:rPr>
            </w:pPr>
          </w:p>
          <w:p w14:paraId="5D944655">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4E65C7BA">
            <w:pPr>
              <w:pStyle w:val="133"/>
              <w:spacing w:before="55" w:line="232" w:lineRule="exact"/>
              <w:ind w:left="372"/>
              <w:rPr>
                <w:position w:val="1"/>
                <w:sz w:val="24"/>
                <w:szCs w:val="24"/>
              </w:rPr>
            </w:pPr>
          </w:p>
          <w:p w14:paraId="34ECB65A">
            <w:pPr>
              <w:pStyle w:val="133"/>
              <w:spacing w:before="55" w:line="232" w:lineRule="exact"/>
              <w:ind w:left="372"/>
              <w:rPr>
                <w:position w:val="1"/>
                <w:sz w:val="24"/>
                <w:szCs w:val="24"/>
              </w:rPr>
            </w:pPr>
          </w:p>
          <w:p w14:paraId="268F1485">
            <w:pPr>
              <w:pStyle w:val="133"/>
              <w:spacing w:before="55" w:line="232" w:lineRule="exact"/>
              <w:ind w:left="372"/>
              <w:rPr>
                <w:position w:val="1"/>
                <w:sz w:val="24"/>
                <w:szCs w:val="24"/>
              </w:rPr>
            </w:pPr>
          </w:p>
          <w:p w14:paraId="3BF3C371">
            <w:pPr>
              <w:pStyle w:val="133"/>
              <w:spacing w:before="55" w:line="232" w:lineRule="exact"/>
              <w:ind w:left="372"/>
              <w:rPr>
                <w:position w:val="1"/>
                <w:sz w:val="24"/>
                <w:szCs w:val="24"/>
              </w:rPr>
            </w:pPr>
          </w:p>
          <w:p w14:paraId="3D3D9562">
            <w:pPr>
              <w:pStyle w:val="133"/>
              <w:spacing w:before="55" w:line="232" w:lineRule="exact"/>
              <w:ind w:left="372"/>
              <w:rPr>
                <w:position w:val="1"/>
                <w:sz w:val="24"/>
                <w:szCs w:val="24"/>
              </w:rPr>
            </w:pPr>
          </w:p>
          <w:p w14:paraId="04EF5565">
            <w:pPr>
              <w:pStyle w:val="133"/>
              <w:spacing w:before="55" w:line="232" w:lineRule="exact"/>
              <w:ind w:left="372"/>
              <w:rPr>
                <w:position w:val="1"/>
                <w:sz w:val="24"/>
                <w:szCs w:val="24"/>
              </w:rPr>
            </w:pPr>
          </w:p>
          <w:p w14:paraId="3D137842">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1650</w:t>
            </w:r>
          </w:p>
        </w:tc>
      </w:tr>
      <w:tr w14:paraId="675B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445D4102">
            <w:pPr>
              <w:spacing w:line="242" w:lineRule="auto"/>
              <w:rPr>
                <w:rFonts w:ascii="Arial"/>
                <w:sz w:val="24"/>
                <w:szCs w:val="24"/>
              </w:rPr>
            </w:pPr>
          </w:p>
          <w:p w14:paraId="1F2453C6">
            <w:pPr>
              <w:spacing w:line="243" w:lineRule="auto"/>
              <w:rPr>
                <w:rFonts w:ascii="Arial"/>
                <w:sz w:val="24"/>
                <w:szCs w:val="24"/>
              </w:rPr>
            </w:pPr>
          </w:p>
          <w:p w14:paraId="2861EBEE">
            <w:pPr>
              <w:spacing w:line="243" w:lineRule="auto"/>
              <w:rPr>
                <w:rFonts w:ascii="Arial"/>
                <w:sz w:val="24"/>
                <w:szCs w:val="24"/>
              </w:rPr>
            </w:pPr>
          </w:p>
          <w:p w14:paraId="56BE59E8">
            <w:pPr>
              <w:spacing w:line="243" w:lineRule="auto"/>
              <w:rPr>
                <w:rFonts w:ascii="Arial"/>
                <w:sz w:val="24"/>
                <w:szCs w:val="24"/>
              </w:rPr>
            </w:pPr>
          </w:p>
          <w:p w14:paraId="0EE3771F">
            <w:pPr>
              <w:spacing w:line="243" w:lineRule="auto"/>
              <w:rPr>
                <w:rFonts w:ascii="Arial"/>
                <w:sz w:val="24"/>
                <w:szCs w:val="24"/>
              </w:rPr>
            </w:pPr>
          </w:p>
          <w:p w14:paraId="27169E01">
            <w:pPr>
              <w:spacing w:line="243" w:lineRule="auto"/>
              <w:rPr>
                <w:rFonts w:ascii="Arial"/>
                <w:sz w:val="24"/>
                <w:szCs w:val="24"/>
              </w:rPr>
            </w:pPr>
          </w:p>
          <w:p w14:paraId="019B4C7D">
            <w:pPr>
              <w:pStyle w:val="133"/>
              <w:spacing w:before="55" w:line="231"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13</w:t>
            </w:r>
          </w:p>
        </w:tc>
        <w:tc>
          <w:tcPr>
            <w:tcW w:w="645" w:type="pct"/>
            <w:shd w:val="clear" w:color="auto" w:fill="auto"/>
            <w:vAlign w:val="top"/>
          </w:tcPr>
          <w:p w14:paraId="4EFFE2CC">
            <w:pPr>
              <w:spacing w:line="242" w:lineRule="auto"/>
              <w:rPr>
                <w:rFonts w:ascii="Arial"/>
                <w:sz w:val="24"/>
                <w:szCs w:val="24"/>
              </w:rPr>
            </w:pPr>
          </w:p>
          <w:p w14:paraId="3C44FBF8">
            <w:pPr>
              <w:spacing w:line="243" w:lineRule="auto"/>
              <w:rPr>
                <w:rFonts w:ascii="Arial"/>
                <w:sz w:val="24"/>
                <w:szCs w:val="24"/>
              </w:rPr>
            </w:pPr>
          </w:p>
          <w:p w14:paraId="7A078C21">
            <w:pPr>
              <w:spacing w:line="243" w:lineRule="auto"/>
              <w:rPr>
                <w:rFonts w:ascii="Arial"/>
                <w:sz w:val="24"/>
                <w:szCs w:val="24"/>
              </w:rPr>
            </w:pPr>
          </w:p>
          <w:p w14:paraId="2B54D58C">
            <w:pPr>
              <w:spacing w:line="243" w:lineRule="auto"/>
              <w:rPr>
                <w:rFonts w:ascii="Arial"/>
                <w:sz w:val="24"/>
                <w:szCs w:val="24"/>
              </w:rPr>
            </w:pPr>
          </w:p>
          <w:p w14:paraId="6D47D3E7">
            <w:pPr>
              <w:spacing w:line="243" w:lineRule="auto"/>
              <w:rPr>
                <w:rFonts w:ascii="Arial"/>
                <w:sz w:val="24"/>
                <w:szCs w:val="24"/>
              </w:rPr>
            </w:pPr>
          </w:p>
          <w:p w14:paraId="313CAA9A">
            <w:pPr>
              <w:spacing w:line="243" w:lineRule="auto"/>
              <w:rPr>
                <w:rFonts w:ascii="Arial"/>
                <w:sz w:val="24"/>
                <w:szCs w:val="24"/>
              </w:rPr>
            </w:pPr>
          </w:p>
          <w:p w14:paraId="523D917F">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040504001003</w:t>
            </w:r>
          </w:p>
        </w:tc>
        <w:tc>
          <w:tcPr>
            <w:tcW w:w="759" w:type="pct"/>
            <w:shd w:val="clear" w:color="auto" w:fill="auto"/>
            <w:vAlign w:val="top"/>
          </w:tcPr>
          <w:p w14:paraId="0A5A3D9E">
            <w:pPr>
              <w:spacing w:line="242" w:lineRule="auto"/>
              <w:rPr>
                <w:rFonts w:ascii="Arial"/>
                <w:sz w:val="24"/>
                <w:szCs w:val="24"/>
              </w:rPr>
            </w:pPr>
          </w:p>
          <w:p w14:paraId="3D006288">
            <w:pPr>
              <w:spacing w:line="243" w:lineRule="auto"/>
              <w:rPr>
                <w:rFonts w:ascii="Arial"/>
                <w:sz w:val="24"/>
                <w:szCs w:val="24"/>
              </w:rPr>
            </w:pPr>
          </w:p>
          <w:p w14:paraId="3CD6CA2E">
            <w:pPr>
              <w:spacing w:line="243" w:lineRule="auto"/>
              <w:rPr>
                <w:rFonts w:ascii="Arial"/>
                <w:sz w:val="24"/>
                <w:szCs w:val="24"/>
              </w:rPr>
            </w:pPr>
          </w:p>
          <w:p w14:paraId="15CEF200">
            <w:pPr>
              <w:spacing w:line="243" w:lineRule="auto"/>
              <w:rPr>
                <w:rFonts w:ascii="Arial"/>
                <w:sz w:val="24"/>
                <w:szCs w:val="24"/>
              </w:rPr>
            </w:pPr>
          </w:p>
          <w:p w14:paraId="21E01D13">
            <w:pPr>
              <w:spacing w:line="243" w:lineRule="auto"/>
              <w:rPr>
                <w:rFonts w:ascii="Arial"/>
                <w:sz w:val="24"/>
                <w:szCs w:val="24"/>
              </w:rPr>
            </w:pPr>
          </w:p>
          <w:p w14:paraId="5CA26874">
            <w:pPr>
              <w:spacing w:line="243" w:lineRule="auto"/>
              <w:rPr>
                <w:rFonts w:ascii="Arial"/>
                <w:sz w:val="24"/>
                <w:szCs w:val="24"/>
              </w:rPr>
            </w:pPr>
          </w:p>
          <w:p w14:paraId="19AE206E">
            <w:pPr>
              <w:pStyle w:val="133"/>
              <w:spacing w:before="55"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检查井修复</w:t>
            </w:r>
          </w:p>
        </w:tc>
        <w:tc>
          <w:tcPr>
            <w:tcW w:w="1173" w:type="pct"/>
            <w:shd w:val="clear" w:color="auto" w:fill="auto"/>
            <w:vAlign w:val="top"/>
          </w:tcPr>
          <w:p w14:paraId="751DE5FB">
            <w:pPr>
              <w:pStyle w:val="133"/>
              <w:spacing w:before="55" w:line="195" w:lineRule="auto"/>
              <w:ind w:right="57"/>
              <w:rPr>
                <w:sz w:val="24"/>
                <w:szCs w:val="24"/>
              </w:rPr>
            </w:pPr>
            <w:r>
              <w:rPr>
                <w:spacing w:val="7"/>
                <w:sz w:val="24"/>
                <w:szCs w:val="24"/>
              </w:rPr>
              <w:t>1.修复内容：针对井壁裂</w:t>
            </w:r>
            <w:r>
              <w:rPr>
                <w:spacing w:val="9"/>
                <w:sz w:val="24"/>
                <w:szCs w:val="24"/>
              </w:rPr>
              <w:t>缝、渗漏、沉降等问题进</w:t>
            </w:r>
            <w:r>
              <w:rPr>
                <w:spacing w:val="-3"/>
                <w:sz w:val="24"/>
                <w:szCs w:val="24"/>
              </w:rPr>
              <w:t>行处理；</w:t>
            </w:r>
          </w:p>
          <w:p w14:paraId="1556B92F">
            <w:pPr>
              <w:pStyle w:val="133"/>
              <w:spacing w:line="195" w:lineRule="auto"/>
              <w:ind w:left="25" w:right="57" w:firstLine="1"/>
              <w:rPr>
                <w:sz w:val="24"/>
                <w:szCs w:val="24"/>
              </w:rPr>
            </w:pPr>
            <w:r>
              <w:rPr>
                <w:spacing w:val="8"/>
                <w:sz w:val="24"/>
                <w:szCs w:val="24"/>
              </w:rPr>
              <w:t>2.裂缝修复：采用环氧树</w:t>
            </w:r>
            <w:r>
              <w:rPr>
                <w:spacing w:val="9"/>
                <w:sz w:val="24"/>
                <w:szCs w:val="24"/>
              </w:rPr>
              <w:t>脂灌浆料灌注，深度≥裂</w:t>
            </w:r>
            <w:r>
              <w:rPr>
                <w:spacing w:val="2"/>
                <w:sz w:val="24"/>
                <w:szCs w:val="24"/>
              </w:rPr>
              <w:t>缝深度2倍；</w:t>
            </w:r>
          </w:p>
          <w:p w14:paraId="50B699A7">
            <w:pPr>
              <w:pStyle w:val="133"/>
              <w:spacing w:line="195" w:lineRule="auto"/>
              <w:ind w:left="26" w:right="57" w:firstLine="2"/>
              <w:rPr>
                <w:sz w:val="24"/>
                <w:szCs w:val="24"/>
              </w:rPr>
            </w:pPr>
            <w:r>
              <w:rPr>
                <w:spacing w:val="8"/>
                <w:sz w:val="24"/>
                <w:szCs w:val="24"/>
              </w:rPr>
              <w:t>3.渗漏处理：内壁涂刷水泥基渗透结晶型防水涂料</w:t>
            </w:r>
            <w:r>
              <w:rPr>
                <w:spacing w:val="17"/>
                <w:sz w:val="24"/>
                <w:szCs w:val="24"/>
              </w:rPr>
              <w:t>,厚度≥1.5</w:t>
            </w:r>
            <w:r>
              <w:rPr>
                <w:sz w:val="24"/>
                <w:szCs w:val="24"/>
              </w:rPr>
              <w:t>mm</w:t>
            </w:r>
            <w:r>
              <w:rPr>
                <w:spacing w:val="17"/>
                <w:sz w:val="24"/>
                <w:szCs w:val="24"/>
              </w:rPr>
              <w:t>；</w:t>
            </w:r>
          </w:p>
          <w:p w14:paraId="76A76071">
            <w:pPr>
              <w:pStyle w:val="133"/>
              <w:spacing w:before="1" w:line="195" w:lineRule="auto"/>
              <w:ind w:left="25" w:right="57" w:hanging="1"/>
              <w:rPr>
                <w:sz w:val="24"/>
                <w:szCs w:val="24"/>
              </w:rPr>
            </w:pPr>
            <w:r>
              <w:rPr>
                <w:spacing w:val="7"/>
                <w:sz w:val="24"/>
                <w:szCs w:val="24"/>
              </w:rPr>
              <w:t>4.沉降处理：井周采用C3</w:t>
            </w:r>
            <w:r>
              <w:rPr>
                <w:spacing w:val="8"/>
                <w:sz w:val="24"/>
                <w:szCs w:val="24"/>
              </w:rPr>
              <w:t xml:space="preserve"> 0混凝土加固，高度至路</w:t>
            </w:r>
            <w:r>
              <w:rPr>
                <w:spacing w:val="-3"/>
                <w:sz w:val="24"/>
                <w:szCs w:val="24"/>
              </w:rPr>
              <w:t>面基层；</w:t>
            </w:r>
          </w:p>
          <w:p w14:paraId="7B4A8425">
            <w:pPr>
              <w:pStyle w:val="133"/>
              <w:spacing w:before="1" w:line="212" w:lineRule="auto"/>
              <w:ind w:left="26" w:leftChars="0" w:right="57" w:rightChars="0" w:firstLine="2" w:firstLineChars="0"/>
              <w:rPr>
                <w:rFonts w:ascii="宋体" w:hAnsi="宋体" w:eastAsia="宋体" w:cs="宋体"/>
                <w:snapToGrid w:val="0"/>
                <w:color w:val="000000"/>
                <w:kern w:val="0"/>
                <w:sz w:val="24"/>
                <w:szCs w:val="24"/>
                <w:lang w:val="en-US" w:eastAsia="en-US" w:bidi="ar-SA"/>
              </w:rPr>
            </w:pPr>
            <w:r>
              <w:rPr>
                <w:spacing w:val="8"/>
                <w:sz w:val="24"/>
                <w:szCs w:val="24"/>
              </w:rPr>
              <w:t>5.井盖调整：确保井盖与路面平齐，高差≤3</w:t>
            </w:r>
            <w:r>
              <w:rPr>
                <w:sz w:val="24"/>
                <w:szCs w:val="24"/>
              </w:rPr>
              <w:t>mm</w:t>
            </w:r>
            <w:r>
              <w:rPr>
                <w:spacing w:val="8"/>
                <w:sz w:val="24"/>
                <w:szCs w:val="24"/>
              </w:rPr>
              <w:t>；</w:t>
            </w:r>
          </w:p>
        </w:tc>
        <w:tc>
          <w:tcPr>
            <w:tcW w:w="610" w:type="pct"/>
            <w:shd w:val="clear" w:color="auto" w:fill="auto"/>
            <w:vAlign w:val="top"/>
          </w:tcPr>
          <w:p w14:paraId="0A4C65D7">
            <w:pPr>
              <w:spacing w:line="242" w:lineRule="auto"/>
              <w:rPr>
                <w:rFonts w:ascii="Arial"/>
                <w:sz w:val="24"/>
                <w:szCs w:val="24"/>
              </w:rPr>
            </w:pPr>
          </w:p>
          <w:p w14:paraId="29D6BD7A">
            <w:pPr>
              <w:spacing w:line="243" w:lineRule="auto"/>
              <w:rPr>
                <w:rFonts w:ascii="Arial"/>
                <w:sz w:val="24"/>
                <w:szCs w:val="24"/>
              </w:rPr>
            </w:pPr>
          </w:p>
          <w:p w14:paraId="2F58157B">
            <w:pPr>
              <w:spacing w:line="243" w:lineRule="auto"/>
              <w:rPr>
                <w:rFonts w:ascii="Arial"/>
                <w:sz w:val="24"/>
                <w:szCs w:val="24"/>
              </w:rPr>
            </w:pPr>
          </w:p>
          <w:p w14:paraId="5C64CF5A">
            <w:pPr>
              <w:spacing w:line="243" w:lineRule="auto"/>
              <w:rPr>
                <w:rFonts w:ascii="Arial"/>
                <w:sz w:val="24"/>
                <w:szCs w:val="24"/>
              </w:rPr>
            </w:pPr>
          </w:p>
          <w:p w14:paraId="52868563">
            <w:pPr>
              <w:spacing w:line="243" w:lineRule="auto"/>
              <w:rPr>
                <w:rFonts w:ascii="Arial"/>
                <w:sz w:val="24"/>
                <w:szCs w:val="24"/>
              </w:rPr>
            </w:pPr>
          </w:p>
          <w:p w14:paraId="7A730E21">
            <w:pPr>
              <w:spacing w:line="243" w:lineRule="auto"/>
              <w:rPr>
                <w:rFonts w:ascii="Arial"/>
                <w:sz w:val="24"/>
                <w:szCs w:val="24"/>
              </w:rPr>
            </w:pPr>
          </w:p>
          <w:p w14:paraId="682D532C">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3157650A">
            <w:pPr>
              <w:spacing w:line="242" w:lineRule="auto"/>
              <w:rPr>
                <w:rFonts w:ascii="Arial"/>
                <w:sz w:val="24"/>
                <w:szCs w:val="24"/>
              </w:rPr>
            </w:pPr>
          </w:p>
          <w:p w14:paraId="40F676E2">
            <w:pPr>
              <w:spacing w:line="243" w:lineRule="auto"/>
              <w:rPr>
                <w:rFonts w:ascii="Arial"/>
                <w:sz w:val="24"/>
                <w:szCs w:val="24"/>
              </w:rPr>
            </w:pPr>
          </w:p>
          <w:p w14:paraId="5E6372DE">
            <w:pPr>
              <w:spacing w:line="243" w:lineRule="auto"/>
              <w:rPr>
                <w:rFonts w:ascii="Arial"/>
                <w:sz w:val="24"/>
                <w:szCs w:val="24"/>
              </w:rPr>
            </w:pPr>
          </w:p>
          <w:p w14:paraId="3A3FFFC5">
            <w:pPr>
              <w:spacing w:line="243" w:lineRule="auto"/>
              <w:rPr>
                <w:rFonts w:ascii="Arial"/>
                <w:sz w:val="24"/>
                <w:szCs w:val="24"/>
              </w:rPr>
            </w:pPr>
          </w:p>
          <w:p w14:paraId="44BBCF15">
            <w:pPr>
              <w:spacing w:line="243" w:lineRule="auto"/>
              <w:rPr>
                <w:rFonts w:ascii="Arial"/>
                <w:sz w:val="24"/>
                <w:szCs w:val="24"/>
              </w:rPr>
            </w:pPr>
          </w:p>
          <w:p w14:paraId="0C3D41E1">
            <w:pPr>
              <w:spacing w:line="243" w:lineRule="auto"/>
              <w:rPr>
                <w:rFonts w:ascii="Arial"/>
                <w:sz w:val="24"/>
                <w:szCs w:val="24"/>
              </w:rPr>
            </w:pPr>
          </w:p>
          <w:p w14:paraId="193BA6AF">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2ABEE747">
            <w:pPr>
              <w:pStyle w:val="133"/>
              <w:spacing w:before="55" w:line="232" w:lineRule="exact"/>
              <w:ind w:left="372"/>
              <w:rPr>
                <w:position w:val="1"/>
                <w:sz w:val="24"/>
                <w:szCs w:val="24"/>
              </w:rPr>
            </w:pPr>
          </w:p>
          <w:p w14:paraId="0140E419">
            <w:pPr>
              <w:pStyle w:val="133"/>
              <w:spacing w:before="55" w:line="232" w:lineRule="exact"/>
              <w:ind w:left="372"/>
              <w:rPr>
                <w:position w:val="1"/>
                <w:sz w:val="24"/>
                <w:szCs w:val="24"/>
              </w:rPr>
            </w:pPr>
          </w:p>
          <w:p w14:paraId="55C51889">
            <w:pPr>
              <w:pStyle w:val="133"/>
              <w:spacing w:before="55" w:line="232" w:lineRule="exact"/>
              <w:ind w:left="372"/>
              <w:rPr>
                <w:position w:val="1"/>
                <w:sz w:val="24"/>
                <w:szCs w:val="24"/>
              </w:rPr>
            </w:pPr>
          </w:p>
          <w:p w14:paraId="3C291B2F">
            <w:pPr>
              <w:pStyle w:val="133"/>
              <w:spacing w:before="55" w:line="232" w:lineRule="exact"/>
              <w:ind w:left="372"/>
              <w:rPr>
                <w:position w:val="1"/>
                <w:sz w:val="24"/>
                <w:szCs w:val="24"/>
              </w:rPr>
            </w:pPr>
          </w:p>
          <w:p w14:paraId="28D8FCEA">
            <w:pPr>
              <w:pStyle w:val="133"/>
              <w:spacing w:before="55" w:line="232" w:lineRule="exact"/>
              <w:ind w:left="372"/>
              <w:rPr>
                <w:position w:val="1"/>
                <w:sz w:val="24"/>
                <w:szCs w:val="24"/>
              </w:rPr>
            </w:pPr>
          </w:p>
          <w:p w14:paraId="1D84C846">
            <w:pPr>
              <w:pStyle w:val="133"/>
              <w:spacing w:before="55" w:line="232" w:lineRule="exact"/>
              <w:ind w:left="372"/>
              <w:rPr>
                <w:position w:val="1"/>
                <w:sz w:val="24"/>
                <w:szCs w:val="24"/>
              </w:rPr>
            </w:pPr>
          </w:p>
          <w:p w14:paraId="30ADA39F">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350</w:t>
            </w:r>
          </w:p>
        </w:tc>
      </w:tr>
      <w:tr w14:paraId="14F4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1B23CE12">
            <w:pPr>
              <w:spacing w:line="282" w:lineRule="auto"/>
              <w:rPr>
                <w:rFonts w:ascii="Arial"/>
                <w:sz w:val="24"/>
                <w:szCs w:val="24"/>
              </w:rPr>
            </w:pPr>
          </w:p>
          <w:p w14:paraId="0E62CD21">
            <w:pPr>
              <w:spacing w:line="282" w:lineRule="auto"/>
              <w:rPr>
                <w:rFonts w:ascii="Arial"/>
                <w:sz w:val="24"/>
                <w:szCs w:val="24"/>
              </w:rPr>
            </w:pPr>
          </w:p>
          <w:p w14:paraId="6C193AAB">
            <w:pPr>
              <w:spacing w:line="283" w:lineRule="auto"/>
              <w:rPr>
                <w:rFonts w:ascii="Arial"/>
                <w:sz w:val="24"/>
                <w:szCs w:val="24"/>
              </w:rPr>
            </w:pPr>
          </w:p>
          <w:p w14:paraId="28B4C1E5">
            <w:pPr>
              <w:spacing w:line="283" w:lineRule="auto"/>
              <w:rPr>
                <w:rFonts w:ascii="Arial"/>
                <w:sz w:val="24"/>
                <w:szCs w:val="24"/>
              </w:rPr>
            </w:pPr>
          </w:p>
          <w:p w14:paraId="1DC53E00">
            <w:pPr>
              <w:spacing w:line="283" w:lineRule="auto"/>
              <w:rPr>
                <w:rFonts w:ascii="Arial"/>
                <w:sz w:val="24"/>
                <w:szCs w:val="24"/>
              </w:rPr>
            </w:pPr>
          </w:p>
          <w:p w14:paraId="04D81C37">
            <w:pPr>
              <w:pStyle w:val="133"/>
              <w:spacing w:before="55" w:line="232"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14</w:t>
            </w:r>
          </w:p>
        </w:tc>
        <w:tc>
          <w:tcPr>
            <w:tcW w:w="645" w:type="pct"/>
            <w:shd w:val="clear" w:color="auto" w:fill="auto"/>
            <w:vAlign w:val="top"/>
          </w:tcPr>
          <w:p w14:paraId="2941E5EB">
            <w:pPr>
              <w:spacing w:line="282" w:lineRule="auto"/>
              <w:rPr>
                <w:rFonts w:ascii="Arial"/>
                <w:sz w:val="24"/>
                <w:szCs w:val="24"/>
              </w:rPr>
            </w:pPr>
          </w:p>
          <w:p w14:paraId="51C9E3C4">
            <w:pPr>
              <w:spacing w:line="282" w:lineRule="auto"/>
              <w:rPr>
                <w:rFonts w:ascii="Arial"/>
                <w:sz w:val="24"/>
                <w:szCs w:val="24"/>
              </w:rPr>
            </w:pPr>
          </w:p>
          <w:p w14:paraId="720CBB54">
            <w:pPr>
              <w:spacing w:line="283" w:lineRule="auto"/>
              <w:rPr>
                <w:rFonts w:ascii="Arial"/>
                <w:sz w:val="24"/>
                <w:szCs w:val="24"/>
              </w:rPr>
            </w:pPr>
          </w:p>
          <w:p w14:paraId="2C0B7354">
            <w:pPr>
              <w:spacing w:line="283" w:lineRule="auto"/>
              <w:rPr>
                <w:rFonts w:ascii="Arial"/>
                <w:sz w:val="24"/>
                <w:szCs w:val="24"/>
              </w:rPr>
            </w:pPr>
          </w:p>
          <w:p w14:paraId="7F47150C">
            <w:pPr>
              <w:spacing w:line="283" w:lineRule="auto"/>
              <w:rPr>
                <w:rFonts w:ascii="Arial"/>
                <w:sz w:val="24"/>
                <w:szCs w:val="24"/>
              </w:rPr>
            </w:pPr>
          </w:p>
          <w:p w14:paraId="65493A7B">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040504002005</w:t>
            </w:r>
          </w:p>
        </w:tc>
        <w:tc>
          <w:tcPr>
            <w:tcW w:w="759" w:type="pct"/>
            <w:shd w:val="clear" w:color="auto" w:fill="auto"/>
            <w:vAlign w:val="top"/>
          </w:tcPr>
          <w:p w14:paraId="55495BAA">
            <w:pPr>
              <w:spacing w:line="282" w:lineRule="auto"/>
              <w:rPr>
                <w:rFonts w:ascii="Arial"/>
                <w:sz w:val="24"/>
                <w:szCs w:val="24"/>
              </w:rPr>
            </w:pPr>
          </w:p>
          <w:p w14:paraId="5B8F1D39">
            <w:pPr>
              <w:spacing w:line="282" w:lineRule="auto"/>
              <w:rPr>
                <w:rFonts w:ascii="Arial"/>
                <w:sz w:val="24"/>
                <w:szCs w:val="24"/>
              </w:rPr>
            </w:pPr>
          </w:p>
          <w:p w14:paraId="1229A9FA">
            <w:pPr>
              <w:spacing w:line="283" w:lineRule="auto"/>
              <w:rPr>
                <w:rFonts w:ascii="Arial"/>
                <w:sz w:val="24"/>
                <w:szCs w:val="24"/>
              </w:rPr>
            </w:pPr>
          </w:p>
          <w:p w14:paraId="24A228B5">
            <w:pPr>
              <w:spacing w:line="283" w:lineRule="auto"/>
              <w:rPr>
                <w:rFonts w:ascii="Arial"/>
                <w:sz w:val="24"/>
                <w:szCs w:val="24"/>
              </w:rPr>
            </w:pPr>
          </w:p>
          <w:p w14:paraId="0EC58076">
            <w:pPr>
              <w:spacing w:line="283" w:lineRule="auto"/>
              <w:rPr>
                <w:rFonts w:ascii="Arial"/>
                <w:sz w:val="24"/>
                <w:szCs w:val="24"/>
              </w:rPr>
            </w:pPr>
          </w:p>
          <w:p w14:paraId="11388002">
            <w:pPr>
              <w:pStyle w:val="133"/>
              <w:spacing w:before="55"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井周破损修补</w:t>
            </w:r>
          </w:p>
        </w:tc>
        <w:tc>
          <w:tcPr>
            <w:tcW w:w="1173" w:type="pct"/>
            <w:shd w:val="clear" w:color="auto" w:fill="auto"/>
            <w:vAlign w:val="top"/>
          </w:tcPr>
          <w:p w14:paraId="5A422D07">
            <w:pPr>
              <w:pStyle w:val="133"/>
              <w:spacing w:before="55" w:line="195" w:lineRule="auto"/>
              <w:ind w:right="57"/>
              <w:rPr>
                <w:sz w:val="24"/>
                <w:szCs w:val="24"/>
              </w:rPr>
            </w:pPr>
            <w:r>
              <w:rPr>
                <w:spacing w:val="7"/>
                <w:sz w:val="24"/>
                <w:szCs w:val="24"/>
              </w:rPr>
              <w:t>1.拆除井周破损路面，范</w:t>
            </w:r>
            <w:r>
              <w:rPr>
                <w:spacing w:val="6"/>
                <w:sz w:val="24"/>
                <w:szCs w:val="24"/>
              </w:rPr>
              <w:t>围超出破损区域500</w:t>
            </w:r>
            <w:r>
              <w:rPr>
                <w:sz w:val="24"/>
                <w:szCs w:val="24"/>
              </w:rPr>
              <w:t>mm</w:t>
            </w:r>
            <w:r>
              <w:rPr>
                <w:spacing w:val="6"/>
                <w:sz w:val="24"/>
                <w:szCs w:val="24"/>
              </w:rPr>
              <w:t>，</w:t>
            </w:r>
          </w:p>
          <w:p w14:paraId="4CA2CE98">
            <w:pPr>
              <w:pStyle w:val="133"/>
              <w:spacing w:line="195" w:lineRule="auto"/>
              <w:ind w:left="25"/>
              <w:rPr>
                <w:sz w:val="24"/>
                <w:szCs w:val="24"/>
              </w:rPr>
            </w:pPr>
            <w:r>
              <w:rPr>
                <w:sz w:val="24"/>
                <w:szCs w:val="24"/>
              </w:rPr>
              <w:t>深度至基层；</w:t>
            </w:r>
          </w:p>
          <w:p w14:paraId="1B78A866">
            <w:pPr>
              <w:pStyle w:val="133"/>
              <w:spacing w:line="195" w:lineRule="auto"/>
              <w:ind w:left="24" w:right="147" w:firstLine="2"/>
              <w:rPr>
                <w:sz w:val="24"/>
                <w:szCs w:val="24"/>
              </w:rPr>
            </w:pPr>
            <w:r>
              <w:rPr>
                <w:spacing w:val="7"/>
                <w:sz w:val="24"/>
                <w:szCs w:val="24"/>
              </w:rPr>
              <w:t>2.基层处理：采用C25混</w:t>
            </w:r>
            <w:r>
              <w:rPr>
                <w:spacing w:val="8"/>
                <w:sz w:val="24"/>
                <w:szCs w:val="24"/>
              </w:rPr>
              <w:t>凝土补强，厚度150</w:t>
            </w:r>
            <w:r>
              <w:rPr>
                <w:sz w:val="24"/>
                <w:szCs w:val="24"/>
              </w:rPr>
              <w:t>mm</w:t>
            </w:r>
            <w:r>
              <w:rPr>
                <w:spacing w:val="8"/>
                <w:sz w:val="24"/>
                <w:szCs w:val="24"/>
              </w:rPr>
              <w:t>，</w:t>
            </w:r>
            <w:r>
              <w:rPr>
                <w:spacing w:val="5"/>
                <w:sz w:val="24"/>
                <w:szCs w:val="24"/>
              </w:rPr>
              <w:t>压实度≥98%；</w:t>
            </w:r>
          </w:p>
          <w:p w14:paraId="69C73A00">
            <w:pPr>
              <w:pStyle w:val="133"/>
              <w:spacing w:before="1" w:line="195" w:lineRule="auto"/>
              <w:ind w:left="20" w:right="57" w:firstLine="8"/>
              <w:rPr>
                <w:sz w:val="24"/>
                <w:szCs w:val="24"/>
              </w:rPr>
            </w:pPr>
            <w:r>
              <w:rPr>
                <w:spacing w:val="8"/>
                <w:sz w:val="24"/>
                <w:szCs w:val="24"/>
              </w:rPr>
              <w:t>3.面层修复：与原有路面</w:t>
            </w:r>
            <w:r>
              <w:rPr>
                <w:spacing w:val="9"/>
                <w:sz w:val="24"/>
                <w:szCs w:val="24"/>
              </w:rPr>
              <w:t>材质一致（沥青或混凝土</w:t>
            </w:r>
            <w:r>
              <w:rPr>
                <w:spacing w:val="4"/>
                <w:sz w:val="24"/>
                <w:szCs w:val="24"/>
              </w:rPr>
              <w:t xml:space="preserve"> </w:t>
            </w:r>
            <w:r>
              <w:rPr>
                <w:spacing w:val="24"/>
                <w:sz w:val="24"/>
                <w:szCs w:val="24"/>
              </w:rPr>
              <w:t>),沥青面层厚度≥50</w:t>
            </w:r>
            <w:r>
              <w:rPr>
                <w:sz w:val="24"/>
                <w:szCs w:val="24"/>
              </w:rPr>
              <w:t>mm</w:t>
            </w:r>
            <w:r>
              <w:rPr>
                <w:spacing w:val="9"/>
                <w:sz w:val="24"/>
                <w:szCs w:val="24"/>
              </w:rPr>
              <w:t xml:space="preserve"> </w:t>
            </w:r>
            <w:r>
              <w:rPr>
                <w:spacing w:val="15"/>
                <w:sz w:val="24"/>
                <w:szCs w:val="24"/>
              </w:rPr>
              <w:t>,混凝土面层厚度≥180</w:t>
            </w:r>
            <w:r>
              <w:rPr>
                <w:spacing w:val="1"/>
                <w:sz w:val="24"/>
                <w:szCs w:val="24"/>
              </w:rPr>
              <w:t xml:space="preserve"> </w:t>
            </w:r>
            <w:r>
              <w:rPr>
                <w:sz w:val="24"/>
                <w:szCs w:val="24"/>
              </w:rPr>
              <w:t>mm</w:t>
            </w:r>
            <w:r>
              <w:rPr>
                <w:spacing w:val="7"/>
                <w:sz w:val="24"/>
                <w:szCs w:val="24"/>
              </w:rPr>
              <w:t>；</w:t>
            </w:r>
          </w:p>
          <w:p w14:paraId="41F3F1E7">
            <w:pPr>
              <w:pStyle w:val="133"/>
              <w:spacing w:before="1" w:line="229" w:lineRule="auto"/>
              <w:ind w:left="24" w:leftChars="0"/>
              <w:rPr>
                <w:spacing w:val="4"/>
                <w:sz w:val="24"/>
                <w:szCs w:val="24"/>
              </w:rPr>
            </w:pPr>
            <w:r>
              <w:rPr>
                <w:spacing w:val="4"/>
                <w:sz w:val="24"/>
                <w:szCs w:val="24"/>
              </w:rPr>
              <w:t>4.井周采用钢筋网加固，</w:t>
            </w:r>
          </w:p>
          <w:p w14:paraId="0FCA1EDA">
            <w:pPr>
              <w:pStyle w:val="133"/>
              <w:spacing w:before="156" w:line="195" w:lineRule="auto"/>
              <w:ind w:left="20" w:right="148" w:firstLine="3"/>
              <w:rPr>
                <w:sz w:val="24"/>
                <w:szCs w:val="24"/>
              </w:rPr>
            </w:pPr>
            <w:r>
              <w:rPr>
                <w:spacing w:val="2"/>
                <w:sz w:val="24"/>
                <w:szCs w:val="24"/>
              </w:rPr>
              <w:t>钢筋规格Φ12@150×</w:t>
            </w:r>
            <w:r>
              <w:rPr>
                <w:spacing w:val="-20"/>
                <w:sz w:val="24"/>
                <w:szCs w:val="24"/>
              </w:rPr>
              <w:t xml:space="preserve"> </w:t>
            </w:r>
            <w:r>
              <w:rPr>
                <w:spacing w:val="2"/>
                <w:sz w:val="24"/>
                <w:szCs w:val="24"/>
              </w:rPr>
              <w:t>150</w:t>
            </w:r>
            <w:r>
              <w:rPr>
                <w:sz w:val="24"/>
                <w:szCs w:val="24"/>
              </w:rPr>
              <w:t xml:space="preserve"> mm</w:t>
            </w:r>
            <w:r>
              <w:rPr>
                <w:spacing w:val="7"/>
                <w:sz w:val="24"/>
                <w:szCs w:val="24"/>
              </w:rPr>
              <w:t>；</w:t>
            </w:r>
          </w:p>
          <w:p w14:paraId="3CE36007">
            <w:pPr>
              <w:pStyle w:val="133"/>
              <w:spacing w:before="1" w:line="229" w:lineRule="auto"/>
              <w:ind w:left="24" w:leftChars="0"/>
              <w:rPr>
                <w:spacing w:val="4"/>
                <w:sz w:val="24"/>
                <w:szCs w:val="24"/>
                <w:lang w:val="en-US" w:eastAsia="en-US"/>
              </w:rPr>
            </w:pPr>
            <w:r>
              <w:rPr>
                <w:spacing w:val="7"/>
                <w:sz w:val="24"/>
                <w:szCs w:val="24"/>
              </w:rPr>
              <w:t>5.养护≥7天，确保与原</w:t>
            </w:r>
            <w:r>
              <w:rPr>
                <w:spacing w:val="2"/>
                <w:sz w:val="24"/>
                <w:szCs w:val="24"/>
              </w:rPr>
              <w:t>有路面平顺衔接；</w:t>
            </w:r>
          </w:p>
        </w:tc>
        <w:tc>
          <w:tcPr>
            <w:tcW w:w="610" w:type="pct"/>
            <w:shd w:val="clear" w:color="auto" w:fill="auto"/>
            <w:vAlign w:val="top"/>
          </w:tcPr>
          <w:p w14:paraId="51B1227B">
            <w:pPr>
              <w:spacing w:line="282" w:lineRule="auto"/>
              <w:rPr>
                <w:rFonts w:ascii="Arial"/>
                <w:sz w:val="24"/>
                <w:szCs w:val="24"/>
              </w:rPr>
            </w:pPr>
          </w:p>
          <w:p w14:paraId="1AEE8FB6">
            <w:pPr>
              <w:spacing w:line="282" w:lineRule="auto"/>
              <w:rPr>
                <w:rFonts w:ascii="Arial"/>
                <w:sz w:val="24"/>
                <w:szCs w:val="24"/>
              </w:rPr>
            </w:pPr>
          </w:p>
          <w:p w14:paraId="0FAD3B9D">
            <w:pPr>
              <w:spacing w:line="283" w:lineRule="auto"/>
              <w:rPr>
                <w:rFonts w:ascii="Arial"/>
                <w:sz w:val="24"/>
                <w:szCs w:val="24"/>
              </w:rPr>
            </w:pPr>
          </w:p>
          <w:p w14:paraId="75D3F173">
            <w:pPr>
              <w:spacing w:line="283" w:lineRule="auto"/>
              <w:rPr>
                <w:rFonts w:ascii="Arial"/>
                <w:sz w:val="24"/>
                <w:szCs w:val="24"/>
              </w:rPr>
            </w:pPr>
          </w:p>
          <w:p w14:paraId="4EC85912">
            <w:pPr>
              <w:spacing w:line="283" w:lineRule="auto"/>
              <w:rPr>
                <w:rFonts w:ascii="Arial"/>
                <w:sz w:val="24"/>
                <w:szCs w:val="24"/>
              </w:rPr>
            </w:pPr>
          </w:p>
          <w:p w14:paraId="2B60A2AC">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7218AFB3">
            <w:pPr>
              <w:spacing w:line="282" w:lineRule="auto"/>
              <w:rPr>
                <w:rFonts w:ascii="Arial"/>
                <w:sz w:val="24"/>
                <w:szCs w:val="24"/>
              </w:rPr>
            </w:pPr>
          </w:p>
          <w:p w14:paraId="01FBAEB4">
            <w:pPr>
              <w:spacing w:line="282" w:lineRule="auto"/>
              <w:rPr>
                <w:rFonts w:ascii="Arial"/>
                <w:sz w:val="24"/>
                <w:szCs w:val="24"/>
              </w:rPr>
            </w:pPr>
          </w:p>
          <w:p w14:paraId="2133C658">
            <w:pPr>
              <w:spacing w:line="283" w:lineRule="auto"/>
              <w:rPr>
                <w:rFonts w:ascii="Arial"/>
                <w:sz w:val="24"/>
                <w:szCs w:val="24"/>
              </w:rPr>
            </w:pPr>
          </w:p>
          <w:p w14:paraId="4B016FE7">
            <w:pPr>
              <w:spacing w:line="283" w:lineRule="auto"/>
              <w:rPr>
                <w:rFonts w:ascii="Arial"/>
                <w:sz w:val="24"/>
                <w:szCs w:val="24"/>
              </w:rPr>
            </w:pPr>
          </w:p>
          <w:p w14:paraId="7BDC8BCA">
            <w:pPr>
              <w:spacing w:line="283" w:lineRule="auto"/>
              <w:rPr>
                <w:rFonts w:ascii="Arial"/>
                <w:sz w:val="24"/>
                <w:szCs w:val="24"/>
              </w:rPr>
            </w:pPr>
          </w:p>
          <w:p w14:paraId="716F22D5">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34EB4F7C">
            <w:pPr>
              <w:pStyle w:val="133"/>
              <w:spacing w:before="55" w:line="232" w:lineRule="exact"/>
              <w:ind w:left="372"/>
              <w:rPr>
                <w:position w:val="1"/>
                <w:sz w:val="24"/>
                <w:szCs w:val="24"/>
              </w:rPr>
            </w:pPr>
          </w:p>
          <w:p w14:paraId="27AB2606">
            <w:pPr>
              <w:pStyle w:val="133"/>
              <w:spacing w:before="55" w:line="232" w:lineRule="exact"/>
              <w:ind w:left="372"/>
              <w:rPr>
                <w:position w:val="1"/>
                <w:sz w:val="24"/>
                <w:szCs w:val="24"/>
              </w:rPr>
            </w:pPr>
          </w:p>
          <w:p w14:paraId="40C65183">
            <w:pPr>
              <w:pStyle w:val="133"/>
              <w:spacing w:before="55" w:line="232" w:lineRule="exact"/>
              <w:ind w:left="372"/>
              <w:rPr>
                <w:position w:val="1"/>
                <w:sz w:val="24"/>
                <w:szCs w:val="24"/>
              </w:rPr>
            </w:pPr>
          </w:p>
          <w:p w14:paraId="75989AF6">
            <w:pPr>
              <w:pStyle w:val="133"/>
              <w:spacing w:before="55" w:line="232" w:lineRule="exact"/>
              <w:ind w:left="372"/>
              <w:rPr>
                <w:position w:val="1"/>
                <w:sz w:val="24"/>
                <w:szCs w:val="24"/>
              </w:rPr>
            </w:pPr>
          </w:p>
          <w:p w14:paraId="4F14F268">
            <w:pPr>
              <w:pStyle w:val="133"/>
              <w:spacing w:before="55" w:line="232" w:lineRule="exact"/>
              <w:ind w:left="372"/>
              <w:rPr>
                <w:position w:val="1"/>
                <w:sz w:val="24"/>
                <w:szCs w:val="24"/>
              </w:rPr>
            </w:pPr>
          </w:p>
          <w:p w14:paraId="78808641">
            <w:pPr>
              <w:pStyle w:val="133"/>
              <w:spacing w:before="55" w:line="232" w:lineRule="exact"/>
              <w:ind w:left="372"/>
              <w:rPr>
                <w:position w:val="1"/>
                <w:sz w:val="24"/>
                <w:szCs w:val="24"/>
              </w:rPr>
            </w:pPr>
          </w:p>
          <w:p w14:paraId="763F6A05">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335</w:t>
            </w:r>
          </w:p>
        </w:tc>
      </w:tr>
      <w:tr w14:paraId="01BD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0A26B741">
            <w:pPr>
              <w:spacing w:line="267" w:lineRule="auto"/>
              <w:rPr>
                <w:rFonts w:ascii="Arial"/>
                <w:sz w:val="24"/>
                <w:szCs w:val="24"/>
              </w:rPr>
            </w:pPr>
          </w:p>
          <w:p w14:paraId="0067020B">
            <w:pPr>
              <w:spacing w:line="267" w:lineRule="auto"/>
              <w:rPr>
                <w:rFonts w:ascii="Arial"/>
                <w:sz w:val="24"/>
                <w:szCs w:val="24"/>
              </w:rPr>
            </w:pPr>
          </w:p>
          <w:p w14:paraId="554C14F9">
            <w:pPr>
              <w:spacing w:line="267" w:lineRule="auto"/>
              <w:rPr>
                <w:rFonts w:ascii="Arial"/>
                <w:sz w:val="24"/>
                <w:szCs w:val="24"/>
              </w:rPr>
            </w:pPr>
          </w:p>
          <w:p w14:paraId="0E163260">
            <w:pPr>
              <w:spacing w:line="267" w:lineRule="auto"/>
              <w:rPr>
                <w:rFonts w:ascii="Arial"/>
                <w:sz w:val="24"/>
                <w:szCs w:val="24"/>
              </w:rPr>
            </w:pPr>
          </w:p>
          <w:p w14:paraId="454F16F3">
            <w:pPr>
              <w:spacing w:line="268" w:lineRule="auto"/>
              <w:rPr>
                <w:rFonts w:ascii="Arial"/>
                <w:sz w:val="24"/>
                <w:szCs w:val="24"/>
              </w:rPr>
            </w:pPr>
          </w:p>
          <w:p w14:paraId="29C765AA">
            <w:pPr>
              <w:pStyle w:val="133"/>
              <w:spacing w:before="55" w:line="231"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15</w:t>
            </w:r>
          </w:p>
        </w:tc>
        <w:tc>
          <w:tcPr>
            <w:tcW w:w="645" w:type="pct"/>
            <w:shd w:val="clear" w:color="auto" w:fill="auto"/>
            <w:vAlign w:val="top"/>
          </w:tcPr>
          <w:p w14:paraId="0E551612">
            <w:pPr>
              <w:spacing w:line="267" w:lineRule="auto"/>
              <w:rPr>
                <w:rFonts w:ascii="Arial"/>
                <w:sz w:val="24"/>
                <w:szCs w:val="24"/>
              </w:rPr>
            </w:pPr>
          </w:p>
          <w:p w14:paraId="50EBDFFF">
            <w:pPr>
              <w:spacing w:line="267" w:lineRule="auto"/>
              <w:rPr>
                <w:rFonts w:ascii="Arial"/>
                <w:sz w:val="24"/>
                <w:szCs w:val="24"/>
              </w:rPr>
            </w:pPr>
          </w:p>
          <w:p w14:paraId="56C5D418">
            <w:pPr>
              <w:spacing w:line="267" w:lineRule="auto"/>
              <w:rPr>
                <w:rFonts w:ascii="Arial"/>
                <w:sz w:val="24"/>
                <w:szCs w:val="24"/>
              </w:rPr>
            </w:pPr>
          </w:p>
          <w:p w14:paraId="2202F8A4">
            <w:pPr>
              <w:spacing w:line="267" w:lineRule="auto"/>
              <w:rPr>
                <w:rFonts w:ascii="Arial"/>
                <w:sz w:val="24"/>
                <w:szCs w:val="24"/>
              </w:rPr>
            </w:pPr>
          </w:p>
          <w:p w14:paraId="40E122BA">
            <w:pPr>
              <w:spacing w:line="268" w:lineRule="auto"/>
              <w:rPr>
                <w:rFonts w:ascii="Arial"/>
                <w:sz w:val="24"/>
                <w:szCs w:val="24"/>
              </w:rPr>
            </w:pPr>
          </w:p>
          <w:p w14:paraId="7D4AE8C8">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040504009001</w:t>
            </w:r>
          </w:p>
        </w:tc>
        <w:tc>
          <w:tcPr>
            <w:tcW w:w="759" w:type="pct"/>
            <w:shd w:val="clear" w:color="auto" w:fill="auto"/>
            <w:vAlign w:val="top"/>
          </w:tcPr>
          <w:p w14:paraId="43F6A26A">
            <w:pPr>
              <w:spacing w:line="267" w:lineRule="auto"/>
              <w:rPr>
                <w:rFonts w:ascii="Arial"/>
                <w:sz w:val="24"/>
                <w:szCs w:val="24"/>
              </w:rPr>
            </w:pPr>
          </w:p>
          <w:p w14:paraId="416DBBC2">
            <w:pPr>
              <w:spacing w:line="267" w:lineRule="auto"/>
              <w:rPr>
                <w:rFonts w:ascii="Arial"/>
                <w:sz w:val="24"/>
                <w:szCs w:val="24"/>
              </w:rPr>
            </w:pPr>
          </w:p>
          <w:p w14:paraId="0990788C">
            <w:pPr>
              <w:spacing w:line="267" w:lineRule="auto"/>
              <w:rPr>
                <w:rFonts w:ascii="Arial"/>
                <w:sz w:val="24"/>
                <w:szCs w:val="24"/>
              </w:rPr>
            </w:pPr>
          </w:p>
          <w:p w14:paraId="6D79A01B">
            <w:pPr>
              <w:spacing w:line="267" w:lineRule="auto"/>
              <w:rPr>
                <w:rFonts w:ascii="Arial"/>
                <w:sz w:val="24"/>
                <w:szCs w:val="24"/>
              </w:rPr>
            </w:pPr>
          </w:p>
          <w:p w14:paraId="33F47FF7">
            <w:pPr>
              <w:spacing w:line="268" w:lineRule="auto"/>
              <w:rPr>
                <w:rFonts w:ascii="Arial"/>
                <w:sz w:val="24"/>
                <w:szCs w:val="24"/>
              </w:rPr>
            </w:pPr>
          </w:p>
          <w:p w14:paraId="3647A5E2">
            <w:pPr>
              <w:pStyle w:val="133"/>
              <w:spacing w:before="56" w:line="230" w:lineRule="auto"/>
              <w:ind w:left="29" w:leftChars="0"/>
              <w:rPr>
                <w:rFonts w:ascii="宋体" w:hAnsi="宋体" w:eastAsia="宋体" w:cs="宋体"/>
                <w:snapToGrid w:val="0"/>
                <w:color w:val="000000"/>
                <w:kern w:val="0"/>
                <w:sz w:val="24"/>
                <w:szCs w:val="24"/>
                <w:lang w:val="en-US" w:eastAsia="en-US" w:bidi="ar-SA"/>
              </w:rPr>
            </w:pPr>
            <w:r>
              <w:rPr>
                <w:spacing w:val="7"/>
                <w:sz w:val="24"/>
                <w:szCs w:val="24"/>
              </w:rPr>
              <w:t>雨水篦子新建</w:t>
            </w:r>
          </w:p>
        </w:tc>
        <w:tc>
          <w:tcPr>
            <w:tcW w:w="1173" w:type="pct"/>
            <w:shd w:val="clear" w:color="auto" w:fill="auto"/>
            <w:vAlign w:val="top"/>
          </w:tcPr>
          <w:p w14:paraId="1C610AF8">
            <w:pPr>
              <w:spacing w:line="264" w:lineRule="auto"/>
              <w:rPr>
                <w:rFonts w:ascii="Arial"/>
                <w:sz w:val="24"/>
                <w:szCs w:val="24"/>
              </w:rPr>
            </w:pPr>
          </w:p>
          <w:p w14:paraId="0A7B386F">
            <w:pPr>
              <w:pStyle w:val="133"/>
              <w:spacing w:before="55" w:line="195" w:lineRule="auto"/>
              <w:ind w:left="25" w:right="57" w:firstLine="12"/>
              <w:rPr>
                <w:sz w:val="24"/>
                <w:szCs w:val="24"/>
              </w:rPr>
            </w:pPr>
            <w:r>
              <w:rPr>
                <w:spacing w:val="7"/>
                <w:sz w:val="24"/>
                <w:szCs w:val="24"/>
              </w:rPr>
              <w:t>1.材质：球墨铸铁雨水篦</w:t>
            </w:r>
            <w:r>
              <w:rPr>
                <w:spacing w:val="6"/>
                <w:sz w:val="24"/>
                <w:szCs w:val="24"/>
              </w:rPr>
              <w:t>子，承载等级C250；</w:t>
            </w:r>
          </w:p>
          <w:p w14:paraId="0CC38C91">
            <w:pPr>
              <w:pStyle w:val="133"/>
              <w:spacing w:line="195" w:lineRule="auto"/>
              <w:ind w:left="26" w:right="57"/>
              <w:rPr>
                <w:sz w:val="24"/>
                <w:szCs w:val="24"/>
              </w:rPr>
            </w:pPr>
            <w:r>
              <w:rPr>
                <w:sz w:val="24"/>
                <w:szCs w:val="24"/>
              </w:rPr>
              <w:t>2.规格：</w:t>
            </w:r>
            <w:r>
              <w:rPr>
                <w:spacing w:val="-43"/>
                <w:sz w:val="24"/>
                <w:szCs w:val="24"/>
              </w:rPr>
              <w:t xml:space="preserve"> </w:t>
            </w:r>
            <w:r>
              <w:rPr>
                <w:sz w:val="24"/>
                <w:szCs w:val="24"/>
              </w:rPr>
              <w:t>500×</w:t>
            </w:r>
            <w:r>
              <w:rPr>
                <w:spacing w:val="-39"/>
                <w:sz w:val="24"/>
                <w:szCs w:val="24"/>
              </w:rPr>
              <w:t xml:space="preserve"> </w:t>
            </w:r>
            <w:r>
              <w:rPr>
                <w:sz w:val="24"/>
                <w:szCs w:val="24"/>
              </w:rPr>
              <w:t>300mm（或</w:t>
            </w:r>
            <w:r>
              <w:rPr>
                <w:spacing w:val="8"/>
                <w:sz w:val="24"/>
                <w:szCs w:val="24"/>
              </w:rPr>
              <w:t>按设计要求</w:t>
            </w:r>
            <w:r>
              <w:rPr>
                <w:spacing w:val="12"/>
                <w:sz w:val="24"/>
                <w:szCs w:val="24"/>
              </w:rPr>
              <w:t>），</w:t>
            </w:r>
            <w:r>
              <w:rPr>
                <w:spacing w:val="8"/>
                <w:sz w:val="24"/>
                <w:szCs w:val="24"/>
              </w:rPr>
              <w:t>篦条间距</w:t>
            </w:r>
            <w:r>
              <w:rPr>
                <w:spacing w:val="5"/>
                <w:sz w:val="24"/>
                <w:szCs w:val="24"/>
              </w:rPr>
              <w:t>≤20</w:t>
            </w:r>
            <w:r>
              <w:rPr>
                <w:sz w:val="24"/>
                <w:szCs w:val="24"/>
              </w:rPr>
              <w:t>mm</w:t>
            </w:r>
            <w:r>
              <w:rPr>
                <w:spacing w:val="5"/>
                <w:sz w:val="24"/>
                <w:szCs w:val="24"/>
              </w:rPr>
              <w:t>；</w:t>
            </w:r>
          </w:p>
          <w:p w14:paraId="0790C963">
            <w:pPr>
              <w:pStyle w:val="133"/>
              <w:spacing w:line="195" w:lineRule="auto"/>
              <w:ind w:left="30" w:right="147" w:hanging="2"/>
              <w:rPr>
                <w:sz w:val="24"/>
                <w:szCs w:val="24"/>
              </w:rPr>
            </w:pPr>
            <w:r>
              <w:rPr>
                <w:spacing w:val="4"/>
                <w:sz w:val="24"/>
                <w:szCs w:val="24"/>
              </w:rPr>
              <w:t>3.基础：</w:t>
            </w:r>
            <w:r>
              <w:rPr>
                <w:spacing w:val="-47"/>
                <w:sz w:val="24"/>
                <w:szCs w:val="24"/>
              </w:rPr>
              <w:t xml:space="preserve"> </w:t>
            </w:r>
            <w:r>
              <w:rPr>
                <w:spacing w:val="4"/>
                <w:sz w:val="24"/>
                <w:szCs w:val="24"/>
              </w:rPr>
              <w:t>C15混凝土基础</w:t>
            </w:r>
            <w:r>
              <w:rPr>
                <w:sz w:val="24"/>
                <w:szCs w:val="24"/>
              </w:rPr>
              <w:t xml:space="preserve"> </w:t>
            </w:r>
            <w:r>
              <w:rPr>
                <w:spacing w:val="13"/>
                <w:sz w:val="24"/>
                <w:szCs w:val="24"/>
              </w:rPr>
              <w:t>,厚度100</w:t>
            </w:r>
            <w:r>
              <w:rPr>
                <w:sz w:val="24"/>
                <w:szCs w:val="24"/>
              </w:rPr>
              <w:t>mm</w:t>
            </w:r>
            <w:r>
              <w:rPr>
                <w:spacing w:val="13"/>
                <w:sz w:val="24"/>
                <w:szCs w:val="24"/>
              </w:rPr>
              <w:t>，宽度超出</w:t>
            </w:r>
            <w:r>
              <w:rPr>
                <w:spacing w:val="6"/>
                <w:sz w:val="24"/>
                <w:szCs w:val="24"/>
              </w:rPr>
              <w:t>篦子边缘100</w:t>
            </w:r>
            <w:r>
              <w:rPr>
                <w:sz w:val="24"/>
                <w:szCs w:val="24"/>
              </w:rPr>
              <w:t>mm</w:t>
            </w:r>
            <w:r>
              <w:rPr>
                <w:spacing w:val="6"/>
                <w:sz w:val="24"/>
                <w:szCs w:val="24"/>
              </w:rPr>
              <w:t>；</w:t>
            </w:r>
          </w:p>
          <w:p w14:paraId="2AADBEE1">
            <w:pPr>
              <w:pStyle w:val="133"/>
              <w:spacing w:before="1" w:line="195" w:lineRule="auto"/>
              <w:ind w:left="26" w:right="57" w:hanging="2"/>
              <w:rPr>
                <w:sz w:val="24"/>
                <w:szCs w:val="24"/>
              </w:rPr>
            </w:pPr>
            <w:r>
              <w:rPr>
                <w:spacing w:val="8"/>
                <w:sz w:val="24"/>
                <w:szCs w:val="24"/>
              </w:rPr>
              <w:t>4.安装：与路面平齐，高差≤3</w:t>
            </w:r>
            <w:r>
              <w:rPr>
                <w:sz w:val="24"/>
                <w:szCs w:val="24"/>
              </w:rPr>
              <w:t>mm</w:t>
            </w:r>
            <w:r>
              <w:rPr>
                <w:spacing w:val="8"/>
                <w:sz w:val="24"/>
                <w:szCs w:val="24"/>
              </w:rPr>
              <w:t>，周边采用M10水</w:t>
            </w:r>
            <w:r>
              <w:rPr>
                <w:sz w:val="24"/>
                <w:szCs w:val="24"/>
              </w:rPr>
              <w:t>泥砂浆找平；</w:t>
            </w:r>
          </w:p>
          <w:p w14:paraId="4A4D1EF7">
            <w:pPr>
              <w:pStyle w:val="133"/>
              <w:spacing w:before="2" w:line="212" w:lineRule="auto"/>
              <w:ind w:left="28" w:leftChars="0" w:right="147" w:rightChars="0"/>
              <w:rPr>
                <w:rFonts w:ascii="宋体" w:hAnsi="宋体" w:eastAsia="宋体" w:cs="宋体"/>
                <w:snapToGrid w:val="0"/>
                <w:color w:val="000000"/>
                <w:kern w:val="0"/>
                <w:sz w:val="24"/>
                <w:szCs w:val="24"/>
                <w:lang w:val="en-US" w:eastAsia="en-US" w:bidi="ar-SA"/>
              </w:rPr>
            </w:pPr>
            <w:r>
              <w:rPr>
                <w:spacing w:val="7"/>
                <w:sz w:val="24"/>
                <w:szCs w:val="24"/>
              </w:rPr>
              <w:t>5.篦子下方设置100</w:t>
            </w:r>
            <w:r>
              <w:rPr>
                <w:sz w:val="24"/>
                <w:szCs w:val="24"/>
              </w:rPr>
              <w:t>mm</w:t>
            </w:r>
            <w:r>
              <w:rPr>
                <w:spacing w:val="7"/>
                <w:sz w:val="24"/>
                <w:szCs w:val="24"/>
              </w:rPr>
              <w:t>厚</w:t>
            </w:r>
            <w:r>
              <w:rPr>
                <w:spacing w:val="2"/>
                <w:sz w:val="24"/>
                <w:szCs w:val="24"/>
              </w:rPr>
              <w:t>级配砂石过滤层；</w:t>
            </w:r>
          </w:p>
        </w:tc>
        <w:tc>
          <w:tcPr>
            <w:tcW w:w="610" w:type="pct"/>
            <w:shd w:val="clear" w:color="auto" w:fill="auto"/>
            <w:vAlign w:val="top"/>
          </w:tcPr>
          <w:p w14:paraId="7B35E5B4">
            <w:pPr>
              <w:spacing w:line="267" w:lineRule="auto"/>
              <w:rPr>
                <w:rFonts w:ascii="Arial"/>
                <w:sz w:val="24"/>
                <w:szCs w:val="24"/>
              </w:rPr>
            </w:pPr>
          </w:p>
          <w:p w14:paraId="6397CAC5">
            <w:pPr>
              <w:spacing w:line="267" w:lineRule="auto"/>
              <w:rPr>
                <w:rFonts w:ascii="Arial"/>
                <w:sz w:val="24"/>
                <w:szCs w:val="24"/>
              </w:rPr>
            </w:pPr>
          </w:p>
          <w:p w14:paraId="7E1B9226">
            <w:pPr>
              <w:spacing w:line="267" w:lineRule="auto"/>
              <w:rPr>
                <w:rFonts w:ascii="Arial"/>
                <w:sz w:val="24"/>
                <w:szCs w:val="24"/>
              </w:rPr>
            </w:pPr>
          </w:p>
          <w:p w14:paraId="066ADB52">
            <w:pPr>
              <w:spacing w:line="268" w:lineRule="auto"/>
              <w:rPr>
                <w:rFonts w:ascii="Arial"/>
                <w:sz w:val="24"/>
                <w:szCs w:val="24"/>
              </w:rPr>
            </w:pPr>
          </w:p>
          <w:p w14:paraId="375E3DB1">
            <w:pPr>
              <w:spacing w:line="268" w:lineRule="auto"/>
              <w:rPr>
                <w:rFonts w:ascii="Arial"/>
                <w:sz w:val="24"/>
                <w:szCs w:val="24"/>
              </w:rPr>
            </w:pPr>
          </w:p>
          <w:p w14:paraId="6BA01E9A">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72319E52">
            <w:pPr>
              <w:spacing w:line="267" w:lineRule="auto"/>
              <w:rPr>
                <w:rFonts w:ascii="Arial"/>
                <w:sz w:val="24"/>
                <w:szCs w:val="24"/>
              </w:rPr>
            </w:pPr>
          </w:p>
          <w:p w14:paraId="080557BA">
            <w:pPr>
              <w:spacing w:line="267" w:lineRule="auto"/>
              <w:rPr>
                <w:rFonts w:ascii="Arial"/>
                <w:sz w:val="24"/>
                <w:szCs w:val="24"/>
              </w:rPr>
            </w:pPr>
          </w:p>
          <w:p w14:paraId="17A89786">
            <w:pPr>
              <w:spacing w:line="267" w:lineRule="auto"/>
              <w:rPr>
                <w:rFonts w:ascii="Arial"/>
                <w:sz w:val="24"/>
                <w:szCs w:val="24"/>
              </w:rPr>
            </w:pPr>
          </w:p>
          <w:p w14:paraId="571B8297">
            <w:pPr>
              <w:spacing w:line="267" w:lineRule="auto"/>
              <w:rPr>
                <w:rFonts w:ascii="Arial"/>
                <w:sz w:val="24"/>
                <w:szCs w:val="24"/>
              </w:rPr>
            </w:pPr>
          </w:p>
          <w:p w14:paraId="4D826006">
            <w:pPr>
              <w:spacing w:line="268" w:lineRule="auto"/>
              <w:rPr>
                <w:rFonts w:ascii="Arial"/>
                <w:sz w:val="24"/>
                <w:szCs w:val="24"/>
              </w:rPr>
            </w:pPr>
          </w:p>
          <w:p w14:paraId="0D1A4CFE">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108AFE5A">
            <w:pPr>
              <w:rPr>
                <w:rFonts w:ascii="Arial"/>
                <w:sz w:val="24"/>
                <w:szCs w:val="24"/>
              </w:rPr>
            </w:pPr>
          </w:p>
          <w:p w14:paraId="4E84CD62">
            <w:pPr>
              <w:rPr>
                <w:rFonts w:ascii="Arial"/>
                <w:sz w:val="24"/>
                <w:szCs w:val="24"/>
              </w:rPr>
            </w:pPr>
          </w:p>
          <w:p w14:paraId="7A4C4037">
            <w:pPr>
              <w:rPr>
                <w:rFonts w:ascii="Arial"/>
                <w:sz w:val="24"/>
                <w:szCs w:val="24"/>
              </w:rPr>
            </w:pPr>
          </w:p>
          <w:p w14:paraId="6013E844">
            <w:pPr>
              <w:rPr>
                <w:rFonts w:ascii="Arial"/>
                <w:sz w:val="24"/>
                <w:szCs w:val="24"/>
              </w:rPr>
            </w:pPr>
          </w:p>
          <w:p w14:paraId="7CA66D3A">
            <w:pPr>
              <w:pStyle w:val="133"/>
              <w:spacing w:before="56" w:line="232" w:lineRule="exact"/>
              <w:ind w:left="372" w:leftChars="0"/>
              <w:rPr>
                <w:rFonts w:hint="eastAsia" w:ascii="Arial" w:hAnsi="宋体" w:eastAsia="宋体" w:cs="宋体"/>
                <w:snapToGrid w:val="0"/>
                <w:color w:val="000000"/>
                <w:kern w:val="0"/>
                <w:sz w:val="24"/>
                <w:szCs w:val="24"/>
                <w:lang w:val="en-US" w:eastAsia="zh-CN" w:bidi="ar-SA"/>
              </w:rPr>
            </w:pPr>
            <w:r>
              <w:rPr>
                <w:rFonts w:hint="eastAsia"/>
                <w:sz w:val="24"/>
                <w:szCs w:val="24"/>
                <w:lang w:val="en-US" w:eastAsia="zh-CN"/>
              </w:rPr>
              <w:t>460</w:t>
            </w:r>
          </w:p>
        </w:tc>
      </w:tr>
      <w:tr w14:paraId="3ACE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7FBAD48C">
            <w:pPr>
              <w:spacing w:line="278" w:lineRule="auto"/>
              <w:rPr>
                <w:rFonts w:ascii="Arial"/>
                <w:sz w:val="24"/>
                <w:szCs w:val="24"/>
              </w:rPr>
            </w:pPr>
          </w:p>
          <w:p w14:paraId="3EA08E85">
            <w:pPr>
              <w:spacing w:line="278" w:lineRule="auto"/>
              <w:rPr>
                <w:rFonts w:ascii="Arial"/>
                <w:sz w:val="24"/>
                <w:szCs w:val="24"/>
              </w:rPr>
            </w:pPr>
          </w:p>
          <w:p w14:paraId="632C1B22">
            <w:pPr>
              <w:spacing w:line="278" w:lineRule="auto"/>
              <w:rPr>
                <w:rFonts w:ascii="Arial"/>
                <w:sz w:val="24"/>
                <w:szCs w:val="24"/>
              </w:rPr>
            </w:pPr>
          </w:p>
          <w:p w14:paraId="2DDC2F5D">
            <w:pPr>
              <w:spacing w:line="279" w:lineRule="auto"/>
              <w:rPr>
                <w:rFonts w:ascii="Arial"/>
                <w:sz w:val="24"/>
                <w:szCs w:val="24"/>
              </w:rPr>
            </w:pPr>
          </w:p>
          <w:p w14:paraId="46912DCD">
            <w:pPr>
              <w:pStyle w:val="133"/>
              <w:spacing w:before="56" w:line="230"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16</w:t>
            </w:r>
          </w:p>
        </w:tc>
        <w:tc>
          <w:tcPr>
            <w:tcW w:w="645" w:type="pct"/>
            <w:shd w:val="clear" w:color="auto" w:fill="auto"/>
            <w:vAlign w:val="top"/>
          </w:tcPr>
          <w:p w14:paraId="30C15883">
            <w:pPr>
              <w:spacing w:line="278" w:lineRule="auto"/>
              <w:rPr>
                <w:rFonts w:ascii="Arial"/>
                <w:sz w:val="24"/>
                <w:szCs w:val="24"/>
              </w:rPr>
            </w:pPr>
          </w:p>
          <w:p w14:paraId="41239F1D">
            <w:pPr>
              <w:spacing w:line="278" w:lineRule="auto"/>
              <w:rPr>
                <w:rFonts w:ascii="Arial"/>
                <w:sz w:val="24"/>
                <w:szCs w:val="24"/>
              </w:rPr>
            </w:pPr>
          </w:p>
          <w:p w14:paraId="4C5CA218">
            <w:pPr>
              <w:spacing w:line="278" w:lineRule="auto"/>
              <w:rPr>
                <w:rFonts w:ascii="Arial"/>
                <w:sz w:val="24"/>
                <w:szCs w:val="24"/>
              </w:rPr>
            </w:pPr>
          </w:p>
          <w:p w14:paraId="0F323E1E">
            <w:pPr>
              <w:spacing w:line="279" w:lineRule="auto"/>
              <w:rPr>
                <w:rFonts w:ascii="Arial"/>
                <w:sz w:val="24"/>
                <w:szCs w:val="24"/>
              </w:rPr>
            </w:pPr>
          </w:p>
          <w:p w14:paraId="144538AF">
            <w:pPr>
              <w:pStyle w:val="133"/>
              <w:spacing w:before="56" w:line="230"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040504009002</w:t>
            </w:r>
          </w:p>
        </w:tc>
        <w:tc>
          <w:tcPr>
            <w:tcW w:w="759" w:type="pct"/>
            <w:shd w:val="clear" w:color="auto" w:fill="auto"/>
            <w:vAlign w:val="top"/>
          </w:tcPr>
          <w:p w14:paraId="41E70C8D">
            <w:pPr>
              <w:spacing w:line="278" w:lineRule="auto"/>
              <w:rPr>
                <w:rFonts w:ascii="Arial"/>
                <w:sz w:val="24"/>
                <w:szCs w:val="24"/>
              </w:rPr>
            </w:pPr>
          </w:p>
          <w:p w14:paraId="4E3CA686">
            <w:pPr>
              <w:spacing w:line="278" w:lineRule="auto"/>
              <w:rPr>
                <w:rFonts w:ascii="Arial"/>
                <w:sz w:val="24"/>
                <w:szCs w:val="24"/>
              </w:rPr>
            </w:pPr>
          </w:p>
          <w:p w14:paraId="13BE7B8C">
            <w:pPr>
              <w:spacing w:line="279" w:lineRule="auto"/>
              <w:rPr>
                <w:rFonts w:ascii="Arial"/>
                <w:sz w:val="24"/>
                <w:szCs w:val="24"/>
              </w:rPr>
            </w:pPr>
          </w:p>
          <w:p w14:paraId="292BBF00">
            <w:pPr>
              <w:spacing w:line="279" w:lineRule="auto"/>
              <w:rPr>
                <w:rFonts w:ascii="Arial"/>
                <w:sz w:val="24"/>
                <w:szCs w:val="24"/>
              </w:rPr>
            </w:pPr>
          </w:p>
          <w:p w14:paraId="3E174303">
            <w:pPr>
              <w:pStyle w:val="133"/>
              <w:spacing w:before="55" w:line="230" w:lineRule="auto"/>
              <w:ind w:left="29" w:leftChars="0"/>
              <w:rPr>
                <w:rFonts w:ascii="宋体" w:hAnsi="宋体" w:eastAsia="宋体" w:cs="宋体"/>
                <w:snapToGrid w:val="0"/>
                <w:color w:val="000000"/>
                <w:kern w:val="0"/>
                <w:sz w:val="24"/>
                <w:szCs w:val="24"/>
                <w:lang w:val="en-US" w:eastAsia="en-US" w:bidi="ar-SA"/>
              </w:rPr>
            </w:pPr>
            <w:r>
              <w:rPr>
                <w:spacing w:val="7"/>
                <w:sz w:val="24"/>
                <w:szCs w:val="24"/>
              </w:rPr>
              <w:t>雨水篦子更换</w:t>
            </w:r>
          </w:p>
        </w:tc>
        <w:tc>
          <w:tcPr>
            <w:tcW w:w="1173" w:type="pct"/>
            <w:shd w:val="clear" w:color="auto" w:fill="auto"/>
            <w:vAlign w:val="top"/>
          </w:tcPr>
          <w:p w14:paraId="32A84F49">
            <w:pPr>
              <w:pStyle w:val="133"/>
              <w:spacing w:before="277" w:line="195" w:lineRule="auto"/>
              <w:ind w:left="39" w:right="57" w:hanging="1"/>
              <w:rPr>
                <w:sz w:val="24"/>
                <w:szCs w:val="24"/>
              </w:rPr>
            </w:pPr>
            <w:r>
              <w:rPr>
                <w:spacing w:val="7"/>
                <w:sz w:val="24"/>
                <w:szCs w:val="24"/>
              </w:rPr>
              <w:t>1.拆除原有破损雨水篦子</w:t>
            </w:r>
            <w:r>
              <w:rPr>
                <w:spacing w:val="1"/>
                <w:sz w:val="24"/>
                <w:szCs w:val="24"/>
              </w:rPr>
              <w:t xml:space="preserve"> </w:t>
            </w:r>
            <w:r>
              <w:rPr>
                <w:spacing w:val="11"/>
                <w:sz w:val="24"/>
                <w:szCs w:val="24"/>
              </w:rPr>
              <w:t>,清理基础杂物；</w:t>
            </w:r>
          </w:p>
          <w:p w14:paraId="2AC1C378">
            <w:pPr>
              <w:pStyle w:val="133"/>
              <w:spacing w:line="195" w:lineRule="auto"/>
              <w:ind w:left="23" w:right="57" w:firstLine="3"/>
              <w:rPr>
                <w:sz w:val="24"/>
                <w:szCs w:val="24"/>
              </w:rPr>
            </w:pPr>
            <w:r>
              <w:rPr>
                <w:spacing w:val="8"/>
                <w:sz w:val="24"/>
                <w:szCs w:val="24"/>
              </w:rPr>
              <w:t>2.新篦子材质：球墨铸铁</w:t>
            </w:r>
            <w:r>
              <w:rPr>
                <w:sz w:val="24"/>
                <w:szCs w:val="24"/>
              </w:rPr>
              <w:t>QT</w:t>
            </w:r>
            <w:r>
              <w:rPr>
                <w:spacing w:val="8"/>
                <w:sz w:val="24"/>
                <w:szCs w:val="24"/>
              </w:rPr>
              <w:t>500-7，规格与原有一</w:t>
            </w:r>
            <w:r>
              <w:rPr>
                <w:spacing w:val="6"/>
                <w:sz w:val="24"/>
                <w:szCs w:val="24"/>
              </w:rPr>
              <w:t>致，承载等级C250；</w:t>
            </w:r>
          </w:p>
          <w:p w14:paraId="6180479E">
            <w:pPr>
              <w:pStyle w:val="133"/>
              <w:spacing w:line="195" w:lineRule="auto"/>
              <w:ind w:left="24" w:right="57" w:firstLine="4"/>
              <w:rPr>
                <w:sz w:val="24"/>
                <w:szCs w:val="24"/>
              </w:rPr>
            </w:pPr>
            <w:r>
              <w:rPr>
                <w:spacing w:val="7"/>
                <w:sz w:val="24"/>
                <w:szCs w:val="24"/>
              </w:rPr>
              <w:t>3.安装：基础采用M10水</w:t>
            </w:r>
            <w:r>
              <w:rPr>
                <w:spacing w:val="9"/>
                <w:sz w:val="24"/>
                <w:szCs w:val="24"/>
              </w:rPr>
              <w:t>泥砂浆找平，篦子与路面</w:t>
            </w:r>
            <w:r>
              <w:rPr>
                <w:spacing w:val="2"/>
                <w:sz w:val="24"/>
                <w:szCs w:val="24"/>
              </w:rPr>
              <w:t>平齐，无松动；</w:t>
            </w:r>
          </w:p>
          <w:p w14:paraId="41153E41">
            <w:pPr>
              <w:pStyle w:val="133"/>
              <w:spacing w:before="2" w:line="207" w:lineRule="auto"/>
              <w:ind w:left="24" w:leftChars="0" w:right="57" w:rightChars="0"/>
              <w:rPr>
                <w:rFonts w:ascii="宋体" w:hAnsi="宋体" w:eastAsia="宋体" w:cs="宋体"/>
                <w:snapToGrid w:val="0"/>
                <w:color w:val="000000"/>
                <w:kern w:val="0"/>
                <w:sz w:val="24"/>
                <w:szCs w:val="24"/>
                <w:lang w:val="en-US" w:eastAsia="en-US" w:bidi="ar-SA"/>
              </w:rPr>
            </w:pPr>
            <w:r>
              <w:rPr>
                <w:spacing w:val="8"/>
                <w:sz w:val="24"/>
                <w:szCs w:val="24"/>
              </w:rPr>
              <w:t>4.周边缝隙采用聚氨酯密</w:t>
            </w:r>
            <w:r>
              <w:rPr>
                <w:spacing w:val="9"/>
                <w:sz w:val="24"/>
                <w:szCs w:val="24"/>
              </w:rPr>
              <w:t>封胶填充，防止雨水渗漏</w:t>
            </w:r>
            <w:r>
              <w:rPr>
                <w:sz w:val="24"/>
                <w:szCs w:val="24"/>
              </w:rPr>
              <w:t xml:space="preserve"> ;</w:t>
            </w:r>
          </w:p>
        </w:tc>
        <w:tc>
          <w:tcPr>
            <w:tcW w:w="610" w:type="pct"/>
            <w:shd w:val="clear" w:color="auto" w:fill="auto"/>
            <w:vAlign w:val="top"/>
          </w:tcPr>
          <w:p w14:paraId="0ADE83FD">
            <w:pPr>
              <w:spacing w:line="278" w:lineRule="auto"/>
              <w:rPr>
                <w:rFonts w:ascii="Arial"/>
                <w:sz w:val="24"/>
                <w:szCs w:val="24"/>
              </w:rPr>
            </w:pPr>
          </w:p>
          <w:p w14:paraId="129989E2">
            <w:pPr>
              <w:spacing w:line="278" w:lineRule="auto"/>
              <w:rPr>
                <w:rFonts w:ascii="Arial"/>
                <w:sz w:val="24"/>
                <w:szCs w:val="24"/>
              </w:rPr>
            </w:pPr>
          </w:p>
          <w:p w14:paraId="284DF4E3">
            <w:pPr>
              <w:spacing w:line="279" w:lineRule="auto"/>
              <w:rPr>
                <w:rFonts w:ascii="Arial"/>
                <w:sz w:val="24"/>
                <w:szCs w:val="24"/>
              </w:rPr>
            </w:pPr>
          </w:p>
          <w:p w14:paraId="3DB1C4E1">
            <w:pPr>
              <w:spacing w:line="279" w:lineRule="auto"/>
              <w:rPr>
                <w:rFonts w:ascii="Arial"/>
                <w:sz w:val="24"/>
                <w:szCs w:val="24"/>
              </w:rPr>
            </w:pPr>
          </w:p>
          <w:p w14:paraId="63002DF9">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62CF73A4">
            <w:pPr>
              <w:spacing w:line="278" w:lineRule="auto"/>
              <w:rPr>
                <w:rFonts w:ascii="Arial"/>
                <w:sz w:val="24"/>
                <w:szCs w:val="24"/>
              </w:rPr>
            </w:pPr>
          </w:p>
          <w:p w14:paraId="495A1B90">
            <w:pPr>
              <w:spacing w:line="278" w:lineRule="auto"/>
              <w:rPr>
                <w:rFonts w:ascii="Arial"/>
                <w:sz w:val="24"/>
                <w:szCs w:val="24"/>
              </w:rPr>
            </w:pPr>
          </w:p>
          <w:p w14:paraId="7A72EBA8">
            <w:pPr>
              <w:spacing w:line="278" w:lineRule="auto"/>
              <w:rPr>
                <w:rFonts w:ascii="Arial"/>
                <w:sz w:val="24"/>
                <w:szCs w:val="24"/>
              </w:rPr>
            </w:pPr>
          </w:p>
          <w:p w14:paraId="6B3E2AFE">
            <w:pPr>
              <w:spacing w:line="279" w:lineRule="auto"/>
              <w:rPr>
                <w:rFonts w:ascii="Arial"/>
                <w:sz w:val="24"/>
                <w:szCs w:val="24"/>
              </w:rPr>
            </w:pPr>
          </w:p>
          <w:p w14:paraId="5F83C5B2">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C8F4485">
            <w:pPr>
              <w:pStyle w:val="133"/>
              <w:spacing w:before="56" w:line="232" w:lineRule="exact"/>
              <w:ind w:left="372"/>
              <w:rPr>
                <w:sz w:val="24"/>
                <w:szCs w:val="24"/>
              </w:rPr>
            </w:pPr>
          </w:p>
          <w:p w14:paraId="1CA04AB7">
            <w:pPr>
              <w:pStyle w:val="133"/>
              <w:spacing w:before="56" w:line="232" w:lineRule="exact"/>
              <w:ind w:left="372"/>
              <w:rPr>
                <w:sz w:val="24"/>
                <w:szCs w:val="24"/>
              </w:rPr>
            </w:pPr>
          </w:p>
          <w:p w14:paraId="286D4822">
            <w:pPr>
              <w:pStyle w:val="133"/>
              <w:spacing w:before="56" w:line="232" w:lineRule="exact"/>
              <w:ind w:left="372"/>
              <w:rPr>
                <w:sz w:val="24"/>
                <w:szCs w:val="24"/>
              </w:rPr>
            </w:pPr>
          </w:p>
          <w:p w14:paraId="5DB70DAA">
            <w:pPr>
              <w:pStyle w:val="133"/>
              <w:spacing w:before="56" w:line="232" w:lineRule="exact"/>
              <w:ind w:left="372"/>
              <w:rPr>
                <w:sz w:val="24"/>
                <w:szCs w:val="24"/>
              </w:rPr>
            </w:pPr>
          </w:p>
          <w:p w14:paraId="1D7A83E8">
            <w:pPr>
              <w:pStyle w:val="133"/>
              <w:spacing w:before="56" w:line="232" w:lineRule="exact"/>
              <w:ind w:left="372"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170</w:t>
            </w:r>
          </w:p>
        </w:tc>
      </w:tr>
      <w:tr w14:paraId="4AD0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D8A49A1">
            <w:pPr>
              <w:spacing w:line="242" w:lineRule="auto"/>
              <w:rPr>
                <w:rFonts w:ascii="Arial"/>
                <w:sz w:val="24"/>
                <w:szCs w:val="24"/>
              </w:rPr>
            </w:pPr>
          </w:p>
          <w:p w14:paraId="1F3A453C">
            <w:pPr>
              <w:spacing w:line="243" w:lineRule="auto"/>
              <w:rPr>
                <w:rFonts w:ascii="Arial"/>
                <w:sz w:val="24"/>
                <w:szCs w:val="24"/>
              </w:rPr>
            </w:pPr>
          </w:p>
          <w:p w14:paraId="7DED6E0D">
            <w:pPr>
              <w:spacing w:line="243" w:lineRule="auto"/>
              <w:rPr>
                <w:rFonts w:ascii="Arial"/>
                <w:sz w:val="24"/>
                <w:szCs w:val="24"/>
              </w:rPr>
            </w:pPr>
          </w:p>
          <w:p w14:paraId="3BB39D35">
            <w:pPr>
              <w:spacing w:line="243" w:lineRule="auto"/>
              <w:rPr>
                <w:rFonts w:ascii="Arial"/>
                <w:sz w:val="24"/>
                <w:szCs w:val="24"/>
              </w:rPr>
            </w:pPr>
          </w:p>
          <w:p w14:paraId="2A3DF0DD">
            <w:pPr>
              <w:spacing w:line="243" w:lineRule="auto"/>
              <w:rPr>
                <w:rFonts w:ascii="Arial"/>
                <w:sz w:val="24"/>
                <w:szCs w:val="24"/>
              </w:rPr>
            </w:pPr>
          </w:p>
          <w:p w14:paraId="17544989">
            <w:pPr>
              <w:spacing w:line="243" w:lineRule="auto"/>
              <w:rPr>
                <w:rFonts w:ascii="Arial"/>
                <w:sz w:val="24"/>
                <w:szCs w:val="24"/>
              </w:rPr>
            </w:pPr>
          </w:p>
          <w:p w14:paraId="5558EF67">
            <w:pPr>
              <w:pStyle w:val="133"/>
              <w:spacing w:before="55" w:line="231"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17</w:t>
            </w:r>
          </w:p>
        </w:tc>
        <w:tc>
          <w:tcPr>
            <w:tcW w:w="645" w:type="pct"/>
            <w:shd w:val="clear" w:color="auto" w:fill="auto"/>
            <w:vAlign w:val="top"/>
          </w:tcPr>
          <w:p w14:paraId="07B3C01C">
            <w:pPr>
              <w:spacing w:line="242" w:lineRule="auto"/>
              <w:rPr>
                <w:rFonts w:ascii="Arial"/>
                <w:sz w:val="24"/>
                <w:szCs w:val="24"/>
              </w:rPr>
            </w:pPr>
          </w:p>
          <w:p w14:paraId="0118CDEA">
            <w:pPr>
              <w:spacing w:line="243" w:lineRule="auto"/>
              <w:rPr>
                <w:rFonts w:ascii="Arial"/>
                <w:sz w:val="24"/>
                <w:szCs w:val="24"/>
              </w:rPr>
            </w:pPr>
          </w:p>
          <w:p w14:paraId="7064B98D">
            <w:pPr>
              <w:spacing w:line="243" w:lineRule="auto"/>
              <w:rPr>
                <w:rFonts w:ascii="Arial"/>
                <w:sz w:val="24"/>
                <w:szCs w:val="24"/>
              </w:rPr>
            </w:pPr>
          </w:p>
          <w:p w14:paraId="3489D29B">
            <w:pPr>
              <w:spacing w:line="243" w:lineRule="auto"/>
              <w:rPr>
                <w:rFonts w:ascii="Arial"/>
                <w:sz w:val="24"/>
                <w:szCs w:val="24"/>
              </w:rPr>
            </w:pPr>
          </w:p>
          <w:p w14:paraId="0E61481B">
            <w:pPr>
              <w:spacing w:line="243" w:lineRule="auto"/>
              <w:rPr>
                <w:rFonts w:ascii="Arial"/>
                <w:sz w:val="24"/>
                <w:szCs w:val="24"/>
              </w:rPr>
            </w:pPr>
          </w:p>
          <w:p w14:paraId="450BA94D">
            <w:pPr>
              <w:spacing w:line="243" w:lineRule="auto"/>
              <w:rPr>
                <w:rFonts w:ascii="Arial"/>
                <w:sz w:val="24"/>
                <w:szCs w:val="24"/>
              </w:rPr>
            </w:pPr>
          </w:p>
          <w:p w14:paraId="1658078F">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040504009003</w:t>
            </w:r>
          </w:p>
        </w:tc>
        <w:tc>
          <w:tcPr>
            <w:tcW w:w="759" w:type="pct"/>
            <w:shd w:val="clear" w:color="auto" w:fill="auto"/>
            <w:vAlign w:val="top"/>
          </w:tcPr>
          <w:p w14:paraId="50437538">
            <w:pPr>
              <w:spacing w:line="242" w:lineRule="auto"/>
              <w:rPr>
                <w:rFonts w:ascii="Arial"/>
                <w:sz w:val="24"/>
                <w:szCs w:val="24"/>
              </w:rPr>
            </w:pPr>
          </w:p>
          <w:p w14:paraId="6554817A">
            <w:pPr>
              <w:spacing w:line="243" w:lineRule="auto"/>
              <w:rPr>
                <w:rFonts w:ascii="Arial"/>
                <w:sz w:val="24"/>
                <w:szCs w:val="24"/>
              </w:rPr>
            </w:pPr>
          </w:p>
          <w:p w14:paraId="17CDB205">
            <w:pPr>
              <w:spacing w:line="243" w:lineRule="auto"/>
              <w:rPr>
                <w:rFonts w:ascii="Arial"/>
                <w:sz w:val="24"/>
                <w:szCs w:val="24"/>
              </w:rPr>
            </w:pPr>
          </w:p>
          <w:p w14:paraId="3795EB43">
            <w:pPr>
              <w:spacing w:line="243" w:lineRule="auto"/>
              <w:rPr>
                <w:rFonts w:ascii="Arial"/>
                <w:sz w:val="24"/>
                <w:szCs w:val="24"/>
              </w:rPr>
            </w:pPr>
          </w:p>
          <w:p w14:paraId="755CC541">
            <w:pPr>
              <w:spacing w:line="243" w:lineRule="auto"/>
              <w:rPr>
                <w:rFonts w:ascii="Arial"/>
                <w:sz w:val="24"/>
                <w:szCs w:val="24"/>
              </w:rPr>
            </w:pPr>
          </w:p>
          <w:p w14:paraId="33909B01">
            <w:pPr>
              <w:spacing w:line="243" w:lineRule="auto"/>
              <w:rPr>
                <w:rFonts w:ascii="Arial"/>
                <w:sz w:val="24"/>
                <w:szCs w:val="24"/>
              </w:rPr>
            </w:pPr>
          </w:p>
          <w:p w14:paraId="7269FA95">
            <w:pPr>
              <w:pStyle w:val="133"/>
              <w:spacing w:before="56" w:line="230" w:lineRule="auto"/>
              <w:ind w:left="29" w:leftChars="0"/>
              <w:rPr>
                <w:rFonts w:ascii="宋体" w:hAnsi="宋体" w:eastAsia="宋体" w:cs="宋体"/>
                <w:snapToGrid w:val="0"/>
                <w:color w:val="000000"/>
                <w:kern w:val="0"/>
                <w:sz w:val="24"/>
                <w:szCs w:val="24"/>
                <w:lang w:val="en-US" w:eastAsia="en-US" w:bidi="ar-SA"/>
              </w:rPr>
            </w:pPr>
            <w:r>
              <w:rPr>
                <w:spacing w:val="7"/>
                <w:sz w:val="24"/>
                <w:szCs w:val="24"/>
              </w:rPr>
              <w:t>雨篦检查井修复</w:t>
            </w:r>
          </w:p>
        </w:tc>
        <w:tc>
          <w:tcPr>
            <w:tcW w:w="1173" w:type="pct"/>
            <w:shd w:val="clear" w:color="auto" w:fill="auto"/>
            <w:vAlign w:val="top"/>
          </w:tcPr>
          <w:p w14:paraId="17188763">
            <w:pPr>
              <w:pStyle w:val="133"/>
              <w:spacing w:before="55" w:line="195" w:lineRule="auto"/>
              <w:ind w:right="57"/>
              <w:rPr>
                <w:sz w:val="24"/>
                <w:szCs w:val="24"/>
              </w:rPr>
            </w:pPr>
            <w:r>
              <w:rPr>
                <w:spacing w:val="7"/>
                <w:sz w:val="24"/>
                <w:szCs w:val="24"/>
              </w:rPr>
              <w:t>1.修复范围：雨篦子及连</w:t>
            </w:r>
            <w:r>
              <w:rPr>
                <w:spacing w:val="3"/>
                <w:sz w:val="24"/>
                <w:szCs w:val="24"/>
              </w:rPr>
              <w:t>接检查井整体修复；</w:t>
            </w:r>
          </w:p>
          <w:p w14:paraId="2907320D">
            <w:pPr>
              <w:pStyle w:val="133"/>
              <w:spacing w:line="195" w:lineRule="auto"/>
              <w:ind w:left="26" w:right="57"/>
              <w:rPr>
                <w:sz w:val="24"/>
                <w:szCs w:val="24"/>
              </w:rPr>
            </w:pPr>
            <w:r>
              <w:rPr>
                <w:spacing w:val="8"/>
                <w:sz w:val="24"/>
                <w:szCs w:val="24"/>
              </w:rPr>
              <w:t>2.雨篦子修复：更换破损部件，确保排水通畅，篦</w:t>
            </w:r>
            <w:r>
              <w:rPr>
                <w:spacing w:val="-2"/>
                <w:sz w:val="24"/>
                <w:szCs w:val="24"/>
              </w:rPr>
              <w:t>条无缺失；</w:t>
            </w:r>
          </w:p>
          <w:p w14:paraId="3AFDF2A9">
            <w:pPr>
              <w:pStyle w:val="133"/>
              <w:spacing w:line="195" w:lineRule="auto"/>
              <w:ind w:left="25" w:right="57" w:firstLine="3"/>
              <w:rPr>
                <w:sz w:val="24"/>
                <w:szCs w:val="24"/>
              </w:rPr>
            </w:pPr>
            <w:r>
              <w:rPr>
                <w:spacing w:val="8"/>
                <w:sz w:val="24"/>
                <w:szCs w:val="24"/>
              </w:rPr>
              <w:t>3.检查井修复：井壁裂缝</w:t>
            </w:r>
            <w:r>
              <w:rPr>
                <w:spacing w:val="9"/>
                <w:sz w:val="24"/>
                <w:szCs w:val="24"/>
              </w:rPr>
              <w:t>灌浆处理，内壁防水涂层</w:t>
            </w:r>
            <w:r>
              <w:rPr>
                <w:spacing w:val="-6"/>
                <w:sz w:val="24"/>
                <w:szCs w:val="24"/>
              </w:rPr>
              <w:t>修复；</w:t>
            </w:r>
          </w:p>
          <w:p w14:paraId="1C718457">
            <w:pPr>
              <w:pStyle w:val="133"/>
              <w:spacing w:before="1" w:line="195" w:lineRule="auto"/>
              <w:ind w:left="20" w:right="57" w:firstLine="4"/>
              <w:rPr>
                <w:sz w:val="24"/>
                <w:szCs w:val="24"/>
              </w:rPr>
            </w:pPr>
            <w:r>
              <w:rPr>
                <w:spacing w:val="9"/>
                <w:sz w:val="24"/>
                <w:szCs w:val="24"/>
              </w:rPr>
              <w:t>4.连接管修复：采用</w:t>
            </w:r>
            <w:r>
              <w:rPr>
                <w:sz w:val="24"/>
                <w:szCs w:val="24"/>
              </w:rPr>
              <w:t>PVC</w:t>
            </w:r>
            <w:r>
              <w:rPr>
                <w:spacing w:val="9"/>
                <w:sz w:val="24"/>
                <w:szCs w:val="24"/>
              </w:rPr>
              <w:t>-</w:t>
            </w:r>
            <w:r>
              <w:rPr>
                <w:sz w:val="24"/>
                <w:szCs w:val="24"/>
              </w:rPr>
              <w:t xml:space="preserve"> </w:t>
            </w:r>
            <w:r>
              <w:rPr>
                <w:spacing w:val="9"/>
                <w:sz w:val="24"/>
                <w:szCs w:val="24"/>
              </w:rPr>
              <w:t>U管或</w:t>
            </w:r>
            <w:r>
              <w:rPr>
                <w:sz w:val="24"/>
                <w:szCs w:val="24"/>
              </w:rPr>
              <w:t>HDPE</w:t>
            </w:r>
            <w:r>
              <w:rPr>
                <w:spacing w:val="9"/>
                <w:sz w:val="24"/>
                <w:szCs w:val="24"/>
              </w:rPr>
              <w:t>管，管径≥300</w:t>
            </w:r>
            <w:r>
              <w:rPr>
                <w:spacing w:val="4"/>
                <w:sz w:val="24"/>
                <w:szCs w:val="24"/>
              </w:rPr>
              <w:t xml:space="preserve"> </w:t>
            </w:r>
            <w:r>
              <w:rPr>
                <w:sz w:val="24"/>
                <w:szCs w:val="24"/>
              </w:rPr>
              <w:t>mm</w:t>
            </w:r>
            <w:r>
              <w:rPr>
                <w:spacing w:val="7"/>
                <w:sz w:val="24"/>
                <w:szCs w:val="24"/>
              </w:rPr>
              <w:t>，坡度≥0.003；</w:t>
            </w:r>
          </w:p>
          <w:p w14:paraId="415FB531">
            <w:pPr>
              <w:pStyle w:val="133"/>
              <w:spacing w:before="2" w:line="207" w:lineRule="auto"/>
              <w:ind w:left="24" w:leftChars="0" w:right="57" w:rightChars="0" w:firstLine="4" w:firstLineChars="0"/>
              <w:rPr>
                <w:rFonts w:ascii="宋体" w:hAnsi="宋体" w:eastAsia="宋体" w:cs="宋体"/>
                <w:snapToGrid w:val="0"/>
                <w:color w:val="000000"/>
                <w:kern w:val="0"/>
                <w:sz w:val="24"/>
                <w:szCs w:val="24"/>
                <w:lang w:val="en-US" w:eastAsia="en-US" w:bidi="ar-SA"/>
              </w:rPr>
            </w:pPr>
            <w:r>
              <w:rPr>
                <w:spacing w:val="8"/>
                <w:sz w:val="24"/>
                <w:szCs w:val="24"/>
              </w:rPr>
              <w:t>5.整体试验：进行闭水试</w:t>
            </w:r>
            <w:r>
              <w:rPr>
                <w:spacing w:val="6"/>
                <w:sz w:val="24"/>
                <w:szCs w:val="24"/>
              </w:rPr>
              <w:t>验，渗水量≤0.002L/(s</w:t>
            </w:r>
            <w:r>
              <w:rPr>
                <w:spacing w:val="2"/>
                <w:sz w:val="24"/>
                <w:szCs w:val="24"/>
              </w:rPr>
              <w:t xml:space="preserve"> </w:t>
            </w:r>
            <w:r>
              <w:rPr>
                <w:spacing w:val="-15"/>
                <w:sz w:val="24"/>
                <w:szCs w:val="24"/>
              </w:rPr>
              <w:t>·</w:t>
            </w:r>
            <w:r>
              <w:rPr>
                <w:spacing w:val="-13"/>
                <w:sz w:val="24"/>
                <w:szCs w:val="24"/>
              </w:rPr>
              <w:t xml:space="preserve"> </w:t>
            </w:r>
            <w:r>
              <w:rPr>
                <w:spacing w:val="-15"/>
                <w:sz w:val="24"/>
                <w:szCs w:val="24"/>
              </w:rPr>
              <w:t>m)；</w:t>
            </w:r>
          </w:p>
        </w:tc>
        <w:tc>
          <w:tcPr>
            <w:tcW w:w="610" w:type="pct"/>
            <w:shd w:val="clear" w:color="auto" w:fill="auto"/>
            <w:vAlign w:val="top"/>
          </w:tcPr>
          <w:p w14:paraId="173DE3A9">
            <w:pPr>
              <w:spacing w:line="243" w:lineRule="auto"/>
              <w:rPr>
                <w:rFonts w:ascii="Arial"/>
                <w:sz w:val="24"/>
                <w:szCs w:val="24"/>
              </w:rPr>
            </w:pPr>
          </w:p>
          <w:p w14:paraId="1D8524BC">
            <w:pPr>
              <w:spacing w:line="243" w:lineRule="auto"/>
              <w:rPr>
                <w:rFonts w:ascii="Arial"/>
                <w:sz w:val="24"/>
                <w:szCs w:val="24"/>
              </w:rPr>
            </w:pPr>
          </w:p>
          <w:p w14:paraId="7B602D07">
            <w:pPr>
              <w:spacing w:line="243" w:lineRule="auto"/>
              <w:rPr>
                <w:rFonts w:ascii="Arial"/>
                <w:sz w:val="24"/>
                <w:szCs w:val="24"/>
              </w:rPr>
            </w:pPr>
          </w:p>
          <w:p w14:paraId="3D82571B">
            <w:pPr>
              <w:spacing w:line="243" w:lineRule="auto"/>
              <w:rPr>
                <w:rFonts w:ascii="Arial"/>
                <w:sz w:val="24"/>
                <w:szCs w:val="24"/>
              </w:rPr>
            </w:pPr>
          </w:p>
          <w:p w14:paraId="40F76F46">
            <w:pPr>
              <w:spacing w:line="243" w:lineRule="auto"/>
              <w:rPr>
                <w:rFonts w:ascii="Arial"/>
                <w:sz w:val="24"/>
                <w:szCs w:val="24"/>
              </w:rPr>
            </w:pPr>
          </w:p>
          <w:p w14:paraId="454F56E6">
            <w:pPr>
              <w:spacing w:line="243" w:lineRule="auto"/>
              <w:rPr>
                <w:rFonts w:ascii="Arial"/>
                <w:sz w:val="24"/>
                <w:szCs w:val="24"/>
              </w:rPr>
            </w:pPr>
          </w:p>
          <w:p w14:paraId="01092B02">
            <w:pPr>
              <w:pStyle w:val="133"/>
              <w:spacing w:before="55" w:line="232"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座</w:t>
            </w:r>
          </w:p>
        </w:tc>
        <w:tc>
          <w:tcPr>
            <w:tcW w:w="681" w:type="pct"/>
            <w:shd w:val="clear" w:color="auto" w:fill="auto"/>
            <w:vAlign w:val="top"/>
          </w:tcPr>
          <w:p w14:paraId="62DB6D5B">
            <w:pPr>
              <w:spacing w:line="242" w:lineRule="auto"/>
              <w:rPr>
                <w:rFonts w:ascii="Arial"/>
                <w:sz w:val="24"/>
                <w:szCs w:val="24"/>
              </w:rPr>
            </w:pPr>
          </w:p>
          <w:p w14:paraId="4C7F17FE">
            <w:pPr>
              <w:spacing w:line="243" w:lineRule="auto"/>
              <w:rPr>
                <w:rFonts w:ascii="Arial"/>
                <w:sz w:val="24"/>
                <w:szCs w:val="24"/>
              </w:rPr>
            </w:pPr>
          </w:p>
          <w:p w14:paraId="35C4BB6F">
            <w:pPr>
              <w:spacing w:line="243" w:lineRule="auto"/>
              <w:rPr>
                <w:rFonts w:ascii="Arial"/>
                <w:sz w:val="24"/>
                <w:szCs w:val="24"/>
              </w:rPr>
            </w:pPr>
          </w:p>
          <w:p w14:paraId="59305694">
            <w:pPr>
              <w:spacing w:line="243" w:lineRule="auto"/>
              <w:rPr>
                <w:rFonts w:ascii="Arial"/>
                <w:sz w:val="24"/>
                <w:szCs w:val="24"/>
              </w:rPr>
            </w:pPr>
          </w:p>
          <w:p w14:paraId="726CD827">
            <w:pPr>
              <w:spacing w:line="243" w:lineRule="auto"/>
              <w:rPr>
                <w:rFonts w:ascii="Arial"/>
                <w:sz w:val="24"/>
                <w:szCs w:val="24"/>
              </w:rPr>
            </w:pPr>
          </w:p>
          <w:p w14:paraId="76A97C48">
            <w:pPr>
              <w:spacing w:line="243" w:lineRule="auto"/>
              <w:rPr>
                <w:rFonts w:ascii="Arial"/>
                <w:sz w:val="24"/>
                <w:szCs w:val="24"/>
              </w:rPr>
            </w:pPr>
          </w:p>
          <w:p w14:paraId="5B3878C9">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2BF836FC">
            <w:pPr>
              <w:pStyle w:val="133"/>
              <w:spacing w:before="56" w:line="232" w:lineRule="exact"/>
              <w:ind w:left="372"/>
              <w:rPr>
                <w:sz w:val="24"/>
                <w:szCs w:val="24"/>
              </w:rPr>
            </w:pPr>
          </w:p>
          <w:p w14:paraId="0FAA6E66">
            <w:pPr>
              <w:pStyle w:val="133"/>
              <w:spacing w:before="56" w:line="232" w:lineRule="exact"/>
              <w:ind w:left="372"/>
              <w:rPr>
                <w:sz w:val="24"/>
                <w:szCs w:val="24"/>
              </w:rPr>
            </w:pPr>
          </w:p>
          <w:p w14:paraId="4179FCE9">
            <w:pPr>
              <w:pStyle w:val="133"/>
              <w:spacing w:before="56" w:line="232" w:lineRule="exact"/>
              <w:ind w:left="372"/>
              <w:rPr>
                <w:sz w:val="24"/>
                <w:szCs w:val="24"/>
              </w:rPr>
            </w:pPr>
          </w:p>
          <w:p w14:paraId="35982D93">
            <w:pPr>
              <w:pStyle w:val="133"/>
              <w:spacing w:before="56" w:line="232" w:lineRule="exact"/>
              <w:ind w:left="372"/>
              <w:rPr>
                <w:sz w:val="24"/>
                <w:szCs w:val="24"/>
              </w:rPr>
            </w:pPr>
          </w:p>
          <w:p w14:paraId="56BC2EF7">
            <w:pPr>
              <w:pStyle w:val="133"/>
              <w:spacing w:before="56" w:line="232" w:lineRule="exact"/>
              <w:ind w:left="372"/>
              <w:rPr>
                <w:sz w:val="24"/>
                <w:szCs w:val="24"/>
              </w:rPr>
            </w:pPr>
          </w:p>
          <w:p w14:paraId="6DF3AA44">
            <w:pPr>
              <w:pStyle w:val="133"/>
              <w:spacing w:before="56" w:line="232" w:lineRule="exact"/>
              <w:ind w:left="372"/>
              <w:rPr>
                <w:sz w:val="24"/>
                <w:szCs w:val="24"/>
              </w:rPr>
            </w:pPr>
          </w:p>
          <w:p w14:paraId="510FBC0F">
            <w:pPr>
              <w:pStyle w:val="133"/>
              <w:spacing w:before="56" w:line="232" w:lineRule="exact"/>
              <w:ind w:left="372"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220</w:t>
            </w:r>
          </w:p>
        </w:tc>
      </w:tr>
      <w:tr w14:paraId="64E65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EB76278">
            <w:pPr>
              <w:spacing w:line="370" w:lineRule="auto"/>
              <w:rPr>
                <w:rFonts w:ascii="Arial"/>
                <w:sz w:val="24"/>
                <w:szCs w:val="24"/>
              </w:rPr>
            </w:pPr>
          </w:p>
          <w:p w14:paraId="6D0BC7A5">
            <w:pPr>
              <w:pStyle w:val="133"/>
              <w:spacing w:before="56" w:line="230"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18</w:t>
            </w:r>
          </w:p>
        </w:tc>
        <w:tc>
          <w:tcPr>
            <w:tcW w:w="645" w:type="pct"/>
            <w:shd w:val="clear" w:color="auto" w:fill="auto"/>
            <w:vAlign w:val="top"/>
          </w:tcPr>
          <w:p w14:paraId="77E69145">
            <w:pPr>
              <w:spacing w:line="370" w:lineRule="auto"/>
              <w:rPr>
                <w:rFonts w:ascii="Arial"/>
                <w:sz w:val="24"/>
                <w:szCs w:val="24"/>
              </w:rPr>
            </w:pPr>
          </w:p>
          <w:p w14:paraId="7D28119E">
            <w:pPr>
              <w:pStyle w:val="133"/>
              <w:spacing w:before="56" w:line="230"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040501001001</w:t>
            </w:r>
          </w:p>
        </w:tc>
        <w:tc>
          <w:tcPr>
            <w:tcW w:w="759" w:type="pct"/>
            <w:shd w:val="clear" w:color="auto" w:fill="auto"/>
            <w:vAlign w:val="top"/>
          </w:tcPr>
          <w:p w14:paraId="605BB17A">
            <w:pPr>
              <w:spacing w:line="281" w:lineRule="auto"/>
              <w:rPr>
                <w:rFonts w:ascii="Arial"/>
                <w:sz w:val="24"/>
                <w:szCs w:val="24"/>
              </w:rPr>
            </w:pPr>
          </w:p>
          <w:p w14:paraId="6A958EBE">
            <w:pPr>
              <w:pStyle w:val="133"/>
              <w:spacing w:before="55" w:line="213" w:lineRule="auto"/>
              <w:ind w:left="22" w:leftChars="0" w:right="61" w:rightChars="0" w:firstLine="5" w:firstLineChars="0"/>
              <w:rPr>
                <w:rFonts w:ascii="宋体" w:hAnsi="宋体" w:eastAsia="宋体" w:cs="宋体"/>
                <w:snapToGrid w:val="0"/>
                <w:color w:val="000000"/>
                <w:kern w:val="0"/>
                <w:sz w:val="24"/>
                <w:szCs w:val="24"/>
                <w:lang w:val="en-US" w:eastAsia="en-US" w:bidi="ar-SA"/>
              </w:rPr>
            </w:pPr>
            <w:r>
              <w:rPr>
                <w:spacing w:val="8"/>
                <w:sz w:val="24"/>
                <w:szCs w:val="24"/>
              </w:rPr>
              <w:t>市政雨污水管道破损修复</w:t>
            </w:r>
          </w:p>
        </w:tc>
        <w:tc>
          <w:tcPr>
            <w:tcW w:w="1173" w:type="pct"/>
            <w:shd w:val="clear" w:color="auto" w:fill="auto"/>
            <w:vAlign w:val="top"/>
          </w:tcPr>
          <w:p w14:paraId="6AFE0E25">
            <w:pPr>
              <w:pStyle w:val="133"/>
              <w:spacing w:before="249" w:line="195" w:lineRule="auto"/>
              <w:ind w:left="26" w:right="57" w:firstLine="11"/>
              <w:rPr>
                <w:sz w:val="24"/>
                <w:szCs w:val="24"/>
              </w:rPr>
            </w:pPr>
            <w:r>
              <w:rPr>
                <w:spacing w:val="7"/>
                <w:sz w:val="24"/>
                <w:szCs w:val="24"/>
              </w:rPr>
              <w:t>1.修复方式：根据破损情</w:t>
            </w:r>
            <w:r>
              <w:rPr>
                <w:spacing w:val="2"/>
                <w:sz w:val="24"/>
                <w:szCs w:val="24"/>
              </w:rPr>
              <w:t>况采用开挖修复；</w:t>
            </w:r>
          </w:p>
          <w:p w14:paraId="7EAEF4B4">
            <w:pPr>
              <w:pStyle w:val="133"/>
              <w:spacing w:before="55" w:line="195" w:lineRule="auto"/>
              <w:ind w:left="24" w:right="147"/>
              <w:jc w:val="both"/>
              <w:rPr>
                <w:sz w:val="24"/>
                <w:szCs w:val="24"/>
              </w:rPr>
            </w:pPr>
            <w:r>
              <w:rPr>
                <w:spacing w:val="9"/>
                <w:sz w:val="24"/>
                <w:szCs w:val="24"/>
              </w:rPr>
              <w:t>2.开挖修复：采用</w:t>
            </w:r>
            <w:r>
              <w:rPr>
                <w:sz w:val="24"/>
                <w:szCs w:val="24"/>
              </w:rPr>
              <w:t>HDPE</w:t>
            </w:r>
            <w:r>
              <w:rPr>
                <w:spacing w:val="9"/>
                <w:sz w:val="24"/>
                <w:szCs w:val="24"/>
              </w:rPr>
              <w:t>双</w:t>
            </w:r>
            <w:r>
              <w:rPr>
                <w:spacing w:val="7"/>
                <w:sz w:val="24"/>
                <w:szCs w:val="24"/>
              </w:rPr>
              <w:t>壁波纹管（</w:t>
            </w:r>
            <w:r>
              <w:rPr>
                <w:sz w:val="24"/>
                <w:szCs w:val="24"/>
              </w:rPr>
              <w:t>DN</w:t>
            </w:r>
            <w:r>
              <w:rPr>
                <w:spacing w:val="7"/>
                <w:sz w:val="24"/>
                <w:szCs w:val="24"/>
              </w:rPr>
              <w:t>400-</w:t>
            </w:r>
            <w:r>
              <w:rPr>
                <w:sz w:val="24"/>
                <w:szCs w:val="24"/>
              </w:rPr>
              <w:t>DN</w:t>
            </w:r>
            <w:r>
              <w:rPr>
                <w:spacing w:val="7"/>
                <w:sz w:val="24"/>
                <w:szCs w:val="24"/>
              </w:rPr>
              <w:t>500</w:t>
            </w:r>
            <w:r>
              <w:rPr>
                <w:spacing w:val="9"/>
                <w:sz w:val="24"/>
                <w:szCs w:val="24"/>
              </w:rPr>
              <w:t xml:space="preserve"> </w:t>
            </w:r>
            <w:r>
              <w:rPr>
                <w:spacing w:val="23"/>
                <w:sz w:val="24"/>
                <w:szCs w:val="24"/>
              </w:rPr>
              <w:t>),环刚度≥</w:t>
            </w:r>
            <w:r>
              <w:rPr>
                <w:sz w:val="24"/>
                <w:szCs w:val="24"/>
              </w:rPr>
              <w:t>SN</w:t>
            </w:r>
            <w:r>
              <w:rPr>
                <w:spacing w:val="23"/>
                <w:sz w:val="24"/>
                <w:szCs w:val="24"/>
              </w:rPr>
              <w:t>8，接口</w:t>
            </w:r>
            <w:r>
              <w:rPr>
                <w:spacing w:val="2"/>
                <w:sz w:val="24"/>
                <w:szCs w:val="24"/>
              </w:rPr>
              <w:t>采用热熔连接；</w:t>
            </w:r>
          </w:p>
          <w:p w14:paraId="3E1A90B4">
            <w:pPr>
              <w:pStyle w:val="133"/>
              <w:spacing w:line="195" w:lineRule="auto"/>
              <w:ind w:left="20" w:right="147" w:firstLine="8"/>
              <w:rPr>
                <w:sz w:val="24"/>
                <w:szCs w:val="24"/>
              </w:rPr>
            </w:pPr>
            <w:r>
              <w:rPr>
                <w:spacing w:val="7"/>
                <w:sz w:val="24"/>
                <w:szCs w:val="24"/>
              </w:rPr>
              <w:t>3.基础：砂垫层厚度100</w:t>
            </w:r>
            <w:r>
              <w:rPr>
                <w:sz w:val="24"/>
                <w:szCs w:val="24"/>
              </w:rPr>
              <w:t xml:space="preserve"> mm</w:t>
            </w:r>
            <w:r>
              <w:rPr>
                <w:spacing w:val="7"/>
                <w:sz w:val="24"/>
                <w:szCs w:val="24"/>
              </w:rPr>
              <w:t>，压实度≥95%；</w:t>
            </w:r>
          </w:p>
          <w:p w14:paraId="1ACCD6BF">
            <w:pPr>
              <w:pStyle w:val="133"/>
              <w:spacing w:line="229" w:lineRule="auto"/>
              <w:ind w:left="27" w:leftChars="0"/>
              <w:rPr>
                <w:rFonts w:ascii="宋体" w:hAnsi="宋体" w:eastAsia="宋体" w:cs="宋体"/>
                <w:snapToGrid w:val="0"/>
                <w:color w:val="000000"/>
                <w:kern w:val="0"/>
                <w:sz w:val="24"/>
                <w:szCs w:val="24"/>
                <w:lang w:val="en-US" w:eastAsia="en-US" w:bidi="ar-SA"/>
              </w:rPr>
            </w:pPr>
            <w:r>
              <w:rPr>
                <w:spacing w:val="7"/>
                <w:sz w:val="24"/>
                <w:szCs w:val="24"/>
              </w:rPr>
              <w:t>4.闭水试验：渗水量≤0.</w:t>
            </w:r>
            <w:r>
              <w:rPr>
                <w:spacing w:val="8"/>
                <w:sz w:val="24"/>
                <w:szCs w:val="24"/>
              </w:rPr>
              <w:t xml:space="preserve"> </w:t>
            </w:r>
            <w:r>
              <w:rPr>
                <w:spacing w:val="-9"/>
                <w:sz w:val="24"/>
                <w:szCs w:val="24"/>
              </w:rPr>
              <w:t>002L/(s</w:t>
            </w:r>
            <w:r>
              <w:rPr>
                <w:spacing w:val="-14"/>
                <w:sz w:val="24"/>
                <w:szCs w:val="24"/>
              </w:rPr>
              <w:t xml:space="preserve"> </w:t>
            </w:r>
            <w:r>
              <w:rPr>
                <w:spacing w:val="-9"/>
                <w:sz w:val="24"/>
                <w:szCs w:val="24"/>
              </w:rPr>
              <w:t>·</w:t>
            </w:r>
            <w:r>
              <w:rPr>
                <w:spacing w:val="-14"/>
                <w:sz w:val="24"/>
                <w:szCs w:val="24"/>
              </w:rPr>
              <w:t xml:space="preserve"> </w:t>
            </w:r>
            <w:r>
              <w:rPr>
                <w:spacing w:val="-9"/>
                <w:sz w:val="24"/>
                <w:szCs w:val="24"/>
              </w:rPr>
              <w:t>m)；</w:t>
            </w:r>
          </w:p>
        </w:tc>
        <w:tc>
          <w:tcPr>
            <w:tcW w:w="610" w:type="pct"/>
            <w:shd w:val="clear" w:color="auto" w:fill="auto"/>
            <w:vAlign w:val="top"/>
          </w:tcPr>
          <w:p w14:paraId="72AF8F9D">
            <w:pPr>
              <w:spacing w:line="370" w:lineRule="auto"/>
              <w:rPr>
                <w:rFonts w:ascii="Arial"/>
                <w:sz w:val="24"/>
                <w:szCs w:val="24"/>
              </w:rPr>
            </w:pPr>
          </w:p>
          <w:p w14:paraId="328696F8">
            <w:pPr>
              <w:pStyle w:val="133"/>
              <w:spacing w:before="56"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20020778">
            <w:pPr>
              <w:spacing w:line="370" w:lineRule="auto"/>
              <w:rPr>
                <w:rFonts w:ascii="Arial"/>
                <w:sz w:val="24"/>
                <w:szCs w:val="24"/>
              </w:rPr>
            </w:pPr>
          </w:p>
          <w:p w14:paraId="08952B1B">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27FB0F17">
            <w:pPr>
              <w:pStyle w:val="133"/>
              <w:spacing w:before="56" w:line="232" w:lineRule="exact"/>
              <w:ind w:left="372"/>
              <w:rPr>
                <w:sz w:val="24"/>
                <w:szCs w:val="24"/>
              </w:rPr>
            </w:pPr>
          </w:p>
          <w:p w14:paraId="5CA9E38F">
            <w:pPr>
              <w:pStyle w:val="133"/>
              <w:spacing w:before="56" w:line="232" w:lineRule="exact"/>
              <w:ind w:left="372"/>
              <w:rPr>
                <w:sz w:val="24"/>
                <w:szCs w:val="24"/>
              </w:rPr>
            </w:pPr>
          </w:p>
          <w:p w14:paraId="79E256E3">
            <w:pPr>
              <w:pStyle w:val="133"/>
              <w:spacing w:before="56" w:line="232" w:lineRule="exact"/>
              <w:ind w:left="372"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310</w:t>
            </w:r>
          </w:p>
        </w:tc>
      </w:tr>
      <w:tr w14:paraId="010C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20D3C974">
            <w:pPr>
              <w:spacing w:line="265" w:lineRule="auto"/>
              <w:rPr>
                <w:rFonts w:ascii="Arial"/>
                <w:sz w:val="24"/>
                <w:szCs w:val="24"/>
              </w:rPr>
            </w:pPr>
          </w:p>
          <w:p w14:paraId="0AF4F933">
            <w:pPr>
              <w:spacing w:line="265" w:lineRule="auto"/>
              <w:rPr>
                <w:rFonts w:ascii="Arial"/>
                <w:sz w:val="24"/>
                <w:szCs w:val="24"/>
              </w:rPr>
            </w:pPr>
          </w:p>
          <w:p w14:paraId="78C897F0">
            <w:pPr>
              <w:spacing w:line="266" w:lineRule="auto"/>
              <w:rPr>
                <w:rFonts w:ascii="Arial"/>
                <w:sz w:val="24"/>
                <w:szCs w:val="24"/>
              </w:rPr>
            </w:pPr>
          </w:p>
          <w:p w14:paraId="5406661C">
            <w:pPr>
              <w:spacing w:line="266" w:lineRule="auto"/>
              <w:rPr>
                <w:rFonts w:ascii="Arial"/>
                <w:sz w:val="24"/>
                <w:szCs w:val="24"/>
              </w:rPr>
            </w:pPr>
          </w:p>
          <w:p w14:paraId="16481945">
            <w:pPr>
              <w:spacing w:line="266" w:lineRule="auto"/>
              <w:rPr>
                <w:rFonts w:ascii="Arial"/>
                <w:sz w:val="24"/>
                <w:szCs w:val="24"/>
              </w:rPr>
            </w:pPr>
          </w:p>
          <w:p w14:paraId="58B799E8">
            <w:pPr>
              <w:spacing w:line="266" w:lineRule="auto"/>
              <w:rPr>
                <w:rFonts w:ascii="Arial"/>
                <w:sz w:val="24"/>
                <w:szCs w:val="24"/>
              </w:rPr>
            </w:pPr>
          </w:p>
          <w:p w14:paraId="18CA17DF">
            <w:pPr>
              <w:spacing w:line="266" w:lineRule="auto"/>
              <w:rPr>
                <w:rFonts w:ascii="Arial"/>
                <w:sz w:val="24"/>
                <w:szCs w:val="24"/>
              </w:rPr>
            </w:pPr>
          </w:p>
          <w:p w14:paraId="795B50A6">
            <w:pPr>
              <w:spacing w:line="266" w:lineRule="auto"/>
              <w:rPr>
                <w:rFonts w:ascii="Arial"/>
                <w:sz w:val="24"/>
                <w:szCs w:val="24"/>
              </w:rPr>
            </w:pPr>
          </w:p>
          <w:p w14:paraId="72E56B54">
            <w:pPr>
              <w:pStyle w:val="133"/>
              <w:spacing w:before="55" w:line="231" w:lineRule="exact"/>
              <w:ind w:left="294" w:leftChars="0"/>
              <w:rPr>
                <w:rFonts w:ascii="宋体" w:hAnsi="宋体" w:eastAsia="宋体" w:cs="宋体"/>
                <w:snapToGrid w:val="0"/>
                <w:color w:val="000000"/>
                <w:kern w:val="0"/>
                <w:sz w:val="24"/>
                <w:szCs w:val="24"/>
                <w:lang w:val="en-US" w:eastAsia="en-US" w:bidi="ar-SA"/>
              </w:rPr>
            </w:pPr>
            <w:r>
              <w:rPr>
                <w:spacing w:val="-3"/>
                <w:position w:val="1"/>
                <w:sz w:val="24"/>
                <w:szCs w:val="24"/>
              </w:rPr>
              <w:t>19</w:t>
            </w:r>
          </w:p>
        </w:tc>
        <w:tc>
          <w:tcPr>
            <w:tcW w:w="645" w:type="pct"/>
            <w:shd w:val="clear" w:color="auto" w:fill="auto"/>
            <w:vAlign w:val="top"/>
          </w:tcPr>
          <w:p w14:paraId="0FECB1E1">
            <w:pPr>
              <w:spacing w:line="269" w:lineRule="auto"/>
              <w:rPr>
                <w:rFonts w:ascii="Arial"/>
                <w:sz w:val="24"/>
                <w:szCs w:val="24"/>
              </w:rPr>
            </w:pPr>
          </w:p>
          <w:p w14:paraId="16EE833D">
            <w:pPr>
              <w:spacing w:line="269" w:lineRule="auto"/>
              <w:rPr>
                <w:rFonts w:ascii="Arial"/>
                <w:sz w:val="24"/>
                <w:szCs w:val="24"/>
              </w:rPr>
            </w:pPr>
          </w:p>
          <w:p w14:paraId="062101B7">
            <w:pPr>
              <w:spacing w:line="269" w:lineRule="auto"/>
              <w:rPr>
                <w:rFonts w:ascii="Arial"/>
                <w:sz w:val="24"/>
                <w:szCs w:val="24"/>
              </w:rPr>
            </w:pPr>
          </w:p>
          <w:p w14:paraId="3E77A6F4">
            <w:pPr>
              <w:spacing w:line="269" w:lineRule="auto"/>
              <w:rPr>
                <w:rFonts w:ascii="Arial"/>
                <w:sz w:val="24"/>
                <w:szCs w:val="24"/>
              </w:rPr>
            </w:pPr>
          </w:p>
          <w:p w14:paraId="4D35C8BF">
            <w:pPr>
              <w:spacing w:line="270" w:lineRule="auto"/>
              <w:rPr>
                <w:rFonts w:ascii="Arial"/>
                <w:sz w:val="24"/>
                <w:szCs w:val="24"/>
              </w:rPr>
            </w:pPr>
          </w:p>
          <w:p w14:paraId="5C381905">
            <w:pPr>
              <w:spacing w:line="270" w:lineRule="auto"/>
              <w:rPr>
                <w:rFonts w:ascii="Arial"/>
                <w:sz w:val="24"/>
                <w:szCs w:val="24"/>
              </w:rPr>
            </w:pPr>
          </w:p>
          <w:p w14:paraId="201D0E99">
            <w:pPr>
              <w:spacing w:line="270" w:lineRule="auto"/>
              <w:rPr>
                <w:rFonts w:ascii="Arial"/>
                <w:sz w:val="24"/>
                <w:szCs w:val="24"/>
              </w:rPr>
            </w:pPr>
          </w:p>
          <w:p w14:paraId="47306DB0">
            <w:pPr>
              <w:spacing w:line="270" w:lineRule="auto"/>
              <w:rPr>
                <w:rFonts w:ascii="Arial"/>
                <w:sz w:val="24"/>
                <w:szCs w:val="24"/>
              </w:rPr>
            </w:pPr>
          </w:p>
          <w:p w14:paraId="52719482">
            <w:pPr>
              <w:pStyle w:val="133"/>
              <w:spacing w:before="55" w:line="189" w:lineRule="auto"/>
              <w:ind w:left="14" w:leftChars="0"/>
              <w:rPr>
                <w:rFonts w:ascii="宋体" w:hAnsi="宋体" w:eastAsia="宋体" w:cs="宋体"/>
                <w:snapToGrid w:val="0"/>
                <w:color w:val="000000"/>
                <w:kern w:val="0"/>
                <w:sz w:val="24"/>
                <w:szCs w:val="24"/>
                <w:lang w:val="en-US" w:eastAsia="en-US" w:bidi="ar-SA"/>
              </w:rPr>
            </w:pPr>
            <w:r>
              <w:rPr>
                <w:spacing w:val="3"/>
                <w:sz w:val="24"/>
                <w:szCs w:val="24"/>
              </w:rPr>
              <w:t>04B001</w:t>
            </w:r>
          </w:p>
        </w:tc>
        <w:tc>
          <w:tcPr>
            <w:tcW w:w="759" w:type="pct"/>
            <w:shd w:val="clear" w:color="auto" w:fill="auto"/>
            <w:vAlign w:val="top"/>
          </w:tcPr>
          <w:p w14:paraId="2F4EE939">
            <w:pPr>
              <w:spacing w:line="254" w:lineRule="auto"/>
              <w:rPr>
                <w:rFonts w:ascii="Arial"/>
                <w:sz w:val="24"/>
                <w:szCs w:val="24"/>
              </w:rPr>
            </w:pPr>
          </w:p>
          <w:p w14:paraId="0B366E27">
            <w:pPr>
              <w:spacing w:line="254" w:lineRule="auto"/>
              <w:rPr>
                <w:rFonts w:ascii="Arial"/>
                <w:sz w:val="24"/>
                <w:szCs w:val="24"/>
              </w:rPr>
            </w:pPr>
          </w:p>
          <w:p w14:paraId="5DCAF4CE">
            <w:pPr>
              <w:spacing w:line="254" w:lineRule="auto"/>
              <w:rPr>
                <w:rFonts w:ascii="Arial"/>
                <w:sz w:val="24"/>
                <w:szCs w:val="24"/>
              </w:rPr>
            </w:pPr>
          </w:p>
          <w:p w14:paraId="7C549437">
            <w:pPr>
              <w:spacing w:line="254" w:lineRule="auto"/>
              <w:rPr>
                <w:rFonts w:ascii="Arial"/>
                <w:sz w:val="24"/>
                <w:szCs w:val="24"/>
              </w:rPr>
            </w:pPr>
          </w:p>
          <w:p w14:paraId="563C4D65">
            <w:pPr>
              <w:spacing w:line="255" w:lineRule="auto"/>
              <w:rPr>
                <w:rFonts w:ascii="Arial"/>
                <w:sz w:val="24"/>
                <w:szCs w:val="24"/>
              </w:rPr>
            </w:pPr>
          </w:p>
          <w:p w14:paraId="062A8A8D">
            <w:pPr>
              <w:spacing w:line="255" w:lineRule="auto"/>
              <w:rPr>
                <w:rFonts w:ascii="Arial"/>
                <w:sz w:val="24"/>
                <w:szCs w:val="24"/>
              </w:rPr>
            </w:pPr>
          </w:p>
          <w:p w14:paraId="679B6450">
            <w:pPr>
              <w:spacing w:line="255" w:lineRule="auto"/>
              <w:rPr>
                <w:rFonts w:ascii="Arial"/>
                <w:sz w:val="24"/>
                <w:szCs w:val="24"/>
              </w:rPr>
            </w:pPr>
          </w:p>
          <w:p w14:paraId="449267FB">
            <w:pPr>
              <w:spacing w:line="255" w:lineRule="auto"/>
              <w:rPr>
                <w:rFonts w:ascii="Arial"/>
                <w:sz w:val="24"/>
                <w:szCs w:val="24"/>
              </w:rPr>
            </w:pPr>
          </w:p>
          <w:p w14:paraId="4F447767">
            <w:pPr>
              <w:pStyle w:val="133"/>
              <w:spacing w:before="55" w:line="213" w:lineRule="auto"/>
              <w:ind w:left="23" w:leftChars="0" w:right="151" w:rightChars="0" w:hanging="4" w:firstLineChars="0"/>
              <w:rPr>
                <w:rFonts w:ascii="宋体" w:hAnsi="宋体" w:eastAsia="宋体" w:cs="宋体"/>
                <w:snapToGrid w:val="0"/>
                <w:color w:val="000000"/>
                <w:kern w:val="0"/>
                <w:sz w:val="24"/>
                <w:szCs w:val="24"/>
                <w:lang w:val="en-US" w:eastAsia="en-US" w:bidi="ar-SA"/>
              </w:rPr>
            </w:pPr>
            <w:r>
              <w:rPr>
                <w:sz w:val="24"/>
                <w:szCs w:val="24"/>
              </w:rPr>
              <w:t>DN</w:t>
            </w:r>
            <w:r>
              <w:rPr>
                <w:spacing w:val="11"/>
                <w:sz w:val="24"/>
                <w:szCs w:val="24"/>
              </w:rPr>
              <w:t>400</w:t>
            </w:r>
            <w:r>
              <w:rPr>
                <w:sz w:val="24"/>
                <w:szCs w:val="24"/>
              </w:rPr>
              <w:t>FIPP</w:t>
            </w:r>
            <w:r>
              <w:rPr>
                <w:spacing w:val="11"/>
                <w:sz w:val="24"/>
                <w:szCs w:val="24"/>
              </w:rPr>
              <w:t>热塑</w:t>
            </w:r>
            <w:r>
              <w:rPr>
                <w:spacing w:val="8"/>
                <w:sz w:val="24"/>
                <w:szCs w:val="24"/>
              </w:rPr>
              <w:t>成型管道修复</w:t>
            </w:r>
          </w:p>
        </w:tc>
        <w:tc>
          <w:tcPr>
            <w:tcW w:w="1173" w:type="pct"/>
            <w:shd w:val="clear" w:color="auto" w:fill="auto"/>
            <w:vAlign w:val="top"/>
          </w:tcPr>
          <w:p w14:paraId="7D47E427">
            <w:pPr>
              <w:pStyle w:val="133"/>
              <w:spacing w:before="55" w:line="195" w:lineRule="auto"/>
              <w:ind w:right="57"/>
              <w:rPr>
                <w:sz w:val="24"/>
                <w:szCs w:val="24"/>
              </w:rPr>
            </w:pPr>
            <w:r>
              <w:rPr>
                <w:spacing w:val="7"/>
                <w:sz w:val="24"/>
                <w:szCs w:val="24"/>
              </w:rPr>
              <w:t>1.封堵气囊导排水（运距</w:t>
            </w:r>
            <w:r>
              <w:rPr>
                <w:spacing w:val="-5"/>
                <w:sz w:val="24"/>
                <w:szCs w:val="24"/>
              </w:rPr>
              <w:t>自行考虑</w:t>
            </w:r>
            <w:r>
              <w:rPr>
                <w:spacing w:val="-1"/>
                <w:sz w:val="24"/>
                <w:szCs w:val="24"/>
              </w:rPr>
              <w:t>）；</w:t>
            </w:r>
          </w:p>
          <w:p w14:paraId="024BC48E">
            <w:pPr>
              <w:pStyle w:val="133"/>
              <w:spacing w:before="2" w:line="195" w:lineRule="auto"/>
              <w:ind w:left="25" w:right="57" w:firstLine="2"/>
              <w:rPr>
                <w:sz w:val="24"/>
                <w:szCs w:val="24"/>
              </w:rPr>
            </w:pPr>
            <w:r>
              <w:rPr>
                <w:spacing w:val="7"/>
                <w:sz w:val="24"/>
                <w:szCs w:val="24"/>
              </w:rPr>
              <w:t>2.预处理</w:t>
            </w:r>
            <w:r>
              <w:rPr>
                <w:spacing w:val="13"/>
                <w:sz w:val="24"/>
                <w:szCs w:val="24"/>
              </w:rPr>
              <w:t>，（</w:t>
            </w:r>
            <w:r>
              <w:rPr>
                <w:spacing w:val="7"/>
                <w:sz w:val="24"/>
                <w:szCs w:val="24"/>
              </w:rPr>
              <w:t>高压水清洗</w:t>
            </w:r>
            <w:r>
              <w:rPr>
                <w:spacing w:val="9"/>
                <w:sz w:val="24"/>
                <w:szCs w:val="24"/>
              </w:rPr>
              <w:t>工法，高压清洗车在管道内的来回冲洗，将管道内的附着物完全清理，由人工将冲洗的污染物清理至路面并装袋运至指定的堆</w:t>
            </w:r>
            <w:r>
              <w:rPr>
                <w:sz w:val="24"/>
                <w:szCs w:val="24"/>
              </w:rPr>
              <w:t>放场）。</w:t>
            </w:r>
          </w:p>
          <w:p w14:paraId="0ADF0684">
            <w:pPr>
              <w:pStyle w:val="133"/>
              <w:spacing w:line="195" w:lineRule="auto"/>
              <w:ind w:left="39" w:right="57" w:hanging="11"/>
              <w:rPr>
                <w:sz w:val="24"/>
                <w:szCs w:val="24"/>
              </w:rPr>
            </w:pPr>
            <w:r>
              <w:rPr>
                <w:spacing w:val="9"/>
                <w:sz w:val="24"/>
                <w:szCs w:val="24"/>
              </w:rPr>
              <w:t>3.原位</w:t>
            </w:r>
            <w:r>
              <w:rPr>
                <w:sz w:val="24"/>
                <w:szCs w:val="24"/>
              </w:rPr>
              <w:t>FIPP</w:t>
            </w:r>
            <w:r>
              <w:rPr>
                <w:spacing w:val="9"/>
                <w:sz w:val="24"/>
                <w:szCs w:val="24"/>
              </w:rPr>
              <w:t>热塑成型施工</w:t>
            </w:r>
            <w:r>
              <w:rPr>
                <w:spacing w:val="5"/>
                <w:sz w:val="24"/>
                <w:szCs w:val="24"/>
              </w:rPr>
              <w:t xml:space="preserve"> </w:t>
            </w:r>
            <w:r>
              <w:rPr>
                <w:spacing w:val="6"/>
                <w:sz w:val="24"/>
                <w:szCs w:val="24"/>
              </w:rPr>
              <w:t>,品种</w:t>
            </w:r>
            <w:r>
              <w:rPr>
                <w:spacing w:val="-34"/>
                <w:sz w:val="24"/>
                <w:szCs w:val="24"/>
              </w:rPr>
              <w:t xml:space="preserve"> </w:t>
            </w:r>
            <w:r>
              <w:rPr>
                <w:spacing w:val="6"/>
                <w:sz w:val="24"/>
                <w:szCs w:val="24"/>
              </w:rPr>
              <w:t>:热塑成型衬管；</w:t>
            </w:r>
          </w:p>
          <w:p w14:paraId="38CB903F">
            <w:pPr>
              <w:pStyle w:val="133"/>
              <w:spacing w:line="195" w:lineRule="auto"/>
              <w:ind w:left="25" w:right="57" w:firstLine="1"/>
              <w:rPr>
                <w:sz w:val="24"/>
                <w:szCs w:val="24"/>
              </w:rPr>
            </w:pPr>
            <w:r>
              <w:rPr>
                <w:spacing w:val="8"/>
                <w:sz w:val="24"/>
                <w:szCs w:val="24"/>
              </w:rPr>
              <w:t>主要原材料应为高分子材</w:t>
            </w:r>
            <w:r>
              <w:rPr>
                <w:spacing w:val="10"/>
                <w:sz w:val="24"/>
                <w:szCs w:val="24"/>
              </w:rPr>
              <w:t>料聚氯乙烯（</w:t>
            </w:r>
            <w:r>
              <w:rPr>
                <w:sz w:val="24"/>
                <w:szCs w:val="24"/>
              </w:rPr>
              <w:t>PVC</w:t>
            </w:r>
            <w:r>
              <w:rPr>
                <w:spacing w:val="4"/>
                <w:sz w:val="24"/>
                <w:szCs w:val="24"/>
              </w:rPr>
              <w:t>），</w:t>
            </w:r>
            <w:r>
              <w:rPr>
                <w:spacing w:val="10"/>
                <w:sz w:val="24"/>
                <w:szCs w:val="24"/>
              </w:rPr>
              <w:t>和</w:t>
            </w:r>
            <w:r>
              <w:rPr>
                <w:spacing w:val="2"/>
                <w:sz w:val="24"/>
                <w:szCs w:val="24"/>
              </w:rPr>
              <w:t>若干小料混配；</w:t>
            </w:r>
          </w:p>
          <w:p w14:paraId="73CE81A0">
            <w:pPr>
              <w:pStyle w:val="133"/>
              <w:spacing w:line="195" w:lineRule="auto"/>
              <w:ind w:left="40" w:right="68" w:hanging="16"/>
              <w:rPr>
                <w:sz w:val="24"/>
                <w:szCs w:val="24"/>
              </w:rPr>
            </w:pPr>
            <w:r>
              <w:rPr>
                <w:spacing w:val="6"/>
                <w:sz w:val="24"/>
                <w:szCs w:val="24"/>
              </w:rPr>
              <w:t>4.管径规格:</w:t>
            </w:r>
            <w:r>
              <w:rPr>
                <w:sz w:val="24"/>
                <w:szCs w:val="24"/>
              </w:rPr>
              <w:t>DN</w:t>
            </w:r>
            <w:r>
              <w:rPr>
                <w:spacing w:val="6"/>
                <w:sz w:val="24"/>
                <w:szCs w:val="24"/>
              </w:rPr>
              <w:t>400，厚度</w:t>
            </w:r>
            <w:r>
              <w:rPr>
                <w:spacing w:val="10"/>
                <w:sz w:val="24"/>
                <w:szCs w:val="24"/>
              </w:rPr>
              <w:t xml:space="preserve"> </w:t>
            </w:r>
            <w:r>
              <w:rPr>
                <w:spacing w:val="2"/>
                <w:sz w:val="24"/>
                <w:szCs w:val="24"/>
              </w:rPr>
              <w:t>：7</w:t>
            </w:r>
            <w:r>
              <w:rPr>
                <w:sz w:val="24"/>
                <w:szCs w:val="24"/>
              </w:rPr>
              <w:t>mm</w:t>
            </w:r>
            <w:r>
              <w:rPr>
                <w:spacing w:val="2"/>
                <w:sz w:val="24"/>
                <w:szCs w:val="24"/>
              </w:rPr>
              <w:t>.</w:t>
            </w:r>
          </w:p>
          <w:p w14:paraId="594ABE6B">
            <w:pPr>
              <w:pStyle w:val="133"/>
              <w:spacing w:line="207" w:lineRule="auto"/>
              <w:ind w:left="25" w:leftChars="0" w:right="57" w:rightChars="0" w:firstLine="2" w:firstLineChars="0"/>
              <w:rPr>
                <w:rFonts w:ascii="宋体" w:hAnsi="宋体" w:eastAsia="宋体" w:cs="宋体"/>
                <w:snapToGrid w:val="0"/>
                <w:color w:val="000000"/>
                <w:kern w:val="0"/>
                <w:sz w:val="24"/>
                <w:szCs w:val="24"/>
                <w:lang w:val="en-US" w:eastAsia="en-US" w:bidi="ar-SA"/>
              </w:rPr>
            </w:pPr>
            <w:r>
              <w:rPr>
                <w:spacing w:val="8"/>
                <w:sz w:val="24"/>
                <w:szCs w:val="24"/>
              </w:rPr>
              <w:t>5.包含机器人修复前后检</w:t>
            </w:r>
            <w:r>
              <w:rPr>
                <w:spacing w:val="9"/>
                <w:sz w:val="24"/>
                <w:szCs w:val="24"/>
              </w:rPr>
              <w:t>测及视频资料，措施及清</w:t>
            </w:r>
            <w:r>
              <w:rPr>
                <w:spacing w:val="5"/>
                <w:sz w:val="24"/>
                <w:szCs w:val="24"/>
              </w:rPr>
              <w:t>理现场等所有工序。</w:t>
            </w:r>
          </w:p>
        </w:tc>
        <w:tc>
          <w:tcPr>
            <w:tcW w:w="610" w:type="pct"/>
            <w:shd w:val="clear" w:color="auto" w:fill="auto"/>
            <w:vAlign w:val="top"/>
          </w:tcPr>
          <w:p w14:paraId="29E15AC2">
            <w:pPr>
              <w:spacing w:line="265" w:lineRule="auto"/>
              <w:rPr>
                <w:rFonts w:ascii="Arial"/>
                <w:sz w:val="24"/>
                <w:szCs w:val="24"/>
              </w:rPr>
            </w:pPr>
          </w:p>
          <w:p w14:paraId="79BB9DD7">
            <w:pPr>
              <w:spacing w:line="265" w:lineRule="auto"/>
              <w:rPr>
                <w:rFonts w:ascii="Arial"/>
                <w:sz w:val="24"/>
                <w:szCs w:val="24"/>
              </w:rPr>
            </w:pPr>
          </w:p>
          <w:p w14:paraId="7035DAF2">
            <w:pPr>
              <w:spacing w:line="266" w:lineRule="auto"/>
              <w:rPr>
                <w:rFonts w:ascii="Arial"/>
                <w:sz w:val="24"/>
                <w:szCs w:val="24"/>
              </w:rPr>
            </w:pPr>
          </w:p>
          <w:p w14:paraId="5D62ED89">
            <w:pPr>
              <w:spacing w:line="266" w:lineRule="auto"/>
              <w:rPr>
                <w:rFonts w:ascii="Arial"/>
                <w:sz w:val="24"/>
                <w:szCs w:val="24"/>
              </w:rPr>
            </w:pPr>
          </w:p>
          <w:p w14:paraId="7FE50758">
            <w:pPr>
              <w:spacing w:line="266" w:lineRule="auto"/>
              <w:rPr>
                <w:rFonts w:ascii="Arial"/>
                <w:sz w:val="24"/>
                <w:szCs w:val="24"/>
              </w:rPr>
            </w:pPr>
          </w:p>
          <w:p w14:paraId="7C601BDB">
            <w:pPr>
              <w:spacing w:line="266" w:lineRule="auto"/>
              <w:rPr>
                <w:rFonts w:ascii="Arial"/>
                <w:sz w:val="24"/>
                <w:szCs w:val="24"/>
              </w:rPr>
            </w:pPr>
          </w:p>
          <w:p w14:paraId="1EEB7406">
            <w:pPr>
              <w:spacing w:line="266" w:lineRule="auto"/>
              <w:rPr>
                <w:rFonts w:ascii="Arial"/>
                <w:sz w:val="24"/>
                <w:szCs w:val="24"/>
              </w:rPr>
            </w:pPr>
          </w:p>
          <w:p w14:paraId="3BA3706E">
            <w:pPr>
              <w:spacing w:line="266" w:lineRule="auto"/>
              <w:rPr>
                <w:rFonts w:ascii="Arial"/>
                <w:sz w:val="24"/>
                <w:szCs w:val="24"/>
              </w:rPr>
            </w:pPr>
          </w:p>
          <w:p w14:paraId="0173DF93">
            <w:pPr>
              <w:pStyle w:val="133"/>
              <w:spacing w:before="55"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2373DA8B">
            <w:pPr>
              <w:spacing w:line="265" w:lineRule="auto"/>
              <w:rPr>
                <w:rFonts w:ascii="Arial"/>
                <w:sz w:val="24"/>
                <w:szCs w:val="24"/>
              </w:rPr>
            </w:pPr>
          </w:p>
          <w:p w14:paraId="081AA02E">
            <w:pPr>
              <w:spacing w:line="265" w:lineRule="auto"/>
              <w:rPr>
                <w:rFonts w:ascii="Arial"/>
                <w:sz w:val="24"/>
                <w:szCs w:val="24"/>
              </w:rPr>
            </w:pPr>
          </w:p>
          <w:p w14:paraId="6ACE8BF2">
            <w:pPr>
              <w:spacing w:line="266" w:lineRule="auto"/>
              <w:rPr>
                <w:rFonts w:ascii="Arial"/>
                <w:sz w:val="24"/>
                <w:szCs w:val="24"/>
              </w:rPr>
            </w:pPr>
          </w:p>
          <w:p w14:paraId="41B38C59">
            <w:pPr>
              <w:spacing w:line="266" w:lineRule="auto"/>
              <w:rPr>
                <w:rFonts w:ascii="Arial"/>
                <w:sz w:val="24"/>
                <w:szCs w:val="24"/>
              </w:rPr>
            </w:pPr>
          </w:p>
          <w:p w14:paraId="2F148B93">
            <w:pPr>
              <w:spacing w:line="266" w:lineRule="auto"/>
              <w:rPr>
                <w:rFonts w:ascii="Arial"/>
                <w:sz w:val="24"/>
                <w:szCs w:val="24"/>
              </w:rPr>
            </w:pPr>
          </w:p>
          <w:p w14:paraId="157B3707">
            <w:pPr>
              <w:spacing w:line="266" w:lineRule="auto"/>
              <w:rPr>
                <w:rFonts w:ascii="Arial"/>
                <w:sz w:val="24"/>
                <w:szCs w:val="24"/>
              </w:rPr>
            </w:pPr>
          </w:p>
          <w:p w14:paraId="6B1130E5">
            <w:pPr>
              <w:spacing w:line="266" w:lineRule="auto"/>
              <w:rPr>
                <w:rFonts w:ascii="Arial"/>
                <w:sz w:val="24"/>
                <w:szCs w:val="24"/>
              </w:rPr>
            </w:pPr>
          </w:p>
          <w:p w14:paraId="6015C516">
            <w:pPr>
              <w:spacing w:line="266" w:lineRule="auto"/>
              <w:rPr>
                <w:rFonts w:ascii="Arial"/>
                <w:sz w:val="24"/>
                <w:szCs w:val="24"/>
              </w:rPr>
            </w:pPr>
          </w:p>
          <w:p w14:paraId="4042209E">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FDF5A85">
            <w:pPr>
              <w:pStyle w:val="133"/>
              <w:spacing w:before="55" w:line="232" w:lineRule="exact"/>
              <w:ind w:left="372"/>
              <w:rPr>
                <w:sz w:val="24"/>
                <w:szCs w:val="24"/>
              </w:rPr>
            </w:pPr>
          </w:p>
          <w:p w14:paraId="5EC17203">
            <w:pPr>
              <w:pStyle w:val="133"/>
              <w:spacing w:before="55" w:line="232" w:lineRule="exact"/>
              <w:ind w:left="372"/>
              <w:rPr>
                <w:sz w:val="24"/>
                <w:szCs w:val="24"/>
              </w:rPr>
            </w:pPr>
          </w:p>
          <w:p w14:paraId="496A3CF1">
            <w:pPr>
              <w:pStyle w:val="133"/>
              <w:spacing w:before="55" w:line="232" w:lineRule="exact"/>
              <w:ind w:left="372"/>
              <w:rPr>
                <w:sz w:val="24"/>
                <w:szCs w:val="24"/>
              </w:rPr>
            </w:pPr>
          </w:p>
          <w:p w14:paraId="20BF7AF3">
            <w:pPr>
              <w:pStyle w:val="133"/>
              <w:spacing w:before="55" w:line="232" w:lineRule="exact"/>
              <w:ind w:left="372"/>
              <w:rPr>
                <w:sz w:val="24"/>
                <w:szCs w:val="24"/>
              </w:rPr>
            </w:pPr>
          </w:p>
          <w:p w14:paraId="14E56AE1">
            <w:pPr>
              <w:pStyle w:val="133"/>
              <w:spacing w:before="55" w:line="232" w:lineRule="exact"/>
              <w:ind w:left="372"/>
              <w:rPr>
                <w:sz w:val="24"/>
                <w:szCs w:val="24"/>
              </w:rPr>
            </w:pPr>
          </w:p>
          <w:p w14:paraId="7D2544D0">
            <w:pPr>
              <w:pStyle w:val="133"/>
              <w:spacing w:before="55" w:line="232" w:lineRule="exact"/>
              <w:ind w:left="372"/>
              <w:rPr>
                <w:sz w:val="24"/>
                <w:szCs w:val="24"/>
              </w:rPr>
            </w:pPr>
          </w:p>
          <w:p w14:paraId="370C58F1">
            <w:pPr>
              <w:pStyle w:val="133"/>
              <w:spacing w:before="55" w:line="232" w:lineRule="exact"/>
              <w:ind w:left="372"/>
              <w:rPr>
                <w:sz w:val="24"/>
                <w:szCs w:val="24"/>
              </w:rPr>
            </w:pPr>
          </w:p>
          <w:p w14:paraId="15315505">
            <w:pPr>
              <w:pStyle w:val="133"/>
              <w:spacing w:before="55" w:line="232" w:lineRule="exact"/>
              <w:ind w:left="372"/>
              <w:rPr>
                <w:sz w:val="24"/>
                <w:szCs w:val="24"/>
              </w:rPr>
            </w:pPr>
          </w:p>
          <w:p w14:paraId="12DD72CB">
            <w:pPr>
              <w:pStyle w:val="133"/>
              <w:spacing w:before="55" w:line="232" w:lineRule="exact"/>
              <w:ind w:left="372"/>
              <w:rPr>
                <w:sz w:val="24"/>
                <w:szCs w:val="24"/>
              </w:rPr>
            </w:pPr>
          </w:p>
          <w:p w14:paraId="3BA915B6">
            <w:pPr>
              <w:pStyle w:val="133"/>
              <w:spacing w:before="55" w:line="232" w:lineRule="exact"/>
              <w:ind w:left="372"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1240</w:t>
            </w:r>
          </w:p>
        </w:tc>
      </w:tr>
      <w:tr w14:paraId="0CBB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2584F43D">
            <w:pPr>
              <w:spacing w:line="251" w:lineRule="auto"/>
              <w:rPr>
                <w:rFonts w:ascii="Arial"/>
                <w:sz w:val="24"/>
                <w:szCs w:val="24"/>
              </w:rPr>
            </w:pPr>
          </w:p>
          <w:p w14:paraId="0CA730F6">
            <w:pPr>
              <w:spacing w:line="251" w:lineRule="auto"/>
              <w:rPr>
                <w:rFonts w:ascii="Arial"/>
                <w:sz w:val="24"/>
                <w:szCs w:val="24"/>
              </w:rPr>
            </w:pPr>
          </w:p>
          <w:p w14:paraId="5DA57275">
            <w:pPr>
              <w:spacing w:line="251" w:lineRule="auto"/>
              <w:rPr>
                <w:rFonts w:ascii="Arial"/>
                <w:sz w:val="24"/>
                <w:szCs w:val="24"/>
              </w:rPr>
            </w:pPr>
          </w:p>
          <w:p w14:paraId="4FC4248F">
            <w:pPr>
              <w:spacing w:line="251" w:lineRule="auto"/>
              <w:rPr>
                <w:rFonts w:ascii="Arial"/>
                <w:sz w:val="24"/>
                <w:szCs w:val="24"/>
              </w:rPr>
            </w:pPr>
          </w:p>
          <w:p w14:paraId="7C5C30E6">
            <w:pPr>
              <w:spacing w:line="251" w:lineRule="auto"/>
              <w:rPr>
                <w:rFonts w:ascii="Arial"/>
                <w:sz w:val="24"/>
                <w:szCs w:val="24"/>
              </w:rPr>
            </w:pPr>
          </w:p>
          <w:p w14:paraId="164CED07">
            <w:pPr>
              <w:spacing w:line="251" w:lineRule="auto"/>
              <w:rPr>
                <w:rFonts w:ascii="Arial"/>
                <w:sz w:val="24"/>
                <w:szCs w:val="24"/>
              </w:rPr>
            </w:pPr>
          </w:p>
          <w:p w14:paraId="767A3A62">
            <w:pPr>
              <w:spacing w:line="251" w:lineRule="auto"/>
              <w:rPr>
                <w:rFonts w:ascii="Arial"/>
                <w:sz w:val="24"/>
                <w:szCs w:val="24"/>
              </w:rPr>
            </w:pPr>
          </w:p>
          <w:p w14:paraId="36053AFD">
            <w:pPr>
              <w:spacing w:line="251" w:lineRule="auto"/>
              <w:rPr>
                <w:rFonts w:ascii="Arial"/>
                <w:sz w:val="24"/>
                <w:szCs w:val="24"/>
              </w:rPr>
            </w:pPr>
          </w:p>
          <w:p w14:paraId="44E4BA4A">
            <w:pPr>
              <w:pStyle w:val="133"/>
              <w:spacing w:before="56" w:line="230"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20</w:t>
            </w:r>
          </w:p>
        </w:tc>
        <w:tc>
          <w:tcPr>
            <w:tcW w:w="645" w:type="pct"/>
            <w:shd w:val="clear" w:color="auto" w:fill="auto"/>
            <w:vAlign w:val="top"/>
          </w:tcPr>
          <w:p w14:paraId="2D0C182E">
            <w:pPr>
              <w:spacing w:line="254" w:lineRule="auto"/>
              <w:rPr>
                <w:rFonts w:ascii="Arial"/>
                <w:sz w:val="24"/>
                <w:szCs w:val="24"/>
              </w:rPr>
            </w:pPr>
          </w:p>
          <w:p w14:paraId="7BE7C05E">
            <w:pPr>
              <w:spacing w:line="254" w:lineRule="auto"/>
              <w:rPr>
                <w:rFonts w:ascii="Arial"/>
                <w:sz w:val="24"/>
                <w:szCs w:val="24"/>
              </w:rPr>
            </w:pPr>
          </w:p>
          <w:p w14:paraId="05DD72BA">
            <w:pPr>
              <w:spacing w:line="255" w:lineRule="auto"/>
              <w:rPr>
                <w:rFonts w:ascii="Arial"/>
                <w:sz w:val="24"/>
                <w:szCs w:val="24"/>
              </w:rPr>
            </w:pPr>
          </w:p>
          <w:p w14:paraId="4ACBDC32">
            <w:pPr>
              <w:spacing w:line="255" w:lineRule="auto"/>
              <w:rPr>
                <w:rFonts w:ascii="Arial"/>
                <w:sz w:val="24"/>
                <w:szCs w:val="24"/>
              </w:rPr>
            </w:pPr>
          </w:p>
          <w:p w14:paraId="1A16A05E">
            <w:pPr>
              <w:spacing w:line="255" w:lineRule="auto"/>
              <w:rPr>
                <w:rFonts w:ascii="Arial"/>
                <w:sz w:val="24"/>
                <w:szCs w:val="24"/>
              </w:rPr>
            </w:pPr>
          </w:p>
          <w:p w14:paraId="482FB9E1">
            <w:pPr>
              <w:spacing w:line="255" w:lineRule="auto"/>
              <w:rPr>
                <w:rFonts w:ascii="Arial"/>
                <w:sz w:val="24"/>
                <w:szCs w:val="24"/>
              </w:rPr>
            </w:pPr>
          </w:p>
          <w:p w14:paraId="48EDAD10">
            <w:pPr>
              <w:spacing w:line="255" w:lineRule="auto"/>
              <w:rPr>
                <w:rFonts w:ascii="Arial"/>
                <w:sz w:val="24"/>
                <w:szCs w:val="24"/>
              </w:rPr>
            </w:pPr>
          </w:p>
          <w:p w14:paraId="6BB9268C">
            <w:pPr>
              <w:spacing w:line="255" w:lineRule="auto"/>
              <w:rPr>
                <w:rFonts w:ascii="Arial"/>
                <w:sz w:val="24"/>
                <w:szCs w:val="24"/>
              </w:rPr>
            </w:pPr>
          </w:p>
          <w:p w14:paraId="1085936D">
            <w:pPr>
              <w:pStyle w:val="133"/>
              <w:spacing w:before="55" w:line="189" w:lineRule="auto"/>
              <w:ind w:left="14" w:leftChars="0"/>
              <w:rPr>
                <w:rFonts w:ascii="宋体" w:hAnsi="宋体" w:eastAsia="宋体" w:cs="宋体"/>
                <w:snapToGrid w:val="0"/>
                <w:color w:val="000000"/>
                <w:kern w:val="0"/>
                <w:sz w:val="24"/>
                <w:szCs w:val="24"/>
                <w:lang w:val="en-US" w:eastAsia="en-US" w:bidi="ar-SA"/>
              </w:rPr>
            </w:pPr>
            <w:r>
              <w:rPr>
                <w:spacing w:val="3"/>
                <w:sz w:val="24"/>
                <w:szCs w:val="24"/>
              </w:rPr>
              <w:t>04B002</w:t>
            </w:r>
          </w:p>
        </w:tc>
        <w:tc>
          <w:tcPr>
            <w:tcW w:w="759" w:type="pct"/>
            <w:shd w:val="clear" w:color="auto" w:fill="auto"/>
            <w:vAlign w:val="top"/>
          </w:tcPr>
          <w:p w14:paraId="7A131DFF">
            <w:pPr>
              <w:spacing w:line="274" w:lineRule="auto"/>
              <w:rPr>
                <w:rFonts w:ascii="Arial"/>
                <w:sz w:val="24"/>
                <w:szCs w:val="24"/>
              </w:rPr>
            </w:pPr>
          </w:p>
          <w:p w14:paraId="70BEF003">
            <w:pPr>
              <w:spacing w:line="274" w:lineRule="auto"/>
              <w:rPr>
                <w:rFonts w:ascii="Arial"/>
                <w:sz w:val="24"/>
                <w:szCs w:val="24"/>
              </w:rPr>
            </w:pPr>
          </w:p>
          <w:p w14:paraId="5B0F6BAA">
            <w:pPr>
              <w:spacing w:line="274" w:lineRule="auto"/>
              <w:rPr>
                <w:rFonts w:ascii="Arial"/>
                <w:sz w:val="24"/>
                <w:szCs w:val="24"/>
              </w:rPr>
            </w:pPr>
          </w:p>
          <w:p w14:paraId="4EE76CF1">
            <w:pPr>
              <w:spacing w:line="274" w:lineRule="auto"/>
              <w:rPr>
                <w:rFonts w:ascii="Arial"/>
                <w:sz w:val="24"/>
                <w:szCs w:val="24"/>
              </w:rPr>
            </w:pPr>
          </w:p>
          <w:p w14:paraId="587471B6">
            <w:pPr>
              <w:spacing w:line="274" w:lineRule="auto"/>
              <w:rPr>
                <w:rFonts w:ascii="Arial"/>
                <w:sz w:val="24"/>
                <w:szCs w:val="24"/>
              </w:rPr>
            </w:pPr>
          </w:p>
          <w:p w14:paraId="6F43AC55">
            <w:pPr>
              <w:spacing w:line="274" w:lineRule="auto"/>
              <w:rPr>
                <w:rFonts w:ascii="Arial"/>
                <w:sz w:val="24"/>
                <w:szCs w:val="24"/>
              </w:rPr>
            </w:pPr>
          </w:p>
          <w:p w14:paraId="3E8A8DAB">
            <w:pPr>
              <w:spacing w:line="275" w:lineRule="auto"/>
              <w:rPr>
                <w:rFonts w:ascii="Arial"/>
                <w:sz w:val="24"/>
                <w:szCs w:val="24"/>
              </w:rPr>
            </w:pPr>
          </w:p>
          <w:p w14:paraId="677B8B8F">
            <w:pPr>
              <w:pStyle w:val="133"/>
              <w:spacing w:before="55" w:line="213" w:lineRule="auto"/>
              <w:ind w:left="23" w:leftChars="0" w:right="151" w:rightChars="0" w:hanging="4" w:firstLineChars="0"/>
              <w:rPr>
                <w:rFonts w:ascii="宋体" w:hAnsi="宋体" w:eastAsia="宋体" w:cs="宋体"/>
                <w:snapToGrid w:val="0"/>
                <w:color w:val="000000"/>
                <w:kern w:val="0"/>
                <w:sz w:val="24"/>
                <w:szCs w:val="24"/>
                <w:lang w:val="en-US" w:eastAsia="en-US" w:bidi="ar-SA"/>
              </w:rPr>
            </w:pPr>
            <w:r>
              <w:rPr>
                <w:sz w:val="24"/>
                <w:szCs w:val="24"/>
              </w:rPr>
              <w:t>DN</w:t>
            </w:r>
            <w:r>
              <w:rPr>
                <w:spacing w:val="11"/>
                <w:sz w:val="24"/>
                <w:szCs w:val="24"/>
              </w:rPr>
              <w:t>500</w:t>
            </w:r>
            <w:r>
              <w:rPr>
                <w:sz w:val="24"/>
                <w:szCs w:val="24"/>
              </w:rPr>
              <w:t>FIPP</w:t>
            </w:r>
            <w:r>
              <w:rPr>
                <w:spacing w:val="11"/>
                <w:sz w:val="24"/>
                <w:szCs w:val="24"/>
              </w:rPr>
              <w:t>热塑</w:t>
            </w:r>
            <w:r>
              <w:rPr>
                <w:spacing w:val="8"/>
                <w:sz w:val="24"/>
                <w:szCs w:val="24"/>
              </w:rPr>
              <w:t>成型管道修复</w:t>
            </w:r>
          </w:p>
        </w:tc>
        <w:tc>
          <w:tcPr>
            <w:tcW w:w="1173" w:type="pct"/>
            <w:shd w:val="clear" w:color="auto" w:fill="auto"/>
            <w:vAlign w:val="top"/>
          </w:tcPr>
          <w:p w14:paraId="2CC0D615">
            <w:pPr>
              <w:pStyle w:val="133"/>
              <w:spacing w:before="55" w:line="195" w:lineRule="auto"/>
              <w:ind w:right="57"/>
              <w:rPr>
                <w:sz w:val="24"/>
                <w:szCs w:val="24"/>
              </w:rPr>
            </w:pPr>
            <w:r>
              <w:rPr>
                <w:spacing w:val="7"/>
                <w:sz w:val="24"/>
                <w:szCs w:val="24"/>
              </w:rPr>
              <w:t>1.封堵气囊导排水（运距</w:t>
            </w:r>
            <w:r>
              <w:rPr>
                <w:spacing w:val="-5"/>
                <w:sz w:val="24"/>
                <w:szCs w:val="24"/>
              </w:rPr>
              <w:t>自行考虑</w:t>
            </w:r>
            <w:r>
              <w:rPr>
                <w:spacing w:val="-1"/>
                <w:sz w:val="24"/>
                <w:szCs w:val="24"/>
              </w:rPr>
              <w:t>）；</w:t>
            </w:r>
          </w:p>
          <w:p w14:paraId="34089787">
            <w:pPr>
              <w:pStyle w:val="133"/>
              <w:spacing w:before="2" w:line="195" w:lineRule="auto"/>
              <w:ind w:left="25" w:right="57" w:firstLine="2"/>
              <w:rPr>
                <w:sz w:val="24"/>
                <w:szCs w:val="24"/>
              </w:rPr>
            </w:pPr>
            <w:r>
              <w:rPr>
                <w:spacing w:val="7"/>
                <w:sz w:val="24"/>
                <w:szCs w:val="24"/>
              </w:rPr>
              <w:t>2.预处理</w:t>
            </w:r>
            <w:r>
              <w:rPr>
                <w:spacing w:val="13"/>
                <w:sz w:val="24"/>
                <w:szCs w:val="24"/>
              </w:rPr>
              <w:t>，（</w:t>
            </w:r>
            <w:r>
              <w:rPr>
                <w:spacing w:val="7"/>
                <w:sz w:val="24"/>
                <w:szCs w:val="24"/>
              </w:rPr>
              <w:t>高压水清洗</w:t>
            </w:r>
            <w:r>
              <w:rPr>
                <w:spacing w:val="9"/>
                <w:sz w:val="24"/>
                <w:szCs w:val="24"/>
              </w:rPr>
              <w:t>工法，高压清洗车在管道内的来回冲洗，将管道内的附着物完全清理，由人工将冲洗的污染物清理至路面并装袋运至指定的堆</w:t>
            </w:r>
            <w:r>
              <w:rPr>
                <w:sz w:val="24"/>
                <w:szCs w:val="24"/>
              </w:rPr>
              <w:t>放场）。</w:t>
            </w:r>
          </w:p>
          <w:p w14:paraId="406EEBE7">
            <w:pPr>
              <w:pStyle w:val="133"/>
              <w:spacing w:line="195" w:lineRule="auto"/>
              <w:ind w:left="39" w:right="57" w:hanging="11"/>
              <w:rPr>
                <w:sz w:val="24"/>
                <w:szCs w:val="24"/>
              </w:rPr>
            </w:pPr>
            <w:r>
              <w:rPr>
                <w:spacing w:val="9"/>
                <w:sz w:val="24"/>
                <w:szCs w:val="24"/>
              </w:rPr>
              <w:t>3.原位</w:t>
            </w:r>
            <w:r>
              <w:rPr>
                <w:sz w:val="24"/>
                <w:szCs w:val="24"/>
              </w:rPr>
              <w:t>FIPP</w:t>
            </w:r>
            <w:r>
              <w:rPr>
                <w:spacing w:val="9"/>
                <w:sz w:val="24"/>
                <w:szCs w:val="24"/>
              </w:rPr>
              <w:t>热塑成型施工</w:t>
            </w:r>
            <w:r>
              <w:rPr>
                <w:spacing w:val="6"/>
                <w:sz w:val="24"/>
                <w:szCs w:val="24"/>
              </w:rPr>
              <w:t>,品种</w:t>
            </w:r>
            <w:r>
              <w:rPr>
                <w:spacing w:val="-34"/>
                <w:sz w:val="24"/>
                <w:szCs w:val="24"/>
              </w:rPr>
              <w:t xml:space="preserve"> </w:t>
            </w:r>
            <w:r>
              <w:rPr>
                <w:spacing w:val="6"/>
                <w:sz w:val="24"/>
                <w:szCs w:val="24"/>
              </w:rPr>
              <w:t>:热塑成型衬管；</w:t>
            </w:r>
          </w:p>
          <w:p w14:paraId="2369C8C5">
            <w:pPr>
              <w:pStyle w:val="133"/>
              <w:spacing w:line="195" w:lineRule="auto"/>
              <w:ind w:left="25" w:right="57" w:firstLine="1"/>
              <w:rPr>
                <w:sz w:val="24"/>
                <w:szCs w:val="24"/>
              </w:rPr>
            </w:pPr>
            <w:r>
              <w:rPr>
                <w:spacing w:val="8"/>
                <w:sz w:val="24"/>
                <w:szCs w:val="24"/>
              </w:rPr>
              <w:t>主要原材料应为高分子材</w:t>
            </w:r>
            <w:r>
              <w:rPr>
                <w:spacing w:val="10"/>
                <w:sz w:val="24"/>
                <w:szCs w:val="24"/>
              </w:rPr>
              <w:t>料聚氯乙烯（</w:t>
            </w:r>
            <w:r>
              <w:rPr>
                <w:sz w:val="24"/>
                <w:szCs w:val="24"/>
              </w:rPr>
              <w:t>PVC</w:t>
            </w:r>
            <w:r>
              <w:rPr>
                <w:spacing w:val="4"/>
                <w:sz w:val="24"/>
                <w:szCs w:val="24"/>
              </w:rPr>
              <w:t>），</w:t>
            </w:r>
            <w:r>
              <w:rPr>
                <w:spacing w:val="10"/>
                <w:sz w:val="24"/>
                <w:szCs w:val="24"/>
              </w:rPr>
              <w:t>和</w:t>
            </w:r>
            <w:r>
              <w:rPr>
                <w:spacing w:val="2"/>
                <w:sz w:val="24"/>
                <w:szCs w:val="24"/>
              </w:rPr>
              <w:t>若干小料混配；</w:t>
            </w:r>
          </w:p>
          <w:p w14:paraId="2CE5E68D">
            <w:pPr>
              <w:pStyle w:val="133"/>
              <w:spacing w:line="195" w:lineRule="auto"/>
              <w:ind w:left="40" w:right="68" w:hanging="16"/>
              <w:rPr>
                <w:sz w:val="24"/>
                <w:szCs w:val="24"/>
              </w:rPr>
            </w:pPr>
            <w:r>
              <w:rPr>
                <w:spacing w:val="6"/>
                <w:sz w:val="24"/>
                <w:szCs w:val="24"/>
              </w:rPr>
              <w:t>4.管径规格:</w:t>
            </w:r>
            <w:r>
              <w:rPr>
                <w:sz w:val="24"/>
                <w:szCs w:val="24"/>
              </w:rPr>
              <w:t>DN</w:t>
            </w:r>
            <w:r>
              <w:rPr>
                <w:spacing w:val="6"/>
                <w:sz w:val="24"/>
                <w:szCs w:val="24"/>
              </w:rPr>
              <w:t>500，厚度</w:t>
            </w:r>
            <w:r>
              <w:rPr>
                <w:spacing w:val="10"/>
                <w:sz w:val="24"/>
                <w:szCs w:val="24"/>
              </w:rPr>
              <w:t xml:space="preserve"> </w:t>
            </w:r>
            <w:r>
              <w:rPr>
                <w:spacing w:val="2"/>
                <w:sz w:val="24"/>
                <w:szCs w:val="24"/>
              </w:rPr>
              <w:t>：8</w:t>
            </w:r>
            <w:r>
              <w:rPr>
                <w:sz w:val="24"/>
                <w:szCs w:val="24"/>
              </w:rPr>
              <w:t>mm</w:t>
            </w:r>
            <w:r>
              <w:rPr>
                <w:spacing w:val="2"/>
                <w:sz w:val="24"/>
                <w:szCs w:val="24"/>
              </w:rPr>
              <w:t>.</w:t>
            </w:r>
          </w:p>
          <w:p w14:paraId="4A2C5D3C">
            <w:pPr>
              <w:pStyle w:val="133"/>
              <w:spacing w:before="1" w:line="213" w:lineRule="auto"/>
              <w:ind w:left="25" w:leftChars="0" w:right="57" w:rightChars="0" w:firstLine="2" w:firstLineChars="0"/>
              <w:rPr>
                <w:rFonts w:ascii="宋体" w:hAnsi="宋体" w:eastAsia="宋体" w:cs="宋体"/>
                <w:snapToGrid w:val="0"/>
                <w:color w:val="000000"/>
                <w:kern w:val="0"/>
                <w:sz w:val="24"/>
                <w:szCs w:val="24"/>
                <w:lang w:val="en-US" w:eastAsia="en-US" w:bidi="ar-SA"/>
              </w:rPr>
            </w:pPr>
            <w:r>
              <w:rPr>
                <w:spacing w:val="8"/>
                <w:sz w:val="24"/>
                <w:szCs w:val="24"/>
              </w:rPr>
              <w:t>5.包含机器人修复前后检</w:t>
            </w:r>
            <w:r>
              <w:rPr>
                <w:spacing w:val="9"/>
                <w:sz w:val="24"/>
                <w:szCs w:val="24"/>
              </w:rPr>
              <w:t>测及视频资料，措施及清</w:t>
            </w:r>
            <w:r>
              <w:rPr>
                <w:spacing w:val="5"/>
                <w:sz w:val="24"/>
                <w:szCs w:val="24"/>
              </w:rPr>
              <w:t>理现场等所有工序。</w:t>
            </w:r>
          </w:p>
        </w:tc>
        <w:tc>
          <w:tcPr>
            <w:tcW w:w="610" w:type="pct"/>
            <w:shd w:val="clear" w:color="auto" w:fill="auto"/>
            <w:vAlign w:val="top"/>
          </w:tcPr>
          <w:p w14:paraId="61CA2F16">
            <w:pPr>
              <w:spacing w:line="251" w:lineRule="auto"/>
              <w:rPr>
                <w:rFonts w:ascii="Arial"/>
                <w:sz w:val="24"/>
                <w:szCs w:val="24"/>
              </w:rPr>
            </w:pPr>
          </w:p>
          <w:p w14:paraId="17F8A8CE">
            <w:pPr>
              <w:spacing w:line="251" w:lineRule="auto"/>
              <w:rPr>
                <w:rFonts w:ascii="Arial"/>
                <w:sz w:val="24"/>
                <w:szCs w:val="24"/>
              </w:rPr>
            </w:pPr>
          </w:p>
          <w:p w14:paraId="232C40BF">
            <w:pPr>
              <w:spacing w:line="251" w:lineRule="auto"/>
              <w:rPr>
                <w:rFonts w:ascii="Arial"/>
                <w:sz w:val="24"/>
                <w:szCs w:val="24"/>
              </w:rPr>
            </w:pPr>
          </w:p>
          <w:p w14:paraId="0F81DCDF">
            <w:pPr>
              <w:spacing w:line="251" w:lineRule="auto"/>
              <w:rPr>
                <w:rFonts w:ascii="Arial"/>
                <w:sz w:val="24"/>
                <w:szCs w:val="24"/>
              </w:rPr>
            </w:pPr>
          </w:p>
          <w:p w14:paraId="60FEFAF1">
            <w:pPr>
              <w:spacing w:line="251" w:lineRule="auto"/>
              <w:rPr>
                <w:rFonts w:ascii="Arial"/>
                <w:sz w:val="24"/>
                <w:szCs w:val="24"/>
              </w:rPr>
            </w:pPr>
          </w:p>
          <w:p w14:paraId="535DC388">
            <w:pPr>
              <w:spacing w:line="251" w:lineRule="auto"/>
              <w:rPr>
                <w:rFonts w:ascii="Arial"/>
                <w:sz w:val="24"/>
                <w:szCs w:val="24"/>
              </w:rPr>
            </w:pPr>
          </w:p>
          <w:p w14:paraId="10E69DD2">
            <w:pPr>
              <w:spacing w:line="251" w:lineRule="auto"/>
              <w:rPr>
                <w:rFonts w:ascii="Arial"/>
                <w:sz w:val="24"/>
                <w:szCs w:val="24"/>
              </w:rPr>
            </w:pPr>
          </w:p>
          <w:p w14:paraId="318DC599">
            <w:pPr>
              <w:spacing w:line="251" w:lineRule="auto"/>
              <w:rPr>
                <w:rFonts w:ascii="Arial"/>
                <w:sz w:val="24"/>
                <w:szCs w:val="24"/>
              </w:rPr>
            </w:pPr>
          </w:p>
          <w:p w14:paraId="24F59CBA">
            <w:pPr>
              <w:pStyle w:val="133"/>
              <w:spacing w:before="56"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214D5676">
            <w:pPr>
              <w:spacing w:line="251" w:lineRule="auto"/>
              <w:rPr>
                <w:rFonts w:ascii="Arial"/>
                <w:sz w:val="24"/>
                <w:szCs w:val="24"/>
              </w:rPr>
            </w:pPr>
          </w:p>
          <w:p w14:paraId="549407E7">
            <w:pPr>
              <w:spacing w:line="251" w:lineRule="auto"/>
              <w:rPr>
                <w:rFonts w:ascii="Arial"/>
                <w:sz w:val="24"/>
                <w:szCs w:val="24"/>
              </w:rPr>
            </w:pPr>
          </w:p>
          <w:p w14:paraId="7968845B">
            <w:pPr>
              <w:spacing w:line="251" w:lineRule="auto"/>
              <w:rPr>
                <w:rFonts w:ascii="Arial"/>
                <w:sz w:val="24"/>
                <w:szCs w:val="24"/>
              </w:rPr>
            </w:pPr>
          </w:p>
          <w:p w14:paraId="4FA91761">
            <w:pPr>
              <w:spacing w:line="251" w:lineRule="auto"/>
              <w:rPr>
                <w:rFonts w:ascii="Arial"/>
                <w:sz w:val="24"/>
                <w:szCs w:val="24"/>
              </w:rPr>
            </w:pPr>
          </w:p>
          <w:p w14:paraId="2FBF12BD">
            <w:pPr>
              <w:spacing w:line="251" w:lineRule="auto"/>
              <w:rPr>
                <w:rFonts w:ascii="Arial"/>
                <w:sz w:val="24"/>
                <w:szCs w:val="24"/>
              </w:rPr>
            </w:pPr>
          </w:p>
          <w:p w14:paraId="656AD61F">
            <w:pPr>
              <w:spacing w:line="251" w:lineRule="auto"/>
              <w:rPr>
                <w:rFonts w:ascii="Arial"/>
                <w:sz w:val="24"/>
                <w:szCs w:val="24"/>
              </w:rPr>
            </w:pPr>
          </w:p>
          <w:p w14:paraId="335D8769">
            <w:pPr>
              <w:spacing w:line="251" w:lineRule="auto"/>
              <w:rPr>
                <w:rFonts w:ascii="Arial"/>
                <w:sz w:val="24"/>
                <w:szCs w:val="24"/>
              </w:rPr>
            </w:pPr>
          </w:p>
          <w:p w14:paraId="5AC122F3">
            <w:pPr>
              <w:spacing w:line="251" w:lineRule="auto"/>
              <w:rPr>
                <w:rFonts w:ascii="Arial"/>
                <w:sz w:val="24"/>
                <w:szCs w:val="24"/>
              </w:rPr>
            </w:pPr>
          </w:p>
          <w:p w14:paraId="7BDF5B33">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3B7B0657">
            <w:pPr>
              <w:pStyle w:val="133"/>
              <w:spacing w:before="55" w:line="232" w:lineRule="exact"/>
              <w:ind w:left="372"/>
              <w:rPr>
                <w:sz w:val="24"/>
                <w:szCs w:val="24"/>
              </w:rPr>
            </w:pPr>
          </w:p>
          <w:p w14:paraId="59533C2F">
            <w:pPr>
              <w:pStyle w:val="133"/>
              <w:spacing w:before="55" w:line="232" w:lineRule="exact"/>
              <w:ind w:left="372"/>
              <w:rPr>
                <w:sz w:val="24"/>
                <w:szCs w:val="24"/>
              </w:rPr>
            </w:pPr>
          </w:p>
          <w:p w14:paraId="36AF5E1F">
            <w:pPr>
              <w:pStyle w:val="133"/>
              <w:spacing w:before="55" w:line="232" w:lineRule="exact"/>
              <w:ind w:left="372"/>
              <w:rPr>
                <w:sz w:val="24"/>
                <w:szCs w:val="24"/>
              </w:rPr>
            </w:pPr>
          </w:p>
          <w:p w14:paraId="64A0058A">
            <w:pPr>
              <w:pStyle w:val="133"/>
              <w:spacing w:before="55" w:line="232" w:lineRule="exact"/>
              <w:ind w:left="372"/>
              <w:rPr>
                <w:sz w:val="24"/>
                <w:szCs w:val="24"/>
              </w:rPr>
            </w:pPr>
          </w:p>
          <w:p w14:paraId="16F890CC">
            <w:pPr>
              <w:pStyle w:val="133"/>
              <w:spacing w:before="55" w:line="232" w:lineRule="exact"/>
              <w:ind w:left="372"/>
              <w:rPr>
                <w:sz w:val="24"/>
                <w:szCs w:val="24"/>
              </w:rPr>
            </w:pPr>
          </w:p>
          <w:p w14:paraId="755A1A9F">
            <w:pPr>
              <w:pStyle w:val="133"/>
              <w:spacing w:before="55" w:line="232" w:lineRule="exact"/>
              <w:ind w:left="372"/>
              <w:rPr>
                <w:sz w:val="24"/>
                <w:szCs w:val="24"/>
              </w:rPr>
            </w:pPr>
          </w:p>
          <w:p w14:paraId="0D730EBA">
            <w:pPr>
              <w:pStyle w:val="133"/>
              <w:spacing w:before="55" w:line="232" w:lineRule="exact"/>
              <w:ind w:left="372"/>
              <w:rPr>
                <w:sz w:val="24"/>
                <w:szCs w:val="24"/>
              </w:rPr>
            </w:pPr>
          </w:p>
          <w:p w14:paraId="3B15CE4F">
            <w:pPr>
              <w:pStyle w:val="133"/>
              <w:spacing w:before="55" w:line="232" w:lineRule="exact"/>
              <w:ind w:left="372"/>
              <w:rPr>
                <w:sz w:val="24"/>
                <w:szCs w:val="24"/>
              </w:rPr>
            </w:pPr>
          </w:p>
          <w:p w14:paraId="39E1FC0F">
            <w:pPr>
              <w:pStyle w:val="133"/>
              <w:spacing w:before="55" w:line="232" w:lineRule="exact"/>
              <w:ind w:left="372"/>
              <w:rPr>
                <w:sz w:val="24"/>
                <w:szCs w:val="24"/>
              </w:rPr>
            </w:pPr>
          </w:p>
          <w:p w14:paraId="0E50EBF5">
            <w:pPr>
              <w:pStyle w:val="133"/>
              <w:spacing w:before="55" w:line="232" w:lineRule="exact"/>
              <w:ind w:left="372"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1432</w:t>
            </w:r>
          </w:p>
        </w:tc>
      </w:tr>
      <w:tr w14:paraId="2F64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4F15BC8E">
            <w:pPr>
              <w:spacing w:line="242" w:lineRule="auto"/>
              <w:rPr>
                <w:rFonts w:ascii="Arial"/>
                <w:sz w:val="24"/>
                <w:szCs w:val="24"/>
              </w:rPr>
            </w:pPr>
          </w:p>
          <w:p w14:paraId="515E5D97">
            <w:pPr>
              <w:spacing w:line="242" w:lineRule="auto"/>
              <w:rPr>
                <w:rFonts w:ascii="Arial"/>
                <w:sz w:val="24"/>
                <w:szCs w:val="24"/>
              </w:rPr>
            </w:pPr>
          </w:p>
          <w:p w14:paraId="38E85DC8">
            <w:pPr>
              <w:spacing w:line="243" w:lineRule="auto"/>
              <w:rPr>
                <w:rFonts w:ascii="Arial"/>
                <w:sz w:val="24"/>
                <w:szCs w:val="24"/>
              </w:rPr>
            </w:pPr>
          </w:p>
          <w:p w14:paraId="35D7AEBC">
            <w:pPr>
              <w:spacing w:line="243" w:lineRule="auto"/>
              <w:rPr>
                <w:rFonts w:ascii="Arial"/>
                <w:sz w:val="24"/>
                <w:szCs w:val="24"/>
              </w:rPr>
            </w:pPr>
          </w:p>
          <w:p w14:paraId="4C0FB588">
            <w:pPr>
              <w:spacing w:line="243" w:lineRule="auto"/>
              <w:rPr>
                <w:rFonts w:ascii="Arial"/>
                <w:sz w:val="24"/>
                <w:szCs w:val="24"/>
              </w:rPr>
            </w:pPr>
          </w:p>
          <w:p w14:paraId="59030E8C">
            <w:pPr>
              <w:spacing w:line="243" w:lineRule="auto"/>
              <w:rPr>
                <w:rFonts w:ascii="Arial"/>
                <w:sz w:val="24"/>
                <w:szCs w:val="24"/>
              </w:rPr>
            </w:pPr>
          </w:p>
          <w:p w14:paraId="2BCFE87B">
            <w:pPr>
              <w:pStyle w:val="133"/>
              <w:spacing w:before="55" w:line="232"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21</w:t>
            </w:r>
          </w:p>
        </w:tc>
        <w:tc>
          <w:tcPr>
            <w:tcW w:w="645" w:type="pct"/>
            <w:shd w:val="clear" w:color="auto" w:fill="auto"/>
            <w:vAlign w:val="top"/>
          </w:tcPr>
          <w:p w14:paraId="061A2D26">
            <w:pPr>
              <w:spacing w:line="242" w:lineRule="auto"/>
              <w:rPr>
                <w:rFonts w:ascii="Arial"/>
                <w:sz w:val="24"/>
                <w:szCs w:val="24"/>
              </w:rPr>
            </w:pPr>
          </w:p>
          <w:p w14:paraId="10086540">
            <w:pPr>
              <w:spacing w:line="242" w:lineRule="auto"/>
              <w:rPr>
                <w:rFonts w:ascii="Arial"/>
                <w:sz w:val="24"/>
                <w:szCs w:val="24"/>
              </w:rPr>
            </w:pPr>
          </w:p>
          <w:p w14:paraId="1D45A796">
            <w:pPr>
              <w:spacing w:line="243" w:lineRule="auto"/>
              <w:rPr>
                <w:rFonts w:ascii="Arial"/>
                <w:sz w:val="24"/>
                <w:szCs w:val="24"/>
              </w:rPr>
            </w:pPr>
          </w:p>
          <w:p w14:paraId="6489A1DA">
            <w:pPr>
              <w:spacing w:line="243" w:lineRule="auto"/>
              <w:rPr>
                <w:rFonts w:ascii="Arial"/>
                <w:sz w:val="24"/>
                <w:szCs w:val="24"/>
              </w:rPr>
            </w:pPr>
          </w:p>
          <w:p w14:paraId="380059F0">
            <w:pPr>
              <w:spacing w:line="243" w:lineRule="auto"/>
              <w:rPr>
                <w:rFonts w:ascii="Arial"/>
                <w:sz w:val="24"/>
                <w:szCs w:val="24"/>
              </w:rPr>
            </w:pPr>
          </w:p>
          <w:p w14:paraId="28783687">
            <w:pPr>
              <w:spacing w:line="243" w:lineRule="auto"/>
              <w:rPr>
                <w:rFonts w:ascii="Arial"/>
                <w:sz w:val="24"/>
                <w:szCs w:val="24"/>
              </w:rPr>
            </w:pPr>
          </w:p>
          <w:p w14:paraId="4D7425F7">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040203006002</w:t>
            </w:r>
          </w:p>
        </w:tc>
        <w:tc>
          <w:tcPr>
            <w:tcW w:w="759" w:type="pct"/>
            <w:shd w:val="clear" w:color="auto" w:fill="auto"/>
            <w:vAlign w:val="top"/>
          </w:tcPr>
          <w:p w14:paraId="79FAE57F">
            <w:pPr>
              <w:spacing w:line="242" w:lineRule="auto"/>
              <w:rPr>
                <w:rFonts w:ascii="Arial"/>
                <w:sz w:val="24"/>
                <w:szCs w:val="24"/>
              </w:rPr>
            </w:pPr>
          </w:p>
          <w:p w14:paraId="2B3F58BA">
            <w:pPr>
              <w:spacing w:line="242" w:lineRule="auto"/>
              <w:rPr>
                <w:rFonts w:ascii="Arial"/>
                <w:sz w:val="24"/>
                <w:szCs w:val="24"/>
              </w:rPr>
            </w:pPr>
          </w:p>
          <w:p w14:paraId="13B0D4A9">
            <w:pPr>
              <w:spacing w:line="242" w:lineRule="auto"/>
              <w:rPr>
                <w:rFonts w:ascii="Arial"/>
                <w:sz w:val="24"/>
                <w:szCs w:val="24"/>
              </w:rPr>
            </w:pPr>
          </w:p>
          <w:p w14:paraId="29D5B964">
            <w:pPr>
              <w:spacing w:line="243" w:lineRule="auto"/>
              <w:rPr>
                <w:rFonts w:ascii="Arial"/>
                <w:sz w:val="24"/>
                <w:szCs w:val="24"/>
              </w:rPr>
            </w:pPr>
          </w:p>
          <w:p w14:paraId="725AD614">
            <w:pPr>
              <w:spacing w:line="243" w:lineRule="auto"/>
              <w:rPr>
                <w:rFonts w:ascii="Arial"/>
                <w:sz w:val="24"/>
                <w:szCs w:val="24"/>
              </w:rPr>
            </w:pPr>
          </w:p>
          <w:p w14:paraId="77A2B20C">
            <w:pPr>
              <w:spacing w:line="243" w:lineRule="auto"/>
              <w:rPr>
                <w:rFonts w:ascii="Arial"/>
                <w:sz w:val="24"/>
                <w:szCs w:val="24"/>
              </w:rPr>
            </w:pPr>
          </w:p>
          <w:p w14:paraId="7F85C650">
            <w:pPr>
              <w:pStyle w:val="133"/>
              <w:spacing w:before="56"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沥青路面铣刨修</w:t>
            </w:r>
          </w:p>
        </w:tc>
        <w:tc>
          <w:tcPr>
            <w:tcW w:w="1173" w:type="pct"/>
            <w:shd w:val="clear" w:color="auto" w:fill="auto"/>
            <w:vAlign w:val="top"/>
          </w:tcPr>
          <w:p w14:paraId="77135415">
            <w:pPr>
              <w:spacing w:line="295" w:lineRule="auto"/>
              <w:rPr>
                <w:rFonts w:ascii="Arial"/>
                <w:sz w:val="24"/>
                <w:szCs w:val="24"/>
              </w:rPr>
            </w:pPr>
          </w:p>
          <w:p w14:paraId="19D90D52">
            <w:pPr>
              <w:pStyle w:val="133"/>
              <w:spacing w:before="55" w:line="195" w:lineRule="auto"/>
              <w:ind w:left="26" w:right="57" w:firstLine="11"/>
              <w:rPr>
                <w:sz w:val="24"/>
                <w:szCs w:val="24"/>
              </w:rPr>
            </w:pPr>
            <w:r>
              <w:rPr>
                <w:spacing w:val="7"/>
                <w:sz w:val="24"/>
                <w:szCs w:val="24"/>
              </w:rPr>
              <w:t>1.铣刨深度：根据破损情</w:t>
            </w:r>
            <w:r>
              <w:rPr>
                <w:spacing w:val="8"/>
                <w:sz w:val="24"/>
                <w:szCs w:val="24"/>
              </w:rPr>
              <w:t>况铣刨至完好基层，深度</w:t>
            </w:r>
            <w:r>
              <w:rPr>
                <w:spacing w:val="3"/>
                <w:sz w:val="24"/>
                <w:szCs w:val="24"/>
              </w:rPr>
              <w:t>60</w:t>
            </w:r>
            <w:r>
              <w:rPr>
                <w:sz w:val="24"/>
                <w:szCs w:val="24"/>
              </w:rPr>
              <w:t>mm</w:t>
            </w:r>
            <w:r>
              <w:rPr>
                <w:spacing w:val="3"/>
                <w:sz w:val="24"/>
                <w:szCs w:val="24"/>
              </w:rPr>
              <w:t>；</w:t>
            </w:r>
          </w:p>
          <w:p w14:paraId="6BB3AFD1">
            <w:pPr>
              <w:pStyle w:val="133"/>
              <w:spacing w:line="195" w:lineRule="auto"/>
              <w:ind w:left="26" w:right="57"/>
              <w:rPr>
                <w:sz w:val="24"/>
                <w:szCs w:val="24"/>
              </w:rPr>
            </w:pPr>
            <w:r>
              <w:rPr>
                <w:spacing w:val="8"/>
                <w:sz w:val="24"/>
                <w:szCs w:val="24"/>
              </w:rPr>
              <w:t>2.基层处理：清理铣刨面</w:t>
            </w:r>
            <w:r>
              <w:rPr>
                <w:sz w:val="24"/>
                <w:szCs w:val="24"/>
              </w:rPr>
              <w:t xml:space="preserve"> </w:t>
            </w:r>
            <w:r>
              <w:rPr>
                <w:spacing w:val="12"/>
                <w:sz w:val="24"/>
                <w:szCs w:val="24"/>
              </w:rPr>
              <w:t>,喷洒乳化沥青粘层油，</w:t>
            </w:r>
            <w:r>
              <w:rPr>
                <w:spacing w:val="4"/>
                <w:sz w:val="24"/>
                <w:szCs w:val="24"/>
              </w:rPr>
              <w:t>用量0.3-0.5L/m²</w:t>
            </w:r>
            <w:r>
              <w:rPr>
                <w:spacing w:val="-56"/>
                <w:sz w:val="24"/>
                <w:szCs w:val="24"/>
              </w:rPr>
              <w:t xml:space="preserve"> </w:t>
            </w:r>
            <w:r>
              <w:rPr>
                <w:spacing w:val="4"/>
                <w:sz w:val="24"/>
                <w:szCs w:val="24"/>
              </w:rPr>
              <w:t>;</w:t>
            </w:r>
          </w:p>
          <w:p w14:paraId="033C6E89">
            <w:pPr>
              <w:pStyle w:val="133"/>
              <w:spacing w:before="1" w:line="195" w:lineRule="auto"/>
              <w:ind w:left="23" w:right="57" w:firstLine="5"/>
              <w:rPr>
                <w:sz w:val="24"/>
                <w:szCs w:val="24"/>
              </w:rPr>
            </w:pPr>
            <w:r>
              <w:rPr>
                <w:spacing w:val="7"/>
                <w:sz w:val="24"/>
                <w:szCs w:val="24"/>
              </w:rPr>
              <w:t>3.沥青面层：采用</w:t>
            </w:r>
            <w:r>
              <w:rPr>
                <w:sz w:val="24"/>
                <w:szCs w:val="24"/>
              </w:rPr>
              <w:t>AC</w:t>
            </w:r>
            <w:r>
              <w:rPr>
                <w:spacing w:val="7"/>
                <w:sz w:val="24"/>
                <w:szCs w:val="24"/>
              </w:rPr>
              <w:t>-13C</w:t>
            </w:r>
            <w:r>
              <w:rPr>
                <w:spacing w:val="9"/>
                <w:sz w:val="24"/>
                <w:szCs w:val="24"/>
              </w:rPr>
              <w:t>细粒式沥青混凝土，厚度</w:t>
            </w:r>
            <w:r>
              <w:rPr>
                <w:spacing w:val="8"/>
                <w:sz w:val="24"/>
                <w:szCs w:val="24"/>
              </w:rPr>
              <w:t>60</w:t>
            </w:r>
            <w:r>
              <w:rPr>
                <w:sz w:val="24"/>
                <w:szCs w:val="24"/>
              </w:rPr>
              <w:t>mm</w:t>
            </w:r>
            <w:r>
              <w:rPr>
                <w:spacing w:val="8"/>
                <w:sz w:val="24"/>
                <w:szCs w:val="24"/>
              </w:rPr>
              <w:t>，马歇尔稳定度≥8</w:t>
            </w:r>
            <w:r>
              <w:rPr>
                <w:spacing w:val="3"/>
                <w:sz w:val="24"/>
                <w:szCs w:val="24"/>
              </w:rPr>
              <w:t xml:space="preserve"> </w:t>
            </w:r>
            <w:r>
              <w:rPr>
                <w:sz w:val="24"/>
                <w:szCs w:val="24"/>
              </w:rPr>
              <w:t>kN</w:t>
            </w:r>
            <w:r>
              <w:rPr>
                <w:spacing w:val="4"/>
                <w:sz w:val="24"/>
                <w:szCs w:val="24"/>
              </w:rPr>
              <w:t>；</w:t>
            </w:r>
          </w:p>
          <w:p w14:paraId="4068685A">
            <w:pPr>
              <w:pStyle w:val="133"/>
              <w:spacing w:line="195" w:lineRule="auto"/>
              <w:ind w:left="24" w:right="57"/>
              <w:rPr>
                <w:sz w:val="24"/>
                <w:szCs w:val="24"/>
              </w:rPr>
            </w:pPr>
            <w:r>
              <w:rPr>
                <w:spacing w:val="8"/>
                <w:sz w:val="24"/>
                <w:szCs w:val="24"/>
              </w:rPr>
              <w:t>4.压实：采用双钢轮压路</w:t>
            </w:r>
            <w:r>
              <w:rPr>
                <w:spacing w:val="7"/>
                <w:sz w:val="24"/>
                <w:szCs w:val="24"/>
              </w:rPr>
              <w:t>机碾压，压实度≥96%；</w:t>
            </w:r>
          </w:p>
          <w:p w14:paraId="5822DF2B">
            <w:pPr>
              <w:pStyle w:val="133"/>
              <w:spacing w:before="1" w:line="213" w:lineRule="auto"/>
              <w:ind w:left="25" w:leftChars="0" w:right="57" w:rightChars="0" w:firstLine="2" w:firstLineChars="0"/>
              <w:rPr>
                <w:rFonts w:ascii="宋体" w:hAnsi="宋体" w:eastAsia="宋体" w:cs="宋体"/>
                <w:snapToGrid w:val="0"/>
                <w:color w:val="000000"/>
                <w:kern w:val="0"/>
                <w:sz w:val="24"/>
                <w:szCs w:val="24"/>
                <w:lang w:val="en-US" w:eastAsia="en-US" w:bidi="ar-SA"/>
              </w:rPr>
            </w:pPr>
            <w:r>
              <w:rPr>
                <w:spacing w:val="7"/>
                <w:sz w:val="24"/>
                <w:szCs w:val="24"/>
              </w:rPr>
              <w:t>5.平整度：采用3m直尺检测，误差≤3</w:t>
            </w:r>
            <w:r>
              <w:rPr>
                <w:sz w:val="24"/>
                <w:szCs w:val="24"/>
              </w:rPr>
              <w:t>mm</w:t>
            </w:r>
            <w:r>
              <w:rPr>
                <w:spacing w:val="7"/>
                <w:sz w:val="24"/>
                <w:szCs w:val="24"/>
              </w:rPr>
              <w:t>；</w:t>
            </w:r>
          </w:p>
        </w:tc>
        <w:tc>
          <w:tcPr>
            <w:tcW w:w="610" w:type="pct"/>
            <w:shd w:val="clear" w:color="auto" w:fill="auto"/>
            <w:vAlign w:val="top"/>
          </w:tcPr>
          <w:p w14:paraId="2412450D">
            <w:pPr>
              <w:spacing w:line="242" w:lineRule="auto"/>
              <w:rPr>
                <w:rFonts w:ascii="Arial"/>
                <w:sz w:val="24"/>
                <w:szCs w:val="24"/>
              </w:rPr>
            </w:pPr>
          </w:p>
          <w:p w14:paraId="5D7D0459">
            <w:pPr>
              <w:spacing w:line="242" w:lineRule="auto"/>
              <w:rPr>
                <w:rFonts w:ascii="Arial"/>
                <w:sz w:val="24"/>
                <w:szCs w:val="24"/>
              </w:rPr>
            </w:pPr>
          </w:p>
          <w:p w14:paraId="3CB1CBEA">
            <w:pPr>
              <w:spacing w:line="243" w:lineRule="auto"/>
              <w:rPr>
                <w:rFonts w:ascii="Arial"/>
                <w:sz w:val="24"/>
                <w:szCs w:val="24"/>
              </w:rPr>
            </w:pPr>
          </w:p>
          <w:p w14:paraId="5EE62E29">
            <w:pPr>
              <w:spacing w:line="243" w:lineRule="auto"/>
              <w:rPr>
                <w:rFonts w:ascii="Arial"/>
                <w:sz w:val="24"/>
                <w:szCs w:val="24"/>
              </w:rPr>
            </w:pPr>
          </w:p>
          <w:p w14:paraId="01AB0466">
            <w:pPr>
              <w:spacing w:line="243" w:lineRule="auto"/>
              <w:rPr>
                <w:rFonts w:ascii="Arial"/>
                <w:sz w:val="24"/>
                <w:szCs w:val="24"/>
              </w:rPr>
            </w:pPr>
          </w:p>
          <w:p w14:paraId="74666794">
            <w:pPr>
              <w:spacing w:line="243" w:lineRule="auto"/>
              <w:rPr>
                <w:rFonts w:ascii="Arial"/>
                <w:sz w:val="24"/>
                <w:szCs w:val="24"/>
              </w:rPr>
            </w:pPr>
          </w:p>
          <w:p w14:paraId="3A825798">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1601AB97">
            <w:pPr>
              <w:spacing w:line="242" w:lineRule="auto"/>
              <w:rPr>
                <w:rFonts w:ascii="Arial"/>
                <w:sz w:val="24"/>
                <w:szCs w:val="24"/>
              </w:rPr>
            </w:pPr>
          </w:p>
          <w:p w14:paraId="0779AC72">
            <w:pPr>
              <w:spacing w:line="242" w:lineRule="auto"/>
              <w:rPr>
                <w:rFonts w:ascii="Arial"/>
                <w:sz w:val="24"/>
                <w:szCs w:val="24"/>
              </w:rPr>
            </w:pPr>
          </w:p>
          <w:p w14:paraId="4CC334EF">
            <w:pPr>
              <w:spacing w:line="243" w:lineRule="auto"/>
              <w:rPr>
                <w:rFonts w:ascii="Arial"/>
                <w:sz w:val="24"/>
                <w:szCs w:val="24"/>
              </w:rPr>
            </w:pPr>
          </w:p>
          <w:p w14:paraId="024D2D23">
            <w:pPr>
              <w:spacing w:line="243" w:lineRule="auto"/>
              <w:rPr>
                <w:rFonts w:ascii="Arial"/>
                <w:sz w:val="24"/>
                <w:szCs w:val="24"/>
              </w:rPr>
            </w:pPr>
          </w:p>
          <w:p w14:paraId="657C50C4">
            <w:pPr>
              <w:spacing w:line="243" w:lineRule="auto"/>
              <w:rPr>
                <w:rFonts w:ascii="Arial"/>
                <w:sz w:val="24"/>
                <w:szCs w:val="24"/>
              </w:rPr>
            </w:pPr>
          </w:p>
          <w:p w14:paraId="665B2176">
            <w:pPr>
              <w:spacing w:line="243" w:lineRule="auto"/>
              <w:rPr>
                <w:rFonts w:ascii="Arial"/>
                <w:sz w:val="24"/>
                <w:szCs w:val="24"/>
              </w:rPr>
            </w:pPr>
          </w:p>
          <w:p w14:paraId="62F4968B">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6D756A5A">
            <w:pPr>
              <w:rPr>
                <w:rFonts w:ascii="Arial"/>
                <w:sz w:val="24"/>
                <w:szCs w:val="24"/>
              </w:rPr>
            </w:pPr>
          </w:p>
          <w:p w14:paraId="5B8922D5">
            <w:pPr>
              <w:rPr>
                <w:rFonts w:ascii="Arial"/>
                <w:sz w:val="24"/>
                <w:szCs w:val="24"/>
              </w:rPr>
            </w:pPr>
          </w:p>
          <w:p w14:paraId="3506BD21">
            <w:pPr>
              <w:rPr>
                <w:rFonts w:ascii="Arial"/>
                <w:sz w:val="24"/>
                <w:szCs w:val="24"/>
              </w:rPr>
            </w:pPr>
          </w:p>
          <w:p w14:paraId="6F68C2FF">
            <w:pPr>
              <w:rPr>
                <w:rFonts w:ascii="Arial"/>
                <w:sz w:val="24"/>
                <w:szCs w:val="24"/>
              </w:rPr>
            </w:pPr>
          </w:p>
          <w:p w14:paraId="3909A5D9">
            <w:pPr>
              <w:rPr>
                <w:rFonts w:ascii="Arial"/>
                <w:sz w:val="24"/>
                <w:szCs w:val="24"/>
              </w:rPr>
            </w:pPr>
          </w:p>
          <w:p w14:paraId="619E9D1C">
            <w:pPr>
              <w:rPr>
                <w:rFonts w:ascii="Arial"/>
                <w:sz w:val="24"/>
                <w:szCs w:val="24"/>
              </w:rPr>
            </w:pPr>
          </w:p>
          <w:p w14:paraId="22165D83">
            <w:pPr>
              <w:pStyle w:val="133"/>
              <w:spacing w:before="55" w:line="232" w:lineRule="exact"/>
              <w:ind w:left="203" w:leftChars="0"/>
              <w:rPr>
                <w:rFonts w:hint="eastAsia" w:ascii="Arial" w:hAnsi="宋体" w:eastAsia="宋体" w:cs="宋体"/>
                <w:snapToGrid w:val="0"/>
                <w:color w:val="000000"/>
                <w:kern w:val="0"/>
                <w:sz w:val="24"/>
                <w:szCs w:val="24"/>
                <w:lang w:val="en-US" w:eastAsia="zh-CN" w:bidi="ar-SA"/>
              </w:rPr>
            </w:pPr>
            <w:r>
              <w:rPr>
                <w:rFonts w:hint="eastAsia"/>
                <w:spacing w:val="3"/>
                <w:position w:val="1"/>
                <w:sz w:val="24"/>
                <w:szCs w:val="24"/>
                <w:lang w:val="en-US" w:eastAsia="zh-CN"/>
              </w:rPr>
              <w:t>68.22</w:t>
            </w:r>
          </w:p>
        </w:tc>
      </w:tr>
      <w:tr w14:paraId="4CB3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A0DEB68">
            <w:pPr>
              <w:spacing w:line="281" w:lineRule="auto"/>
              <w:rPr>
                <w:rFonts w:ascii="Arial"/>
                <w:sz w:val="24"/>
                <w:szCs w:val="24"/>
              </w:rPr>
            </w:pPr>
          </w:p>
          <w:p w14:paraId="0C9991FC">
            <w:pPr>
              <w:spacing w:line="282" w:lineRule="auto"/>
              <w:rPr>
                <w:rFonts w:ascii="Arial"/>
                <w:sz w:val="24"/>
                <w:szCs w:val="24"/>
              </w:rPr>
            </w:pPr>
          </w:p>
          <w:p w14:paraId="7D681832">
            <w:pPr>
              <w:pStyle w:val="133"/>
              <w:spacing w:before="55" w:line="232"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22</w:t>
            </w:r>
          </w:p>
        </w:tc>
        <w:tc>
          <w:tcPr>
            <w:tcW w:w="645" w:type="pct"/>
            <w:shd w:val="clear" w:color="auto" w:fill="auto"/>
            <w:vAlign w:val="top"/>
          </w:tcPr>
          <w:p w14:paraId="4AE59891">
            <w:pPr>
              <w:spacing w:line="281" w:lineRule="auto"/>
              <w:rPr>
                <w:rFonts w:ascii="Arial"/>
                <w:sz w:val="24"/>
                <w:szCs w:val="24"/>
              </w:rPr>
            </w:pPr>
          </w:p>
          <w:p w14:paraId="0FA0F906">
            <w:pPr>
              <w:spacing w:line="282" w:lineRule="auto"/>
              <w:rPr>
                <w:rFonts w:ascii="Arial"/>
                <w:sz w:val="24"/>
                <w:szCs w:val="24"/>
              </w:rPr>
            </w:pPr>
          </w:p>
          <w:p w14:paraId="33184A86">
            <w:pPr>
              <w:pStyle w:val="133"/>
              <w:spacing w:before="55" w:line="230"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040203007002</w:t>
            </w:r>
          </w:p>
        </w:tc>
        <w:tc>
          <w:tcPr>
            <w:tcW w:w="759" w:type="pct"/>
            <w:shd w:val="clear" w:color="auto" w:fill="auto"/>
            <w:vAlign w:val="top"/>
          </w:tcPr>
          <w:p w14:paraId="4D4B00F4">
            <w:pPr>
              <w:spacing w:line="384" w:lineRule="auto"/>
              <w:rPr>
                <w:rFonts w:ascii="Arial"/>
                <w:sz w:val="24"/>
                <w:szCs w:val="24"/>
              </w:rPr>
            </w:pPr>
          </w:p>
          <w:p w14:paraId="22608363">
            <w:pPr>
              <w:pStyle w:val="133"/>
              <w:spacing w:before="55" w:line="207" w:lineRule="auto"/>
              <w:ind w:left="22" w:leftChars="0" w:right="61" w:rightChars="0" w:firstLine="2" w:firstLineChars="0"/>
              <w:jc w:val="both"/>
              <w:rPr>
                <w:rFonts w:ascii="宋体" w:hAnsi="宋体" w:eastAsia="宋体" w:cs="宋体"/>
                <w:snapToGrid w:val="0"/>
                <w:color w:val="000000"/>
                <w:kern w:val="0"/>
                <w:sz w:val="24"/>
                <w:szCs w:val="24"/>
                <w:lang w:val="en-US" w:eastAsia="en-US" w:bidi="ar-SA"/>
              </w:rPr>
            </w:pPr>
            <w:r>
              <w:rPr>
                <w:spacing w:val="8"/>
                <w:sz w:val="24"/>
                <w:szCs w:val="24"/>
              </w:rPr>
              <w:t>混凝土路面铣刨修复,铺设沥青混凝土面层</w:t>
            </w:r>
          </w:p>
        </w:tc>
        <w:tc>
          <w:tcPr>
            <w:tcW w:w="1173" w:type="pct"/>
            <w:shd w:val="clear" w:color="auto" w:fill="auto"/>
            <w:vAlign w:val="top"/>
          </w:tcPr>
          <w:p w14:paraId="4B46D335">
            <w:pPr>
              <w:pStyle w:val="133"/>
              <w:spacing w:before="172" w:line="195" w:lineRule="auto"/>
              <w:ind w:left="38"/>
              <w:rPr>
                <w:sz w:val="24"/>
                <w:szCs w:val="24"/>
              </w:rPr>
            </w:pPr>
            <w:r>
              <w:rPr>
                <w:spacing w:val="-2"/>
                <w:sz w:val="24"/>
                <w:szCs w:val="24"/>
              </w:rPr>
              <w:t>1.铣刨范围：</w:t>
            </w:r>
            <w:r>
              <w:rPr>
                <w:spacing w:val="-17"/>
                <w:sz w:val="24"/>
                <w:szCs w:val="24"/>
              </w:rPr>
              <w:t xml:space="preserve"> </w:t>
            </w:r>
            <w:r>
              <w:rPr>
                <w:spacing w:val="-2"/>
                <w:sz w:val="24"/>
                <w:szCs w:val="24"/>
              </w:rPr>
              <w:t>60mm厚；</w:t>
            </w:r>
          </w:p>
          <w:p w14:paraId="2EB5858C">
            <w:pPr>
              <w:pStyle w:val="133"/>
              <w:spacing w:line="195" w:lineRule="auto"/>
              <w:ind w:left="24" w:right="57" w:firstLine="2"/>
              <w:rPr>
                <w:sz w:val="24"/>
                <w:szCs w:val="24"/>
              </w:rPr>
            </w:pPr>
            <w:r>
              <w:rPr>
                <w:spacing w:val="8"/>
                <w:sz w:val="24"/>
                <w:szCs w:val="24"/>
              </w:rPr>
              <w:t>2.基层处理：清除松动混</w:t>
            </w:r>
            <w:r>
              <w:rPr>
                <w:spacing w:val="9"/>
                <w:sz w:val="24"/>
                <w:szCs w:val="24"/>
              </w:rPr>
              <w:t>凝土，露出坚实基层，涂</w:t>
            </w:r>
            <w:r>
              <w:rPr>
                <w:sz w:val="24"/>
                <w:szCs w:val="24"/>
              </w:rPr>
              <w:t>刷乳化沥青；</w:t>
            </w:r>
          </w:p>
          <w:p w14:paraId="0D4D0C28">
            <w:pPr>
              <w:pStyle w:val="133"/>
              <w:spacing w:before="1" w:line="213" w:lineRule="auto"/>
              <w:ind w:left="25" w:leftChars="0" w:right="57" w:rightChars="0" w:firstLine="2" w:firstLineChars="0"/>
              <w:rPr>
                <w:rFonts w:ascii="宋体" w:hAnsi="宋体" w:eastAsia="宋体" w:cs="宋体"/>
                <w:snapToGrid w:val="0"/>
                <w:color w:val="000000"/>
                <w:kern w:val="0"/>
                <w:sz w:val="24"/>
                <w:szCs w:val="24"/>
                <w:lang w:val="en-US" w:eastAsia="en-US" w:bidi="ar-SA"/>
              </w:rPr>
            </w:pPr>
            <w:r>
              <w:rPr>
                <w:spacing w:val="8"/>
                <w:sz w:val="24"/>
                <w:szCs w:val="24"/>
              </w:rPr>
              <w:t>3.混凝土：采用沥青混凝</w:t>
            </w:r>
            <w:r>
              <w:rPr>
                <w:spacing w:val="6"/>
                <w:sz w:val="24"/>
                <w:szCs w:val="24"/>
              </w:rPr>
              <w:t>土，60</w:t>
            </w:r>
            <w:r>
              <w:rPr>
                <w:sz w:val="24"/>
                <w:szCs w:val="24"/>
              </w:rPr>
              <w:t>mm</w:t>
            </w:r>
            <w:r>
              <w:rPr>
                <w:spacing w:val="6"/>
                <w:sz w:val="24"/>
                <w:szCs w:val="24"/>
              </w:rPr>
              <w:t>；</w:t>
            </w:r>
          </w:p>
        </w:tc>
        <w:tc>
          <w:tcPr>
            <w:tcW w:w="610" w:type="pct"/>
            <w:shd w:val="clear" w:color="auto" w:fill="auto"/>
            <w:vAlign w:val="top"/>
          </w:tcPr>
          <w:p w14:paraId="02BDA047">
            <w:pPr>
              <w:spacing w:line="281" w:lineRule="auto"/>
              <w:rPr>
                <w:rFonts w:ascii="Arial"/>
                <w:sz w:val="24"/>
                <w:szCs w:val="24"/>
              </w:rPr>
            </w:pPr>
          </w:p>
          <w:p w14:paraId="4D259075">
            <w:pPr>
              <w:spacing w:line="282" w:lineRule="auto"/>
              <w:rPr>
                <w:rFonts w:ascii="Arial"/>
                <w:sz w:val="24"/>
                <w:szCs w:val="24"/>
              </w:rPr>
            </w:pPr>
          </w:p>
          <w:p w14:paraId="4D7EFC13">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26DD6E85">
            <w:pPr>
              <w:spacing w:line="281" w:lineRule="auto"/>
              <w:rPr>
                <w:rFonts w:ascii="Arial"/>
                <w:sz w:val="24"/>
                <w:szCs w:val="24"/>
              </w:rPr>
            </w:pPr>
          </w:p>
          <w:p w14:paraId="0AD6C31A">
            <w:pPr>
              <w:spacing w:line="282" w:lineRule="auto"/>
              <w:rPr>
                <w:rFonts w:ascii="Arial"/>
                <w:sz w:val="24"/>
                <w:szCs w:val="24"/>
              </w:rPr>
            </w:pPr>
          </w:p>
          <w:p w14:paraId="47378635">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6074C493">
            <w:pPr>
              <w:pStyle w:val="133"/>
              <w:spacing w:before="55" w:line="232" w:lineRule="exact"/>
              <w:ind w:left="372"/>
              <w:rPr>
                <w:position w:val="1"/>
                <w:sz w:val="24"/>
                <w:szCs w:val="24"/>
              </w:rPr>
            </w:pPr>
          </w:p>
          <w:p w14:paraId="3DF9A48E">
            <w:pPr>
              <w:pStyle w:val="133"/>
              <w:spacing w:before="55" w:line="232" w:lineRule="exact"/>
              <w:ind w:left="372"/>
              <w:rPr>
                <w:position w:val="1"/>
                <w:sz w:val="24"/>
                <w:szCs w:val="24"/>
              </w:rPr>
            </w:pPr>
          </w:p>
          <w:p w14:paraId="2141EDB8">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69</w:t>
            </w:r>
          </w:p>
        </w:tc>
      </w:tr>
      <w:tr w14:paraId="4686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B2FEA6C">
            <w:pPr>
              <w:spacing w:line="255" w:lineRule="auto"/>
              <w:rPr>
                <w:rFonts w:ascii="Arial"/>
                <w:sz w:val="24"/>
                <w:szCs w:val="24"/>
              </w:rPr>
            </w:pPr>
          </w:p>
          <w:p w14:paraId="19C3C8A6">
            <w:pPr>
              <w:spacing w:line="255" w:lineRule="auto"/>
              <w:rPr>
                <w:rFonts w:ascii="Arial"/>
                <w:sz w:val="24"/>
                <w:szCs w:val="24"/>
              </w:rPr>
            </w:pPr>
          </w:p>
          <w:p w14:paraId="68C19EBF">
            <w:pPr>
              <w:spacing w:line="255" w:lineRule="auto"/>
              <w:rPr>
                <w:rFonts w:ascii="Arial"/>
                <w:sz w:val="24"/>
                <w:szCs w:val="24"/>
              </w:rPr>
            </w:pPr>
          </w:p>
          <w:p w14:paraId="59C27323">
            <w:pPr>
              <w:spacing w:line="255" w:lineRule="auto"/>
              <w:rPr>
                <w:rFonts w:ascii="Arial"/>
                <w:sz w:val="24"/>
                <w:szCs w:val="24"/>
              </w:rPr>
            </w:pPr>
          </w:p>
          <w:p w14:paraId="07D66E92">
            <w:pPr>
              <w:spacing w:line="255" w:lineRule="auto"/>
              <w:rPr>
                <w:rFonts w:ascii="Arial"/>
                <w:sz w:val="24"/>
                <w:szCs w:val="24"/>
              </w:rPr>
            </w:pPr>
          </w:p>
          <w:p w14:paraId="322BAA92">
            <w:pPr>
              <w:spacing w:line="255" w:lineRule="auto"/>
              <w:rPr>
                <w:rFonts w:ascii="Arial"/>
                <w:sz w:val="24"/>
                <w:szCs w:val="24"/>
              </w:rPr>
            </w:pPr>
          </w:p>
          <w:p w14:paraId="240B5162">
            <w:pPr>
              <w:spacing w:line="255" w:lineRule="auto"/>
              <w:rPr>
                <w:rFonts w:ascii="Arial"/>
                <w:sz w:val="24"/>
                <w:szCs w:val="24"/>
              </w:rPr>
            </w:pPr>
          </w:p>
          <w:p w14:paraId="6F0939AB">
            <w:pPr>
              <w:pStyle w:val="133"/>
              <w:spacing w:before="55" w:line="231"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23</w:t>
            </w:r>
          </w:p>
        </w:tc>
        <w:tc>
          <w:tcPr>
            <w:tcW w:w="645" w:type="pct"/>
            <w:shd w:val="clear" w:color="auto" w:fill="auto"/>
            <w:vAlign w:val="top"/>
          </w:tcPr>
          <w:p w14:paraId="45BED018">
            <w:pPr>
              <w:spacing w:line="255" w:lineRule="auto"/>
              <w:rPr>
                <w:rFonts w:ascii="Arial"/>
                <w:sz w:val="24"/>
                <w:szCs w:val="24"/>
              </w:rPr>
            </w:pPr>
          </w:p>
          <w:p w14:paraId="745A0914">
            <w:pPr>
              <w:spacing w:line="255" w:lineRule="auto"/>
              <w:rPr>
                <w:rFonts w:ascii="Arial"/>
                <w:sz w:val="24"/>
                <w:szCs w:val="24"/>
              </w:rPr>
            </w:pPr>
          </w:p>
          <w:p w14:paraId="7CFE5BC1">
            <w:pPr>
              <w:spacing w:line="255" w:lineRule="auto"/>
              <w:rPr>
                <w:rFonts w:ascii="Arial"/>
                <w:sz w:val="24"/>
                <w:szCs w:val="24"/>
              </w:rPr>
            </w:pPr>
          </w:p>
          <w:p w14:paraId="3C661734">
            <w:pPr>
              <w:spacing w:line="255" w:lineRule="auto"/>
              <w:rPr>
                <w:rFonts w:ascii="Arial"/>
                <w:sz w:val="24"/>
                <w:szCs w:val="24"/>
              </w:rPr>
            </w:pPr>
          </w:p>
          <w:p w14:paraId="4F8AF508">
            <w:pPr>
              <w:spacing w:line="255" w:lineRule="auto"/>
              <w:rPr>
                <w:rFonts w:ascii="Arial"/>
                <w:sz w:val="24"/>
                <w:szCs w:val="24"/>
              </w:rPr>
            </w:pPr>
          </w:p>
          <w:p w14:paraId="342DFCBD">
            <w:pPr>
              <w:spacing w:line="255" w:lineRule="auto"/>
              <w:rPr>
                <w:rFonts w:ascii="Arial"/>
                <w:sz w:val="24"/>
                <w:szCs w:val="24"/>
              </w:rPr>
            </w:pPr>
          </w:p>
          <w:p w14:paraId="2D9FA500">
            <w:pPr>
              <w:spacing w:line="255" w:lineRule="auto"/>
              <w:rPr>
                <w:rFonts w:ascii="Arial"/>
                <w:sz w:val="24"/>
                <w:szCs w:val="24"/>
              </w:rPr>
            </w:pPr>
          </w:p>
          <w:p w14:paraId="6824EA78">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040203006006</w:t>
            </w:r>
          </w:p>
        </w:tc>
        <w:tc>
          <w:tcPr>
            <w:tcW w:w="759" w:type="pct"/>
            <w:shd w:val="clear" w:color="auto" w:fill="auto"/>
            <w:vAlign w:val="top"/>
          </w:tcPr>
          <w:p w14:paraId="60B5F36B">
            <w:pPr>
              <w:spacing w:line="242" w:lineRule="auto"/>
              <w:rPr>
                <w:rFonts w:ascii="Arial"/>
                <w:sz w:val="24"/>
                <w:szCs w:val="24"/>
              </w:rPr>
            </w:pPr>
          </w:p>
          <w:p w14:paraId="0E35D749">
            <w:pPr>
              <w:spacing w:line="242" w:lineRule="auto"/>
              <w:rPr>
                <w:rFonts w:ascii="Arial"/>
                <w:sz w:val="24"/>
                <w:szCs w:val="24"/>
              </w:rPr>
            </w:pPr>
          </w:p>
          <w:p w14:paraId="242F8DC7">
            <w:pPr>
              <w:spacing w:line="242" w:lineRule="auto"/>
              <w:rPr>
                <w:rFonts w:ascii="Arial"/>
                <w:sz w:val="24"/>
                <w:szCs w:val="24"/>
              </w:rPr>
            </w:pPr>
          </w:p>
          <w:p w14:paraId="3940FD17">
            <w:pPr>
              <w:spacing w:line="242" w:lineRule="auto"/>
              <w:rPr>
                <w:rFonts w:ascii="Arial"/>
                <w:sz w:val="24"/>
                <w:szCs w:val="24"/>
              </w:rPr>
            </w:pPr>
          </w:p>
          <w:p w14:paraId="5EA677E7">
            <w:pPr>
              <w:spacing w:line="242" w:lineRule="auto"/>
              <w:rPr>
                <w:rFonts w:ascii="Arial"/>
                <w:sz w:val="24"/>
                <w:szCs w:val="24"/>
              </w:rPr>
            </w:pPr>
          </w:p>
          <w:p w14:paraId="33CDC99A">
            <w:pPr>
              <w:spacing w:line="242" w:lineRule="auto"/>
              <w:rPr>
                <w:rFonts w:ascii="Arial"/>
                <w:sz w:val="24"/>
                <w:szCs w:val="24"/>
              </w:rPr>
            </w:pPr>
          </w:p>
          <w:p w14:paraId="2B08D3AE">
            <w:pPr>
              <w:spacing w:line="243" w:lineRule="auto"/>
              <w:rPr>
                <w:rFonts w:ascii="Arial"/>
                <w:sz w:val="24"/>
                <w:szCs w:val="24"/>
              </w:rPr>
            </w:pPr>
          </w:p>
          <w:p w14:paraId="22A8A6BC">
            <w:pPr>
              <w:pStyle w:val="133"/>
              <w:spacing w:before="56" w:line="213" w:lineRule="auto"/>
              <w:ind w:left="22" w:leftChars="0" w:right="61" w:rightChars="0"/>
              <w:rPr>
                <w:rFonts w:ascii="宋体" w:hAnsi="宋体" w:eastAsia="宋体" w:cs="宋体"/>
                <w:snapToGrid w:val="0"/>
                <w:color w:val="000000"/>
                <w:kern w:val="0"/>
                <w:sz w:val="24"/>
                <w:szCs w:val="24"/>
                <w:lang w:val="en-US" w:eastAsia="en-US" w:bidi="ar-SA"/>
              </w:rPr>
            </w:pPr>
            <w:r>
              <w:rPr>
                <w:spacing w:val="8"/>
                <w:sz w:val="24"/>
                <w:szCs w:val="24"/>
              </w:rPr>
              <w:t>沥青路面局部裁</w:t>
            </w:r>
            <w:r>
              <w:rPr>
                <w:spacing w:val="7"/>
                <w:sz w:val="24"/>
                <w:szCs w:val="24"/>
              </w:rPr>
              <w:t>切修复</w:t>
            </w:r>
          </w:p>
        </w:tc>
        <w:tc>
          <w:tcPr>
            <w:tcW w:w="1173" w:type="pct"/>
            <w:shd w:val="clear" w:color="auto" w:fill="auto"/>
            <w:vAlign w:val="top"/>
          </w:tcPr>
          <w:p w14:paraId="72C7AAC3">
            <w:pPr>
              <w:spacing w:line="356" w:lineRule="auto"/>
              <w:rPr>
                <w:rFonts w:ascii="Arial"/>
                <w:sz w:val="24"/>
                <w:szCs w:val="24"/>
              </w:rPr>
            </w:pPr>
          </w:p>
          <w:p w14:paraId="10583770">
            <w:pPr>
              <w:pStyle w:val="133"/>
              <w:spacing w:before="55" w:line="195" w:lineRule="auto"/>
              <w:ind w:left="24" w:right="67" w:firstLine="14"/>
              <w:rPr>
                <w:sz w:val="24"/>
                <w:szCs w:val="24"/>
              </w:rPr>
            </w:pPr>
            <w:r>
              <w:rPr>
                <w:spacing w:val="3"/>
                <w:sz w:val="24"/>
                <w:szCs w:val="24"/>
              </w:rPr>
              <w:t>1.裁切范围：矩形裁切，</w:t>
            </w:r>
            <w:r>
              <w:rPr>
                <w:spacing w:val="7"/>
                <w:sz w:val="24"/>
                <w:szCs w:val="24"/>
              </w:rPr>
              <w:t>边长≥1m，深度至基层顶</w:t>
            </w:r>
            <w:r>
              <w:rPr>
                <w:spacing w:val="-9"/>
                <w:sz w:val="24"/>
                <w:szCs w:val="24"/>
              </w:rPr>
              <w:t>面；</w:t>
            </w:r>
          </w:p>
          <w:p w14:paraId="6710F555">
            <w:pPr>
              <w:pStyle w:val="133"/>
              <w:spacing w:line="195" w:lineRule="auto"/>
              <w:ind w:left="27" w:right="57"/>
              <w:rPr>
                <w:sz w:val="24"/>
                <w:szCs w:val="24"/>
              </w:rPr>
            </w:pPr>
            <w:r>
              <w:rPr>
                <w:spacing w:val="8"/>
                <w:sz w:val="24"/>
                <w:szCs w:val="24"/>
              </w:rPr>
              <w:t>2.基层处理：清理裁切面</w:t>
            </w:r>
            <w:r>
              <w:rPr>
                <w:sz w:val="24"/>
                <w:szCs w:val="24"/>
              </w:rPr>
              <w:t xml:space="preserve"> </w:t>
            </w:r>
            <w:r>
              <w:rPr>
                <w:spacing w:val="14"/>
                <w:sz w:val="24"/>
                <w:szCs w:val="24"/>
              </w:rPr>
              <w:t>,基层压实度不足时采用</w:t>
            </w:r>
            <w:r>
              <w:rPr>
                <w:spacing w:val="3"/>
                <w:sz w:val="24"/>
                <w:szCs w:val="24"/>
              </w:rPr>
              <w:t>水泥稳定碎石补强；</w:t>
            </w:r>
          </w:p>
          <w:p w14:paraId="267AC916">
            <w:pPr>
              <w:pStyle w:val="133"/>
              <w:spacing w:before="1" w:line="195" w:lineRule="auto"/>
              <w:ind w:left="24" w:right="57" w:firstLine="4"/>
              <w:rPr>
                <w:sz w:val="24"/>
                <w:szCs w:val="24"/>
              </w:rPr>
            </w:pPr>
            <w:r>
              <w:rPr>
                <w:spacing w:val="8"/>
                <w:sz w:val="24"/>
                <w:szCs w:val="24"/>
              </w:rPr>
              <w:t>3.沥青面层：下面层</w:t>
            </w:r>
            <w:r>
              <w:rPr>
                <w:sz w:val="24"/>
                <w:szCs w:val="24"/>
              </w:rPr>
              <w:t>AC</w:t>
            </w:r>
            <w:r>
              <w:rPr>
                <w:spacing w:val="8"/>
                <w:sz w:val="24"/>
                <w:szCs w:val="24"/>
              </w:rPr>
              <w:t>-2</w:t>
            </w:r>
            <w:r>
              <w:rPr>
                <w:sz w:val="24"/>
                <w:szCs w:val="24"/>
              </w:rPr>
              <w:t xml:space="preserve"> </w:t>
            </w:r>
            <w:r>
              <w:rPr>
                <w:spacing w:val="8"/>
                <w:sz w:val="24"/>
                <w:szCs w:val="24"/>
              </w:rPr>
              <w:t>0C中粒式沥青混凝土（厚度70</w:t>
            </w:r>
            <w:r>
              <w:rPr>
                <w:sz w:val="24"/>
                <w:szCs w:val="24"/>
              </w:rPr>
              <w:t>mm</w:t>
            </w:r>
            <w:r>
              <w:rPr>
                <w:spacing w:val="9"/>
                <w:sz w:val="24"/>
                <w:szCs w:val="24"/>
              </w:rPr>
              <w:t>），</w:t>
            </w:r>
            <w:r>
              <w:rPr>
                <w:spacing w:val="8"/>
                <w:sz w:val="24"/>
                <w:szCs w:val="24"/>
              </w:rPr>
              <w:t>上面层</w:t>
            </w:r>
            <w:r>
              <w:rPr>
                <w:sz w:val="24"/>
                <w:szCs w:val="24"/>
              </w:rPr>
              <w:t>AC</w:t>
            </w:r>
            <w:r>
              <w:rPr>
                <w:spacing w:val="8"/>
                <w:sz w:val="24"/>
                <w:szCs w:val="24"/>
              </w:rPr>
              <w:t>-13C</w:t>
            </w:r>
            <w:r>
              <w:rPr>
                <w:spacing w:val="9"/>
                <w:sz w:val="24"/>
                <w:szCs w:val="24"/>
              </w:rPr>
              <w:t>细粒式沥青混凝土（厚度</w:t>
            </w:r>
            <w:r>
              <w:rPr>
                <w:spacing w:val="6"/>
                <w:sz w:val="24"/>
                <w:szCs w:val="24"/>
              </w:rPr>
              <w:t>50</w:t>
            </w:r>
            <w:r>
              <w:rPr>
                <w:sz w:val="24"/>
                <w:szCs w:val="24"/>
              </w:rPr>
              <w:t>mm</w:t>
            </w:r>
            <w:r>
              <w:rPr>
                <w:spacing w:val="-7"/>
                <w:sz w:val="24"/>
                <w:szCs w:val="24"/>
              </w:rPr>
              <w:t>）；</w:t>
            </w:r>
          </w:p>
          <w:p w14:paraId="34A33808">
            <w:pPr>
              <w:pStyle w:val="133"/>
              <w:spacing w:before="1" w:line="195" w:lineRule="auto"/>
              <w:ind w:left="25" w:right="57" w:hanging="1"/>
              <w:rPr>
                <w:sz w:val="24"/>
                <w:szCs w:val="24"/>
              </w:rPr>
            </w:pPr>
            <w:r>
              <w:rPr>
                <w:spacing w:val="8"/>
                <w:sz w:val="24"/>
                <w:szCs w:val="24"/>
              </w:rPr>
              <w:t>4.粘层油：喷洒乳化沥青</w:t>
            </w:r>
            <w:r>
              <w:rPr>
                <w:spacing w:val="3"/>
                <w:sz w:val="24"/>
                <w:szCs w:val="24"/>
              </w:rPr>
              <w:t xml:space="preserve"> </w:t>
            </w:r>
            <w:r>
              <w:rPr>
                <w:spacing w:val="15"/>
                <w:sz w:val="24"/>
                <w:szCs w:val="24"/>
              </w:rPr>
              <w:t>,用量0.3-0.5L/m²,确</w:t>
            </w:r>
            <w:r>
              <w:rPr>
                <w:sz w:val="24"/>
                <w:szCs w:val="24"/>
              </w:rPr>
              <w:t>保层间粘结；</w:t>
            </w:r>
          </w:p>
          <w:p w14:paraId="176DA258">
            <w:pPr>
              <w:pStyle w:val="133"/>
              <w:spacing w:before="2" w:line="207" w:lineRule="auto"/>
              <w:ind w:left="24" w:leftChars="0" w:right="57" w:rightChars="0" w:firstLine="4" w:firstLineChars="0"/>
              <w:rPr>
                <w:rFonts w:ascii="宋体" w:hAnsi="宋体" w:eastAsia="宋体" w:cs="宋体"/>
                <w:snapToGrid w:val="0"/>
                <w:color w:val="000000"/>
                <w:kern w:val="0"/>
                <w:sz w:val="24"/>
                <w:szCs w:val="24"/>
                <w:lang w:val="en-US" w:eastAsia="en-US" w:bidi="ar-SA"/>
              </w:rPr>
            </w:pPr>
            <w:r>
              <w:rPr>
                <w:spacing w:val="8"/>
                <w:sz w:val="24"/>
                <w:szCs w:val="24"/>
              </w:rPr>
              <w:t>5.压实：分层碾压，压实</w:t>
            </w:r>
            <w:r>
              <w:rPr>
                <w:spacing w:val="7"/>
                <w:sz w:val="24"/>
                <w:szCs w:val="24"/>
              </w:rPr>
              <w:t>度≥96%，与原有路面高</w:t>
            </w:r>
            <w:r>
              <w:rPr>
                <w:spacing w:val="6"/>
                <w:sz w:val="24"/>
                <w:szCs w:val="24"/>
              </w:rPr>
              <w:t>差≤3</w:t>
            </w:r>
            <w:r>
              <w:rPr>
                <w:sz w:val="24"/>
                <w:szCs w:val="24"/>
              </w:rPr>
              <w:t>mm</w:t>
            </w:r>
            <w:r>
              <w:rPr>
                <w:spacing w:val="6"/>
                <w:sz w:val="24"/>
                <w:szCs w:val="24"/>
              </w:rPr>
              <w:t>；</w:t>
            </w:r>
          </w:p>
        </w:tc>
        <w:tc>
          <w:tcPr>
            <w:tcW w:w="610" w:type="pct"/>
            <w:shd w:val="clear" w:color="auto" w:fill="auto"/>
            <w:vAlign w:val="top"/>
          </w:tcPr>
          <w:p w14:paraId="7748A888">
            <w:pPr>
              <w:spacing w:line="255" w:lineRule="auto"/>
              <w:rPr>
                <w:rFonts w:ascii="Arial"/>
                <w:sz w:val="24"/>
                <w:szCs w:val="24"/>
              </w:rPr>
            </w:pPr>
          </w:p>
          <w:p w14:paraId="774DAF99">
            <w:pPr>
              <w:spacing w:line="255" w:lineRule="auto"/>
              <w:rPr>
                <w:rFonts w:ascii="Arial"/>
                <w:sz w:val="24"/>
                <w:szCs w:val="24"/>
              </w:rPr>
            </w:pPr>
          </w:p>
          <w:p w14:paraId="1EA62B3F">
            <w:pPr>
              <w:spacing w:line="255" w:lineRule="auto"/>
              <w:rPr>
                <w:rFonts w:ascii="Arial"/>
                <w:sz w:val="24"/>
                <w:szCs w:val="24"/>
              </w:rPr>
            </w:pPr>
          </w:p>
          <w:p w14:paraId="69E576D7">
            <w:pPr>
              <w:spacing w:line="255" w:lineRule="auto"/>
              <w:rPr>
                <w:rFonts w:ascii="Arial"/>
                <w:sz w:val="24"/>
                <w:szCs w:val="24"/>
              </w:rPr>
            </w:pPr>
          </w:p>
          <w:p w14:paraId="6A4E7ECE">
            <w:pPr>
              <w:spacing w:line="255" w:lineRule="auto"/>
              <w:rPr>
                <w:rFonts w:ascii="Arial"/>
                <w:sz w:val="24"/>
                <w:szCs w:val="24"/>
              </w:rPr>
            </w:pPr>
          </w:p>
          <w:p w14:paraId="770D3CA8">
            <w:pPr>
              <w:spacing w:line="255" w:lineRule="auto"/>
              <w:rPr>
                <w:rFonts w:ascii="Arial"/>
                <w:sz w:val="24"/>
                <w:szCs w:val="24"/>
              </w:rPr>
            </w:pPr>
          </w:p>
          <w:p w14:paraId="1CA9BC1D">
            <w:pPr>
              <w:spacing w:line="255" w:lineRule="auto"/>
              <w:rPr>
                <w:rFonts w:ascii="Arial"/>
                <w:sz w:val="24"/>
                <w:szCs w:val="24"/>
              </w:rPr>
            </w:pPr>
          </w:p>
          <w:p w14:paraId="759D24EB">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7A946F62">
            <w:pPr>
              <w:spacing w:line="255" w:lineRule="auto"/>
              <w:rPr>
                <w:rFonts w:ascii="Arial"/>
                <w:sz w:val="24"/>
                <w:szCs w:val="24"/>
              </w:rPr>
            </w:pPr>
          </w:p>
          <w:p w14:paraId="2F72A77A">
            <w:pPr>
              <w:spacing w:line="255" w:lineRule="auto"/>
              <w:rPr>
                <w:rFonts w:ascii="Arial"/>
                <w:sz w:val="24"/>
                <w:szCs w:val="24"/>
              </w:rPr>
            </w:pPr>
          </w:p>
          <w:p w14:paraId="351B7213">
            <w:pPr>
              <w:spacing w:line="255" w:lineRule="auto"/>
              <w:rPr>
                <w:rFonts w:ascii="Arial"/>
                <w:sz w:val="24"/>
                <w:szCs w:val="24"/>
              </w:rPr>
            </w:pPr>
          </w:p>
          <w:p w14:paraId="5386D780">
            <w:pPr>
              <w:spacing w:line="255" w:lineRule="auto"/>
              <w:rPr>
                <w:rFonts w:ascii="Arial"/>
                <w:sz w:val="24"/>
                <w:szCs w:val="24"/>
              </w:rPr>
            </w:pPr>
          </w:p>
          <w:p w14:paraId="058A4BF5">
            <w:pPr>
              <w:spacing w:line="255" w:lineRule="auto"/>
              <w:rPr>
                <w:rFonts w:ascii="Arial"/>
                <w:sz w:val="24"/>
                <w:szCs w:val="24"/>
              </w:rPr>
            </w:pPr>
          </w:p>
          <w:p w14:paraId="0F2C20CF">
            <w:pPr>
              <w:spacing w:line="255" w:lineRule="auto"/>
              <w:rPr>
                <w:rFonts w:ascii="Arial"/>
                <w:sz w:val="24"/>
                <w:szCs w:val="24"/>
              </w:rPr>
            </w:pPr>
          </w:p>
          <w:p w14:paraId="1C19EF16">
            <w:pPr>
              <w:spacing w:line="255" w:lineRule="auto"/>
              <w:rPr>
                <w:rFonts w:ascii="Arial"/>
                <w:sz w:val="24"/>
                <w:szCs w:val="24"/>
              </w:rPr>
            </w:pPr>
          </w:p>
          <w:p w14:paraId="458FBEF5">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1FE8CC82">
            <w:pPr>
              <w:pStyle w:val="133"/>
              <w:spacing w:before="55" w:line="232" w:lineRule="exact"/>
              <w:ind w:left="372"/>
              <w:rPr>
                <w:position w:val="1"/>
                <w:sz w:val="24"/>
                <w:szCs w:val="24"/>
              </w:rPr>
            </w:pPr>
          </w:p>
          <w:p w14:paraId="6E5937B0">
            <w:pPr>
              <w:pStyle w:val="133"/>
              <w:spacing w:before="55" w:line="232" w:lineRule="exact"/>
              <w:ind w:left="372"/>
              <w:rPr>
                <w:position w:val="1"/>
                <w:sz w:val="24"/>
                <w:szCs w:val="24"/>
              </w:rPr>
            </w:pPr>
          </w:p>
          <w:p w14:paraId="0370FFDF">
            <w:pPr>
              <w:pStyle w:val="133"/>
              <w:spacing w:before="55" w:line="232" w:lineRule="exact"/>
              <w:ind w:left="372"/>
              <w:rPr>
                <w:position w:val="1"/>
                <w:sz w:val="24"/>
                <w:szCs w:val="24"/>
              </w:rPr>
            </w:pPr>
          </w:p>
          <w:p w14:paraId="1300F6F2">
            <w:pPr>
              <w:pStyle w:val="133"/>
              <w:spacing w:before="55" w:line="232" w:lineRule="exact"/>
              <w:ind w:left="372"/>
              <w:rPr>
                <w:position w:val="1"/>
                <w:sz w:val="24"/>
                <w:szCs w:val="24"/>
              </w:rPr>
            </w:pPr>
          </w:p>
          <w:p w14:paraId="69CC9315">
            <w:pPr>
              <w:pStyle w:val="133"/>
              <w:spacing w:before="55" w:line="232" w:lineRule="exact"/>
              <w:ind w:left="372"/>
              <w:rPr>
                <w:position w:val="1"/>
                <w:sz w:val="24"/>
                <w:szCs w:val="24"/>
              </w:rPr>
            </w:pPr>
          </w:p>
          <w:p w14:paraId="2453F9DC">
            <w:pPr>
              <w:pStyle w:val="133"/>
              <w:spacing w:before="55" w:line="232" w:lineRule="exact"/>
              <w:ind w:left="372"/>
              <w:rPr>
                <w:position w:val="1"/>
                <w:sz w:val="24"/>
                <w:szCs w:val="24"/>
              </w:rPr>
            </w:pPr>
          </w:p>
          <w:p w14:paraId="11FE6F93">
            <w:pPr>
              <w:pStyle w:val="133"/>
              <w:spacing w:before="55" w:line="232" w:lineRule="exact"/>
              <w:ind w:left="372"/>
              <w:rPr>
                <w:position w:val="1"/>
                <w:sz w:val="24"/>
                <w:szCs w:val="24"/>
              </w:rPr>
            </w:pPr>
          </w:p>
          <w:p w14:paraId="3240A9F4">
            <w:pPr>
              <w:pStyle w:val="133"/>
              <w:spacing w:before="55" w:line="232" w:lineRule="exact"/>
              <w:ind w:left="372"/>
              <w:rPr>
                <w:position w:val="1"/>
                <w:sz w:val="24"/>
                <w:szCs w:val="24"/>
              </w:rPr>
            </w:pPr>
          </w:p>
          <w:p w14:paraId="22E94786">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145</w:t>
            </w:r>
          </w:p>
        </w:tc>
      </w:tr>
      <w:tr w14:paraId="1B7F3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2E4BAC9">
            <w:pPr>
              <w:spacing w:line="272" w:lineRule="auto"/>
              <w:rPr>
                <w:rFonts w:ascii="Arial"/>
                <w:sz w:val="24"/>
                <w:szCs w:val="24"/>
              </w:rPr>
            </w:pPr>
          </w:p>
          <w:p w14:paraId="5D7753BA">
            <w:pPr>
              <w:spacing w:line="273" w:lineRule="auto"/>
              <w:rPr>
                <w:rFonts w:ascii="Arial"/>
                <w:sz w:val="24"/>
                <w:szCs w:val="24"/>
              </w:rPr>
            </w:pPr>
          </w:p>
          <w:p w14:paraId="3A73A467">
            <w:pPr>
              <w:spacing w:line="273" w:lineRule="auto"/>
              <w:rPr>
                <w:rFonts w:ascii="Arial"/>
                <w:sz w:val="24"/>
                <w:szCs w:val="24"/>
              </w:rPr>
            </w:pPr>
          </w:p>
          <w:p w14:paraId="369F35C8">
            <w:pPr>
              <w:pStyle w:val="133"/>
              <w:spacing w:before="55" w:line="232"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24</w:t>
            </w:r>
          </w:p>
        </w:tc>
        <w:tc>
          <w:tcPr>
            <w:tcW w:w="645" w:type="pct"/>
            <w:shd w:val="clear" w:color="auto" w:fill="auto"/>
            <w:vAlign w:val="top"/>
          </w:tcPr>
          <w:p w14:paraId="0F49C491">
            <w:pPr>
              <w:spacing w:line="272" w:lineRule="auto"/>
              <w:rPr>
                <w:rFonts w:ascii="Arial"/>
                <w:sz w:val="24"/>
                <w:szCs w:val="24"/>
              </w:rPr>
            </w:pPr>
          </w:p>
          <w:p w14:paraId="073A43B3">
            <w:pPr>
              <w:spacing w:line="273" w:lineRule="auto"/>
              <w:rPr>
                <w:rFonts w:ascii="Arial"/>
                <w:sz w:val="24"/>
                <w:szCs w:val="24"/>
              </w:rPr>
            </w:pPr>
          </w:p>
          <w:p w14:paraId="242AD49A">
            <w:pPr>
              <w:spacing w:line="273" w:lineRule="auto"/>
              <w:rPr>
                <w:rFonts w:ascii="Arial"/>
                <w:sz w:val="24"/>
                <w:szCs w:val="24"/>
              </w:rPr>
            </w:pPr>
          </w:p>
          <w:p w14:paraId="3790175F">
            <w:pPr>
              <w:pStyle w:val="133"/>
              <w:spacing w:before="55" w:line="231" w:lineRule="exact"/>
              <w:ind w:left="16" w:leftChars="0"/>
              <w:rPr>
                <w:rFonts w:ascii="宋体" w:hAnsi="宋体" w:eastAsia="宋体" w:cs="宋体"/>
                <w:snapToGrid w:val="0"/>
                <w:color w:val="000000"/>
                <w:kern w:val="0"/>
                <w:sz w:val="24"/>
                <w:szCs w:val="24"/>
                <w:lang w:val="en-US" w:eastAsia="en-US" w:bidi="ar-SA"/>
              </w:rPr>
            </w:pPr>
            <w:r>
              <w:rPr>
                <w:spacing w:val="4"/>
                <w:position w:val="1"/>
                <w:sz w:val="24"/>
                <w:szCs w:val="24"/>
              </w:rPr>
              <w:t>040203007003</w:t>
            </w:r>
          </w:p>
        </w:tc>
        <w:tc>
          <w:tcPr>
            <w:tcW w:w="759" w:type="pct"/>
            <w:shd w:val="clear" w:color="auto" w:fill="auto"/>
            <w:vAlign w:val="top"/>
          </w:tcPr>
          <w:p w14:paraId="116DB81C">
            <w:pPr>
              <w:spacing w:line="242" w:lineRule="auto"/>
              <w:rPr>
                <w:rFonts w:ascii="Arial"/>
                <w:sz w:val="24"/>
                <w:szCs w:val="24"/>
              </w:rPr>
            </w:pPr>
          </w:p>
          <w:p w14:paraId="0125B987">
            <w:pPr>
              <w:spacing w:line="243" w:lineRule="auto"/>
              <w:rPr>
                <w:rFonts w:ascii="Arial"/>
                <w:sz w:val="24"/>
                <w:szCs w:val="24"/>
              </w:rPr>
            </w:pPr>
          </w:p>
          <w:p w14:paraId="230EF9E9">
            <w:pPr>
              <w:spacing w:line="243" w:lineRule="auto"/>
              <w:rPr>
                <w:rFonts w:ascii="Arial"/>
                <w:sz w:val="24"/>
                <w:szCs w:val="24"/>
              </w:rPr>
            </w:pPr>
          </w:p>
          <w:p w14:paraId="5D681AC3">
            <w:pPr>
              <w:pStyle w:val="133"/>
              <w:spacing w:before="55" w:line="213" w:lineRule="auto"/>
              <w:ind w:left="23" w:leftChars="0" w:right="61" w:rightChars="0" w:firstLine="1" w:firstLineChars="0"/>
              <w:rPr>
                <w:rFonts w:ascii="宋体" w:hAnsi="宋体" w:eastAsia="宋体" w:cs="宋体"/>
                <w:snapToGrid w:val="0"/>
                <w:color w:val="000000"/>
                <w:kern w:val="0"/>
                <w:sz w:val="24"/>
                <w:szCs w:val="24"/>
                <w:lang w:val="en-US" w:eastAsia="en-US" w:bidi="ar-SA"/>
              </w:rPr>
            </w:pPr>
            <w:r>
              <w:rPr>
                <w:spacing w:val="8"/>
                <w:sz w:val="24"/>
                <w:szCs w:val="24"/>
              </w:rPr>
              <w:t>混凝土路面局部</w:t>
            </w:r>
            <w:r>
              <w:rPr>
                <w:spacing w:val="7"/>
                <w:sz w:val="24"/>
                <w:szCs w:val="24"/>
              </w:rPr>
              <w:t>裁切修复</w:t>
            </w:r>
          </w:p>
        </w:tc>
        <w:tc>
          <w:tcPr>
            <w:tcW w:w="1173" w:type="pct"/>
            <w:shd w:val="clear" w:color="auto" w:fill="auto"/>
            <w:vAlign w:val="top"/>
          </w:tcPr>
          <w:p w14:paraId="2358420A">
            <w:pPr>
              <w:spacing w:line="283" w:lineRule="auto"/>
              <w:rPr>
                <w:rFonts w:ascii="Arial"/>
                <w:sz w:val="24"/>
                <w:szCs w:val="24"/>
              </w:rPr>
            </w:pPr>
          </w:p>
          <w:p w14:paraId="6654EE0A">
            <w:pPr>
              <w:pStyle w:val="133"/>
              <w:spacing w:before="55" w:line="195" w:lineRule="auto"/>
              <w:ind w:left="25" w:right="57" w:firstLine="12"/>
              <w:rPr>
                <w:sz w:val="24"/>
                <w:szCs w:val="24"/>
              </w:rPr>
            </w:pPr>
            <w:r>
              <w:rPr>
                <w:spacing w:val="7"/>
                <w:sz w:val="24"/>
                <w:szCs w:val="24"/>
              </w:rPr>
              <w:t>1.裁切：采用切缝机矩形裁切，缝宽5-8</w:t>
            </w:r>
            <w:r>
              <w:rPr>
                <w:sz w:val="24"/>
                <w:szCs w:val="24"/>
              </w:rPr>
              <w:t>mm</w:t>
            </w:r>
            <w:r>
              <w:rPr>
                <w:spacing w:val="7"/>
                <w:sz w:val="24"/>
                <w:szCs w:val="24"/>
              </w:rPr>
              <w:t>，深度</w:t>
            </w:r>
            <w:r>
              <w:rPr>
                <w:spacing w:val="-3"/>
                <w:sz w:val="24"/>
                <w:szCs w:val="24"/>
              </w:rPr>
              <w:t>至基层；</w:t>
            </w:r>
          </w:p>
          <w:p w14:paraId="37535A13">
            <w:pPr>
              <w:pStyle w:val="133"/>
              <w:spacing w:line="195" w:lineRule="auto"/>
              <w:ind w:left="28" w:right="57" w:hanging="1"/>
              <w:rPr>
                <w:sz w:val="24"/>
                <w:szCs w:val="24"/>
              </w:rPr>
            </w:pPr>
            <w:r>
              <w:rPr>
                <w:spacing w:val="4"/>
                <w:sz w:val="24"/>
                <w:szCs w:val="24"/>
              </w:rPr>
              <w:t>2.基础：</w:t>
            </w:r>
            <w:r>
              <w:rPr>
                <w:spacing w:val="-46"/>
                <w:sz w:val="24"/>
                <w:szCs w:val="24"/>
              </w:rPr>
              <w:t xml:space="preserve"> </w:t>
            </w:r>
            <w:r>
              <w:rPr>
                <w:spacing w:val="4"/>
                <w:sz w:val="24"/>
                <w:szCs w:val="24"/>
              </w:rPr>
              <w:t>C20混凝土基础</w:t>
            </w:r>
            <w:r>
              <w:rPr>
                <w:sz w:val="24"/>
                <w:szCs w:val="24"/>
              </w:rPr>
              <w:t xml:space="preserve">  </w:t>
            </w:r>
            <w:r>
              <w:rPr>
                <w:spacing w:val="15"/>
                <w:sz w:val="24"/>
                <w:szCs w:val="24"/>
              </w:rPr>
              <w:t>,厚度100</w:t>
            </w:r>
            <w:r>
              <w:rPr>
                <w:sz w:val="24"/>
                <w:szCs w:val="24"/>
              </w:rPr>
              <w:t>mm</w:t>
            </w:r>
            <w:r>
              <w:rPr>
                <w:spacing w:val="15"/>
                <w:sz w:val="24"/>
                <w:szCs w:val="24"/>
              </w:rPr>
              <w:t>，压实度≥9</w:t>
            </w:r>
            <w:r>
              <w:rPr>
                <w:sz w:val="24"/>
                <w:szCs w:val="24"/>
              </w:rPr>
              <w:t xml:space="preserve"> </w:t>
            </w:r>
            <w:r>
              <w:rPr>
                <w:spacing w:val="-1"/>
                <w:sz w:val="24"/>
                <w:szCs w:val="24"/>
              </w:rPr>
              <w:t>5%；</w:t>
            </w:r>
          </w:p>
          <w:p w14:paraId="0B4A57B9">
            <w:pPr>
              <w:pStyle w:val="133"/>
              <w:spacing w:before="55" w:line="195" w:lineRule="auto"/>
              <w:ind w:left="25" w:right="58"/>
              <w:rPr>
                <w:sz w:val="24"/>
                <w:szCs w:val="24"/>
              </w:rPr>
            </w:pPr>
            <w:r>
              <w:rPr>
                <w:spacing w:val="3"/>
                <w:sz w:val="24"/>
                <w:szCs w:val="24"/>
              </w:rPr>
              <w:t>3.面层：</w:t>
            </w:r>
            <w:r>
              <w:rPr>
                <w:spacing w:val="-41"/>
                <w:sz w:val="24"/>
                <w:szCs w:val="24"/>
              </w:rPr>
              <w:t xml:space="preserve"> </w:t>
            </w:r>
            <w:r>
              <w:rPr>
                <w:spacing w:val="3"/>
                <w:sz w:val="24"/>
                <w:szCs w:val="24"/>
              </w:rPr>
              <w:t>C30钢筋混凝</w:t>
            </w:r>
            <w:r>
              <w:rPr>
                <w:spacing w:val="8"/>
                <w:sz w:val="24"/>
                <w:szCs w:val="24"/>
              </w:rPr>
              <w:t>土，厚度220</w:t>
            </w:r>
            <w:r>
              <w:rPr>
                <w:sz w:val="24"/>
                <w:szCs w:val="24"/>
              </w:rPr>
              <w:t>mm</w:t>
            </w:r>
            <w:r>
              <w:rPr>
                <w:spacing w:val="8"/>
                <w:sz w:val="24"/>
                <w:szCs w:val="24"/>
              </w:rPr>
              <w:t>，配置Φ1</w:t>
            </w:r>
            <w:r>
              <w:rPr>
                <w:spacing w:val="1"/>
                <w:sz w:val="24"/>
                <w:szCs w:val="24"/>
              </w:rPr>
              <w:t xml:space="preserve"> </w:t>
            </w:r>
            <w:r>
              <w:rPr>
                <w:spacing w:val="-1"/>
                <w:sz w:val="24"/>
                <w:szCs w:val="24"/>
              </w:rPr>
              <w:t>6@200×</w:t>
            </w:r>
            <w:r>
              <w:rPr>
                <w:spacing w:val="-28"/>
                <w:sz w:val="24"/>
                <w:szCs w:val="24"/>
              </w:rPr>
              <w:t xml:space="preserve"> </w:t>
            </w:r>
            <w:r>
              <w:rPr>
                <w:spacing w:val="-1"/>
                <w:sz w:val="24"/>
                <w:szCs w:val="24"/>
              </w:rPr>
              <w:t>200mm钢筋网；</w:t>
            </w:r>
          </w:p>
          <w:p w14:paraId="61EDF077">
            <w:pPr>
              <w:pStyle w:val="133"/>
              <w:spacing w:line="195" w:lineRule="auto"/>
              <w:ind w:left="25" w:right="57" w:hanging="1"/>
              <w:rPr>
                <w:sz w:val="24"/>
                <w:szCs w:val="24"/>
              </w:rPr>
            </w:pPr>
            <w:r>
              <w:rPr>
                <w:spacing w:val="7"/>
                <w:sz w:val="24"/>
                <w:szCs w:val="24"/>
              </w:rPr>
              <w:t>4.切缝：纵向缩缝间距4-</w:t>
            </w:r>
            <w:r>
              <w:rPr>
                <w:spacing w:val="8"/>
                <w:sz w:val="24"/>
                <w:szCs w:val="24"/>
              </w:rPr>
              <w:t xml:space="preserve"> </w:t>
            </w:r>
            <w:r>
              <w:rPr>
                <w:spacing w:val="7"/>
                <w:sz w:val="24"/>
                <w:szCs w:val="24"/>
              </w:rPr>
              <w:t>5m，横向缩缝间距6-8m，</w:t>
            </w:r>
            <w:r>
              <w:rPr>
                <w:spacing w:val="4"/>
                <w:sz w:val="24"/>
                <w:szCs w:val="24"/>
              </w:rPr>
              <w:t>缝内填聚氨酯密封胶；</w:t>
            </w:r>
          </w:p>
          <w:p w14:paraId="574F594B">
            <w:pPr>
              <w:pStyle w:val="133"/>
              <w:spacing w:line="230" w:lineRule="auto"/>
              <w:ind w:left="28" w:leftChars="0"/>
              <w:rPr>
                <w:rFonts w:ascii="宋体" w:hAnsi="宋体" w:eastAsia="宋体" w:cs="宋体"/>
                <w:snapToGrid w:val="0"/>
                <w:color w:val="000000"/>
                <w:kern w:val="0"/>
                <w:sz w:val="24"/>
                <w:szCs w:val="24"/>
                <w:lang w:val="en-US" w:eastAsia="en-US" w:bidi="ar-SA"/>
              </w:rPr>
            </w:pPr>
            <w:r>
              <w:rPr>
                <w:spacing w:val="8"/>
                <w:sz w:val="24"/>
                <w:szCs w:val="24"/>
              </w:rPr>
              <w:t>5.养护：采用覆膜养护≥</w:t>
            </w:r>
            <w:r>
              <w:rPr>
                <w:sz w:val="24"/>
                <w:szCs w:val="24"/>
              </w:rPr>
              <w:t xml:space="preserve"> </w:t>
            </w:r>
            <w:r>
              <w:rPr>
                <w:spacing w:val="8"/>
                <w:sz w:val="24"/>
                <w:szCs w:val="24"/>
              </w:rPr>
              <w:t>14天，强度达到设计值90</w:t>
            </w:r>
            <w:r>
              <w:rPr>
                <w:sz w:val="24"/>
                <w:szCs w:val="24"/>
              </w:rPr>
              <w:t xml:space="preserve"> </w:t>
            </w:r>
            <w:r>
              <w:rPr>
                <w:spacing w:val="3"/>
                <w:sz w:val="24"/>
                <w:szCs w:val="24"/>
              </w:rPr>
              <w:t>%后方可开放交通；</w:t>
            </w:r>
          </w:p>
        </w:tc>
        <w:tc>
          <w:tcPr>
            <w:tcW w:w="610" w:type="pct"/>
            <w:shd w:val="clear" w:color="auto" w:fill="auto"/>
            <w:vAlign w:val="top"/>
          </w:tcPr>
          <w:p w14:paraId="5B587CF9">
            <w:pPr>
              <w:spacing w:line="272" w:lineRule="auto"/>
              <w:rPr>
                <w:rFonts w:ascii="Arial"/>
                <w:sz w:val="24"/>
                <w:szCs w:val="24"/>
              </w:rPr>
            </w:pPr>
          </w:p>
          <w:p w14:paraId="3290CF80">
            <w:pPr>
              <w:spacing w:line="273" w:lineRule="auto"/>
              <w:rPr>
                <w:rFonts w:ascii="Arial"/>
                <w:sz w:val="24"/>
                <w:szCs w:val="24"/>
              </w:rPr>
            </w:pPr>
          </w:p>
          <w:p w14:paraId="31C95851">
            <w:pPr>
              <w:spacing w:line="273" w:lineRule="auto"/>
              <w:rPr>
                <w:rFonts w:ascii="Arial"/>
                <w:sz w:val="24"/>
                <w:szCs w:val="24"/>
              </w:rPr>
            </w:pPr>
          </w:p>
          <w:p w14:paraId="0DA8699C">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2DA29CB6">
            <w:pPr>
              <w:spacing w:line="272" w:lineRule="auto"/>
              <w:rPr>
                <w:rFonts w:ascii="Arial"/>
                <w:sz w:val="24"/>
                <w:szCs w:val="24"/>
              </w:rPr>
            </w:pPr>
          </w:p>
          <w:p w14:paraId="222C14DE">
            <w:pPr>
              <w:spacing w:line="273" w:lineRule="auto"/>
              <w:rPr>
                <w:rFonts w:ascii="Arial"/>
                <w:sz w:val="24"/>
                <w:szCs w:val="24"/>
              </w:rPr>
            </w:pPr>
          </w:p>
          <w:p w14:paraId="713494DC">
            <w:pPr>
              <w:spacing w:line="273" w:lineRule="auto"/>
              <w:rPr>
                <w:rFonts w:ascii="Arial"/>
                <w:sz w:val="24"/>
                <w:szCs w:val="24"/>
              </w:rPr>
            </w:pPr>
          </w:p>
          <w:p w14:paraId="47CFA447">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118C7BA1">
            <w:pPr>
              <w:pStyle w:val="133"/>
              <w:spacing w:before="55" w:line="232" w:lineRule="exact"/>
              <w:ind w:left="372"/>
              <w:rPr>
                <w:position w:val="1"/>
                <w:sz w:val="24"/>
                <w:szCs w:val="24"/>
              </w:rPr>
            </w:pPr>
          </w:p>
          <w:p w14:paraId="5C1CB475">
            <w:pPr>
              <w:pStyle w:val="133"/>
              <w:spacing w:before="55" w:line="232" w:lineRule="exact"/>
              <w:ind w:left="372"/>
              <w:rPr>
                <w:position w:val="1"/>
                <w:sz w:val="24"/>
                <w:szCs w:val="24"/>
              </w:rPr>
            </w:pPr>
          </w:p>
          <w:p w14:paraId="4DA98BFF">
            <w:pPr>
              <w:pStyle w:val="133"/>
              <w:spacing w:before="55" w:line="232" w:lineRule="exact"/>
              <w:ind w:left="372"/>
              <w:rPr>
                <w:position w:val="1"/>
                <w:sz w:val="24"/>
                <w:szCs w:val="24"/>
              </w:rPr>
            </w:pPr>
          </w:p>
          <w:p w14:paraId="44B65196">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255</w:t>
            </w:r>
          </w:p>
        </w:tc>
      </w:tr>
      <w:tr w14:paraId="5522E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05B0D7AB">
            <w:pPr>
              <w:spacing w:line="254" w:lineRule="auto"/>
              <w:rPr>
                <w:rFonts w:ascii="Arial"/>
                <w:sz w:val="24"/>
                <w:szCs w:val="24"/>
              </w:rPr>
            </w:pPr>
          </w:p>
          <w:p w14:paraId="57F7FDE2">
            <w:pPr>
              <w:spacing w:line="254" w:lineRule="auto"/>
              <w:rPr>
                <w:rFonts w:ascii="Arial"/>
                <w:sz w:val="24"/>
                <w:szCs w:val="24"/>
              </w:rPr>
            </w:pPr>
          </w:p>
          <w:p w14:paraId="00EEB15D">
            <w:pPr>
              <w:spacing w:line="255" w:lineRule="auto"/>
              <w:rPr>
                <w:rFonts w:ascii="Arial"/>
                <w:sz w:val="24"/>
                <w:szCs w:val="24"/>
              </w:rPr>
            </w:pPr>
          </w:p>
          <w:p w14:paraId="061A22D2">
            <w:pPr>
              <w:spacing w:line="255" w:lineRule="auto"/>
              <w:rPr>
                <w:rFonts w:ascii="Arial"/>
                <w:sz w:val="24"/>
                <w:szCs w:val="24"/>
              </w:rPr>
            </w:pPr>
          </w:p>
          <w:p w14:paraId="663252D6">
            <w:pPr>
              <w:spacing w:line="255" w:lineRule="auto"/>
              <w:rPr>
                <w:rFonts w:ascii="Arial"/>
                <w:sz w:val="24"/>
                <w:szCs w:val="24"/>
              </w:rPr>
            </w:pPr>
          </w:p>
          <w:p w14:paraId="799C0254">
            <w:pPr>
              <w:spacing w:line="255" w:lineRule="auto"/>
              <w:rPr>
                <w:rFonts w:ascii="Arial"/>
                <w:sz w:val="24"/>
                <w:szCs w:val="24"/>
              </w:rPr>
            </w:pPr>
          </w:p>
          <w:p w14:paraId="4E4F3163">
            <w:pPr>
              <w:spacing w:line="255" w:lineRule="auto"/>
              <w:rPr>
                <w:rFonts w:ascii="Arial"/>
                <w:sz w:val="24"/>
                <w:szCs w:val="24"/>
              </w:rPr>
            </w:pPr>
          </w:p>
          <w:p w14:paraId="3B92A958">
            <w:pPr>
              <w:pStyle w:val="133"/>
              <w:spacing w:before="55" w:line="231"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25</w:t>
            </w:r>
          </w:p>
        </w:tc>
        <w:tc>
          <w:tcPr>
            <w:tcW w:w="645" w:type="pct"/>
            <w:shd w:val="clear" w:color="auto" w:fill="auto"/>
            <w:vAlign w:val="top"/>
          </w:tcPr>
          <w:p w14:paraId="0DF3812D">
            <w:pPr>
              <w:spacing w:line="254" w:lineRule="auto"/>
              <w:rPr>
                <w:rFonts w:ascii="Arial"/>
                <w:sz w:val="24"/>
                <w:szCs w:val="24"/>
              </w:rPr>
            </w:pPr>
          </w:p>
          <w:p w14:paraId="4DAC95C6">
            <w:pPr>
              <w:spacing w:line="254" w:lineRule="auto"/>
              <w:rPr>
                <w:rFonts w:ascii="Arial"/>
                <w:sz w:val="24"/>
                <w:szCs w:val="24"/>
              </w:rPr>
            </w:pPr>
          </w:p>
          <w:p w14:paraId="79EB38AF">
            <w:pPr>
              <w:spacing w:line="255" w:lineRule="auto"/>
              <w:rPr>
                <w:rFonts w:ascii="Arial"/>
                <w:sz w:val="24"/>
                <w:szCs w:val="24"/>
              </w:rPr>
            </w:pPr>
          </w:p>
          <w:p w14:paraId="47980788">
            <w:pPr>
              <w:spacing w:line="255" w:lineRule="auto"/>
              <w:rPr>
                <w:rFonts w:ascii="Arial"/>
                <w:sz w:val="24"/>
                <w:szCs w:val="24"/>
              </w:rPr>
            </w:pPr>
          </w:p>
          <w:p w14:paraId="59DC0AF4">
            <w:pPr>
              <w:spacing w:line="255" w:lineRule="auto"/>
              <w:rPr>
                <w:rFonts w:ascii="Arial"/>
                <w:sz w:val="24"/>
                <w:szCs w:val="24"/>
              </w:rPr>
            </w:pPr>
          </w:p>
          <w:p w14:paraId="16D1739E">
            <w:pPr>
              <w:spacing w:line="255" w:lineRule="auto"/>
              <w:rPr>
                <w:rFonts w:ascii="Arial"/>
                <w:sz w:val="24"/>
                <w:szCs w:val="24"/>
              </w:rPr>
            </w:pPr>
          </w:p>
          <w:p w14:paraId="29D21E3D">
            <w:pPr>
              <w:spacing w:line="255" w:lineRule="auto"/>
              <w:rPr>
                <w:rFonts w:ascii="Arial"/>
                <w:sz w:val="24"/>
                <w:szCs w:val="24"/>
              </w:rPr>
            </w:pPr>
          </w:p>
          <w:p w14:paraId="47BD221E">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040202003001</w:t>
            </w:r>
          </w:p>
        </w:tc>
        <w:tc>
          <w:tcPr>
            <w:tcW w:w="759" w:type="pct"/>
            <w:shd w:val="clear" w:color="auto" w:fill="auto"/>
            <w:vAlign w:val="top"/>
          </w:tcPr>
          <w:p w14:paraId="4CC01E3C">
            <w:pPr>
              <w:spacing w:line="242" w:lineRule="auto"/>
              <w:rPr>
                <w:rFonts w:ascii="Arial"/>
                <w:sz w:val="24"/>
                <w:szCs w:val="24"/>
              </w:rPr>
            </w:pPr>
          </w:p>
          <w:p w14:paraId="4E3E1260">
            <w:pPr>
              <w:spacing w:line="242" w:lineRule="auto"/>
              <w:rPr>
                <w:rFonts w:ascii="Arial"/>
                <w:sz w:val="24"/>
                <w:szCs w:val="24"/>
              </w:rPr>
            </w:pPr>
          </w:p>
          <w:p w14:paraId="3EB1E855">
            <w:pPr>
              <w:spacing w:line="242" w:lineRule="auto"/>
              <w:rPr>
                <w:rFonts w:ascii="Arial"/>
                <w:sz w:val="24"/>
                <w:szCs w:val="24"/>
              </w:rPr>
            </w:pPr>
          </w:p>
          <w:p w14:paraId="25F25977">
            <w:pPr>
              <w:spacing w:line="242" w:lineRule="auto"/>
              <w:rPr>
                <w:rFonts w:ascii="Arial"/>
                <w:sz w:val="24"/>
                <w:szCs w:val="24"/>
              </w:rPr>
            </w:pPr>
          </w:p>
          <w:p w14:paraId="4459C289">
            <w:pPr>
              <w:spacing w:line="242" w:lineRule="auto"/>
              <w:rPr>
                <w:rFonts w:ascii="Arial"/>
                <w:sz w:val="24"/>
                <w:szCs w:val="24"/>
              </w:rPr>
            </w:pPr>
          </w:p>
          <w:p w14:paraId="1FC39460">
            <w:pPr>
              <w:spacing w:line="242" w:lineRule="auto"/>
              <w:rPr>
                <w:rFonts w:ascii="Arial"/>
                <w:sz w:val="24"/>
                <w:szCs w:val="24"/>
              </w:rPr>
            </w:pPr>
          </w:p>
          <w:p w14:paraId="2700062E">
            <w:pPr>
              <w:spacing w:line="242" w:lineRule="auto"/>
              <w:rPr>
                <w:rFonts w:ascii="Arial"/>
                <w:sz w:val="24"/>
                <w:szCs w:val="24"/>
              </w:rPr>
            </w:pPr>
          </w:p>
          <w:p w14:paraId="6E2B14DE">
            <w:pPr>
              <w:pStyle w:val="133"/>
              <w:spacing w:before="55" w:line="213" w:lineRule="auto"/>
              <w:ind w:left="22" w:leftChars="0" w:right="61" w:rightChars="0"/>
              <w:rPr>
                <w:rFonts w:ascii="宋体" w:hAnsi="宋体" w:eastAsia="宋体" w:cs="宋体"/>
                <w:snapToGrid w:val="0"/>
                <w:color w:val="000000"/>
                <w:kern w:val="0"/>
                <w:sz w:val="24"/>
                <w:szCs w:val="24"/>
                <w:lang w:val="en-US" w:eastAsia="en-US" w:bidi="ar-SA"/>
              </w:rPr>
            </w:pPr>
            <w:r>
              <w:rPr>
                <w:spacing w:val="8"/>
                <w:sz w:val="24"/>
                <w:szCs w:val="24"/>
              </w:rPr>
              <w:t>沥青路面结构层及面层整体修复</w:t>
            </w:r>
          </w:p>
        </w:tc>
        <w:tc>
          <w:tcPr>
            <w:tcW w:w="1173" w:type="pct"/>
            <w:shd w:val="clear" w:color="auto" w:fill="auto"/>
            <w:vAlign w:val="top"/>
          </w:tcPr>
          <w:p w14:paraId="144B5BDD">
            <w:pPr>
              <w:spacing w:line="354" w:lineRule="auto"/>
              <w:rPr>
                <w:rFonts w:ascii="Arial"/>
                <w:sz w:val="24"/>
                <w:szCs w:val="24"/>
              </w:rPr>
            </w:pPr>
          </w:p>
          <w:p w14:paraId="4B45739F">
            <w:pPr>
              <w:pStyle w:val="133"/>
              <w:spacing w:before="55" w:line="195" w:lineRule="auto"/>
              <w:ind w:left="29" w:right="57" w:firstLine="8"/>
              <w:rPr>
                <w:sz w:val="24"/>
                <w:szCs w:val="24"/>
              </w:rPr>
            </w:pPr>
            <w:r>
              <w:rPr>
                <w:spacing w:val="7"/>
                <w:sz w:val="24"/>
                <w:szCs w:val="24"/>
              </w:rPr>
              <w:t>1.基层修复：采用水泥稳</w:t>
            </w:r>
            <w:r>
              <w:rPr>
                <w:spacing w:val="8"/>
                <w:sz w:val="24"/>
                <w:szCs w:val="24"/>
              </w:rPr>
              <w:t>定碎石基层，厚度200</w:t>
            </w:r>
            <w:r>
              <w:rPr>
                <w:sz w:val="24"/>
                <w:szCs w:val="24"/>
              </w:rPr>
              <w:t xml:space="preserve">mm  </w:t>
            </w:r>
            <w:r>
              <w:rPr>
                <w:spacing w:val="3"/>
                <w:sz w:val="24"/>
                <w:szCs w:val="24"/>
              </w:rPr>
              <w:t>,</w:t>
            </w:r>
            <w:r>
              <w:rPr>
                <w:spacing w:val="58"/>
                <w:sz w:val="24"/>
                <w:szCs w:val="24"/>
              </w:rPr>
              <w:t xml:space="preserve"> </w:t>
            </w:r>
            <w:r>
              <w:rPr>
                <w:spacing w:val="3"/>
                <w:sz w:val="24"/>
                <w:szCs w:val="24"/>
              </w:rPr>
              <w:t>7天无侧限抗压强度≥3</w:t>
            </w:r>
          </w:p>
          <w:p w14:paraId="7B960B47">
            <w:pPr>
              <w:pStyle w:val="133"/>
              <w:spacing w:line="195" w:lineRule="auto"/>
              <w:ind w:left="30"/>
              <w:rPr>
                <w:sz w:val="24"/>
                <w:szCs w:val="24"/>
              </w:rPr>
            </w:pPr>
            <w:r>
              <w:rPr>
                <w:spacing w:val="4"/>
                <w:sz w:val="24"/>
                <w:szCs w:val="24"/>
              </w:rPr>
              <w:t>.5</w:t>
            </w:r>
            <w:r>
              <w:rPr>
                <w:sz w:val="24"/>
                <w:szCs w:val="24"/>
              </w:rPr>
              <w:t>MPa</w:t>
            </w:r>
            <w:r>
              <w:rPr>
                <w:spacing w:val="4"/>
                <w:sz w:val="24"/>
                <w:szCs w:val="24"/>
              </w:rPr>
              <w:t>；</w:t>
            </w:r>
          </w:p>
          <w:p w14:paraId="0BF7DCE9">
            <w:pPr>
              <w:pStyle w:val="133"/>
              <w:spacing w:line="195" w:lineRule="auto"/>
              <w:ind w:left="24" w:right="57" w:firstLine="2"/>
              <w:rPr>
                <w:sz w:val="24"/>
                <w:szCs w:val="24"/>
              </w:rPr>
            </w:pPr>
            <w:r>
              <w:rPr>
                <w:spacing w:val="8"/>
                <w:sz w:val="24"/>
                <w:szCs w:val="24"/>
              </w:rPr>
              <w:t>2.底基层：级配碎石，厚</w:t>
            </w:r>
            <w:r>
              <w:rPr>
                <w:spacing w:val="6"/>
                <w:sz w:val="24"/>
                <w:szCs w:val="24"/>
              </w:rPr>
              <w:t>度150</w:t>
            </w:r>
            <w:r>
              <w:rPr>
                <w:sz w:val="24"/>
                <w:szCs w:val="24"/>
              </w:rPr>
              <w:t>mm</w:t>
            </w:r>
            <w:r>
              <w:rPr>
                <w:spacing w:val="6"/>
                <w:sz w:val="24"/>
                <w:szCs w:val="24"/>
              </w:rPr>
              <w:t>，压实度≥96%；</w:t>
            </w:r>
          </w:p>
          <w:p w14:paraId="41756568">
            <w:pPr>
              <w:pStyle w:val="133"/>
              <w:spacing w:before="1" w:line="195" w:lineRule="auto"/>
              <w:ind w:left="20" w:right="57" w:firstLine="8"/>
              <w:rPr>
                <w:sz w:val="24"/>
                <w:szCs w:val="24"/>
              </w:rPr>
            </w:pPr>
            <w:r>
              <w:rPr>
                <w:spacing w:val="7"/>
                <w:sz w:val="24"/>
                <w:szCs w:val="24"/>
              </w:rPr>
              <w:t>3.面层：下面层</w:t>
            </w:r>
            <w:r>
              <w:rPr>
                <w:sz w:val="24"/>
                <w:szCs w:val="24"/>
              </w:rPr>
              <w:t>AC</w:t>
            </w:r>
            <w:r>
              <w:rPr>
                <w:spacing w:val="7"/>
                <w:sz w:val="24"/>
                <w:szCs w:val="24"/>
              </w:rPr>
              <w:t>-25C粗</w:t>
            </w:r>
            <w:r>
              <w:rPr>
                <w:spacing w:val="8"/>
                <w:sz w:val="24"/>
                <w:szCs w:val="24"/>
              </w:rPr>
              <w:t>粒式沥青混凝土（厚度80</w:t>
            </w:r>
            <w:r>
              <w:rPr>
                <w:spacing w:val="7"/>
                <w:sz w:val="24"/>
                <w:szCs w:val="24"/>
              </w:rPr>
              <w:t xml:space="preserve"> </w:t>
            </w:r>
            <w:r>
              <w:rPr>
                <w:sz w:val="24"/>
                <w:szCs w:val="24"/>
              </w:rPr>
              <w:t>mm</w:t>
            </w:r>
            <w:r>
              <w:rPr>
                <w:spacing w:val="11"/>
                <w:sz w:val="24"/>
                <w:szCs w:val="24"/>
              </w:rPr>
              <w:t>），</w:t>
            </w:r>
            <w:r>
              <w:rPr>
                <w:spacing w:val="8"/>
                <w:sz w:val="24"/>
                <w:szCs w:val="24"/>
              </w:rPr>
              <w:t>中面层</w:t>
            </w:r>
            <w:r>
              <w:rPr>
                <w:sz w:val="24"/>
                <w:szCs w:val="24"/>
              </w:rPr>
              <w:t>AC</w:t>
            </w:r>
            <w:r>
              <w:rPr>
                <w:spacing w:val="8"/>
                <w:sz w:val="24"/>
                <w:szCs w:val="24"/>
              </w:rPr>
              <w:t>-20C（厚度70</w:t>
            </w:r>
            <w:r>
              <w:rPr>
                <w:sz w:val="24"/>
                <w:szCs w:val="24"/>
              </w:rPr>
              <w:t>mm</w:t>
            </w:r>
            <w:r>
              <w:rPr>
                <w:spacing w:val="11"/>
                <w:sz w:val="24"/>
                <w:szCs w:val="24"/>
              </w:rPr>
              <w:t>），</w:t>
            </w:r>
            <w:r>
              <w:rPr>
                <w:spacing w:val="8"/>
                <w:sz w:val="24"/>
                <w:szCs w:val="24"/>
              </w:rPr>
              <w:t>上面层</w:t>
            </w:r>
            <w:r>
              <w:rPr>
                <w:sz w:val="24"/>
                <w:szCs w:val="24"/>
              </w:rPr>
              <w:t>AC</w:t>
            </w:r>
            <w:r>
              <w:rPr>
                <w:spacing w:val="8"/>
                <w:sz w:val="24"/>
                <w:szCs w:val="24"/>
              </w:rPr>
              <w:t>-13C</w:t>
            </w:r>
            <w:r>
              <w:rPr>
                <w:spacing w:val="1"/>
                <w:sz w:val="24"/>
                <w:szCs w:val="24"/>
              </w:rPr>
              <w:t xml:space="preserve"> </w:t>
            </w:r>
            <w:r>
              <w:rPr>
                <w:spacing w:val="9"/>
                <w:sz w:val="24"/>
                <w:szCs w:val="24"/>
              </w:rPr>
              <w:t>（厚度50</w:t>
            </w:r>
            <w:r>
              <w:rPr>
                <w:sz w:val="24"/>
                <w:szCs w:val="24"/>
              </w:rPr>
              <w:t>mm</w:t>
            </w:r>
            <w:r>
              <w:rPr>
                <w:spacing w:val="-7"/>
                <w:sz w:val="24"/>
                <w:szCs w:val="24"/>
              </w:rPr>
              <w:t>）；</w:t>
            </w:r>
          </w:p>
          <w:p w14:paraId="656C6E31">
            <w:pPr>
              <w:pStyle w:val="133"/>
              <w:spacing w:before="1" w:line="195" w:lineRule="auto"/>
              <w:ind w:left="24" w:right="57"/>
              <w:rPr>
                <w:sz w:val="24"/>
                <w:szCs w:val="24"/>
              </w:rPr>
            </w:pPr>
            <w:r>
              <w:rPr>
                <w:spacing w:val="8"/>
                <w:sz w:val="24"/>
                <w:szCs w:val="24"/>
              </w:rPr>
              <w:t>4.透层油：基层顶面喷洒</w:t>
            </w:r>
            <w:r>
              <w:rPr>
                <w:spacing w:val="6"/>
                <w:sz w:val="24"/>
                <w:szCs w:val="24"/>
              </w:rPr>
              <w:t>乳化沥青，用量1.0-1.2L</w:t>
            </w:r>
            <w:r>
              <w:rPr>
                <w:spacing w:val="9"/>
                <w:sz w:val="24"/>
                <w:szCs w:val="24"/>
              </w:rPr>
              <w:t xml:space="preserve"> </w:t>
            </w:r>
            <w:r>
              <w:rPr>
                <w:spacing w:val="2"/>
                <w:sz w:val="24"/>
                <w:szCs w:val="24"/>
              </w:rPr>
              <w:t>/m²</w:t>
            </w:r>
            <w:r>
              <w:rPr>
                <w:spacing w:val="-63"/>
                <w:sz w:val="24"/>
                <w:szCs w:val="24"/>
              </w:rPr>
              <w:t xml:space="preserve"> </w:t>
            </w:r>
            <w:r>
              <w:rPr>
                <w:spacing w:val="2"/>
                <w:sz w:val="24"/>
                <w:szCs w:val="24"/>
              </w:rPr>
              <w:t>;</w:t>
            </w:r>
          </w:p>
          <w:p w14:paraId="3A274622">
            <w:pPr>
              <w:pStyle w:val="133"/>
              <w:spacing w:before="2" w:line="207" w:lineRule="auto"/>
              <w:ind w:left="25" w:leftChars="0" w:right="102" w:rightChars="0" w:firstLine="2" w:firstLineChars="0"/>
              <w:rPr>
                <w:rFonts w:ascii="宋体" w:hAnsi="宋体" w:eastAsia="宋体" w:cs="宋体"/>
                <w:snapToGrid w:val="0"/>
                <w:color w:val="000000"/>
                <w:kern w:val="0"/>
                <w:sz w:val="24"/>
                <w:szCs w:val="24"/>
                <w:lang w:val="en-US" w:eastAsia="en-US" w:bidi="ar-SA"/>
              </w:rPr>
            </w:pPr>
            <w:r>
              <w:rPr>
                <w:spacing w:val="4"/>
                <w:sz w:val="24"/>
                <w:szCs w:val="24"/>
              </w:rPr>
              <w:t>5.整体压实：分层碾压，</w:t>
            </w:r>
            <w:r>
              <w:rPr>
                <w:spacing w:val="7"/>
                <w:sz w:val="24"/>
                <w:szCs w:val="24"/>
              </w:rPr>
              <w:t>压实度≥96%，平整度误</w:t>
            </w:r>
            <w:r>
              <w:rPr>
                <w:spacing w:val="5"/>
                <w:sz w:val="24"/>
                <w:szCs w:val="24"/>
              </w:rPr>
              <w:t>差≤3</w:t>
            </w:r>
            <w:r>
              <w:rPr>
                <w:sz w:val="24"/>
                <w:szCs w:val="24"/>
              </w:rPr>
              <w:t>mm</w:t>
            </w:r>
            <w:r>
              <w:rPr>
                <w:spacing w:val="5"/>
                <w:sz w:val="24"/>
                <w:szCs w:val="24"/>
              </w:rPr>
              <w:t>/3m；</w:t>
            </w:r>
          </w:p>
        </w:tc>
        <w:tc>
          <w:tcPr>
            <w:tcW w:w="610" w:type="pct"/>
            <w:shd w:val="clear" w:color="auto" w:fill="auto"/>
            <w:vAlign w:val="top"/>
          </w:tcPr>
          <w:p w14:paraId="46E1A2CA">
            <w:pPr>
              <w:spacing w:line="254" w:lineRule="auto"/>
              <w:rPr>
                <w:rFonts w:ascii="Arial"/>
                <w:sz w:val="24"/>
                <w:szCs w:val="24"/>
              </w:rPr>
            </w:pPr>
          </w:p>
          <w:p w14:paraId="63E7B5AF">
            <w:pPr>
              <w:spacing w:line="254" w:lineRule="auto"/>
              <w:rPr>
                <w:rFonts w:ascii="Arial"/>
                <w:sz w:val="24"/>
                <w:szCs w:val="24"/>
              </w:rPr>
            </w:pPr>
          </w:p>
          <w:p w14:paraId="4689C3C3">
            <w:pPr>
              <w:spacing w:line="255" w:lineRule="auto"/>
              <w:rPr>
                <w:rFonts w:ascii="Arial"/>
                <w:sz w:val="24"/>
                <w:szCs w:val="24"/>
              </w:rPr>
            </w:pPr>
          </w:p>
          <w:p w14:paraId="4D0452C0">
            <w:pPr>
              <w:spacing w:line="255" w:lineRule="auto"/>
              <w:rPr>
                <w:rFonts w:ascii="Arial"/>
                <w:sz w:val="24"/>
                <w:szCs w:val="24"/>
              </w:rPr>
            </w:pPr>
          </w:p>
          <w:p w14:paraId="2CB1BF9F">
            <w:pPr>
              <w:spacing w:line="255" w:lineRule="auto"/>
              <w:rPr>
                <w:rFonts w:ascii="Arial"/>
                <w:sz w:val="24"/>
                <w:szCs w:val="24"/>
              </w:rPr>
            </w:pPr>
          </w:p>
          <w:p w14:paraId="31E997B9">
            <w:pPr>
              <w:spacing w:line="255" w:lineRule="auto"/>
              <w:rPr>
                <w:rFonts w:ascii="Arial"/>
                <w:sz w:val="24"/>
                <w:szCs w:val="24"/>
              </w:rPr>
            </w:pPr>
          </w:p>
          <w:p w14:paraId="0308D7F5">
            <w:pPr>
              <w:spacing w:line="255" w:lineRule="auto"/>
              <w:rPr>
                <w:rFonts w:ascii="Arial"/>
                <w:sz w:val="24"/>
                <w:szCs w:val="24"/>
              </w:rPr>
            </w:pPr>
          </w:p>
          <w:p w14:paraId="3F3A9B01">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465E8D24">
            <w:pPr>
              <w:spacing w:line="254" w:lineRule="auto"/>
              <w:rPr>
                <w:rFonts w:ascii="Arial"/>
                <w:sz w:val="24"/>
                <w:szCs w:val="24"/>
              </w:rPr>
            </w:pPr>
          </w:p>
          <w:p w14:paraId="6D86BC72">
            <w:pPr>
              <w:spacing w:line="254" w:lineRule="auto"/>
              <w:rPr>
                <w:rFonts w:ascii="Arial"/>
                <w:sz w:val="24"/>
                <w:szCs w:val="24"/>
              </w:rPr>
            </w:pPr>
          </w:p>
          <w:p w14:paraId="56A60C2F">
            <w:pPr>
              <w:spacing w:line="255" w:lineRule="auto"/>
              <w:rPr>
                <w:rFonts w:ascii="Arial"/>
                <w:sz w:val="24"/>
                <w:szCs w:val="24"/>
              </w:rPr>
            </w:pPr>
          </w:p>
          <w:p w14:paraId="077707EB">
            <w:pPr>
              <w:spacing w:line="255" w:lineRule="auto"/>
              <w:rPr>
                <w:rFonts w:ascii="Arial"/>
                <w:sz w:val="24"/>
                <w:szCs w:val="24"/>
              </w:rPr>
            </w:pPr>
          </w:p>
          <w:p w14:paraId="0687CCD2">
            <w:pPr>
              <w:spacing w:line="255" w:lineRule="auto"/>
              <w:rPr>
                <w:rFonts w:ascii="Arial"/>
                <w:sz w:val="24"/>
                <w:szCs w:val="24"/>
              </w:rPr>
            </w:pPr>
          </w:p>
          <w:p w14:paraId="3A94889E">
            <w:pPr>
              <w:spacing w:line="255" w:lineRule="auto"/>
              <w:rPr>
                <w:rFonts w:ascii="Arial"/>
                <w:sz w:val="24"/>
                <w:szCs w:val="24"/>
              </w:rPr>
            </w:pPr>
          </w:p>
          <w:p w14:paraId="3CDDB086">
            <w:pPr>
              <w:spacing w:line="255" w:lineRule="auto"/>
              <w:rPr>
                <w:rFonts w:ascii="Arial"/>
                <w:sz w:val="24"/>
                <w:szCs w:val="24"/>
              </w:rPr>
            </w:pPr>
          </w:p>
          <w:p w14:paraId="23F4BADC">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DFDB2E2">
            <w:pPr>
              <w:pStyle w:val="133"/>
              <w:spacing w:before="55" w:line="232" w:lineRule="exact"/>
              <w:ind w:left="203"/>
              <w:rPr>
                <w:sz w:val="24"/>
                <w:szCs w:val="24"/>
              </w:rPr>
            </w:pPr>
          </w:p>
          <w:p w14:paraId="718D673F">
            <w:pPr>
              <w:pStyle w:val="133"/>
              <w:spacing w:before="55" w:line="232" w:lineRule="exact"/>
              <w:ind w:left="203"/>
              <w:rPr>
                <w:sz w:val="24"/>
                <w:szCs w:val="24"/>
              </w:rPr>
            </w:pPr>
          </w:p>
          <w:p w14:paraId="1EDD03B4">
            <w:pPr>
              <w:pStyle w:val="133"/>
              <w:spacing w:before="55" w:line="232" w:lineRule="exact"/>
              <w:ind w:left="203"/>
              <w:rPr>
                <w:sz w:val="24"/>
                <w:szCs w:val="24"/>
              </w:rPr>
            </w:pPr>
          </w:p>
          <w:p w14:paraId="138AB173">
            <w:pPr>
              <w:pStyle w:val="133"/>
              <w:spacing w:before="55" w:line="232" w:lineRule="exact"/>
              <w:ind w:left="203"/>
              <w:rPr>
                <w:sz w:val="24"/>
                <w:szCs w:val="24"/>
              </w:rPr>
            </w:pPr>
          </w:p>
          <w:p w14:paraId="69ABADC7">
            <w:pPr>
              <w:pStyle w:val="133"/>
              <w:spacing w:before="55" w:line="232" w:lineRule="exact"/>
              <w:ind w:left="203"/>
              <w:rPr>
                <w:sz w:val="24"/>
                <w:szCs w:val="24"/>
              </w:rPr>
            </w:pPr>
          </w:p>
          <w:p w14:paraId="5299670B">
            <w:pPr>
              <w:pStyle w:val="133"/>
              <w:spacing w:before="55" w:line="232" w:lineRule="exact"/>
              <w:ind w:left="203"/>
              <w:rPr>
                <w:sz w:val="24"/>
                <w:szCs w:val="24"/>
              </w:rPr>
            </w:pPr>
          </w:p>
          <w:p w14:paraId="7071D5F1">
            <w:pPr>
              <w:pStyle w:val="133"/>
              <w:spacing w:before="55" w:line="232" w:lineRule="exact"/>
              <w:ind w:left="203"/>
              <w:rPr>
                <w:sz w:val="24"/>
                <w:szCs w:val="24"/>
              </w:rPr>
            </w:pPr>
          </w:p>
          <w:p w14:paraId="2D8ED7E5">
            <w:pPr>
              <w:pStyle w:val="133"/>
              <w:spacing w:before="55" w:line="232" w:lineRule="exact"/>
              <w:ind w:left="203"/>
              <w:rPr>
                <w:sz w:val="24"/>
                <w:szCs w:val="24"/>
              </w:rPr>
            </w:pPr>
          </w:p>
          <w:p w14:paraId="7CE54D58">
            <w:pPr>
              <w:pStyle w:val="133"/>
              <w:spacing w:before="55" w:line="232" w:lineRule="exact"/>
              <w:ind w:left="203" w:lef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240</w:t>
            </w:r>
          </w:p>
        </w:tc>
      </w:tr>
      <w:tr w14:paraId="494B6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742ABAA0">
            <w:pPr>
              <w:rPr>
                <w:rFonts w:ascii="Arial"/>
                <w:sz w:val="24"/>
                <w:szCs w:val="24"/>
              </w:rPr>
            </w:pPr>
          </w:p>
          <w:p w14:paraId="04A379DD">
            <w:pPr>
              <w:rPr>
                <w:rFonts w:ascii="Arial"/>
                <w:sz w:val="24"/>
                <w:szCs w:val="24"/>
              </w:rPr>
            </w:pPr>
          </w:p>
          <w:p w14:paraId="727C4D34">
            <w:pPr>
              <w:rPr>
                <w:rFonts w:ascii="Arial"/>
                <w:sz w:val="24"/>
                <w:szCs w:val="24"/>
              </w:rPr>
            </w:pPr>
          </w:p>
          <w:p w14:paraId="4DBBCB5D">
            <w:pPr>
              <w:rPr>
                <w:rFonts w:ascii="Arial"/>
                <w:sz w:val="24"/>
                <w:szCs w:val="24"/>
              </w:rPr>
            </w:pPr>
          </w:p>
          <w:p w14:paraId="0FC920BC">
            <w:pPr>
              <w:rPr>
                <w:rFonts w:ascii="Arial"/>
                <w:sz w:val="24"/>
                <w:szCs w:val="24"/>
              </w:rPr>
            </w:pPr>
          </w:p>
          <w:p w14:paraId="6445D66D">
            <w:pPr>
              <w:rPr>
                <w:rFonts w:ascii="Arial"/>
                <w:sz w:val="24"/>
                <w:szCs w:val="24"/>
              </w:rPr>
            </w:pPr>
          </w:p>
          <w:p w14:paraId="3B092A70">
            <w:pPr>
              <w:rPr>
                <w:rFonts w:ascii="Arial"/>
                <w:sz w:val="24"/>
                <w:szCs w:val="24"/>
              </w:rPr>
            </w:pPr>
          </w:p>
          <w:p w14:paraId="14EBC591">
            <w:pPr>
              <w:pStyle w:val="133"/>
              <w:spacing w:before="55" w:line="231"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26</w:t>
            </w:r>
          </w:p>
        </w:tc>
        <w:tc>
          <w:tcPr>
            <w:tcW w:w="645" w:type="pct"/>
            <w:shd w:val="clear" w:color="auto" w:fill="auto"/>
            <w:vAlign w:val="top"/>
          </w:tcPr>
          <w:p w14:paraId="6F82B7AE">
            <w:pPr>
              <w:rPr>
                <w:rFonts w:ascii="Arial"/>
                <w:sz w:val="24"/>
                <w:szCs w:val="24"/>
              </w:rPr>
            </w:pPr>
          </w:p>
          <w:p w14:paraId="1AB2580D">
            <w:pPr>
              <w:rPr>
                <w:rFonts w:ascii="Arial"/>
                <w:sz w:val="24"/>
                <w:szCs w:val="24"/>
              </w:rPr>
            </w:pPr>
          </w:p>
          <w:p w14:paraId="111DF512">
            <w:pPr>
              <w:rPr>
                <w:rFonts w:ascii="Arial"/>
                <w:sz w:val="24"/>
                <w:szCs w:val="24"/>
              </w:rPr>
            </w:pPr>
          </w:p>
          <w:p w14:paraId="49E37E82">
            <w:pPr>
              <w:rPr>
                <w:rFonts w:ascii="Arial"/>
                <w:sz w:val="24"/>
                <w:szCs w:val="24"/>
              </w:rPr>
            </w:pPr>
          </w:p>
          <w:p w14:paraId="54D123A8">
            <w:pPr>
              <w:rPr>
                <w:rFonts w:ascii="Arial"/>
                <w:sz w:val="24"/>
                <w:szCs w:val="24"/>
              </w:rPr>
            </w:pPr>
          </w:p>
          <w:p w14:paraId="2C046A13">
            <w:pPr>
              <w:rPr>
                <w:rFonts w:ascii="Arial"/>
                <w:sz w:val="24"/>
                <w:szCs w:val="24"/>
              </w:rPr>
            </w:pPr>
          </w:p>
          <w:p w14:paraId="2CBBA4D4">
            <w:pPr>
              <w:rPr>
                <w:rFonts w:ascii="Arial"/>
                <w:sz w:val="24"/>
                <w:szCs w:val="24"/>
              </w:rPr>
            </w:pPr>
          </w:p>
          <w:p w14:paraId="3007793E">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040202009001</w:t>
            </w:r>
          </w:p>
        </w:tc>
        <w:tc>
          <w:tcPr>
            <w:tcW w:w="759" w:type="pct"/>
            <w:shd w:val="clear" w:color="auto" w:fill="auto"/>
            <w:vAlign w:val="top"/>
          </w:tcPr>
          <w:p w14:paraId="3FE279E9">
            <w:pPr>
              <w:spacing w:line="250" w:lineRule="auto"/>
              <w:rPr>
                <w:rFonts w:ascii="Arial"/>
                <w:sz w:val="24"/>
                <w:szCs w:val="24"/>
              </w:rPr>
            </w:pPr>
          </w:p>
          <w:p w14:paraId="2D9C9ABC">
            <w:pPr>
              <w:spacing w:line="250" w:lineRule="auto"/>
              <w:rPr>
                <w:rFonts w:ascii="Arial"/>
                <w:sz w:val="24"/>
                <w:szCs w:val="24"/>
              </w:rPr>
            </w:pPr>
          </w:p>
          <w:p w14:paraId="3863FE6D">
            <w:pPr>
              <w:spacing w:line="250" w:lineRule="auto"/>
              <w:rPr>
                <w:rFonts w:ascii="Arial"/>
                <w:sz w:val="24"/>
                <w:szCs w:val="24"/>
              </w:rPr>
            </w:pPr>
          </w:p>
          <w:p w14:paraId="3E584970">
            <w:pPr>
              <w:spacing w:line="250" w:lineRule="auto"/>
              <w:rPr>
                <w:rFonts w:ascii="Arial"/>
                <w:sz w:val="24"/>
                <w:szCs w:val="24"/>
              </w:rPr>
            </w:pPr>
          </w:p>
          <w:p w14:paraId="31341019">
            <w:pPr>
              <w:spacing w:line="251" w:lineRule="auto"/>
              <w:rPr>
                <w:rFonts w:ascii="Arial"/>
                <w:sz w:val="24"/>
                <w:szCs w:val="24"/>
              </w:rPr>
            </w:pPr>
          </w:p>
          <w:p w14:paraId="1746AAC7">
            <w:pPr>
              <w:spacing w:line="251" w:lineRule="auto"/>
              <w:rPr>
                <w:rFonts w:ascii="Arial"/>
                <w:sz w:val="24"/>
                <w:szCs w:val="24"/>
              </w:rPr>
            </w:pPr>
          </w:p>
          <w:p w14:paraId="4E5BECE2">
            <w:pPr>
              <w:pStyle w:val="133"/>
              <w:spacing w:before="55" w:line="207" w:lineRule="auto"/>
              <w:ind w:left="22" w:leftChars="0" w:right="61" w:rightChars="0" w:firstLine="2" w:firstLineChars="0"/>
              <w:jc w:val="both"/>
              <w:rPr>
                <w:rFonts w:ascii="宋体" w:hAnsi="宋体" w:eastAsia="宋体" w:cs="宋体"/>
                <w:snapToGrid w:val="0"/>
                <w:color w:val="000000"/>
                <w:kern w:val="0"/>
                <w:sz w:val="24"/>
                <w:szCs w:val="24"/>
                <w:lang w:val="en-US" w:eastAsia="en-US" w:bidi="ar-SA"/>
              </w:rPr>
            </w:pPr>
            <w:r>
              <w:rPr>
                <w:spacing w:val="8"/>
                <w:sz w:val="24"/>
                <w:szCs w:val="24"/>
              </w:rPr>
              <w:t>混凝土路面结构层及面层整体修</w:t>
            </w:r>
            <w:r>
              <w:rPr>
                <w:spacing w:val="2"/>
                <w:sz w:val="24"/>
                <w:szCs w:val="24"/>
              </w:rPr>
              <w:t>复</w:t>
            </w:r>
          </w:p>
        </w:tc>
        <w:tc>
          <w:tcPr>
            <w:tcW w:w="1173" w:type="pct"/>
            <w:shd w:val="clear" w:color="auto" w:fill="auto"/>
            <w:vAlign w:val="top"/>
          </w:tcPr>
          <w:p w14:paraId="2FC0FF96">
            <w:pPr>
              <w:spacing w:line="340" w:lineRule="auto"/>
              <w:rPr>
                <w:rFonts w:ascii="Arial"/>
                <w:sz w:val="24"/>
                <w:szCs w:val="24"/>
              </w:rPr>
            </w:pPr>
          </w:p>
          <w:p w14:paraId="364AC92B">
            <w:pPr>
              <w:pStyle w:val="133"/>
              <w:spacing w:before="56" w:line="195" w:lineRule="auto"/>
              <w:ind w:left="25" w:right="57" w:firstLine="12"/>
              <w:rPr>
                <w:sz w:val="24"/>
                <w:szCs w:val="24"/>
              </w:rPr>
            </w:pPr>
            <w:r>
              <w:rPr>
                <w:spacing w:val="7"/>
                <w:sz w:val="24"/>
                <w:szCs w:val="24"/>
              </w:rPr>
              <w:t>1.路基处理：开挖至原状土，压实度≥95%，必要</w:t>
            </w:r>
            <w:r>
              <w:rPr>
                <w:spacing w:val="2"/>
                <w:sz w:val="24"/>
                <w:szCs w:val="24"/>
              </w:rPr>
              <w:t>时采用灰土改良；</w:t>
            </w:r>
          </w:p>
          <w:p w14:paraId="6B1C6101">
            <w:pPr>
              <w:pStyle w:val="133"/>
              <w:spacing w:line="195" w:lineRule="auto"/>
              <w:ind w:left="39" w:right="147" w:hanging="12"/>
              <w:rPr>
                <w:sz w:val="24"/>
                <w:szCs w:val="24"/>
              </w:rPr>
            </w:pPr>
            <w:r>
              <w:rPr>
                <w:spacing w:val="4"/>
                <w:sz w:val="24"/>
                <w:szCs w:val="24"/>
              </w:rPr>
              <w:t>2.基层：</w:t>
            </w:r>
            <w:r>
              <w:rPr>
                <w:spacing w:val="-46"/>
                <w:sz w:val="24"/>
                <w:szCs w:val="24"/>
              </w:rPr>
              <w:t xml:space="preserve"> </w:t>
            </w:r>
            <w:r>
              <w:rPr>
                <w:spacing w:val="4"/>
                <w:sz w:val="24"/>
                <w:szCs w:val="24"/>
              </w:rPr>
              <w:t>C20混凝土基层</w:t>
            </w:r>
            <w:r>
              <w:rPr>
                <w:sz w:val="24"/>
                <w:szCs w:val="24"/>
              </w:rPr>
              <w:t xml:space="preserve"> </w:t>
            </w:r>
            <w:r>
              <w:rPr>
                <w:spacing w:val="16"/>
                <w:sz w:val="24"/>
                <w:szCs w:val="24"/>
              </w:rPr>
              <w:t>,厚度150</w:t>
            </w:r>
            <w:r>
              <w:rPr>
                <w:sz w:val="24"/>
                <w:szCs w:val="24"/>
              </w:rPr>
              <w:t>mm</w:t>
            </w:r>
            <w:r>
              <w:rPr>
                <w:spacing w:val="16"/>
                <w:sz w:val="24"/>
                <w:szCs w:val="24"/>
              </w:rPr>
              <w:t>；</w:t>
            </w:r>
          </w:p>
          <w:p w14:paraId="42A828E4">
            <w:pPr>
              <w:pStyle w:val="133"/>
              <w:spacing w:line="195" w:lineRule="auto"/>
              <w:ind w:left="37" w:right="58" w:hanging="9"/>
              <w:rPr>
                <w:sz w:val="24"/>
                <w:szCs w:val="24"/>
              </w:rPr>
            </w:pPr>
            <w:r>
              <w:rPr>
                <w:spacing w:val="4"/>
                <w:sz w:val="24"/>
                <w:szCs w:val="24"/>
              </w:rPr>
              <w:t>3.面层：</w:t>
            </w:r>
            <w:r>
              <w:rPr>
                <w:spacing w:val="-47"/>
                <w:sz w:val="24"/>
                <w:szCs w:val="24"/>
              </w:rPr>
              <w:t xml:space="preserve"> </w:t>
            </w:r>
            <w:r>
              <w:rPr>
                <w:spacing w:val="4"/>
                <w:sz w:val="24"/>
                <w:szCs w:val="24"/>
              </w:rPr>
              <w:t>C35钢筋混凝土</w:t>
            </w:r>
            <w:r>
              <w:rPr>
                <w:sz w:val="24"/>
                <w:szCs w:val="24"/>
              </w:rPr>
              <w:t xml:space="preserve">  </w:t>
            </w:r>
            <w:r>
              <w:rPr>
                <w:spacing w:val="13"/>
                <w:sz w:val="24"/>
                <w:szCs w:val="24"/>
              </w:rPr>
              <w:t>,厚度240</w:t>
            </w:r>
            <w:r>
              <w:rPr>
                <w:sz w:val="24"/>
                <w:szCs w:val="24"/>
              </w:rPr>
              <w:t>mm</w:t>
            </w:r>
            <w:r>
              <w:rPr>
                <w:spacing w:val="13"/>
                <w:sz w:val="24"/>
                <w:szCs w:val="24"/>
              </w:rPr>
              <w:t>，配置Φ18@</w:t>
            </w:r>
            <w:r>
              <w:rPr>
                <w:spacing w:val="1"/>
                <w:sz w:val="24"/>
                <w:szCs w:val="24"/>
              </w:rPr>
              <w:t xml:space="preserve"> </w:t>
            </w:r>
            <w:r>
              <w:rPr>
                <w:spacing w:val="-3"/>
                <w:sz w:val="24"/>
                <w:szCs w:val="24"/>
              </w:rPr>
              <w:t>150×</w:t>
            </w:r>
            <w:r>
              <w:rPr>
                <w:spacing w:val="-25"/>
                <w:sz w:val="24"/>
                <w:szCs w:val="24"/>
              </w:rPr>
              <w:t xml:space="preserve"> </w:t>
            </w:r>
            <w:r>
              <w:rPr>
                <w:spacing w:val="-3"/>
                <w:sz w:val="24"/>
                <w:szCs w:val="24"/>
              </w:rPr>
              <w:t>150mm钢筋网；</w:t>
            </w:r>
          </w:p>
          <w:p w14:paraId="1A7EACD8">
            <w:pPr>
              <w:pStyle w:val="133"/>
              <w:spacing w:before="1" w:line="195" w:lineRule="auto"/>
              <w:ind w:left="26" w:right="57" w:hanging="2"/>
              <w:rPr>
                <w:sz w:val="24"/>
                <w:szCs w:val="24"/>
              </w:rPr>
            </w:pPr>
            <w:r>
              <w:rPr>
                <w:spacing w:val="8"/>
                <w:sz w:val="24"/>
                <w:szCs w:val="24"/>
              </w:rPr>
              <w:t>4.胀缝：设置于交叉口或路面变宽处，宽度20</w:t>
            </w:r>
            <w:r>
              <w:rPr>
                <w:sz w:val="24"/>
                <w:szCs w:val="24"/>
              </w:rPr>
              <w:t>mm</w:t>
            </w:r>
            <w:r>
              <w:rPr>
                <w:spacing w:val="8"/>
                <w:sz w:val="24"/>
                <w:szCs w:val="24"/>
              </w:rPr>
              <w:t>，填缝材料采用沥青木板+</w:t>
            </w:r>
            <w:r>
              <w:rPr>
                <w:spacing w:val="1"/>
                <w:sz w:val="24"/>
                <w:szCs w:val="24"/>
              </w:rPr>
              <w:t>聚氨酯密封胶；</w:t>
            </w:r>
          </w:p>
          <w:p w14:paraId="27EA8B7A">
            <w:pPr>
              <w:pStyle w:val="133"/>
              <w:spacing w:before="1" w:line="204" w:lineRule="auto"/>
              <w:ind w:left="24" w:leftChars="0" w:right="57" w:rightChars="0" w:firstLine="4" w:firstLineChars="0"/>
              <w:rPr>
                <w:rFonts w:ascii="宋体" w:hAnsi="宋体" w:eastAsia="宋体" w:cs="宋体"/>
                <w:snapToGrid w:val="0"/>
                <w:color w:val="000000"/>
                <w:kern w:val="0"/>
                <w:sz w:val="24"/>
                <w:szCs w:val="24"/>
                <w:lang w:val="en-US" w:eastAsia="en-US" w:bidi="ar-SA"/>
              </w:rPr>
            </w:pPr>
            <w:r>
              <w:rPr>
                <w:spacing w:val="7"/>
                <w:sz w:val="24"/>
                <w:szCs w:val="24"/>
              </w:rPr>
              <w:t>5.养护：蒸汽养护≥7天</w:t>
            </w:r>
            <w:r>
              <w:rPr>
                <w:spacing w:val="3"/>
                <w:sz w:val="24"/>
                <w:szCs w:val="24"/>
              </w:rPr>
              <w:t xml:space="preserve">  </w:t>
            </w:r>
            <w:r>
              <w:rPr>
                <w:spacing w:val="15"/>
                <w:sz w:val="24"/>
                <w:szCs w:val="24"/>
              </w:rPr>
              <w:t>,或自然养护≥28天，强</w:t>
            </w:r>
            <w:r>
              <w:rPr>
                <w:spacing w:val="7"/>
                <w:sz w:val="24"/>
                <w:szCs w:val="24"/>
              </w:rPr>
              <w:t>度达到设计值100%后方可</w:t>
            </w:r>
            <w:r>
              <w:rPr>
                <w:spacing w:val="-1"/>
                <w:sz w:val="24"/>
                <w:szCs w:val="24"/>
              </w:rPr>
              <w:t>开放交通；</w:t>
            </w:r>
          </w:p>
        </w:tc>
        <w:tc>
          <w:tcPr>
            <w:tcW w:w="610" w:type="pct"/>
            <w:shd w:val="clear" w:color="auto" w:fill="auto"/>
            <w:vAlign w:val="top"/>
          </w:tcPr>
          <w:p w14:paraId="0CD3CFF2">
            <w:pPr>
              <w:rPr>
                <w:rFonts w:ascii="Arial"/>
                <w:sz w:val="24"/>
                <w:szCs w:val="24"/>
              </w:rPr>
            </w:pPr>
          </w:p>
          <w:p w14:paraId="370006C9">
            <w:pPr>
              <w:rPr>
                <w:rFonts w:ascii="Arial"/>
                <w:sz w:val="24"/>
                <w:szCs w:val="24"/>
              </w:rPr>
            </w:pPr>
          </w:p>
          <w:p w14:paraId="76048B9F">
            <w:pPr>
              <w:rPr>
                <w:rFonts w:ascii="Arial"/>
                <w:sz w:val="24"/>
                <w:szCs w:val="24"/>
              </w:rPr>
            </w:pPr>
          </w:p>
          <w:p w14:paraId="7D1E56D5">
            <w:pPr>
              <w:rPr>
                <w:rFonts w:ascii="Arial"/>
                <w:sz w:val="24"/>
                <w:szCs w:val="24"/>
              </w:rPr>
            </w:pPr>
          </w:p>
          <w:p w14:paraId="72F0FD9A">
            <w:pPr>
              <w:rPr>
                <w:rFonts w:ascii="Arial"/>
                <w:sz w:val="24"/>
                <w:szCs w:val="24"/>
              </w:rPr>
            </w:pPr>
          </w:p>
          <w:p w14:paraId="4C25E287">
            <w:pPr>
              <w:rPr>
                <w:rFonts w:ascii="Arial"/>
                <w:sz w:val="24"/>
                <w:szCs w:val="24"/>
              </w:rPr>
            </w:pPr>
          </w:p>
          <w:p w14:paraId="7B3A46B0">
            <w:pPr>
              <w:rPr>
                <w:rFonts w:ascii="Arial"/>
                <w:sz w:val="24"/>
                <w:szCs w:val="24"/>
              </w:rPr>
            </w:pPr>
          </w:p>
          <w:p w14:paraId="6EA2442C">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3CCA49BC">
            <w:pPr>
              <w:rPr>
                <w:rFonts w:ascii="Arial"/>
                <w:sz w:val="24"/>
                <w:szCs w:val="24"/>
              </w:rPr>
            </w:pPr>
          </w:p>
          <w:p w14:paraId="7CCBF619">
            <w:pPr>
              <w:rPr>
                <w:rFonts w:ascii="Arial"/>
                <w:sz w:val="24"/>
                <w:szCs w:val="24"/>
              </w:rPr>
            </w:pPr>
          </w:p>
          <w:p w14:paraId="38E2D16E">
            <w:pPr>
              <w:rPr>
                <w:rFonts w:ascii="Arial"/>
                <w:sz w:val="24"/>
                <w:szCs w:val="24"/>
              </w:rPr>
            </w:pPr>
          </w:p>
          <w:p w14:paraId="3732FAF5">
            <w:pPr>
              <w:rPr>
                <w:rFonts w:ascii="Arial"/>
                <w:sz w:val="24"/>
                <w:szCs w:val="24"/>
              </w:rPr>
            </w:pPr>
          </w:p>
          <w:p w14:paraId="1F21E7D1">
            <w:pPr>
              <w:rPr>
                <w:rFonts w:ascii="Arial"/>
                <w:sz w:val="24"/>
                <w:szCs w:val="24"/>
              </w:rPr>
            </w:pPr>
          </w:p>
          <w:p w14:paraId="3A4611D2">
            <w:pPr>
              <w:rPr>
                <w:rFonts w:ascii="Arial"/>
                <w:sz w:val="24"/>
                <w:szCs w:val="24"/>
              </w:rPr>
            </w:pPr>
          </w:p>
          <w:p w14:paraId="520F4408">
            <w:pPr>
              <w:rPr>
                <w:rFonts w:ascii="Arial"/>
                <w:sz w:val="24"/>
                <w:szCs w:val="24"/>
              </w:rPr>
            </w:pPr>
          </w:p>
          <w:p w14:paraId="76429E82">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46DC4FA9">
            <w:pPr>
              <w:pStyle w:val="133"/>
              <w:spacing w:before="55" w:line="232" w:lineRule="exact"/>
              <w:ind w:left="372"/>
              <w:rPr>
                <w:position w:val="1"/>
                <w:sz w:val="24"/>
                <w:szCs w:val="24"/>
              </w:rPr>
            </w:pPr>
          </w:p>
          <w:p w14:paraId="6F97FF2F">
            <w:pPr>
              <w:pStyle w:val="133"/>
              <w:spacing w:before="55" w:line="232" w:lineRule="exact"/>
              <w:ind w:left="372"/>
              <w:rPr>
                <w:position w:val="1"/>
                <w:sz w:val="24"/>
                <w:szCs w:val="24"/>
              </w:rPr>
            </w:pPr>
          </w:p>
          <w:p w14:paraId="07441C92">
            <w:pPr>
              <w:pStyle w:val="133"/>
              <w:spacing w:before="55" w:line="232" w:lineRule="exact"/>
              <w:ind w:left="372"/>
              <w:rPr>
                <w:position w:val="1"/>
                <w:sz w:val="24"/>
                <w:szCs w:val="24"/>
              </w:rPr>
            </w:pPr>
          </w:p>
          <w:p w14:paraId="1D5B1C20">
            <w:pPr>
              <w:pStyle w:val="133"/>
              <w:spacing w:before="55" w:line="232" w:lineRule="exact"/>
              <w:ind w:left="372"/>
              <w:rPr>
                <w:position w:val="1"/>
                <w:sz w:val="24"/>
                <w:szCs w:val="24"/>
              </w:rPr>
            </w:pPr>
          </w:p>
          <w:p w14:paraId="1EB68561">
            <w:pPr>
              <w:pStyle w:val="133"/>
              <w:spacing w:before="55" w:line="232" w:lineRule="exact"/>
              <w:ind w:left="372"/>
              <w:rPr>
                <w:position w:val="1"/>
                <w:sz w:val="24"/>
                <w:szCs w:val="24"/>
              </w:rPr>
            </w:pPr>
          </w:p>
          <w:p w14:paraId="78D52157">
            <w:pPr>
              <w:pStyle w:val="133"/>
              <w:spacing w:before="55" w:line="232" w:lineRule="exact"/>
              <w:ind w:left="372"/>
              <w:rPr>
                <w:position w:val="1"/>
                <w:sz w:val="24"/>
                <w:szCs w:val="24"/>
              </w:rPr>
            </w:pPr>
          </w:p>
          <w:p w14:paraId="73EC3D11">
            <w:pPr>
              <w:pStyle w:val="133"/>
              <w:spacing w:before="55" w:line="232" w:lineRule="exact"/>
              <w:ind w:left="372"/>
              <w:rPr>
                <w:position w:val="1"/>
                <w:sz w:val="24"/>
                <w:szCs w:val="24"/>
              </w:rPr>
            </w:pPr>
          </w:p>
          <w:p w14:paraId="5F3C9B4A">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315</w:t>
            </w:r>
          </w:p>
        </w:tc>
      </w:tr>
      <w:tr w14:paraId="29CA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2E524319">
            <w:pPr>
              <w:spacing w:line="415" w:lineRule="auto"/>
              <w:rPr>
                <w:rFonts w:ascii="Arial"/>
                <w:sz w:val="24"/>
                <w:szCs w:val="24"/>
              </w:rPr>
            </w:pPr>
          </w:p>
          <w:p w14:paraId="3A054150">
            <w:pPr>
              <w:pStyle w:val="133"/>
              <w:spacing w:before="55" w:line="231"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27</w:t>
            </w:r>
          </w:p>
        </w:tc>
        <w:tc>
          <w:tcPr>
            <w:tcW w:w="645" w:type="pct"/>
            <w:shd w:val="clear" w:color="auto" w:fill="auto"/>
            <w:vAlign w:val="top"/>
          </w:tcPr>
          <w:p w14:paraId="1CDB6043">
            <w:pPr>
              <w:spacing w:line="415" w:lineRule="auto"/>
              <w:rPr>
                <w:rFonts w:ascii="Arial"/>
                <w:sz w:val="24"/>
                <w:szCs w:val="24"/>
              </w:rPr>
            </w:pPr>
          </w:p>
          <w:p w14:paraId="41A4A847">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040205006001</w:t>
            </w:r>
          </w:p>
        </w:tc>
        <w:tc>
          <w:tcPr>
            <w:tcW w:w="759" w:type="pct"/>
            <w:shd w:val="clear" w:color="auto" w:fill="auto"/>
            <w:vAlign w:val="top"/>
          </w:tcPr>
          <w:p w14:paraId="068D8D2C">
            <w:pPr>
              <w:spacing w:line="415" w:lineRule="auto"/>
              <w:rPr>
                <w:rFonts w:ascii="Arial"/>
                <w:sz w:val="24"/>
                <w:szCs w:val="24"/>
              </w:rPr>
            </w:pPr>
          </w:p>
          <w:p w14:paraId="581992F0">
            <w:pPr>
              <w:pStyle w:val="133"/>
              <w:spacing w:before="56"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道路标志标线</w:t>
            </w:r>
          </w:p>
        </w:tc>
        <w:tc>
          <w:tcPr>
            <w:tcW w:w="1173" w:type="pct"/>
            <w:shd w:val="clear" w:color="auto" w:fill="auto"/>
            <w:vAlign w:val="top"/>
          </w:tcPr>
          <w:p w14:paraId="24F388EC">
            <w:pPr>
              <w:pStyle w:val="133"/>
              <w:spacing w:before="204" w:line="195" w:lineRule="auto"/>
              <w:ind w:left="27" w:right="57" w:firstLine="11"/>
              <w:rPr>
                <w:sz w:val="24"/>
                <w:szCs w:val="24"/>
              </w:rPr>
            </w:pPr>
            <w:r>
              <w:rPr>
                <w:spacing w:val="7"/>
                <w:sz w:val="24"/>
                <w:szCs w:val="24"/>
              </w:rPr>
              <w:t>1.材质：热熔型反光标线</w:t>
            </w:r>
            <w:r>
              <w:rPr>
                <w:spacing w:val="8"/>
                <w:sz w:val="24"/>
                <w:szCs w:val="24"/>
              </w:rPr>
              <w:t>涂料，雨夜反光型，抗压</w:t>
            </w:r>
            <w:r>
              <w:rPr>
                <w:spacing w:val="7"/>
                <w:sz w:val="24"/>
                <w:szCs w:val="24"/>
              </w:rPr>
              <w:t>强度≥12</w:t>
            </w:r>
            <w:r>
              <w:rPr>
                <w:sz w:val="24"/>
                <w:szCs w:val="24"/>
              </w:rPr>
              <w:t>MPa</w:t>
            </w:r>
            <w:r>
              <w:rPr>
                <w:spacing w:val="7"/>
                <w:sz w:val="24"/>
                <w:szCs w:val="24"/>
              </w:rPr>
              <w:t>；</w:t>
            </w:r>
          </w:p>
          <w:p w14:paraId="7FB562D8">
            <w:pPr>
              <w:pStyle w:val="133"/>
              <w:spacing w:before="55" w:line="195" w:lineRule="auto"/>
              <w:ind w:left="25" w:right="154" w:firstLine="13"/>
              <w:rPr>
                <w:sz w:val="24"/>
                <w:szCs w:val="24"/>
              </w:rPr>
            </w:pPr>
            <w:r>
              <w:rPr>
                <w:spacing w:val="7"/>
                <w:sz w:val="24"/>
                <w:szCs w:val="24"/>
              </w:rPr>
              <w:t>2.厚度：普通标线</w:t>
            </w:r>
            <w:r>
              <w:rPr>
                <w:spacing w:val="5"/>
                <w:sz w:val="24"/>
                <w:szCs w:val="24"/>
              </w:rPr>
              <w:t>1.8-2.5</w:t>
            </w:r>
            <w:r>
              <w:rPr>
                <w:sz w:val="24"/>
                <w:szCs w:val="24"/>
              </w:rPr>
              <w:t>mm</w:t>
            </w:r>
            <w:r>
              <w:rPr>
                <w:spacing w:val="5"/>
                <w:sz w:val="24"/>
                <w:szCs w:val="24"/>
              </w:rPr>
              <w:t>，反光玻璃珠含量≥20%；</w:t>
            </w:r>
          </w:p>
          <w:p w14:paraId="496D22D9">
            <w:pPr>
              <w:pStyle w:val="133"/>
              <w:spacing w:before="1" w:line="195" w:lineRule="auto"/>
              <w:ind w:left="26" w:right="57" w:firstLine="2"/>
              <w:rPr>
                <w:sz w:val="24"/>
                <w:szCs w:val="24"/>
              </w:rPr>
            </w:pPr>
            <w:r>
              <w:rPr>
                <w:spacing w:val="8"/>
                <w:sz w:val="24"/>
                <w:szCs w:val="24"/>
              </w:rPr>
              <w:t>3.颜色：白色（色度坐标</w:t>
            </w:r>
            <w:r>
              <w:rPr>
                <w:spacing w:val="4"/>
                <w:sz w:val="24"/>
                <w:szCs w:val="24"/>
              </w:rPr>
              <w:t>符合</w:t>
            </w:r>
            <w:r>
              <w:rPr>
                <w:sz w:val="24"/>
                <w:szCs w:val="24"/>
              </w:rPr>
              <w:t>GB</w:t>
            </w:r>
            <w:r>
              <w:rPr>
                <w:spacing w:val="4"/>
                <w:sz w:val="24"/>
                <w:szCs w:val="24"/>
              </w:rPr>
              <w:t>/T</w:t>
            </w:r>
            <w:r>
              <w:rPr>
                <w:spacing w:val="32"/>
                <w:sz w:val="24"/>
                <w:szCs w:val="24"/>
              </w:rPr>
              <w:t xml:space="preserve"> </w:t>
            </w:r>
            <w:r>
              <w:rPr>
                <w:spacing w:val="4"/>
                <w:sz w:val="24"/>
                <w:szCs w:val="24"/>
              </w:rPr>
              <w:t>16311-2009要</w:t>
            </w:r>
            <w:r>
              <w:rPr>
                <w:spacing w:val="8"/>
                <w:sz w:val="24"/>
                <w:szCs w:val="24"/>
              </w:rPr>
              <w:t>求</w:t>
            </w:r>
            <w:r>
              <w:rPr>
                <w:spacing w:val="12"/>
                <w:sz w:val="24"/>
                <w:szCs w:val="24"/>
              </w:rPr>
              <w:t>），</w:t>
            </w:r>
            <w:r>
              <w:rPr>
                <w:spacing w:val="8"/>
                <w:sz w:val="24"/>
                <w:szCs w:val="24"/>
              </w:rPr>
              <w:t>黄色（用于禁止标</w:t>
            </w:r>
            <w:r>
              <w:rPr>
                <w:spacing w:val="-9"/>
                <w:sz w:val="24"/>
                <w:szCs w:val="24"/>
              </w:rPr>
              <w:t>线</w:t>
            </w:r>
            <w:r>
              <w:rPr>
                <w:spacing w:val="-5"/>
                <w:sz w:val="24"/>
                <w:szCs w:val="24"/>
              </w:rPr>
              <w:t>）；</w:t>
            </w:r>
          </w:p>
          <w:p w14:paraId="11BCD55C">
            <w:pPr>
              <w:pStyle w:val="133"/>
              <w:spacing w:before="1" w:line="195" w:lineRule="auto"/>
              <w:ind w:left="24" w:right="57"/>
              <w:rPr>
                <w:spacing w:val="2"/>
                <w:sz w:val="24"/>
                <w:szCs w:val="24"/>
              </w:rPr>
            </w:pPr>
            <w:r>
              <w:rPr>
                <w:spacing w:val="8"/>
                <w:sz w:val="24"/>
                <w:szCs w:val="24"/>
              </w:rPr>
              <w:t>4.施工：采用热熔划线机</w:t>
            </w:r>
            <w:r>
              <w:rPr>
                <w:spacing w:val="5"/>
                <w:sz w:val="24"/>
                <w:szCs w:val="24"/>
              </w:rPr>
              <w:t>施工，标线宽度150</w:t>
            </w:r>
            <w:r>
              <w:rPr>
                <w:sz w:val="24"/>
                <w:szCs w:val="24"/>
              </w:rPr>
              <w:t>mm</w:t>
            </w:r>
            <w:r>
              <w:rPr>
                <w:spacing w:val="5"/>
                <w:sz w:val="24"/>
                <w:szCs w:val="24"/>
              </w:rPr>
              <w:t xml:space="preserve"> (</w:t>
            </w:r>
            <w:r>
              <w:rPr>
                <w:spacing w:val="-2"/>
                <w:sz w:val="24"/>
                <w:szCs w:val="24"/>
              </w:rPr>
              <w:t>车道边缘线）、 200mm (</w:t>
            </w:r>
            <w:r>
              <w:rPr>
                <w:spacing w:val="2"/>
                <w:sz w:val="24"/>
                <w:szCs w:val="24"/>
              </w:rPr>
              <w:t>车道分界线）；</w:t>
            </w:r>
          </w:p>
          <w:p w14:paraId="3BA55ABD">
            <w:pPr>
              <w:pStyle w:val="133"/>
              <w:spacing w:line="230" w:lineRule="auto"/>
              <w:ind w:left="27" w:leftChars="0"/>
              <w:rPr>
                <w:rFonts w:ascii="宋体" w:hAnsi="宋体" w:eastAsia="宋体" w:cs="宋体"/>
                <w:snapToGrid w:val="0"/>
                <w:color w:val="000000"/>
                <w:kern w:val="0"/>
                <w:sz w:val="24"/>
                <w:szCs w:val="24"/>
                <w:lang w:val="en-US" w:eastAsia="en-US" w:bidi="ar-SA"/>
              </w:rPr>
            </w:pPr>
            <w:r>
              <w:rPr>
                <w:rFonts w:hint="eastAsia"/>
                <w:spacing w:val="2"/>
                <w:sz w:val="24"/>
                <w:szCs w:val="24"/>
                <w:lang w:val="en-US" w:eastAsia="zh-CN"/>
              </w:rPr>
              <w:t xml:space="preserve"> 5.反光性能：干燥状态</w:t>
            </w:r>
            <w:r>
              <w:rPr>
                <w:rFonts w:hint="eastAsia"/>
                <w:spacing w:val="8"/>
                <w:sz w:val="24"/>
                <w:szCs w:val="24"/>
                <w:lang w:val="en-US" w:eastAsia="zh-CN"/>
              </w:rPr>
              <w:t>下逆反射系数≥150mcd∙1x-¹∙m-</w:t>
            </w:r>
            <w:r>
              <w:rPr>
                <w:rFonts w:ascii="Arial" w:hAnsi="Arial" w:eastAsia="宋体" w:cs="Arial"/>
                <w:i w:val="0"/>
                <w:iCs w:val="0"/>
                <w:caps w:val="0"/>
                <w:color w:val="333333"/>
                <w:spacing w:val="0"/>
                <w:sz w:val="21"/>
                <w:szCs w:val="21"/>
                <w:shd w:val="clear" w:fill="FFFFFF"/>
              </w:rPr>
              <w:t>²</w:t>
            </w:r>
            <w:r>
              <w:rPr>
                <w:rFonts w:hint="eastAsia"/>
                <w:spacing w:val="8"/>
                <w:sz w:val="24"/>
                <w:szCs w:val="24"/>
                <w:lang w:val="en-US" w:eastAsia="zh-CN"/>
              </w:rPr>
              <w:t>，潮湿状态下≥70mcd∙1x-¹∙m-</w:t>
            </w:r>
            <w:r>
              <w:rPr>
                <w:rFonts w:ascii="Arial" w:hAnsi="Arial" w:eastAsia="宋体" w:cs="Arial"/>
                <w:i w:val="0"/>
                <w:iCs w:val="0"/>
                <w:caps w:val="0"/>
                <w:color w:val="333333"/>
                <w:spacing w:val="0"/>
                <w:sz w:val="21"/>
                <w:szCs w:val="21"/>
                <w:shd w:val="clear" w:fill="FFFFFF"/>
              </w:rPr>
              <w:t>²</w:t>
            </w:r>
            <w:r>
              <w:rPr>
                <w:rFonts w:hint="eastAsia"/>
                <w:spacing w:val="8"/>
                <w:sz w:val="24"/>
                <w:szCs w:val="24"/>
                <w:lang w:val="en-US" w:eastAsia="zh-CN"/>
              </w:rPr>
              <w:t>；</w:t>
            </w:r>
          </w:p>
        </w:tc>
        <w:tc>
          <w:tcPr>
            <w:tcW w:w="610" w:type="pct"/>
            <w:shd w:val="clear" w:color="auto" w:fill="auto"/>
            <w:vAlign w:val="top"/>
          </w:tcPr>
          <w:p w14:paraId="5191C8D0">
            <w:pPr>
              <w:spacing w:line="415" w:lineRule="auto"/>
              <w:rPr>
                <w:rFonts w:ascii="Arial"/>
                <w:sz w:val="24"/>
                <w:szCs w:val="24"/>
              </w:rPr>
            </w:pPr>
          </w:p>
          <w:p w14:paraId="35E8D373">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76517B8A">
            <w:pPr>
              <w:spacing w:line="415" w:lineRule="auto"/>
              <w:rPr>
                <w:rFonts w:ascii="Arial"/>
                <w:sz w:val="24"/>
                <w:szCs w:val="24"/>
              </w:rPr>
            </w:pPr>
          </w:p>
          <w:p w14:paraId="20492F8E">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58DAA831">
            <w:pPr>
              <w:pStyle w:val="133"/>
              <w:spacing w:before="55" w:line="232" w:lineRule="exact"/>
              <w:ind w:left="372"/>
              <w:rPr>
                <w:position w:val="1"/>
                <w:sz w:val="24"/>
                <w:szCs w:val="24"/>
              </w:rPr>
            </w:pPr>
          </w:p>
          <w:p w14:paraId="00A806C6">
            <w:pPr>
              <w:pStyle w:val="133"/>
              <w:spacing w:before="55" w:line="232" w:lineRule="exact"/>
              <w:ind w:left="372"/>
              <w:rPr>
                <w:position w:val="1"/>
                <w:sz w:val="24"/>
                <w:szCs w:val="24"/>
              </w:rPr>
            </w:pPr>
          </w:p>
          <w:p w14:paraId="2BCA006A">
            <w:pPr>
              <w:pStyle w:val="133"/>
              <w:spacing w:before="55" w:line="232" w:lineRule="exact"/>
              <w:ind w:left="372" w:leftChars="0"/>
              <w:rPr>
                <w:rFonts w:hint="eastAsia" w:ascii="宋体" w:hAnsi="宋体" w:eastAsia="宋体" w:cs="宋体"/>
                <w:snapToGrid w:val="0"/>
                <w:color w:val="000000"/>
                <w:kern w:val="0"/>
                <w:position w:val="1"/>
                <w:sz w:val="24"/>
                <w:szCs w:val="24"/>
                <w:lang w:val="en-US" w:eastAsia="zh-CN" w:bidi="ar-SA"/>
              </w:rPr>
            </w:pPr>
            <w:r>
              <w:rPr>
                <w:rFonts w:hint="eastAsia"/>
                <w:position w:val="1"/>
                <w:sz w:val="24"/>
                <w:szCs w:val="24"/>
                <w:lang w:val="en-US" w:eastAsia="zh-CN"/>
              </w:rPr>
              <w:t>30</w:t>
            </w:r>
          </w:p>
        </w:tc>
      </w:tr>
      <w:tr w14:paraId="4D11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66160EFC">
            <w:pPr>
              <w:spacing w:line="254" w:lineRule="auto"/>
              <w:rPr>
                <w:rFonts w:ascii="Arial"/>
                <w:sz w:val="24"/>
                <w:szCs w:val="24"/>
              </w:rPr>
            </w:pPr>
          </w:p>
          <w:p w14:paraId="3DCD23AF">
            <w:pPr>
              <w:spacing w:line="255" w:lineRule="auto"/>
              <w:rPr>
                <w:rFonts w:ascii="Arial"/>
                <w:sz w:val="24"/>
                <w:szCs w:val="24"/>
              </w:rPr>
            </w:pPr>
          </w:p>
          <w:p w14:paraId="7E4EC85F">
            <w:pPr>
              <w:spacing w:line="255" w:lineRule="auto"/>
              <w:rPr>
                <w:rFonts w:ascii="Arial"/>
                <w:sz w:val="24"/>
                <w:szCs w:val="24"/>
              </w:rPr>
            </w:pPr>
          </w:p>
          <w:p w14:paraId="1883F636">
            <w:pPr>
              <w:spacing w:line="255" w:lineRule="auto"/>
              <w:rPr>
                <w:rFonts w:ascii="Arial"/>
                <w:sz w:val="24"/>
                <w:szCs w:val="24"/>
              </w:rPr>
            </w:pPr>
          </w:p>
          <w:p w14:paraId="7449DBBC">
            <w:pPr>
              <w:spacing w:line="255" w:lineRule="auto"/>
              <w:rPr>
                <w:rFonts w:ascii="Arial"/>
                <w:sz w:val="24"/>
                <w:szCs w:val="24"/>
              </w:rPr>
            </w:pPr>
          </w:p>
          <w:p w14:paraId="3E87432F">
            <w:pPr>
              <w:spacing w:line="255" w:lineRule="auto"/>
              <w:rPr>
                <w:rFonts w:ascii="Arial"/>
                <w:sz w:val="24"/>
                <w:szCs w:val="24"/>
              </w:rPr>
            </w:pPr>
          </w:p>
          <w:p w14:paraId="3DF6BC94">
            <w:pPr>
              <w:spacing w:line="255" w:lineRule="auto"/>
              <w:rPr>
                <w:rFonts w:ascii="Arial"/>
                <w:sz w:val="24"/>
                <w:szCs w:val="24"/>
              </w:rPr>
            </w:pPr>
          </w:p>
          <w:p w14:paraId="47C5C248">
            <w:pPr>
              <w:pStyle w:val="133"/>
              <w:spacing w:before="56" w:line="230"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28</w:t>
            </w:r>
          </w:p>
        </w:tc>
        <w:tc>
          <w:tcPr>
            <w:tcW w:w="645" w:type="pct"/>
            <w:shd w:val="clear" w:color="auto" w:fill="auto"/>
            <w:vAlign w:val="top"/>
          </w:tcPr>
          <w:p w14:paraId="715B6589">
            <w:pPr>
              <w:spacing w:line="254" w:lineRule="auto"/>
              <w:rPr>
                <w:rFonts w:ascii="Arial"/>
                <w:sz w:val="24"/>
                <w:szCs w:val="24"/>
              </w:rPr>
            </w:pPr>
          </w:p>
          <w:p w14:paraId="10A2CAB4">
            <w:pPr>
              <w:spacing w:line="255" w:lineRule="auto"/>
              <w:rPr>
                <w:rFonts w:ascii="Arial"/>
                <w:sz w:val="24"/>
                <w:szCs w:val="24"/>
              </w:rPr>
            </w:pPr>
          </w:p>
          <w:p w14:paraId="4FE217B6">
            <w:pPr>
              <w:spacing w:line="255" w:lineRule="auto"/>
              <w:rPr>
                <w:rFonts w:ascii="Arial"/>
                <w:sz w:val="24"/>
                <w:szCs w:val="24"/>
              </w:rPr>
            </w:pPr>
          </w:p>
          <w:p w14:paraId="2D8B44B3">
            <w:pPr>
              <w:spacing w:line="255" w:lineRule="auto"/>
              <w:rPr>
                <w:rFonts w:ascii="Arial"/>
                <w:sz w:val="24"/>
                <w:szCs w:val="24"/>
              </w:rPr>
            </w:pPr>
          </w:p>
          <w:p w14:paraId="1A762ECE">
            <w:pPr>
              <w:spacing w:line="255" w:lineRule="auto"/>
              <w:rPr>
                <w:rFonts w:ascii="Arial"/>
                <w:sz w:val="24"/>
                <w:szCs w:val="24"/>
              </w:rPr>
            </w:pPr>
          </w:p>
          <w:p w14:paraId="227BA3C2">
            <w:pPr>
              <w:spacing w:line="255" w:lineRule="auto"/>
              <w:rPr>
                <w:rFonts w:ascii="Arial"/>
                <w:sz w:val="24"/>
                <w:szCs w:val="24"/>
              </w:rPr>
            </w:pPr>
          </w:p>
          <w:p w14:paraId="550DE450">
            <w:pPr>
              <w:spacing w:line="255" w:lineRule="auto"/>
              <w:rPr>
                <w:rFonts w:ascii="Arial"/>
                <w:sz w:val="24"/>
                <w:szCs w:val="24"/>
              </w:rPr>
            </w:pPr>
          </w:p>
          <w:p w14:paraId="131DCA28">
            <w:pPr>
              <w:pStyle w:val="133"/>
              <w:spacing w:before="56" w:line="230"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040205006002</w:t>
            </w:r>
          </w:p>
        </w:tc>
        <w:tc>
          <w:tcPr>
            <w:tcW w:w="759" w:type="pct"/>
            <w:shd w:val="clear" w:color="auto" w:fill="auto"/>
            <w:vAlign w:val="top"/>
          </w:tcPr>
          <w:p w14:paraId="7D54EE0D">
            <w:pPr>
              <w:spacing w:line="255" w:lineRule="auto"/>
              <w:rPr>
                <w:rFonts w:ascii="Arial"/>
                <w:sz w:val="24"/>
                <w:szCs w:val="24"/>
              </w:rPr>
            </w:pPr>
          </w:p>
          <w:p w14:paraId="141979A4">
            <w:pPr>
              <w:spacing w:line="255" w:lineRule="auto"/>
              <w:rPr>
                <w:rFonts w:ascii="Arial"/>
                <w:sz w:val="24"/>
                <w:szCs w:val="24"/>
              </w:rPr>
            </w:pPr>
          </w:p>
          <w:p w14:paraId="547C50B1">
            <w:pPr>
              <w:spacing w:line="255" w:lineRule="auto"/>
              <w:rPr>
                <w:rFonts w:ascii="Arial"/>
                <w:sz w:val="24"/>
                <w:szCs w:val="24"/>
              </w:rPr>
            </w:pPr>
          </w:p>
          <w:p w14:paraId="4FE01E02">
            <w:pPr>
              <w:spacing w:line="255" w:lineRule="auto"/>
              <w:rPr>
                <w:rFonts w:ascii="Arial"/>
                <w:sz w:val="24"/>
                <w:szCs w:val="24"/>
              </w:rPr>
            </w:pPr>
          </w:p>
          <w:p w14:paraId="584DEBDA">
            <w:pPr>
              <w:spacing w:line="255" w:lineRule="auto"/>
              <w:rPr>
                <w:rFonts w:ascii="Arial"/>
                <w:sz w:val="24"/>
                <w:szCs w:val="24"/>
              </w:rPr>
            </w:pPr>
          </w:p>
          <w:p w14:paraId="47E16D42">
            <w:pPr>
              <w:spacing w:line="255" w:lineRule="auto"/>
              <w:rPr>
                <w:rFonts w:ascii="Arial"/>
                <w:sz w:val="24"/>
                <w:szCs w:val="24"/>
              </w:rPr>
            </w:pPr>
          </w:p>
          <w:p w14:paraId="631FDF83">
            <w:pPr>
              <w:spacing w:line="255" w:lineRule="auto"/>
              <w:rPr>
                <w:rFonts w:ascii="Arial"/>
                <w:sz w:val="24"/>
                <w:szCs w:val="24"/>
              </w:rPr>
            </w:pPr>
          </w:p>
          <w:p w14:paraId="08D4EE18">
            <w:pPr>
              <w:pStyle w:val="133"/>
              <w:spacing w:before="55" w:line="230" w:lineRule="auto"/>
              <w:ind w:left="22" w:leftChars="0"/>
              <w:rPr>
                <w:rFonts w:ascii="宋体" w:hAnsi="宋体" w:eastAsia="宋体" w:cs="宋体"/>
                <w:snapToGrid w:val="0"/>
                <w:color w:val="000000"/>
                <w:kern w:val="0"/>
                <w:sz w:val="24"/>
                <w:szCs w:val="24"/>
                <w:lang w:val="en-US" w:eastAsia="en-US" w:bidi="ar-SA"/>
              </w:rPr>
            </w:pPr>
            <w:r>
              <w:rPr>
                <w:spacing w:val="7"/>
                <w:sz w:val="24"/>
                <w:szCs w:val="24"/>
              </w:rPr>
              <w:t>禁停标线</w:t>
            </w:r>
          </w:p>
        </w:tc>
        <w:tc>
          <w:tcPr>
            <w:tcW w:w="1173" w:type="pct"/>
            <w:shd w:val="clear" w:color="auto" w:fill="auto"/>
            <w:vAlign w:val="top"/>
          </w:tcPr>
          <w:p w14:paraId="2FD985DF">
            <w:pPr>
              <w:spacing w:line="355" w:lineRule="auto"/>
              <w:rPr>
                <w:rFonts w:ascii="Arial"/>
                <w:sz w:val="24"/>
                <w:szCs w:val="24"/>
              </w:rPr>
            </w:pPr>
          </w:p>
          <w:p w14:paraId="02A6DC89">
            <w:pPr>
              <w:pStyle w:val="133"/>
              <w:spacing w:before="55" w:line="195" w:lineRule="auto"/>
              <w:ind w:left="25" w:right="57" w:firstLine="12"/>
              <w:rPr>
                <w:sz w:val="24"/>
                <w:szCs w:val="24"/>
              </w:rPr>
            </w:pPr>
            <w:r>
              <w:rPr>
                <w:spacing w:val="7"/>
                <w:sz w:val="24"/>
                <w:szCs w:val="24"/>
              </w:rPr>
              <w:t>1.类型：黄色网状线或禁</w:t>
            </w:r>
            <w:r>
              <w:rPr>
                <w:spacing w:val="9"/>
                <w:sz w:val="24"/>
                <w:szCs w:val="24"/>
              </w:rPr>
              <w:t>止停车标线，热熔型反光</w:t>
            </w:r>
            <w:r>
              <w:rPr>
                <w:spacing w:val="-6"/>
                <w:sz w:val="24"/>
                <w:szCs w:val="24"/>
              </w:rPr>
              <w:t>涂料；</w:t>
            </w:r>
          </w:p>
          <w:p w14:paraId="534B7481">
            <w:pPr>
              <w:pStyle w:val="133"/>
              <w:spacing w:before="1" w:line="195" w:lineRule="auto"/>
              <w:ind w:left="20" w:right="57" w:firstLine="7"/>
              <w:rPr>
                <w:sz w:val="24"/>
                <w:szCs w:val="24"/>
              </w:rPr>
            </w:pPr>
            <w:r>
              <w:rPr>
                <w:spacing w:val="8"/>
                <w:sz w:val="24"/>
                <w:szCs w:val="24"/>
              </w:rPr>
              <w:t>2.规格：网状线网格尺寸</w:t>
            </w:r>
            <w:r>
              <w:rPr>
                <w:spacing w:val="3"/>
                <w:sz w:val="24"/>
                <w:szCs w:val="24"/>
              </w:rPr>
              <w:t>2000×</w:t>
            </w:r>
            <w:r>
              <w:rPr>
                <w:spacing w:val="-32"/>
                <w:sz w:val="24"/>
                <w:szCs w:val="24"/>
              </w:rPr>
              <w:t xml:space="preserve"> </w:t>
            </w:r>
            <w:r>
              <w:rPr>
                <w:spacing w:val="3"/>
                <w:sz w:val="24"/>
                <w:szCs w:val="24"/>
              </w:rPr>
              <w:t>2000</w:t>
            </w:r>
            <w:r>
              <w:rPr>
                <w:sz w:val="24"/>
                <w:szCs w:val="24"/>
              </w:rPr>
              <w:t>mm</w:t>
            </w:r>
            <w:r>
              <w:rPr>
                <w:spacing w:val="3"/>
                <w:sz w:val="24"/>
                <w:szCs w:val="24"/>
              </w:rPr>
              <w:t>，线宽400</w:t>
            </w:r>
            <w:r>
              <w:rPr>
                <w:sz w:val="24"/>
                <w:szCs w:val="24"/>
              </w:rPr>
              <w:t xml:space="preserve"> mm</w:t>
            </w:r>
            <w:r>
              <w:rPr>
                <w:spacing w:val="9"/>
                <w:sz w:val="24"/>
                <w:szCs w:val="24"/>
              </w:rPr>
              <w:t>；禁止停车标线线宽15</w:t>
            </w:r>
            <w:r>
              <w:rPr>
                <w:spacing w:val="4"/>
                <w:sz w:val="24"/>
                <w:szCs w:val="24"/>
              </w:rPr>
              <w:t xml:space="preserve"> </w:t>
            </w:r>
            <w:r>
              <w:rPr>
                <w:spacing w:val="8"/>
                <w:sz w:val="24"/>
                <w:szCs w:val="24"/>
              </w:rPr>
              <w:t>0</w:t>
            </w:r>
            <w:r>
              <w:rPr>
                <w:sz w:val="24"/>
                <w:szCs w:val="24"/>
              </w:rPr>
              <w:t>mm</w:t>
            </w:r>
            <w:r>
              <w:rPr>
                <w:spacing w:val="8"/>
                <w:sz w:val="24"/>
                <w:szCs w:val="24"/>
              </w:rPr>
              <w:t>，间隔200</w:t>
            </w:r>
            <w:r>
              <w:rPr>
                <w:sz w:val="24"/>
                <w:szCs w:val="24"/>
              </w:rPr>
              <w:t>mm</w:t>
            </w:r>
            <w:r>
              <w:rPr>
                <w:spacing w:val="8"/>
                <w:sz w:val="24"/>
                <w:szCs w:val="24"/>
              </w:rPr>
              <w:t>；</w:t>
            </w:r>
          </w:p>
          <w:p w14:paraId="66A1724F">
            <w:pPr>
              <w:pStyle w:val="133"/>
              <w:spacing w:line="195" w:lineRule="auto"/>
              <w:ind w:left="27" w:right="57" w:firstLine="1"/>
              <w:rPr>
                <w:sz w:val="24"/>
                <w:szCs w:val="24"/>
              </w:rPr>
            </w:pPr>
            <w:r>
              <w:rPr>
                <w:spacing w:val="8"/>
                <w:sz w:val="24"/>
                <w:szCs w:val="24"/>
              </w:rPr>
              <w:t>3.材质：雨夜反光型涂料</w:t>
            </w:r>
            <w:r>
              <w:rPr>
                <w:sz w:val="24"/>
                <w:szCs w:val="24"/>
              </w:rPr>
              <w:t xml:space="preserve"> </w:t>
            </w:r>
            <w:r>
              <w:rPr>
                <w:spacing w:val="17"/>
                <w:sz w:val="24"/>
                <w:szCs w:val="24"/>
              </w:rPr>
              <w:t>,抗压强度≥12</w:t>
            </w:r>
            <w:r>
              <w:rPr>
                <w:sz w:val="24"/>
                <w:szCs w:val="24"/>
              </w:rPr>
              <w:t>MPa</w:t>
            </w:r>
            <w:r>
              <w:rPr>
                <w:spacing w:val="17"/>
                <w:sz w:val="24"/>
                <w:szCs w:val="24"/>
              </w:rPr>
              <w:t>，耐</w:t>
            </w:r>
            <w:r>
              <w:rPr>
                <w:spacing w:val="6"/>
                <w:sz w:val="24"/>
                <w:szCs w:val="24"/>
              </w:rPr>
              <w:t>磨性≤50</w:t>
            </w:r>
            <w:r>
              <w:rPr>
                <w:sz w:val="24"/>
                <w:szCs w:val="24"/>
              </w:rPr>
              <w:t>mg</w:t>
            </w:r>
            <w:r>
              <w:rPr>
                <w:spacing w:val="6"/>
                <w:sz w:val="24"/>
                <w:szCs w:val="24"/>
              </w:rPr>
              <w:t>；</w:t>
            </w:r>
          </w:p>
          <w:p w14:paraId="63E2B73E">
            <w:pPr>
              <w:pStyle w:val="133"/>
              <w:spacing w:before="1" w:line="195" w:lineRule="auto"/>
              <w:ind w:left="25" w:right="57" w:hanging="1"/>
              <w:rPr>
                <w:sz w:val="24"/>
                <w:szCs w:val="24"/>
              </w:rPr>
            </w:pPr>
            <w:r>
              <w:rPr>
                <w:spacing w:val="8"/>
                <w:sz w:val="24"/>
                <w:szCs w:val="24"/>
              </w:rPr>
              <w:t>4.颜色：柠檬黄色，色度</w:t>
            </w:r>
            <w:r>
              <w:rPr>
                <w:spacing w:val="4"/>
                <w:sz w:val="24"/>
                <w:szCs w:val="24"/>
              </w:rPr>
              <w:t>坐标符合</w:t>
            </w:r>
            <w:r>
              <w:rPr>
                <w:sz w:val="24"/>
                <w:szCs w:val="24"/>
              </w:rPr>
              <w:t>GB</w:t>
            </w:r>
            <w:r>
              <w:rPr>
                <w:spacing w:val="4"/>
                <w:sz w:val="24"/>
                <w:szCs w:val="24"/>
              </w:rPr>
              <w:t>/T</w:t>
            </w:r>
            <w:r>
              <w:rPr>
                <w:spacing w:val="38"/>
                <w:sz w:val="24"/>
                <w:szCs w:val="24"/>
              </w:rPr>
              <w:t xml:space="preserve"> </w:t>
            </w:r>
            <w:r>
              <w:rPr>
                <w:spacing w:val="4"/>
                <w:sz w:val="24"/>
                <w:szCs w:val="24"/>
              </w:rPr>
              <w:t>16311-200</w:t>
            </w:r>
            <w:r>
              <w:rPr>
                <w:sz w:val="24"/>
                <w:szCs w:val="24"/>
              </w:rPr>
              <w:t xml:space="preserve"> </w:t>
            </w:r>
            <w:r>
              <w:rPr>
                <w:spacing w:val="-4"/>
                <w:sz w:val="24"/>
                <w:szCs w:val="24"/>
              </w:rPr>
              <w:t>9要求；</w:t>
            </w:r>
          </w:p>
          <w:p w14:paraId="4A15BEB3">
            <w:pPr>
              <w:pStyle w:val="133"/>
              <w:spacing w:before="2" w:line="205" w:lineRule="auto"/>
              <w:ind w:left="27" w:leftChars="0" w:right="102" w:rightChars="0" w:firstLine="1" w:firstLineChars="0"/>
              <w:rPr>
                <w:rFonts w:ascii="宋体" w:hAnsi="宋体" w:eastAsia="宋体" w:cs="宋体"/>
                <w:snapToGrid w:val="0"/>
                <w:color w:val="000000"/>
                <w:kern w:val="0"/>
                <w:sz w:val="24"/>
                <w:szCs w:val="24"/>
                <w:lang w:val="en-US" w:eastAsia="en-US" w:bidi="ar-SA"/>
              </w:rPr>
            </w:pPr>
            <w:r>
              <w:rPr>
                <w:spacing w:val="4"/>
                <w:sz w:val="24"/>
                <w:szCs w:val="24"/>
              </w:rPr>
              <w:t>5.施工：基层清理干净，</w:t>
            </w:r>
            <w:r>
              <w:rPr>
                <w:spacing w:val="6"/>
                <w:sz w:val="24"/>
                <w:szCs w:val="24"/>
              </w:rPr>
              <w:t>涂料加热温度180-220℃</w:t>
            </w:r>
            <w:r>
              <w:rPr>
                <w:spacing w:val="7"/>
                <w:sz w:val="24"/>
                <w:szCs w:val="24"/>
              </w:rPr>
              <w:t xml:space="preserve"> </w:t>
            </w:r>
            <w:r>
              <w:rPr>
                <w:spacing w:val="12"/>
                <w:sz w:val="24"/>
                <w:szCs w:val="24"/>
              </w:rPr>
              <w:t>,确保与路面粘结牢固；</w:t>
            </w:r>
          </w:p>
        </w:tc>
        <w:tc>
          <w:tcPr>
            <w:tcW w:w="610" w:type="pct"/>
            <w:shd w:val="clear" w:color="auto" w:fill="auto"/>
            <w:vAlign w:val="top"/>
          </w:tcPr>
          <w:p w14:paraId="03BE19FC">
            <w:pPr>
              <w:spacing w:line="254" w:lineRule="auto"/>
              <w:rPr>
                <w:rFonts w:ascii="Arial"/>
                <w:sz w:val="24"/>
                <w:szCs w:val="24"/>
              </w:rPr>
            </w:pPr>
          </w:p>
          <w:p w14:paraId="452DFC96">
            <w:pPr>
              <w:spacing w:line="255" w:lineRule="auto"/>
              <w:rPr>
                <w:rFonts w:ascii="Arial"/>
                <w:sz w:val="24"/>
                <w:szCs w:val="24"/>
              </w:rPr>
            </w:pPr>
          </w:p>
          <w:p w14:paraId="46D8C156">
            <w:pPr>
              <w:spacing w:line="255" w:lineRule="auto"/>
              <w:rPr>
                <w:rFonts w:ascii="Arial"/>
                <w:sz w:val="24"/>
                <w:szCs w:val="24"/>
              </w:rPr>
            </w:pPr>
          </w:p>
          <w:p w14:paraId="37E7E8DA">
            <w:pPr>
              <w:spacing w:line="255" w:lineRule="auto"/>
              <w:rPr>
                <w:rFonts w:ascii="Arial"/>
                <w:sz w:val="24"/>
                <w:szCs w:val="24"/>
              </w:rPr>
            </w:pPr>
          </w:p>
          <w:p w14:paraId="4E1EB7AC">
            <w:pPr>
              <w:spacing w:line="255" w:lineRule="auto"/>
              <w:rPr>
                <w:rFonts w:ascii="Arial"/>
                <w:sz w:val="24"/>
                <w:szCs w:val="24"/>
              </w:rPr>
            </w:pPr>
          </w:p>
          <w:p w14:paraId="51C5B42A">
            <w:pPr>
              <w:spacing w:line="255" w:lineRule="auto"/>
              <w:rPr>
                <w:rFonts w:ascii="Arial"/>
                <w:sz w:val="24"/>
                <w:szCs w:val="24"/>
              </w:rPr>
            </w:pPr>
          </w:p>
          <w:p w14:paraId="52828237">
            <w:pPr>
              <w:spacing w:line="255" w:lineRule="auto"/>
              <w:rPr>
                <w:rFonts w:ascii="Arial"/>
                <w:sz w:val="24"/>
                <w:szCs w:val="24"/>
              </w:rPr>
            </w:pPr>
          </w:p>
          <w:p w14:paraId="0877DA8B">
            <w:pPr>
              <w:pStyle w:val="133"/>
              <w:spacing w:before="56"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34B5610E">
            <w:pPr>
              <w:spacing w:line="254" w:lineRule="auto"/>
              <w:rPr>
                <w:rFonts w:ascii="Arial"/>
                <w:sz w:val="24"/>
                <w:szCs w:val="24"/>
              </w:rPr>
            </w:pPr>
          </w:p>
          <w:p w14:paraId="1350EC74">
            <w:pPr>
              <w:spacing w:line="255" w:lineRule="auto"/>
              <w:rPr>
                <w:rFonts w:ascii="Arial"/>
                <w:sz w:val="24"/>
                <w:szCs w:val="24"/>
              </w:rPr>
            </w:pPr>
          </w:p>
          <w:p w14:paraId="48619CD5">
            <w:pPr>
              <w:spacing w:line="255" w:lineRule="auto"/>
              <w:rPr>
                <w:rFonts w:ascii="Arial"/>
                <w:sz w:val="24"/>
                <w:szCs w:val="24"/>
              </w:rPr>
            </w:pPr>
          </w:p>
          <w:p w14:paraId="2ED22ED7">
            <w:pPr>
              <w:spacing w:line="255" w:lineRule="auto"/>
              <w:rPr>
                <w:rFonts w:ascii="Arial"/>
                <w:sz w:val="24"/>
                <w:szCs w:val="24"/>
              </w:rPr>
            </w:pPr>
          </w:p>
          <w:p w14:paraId="259EDACF">
            <w:pPr>
              <w:spacing w:line="255" w:lineRule="auto"/>
              <w:rPr>
                <w:rFonts w:ascii="Arial"/>
                <w:sz w:val="24"/>
                <w:szCs w:val="24"/>
              </w:rPr>
            </w:pPr>
          </w:p>
          <w:p w14:paraId="73E88F75">
            <w:pPr>
              <w:spacing w:line="255" w:lineRule="auto"/>
              <w:rPr>
                <w:rFonts w:ascii="Arial"/>
                <w:sz w:val="24"/>
                <w:szCs w:val="24"/>
              </w:rPr>
            </w:pPr>
          </w:p>
          <w:p w14:paraId="383E8637">
            <w:pPr>
              <w:spacing w:line="255" w:lineRule="auto"/>
              <w:rPr>
                <w:rFonts w:ascii="Arial"/>
                <w:sz w:val="24"/>
                <w:szCs w:val="24"/>
              </w:rPr>
            </w:pPr>
          </w:p>
          <w:p w14:paraId="7EFA8142">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3FA8113C">
            <w:pPr>
              <w:pStyle w:val="133"/>
              <w:spacing w:before="55" w:line="232" w:lineRule="exact"/>
              <w:ind w:left="372"/>
              <w:jc w:val="both"/>
              <w:rPr>
                <w:sz w:val="24"/>
                <w:szCs w:val="24"/>
              </w:rPr>
            </w:pPr>
          </w:p>
          <w:p w14:paraId="09764637">
            <w:pPr>
              <w:pStyle w:val="133"/>
              <w:spacing w:before="55" w:line="232" w:lineRule="exact"/>
              <w:ind w:left="372"/>
              <w:jc w:val="both"/>
              <w:rPr>
                <w:sz w:val="24"/>
                <w:szCs w:val="24"/>
              </w:rPr>
            </w:pPr>
          </w:p>
          <w:p w14:paraId="46DA2E81">
            <w:pPr>
              <w:pStyle w:val="133"/>
              <w:spacing w:before="55" w:line="232" w:lineRule="exact"/>
              <w:ind w:left="372"/>
              <w:jc w:val="both"/>
              <w:rPr>
                <w:sz w:val="24"/>
                <w:szCs w:val="24"/>
              </w:rPr>
            </w:pPr>
          </w:p>
          <w:p w14:paraId="4AE43DE6">
            <w:pPr>
              <w:pStyle w:val="133"/>
              <w:spacing w:before="55" w:line="232" w:lineRule="exact"/>
              <w:ind w:left="372"/>
              <w:jc w:val="both"/>
              <w:rPr>
                <w:sz w:val="24"/>
                <w:szCs w:val="24"/>
              </w:rPr>
            </w:pPr>
          </w:p>
          <w:p w14:paraId="309708C7">
            <w:pPr>
              <w:pStyle w:val="133"/>
              <w:spacing w:before="55" w:line="232" w:lineRule="exact"/>
              <w:ind w:left="372"/>
              <w:jc w:val="both"/>
              <w:rPr>
                <w:sz w:val="24"/>
                <w:szCs w:val="24"/>
              </w:rPr>
            </w:pPr>
          </w:p>
          <w:p w14:paraId="716A7438">
            <w:pPr>
              <w:pStyle w:val="133"/>
              <w:spacing w:before="55" w:line="232" w:lineRule="exact"/>
              <w:ind w:left="372"/>
              <w:jc w:val="both"/>
              <w:rPr>
                <w:sz w:val="24"/>
                <w:szCs w:val="24"/>
              </w:rPr>
            </w:pPr>
          </w:p>
          <w:p w14:paraId="0813C50F">
            <w:pPr>
              <w:pStyle w:val="133"/>
              <w:spacing w:before="55" w:line="232" w:lineRule="exact"/>
              <w:ind w:left="372"/>
              <w:jc w:val="both"/>
              <w:rPr>
                <w:sz w:val="24"/>
                <w:szCs w:val="24"/>
              </w:rPr>
            </w:pPr>
          </w:p>
          <w:p w14:paraId="52F57C27">
            <w:pPr>
              <w:pStyle w:val="133"/>
              <w:spacing w:before="55" w:line="232" w:lineRule="exact"/>
              <w:ind w:left="372"/>
              <w:jc w:val="both"/>
              <w:rPr>
                <w:sz w:val="24"/>
                <w:szCs w:val="24"/>
              </w:rPr>
            </w:pPr>
          </w:p>
          <w:p w14:paraId="3EB7288A">
            <w:pPr>
              <w:pStyle w:val="133"/>
              <w:spacing w:before="55" w:line="232" w:lineRule="exact"/>
              <w:ind w:left="372" w:leftChars="0"/>
              <w:jc w:val="both"/>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30</w:t>
            </w:r>
          </w:p>
        </w:tc>
      </w:tr>
      <w:tr w14:paraId="3C7E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2EFA2FD">
            <w:pPr>
              <w:spacing w:line="243" w:lineRule="auto"/>
              <w:rPr>
                <w:rFonts w:ascii="Arial"/>
                <w:sz w:val="24"/>
                <w:szCs w:val="24"/>
              </w:rPr>
            </w:pPr>
          </w:p>
          <w:p w14:paraId="567881EE">
            <w:pPr>
              <w:spacing w:line="243" w:lineRule="auto"/>
              <w:rPr>
                <w:rFonts w:ascii="Arial"/>
                <w:sz w:val="24"/>
                <w:szCs w:val="24"/>
              </w:rPr>
            </w:pPr>
          </w:p>
          <w:p w14:paraId="1F1F11D6">
            <w:pPr>
              <w:spacing w:line="243" w:lineRule="auto"/>
              <w:rPr>
                <w:rFonts w:ascii="Arial"/>
                <w:sz w:val="24"/>
                <w:szCs w:val="24"/>
              </w:rPr>
            </w:pPr>
          </w:p>
          <w:p w14:paraId="694FF2F5">
            <w:pPr>
              <w:spacing w:line="243" w:lineRule="auto"/>
              <w:rPr>
                <w:rFonts w:ascii="Arial"/>
                <w:sz w:val="24"/>
                <w:szCs w:val="24"/>
              </w:rPr>
            </w:pPr>
          </w:p>
          <w:p w14:paraId="0BC71D7E">
            <w:pPr>
              <w:spacing w:line="243" w:lineRule="auto"/>
              <w:rPr>
                <w:rFonts w:ascii="Arial"/>
                <w:sz w:val="24"/>
                <w:szCs w:val="24"/>
              </w:rPr>
            </w:pPr>
          </w:p>
          <w:p w14:paraId="282D6B56">
            <w:pPr>
              <w:spacing w:line="243" w:lineRule="auto"/>
              <w:rPr>
                <w:rFonts w:ascii="Arial"/>
                <w:sz w:val="24"/>
                <w:szCs w:val="24"/>
              </w:rPr>
            </w:pPr>
          </w:p>
          <w:p w14:paraId="56CE9412">
            <w:pPr>
              <w:pStyle w:val="133"/>
              <w:spacing w:before="55" w:line="231" w:lineRule="exact"/>
              <w:ind w:left="283" w:leftChars="0"/>
              <w:rPr>
                <w:rFonts w:ascii="宋体" w:hAnsi="宋体" w:eastAsia="宋体" w:cs="宋体"/>
                <w:snapToGrid w:val="0"/>
                <w:color w:val="000000"/>
                <w:kern w:val="0"/>
                <w:sz w:val="24"/>
                <w:szCs w:val="24"/>
                <w:lang w:val="en-US" w:eastAsia="en-US" w:bidi="ar-SA"/>
              </w:rPr>
            </w:pPr>
            <w:r>
              <w:rPr>
                <w:position w:val="1"/>
                <w:sz w:val="24"/>
                <w:szCs w:val="24"/>
              </w:rPr>
              <w:t>29</w:t>
            </w:r>
          </w:p>
        </w:tc>
        <w:tc>
          <w:tcPr>
            <w:tcW w:w="645" w:type="pct"/>
            <w:shd w:val="clear" w:color="auto" w:fill="auto"/>
            <w:vAlign w:val="top"/>
          </w:tcPr>
          <w:p w14:paraId="3DA8303C">
            <w:pPr>
              <w:spacing w:line="243" w:lineRule="auto"/>
              <w:rPr>
                <w:rFonts w:ascii="Arial"/>
                <w:sz w:val="24"/>
                <w:szCs w:val="24"/>
              </w:rPr>
            </w:pPr>
          </w:p>
          <w:p w14:paraId="279AAF70">
            <w:pPr>
              <w:spacing w:line="243" w:lineRule="auto"/>
              <w:rPr>
                <w:rFonts w:ascii="Arial"/>
                <w:sz w:val="24"/>
                <w:szCs w:val="24"/>
              </w:rPr>
            </w:pPr>
          </w:p>
          <w:p w14:paraId="5FB4DFA2">
            <w:pPr>
              <w:spacing w:line="243" w:lineRule="auto"/>
              <w:rPr>
                <w:rFonts w:ascii="Arial"/>
                <w:sz w:val="24"/>
                <w:szCs w:val="24"/>
              </w:rPr>
            </w:pPr>
          </w:p>
          <w:p w14:paraId="5CB8446B">
            <w:pPr>
              <w:spacing w:line="243" w:lineRule="auto"/>
              <w:rPr>
                <w:rFonts w:ascii="Arial"/>
                <w:sz w:val="24"/>
                <w:szCs w:val="24"/>
              </w:rPr>
            </w:pPr>
          </w:p>
          <w:p w14:paraId="454447EC">
            <w:pPr>
              <w:spacing w:line="243" w:lineRule="auto"/>
              <w:rPr>
                <w:rFonts w:ascii="Arial"/>
                <w:sz w:val="24"/>
                <w:szCs w:val="24"/>
              </w:rPr>
            </w:pPr>
          </w:p>
          <w:p w14:paraId="276EE197">
            <w:pPr>
              <w:spacing w:line="243" w:lineRule="auto"/>
              <w:rPr>
                <w:rFonts w:ascii="Arial"/>
                <w:sz w:val="24"/>
                <w:szCs w:val="24"/>
              </w:rPr>
            </w:pPr>
          </w:p>
          <w:p w14:paraId="51835823">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040205006003</w:t>
            </w:r>
          </w:p>
        </w:tc>
        <w:tc>
          <w:tcPr>
            <w:tcW w:w="759" w:type="pct"/>
            <w:shd w:val="clear" w:color="auto" w:fill="auto"/>
            <w:vAlign w:val="top"/>
          </w:tcPr>
          <w:p w14:paraId="3C9793F3">
            <w:pPr>
              <w:spacing w:line="242" w:lineRule="auto"/>
              <w:rPr>
                <w:rFonts w:ascii="Arial"/>
                <w:sz w:val="24"/>
                <w:szCs w:val="24"/>
              </w:rPr>
            </w:pPr>
          </w:p>
          <w:p w14:paraId="7A253C03">
            <w:pPr>
              <w:spacing w:line="243" w:lineRule="auto"/>
              <w:rPr>
                <w:rFonts w:ascii="Arial"/>
                <w:sz w:val="24"/>
                <w:szCs w:val="24"/>
              </w:rPr>
            </w:pPr>
          </w:p>
          <w:p w14:paraId="2F11B421">
            <w:pPr>
              <w:spacing w:line="243" w:lineRule="auto"/>
              <w:rPr>
                <w:rFonts w:ascii="Arial"/>
                <w:sz w:val="24"/>
                <w:szCs w:val="24"/>
              </w:rPr>
            </w:pPr>
          </w:p>
          <w:p w14:paraId="00800E21">
            <w:pPr>
              <w:spacing w:line="243" w:lineRule="auto"/>
              <w:rPr>
                <w:rFonts w:ascii="Arial"/>
                <w:sz w:val="24"/>
                <w:szCs w:val="24"/>
              </w:rPr>
            </w:pPr>
          </w:p>
          <w:p w14:paraId="053E38B8">
            <w:pPr>
              <w:spacing w:line="243" w:lineRule="auto"/>
              <w:rPr>
                <w:rFonts w:ascii="Arial"/>
                <w:sz w:val="24"/>
                <w:szCs w:val="24"/>
              </w:rPr>
            </w:pPr>
          </w:p>
          <w:p w14:paraId="35C2DD6F">
            <w:pPr>
              <w:spacing w:line="243" w:lineRule="auto"/>
              <w:rPr>
                <w:rFonts w:ascii="Arial"/>
                <w:sz w:val="24"/>
                <w:szCs w:val="24"/>
              </w:rPr>
            </w:pPr>
          </w:p>
          <w:p w14:paraId="44035314">
            <w:pPr>
              <w:pStyle w:val="133"/>
              <w:spacing w:before="56" w:line="230" w:lineRule="auto"/>
              <w:ind w:left="22" w:leftChars="0"/>
              <w:rPr>
                <w:rFonts w:ascii="宋体" w:hAnsi="宋体" w:eastAsia="宋体" w:cs="宋体"/>
                <w:snapToGrid w:val="0"/>
                <w:color w:val="000000"/>
                <w:kern w:val="0"/>
                <w:sz w:val="24"/>
                <w:szCs w:val="24"/>
                <w:lang w:val="en-US" w:eastAsia="en-US" w:bidi="ar-SA"/>
              </w:rPr>
            </w:pPr>
            <w:r>
              <w:rPr>
                <w:spacing w:val="8"/>
                <w:sz w:val="24"/>
                <w:szCs w:val="24"/>
              </w:rPr>
              <w:t>振荡标线</w:t>
            </w:r>
          </w:p>
        </w:tc>
        <w:tc>
          <w:tcPr>
            <w:tcW w:w="1173" w:type="pct"/>
            <w:shd w:val="clear" w:color="auto" w:fill="auto"/>
            <w:vAlign w:val="top"/>
          </w:tcPr>
          <w:p w14:paraId="004AD578">
            <w:pPr>
              <w:spacing w:line="296" w:lineRule="auto"/>
              <w:rPr>
                <w:rFonts w:ascii="Arial"/>
                <w:sz w:val="24"/>
                <w:szCs w:val="24"/>
              </w:rPr>
            </w:pPr>
          </w:p>
          <w:p w14:paraId="0E50ADC7">
            <w:pPr>
              <w:pStyle w:val="133"/>
              <w:spacing w:before="56" w:line="195" w:lineRule="auto"/>
              <w:ind w:left="25" w:right="57" w:firstLine="12"/>
              <w:rPr>
                <w:sz w:val="24"/>
                <w:szCs w:val="24"/>
              </w:rPr>
            </w:pPr>
            <w:r>
              <w:rPr>
                <w:spacing w:val="7"/>
                <w:sz w:val="24"/>
                <w:szCs w:val="24"/>
              </w:rPr>
              <w:t>1.类型：热熔型振荡反光标线，凸起高度5-7</w:t>
            </w:r>
            <w:r>
              <w:rPr>
                <w:sz w:val="24"/>
                <w:szCs w:val="24"/>
              </w:rPr>
              <w:t>mm</w:t>
            </w:r>
            <w:r>
              <w:rPr>
                <w:spacing w:val="7"/>
                <w:sz w:val="24"/>
                <w:szCs w:val="24"/>
              </w:rPr>
              <w:t>，</w:t>
            </w:r>
          </w:p>
          <w:p w14:paraId="4C0ECA8B">
            <w:pPr>
              <w:pStyle w:val="133"/>
              <w:spacing w:line="195" w:lineRule="auto"/>
              <w:ind w:left="39"/>
              <w:rPr>
                <w:sz w:val="24"/>
                <w:szCs w:val="24"/>
              </w:rPr>
            </w:pPr>
            <w:r>
              <w:rPr>
                <w:spacing w:val="4"/>
                <w:sz w:val="24"/>
                <w:szCs w:val="24"/>
              </w:rPr>
              <w:t>间距30-50</w:t>
            </w:r>
            <w:r>
              <w:rPr>
                <w:sz w:val="24"/>
                <w:szCs w:val="24"/>
              </w:rPr>
              <w:t>mm</w:t>
            </w:r>
            <w:r>
              <w:rPr>
                <w:spacing w:val="4"/>
                <w:sz w:val="24"/>
                <w:szCs w:val="24"/>
              </w:rPr>
              <w:t>；</w:t>
            </w:r>
          </w:p>
          <w:p w14:paraId="73BC5B96">
            <w:pPr>
              <w:pStyle w:val="133"/>
              <w:spacing w:line="195" w:lineRule="auto"/>
              <w:ind w:left="25" w:right="57" w:firstLine="1"/>
              <w:rPr>
                <w:sz w:val="24"/>
                <w:szCs w:val="24"/>
              </w:rPr>
            </w:pPr>
            <w:r>
              <w:rPr>
                <w:spacing w:val="8"/>
                <w:sz w:val="24"/>
                <w:szCs w:val="24"/>
              </w:rPr>
              <w:t>2.材质：高强度热熔涂料</w:t>
            </w:r>
            <w:r>
              <w:rPr>
                <w:sz w:val="24"/>
                <w:szCs w:val="24"/>
              </w:rPr>
              <w:t xml:space="preserve"> </w:t>
            </w:r>
            <w:r>
              <w:rPr>
                <w:spacing w:val="17"/>
                <w:sz w:val="24"/>
                <w:szCs w:val="24"/>
              </w:rPr>
              <w:t>,抗压强度≥15</w:t>
            </w:r>
            <w:r>
              <w:rPr>
                <w:sz w:val="24"/>
                <w:szCs w:val="24"/>
              </w:rPr>
              <w:t>MPa</w:t>
            </w:r>
            <w:r>
              <w:rPr>
                <w:spacing w:val="17"/>
                <w:sz w:val="24"/>
                <w:szCs w:val="24"/>
              </w:rPr>
              <w:t>，耐</w:t>
            </w:r>
            <w:r>
              <w:rPr>
                <w:spacing w:val="2"/>
                <w:sz w:val="24"/>
                <w:szCs w:val="24"/>
              </w:rPr>
              <w:t>候性≥3年；</w:t>
            </w:r>
          </w:p>
          <w:p w14:paraId="1254E0E8">
            <w:pPr>
              <w:pStyle w:val="133"/>
              <w:spacing w:line="195" w:lineRule="auto"/>
              <w:ind w:left="24" w:right="57"/>
              <w:rPr>
                <w:rFonts w:hint="default"/>
                <w:spacing w:val="8"/>
                <w:sz w:val="24"/>
                <w:szCs w:val="24"/>
                <w:lang w:val="en-US" w:eastAsia="zh-CN"/>
              </w:rPr>
            </w:pPr>
            <w:r>
              <w:rPr>
                <w:rFonts w:hint="eastAsia"/>
                <w:spacing w:val="8"/>
                <w:sz w:val="24"/>
                <w:szCs w:val="24"/>
                <w:lang w:val="en-US" w:eastAsia="zh-CN"/>
              </w:rPr>
              <w:t>3.材质：雨夜反光型涂料，抗压强度</w:t>
            </w:r>
            <w:r>
              <w:rPr>
                <w:rFonts w:hint="eastAsia" w:ascii="微软雅黑" w:hAnsi="微软雅黑" w:eastAsia="微软雅黑" w:cs="微软雅黑"/>
                <w:spacing w:val="8"/>
                <w:sz w:val="24"/>
                <w:szCs w:val="24"/>
                <w:lang w:val="en-US" w:eastAsia="zh-CN"/>
              </w:rPr>
              <w:t>≥</w:t>
            </w:r>
            <w:r>
              <w:rPr>
                <w:rFonts w:hint="eastAsia"/>
                <w:spacing w:val="8"/>
                <w:sz w:val="24"/>
                <w:szCs w:val="24"/>
                <w:lang w:val="en-US" w:eastAsia="zh-CN"/>
              </w:rPr>
              <w:t>120MPa，耐磨性</w:t>
            </w:r>
            <w:r>
              <w:rPr>
                <w:rFonts w:hint="eastAsia" w:ascii="微软雅黑" w:hAnsi="微软雅黑" w:eastAsia="微软雅黑" w:cs="微软雅黑"/>
                <w:spacing w:val="8"/>
                <w:sz w:val="24"/>
                <w:szCs w:val="24"/>
                <w:lang w:val="en-US" w:eastAsia="zh-CN"/>
              </w:rPr>
              <w:t>≤</w:t>
            </w:r>
            <w:r>
              <w:rPr>
                <w:rFonts w:hint="eastAsia"/>
                <w:spacing w:val="8"/>
                <w:sz w:val="24"/>
                <w:szCs w:val="24"/>
                <w:lang w:val="en-US" w:eastAsia="zh-CN"/>
              </w:rPr>
              <w:t>50mg；</w:t>
            </w:r>
          </w:p>
          <w:p w14:paraId="62FBD8A2">
            <w:pPr>
              <w:pStyle w:val="133"/>
              <w:spacing w:line="195" w:lineRule="auto"/>
              <w:ind w:left="24" w:right="57"/>
              <w:rPr>
                <w:sz w:val="24"/>
                <w:szCs w:val="24"/>
              </w:rPr>
            </w:pPr>
            <w:r>
              <w:rPr>
                <w:spacing w:val="8"/>
                <w:sz w:val="24"/>
                <w:szCs w:val="24"/>
              </w:rPr>
              <w:t>4.颜色：白色或黄色，根</w:t>
            </w:r>
            <w:r>
              <w:rPr>
                <w:spacing w:val="3"/>
                <w:sz w:val="24"/>
                <w:szCs w:val="24"/>
              </w:rPr>
              <w:t>据道路类型确定；</w:t>
            </w:r>
          </w:p>
          <w:p w14:paraId="25BC70D5">
            <w:pPr>
              <w:pStyle w:val="133"/>
              <w:spacing w:before="1" w:line="206" w:lineRule="auto"/>
              <w:ind w:left="27" w:leftChars="0" w:right="57" w:rightChars="0" w:firstLine="1" w:firstLineChars="0"/>
              <w:rPr>
                <w:rFonts w:ascii="宋体" w:hAnsi="宋体" w:eastAsia="宋体" w:cs="宋体"/>
                <w:snapToGrid w:val="0"/>
                <w:color w:val="000000"/>
                <w:kern w:val="0"/>
                <w:sz w:val="24"/>
                <w:szCs w:val="24"/>
                <w:lang w:val="en-US" w:eastAsia="en-US" w:bidi="ar-SA"/>
              </w:rPr>
            </w:pPr>
            <w:r>
              <w:rPr>
                <w:spacing w:val="8"/>
                <w:sz w:val="24"/>
                <w:szCs w:val="24"/>
              </w:rPr>
              <w:t xml:space="preserve">5.施工：采用专用振荡划线机，确保凸起高度均匀 </w:t>
            </w:r>
            <w:r>
              <w:rPr>
                <w:spacing w:val="12"/>
                <w:sz w:val="24"/>
                <w:szCs w:val="24"/>
              </w:rPr>
              <w:t>,粘结牢固，无脱落；</w:t>
            </w:r>
          </w:p>
        </w:tc>
        <w:tc>
          <w:tcPr>
            <w:tcW w:w="610" w:type="pct"/>
            <w:shd w:val="clear" w:color="auto" w:fill="auto"/>
            <w:vAlign w:val="top"/>
          </w:tcPr>
          <w:p w14:paraId="6DD4C458">
            <w:pPr>
              <w:spacing w:line="243" w:lineRule="auto"/>
              <w:rPr>
                <w:rFonts w:ascii="Arial"/>
                <w:sz w:val="24"/>
                <w:szCs w:val="24"/>
              </w:rPr>
            </w:pPr>
          </w:p>
          <w:p w14:paraId="3D196CE9">
            <w:pPr>
              <w:spacing w:line="243" w:lineRule="auto"/>
              <w:rPr>
                <w:rFonts w:ascii="Arial"/>
                <w:sz w:val="24"/>
                <w:szCs w:val="24"/>
              </w:rPr>
            </w:pPr>
          </w:p>
          <w:p w14:paraId="02A9C7CD">
            <w:pPr>
              <w:spacing w:line="243" w:lineRule="auto"/>
              <w:rPr>
                <w:rFonts w:ascii="Arial"/>
                <w:sz w:val="24"/>
                <w:szCs w:val="24"/>
              </w:rPr>
            </w:pPr>
          </w:p>
          <w:p w14:paraId="20B98944">
            <w:pPr>
              <w:spacing w:line="243" w:lineRule="auto"/>
              <w:rPr>
                <w:rFonts w:ascii="Arial"/>
                <w:sz w:val="24"/>
                <w:szCs w:val="24"/>
              </w:rPr>
            </w:pPr>
          </w:p>
          <w:p w14:paraId="79A36930">
            <w:pPr>
              <w:spacing w:line="243" w:lineRule="auto"/>
              <w:rPr>
                <w:rFonts w:ascii="Arial"/>
                <w:sz w:val="24"/>
                <w:szCs w:val="24"/>
              </w:rPr>
            </w:pPr>
          </w:p>
          <w:p w14:paraId="5276A3AC">
            <w:pPr>
              <w:spacing w:line="243" w:lineRule="auto"/>
              <w:rPr>
                <w:rFonts w:ascii="Arial"/>
                <w:sz w:val="24"/>
                <w:szCs w:val="24"/>
              </w:rPr>
            </w:pPr>
          </w:p>
          <w:p w14:paraId="6C48DCB1">
            <w:pPr>
              <w:pStyle w:val="133"/>
              <w:spacing w:before="55" w:line="232" w:lineRule="exact"/>
              <w:ind w:left="203" w:leftChars="0"/>
              <w:rPr>
                <w:rFonts w:ascii="宋体" w:hAnsi="宋体" w:eastAsia="宋体" w:cs="宋体"/>
                <w:snapToGrid w:val="0"/>
                <w:color w:val="000000"/>
                <w:kern w:val="0"/>
                <w:sz w:val="24"/>
                <w:szCs w:val="24"/>
                <w:lang w:val="en-US" w:eastAsia="en-US" w:bidi="ar-SA"/>
              </w:rPr>
            </w:pPr>
            <w:r>
              <w:rPr>
                <w:spacing w:val="3"/>
                <w:position w:val="1"/>
                <w:sz w:val="24"/>
                <w:szCs w:val="24"/>
              </w:rPr>
              <w:t>m2</w:t>
            </w:r>
          </w:p>
        </w:tc>
        <w:tc>
          <w:tcPr>
            <w:tcW w:w="681" w:type="pct"/>
            <w:shd w:val="clear" w:color="auto" w:fill="auto"/>
            <w:vAlign w:val="top"/>
          </w:tcPr>
          <w:p w14:paraId="00EC11F1">
            <w:pPr>
              <w:spacing w:line="243" w:lineRule="auto"/>
              <w:rPr>
                <w:rFonts w:ascii="Arial"/>
                <w:sz w:val="24"/>
                <w:szCs w:val="24"/>
              </w:rPr>
            </w:pPr>
          </w:p>
          <w:p w14:paraId="67B535F3">
            <w:pPr>
              <w:spacing w:line="243" w:lineRule="auto"/>
              <w:rPr>
                <w:rFonts w:ascii="Arial"/>
                <w:sz w:val="24"/>
                <w:szCs w:val="24"/>
              </w:rPr>
            </w:pPr>
          </w:p>
          <w:p w14:paraId="39180EA1">
            <w:pPr>
              <w:spacing w:line="243" w:lineRule="auto"/>
              <w:rPr>
                <w:rFonts w:ascii="Arial"/>
                <w:sz w:val="24"/>
                <w:szCs w:val="24"/>
              </w:rPr>
            </w:pPr>
          </w:p>
          <w:p w14:paraId="361A6FB4">
            <w:pPr>
              <w:spacing w:line="243" w:lineRule="auto"/>
              <w:rPr>
                <w:rFonts w:ascii="Arial"/>
                <w:sz w:val="24"/>
                <w:szCs w:val="24"/>
              </w:rPr>
            </w:pPr>
          </w:p>
          <w:p w14:paraId="677C2450">
            <w:pPr>
              <w:spacing w:line="243" w:lineRule="auto"/>
              <w:rPr>
                <w:rFonts w:ascii="Arial"/>
                <w:sz w:val="24"/>
                <w:szCs w:val="24"/>
              </w:rPr>
            </w:pPr>
          </w:p>
          <w:p w14:paraId="1706B02F">
            <w:pPr>
              <w:spacing w:line="243" w:lineRule="auto"/>
              <w:rPr>
                <w:rFonts w:ascii="Arial"/>
                <w:sz w:val="24"/>
                <w:szCs w:val="24"/>
              </w:rPr>
            </w:pPr>
          </w:p>
          <w:p w14:paraId="7DEAC3C2">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1D08E3F2">
            <w:pPr>
              <w:pStyle w:val="133"/>
              <w:spacing w:before="55" w:line="232" w:lineRule="exact"/>
              <w:ind w:left="372"/>
              <w:jc w:val="both"/>
              <w:rPr>
                <w:sz w:val="24"/>
                <w:szCs w:val="24"/>
              </w:rPr>
            </w:pPr>
          </w:p>
          <w:p w14:paraId="7FAAFB85">
            <w:pPr>
              <w:pStyle w:val="133"/>
              <w:spacing w:before="55" w:line="232" w:lineRule="exact"/>
              <w:ind w:left="372"/>
              <w:jc w:val="both"/>
              <w:rPr>
                <w:sz w:val="24"/>
                <w:szCs w:val="24"/>
              </w:rPr>
            </w:pPr>
          </w:p>
          <w:p w14:paraId="363951A1">
            <w:pPr>
              <w:pStyle w:val="133"/>
              <w:spacing w:before="55" w:line="232" w:lineRule="exact"/>
              <w:ind w:left="372"/>
              <w:jc w:val="both"/>
              <w:rPr>
                <w:sz w:val="24"/>
                <w:szCs w:val="24"/>
              </w:rPr>
            </w:pPr>
          </w:p>
          <w:p w14:paraId="6BFE5368">
            <w:pPr>
              <w:pStyle w:val="133"/>
              <w:spacing w:before="55" w:line="232" w:lineRule="exact"/>
              <w:ind w:left="372"/>
              <w:jc w:val="both"/>
              <w:rPr>
                <w:sz w:val="24"/>
                <w:szCs w:val="24"/>
              </w:rPr>
            </w:pPr>
          </w:p>
          <w:p w14:paraId="0750B78D">
            <w:pPr>
              <w:pStyle w:val="133"/>
              <w:spacing w:before="55" w:line="232" w:lineRule="exact"/>
              <w:ind w:left="372"/>
              <w:jc w:val="both"/>
              <w:rPr>
                <w:sz w:val="24"/>
                <w:szCs w:val="24"/>
              </w:rPr>
            </w:pPr>
          </w:p>
          <w:p w14:paraId="4FCA5B6F">
            <w:pPr>
              <w:pStyle w:val="133"/>
              <w:spacing w:before="55" w:line="232" w:lineRule="exact"/>
              <w:ind w:left="372"/>
              <w:jc w:val="both"/>
              <w:rPr>
                <w:sz w:val="24"/>
                <w:szCs w:val="24"/>
              </w:rPr>
            </w:pPr>
          </w:p>
          <w:p w14:paraId="0E229128">
            <w:pPr>
              <w:pStyle w:val="133"/>
              <w:spacing w:before="55" w:line="232" w:lineRule="exact"/>
              <w:ind w:left="372"/>
              <w:jc w:val="both"/>
              <w:rPr>
                <w:sz w:val="24"/>
                <w:szCs w:val="24"/>
              </w:rPr>
            </w:pPr>
          </w:p>
          <w:p w14:paraId="3490A8C8">
            <w:pPr>
              <w:pStyle w:val="133"/>
              <w:spacing w:before="55" w:line="232" w:lineRule="exact"/>
              <w:ind w:left="372" w:leftChars="0"/>
              <w:jc w:val="both"/>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65</w:t>
            </w:r>
          </w:p>
        </w:tc>
      </w:tr>
      <w:tr w14:paraId="517C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6677946F">
            <w:pPr>
              <w:pStyle w:val="133"/>
              <w:spacing w:before="130" w:line="230"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30</w:t>
            </w:r>
          </w:p>
        </w:tc>
        <w:tc>
          <w:tcPr>
            <w:tcW w:w="645" w:type="pct"/>
            <w:shd w:val="clear" w:color="auto" w:fill="auto"/>
            <w:vAlign w:val="top"/>
          </w:tcPr>
          <w:p w14:paraId="64827A15">
            <w:pPr>
              <w:pStyle w:val="133"/>
              <w:spacing w:before="130" w:line="230"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030412008001</w:t>
            </w:r>
          </w:p>
        </w:tc>
        <w:tc>
          <w:tcPr>
            <w:tcW w:w="759" w:type="pct"/>
            <w:shd w:val="clear" w:color="auto" w:fill="auto"/>
            <w:vAlign w:val="top"/>
          </w:tcPr>
          <w:p w14:paraId="38534693">
            <w:pPr>
              <w:pStyle w:val="133"/>
              <w:spacing w:before="130" w:line="230" w:lineRule="auto"/>
              <w:ind w:left="24" w:leftChars="0"/>
              <w:rPr>
                <w:rFonts w:ascii="宋体" w:hAnsi="宋体" w:eastAsia="宋体" w:cs="宋体"/>
                <w:snapToGrid w:val="0"/>
                <w:color w:val="000000"/>
                <w:kern w:val="0"/>
                <w:sz w:val="24"/>
                <w:szCs w:val="24"/>
                <w:lang w:val="en-US" w:eastAsia="en-US" w:bidi="ar-SA"/>
              </w:rPr>
            </w:pPr>
            <w:r>
              <w:rPr>
                <w:spacing w:val="8"/>
                <w:sz w:val="24"/>
                <w:szCs w:val="24"/>
              </w:rPr>
              <w:t>路灯杆更换</w:t>
            </w:r>
          </w:p>
        </w:tc>
        <w:tc>
          <w:tcPr>
            <w:tcW w:w="1173" w:type="pct"/>
            <w:shd w:val="clear" w:color="auto" w:fill="auto"/>
            <w:vAlign w:val="top"/>
          </w:tcPr>
          <w:p w14:paraId="7CBB7EB2">
            <w:pPr>
              <w:pStyle w:val="133"/>
              <w:spacing w:before="55" w:line="195" w:lineRule="auto"/>
              <w:ind w:left="39" w:right="68" w:hanging="14"/>
              <w:jc w:val="both"/>
              <w:rPr>
                <w:sz w:val="24"/>
                <w:szCs w:val="24"/>
              </w:rPr>
            </w:pPr>
            <w:r>
              <w:rPr>
                <w:spacing w:val="2"/>
                <w:sz w:val="24"/>
                <w:szCs w:val="24"/>
              </w:rPr>
              <w:t>1.材质：</w:t>
            </w:r>
            <w:r>
              <w:rPr>
                <w:spacing w:val="-41"/>
                <w:sz w:val="24"/>
                <w:szCs w:val="24"/>
              </w:rPr>
              <w:t xml:space="preserve"> </w:t>
            </w:r>
            <w:r>
              <w:rPr>
                <w:spacing w:val="2"/>
                <w:sz w:val="24"/>
                <w:szCs w:val="24"/>
              </w:rPr>
              <w:t>Q235B优质钢</w:t>
            </w:r>
            <w:r>
              <w:rPr>
                <w:spacing w:val="8"/>
                <w:sz w:val="24"/>
                <w:szCs w:val="24"/>
              </w:rPr>
              <w:t>材，锥形杆，壁厚4-6</w:t>
            </w:r>
            <w:r>
              <w:rPr>
                <w:sz w:val="24"/>
                <w:szCs w:val="24"/>
              </w:rPr>
              <w:t>mm</w:t>
            </w:r>
            <w:r>
              <w:rPr>
                <w:spacing w:val="2"/>
                <w:sz w:val="24"/>
                <w:szCs w:val="24"/>
              </w:rPr>
              <w:t xml:space="preserve">  </w:t>
            </w:r>
            <w:r>
              <w:rPr>
                <w:spacing w:val="14"/>
                <w:sz w:val="24"/>
                <w:szCs w:val="24"/>
              </w:rPr>
              <w:t>,热镀锌处理（锌层厚度</w:t>
            </w:r>
            <w:r>
              <w:rPr>
                <w:spacing w:val="-8"/>
                <w:sz w:val="24"/>
                <w:szCs w:val="24"/>
              </w:rPr>
              <w:t>≥85</w:t>
            </w:r>
            <w:r>
              <w:rPr>
                <w:spacing w:val="-34"/>
                <w:sz w:val="24"/>
                <w:szCs w:val="24"/>
              </w:rPr>
              <w:t xml:space="preserve"> </w:t>
            </w:r>
            <w:r>
              <w:rPr>
                <w:spacing w:val="-8"/>
                <w:sz w:val="24"/>
                <w:szCs w:val="24"/>
              </w:rPr>
              <w:t>μm</w:t>
            </w:r>
            <w:r>
              <w:rPr>
                <w:spacing w:val="-7"/>
                <w:sz w:val="24"/>
                <w:szCs w:val="24"/>
              </w:rPr>
              <w:t>）；</w:t>
            </w:r>
          </w:p>
          <w:p w14:paraId="755F7115">
            <w:pPr>
              <w:pStyle w:val="133"/>
              <w:spacing w:line="195" w:lineRule="auto"/>
              <w:ind w:left="24" w:right="57" w:firstLine="2"/>
              <w:rPr>
                <w:sz w:val="24"/>
                <w:szCs w:val="24"/>
              </w:rPr>
            </w:pPr>
            <w:r>
              <w:rPr>
                <w:spacing w:val="3"/>
                <w:sz w:val="24"/>
                <w:szCs w:val="24"/>
              </w:rPr>
              <w:t>2.高度：</w:t>
            </w:r>
            <w:r>
              <w:rPr>
                <w:spacing w:val="-44"/>
                <w:sz w:val="24"/>
                <w:szCs w:val="24"/>
              </w:rPr>
              <w:t xml:space="preserve"> </w:t>
            </w:r>
            <w:r>
              <w:rPr>
                <w:spacing w:val="3"/>
                <w:sz w:val="24"/>
                <w:szCs w:val="24"/>
              </w:rPr>
              <w:t>8-12m（根据道</w:t>
            </w:r>
            <w:r>
              <w:rPr>
                <w:spacing w:val="9"/>
                <w:sz w:val="24"/>
                <w:szCs w:val="24"/>
              </w:rPr>
              <w:t>路宽度确定），杆体垂直</w:t>
            </w:r>
            <w:r>
              <w:rPr>
                <w:spacing w:val="-5"/>
                <w:sz w:val="24"/>
                <w:szCs w:val="24"/>
              </w:rPr>
              <w:t>度误差≤1‰ ；</w:t>
            </w:r>
          </w:p>
          <w:p w14:paraId="1F401B8C">
            <w:pPr>
              <w:pStyle w:val="133"/>
              <w:spacing w:before="1" w:line="195" w:lineRule="auto"/>
              <w:ind w:left="20" w:right="57" w:firstLine="8"/>
              <w:rPr>
                <w:sz w:val="24"/>
                <w:szCs w:val="24"/>
              </w:rPr>
            </w:pPr>
            <w:r>
              <w:rPr>
                <w:spacing w:val="4"/>
                <w:sz w:val="24"/>
                <w:szCs w:val="24"/>
              </w:rPr>
              <w:t>3.基础：</w:t>
            </w:r>
            <w:r>
              <w:rPr>
                <w:spacing w:val="-47"/>
                <w:sz w:val="24"/>
                <w:szCs w:val="24"/>
              </w:rPr>
              <w:t xml:space="preserve"> </w:t>
            </w:r>
            <w:r>
              <w:rPr>
                <w:spacing w:val="4"/>
                <w:sz w:val="24"/>
                <w:szCs w:val="24"/>
              </w:rPr>
              <w:t>C30混凝土基础</w:t>
            </w:r>
            <w:r>
              <w:rPr>
                <w:sz w:val="24"/>
                <w:szCs w:val="24"/>
              </w:rPr>
              <w:t xml:space="preserve">  </w:t>
            </w:r>
            <w:r>
              <w:rPr>
                <w:spacing w:val="4"/>
                <w:sz w:val="24"/>
                <w:szCs w:val="24"/>
              </w:rPr>
              <w:t>,尺寸1000×</w:t>
            </w:r>
            <w:r>
              <w:rPr>
                <w:spacing w:val="-20"/>
                <w:sz w:val="24"/>
                <w:szCs w:val="24"/>
              </w:rPr>
              <w:t xml:space="preserve"> </w:t>
            </w:r>
            <w:r>
              <w:rPr>
                <w:spacing w:val="4"/>
                <w:sz w:val="24"/>
                <w:szCs w:val="24"/>
              </w:rPr>
              <w:t>1000×</w:t>
            </w:r>
            <w:r>
              <w:rPr>
                <w:spacing w:val="-30"/>
                <w:sz w:val="24"/>
                <w:szCs w:val="24"/>
              </w:rPr>
              <w:t xml:space="preserve"> </w:t>
            </w:r>
            <w:r>
              <w:rPr>
                <w:spacing w:val="4"/>
                <w:sz w:val="24"/>
                <w:szCs w:val="24"/>
              </w:rPr>
              <w:t>1200</w:t>
            </w:r>
            <w:r>
              <w:rPr>
                <w:sz w:val="24"/>
                <w:szCs w:val="24"/>
              </w:rPr>
              <w:t xml:space="preserve"> mm</w:t>
            </w:r>
            <w:r>
              <w:rPr>
                <w:spacing w:val="9"/>
                <w:sz w:val="24"/>
                <w:szCs w:val="24"/>
              </w:rPr>
              <w:t>，预埋地脚螺栓4套（M</w:t>
            </w:r>
            <w:r>
              <w:rPr>
                <w:spacing w:val="4"/>
                <w:sz w:val="24"/>
                <w:szCs w:val="24"/>
              </w:rPr>
              <w:t xml:space="preserve"> </w:t>
            </w:r>
            <w:r>
              <w:rPr>
                <w:spacing w:val="-1"/>
                <w:sz w:val="24"/>
                <w:szCs w:val="24"/>
              </w:rPr>
              <w:t>24×</w:t>
            </w:r>
            <w:r>
              <w:rPr>
                <w:spacing w:val="-41"/>
                <w:sz w:val="24"/>
                <w:szCs w:val="24"/>
              </w:rPr>
              <w:t xml:space="preserve"> </w:t>
            </w:r>
            <w:r>
              <w:rPr>
                <w:spacing w:val="-1"/>
                <w:sz w:val="24"/>
                <w:szCs w:val="24"/>
              </w:rPr>
              <w:t>600mm</w:t>
            </w:r>
            <w:r>
              <w:rPr>
                <w:spacing w:val="-5"/>
                <w:sz w:val="24"/>
                <w:szCs w:val="24"/>
              </w:rPr>
              <w:t>）；</w:t>
            </w:r>
          </w:p>
          <w:p w14:paraId="0C854EBE">
            <w:pPr>
              <w:pStyle w:val="133"/>
              <w:spacing w:line="195" w:lineRule="auto"/>
              <w:ind w:left="26" w:right="102" w:hanging="2"/>
              <w:rPr>
                <w:sz w:val="24"/>
                <w:szCs w:val="24"/>
              </w:rPr>
            </w:pPr>
            <w:r>
              <w:rPr>
                <w:spacing w:val="4"/>
                <w:sz w:val="24"/>
                <w:szCs w:val="24"/>
              </w:rPr>
              <w:t>4.防腐：热镀锌后喷塑，</w:t>
            </w:r>
            <w:r>
              <w:rPr>
                <w:spacing w:val="2"/>
                <w:sz w:val="24"/>
                <w:szCs w:val="24"/>
              </w:rPr>
              <w:t>涂层厚度≥60</w:t>
            </w:r>
            <w:r>
              <w:rPr>
                <w:spacing w:val="-24"/>
                <w:sz w:val="24"/>
                <w:szCs w:val="24"/>
              </w:rPr>
              <w:t xml:space="preserve"> </w:t>
            </w:r>
            <w:r>
              <w:rPr>
                <w:spacing w:val="2"/>
                <w:sz w:val="24"/>
                <w:szCs w:val="24"/>
              </w:rPr>
              <w:t>μm，耐盐</w:t>
            </w:r>
            <w:r>
              <w:rPr>
                <w:spacing w:val="3"/>
                <w:sz w:val="24"/>
                <w:szCs w:val="24"/>
              </w:rPr>
              <w:t>雾性能≥1000小时；</w:t>
            </w:r>
          </w:p>
          <w:p w14:paraId="66A771FF">
            <w:pPr>
              <w:pStyle w:val="133"/>
              <w:spacing w:before="129" w:line="230" w:lineRule="auto"/>
              <w:ind w:left="38" w:leftChars="0"/>
              <w:rPr>
                <w:rFonts w:ascii="宋体" w:hAnsi="宋体" w:eastAsia="宋体" w:cs="宋体"/>
                <w:snapToGrid w:val="0"/>
                <w:color w:val="000000"/>
                <w:kern w:val="0"/>
                <w:sz w:val="24"/>
                <w:szCs w:val="24"/>
                <w:lang w:val="en-US" w:eastAsia="en-US" w:bidi="ar-SA"/>
              </w:rPr>
            </w:pPr>
            <w:r>
              <w:rPr>
                <w:spacing w:val="4"/>
                <w:sz w:val="24"/>
                <w:szCs w:val="24"/>
              </w:rPr>
              <w:t>5.安装：接地电阻≤4</w:t>
            </w:r>
            <w:r>
              <w:rPr>
                <w:spacing w:val="-43"/>
                <w:sz w:val="24"/>
                <w:szCs w:val="24"/>
              </w:rPr>
              <w:t xml:space="preserve"> </w:t>
            </w:r>
            <w:r>
              <w:rPr>
                <w:spacing w:val="4"/>
                <w:sz w:val="24"/>
                <w:szCs w:val="24"/>
              </w:rPr>
              <w:t>Ω</w:t>
            </w:r>
            <w:r>
              <w:rPr>
                <w:sz w:val="24"/>
                <w:szCs w:val="24"/>
              </w:rPr>
              <w:t xml:space="preserve"> </w:t>
            </w:r>
            <w:r>
              <w:rPr>
                <w:spacing w:val="11"/>
                <w:sz w:val="24"/>
                <w:szCs w:val="24"/>
              </w:rPr>
              <w:t>,杆体无变形、划痕；</w:t>
            </w:r>
          </w:p>
        </w:tc>
        <w:tc>
          <w:tcPr>
            <w:tcW w:w="610" w:type="pct"/>
            <w:shd w:val="clear" w:color="auto" w:fill="auto"/>
            <w:vAlign w:val="top"/>
          </w:tcPr>
          <w:p w14:paraId="505950FD">
            <w:pPr>
              <w:pStyle w:val="133"/>
              <w:spacing w:before="130" w:line="231" w:lineRule="auto"/>
              <w:ind w:left="208" w:leftChars="0"/>
              <w:rPr>
                <w:rFonts w:ascii="宋体" w:hAnsi="宋体" w:eastAsia="宋体" w:cs="宋体"/>
                <w:snapToGrid w:val="0"/>
                <w:color w:val="000000"/>
                <w:kern w:val="0"/>
                <w:sz w:val="24"/>
                <w:szCs w:val="24"/>
                <w:lang w:val="en-US" w:eastAsia="en-US" w:bidi="ar-SA"/>
              </w:rPr>
            </w:pPr>
            <w:r>
              <w:rPr>
                <w:spacing w:val="2"/>
                <w:sz w:val="24"/>
                <w:szCs w:val="24"/>
              </w:rPr>
              <w:t>根</w:t>
            </w:r>
          </w:p>
        </w:tc>
        <w:tc>
          <w:tcPr>
            <w:tcW w:w="681" w:type="pct"/>
            <w:shd w:val="clear" w:color="auto" w:fill="auto"/>
            <w:vAlign w:val="top"/>
          </w:tcPr>
          <w:p w14:paraId="2B41F7D9">
            <w:pPr>
              <w:pStyle w:val="133"/>
              <w:spacing w:before="130"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B88D796">
            <w:pPr>
              <w:pStyle w:val="133"/>
              <w:spacing w:before="55" w:line="232" w:lineRule="exact"/>
              <w:ind w:left="372" w:leftChars="0"/>
              <w:jc w:val="both"/>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3000</w:t>
            </w:r>
          </w:p>
        </w:tc>
      </w:tr>
      <w:tr w14:paraId="2130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3A7C4C93">
            <w:pPr>
              <w:spacing w:line="260" w:lineRule="auto"/>
              <w:rPr>
                <w:rFonts w:ascii="Arial"/>
                <w:sz w:val="24"/>
                <w:szCs w:val="24"/>
              </w:rPr>
            </w:pPr>
          </w:p>
          <w:p w14:paraId="2C4EA184">
            <w:pPr>
              <w:spacing w:line="260" w:lineRule="auto"/>
              <w:rPr>
                <w:rFonts w:ascii="Arial"/>
                <w:sz w:val="24"/>
                <w:szCs w:val="24"/>
              </w:rPr>
            </w:pPr>
          </w:p>
          <w:p w14:paraId="21C976B5">
            <w:pPr>
              <w:spacing w:line="260" w:lineRule="auto"/>
              <w:rPr>
                <w:rFonts w:ascii="Arial"/>
                <w:sz w:val="24"/>
                <w:szCs w:val="24"/>
              </w:rPr>
            </w:pPr>
          </w:p>
          <w:p w14:paraId="78B43609">
            <w:pPr>
              <w:spacing w:line="260" w:lineRule="auto"/>
              <w:rPr>
                <w:rFonts w:ascii="Arial"/>
                <w:sz w:val="24"/>
                <w:szCs w:val="24"/>
              </w:rPr>
            </w:pPr>
          </w:p>
          <w:p w14:paraId="6254CED9">
            <w:pPr>
              <w:spacing w:line="260" w:lineRule="auto"/>
              <w:rPr>
                <w:rFonts w:ascii="Arial"/>
                <w:sz w:val="24"/>
                <w:szCs w:val="24"/>
              </w:rPr>
            </w:pPr>
          </w:p>
          <w:p w14:paraId="5B5A5E62">
            <w:pPr>
              <w:spacing w:line="261" w:lineRule="auto"/>
              <w:rPr>
                <w:rFonts w:ascii="Arial"/>
                <w:sz w:val="24"/>
                <w:szCs w:val="24"/>
              </w:rPr>
            </w:pPr>
          </w:p>
          <w:p w14:paraId="7497DC3D">
            <w:pPr>
              <w:pStyle w:val="133"/>
              <w:spacing w:before="55" w:line="231"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31</w:t>
            </w:r>
          </w:p>
        </w:tc>
        <w:tc>
          <w:tcPr>
            <w:tcW w:w="645" w:type="pct"/>
            <w:shd w:val="clear" w:color="auto" w:fill="auto"/>
            <w:vAlign w:val="top"/>
          </w:tcPr>
          <w:p w14:paraId="181BABEB">
            <w:pPr>
              <w:spacing w:line="260" w:lineRule="auto"/>
              <w:rPr>
                <w:rFonts w:ascii="Arial"/>
                <w:sz w:val="24"/>
                <w:szCs w:val="24"/>
              </w:rPr>
            </w:pPr>
          </w:p>
          <w:p w14:paraId="5A9E7539">
            <w:pPr>
              <w:spacing w:line="260" w:lineRule="auto"/>
              <w:rPr>
                <w:rFonts w:ascii="Arial"/>
                <w:sz w:val="24"/>
                <w:szCs w:val="24"/>
              </w:rPr>
            </w:pPr>
          </w:p>
          <w:p w14:paraId="3C8363A8">
            <w:pPr>
              <w:spacing w:line="260" w:lineRule="auto"/>
              <w:rPr>
                <w:rFonts w:ascii="Arial"/>
                <w:sz w:val="24"/>
                <w:szCs w:val="24"/>
              </w:rPr>
            </w:pPr>
          </w:p>
          <w:p w14:paraId="2EA80ACB">
            <w:pPr>
              <w:spacing w:line="260" w:lineRule="auto"/>
              <w:rPr>
                <w:rFonts w:ascii="Arial"/>
                <w:sz w:val="24"/>
                <w:szCs w:val="24"/>
              </w:rPr>
            </w:pPr>
          </w:p>
          <w:p w14:paraId="4AAE5A2F">
            <w:pPr>
              <w:spacing w:line="260" w:lineRule="auto"/>
              <w:rPr>
                <w:rFonts w:ascii="Arial"/>
                <w:sz w:val="24"/>
                <w:szCs w:val="24"/>
              </w:rPr>
            </w:pPr>
          </w:p>
          <w:p w14:paraId="1F10E2A8">
            <w:pPr>
              <w:spacing w:line="261" w:lineRule="auto"/>
              <w:rPr>
                <w:rFonts w:ascii="Arial"/>
                <w:sz w:val="24"/>
                <w:szCs w:val="24"/>
              </w:rPr>
            </w:pPr>
          </w:p>
          <w:p w14:paraId="22F818B6">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030412008002</w:t>
            </w:r>
          </w:p>
        </w:tc>
        <w:tc>
          <w:tcPr>
            <w:tcW w:w="759" w:type="pct"/>
            <w:shd w:val="clear" w:color="auto" w:fill="auto"/>
            <w:vAlign w:val="top"/>
          </w:tcPr>
          <w:p w14:paraId="07B3AEBD">
            <w:pPr>
              <w:pStyle w:val="133"/>
              <w:spacing w:before="56" w:line="195" w:lineRule="auto"/>
              <w:ind w:left="25" w:right="57" w:firstLine="13"/>
              <w:rPr>
                <w:spacing w:val="9"/>
                <w:sz w:val="24"/>
                <w:szCs w:val="24"/>
              </w:rPr>
            </w:pPr>
          </w:p>
          <w:p w14:paraId="3877FF01">
            <w:pPr>
              <w:pStyle w:val="133"/>
              <w:spacing w:before="56" w:line="195" w:lineRule="auto"/>
              <w:ind w:left="25" w:right="57" w:firstLine="13"/>
              <w:rPr>
                <w:spacing w:val="9"/>
                <w:sz w:val="24"/>
                <w:szCs w:val="24"/>
              </w:rPr>
            </w:pPr>
          </w:p>
          <w:p w14:paraId="0BA4C5B7">
            <w:pPr>
              <w:pStyle w:val="133"/>
              <w:spacing w:before="56" w:line="195" w:lineRule="auto"/>
              <w:ind w:left="25" w:right="57" w:firstLine="13"/>
              <w:rPr>
                <w:spacing w:val="9"/>
                <w:sz w:val="24"/>
                <w:szCs w:val="24"/>
              </w:rPr>
            </w:pPr>
          </w:p>
          <w:p w14:paraId="406A1C3B">
            <w:pPr>
              <w:pStyle w:val="133"/>
              <w:spacing w:before="56" w:line="195" w:lineRule="auto"/>
              <w:ind w:left="25" w:right="57" w:firstLine="13"/>
              <w:rPr>
                <w:spacing w:val="9"/>
                <w:sz w:val="24"/>
                <w:szCs w:val="24"/>
              </w:rPr>
            </w:pPr>
          </w:p>
          <w:p w14:paraId="433A7197">
            <w:pPr>
              <w:pStyle w:val="133"/>
              <w:spacing w:before="56" w:line="195" w:lineRule="auto"/>
              <w:ind w:left="25" w:right="57" w:firstLine="13"/>
              <w:rPr>
                <w:spacing w:val="9"/>
                <w:sz w:val="24"/>
                <w:szCs w:val="24"/>
              </w:rPr>
            </w:pPr>
          </w:p>
          <w:p w14:paraId="28B54001">
            <w:pPr>
              <w:pStyle w:val="133"/>
              <w:spacing w:before="56" w:line="195" w:lineRule="auto"/>
              <w:ind w:left="25" w:right="57" w:firstLine="13"/>
              <w:rPr>
                <w:spacing w:val="9"/>
                <w:sz w:val="24"/>
                <w:szCs w:val="24"/>
              </w:rPr>
            </w:pPr>
          </w:p>
          <w:p w14:paraId="453B1B90">
            <w:pPr>
              <w:pStyle w:val="133"/>
              <w:spacing w:before="56" w:line="195" w:lineRule="auto"/>
              <w:ind w:left="25" w:right="57" w:firstLine="13"/>
              <w:rPr>
                <w:spacing w:val="9"/>
                <w:sz w:val="24"/>
                <w:szCs w:val="24"/>
                <w:lang w:val="en-US" w:eastAsia="en-US"/>
              </w:rPr>
            </w:pPr>
            <w:r>
              <w:rPr>
                <w:spacing w:val="9"/>
                <w:sz w:val="24"/>
                <w:szCs w:val="24"/>
              </w:rPr>
              <w:t>路灯杆拆除</w:t>
            </w:r>
          </w:p>
        </w:tc>
        <w:tc>
          <w:tcPr>
            <w:tcW w:w="1173" w:type="pct"/>
            <w:shd w:val="clear" w:color="auto" w:fill="auto"/>
            <w:vAlign w:val="top"/>
          </w:tcPr>
          <w:p w14:paraId="58ACF31F">
            <w:pPr>
              <w:pStyle w:val="133"/>
              <w:spacing w:before="56" w:line="195" w:lineRule="auto"/>
              <w:ind w:left="25" w:right="57" w:firstLine="13"/>
              <w:rPr>
                <w:spacing w:val="9"/>
                <w:sz w:val="24"/>
                <w:szCs w:val="24"/>
              </w:rPr>
            </w:pPr>
          </w:p>
          <w:p w14:paraId="1D68865C">
            <w:pPr>
              <w:pStyle w:val="133"/>
              <w:spacing w:before="56" w:line="195" w:lineRule="auto"/>
              <w:ind w:left="25" w:right="57" w:firstLine="13"/>
              <w:rPr>
                <w:spacing w:val="9"/>
                <w:sz w:val="24"/>
                <w:szCs w:val="24"/>
              </w:rPr>
            </w:pPr>
            <w:r>
              <w:rPr>
                <w:spacing w:val="9"/>
                <w:sz w:val="24"/>
                <w:szCs w:val="24"/>
              </w:rPr>
              <w:t>1.拆除前：切断电源，做好安全防护，设置警示标志；</w:t>
            </w:r>
          </w:p>
          <w:p w14:paraId="379D607E">
            <w:pPr>
              <w:pStyle w:val="133"/>
              <w:spacing w:before="56" w:line="195" w:lineRule="auto"/>
              <w:ind w:left="25" w:right="57" w:firstLine="13"/>
              <w:rPr>
                <w:rFonts w:hint="default" w:eastAsia="宋体"/>
                <w:spacing w:val="9"/>
                <w:sz w:val="24"/>
                <w:szCs w:val="24"/>
                <w:lang w:val="en-US" w:eastAsia="zh-CN"/>
              </w:rPr>
            </w:pPr>
            <w:r>
              <w:rPr>
                <w:rFonts w:hint="eastAsia"/>
                <w:spacing w:val="9"/>
                <w:sz w:val="24"/>
                <w:szCs w:val="24"/>
                <w:lang w:val="en-US" w:eastAsia="zh-CN"/>
              </w:rPr>
              <w:t>2.拆除流程</w:t>
            </w:r>
            <w:r>
              <w:rPr>
                <w:spacing w:val="9"/>
                <w:sz w:val="24"/>
                <w:szCs w:val="24"/>
              </w:rPr>
              <w:t>，</w:t>
            </w:r>
            <w:r>
              <w:rPr>
                <w:rFonts w:hint="eastAsia"/>
                <w:spacing w:val="9"/>
                <w:sz w:val="24"/>
                <w:szCs w:val="24"/>
                <w:lang w:val="en-US" w:eastAsia="zh-CN"/>
              </w:rPr>
              <w:t>先拆除灯具、电器箱，再拆除杆体，</w:t>
            </w:r>
          </w:p>
          <w:p w14:paraId="38FEDF53">
            <w:pPr>
              <w:pStyle w:val="133"/>
              <w:spacing w:before="56" w:line="195" w:lineRule="auto"/>
              <w:ind w:left="25" w:right="57" w:firstLine="13"/>
              <w:rPr>
                <w:spacing w:val="9"/>
                <w:sz w:val="24"/>
                <w:szCs w:val="24"/>
              </w:rPr>
            </w:pPr>
            <w:r>
              <w:rPr>
                <w:spacing w:val="9"/>
                <w:sz w:val="24"/>
                <w:szCs w:val="24"/>
              </w:rPr>
              <w:t>最后清理基础；</w:t>
            </w:r>
          </w:p>
          <w:p w14:paraId="5BC31776">
            <w:pPr>
              <w:pStyle w:val="133"/>
              <w:spacing w:before="56" w:line="195" w:lineRule="auto"/>
              <w:ind w:left="25" w:right="57" w:firstLine="13"/>
              <w:rPr>
                <w:spacing w:val="9"/>
                <w:sz w:val="24"/>
                <w:szCs w:val="24"/>
              </w:rPr>
            </w:pPr>
            <w:r>
              <w:rPr>
                <w:spacing w:val="9"/>
                <w:sz w:val="24"/>
                <w:szCs w:val="24"/>
              </w:rPr>
              <w:t>3.安全要求：采用吊车作业，专人指挥，严禁违规操作；</w:t>
            </w:r>
          </w:p>
          <w:p w14:paraId="4C708D46">
            <w:pPr>
              <w:pStyle w:val="133"/>
              <w:spacing w:before="56" w:line="195" w:lineRule="auto"/>
              <w:ind w:left="25" w:right="57" w:firstLine="13"/>
              <w:rPr>
                <w:spacing w:val="9"/>
                <w:sz w:val="24"/>
                <w:szCs w:val="24"/>
              </w:rPr>
            </w:pPr>
            <w:r>
              <w:rPr>
                <w:spacing w:val="9"/>
                <w:sz w:val="24"/>
                <w:szCs w:val="24"/>
              </w:rPr>
              <w:t>4.废弃物处理：杆体、灯具分类回收，可利用部件保存，不可利用部分按环保要求处置；</w:t>
            </w:r>
          </w:p>
          <w:p w14:paraId="7C0368FF">
            <w:pPr>
              <w:pStyle w:val="133"/>
              <w:spacing w:before="56" w:line="195" w:lineRule="auto"/>
              <w:ind w:left="25" w:right="57" w:firstLine="13"/>
              <w:rPr>
                <w:spacing w:val="9"/>
                <w:sz w:val="24"/>
                <w:szCs w:val="24"/>
                <w:lang w:val="en-US" w:eastAsia="en-US"/>
              </w:rPr>
            </w:pPr>
            <w:r>
              <w:rPr>
                <w:spacing w:val="9"/>
                <w:sz w:val="24"/>
                <w:szCs w:val="24"/>
              </w:rPr>
              <w:t>5.场地清理：拆除后清理现场，恢复地面平整；</w:t>
            </w:r>
          </w:p>
        </w:tc>
        <w:tc>
          <w:tcPr>
            <w:tcW w:w="610" w:type="pct"/>
            <w:shd w:val="clear" w:color="auto" w:fill="auto"/>
            <w:vAlign w:val="top"/>
          </w:tcPr>
          <w:p w14:paraId="24A586C2">
            <w:pPr>
              <w:spacing w:line="260" w:lineRule="auto"/>
              <w:rPr>
                <w:rFonts w:ascii="Arial"/>
                <w:sz w:val="24"/>
                <w:szCs w:val="24"/>
              </w:rPr>
            </w:pPr>
          </w:p>
          <w:p w14:paraId="2F4289F7">
            <w:pPr>
              <w:spacing w:line="260" w:lineRule="auto"/>
              <w:rPr>
                <w:rFonts w:ascii="Arial"/>
                <w:sz w:val="24"/>
                <w:szCs w:val="24"/>
              </w:rPr>
            </w:pPr>
          </w:p>
          <w:p w14:paraId="14940BDC">
            <w:pPr>
              <w:spacing w:line="260" w:lineRule="auto"/>
              <w:rPr>
                <w:rFonts w:ascii="Arial"/>
                <w:sz w:val="24"/>
                <w:szCs w:val="24"/>
              </w:rPr>
            </w:pPr>
          </w:p>
          <w:p w14:paraId="72AD8D72">
            <w:pPr>
              <w:spacing w:line="260" w:lineRule="auto"/>
              <w:rPr>
                <w:rFonts w:ascii="Arial"/>
                <w:sz w:val="24"/>
                <w:szCs w:val="24"/>
              </w:rPr>
            </w:pPr>
          </w:p>
          <w:p w14:paraId="7E5B6147">
            <w:pPr>
              <w:spacing w:line="260" w:lineRule="auto"/>
              <w:rPr>
                <w:rFonts w:ascii="Arial"/>
                <w:sz w:val="24"/>
                <w:szCs w:val="24"/>
              </w:rPr>
            </w:pPr>
          </w:p>
          <w:p w14:paraId="41122996">
            <w:pPr>
              <w:spacing w:line="261" w:lineRule="auto"/>
              <w:rPr>
                <w:rFonts w:ascii="Arial"/>
                <w:sz w:val="24"/>
                <w:szCs w:val="24"/>
              </w:rPr>
            </w:pPr>
          </w:p>
          <w:p w14:paraId="2859B1E5">
            <w:pPr>
              <w:pStyle w:val="133"/>
              <w:spacing w:before="55" w:line="231" w:lineRule="auto"/>
              <w:ind w:left="208" w:leftChars="0"/>
              <w:rPr>
                <w:rFonts w:ascii="宋体" w:hAnsi="宋体" w:eastAsia="宋体" w:cs="宋体"/>
                <w:snapToGrid w:val="0"/>
                <w:color w:val="000000"/>
                <w:kern w:val="0"/>
                <w:sz w:val="24"/>
                <w:szCs w:val="24"/>
                <w:lang w:val="en-US" w:eastAsia="en-US" w:bidi="ar-SA"/>
              </w:rPr>
            </w:pPr>
            <w:r>
              <w:rPr>
                <w:spacing w:val="2"/>
                <w:sz w:val="24"/>
                <w:szCs w:val="24"/>
              </w:rPr>
              <w:t>根</w:t>
            </w:r>
          </w:p>
        </w:tc>
        <w:tc>
          <w:tcPr>
            <w:tcW w:w="681" w:type="pct"/>
            <w:shd w:val="clear" w:color="auto" w:fill="auto"/>
            <w:vAlign w:val="top"/>
          </w:tcPr>
          <w:p w14:paraId="34389546">
            <w:pPr>
              <w:spacing w:line="260" w:lineRule="auto"/>
              <w:rPr>
                <w:rFonts w:ascii="Arial"/>
                <w:sz w:val="24"/>
                <w:szCs w:val="24"/>
              </w:rPr>
            </w:pPr>
          </w:p>
          <w:p w14:paraId="6A4B5479">
            <w:pPr>
              <w:spacing w:line="260" w:lineRule="auto"/>
              <w:rPr>
                <w:rFonts w:ascii="Arial"/>
                <w:sz w:val="24"/>
                <w:szCs w:val="24"/>
              </w:rPr>
            </w:pPr>
          </w:p>
          <w:p w14:paraId="0C202C50">
            <w:pPr>
              <w:spacing w:line="260" w:lineRule="auto"/>
              <w:rPr>
                <w:rFonts w:ascii="Arial"/>
                <w:sz w:val="24"/>
                <w:szCs w:val="24"/>
              </w:rPr>
            </w:pPr>
          </w:p>
          <w:p w14:paraId="0DBEB849">
            <w:pPr>
              <w:spacing w:line="260" w:lineRule="auto"/>
              <w:rPr>
                <w:rFonts w:ascii="Arial"/>
                <w:sz w:val="24"/>
                <w:szCs w:val="24"/>
              </w:rPr>
            </w:pPr>
          </w:p>
          <w:p w14:paraId="70C732CE">
            <w:pPr>
              <w:spacing w:line="260" w:lineRule="auto"/>
              <w:rPr>
                <w:rFonts w:ascii="Arial"/>
                <w:sz w:val="24"/>
                <w:szCs w:val="24"/>
              </w:rPr>
            </w:pPr>
          </w:p>
          <w:p w14:paraId="5994B6B0">
            <w:pPr>
              <w:spacing w:line="261" w:lineRule="auto"/>
              <w:rPr>
                <w:rFonts w:ascii="Arial"/>
                <w:sz w:val="24"/>
                <w:szCs w:val="24"/>
              </w:rPr>
            </w:pPr>
          </w:p>
          <w:p w14:paraId="2C20AD07">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5D6F496">
            <w:pPr>
              <w:pStyle w:val="133"/>
              <w:spacing w:before="55" w:line="231" w:lineRule="auto"/>
              <w:ind w:left="208"/>
              <w:rPr>
                <w:sz w:val="24"/>
                <w:szCs w:val="24"/>
              </w:rPr>
            </w:pPr>
          </w:p>
          <w:p w14:paraId="6CB97328">
            <w:pPr>
              <w:pStyle w:val="133"/>
              <w:spacing w:before="55" w:line="231" w:lineRule="auto"/>
              <w:ind w:left="208"/>
              <w:rPr>
                <w:sz w:val="24"/>
                <w:szCs w:val="24"/>
              </w:rPr>
            </w:pPr>
          </w:p>
          <w:p w14:paraId="2836B815">
            <w:pPr>
              <w:pStyle w:val="133"/>
              <w:spacing w:before="55" w:line="231" w:lineRule="auto"/>
              <w:ind w:left="208"/>
              <w:rPr>
                <w:sz w:val="24"/>
                <w:szCs w:val="24"/>
              </w:rPr>
            </w:pPr>
          </w:p>
          <w:p w14:paraId="756F0C47">
            <w:pPr>
              <w:pStyle w:val="133"/>
              <w:spacing w:before="55" w:line="231" w:lineRule="auto"/>
              <w:ind w:left="208"/>
              <w:rPr>
                <w:sz w:val="24"/>
                <w:szCs w:val="24"/>
              </w:rPr>
            </w:pPr>
          </w:p>
          <w:p w14:paraId="6DAB0D3B">
            <w:pPr>
              <w:pStyle w:val="133"/>
              <w:spacing w:before="55" w:line="231" w:lineRule="auto"/>
              <w:ind w:left="208"/>
              <w:rPr>
                <w:sz w:val="24"/>
                <w:szCs w:val="24"/>
              </w:rPr>
            </w:pPr>
          </w:p>
          <w:p w14:paraId="3B336F8D">
            <w:pPr>
              <w:pStyle w:val="133"/>
              <w:spacing w:before="55" w:line="231" w:lineRule="auto"/>
              <w:ind w:firstLine="240" w:firstLineChars="10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170</w:t>
            </w:r>
          </w:p>
        </w:tc>
      </w:tr>
      <w:tr w14:paraId="15AD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659D4CC3">
            <w:pPr>
              <w:spacing w:line="260" w:lineRule="auto"/>
              <w:rPr>
                <w:rFonts w:ascii="Arial"/>
                <w:sz w:val="24"/>
                <w:szCs w:val="24"/>
              </w:rPr>
            </w:pPr>
          </w:p>
          <w:p w14:paraId="3C5054ED">
            <w:pPr>
              <w:spacing w:line="260" w:lineRule="auto"/>
              <w:rPr>
                <w:rFonts w:ascii="Arial"/>
                <w:sz w:val="24"/>
                <w:szCs w:val="24"/>
              </w:rPr>
            </w:pPr>
          </w:p>
          <w:p w14:paraId="47E667C2">
            <w:pPr>
              <w:spacing w:line="260" w:lineRule="auto"/>
              <w:rPr>
                <w:rFonts w:ascii="Arial"/>
                <w:sz w:val="24"/>
                <w:szCs w:val="24"/>
              </w:rPr>
            </w:pPr>
          </w:p>
          <w:p w14:paraId="28BF5191">
            <w:pPr>
              <w:spacing w:line="260" w:lineRule="auto"/>
              <w:rPr>
                <w:rFonts w:ascii="Arial"/>
                <w:sz w:val="24"/>
                <w:szCs w:val="24"/>
              </w:rPr>
            </w:pPr>
          </w:p>
          <w:p w14:paraId="702AE726">
            <w:pPr>
              <w:spacing w:line="261" w:lineRule="auto"/>
              <w:rPr>
                <w:rFonts w:ascii="Arial"/>
                <w:sz w:val="24"/>
                <w:szCs w:val="24"/>
              </w:rPr>
            </w:pPr>
          </w:p>
          <w:p w14:paraId="4A868AE0">
            <w:pPr>
              <w:spacing w:line="261" w:lineRule="auto"/>
              <w:rPr>
                <w:rFonts w:ascii="Arial"/>
                <w:sz w:val="24"/>
                <w:szCs w:val="24"/>
              </w:rPr>
            </w:pPr>
          </w:p>
          <w:p w14:paraId="21A7F153">
            <w:pPr>
              <w:pStyle w:val="133"/>
              <w:spacing w:before="55" w:line="231"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32</w:t>
            </w:r>
          </w:p>
        </w:tc>
        <w:tc>
          <w:tcPr>
            <w:tcW w:w="645" w:type="pct"/>
            <w:shd w:val="clear" w:color="auto" w:fill="auto"/>
            <w:vAlign w:val="top"/>
          </w:tcPr>
          <w:p w14:paraId="35C9D5B6">
            <w:pPr>
              <w:spacing w:line="260" w:lineRule="auto"/>
              <w:rPr>
                <w:rFonts w:ascii="Arial"/>
                <w:sz w:val="24"/>
                <w:szCs w:val="24"/>
              </w:rPr>
            </w:pPr>
          </w:p>
          <w:p w14:paraId="0A527E6C">
            <w:pPr>
              <w:spacing w:line="260" w:lineRule="auto"/>
              <w:rPr>
                <w:rFonts w:ascii="Arial"/>
                <w:sz w:val="24"/>
                <w:szCs w:val="24"/>
              </w:rPr>
            </w:pPr>
          </w:p>
          <w:p w14:paraId="4CFAEFA3">
            <w:pPr>
              <w:spacing w:line="260" w:lineRule="auto"/>
              <w:rPr>
                <w:rFonts w:ascii="Arial"/>
                <w:sz w:val="24"/>
                <w:szCs w:val="24"/>
              </w:rPr>
            </w:pPr>
          </w:p>
          <w:p w14:paraId="4EDAFBF7">
            <w:pPr>
              <w:spacing w:line="260" w:lineRule="auto"/>
              <w:rPr>
                <w:rFonts w:ascii="Arial"/>
                <w:sz w:val="24"/>
                <w:szCs w:val="24"/>
              </w:rPr>
            </w:pPr>
          </w:p>
          <w:p w14:paraId="54C4F738">
            <w:pPr>
              <w:spacing w:line="261" w:lineRule="auto"/>
              <w:rPr>
                <w:rFonts w:ascii="Arial"/>
                <w:sz w:val="24"/>
                <w:szCs w:val="24"/>
              </w:rPr>
            </w:pPr>
          </w:p>
          <w:p w14:paraId="117FD677">
            <w:pPr>
              <w:spacing w:line="261" w:lineRule="auto"/>
              <w:rPr>
                <w:rFonts w:ascii="Arial"/>
                <w:sz w:val="24"/>
                <w:szCs w:val="24"/>
              </w:rPr>
            </w:pPr>
          </w:p>
          <w:p w14:paraId="2C380CE5">
            <w:pPr>
              <w:pStyle w:val="133"/>
              <w:spacing w:before="55" w:line="231"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030412008003</w:t>
            </w:r>
          </w:p>
        </w:tc>
        <w:tc>
          <w:tcPr>
            <w:tcW w:w="759" w:type="pct"/>
            <w:shd w:val="clear" w:color="auto" w:fill="auto"/>
            <w:vAlign w:val="top"/>
          </w:tcPr>
          <w:p w14:paraId="597F22B4">
            <w:pPr>
              <w:spacing w:line="260" w:lineRule="auto"/>
              <w:rPr>
                <w:rFonts w:ascii="Arial"/>
                <w:sz w:val="24"/>
                <w:szCs w:val="24"/>
              </w:rPr>
            </w:pPr>
          </w:p>
          <w:p w14:paraId="7D0FAC8A">
            <w:pPr>
              <w:spacing w:line="260" w:lineRule="auto"/>
              <w:rPr>
                <w:rFonts w:ascii="Arial"/>
                <w:sz w:val="24"/>
                <w:szCs w:val="24"/>
              </w:rPr>
            </w:pPr>
          </w:p>
          <w:p w14:paraId="4F8DE991">
            <w:pPr>
              <w:spacing w:line="260" w:lineRule="auto"/>
              <w:rPr>
                <w:rFonts w:ascii="Arial"/>
                <w:sz w:val="24"/>
                <w:szCs w:val="24"/>
              </w:rPr>
            </w:pPr>
          </w:p>
          <w:p w14:paraId="500882E6">
            <w:pPr>
              <w:spacing w:line="260" w:lineRule="auto"/>
              <w:rPr>
                <w:rFonts w:ascii="Arial"/>
                <w:sz w:val="24"/>
                <w:szCs w:val="24"/>
              </w:rPr>
            </w:pPr>
          </w:p>
          <w:p w14:paraId="401506B8">
            <w:pPr>
              <w:spacing w:line="261" w:lineRule="auto"/>
              <w:rPr>
                <w:rFonts w:ascii="Arial"/>
                <w:sz w:val="24"/>
                <w:szCs w:val="24"/>
              </w:rPr>
            </w:pPr>
          </w:p>
          <w:p w14:paraId="7170654E">
            <w:pPr>
              <w:spacing w:line="261" w:lineRule="auto"/>
              <w:rPr>
                <w:rFonts w:ascii="Arial"/>
                <w:sz w:val="24"/>
                <w:szCs w:val="24"/>
              </w:rPr>
            </w:pPr>
          </w:p>
          <w:p w14:paraId="29C3A430">
            <w:pPr>
              <w:pStyle w:val="133"/>
              <w:spacing w:before="56" w:line="230" w:lineRule="auto"/>
              <w:ind w:left="24" w:leftChars="0"/>
              <w:rPr>
                <w:rFonts w:ascii="宋体" w:hAnsi="宋体" w:eastAsia="宋体" w:cs="宋体"/>
                <w:snapToGrid w:val="0"/>
                <w:color w:val="000000"/>
                <w:kern w:val="0"/>
                <w:sz w:val="24"/>
                <w:szCs w:val="24"/>
                <w:lang w:val="en-US" w:eastAsia="en-US" w:bidi="ar-SA"/>
              </w:rPr>
            </w:pPr>
            <w:r>
              <w:rPr>
                <w:spacing w:val="8"/>
                <w:sz w:val="24"/>
                <w:szCs w:val="24"/>
              </w:rPr>
              <w:t>路灯杆倾斜</w:t>
            </w:r>
          </w:p>
        </w:tc>
        <w:tc>
          <w:tcPr>
            <w:tcW w:w="1173" w:type="pct"/>
            <w:shd w:val="clear" w:color="auto" w:fill="auto"/>
            <w:vAlign w:val="top"/>
          </w:tcPr>
          <w:p w14:paraId="460854F2">
            <w:pPr>
              <w:pStyle w:val="133"/>
              <w:spacing w:before="55" w:line="195" w:lineRule="auto"/>
              <w:ind w:right="57"/>
              <w:rPr>
                <w:sz w:val="24"/>
                <w:szCs w:val="24"/>
              </w:rPr>
            </w:pPr>
            <w:r>
              <w:rPr>
                <w:spacing w:val="7"/>
                <w:sz w:val="24"/>
                <w:szCs w:val="24"/>
              </w:rPr>
              <w:t>1.校正方式：采用吊车扶</w:t>
            </w:r>
            <w:r>
              <w:rPr>
                <w:spacing w:val="8"/>
                <w:sz w:val="24"/>
                <w:szCs w:val="24"/>
              </w:rPr>
              <w:t>正，必要时更换地脚螺栓</w:t>
            </w:r>
            <w:r>
              <w:rPr>
                <w:spacing w:val="7"/>
                <w:sz w:val="24"/>
                <w:szCs w:val="24"/>
              </w:rPr>
              <w:t xml:space="preserve"> </w:t>
            </w:r>
            <w:r>
              <w:rPr>
                <w:sz w:val="24"/>
                <w:szCs w:val="24"/>
              </w:rPr>
              <w:t>;</w:t>
            </w:r>
          </w:p>
          <w:p w14:paraId="50A9FFB8">
            <w:pPr>
              <w:pStyle w:val="133"/>
              <w:spacing w:line="195" w:lineRule="auto"/>
              <w:ind w:left="24" w:right="57" w:firstLine="2"/>
              <w:rPr>
                <w:sz w:val="24"/>
                <w:szCs w:val="24"/>
              </w:rPr>
            </w:pPr>
            <w:r>
              <w:rPr>
                <w:spacing w:val="8"/>
                <w:sz w:val="24"/>
                <w:szCs w:val="24"/>
              </w:rPr>
              <w:t>2.基础处理：检查基础是</w:t>
            </w:r>
            <w:r>
              <w:rPr>
                <w:spacing w:val="9"/>
                <w:sz w:val="24"/>
                <w:szCs w:val="24"/>
              </w:rPr>
              <w:t>否沉降、破损，破损基础</w:t>
            </w:r>
            <w:r>
              <w:rPr>
                <w:spacing w:val="3"/>
                <w:sz w:val="24"/>
                <w:szCs w:val="24"/>
              </w:rPr>
              <w:t>采用C30混凝土修补；</w:t>
            </w:r>
          </w:p>
          <w:p w14:paraId="2038E58C">
            <w:pPr>
              <w:pStyle w:val="133"/>
              <w:spacing w:line="195" w:lineRule="auto"/>
              <w:ind w:left="24" w:right="57" w:firstLine="4"/>
              <w:rPr>
                <w:sz w:val="24"/>
                <w:szCs w:val="24"/>
              </w:rPr>
            </w:pPr>
            <w:r>
              <w:rPr>
                <w:spacing w:val="8"/>
                <w:sz w:val="24"/>
                <w:szCs w:val="24"/>
              </w:rPr>
              <w:t>3.垂直度校正：校正后垂</w:t>
            </w:r>
            <w:r>
              <w:rPr>
                <w:sz w:val="24"/>
                <w:szCs w:val="24"/>
              </w:rPr>
              <w:t>直度误差≤1‰ ，采用水</w:t>
            </w:r>
            <w:r>
              <w:rPr>
                <w:spacing w:val="-1"/>
                <w:sz w:val="24"/>
                <w:szCs w:val="24"/>
              </w:rPr>
              <w:t>平仪检测；</w:t>
            </w:r>
          </w:p>
          <w:p w14:paraId="4B160983">
            <w:pPr>
              <w:pStyle w:val="133"/>
              <w:spacing w:before="1" w:line="195" w:lineRule="auto"/>
              <w:ind w:left="26" w:right="57" w:hanging="2"/>
              <w:rPr>
                <w:sz w:val="24"/>
                <w:szCs w:val="24"/>
              </w:rPr>
            </w:pPr>
            <w:r>
              <w:rPr>
                <w:spacing w:val="8"/>
                <w:sz w:val="24"/>
                <w:szCs w:val="24"/>
              </w:rPr>
              <w:t>4.加固处理：对松动地脚螺栓进行紧固，必要时增</w:t>
            </w:r>
            <w:r>
              <w:rPr>
                <w:spacing w:val="2"/>
                <w:sz w:val="24"/>
                <w:szCs w:val="24"/>
              </w:rPr>
              <w:t>设混凝土加固圈；</w:t>
            </w:r>
          </w:p>
          <w:p w14:paraId="447EE83A">
            <w:pPr>
              <w:pStyle w:val="133"/>
              <w:spacing w:line="207" w:lineRule="auto"/>
              <w:ind w:left="25" w:leftChars="0" w:right="57" w:rightChars="0" w:firstLine="3" w:firstLineChars="0"/>
              <w:rPr>
                <w:rFonts w:ascii="宋体" w:hAnsi="宋体" w:eastAsia="宋体" w:cs="宋体"/>
                <w:snapToGrid w:val="0"/>
                <w:color w:val="000000"/>
                <w:kern w:val="0"/>
                <w:sz w:val="24"/>
                <w:szCs w:val="24"/>
                <w:lang w:val="en-US" w:eastAsia="en-US" w:bidi="ar-SA"/>
              </w:rPr>
            </w:pPr>
            <w:r>
              <w:rPr>
                <w:spacing w:val="8"/>
                <w:sz w:val="24"/>
                <w:szCs w:val="24"/>
              </w:rPr>
              <w:t>5.接地系统检查：确保接</w:t>
            </w:r>
            <w:r>
              <w:rPr>
                <w:spacing w:val="16"/>
                <w:sz w:val="24"/>
                <w:szCs w:val="24"/>
              </w:rPr>
              <w:t>地电阻≤4Ω,接地装置</w:t>
            </w:r>
            <w:r>
              <w:rPr>
                <w:spacing w:val="-6"/>
                <w:sz w:val="24"/>
                <w:szCs w:val="24"/>
              </w:rPr>
              <w:t>完好；</w:t>
            </w:r>
          </w:p>
        </w:tc>
        <w:tc>
          <w:tcPr>
            <w:tcW w:w="610" w:type="pct"/>
            <w:shd w:val="clear" w:color="auto" w:fill="auto"/>
            <w:vAlign w:val="top"/>
          </w:tcPr>
          <w:p w14:paraId="317FC2E6">
            <w:pPr>
              <w:spacing w:line="260" w:lineRule="auto"/>
              <w:rPr>
                <w:rFonts w:ascii="Arial"/>
                <w:sz w:val="24"/>
                <w:szCs w:val="24"/>
              </w:rPr>
            </w:pPr>
          </w:p>
          <w:p w14:paraId="22C16D5D">
            <w:pPr>
              <w:spacing w:line="260" w:lineRule="auto"/>
              <w:rPr>
                <w:rFonts w:ascii="Arial"/>
                <w:sz w:val="24"/>
                <w:szCs w:val="24"/>
              </w:rPr>
            </w:pPr>
          </w:p>
          <w:p w14:paraId="133CDD53">
            <w:pPr>
              <w:spacing w:line="260" w:lineRule="auto"/>
              <w:rPr>
                <w:rFonts w:ascii="Arial"/>
                <w:sz w:val="24"/>
                <w:szCs w:val="24"/>
              </w:rPr>
            </w:pPr>
          </w:p>
          <w:p w14:paraId="79D684EC">
            <w:pPr>
              <w:spacing w:line="260" w:lineRule="auto"/>
              <w:rPr>
                <w:rFonts w:ascii="Arial"/>
                <w:sz w:val="24"/>
                <w:szCs w:val="24"/>
              </w:rPr>
            </w:pPr>
          </w:p>
          <w:p w14:paraId="32F48688">
            <w:pPr>
              <w:spacing w:line="261" w:lineRule="auto"/>
              <w:rPr>
                <w:rFonts w:ascii="Arial"/>
                <w:sz w:val="24"/>
                <w:szCs w:val="24"/>
              </w:rPr>
            </w:pPr>
          </w:p>
          <w:p w14:paraId="3F9AF2F0">
            <w:pPr>
              <w:spacing w:line="261" w:lineRule="auto"/>
              <w:rPr>
                <w:rFonts w:ascii="Arial"/>
                <w:sz w:val="24"/>
                <w:szCs w:val="24"/>
              </w:rPr>
            </w:pPr>
          </w:p>
          <w:p w14:paraId="2319D96A">
            <w:pPr>
              <w:pStyle w:val="133"/>
              <w:spacing w:before="55" w:line="231" w:lineRule="auto"/>
              <w:ind w:left="208" w:leftChars="0"/>
              <w:rPr>
                <w:rFonts w:ascii="宋体" w:hAnsi="宋体" w:eastAsia="宋体" w:cs="宋体"/>
                <w:snapToGrid w:val="0"/>
                <w:color w:val="000000"/>
                <w:kern w:val="0"/>
                <w:sz w:val="24"/>
                <w:szCs w:val="24"/>
                <w:lang w:val="en-US" w:eastAsia="en-US" w:bidi="ar-SA"/>
              </w:rPr>
            </w:pPr>
            <w:r>
              <w:rPr>
                <w:spacing w:val="2"/>
                <w:sz w:val="24"/>
                <w:szCs w:val="24"/>
              </w:rPr>
              <w:t>根</w:t>
            </w:r>
          </w:p>
        </w:tc>
        <w:tc>
          <w:tcPr>
            <w:tcW w:w="681" w:type="pct"/>
            <w:shd w:val="clear" w:color="auto" w:fill="auto"/>
            <w:vAlign w:val="top"/>
          </w:tcPr>
          <w:p w14:paraId="12BFD6D7">
            <w:pPr>
              <w:spacing w:line="260" w:lineRule="auto"/>
              <w:rPr>
                <w:rFonts w:ascii="Arial"/>
                <w:sz w:val="24"/>
                <w:szCs w:val="24"/>
              </w:rPr>
            </w:pPr>
          </w:p>
          <w:p w14:paraId="4C847D48">
            <w:pPr>
              <w:spacing w:line="260" w:lineRule="auto"/>
              <w:rPr>
                <w:rFonts w:ascii="Arial"/>
                <w:sz w:val="24"/>
                <w:szCs w:val="24"/>
              </w:rPr>
            </w:pPr>
          </w:p>
          <w:p w14:paraId="554677EE">
            <w:pPr>
              <w:spacing w:line="260" w:lineRule="auto"/>
              <w:rPr>
                <w:rFonts w:ascii="Arial"/>
                <w:sz w:val="24"/>
                <w:szCs w:val="24"/>
              </w:rPr>
            </w:pPr>
          </w:p>
          <w:p w14:paraId="6E829EDF">
            <w:pPr>
              <w:spacing w:line="260" w:lineRule="auto"/>
              <w:rPr>
                <w:rFonts w:ascii="Arial"/>
                <w:sz w:val="24"/>
                <w:szCs w:val="24"/>
              </w:rPr>
            </w:pPr>
          </w:p>
          <w:p w14:paraId="01E725EC">
            <w:pPr>
              <w:spacing w:line="261" w:lineRule="auto"/>
              <w:rPr>
                <w:rFonts w:ascii="Arial"/>
                <w:sz w:val="24"/>
                <w:szCs w:val="24"/>
              </w:rPr>
            </w:pPr>
          </w:p>
          <w:p w14:paraId="68D752A5">
            <w:pPr>
              <w:spacing w:line="261" w:lineRule="auto"/>
              <w:rPr>
                <w:rFonts w:ascii="Arial"/>
                <w:sz w:val="24"/>
                <w:szCs w:val="24"/>
              </w:rPr>
            </w:pPr>
          </w:p>
          <w:p w14:paraId="6B018376">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611C8AF1">
            <w:pPr>
              <w:pStyle w:val="133"/>
              <w:spacing w:before="55" w:line="231" w:lineRule="auto"/>
              <w:ind w:left="208"/>
              <w:rPr>
                <w:sz w:val="24"/>
                <w:szCs w:val="24"/>
              </w:rPr>
            </w:pPr>
          </w:p>
          <w:p w14:paraId="32C599CC">
            <w:pPr>
              <w:pStyle w:val="133"/>
              <w:spacing w:before="55" w:line="231" w:lineRule="auto"/>
              <w:ind w:left="208"/>
              <w:rPr>
                <w:sz w:val="24"/>
                <w:szCs w:val="24"/>
              </w:rPr>
            </w:pPr>
          </w:p>
          <w:p w14:paraId="62E494CF">
            <w:pPr>
              <w:pStyle w:val="133"/>
              <w:spacing w:before="55" w:line="231" w:lineRule="auto"/>
              <w:ind w:left="208"/>
              <w:rPr>
                <w:sz w:val="24"/>
                <w:szCs w:val="24"/>
              </w:rPr>
            </w:pPr>
          </w:p>
          <w:p w14:paraId="02B4D169">
            <w:pPr>
              <w:pStyle w:val="133"/>
              <w:spacing w:before="55" w:line="231" w:lineRule="auto"/>
              <w:ind w:left="208"/>
              <w:rPr>
                <w:sz w:val="24"/>
                <w:szCs w:val="24"/>
              </w:rPr>
            </w:pPr>
          </w:p>
          <w:p w14:paraId="3005C238">
            <w:pPr>
              <w:pStyle w:val="133"/>
              <w:spacing w:before="55" w:line="231" w:lineRule="auto"/>
              <w:ind w:left="208"/>
              <w:rPr>
                <w:sz w:val="24"/>
                <w:szCs w:val="24"/>
              </w:rPr>
            </w:pPr>
          </w:p>
          <w:p w14:paraId="203FEE1C">
            <w:pPr>
              <w:pStyle w:val="133"/>
              <w:spacing w:before="55" w:line="231" w:lineRule="auto"/>
              <w:ind w:left="208"/>
              <w:rPr>
                <w:sz w:val="24"/>
                <w:szCs w:val="24"/>
              </w:rPr>
            </w:pPr>
          </w:p>
          <w:p w14:paraId="1FB40552">
            <w:pPr>
              <w:pStyle w:val="133"/>
              <w:spacing w:before="55" w:line="231" w:lineRule="auto"/>
              <w:ind w:left="208"/>
              <w:rPr>
                <w:sz w:val="24"/>
                <w:szCs w:val="24"/>
              </w:rPr>
            </w:pPr>
          </w:p>
          <w:p w14:paraId="72DAF976">
            <w:pPr>
              <w:pStyle w:val="133"/>
              <w:spacing w:before="55" w:line="231" w:lineRule="auto"/>
              <w:ind w:left="208"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700</w:t>
            </w:r>
          </w:p>
        </w:tc>
      </w:tr>
      <w:tr w14:paraId="349F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371" w:type="pct"/>
            <w:tcBorders>
              <w:left w:val="single" w:color="000000" w:sz="10" w:space="0"/>
            </w:tcBorders>
            <w:shd w:val="clear" w:color="auto" w:fill="auto"/>
            <w:vAlign w:val="top"/>
          </w:tcPr>
          <w:p w14:paraId="6D087813">
            <w:pPr>
              <w:pStyle w:val="133"/>
              <w:spacing w:before="130" w:line="230"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33</w:t>
            </w:r>
          </w:p>
        </w:tc>
        <w:tc>
          <w:tcPr>
            <w:tcW w:w="645" w:type="pct"/>
            <w:shd w:val="clear" w:color="auto" w:fill="auto"/>
            <w:vAlign w:val="top"/>
          </w:tcPr>
          <w:p w14:paraId="73C6AD8A">
            <w:pPr>
              <w:pStyle w:val="133"/>
              <w:spacing w:before="130" w:line="230" w:lineRule="exact"/>
              <w:ind w:left="15" w:leftChars="0"/>
              <w:rPr>
                <w:rFonts w:ascii="宋体" w:hAnsi="宋体" w:eastAsia="宋体" w:cs="宋体"/>
                <w:snapToGrid w:val="0"/>
                <w:color w:val="000000"/>
                <w:kern w:val="0"/>
                <w:sz w:val="24"/>
                <w:szCs w:val="24"/>
                <w:lang w:val="en-US" w:eastAsia="en-US" w:bidi="ar-SA"/>
              </w:rPr>
            </w:pPr>
            <w:r>
              <w:rPr>
                <w:spacing w:val="4"/>
                <w:position w:val="1"/>
                <w:sz w:val="24"/>
                <w:szCs w:val="24"/>
              </w:rPr>
              <w:t>030412001001</w:t>
            </w:r>
          </w:p>
        </w:tc>
        <w:tc>
          <w:tcPr>
            <w:tcW w:w="759" w:type="pct"/>
            <w:shd w:val="clear" w:color="auto" w:fill="auto"/>
            <w:vAlign w:val="top"/>
          </w:tcPr>
          <w:p w14:paraId="29E90816">
            <w:pPr>
              <w:pStyle w:val="133"/>
              <w:spacing w:before="130" w:line="230" w:lineRule="auto"/>
              <w:ind w:left="36" w:leftChars="0"/>
              <w:rPr>
                <w:rFonts w:ascii="宋体" w:hAnsi="宋体" w:eastAsia="宋体" w:cs="宋体"/>
                <w:snapToGrid w:val="0"/>
                <w:color w:val="000000"/>
                <w:kern w:val="0"/>
                <w:sz w:val="24"/>
                <w:szCs w:val="24"/>
                <w:lang w:val="en-US" w:eastAsia="en-US" w:bidi="ar-SA"/>
              </w:rPr>
            </w:pPr>
            <w:r>
              <w:rPr>
                <w:spacing w:val="5"/>
                <w:sz w:val="24"/>
                <w:szCs w:val="24"/>
              </w:rPr>
              <w:t>120W路灯灯头更</w:t>
            </w:r>
            <w:r>
              <w:rPr>
                <w:spacing w:val="1"/>
                <w:sz w:val="24"/>
                <w:szCs w:val="24"/>
              </w:rPr>
              <w:t>换</w:t>
            </w:r>
          </w:p>
        </w:tc>
        <w:tc>
          <w:tcPr>
            <w:tcW w:w="1173" w:type="pct"/>
            <w:shd w:val="clear" w:color="auto" w:fill="auto"/>
            <w:vAlign w:val="top"/>
          </w:tcPr>
          <w:p w14:paraId="28FB1B96">
            <w:pPr>
              <w:pStyle w:val="133"/>
              <w:spacing w:before="55" w:line="195" w:lineRule="auto"/>
              <w:ind w:left="26" w:right="57" w:firstLine="1"/>
              <w:rPr>
                <w:sz w:val="24"/>
                <w:szCs w:val="24"/>
              </w:rPr>
            </w:pPr>
            <w:r>
              <w:rPr>
                <w:spacing w:val="2"/>
                <w:sz w:val="24"/>
                <w:szCs w:val="24"/>
              </w:rPr>
              <w:t>1.灯具类型：</w:t>
            </w:r>
            <w:r>
              <w:rPr>
                <w:spacing w:val="-25"/>
                <w:sz w:val="24"/>
                <w:szCs w:val="24"/>
              </w:rPr>
              <w:t xml:space="preserve"> </w:t>
            </w:r>
            <w:r>
              <w:rPr>
                <w:sz w:val="24"/>
                <w:szCs w:val="24"/>
              </w:rPr>
              <w:t>LED</w:t>
            </w:r>
            <w:r>
              <w:rPr>
                <w:spacing w:val="2"/>
                <w:sz w:val="24"/>
                <w:szCs w:val="24"/>
              </w:rPr>
              <w:t>路灯灯</w:t>
            </w:r>
            <w:r>
              <w:rPr>
                <w:spacing w:val="6"/>
                <w:sz w:val="24"/>
                <w:szCs w:val="24"/>
              </w:rPr>
              <w:t>头，功率120W，光效≥13</w:t>
            </w:r>
            <w:r>
              <w:rPr>
                <w:spacing w:val="11"/>
                <w:sz w:val="24"/>
                <w:szCs w:val="24"/>
              </w:rPr>
              <w:t xml:space="preserve"> </w:t>
            </w:r>
            <w:r>
              <w:rPr>
                <w:spacing w:val="3"/>
                <w:sz w:val="24"/>
                <w:szCs w:val="24"/>
              </w:rPr>
              <w:t>0</w:t>
            </w:r>
            <w:r>
              <w:rPr>
                <w:sz w:val="24"/>
                <w:szCs w:val="24"/>
              </w:rPr>
              <w:t>lm</w:t>
            </w:r>
            <w:r>
              <w:rPr>
                <w:spacing w:val="3"/>
                <w:sz w:val="24"/>
                <w:szCs w:val="24"/>
              </w:rPr>
              <w:t>/W；</w:t>
            </w:r>
          </w:p>
          <w:p w14:paraId="2880E9CE">
            <w:pPr>
              <w:pStyle w:val="133"/>
              <w:spacing w:before="1" w:line="195" w:lineRule="auto"/>
              <w:ind w:left="27" w:right="57"/>
              <w:rPr>
                <w:sz w:val="24"/>
                <w:szCs w:val="24"/>
              </w:rPr>
            </w:pPr>
            <w:r>
              <w:rPr>
                <w:spacing w:val="6"/>
                <w:sz w:val="24"/>
                <w:szCs w:val="24"/>
              </w:rPr>
              <w:t xml:space="preserve">2.光源参数：色温3000K- </w:t>
            </w:r>
            <w:r>
              <w:rPr>
                <w:spacing w:val="1"/>
                <w:sz w:val="24"/>
                <w:szCs w:val="24"/>
              </w:rPr>
              <w:t>5000K</w:t>
            </w:r>
            <w:r>
              <w:rPr>
                <w:spacing w:val="-14"/>
                <w:sz w:val="24"/>
                <w:szCs w:val="24"/>
              </w:rPr>
              <w:t xml:space="preserve"> </w:t>
            </w:r>
            <w:r>
              <w:rPr>
                <w:spacing w:val="1"/>
                <w:sz w:val="24"/>
                <w:szCs w:val="24"/>
              </w:rPr>
              <w:t>（可调节），显色</w:t>
            </w:r>
            <w:r>
              <w:rPr>
                <w:spacing w:val="8"/>
                <w:sz w:val="24"/>
                <w:szCs w:val="24"/>
              </w:rPr>
              <w:t>指数≥70，防护等级</w:t>
            </w:r>
            <w:r>
              <w:rPr>
                <w:sz w:val="24"/>
                <w:szCs w:val="24"/>
              </w:rPr>
              <w:t>IP</w:t>
            </w:r>
            <w:r>
              <w:rPr>
                <w:spacing w:val="8"/>
                <w:sz w:val="24"/>
                <w:szCs w:val="24"/>
              </w:rPr>
              <w:t>65</w:t>
            </w:r>
            <w:r>
              <w:rPr>
                <w:sz w:val="24"/>
                <w:szCs w:val="24"/>
              </w:rPr>
              <w:t xml:space="preserve"> ;</w:t>
            </w:r>
          </w:p>
          <w:p w14:paraId="288C6157">
            <w:pPr>
              <w:pStyle w:val="133"/>
              <w:spacing w:line="195" w:lineRule="auto"/>
              <w:ind w:left="37" w:right="57" w:hanging="9"/>
              <w:rPr>
                <w:sz w:val="24"/>
                <w:szCs w:val="24"/>
              </w:rPr>
            </w:pPr>
            <w:r>
              <w:rPr>
                <w:spacing w:val="8"/>
                <w:sz w:val="24"/>
                <w:szCs w:val="24"/>
              </w:rPr>
              <w:t>3.电气参数：输入电压</w:t>
            </w:r>
            <w:r>
              <w:rPr>
                <w:sz w:val="24"/>
                <w:szCs w:val="24"/>
              </w:rPr>
              <w:t>AC</w:t>
            </w:r>
            <w:r>
              <w:rPr>
                <w:spacing w:val="7"/>
                <w:sz w:val="24"/>
                <w:szCs w:val="24"/>
              </w:rPr>
              <w:t xml:space="preserve"> </w:t>
            </w:r>
            <w:r>
              <w:rPr>
                <w:spacing w:val="5"/>
                <w:sz w:val="24"/>
                <w:szCs w:val="24"/>
              </w:rPr>
              <w:t>180-265V，功率因数≥0.</w:t>
            </w:r>
          </w:p>
          <w:p w14:paraId="3227F15F">
            <w:pPr>
              <w:pStyle w:val="133"/>
              <w:spacing w:line="195" w:lineRule="auto"/>
              <w:ind w:left="25"/>
              <w:rPr>
                <w:sz w:val="24"/>
                <w:szCs w:val="24"/>
              </w:rPr>
            </w:pPr>
            <w:r>
              <w:rPr>
                <w:spacing w:val="6"/>
                <w:sz w:val="24"/>
                <w:szCs w:val="24"/>
              </w:rPr>
              <w:t>95，谐波失真≤15%；</w:t>
            </w:r>
          </w:p>
          <w:p w14:paraId="154DBDD6">
            <w:pPr>
              <w:pStyle w:val="133"/>
              <w:spacing w:before="1" w:line="195" w:lineRule="auto"/>
              <w:ind w:left="26" w:right="57" w:hanging="2"/>
              <w:rPr>
                <w:sz w:val="24"/>
                <w:szCs w:val="24"/>
              </w:rPr>
            </w:pPr>
            <w:r>
              <w:rPr>
                <w:spacing w:val="8"/>
                <w:sz w:val="24"/>
                <w:szCs w:val="24"/>
              </w:rPr>
              <w:t>4.安装：与原有灯杆匹配</w:t>
            </w:r>
            <w:r>
              <w:rPr>
                <w:spacing w:val="3"/>
                <w:sz w:val="24"/>
                <w:szCs w:val="24"/>
              </w:rPr>
              <w:t xml:space="preserve"> </w:t>
            </w:r>
            <w:r>
              <w:rPr>
                <w:spacing w:val="12"/>
                <w:sz w:val="24"/>
                <w:szCs w:val="24"/>
              </w:rPr>
              <w:t>,采用不锈钢螺栓固定，</w:t>
            </w:r>
            <w:r>
              <w:rPr>
                <w:spacing w:val="8"/>
                <w:sz w:val="24"/>
                <w:szCs w:val="24"/>
              </w:rPr>
              <w:t>线缆连接牢固，做好防水</w:t>
            </w:r>
            <w:r>
              <w:rPr>
                <w:spacing w:val="-6"/>
                <w:sz w:val="24"/>
                <w:szCs w:val="24"/>
              </w:rPr>
              <w:t>处理；</w:t>
            </w:r>
          </w:p>
          <w:p w14:paraId="404A6874">
            <w:pPr>
              <w:pStyle w:val="133"/>
              <w:spacing w:before="3" w:line="203" w:lineRule="auto"/>
              <w:ind w:left="25" w:right="88" w:firstLine="1"/>
              <w:jc w:val="both"/>
              <w:rPr>
                <w:rFonts w:hint="default" w:eastAsia="宋体"/>
                <w:spacing w:val="7"/>
                <w:sz w:val="24"/>
                <w:szCs w:val="24"/>
                <w:lang w:val="en-US" w:eastAsia="zh-CN"/>
              </w:rPr>
            </w:pPr>
            <w:r>
              <w:rPr>
                <w:rFonts w:hint="eastAsia"/>
                <w:spacing w:val="7"/>
                <w:sz w:val="24"/>
                <w:szCs w:val="24"/>
                <w:lang w:val="en-US" w:eastAsia="zh-CN"/>
              </w:rPr>
              <w:t>5.调试：调整照射角度,确保路面平均照度符合≪城市道路照明设计标准≫CJJ45-2015要求;</w:t>
            </w:r>
          </w:p>
          <w:p w14:paraId="4D6B3DE3">
            <w:pPr>
              <w:pStyle w:val="133"/>
              <w:spacing w:before="130" w:line="230" w:lineRule="auto"/>
              <w:ind w:left="38" w:leftChars="0"/>
              <w:rPr>
                <w:rFonts w:ascii="宋体" w:hAnsi="宋体" w:eastAsia="宋体" w:cs="宋体"/>
                <w:snapToGrid w:val="0"/>
                <w:color w:val="000000"/>
                <w:kern w:val="0"/>
                <w:sz w:val="24"/>
                <w:szCs w:val="24"/>
                <w:lang w:val="en-US" w:eastAsia="en-US" w:bidi="ar-SA"/>
              </w:rPr>
            </w:pPr>
            <w:r>
              <w:rPr>
                <w:spacing w:val="7"/>
                <w:sz w:val="24"/>
                <w:szCs w:val="24"/>
              </w:rPr>
              <w:t>6.其他描述不详之处(包括措施费)，投标人结合</w:t>
            </w:r>
            <w:r>
              <w:rPr>
                <w:spacing w:val="4"/>
                <w:sz w:val="24"/>
                <w:szCs w:val="24"/>
              </w:rPr>
              <w:t>现场踏勘情况自行考虑，</w:t>
            </w:r>
            <w:r>
              <w:rPr>
                <w:spacing w:val="6"/>
                <w:sz w:val="24"/>
                <w:szCs w:val="24"/>
              </w:rPr>
              <w:t>费用包含在综合单价中。</w:t>
            </w:r>
          </w:p>
        </w:tc>
        <w:tc>
          <w:tcPr>
            <w:tcW w:w="610" w:type="pct"/>
            <w:shd w:val="clear" w:color="auto" w:fill="auto"/>
            <w:vAlign w:val="top"/>
          </w:tcPr>
          <w:p w14:paraId="452AC10F">
            <w:pPr>
              <w:pStyle w:val="133"/>
              <w:spacing w:before="130" w:line="236"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盏</w:t>
            </w:r>
          </w:p>
        </w:tc>
        <w:tc>
          <w:tcPr>
            <w:tcW w:w="681" w:type="pct"/>
            <w:shd w:val="clear" w:color="auto" w:fill="auto"/>
            <w:vAlign w:val="top"/>
          </w:tcPr>
          <w:p w14:paraId="734A5B2C">
            <w:pPr>
              <w:pStyle w:val="133"/>
              <w:spacing w:before="130"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5B7BE77E">
            <w:pPr>
              <w:pStyle w:val="133"/>
              <w:spacing w:before="55" w:line="231" w:lineRule="auto"/>
              <w:ind w:left="208"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550</w:t>
            </w:r>
          </w:p>
        </w:tc>
      </w:tr>
      <w:tr w14:paraId="68A7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0AFBABBC">
            <w:pPr>
              <w:spacing w:line="261" w:lineRule="auto"/>
              <w:rPr>
                <w:rFonts w:ascii="Arial"/>
                <w:sz w:val="24"/>
                <w:szCs w:val="24"/>
              </w:rPr>
            </w:pPr>
          </w:p>
          <w:p w14:paraId="401A8F14">
            <w:pPr>
              <w:spacing w:line="261" w:lineRule="auto"/>
              <w:rPr>
                <w:rFonts w:ascii="Arial"/>
                <w:sz w:val="24"/>
                <w:szCs w:val="24"/>
              </w:rPr>
            </w:pPr>
          </w:p>
          <w:p w14:paraId="61AF979F">
            <w:pPr>
              <w:spacing w:line="261" w:lineRule="auto"/>
              <w:rPr>
                <w:rFonts w:ascii="Arial"/>
                <w:sz w:val="24"/>
                <w:szCs w:val="24"/>
              </w:rPr>
            </w:pPr>
          </w:p>
          <w:p w14:paraId="66EAC6F1">
            <w:pPr>
              <w:spacing w:line="261" w:lineRule="auto"/>
              <w:rPr>
                <w:rFonts w:ascii="Arial"/>
                <w:sz w:val="24"/>
                <w:szCs w:val="24"/>
              </w:rPr>
            </w:pPr>
          </w:p>
          <w:p w14:paraId="5C685154">
            <w:pPr>
              <w:spacing w:line="261" w:lineRule="auto"/>
              <w:rPr>
                <w:rFonts w:ascii="Arial"/>
                <w:sz w:val="24"/>
                <w:szCs w:val="24"/>
              </w:rPr>
            </w:pPr>
          </w:p>
          <w:p w14:paraId="04A1381C">
            <w:pPr>
              <w:spacing w:line="261" w:lineRule="auto"/>
              <w:rPr>
                <w:rFonts w:ascii="Arial"/>
                <w:sz w:val="24"/>
                <w:szCs w:val="24"/>
              </w:rPr>
            </w:pPr>
          </w:p>
          <w:p w14:paraId="41C174D2">
            <w:pPr>
              <w:spacing w:line="261" w:lineRule="auto"/>
              <w:rPr>
                <w:rFonts w:ascii="Arial"/>
                <w:sz w:val="24"/>
                <w:szCs w:val="24"/>
              </w:rPr>
            </w:pPr>
          </w:p>
          <w:p w14:paraId="6D188C93">
            <w:pPr>
              <w:spacing w:line="261" w:lineRule="auto"/>
              <w:rPr>
                <w:rFonts w:ascii="Arial"/>
                <w:sz w:val="24"/>
                <w:szCs w:val="24"/>
              </w:rPr>
            </w:pPr>
          </w:p>
          <w:p w14:paraId="1D9E854B">
            <w:pPr>
              <w:spacing w:line="262" w:lineRule="auto"/>
              <w:rPr>
                <w:rFonts w:ascii="Arial"/>
                <w:sz w:val="24"/>
                <w:szCs w:val="24"/>
              </w:rPr>
            </w:pPr>
          </w:p>
          <w:p w14:paraId="47EC1556">
            <w:pPr>
              <w:pStyle w:val="133"/>
              <w:spacing w:before="56" w:line="230"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34</w:t>
            </w:r>
          </w:p>
        </w:tc>
        <w:tc>
          <w:tcPr>
            <w:tcW w:w="645" w:type="pct"/>
            <w:shd w:val="clear" w:color="auto" w:fill="auto"/>
            <w:vAlign w:val="top"/>
          </w:tcPr>
          <w:p w14:paraId="2373E108">
            <w:pPr>
              <w:spacing w:line="261" w:lineRule="auto"/>
              <w:rPr>
                <w:rFonts w:ascii="Arial"/>
                <w:sz w:val="24"/>
                <w:szCs w:val="24"/>
              </w:rPr>
            </w:pPr>
          </w:p>
          <w:p w14:paraId="41B5C3DD">
            <w:pPr>
              <w:spacing w:line="261" w:lineRule="auto"/>
              <w:rPr>
                <w:rFonts w:ascii="Arial"/>
                <w:sz w:val="24"/>
                <w:szCs w:val="24"/>
              </w:rPr>
            </w:pPr>
          </w:p>
          <w:p w14:paraId="23522681">
            <w:pPr>
              <w:spacing w:line="261" w:lineRule="auto"/>
              <w:rPr>
                <w:rFonts w:ascii="Arial"/>
                <w:sz w:val="24"/>
                <w:szCs w:val="24"/>
              </w:rPr>
            </w:pPr>
          </w:p>
          <w:p w14:paraId="4FBCB8B8">
            <w:pPr>
              <w:spacing w:line="261" w:lineRule="auto"/>
              <w:rPr>
                <w:rFonts w:ascii="Arial"/>
                <w:sz w:val="24"/>
                <w:szCs w:val="24"/>
              </w:rPr>
            </w:pPr>
          </w:p>
          <w:p w14:paraId="0CB07C3A">
            <w:pPr>
              <w:spacing w:line="261" w:lineRule="auto"/>
              <w:rPr>
                <w:rFonts w:ascii="Arial"/>
                <w:sz w:val="24"/>
                <w:szCs w:val="24"/>
              </w:rPr>
            </w:pPr>
          </w:p>
          <w:p w14:paraId="0BA6568C">
            <w:pPr>
              <w:spacing w:line="261" w:lineRule="auto"/>
              <w:rPr>
                <w:rFonts w:ascii="Arial"/>
                <w:sz w:val="24"/>
                <w:szCs w:val="24"/>
              </w:rPr>
            </w:pPr>
          </w:p>
          <w:p w14:paraId="09BF5814">
            <w:pPr>
              <w:spacing w:line="261" w:lineRule="auto"/>
              <w:rPr>
                <w:rFonts w:ascii="Arial"/>
                <w:sz w:val="24"/>
                <w:szCs w:val="24"/>
              </w:rPr>
            </w:pPr>
          </w:p>
          <w:p w14:paraId="20D71255">
            <w:pPr>
              <w:spacing w:line="261" w:lineRule="auto"/>
              <w:rPr>
                <w:rFonts w:ascii="Arial"/>
                <w:sz w:val="24"/>
                <w:szCs w:val="24"/>
              </w:rPr>
            </w:pPr>
          </w:p>
          <w:p w14:paraId="760752E9">
            <w:pPr>
              <w:spacing w:line="262" w:lineRule="auto"/>
              <w:rPr>
                <w:rFonts w:ascii="Arial"/>
                <w:sz w:val="24"/>
                <w:szCs w:val="24"/>
              </w:rPr>
            </w:pPr>
          </w:p>
          <w:p w14:paraId="2A73EB88">
            <w:pPr>
              <w:pStyle w:val="133"/>
              <w:spacing w:before="56" w:line="230"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030412001002</w:t>
            </w:r>
          </w:p>
        </w:tc>
        <w:tc>
          <w:tcPr>
            <w:tcW w:w="759" w:type="pct"/>
            <w:shd w:val="clear" w:color="auto" w:fill="auto"/>
            <w:vAlign w:val="top"/>
          </w:tcPr>
          <w:p w14:paraId="3670978A">
            <w:pPr>
              <w:spacing w:line="251" w:lineRule="auto"/>
              <w:rPr>
                <w:rFonts w:ascii="Arial"/>
                <w:sz w:val="24"/>
                <w:szCs w:val="24"/>
              </w:rPr>
            </w:pPr>
          </w:p>
          <w:p w14:paraId="71E738B1">
            <w:pPr>
              <w:spacing w:line="251" w:lineRule="auto"/>
              <w:rPr>
                <w:rFonts w:ascii="Arial"/>
                <w:sz w:val="24"/>
                <w:szCs w:val="24"/>
              </w:rPr>
            </w:pPr>
          </w:p>
          <w:p w14:paraId="65D67822">
            <w:pPr>
              <w:spacing w:line="251" w:lineRule="auto"/>
              <w:rPr>
                <w:rFonts w:ascii="Arial"/>
                <w:sz w:val="24"/>
                <w:szCs w:val="24"/>
              </w:rPr>
            </w:pPr>
          </w:p>
          <w:p w14:paraId="0340EF9A">
            <w:pPr>
              <w:spacing w:line="251" w:lineRule="auto"/>
              <w:rPr>
                <w:rFonts w:ascii="Arial"/>
                <w:sz w:val="24"/>
                <w:szCs w:val="24"/>
              </w:rPr>
            </w:pPr>
          </w:p>
          <w:p w14:paraId="27793081">
            <w:pPr>
              <w:spacing w:line="251" w:lineRule="auto"/>
              <w:rPr>
                <w:rFonts w:ascii="Arial"/>
                <w:sz w:val="24"/>
                <w:szCs w:val="24"/>
              </w:rPr>
            </w:pPr>
          </w:p>
          <w:p w14:paraId="35D40075">
            <w:pPr>
              <w:spacing w:line="251" w:lineRule="auto"/>
              <w:rPr>
                <w:rFonts w:ascii="Arial"/>
                <w:sz w:val="24"/>
                <w:szCs w:val="24"/>
              </w:rPr>
            </w:pPr>
          </w:p>
          <w:p w14:paraId="61C176BD">
            <w:pPr>
              <w:spacing w:line="251" w:lineRule="auto"/>
              <w:rPr>
                <w:rFonts w:ascii="Arial"/>
                <w:sz w:val="24"/>
                <w:szCs w:val="24"/>
              </w:rPr>
            </w:pPr>
          </w:p>
          <w:p w14:paraId="642E215C">
            <w:pPr>
              <w:spacing w:line="252" w:lineRule="auto"/>
              <w:rPr>
                <w:rFonts w:ascii="Arial"/>
                <w:sz w:val="24"/>
                <w:szCs w:val="24"/>
              </w:rPr>
            </w:pPr>
          </w:p>
          <w:p w14:paraId="54B64CB6">
            <w:pPr>
              <w:spacing w:line="252" w:lineRule="auto"/>
              <w:rPr>
                <w:rFonts w:ascii="Arial"/>
                <w:sz w:val="24"/>
                <w:szCs w:val="24"/>
              </w:rPr>
            </w:pPr>
          </w:p>
          <w:p w14:paraId="2178F43B">
            <w:pPr>
              <w:pStyle w:val="133"/>
              <w:spacing w:before="56" w:line="213" w:lineRule="auto"/>
              <w:ind w:left="24" w:leftChars="0" w:right="151" w:rightChars="0"/>
              <w:rPr>
                <w:rFonts w:ascii="宋体" w:hAnsi="宋体" w:eastAsia="宋体" w:cs="宋体"/>
                <w:snapToGrid w:val="0"/>
                <w:color w:val="000000"/>
                <w:kern w:val="0"/>
                <w:sz w:val="24"/>
                <w:szCs w:val="24"/>
                <w:lang w:val="en-US" w:eastAsia="en-US" w:bidi="ar-SA"/>
              </w:rPr>
            </w:pPr>
            <w:r>
              <w:rPr>
                <w:spacing w:val="6"/>
                <w:sz w:val="24"/>
                <w:szCs w:val="24"/>
              </w:rPr>
              <w:t>60W路灯灯头更</w:t>
            </w:r>
            <w:r>
              <w:rPr>
                <w:spacing w:val="1"/>
                <w:sz w:val="24"/>
                <w:szCs w:val="24"/>
              </w:rPr>
              <w:t>换</w:t>
            </w:r>
          </w:p>
        </w:tc>
        <w:tc>
          <w:tcPr>
            <w:tcW w:w="1173" w:type="pct"/>
            <w:shd w:val="clear" w:color="auto" w:fill="auto"/>
            <w:vAlign w:val="top"/>
          </w:tcPr>
          <w:p w14:paraId="00ECE4EB">
            <w:pPr>
              <w:pStyle w:val="133"/>
              <w:spacing w:before="56" w:line="195" w:lineRule="auto"/>
              <w:ind w:right="57"/>
              <w:rPr>
                <w:sz w:val="24"/>
                <w:szCs w:val="24"/>
              </w:rPr>
            </w:pPr>
            <w:r>
              <w:rPr>
                <w:spacing w:val="2"/>
                <w:sz w:val="24"/>
                <w:szCs w:val="24"/>
              </w:rPr>
              <w:t>1.灯具类型：</w:t>
            </w:r>
            <w:r>
              <w:rPr>
                <w:spacing w:val="-25"/>
                <w:sz w:val="24"/>
                <w:szCs w:val="24"/>
              </w:rPr>
              <w:t xml:space="preserve"> </w:t>
            </w:r>
            <w:r>
              <w:rPr>
                <w:sz w:val="24"/>
                <w:szCs w:val="24"/>
              </w:rPr>
              <w:t>LED</w:t>
            </w:r>
            <w:r>
              <w:rPr>
                <w:spacing w:val="2"/>
                <w:sz w:val="24"/>
                <w:szCs w:val="24"/>
              </w:rPr>
              <w:t>路灯灯</w:t>
            </w:r>
            <w:r>
              <w:rPr>
                <w:spacing w:val="6"/>
                <w:sz w:val="24"/>
                <w:szCs w:val="24"/>
              </w:rPr>
              <w:t>头，功率60W，光效≥130</w:t>
            </w:r>
            <w:r>
              <w:rPr>
                <w:spacing w:val="11"/>
                <w:sz w:val="24"/>
                <w:szCs w:val="24"/>
              </w:rPr>
              <w:t xml:space="preserve"> </w:t>
            </w:r>
            <w:r>
              <w:rPr>
                <w:sz w:val="24"/>
                <w:szCs w:val="24"/>
              </w:rPr>
              <w:t>lm</w:t>
            </w:r>
            <w:r>
              <w:rPr>
                <w:spacing w:val="3"/>
                <w:sz w:val="24"/>
                <w:szCs w:val="24"/>
              </w:rPr>
              <w:t>/W；</w:t>
            </w:r>
          </w:p>
          <w:p w14:paraId="50FD7DE1">
            <w:pPr>
              <w:pStyle w:val="133"/>
              <w:spacing w:line="195" w:lineRule="auto"/>
              <w:ind w:left="28" w:right="57" w:hanging="1"/>
              <w:rPr>
                <w:sz w:val="24"/>
                <w:szCs w:val="24"/>
              </w:rPr>
            </w:pPr>
            <w:r>
              <w:rPr>
                <w:spacing w:val="6"/>
                <w:sz w:val="24"/>
                <w:szCs w:val="24"/>
              </w:rPr>
              <w:t xml:space="preserve">2.光源参数：色温3000K- </w:t>
            </w:r>
            <w:r>
              <w:rPr>
                <w:spacing w:val="5"/>
                <w:sz w:val="24"/>
                <w:szCs w:val="24"/>
              </w:rPr>
              <w:t>5000K，显色指数≥70，</w:t>
            </w:r>
          </w:p>
          <w:p w14:paraId="07B7D593">
            <w:pPr>
              <w:pStyle w:val="133"/>
              <w:spacing w:line="195" w:lineRule="auto"/>
              <w:ind w:left="36"/>
              <w:rPr>
                <w:sz w:val="24"/>
                <w:szCs w:val="24"/>
              </w:rPr>
            </w:pPr>
            <w:r>
              <w:rPr>
                <w:spacing w:val="5"/>
                <w:sz w:val="24"/>
                <w:szCs w:val="24"/>
              </w:rPr>
              <w:t>防护等级</w:t>
            </w:r>
            <w:r>
              <w:rPr>
                <w:sz w:val="24"/>
                <w:szCs w:val="24"/>
              </w:rPr>
              <w:t>IP</w:t>
            </w:r>
            <w:r>
              <w:rPr>
                <w:spacing w:val="5"/>
                <w:sz w:val="24"/>
                <w:szCs w:val="24"/>
              </w:rPr>
              <w:t>65；</w:t>
            </w:r>
          </w:p>
          <w:p w14:paraId="2B61D1C2">
            <w:pPr>
              <w:pStyle w:val="133"/>
              <w:spacing w:line="195" w:lineRule="auto"/>
              <w:ind w:left="37" w:right="57" w:hanging="9"/>
              <w:rPr>
                <w:sz w:val="24"/>
                <w:szCs w:val="24"/>
              </w:rPr>
            </w:pPr>
            <w:r>
              <w:rPr>
                <w:spacing w:val="8"/>
                <w:sz w:val="24"/>
                <w:szCs w:val="24"/>
              </w:rPr>
              <w:t>3.电气参数：输入电压</w:t>
            </w:r>
            <w:r>
              <w:rPr>
                <w:sz w:val="24"/>
                <w:szCs w:val="24"/>
              </w:rPr>
              <w:t>AC</w:t>
            </w:r>
            <w:r>
              <w:rPr>
                <w:spacing w:val="7"/>
                <w:sz w:val="24"/>
                <w:szCs w:val="24"/>
              </w:rPr>
              <w:t xml:space="preserve"> </w:t>
            </w:r>
            <w:r>
              <w:rPr>
                <w:spacing w:val="5"/>
                <w:sz w:val="24"/>
                <w:szCs w:val="24"/>
              </w:rPr>
              <w:t>180-265V，功率因数≥0.</w:t>
            </w:r>
          </w:p>
          <w:p w14:paraId="768E0204">
            <w:pPr>
              <w:pStyle w:val="133"/>
              <w:spacing w:line="195" w:lineRule="auto"/>
              <w:ind w:left="32" w:right="147" w:hanging="7"/>
              <w:rPr>
                <w:sz w:val="24"/>
                <w:szCs w:val="24"/>
              </w:rPr>
            </w:pPr>
            <w:r>
              <w:rPr>
                <w:spacing w:val="6"/>
                <w:sz w:val="24"/>
                <w:szCs w:val="24"/>
              </w:rPr>
              <w:t>95，使用寿命≥50000小</w:t>
            </w:r>
            <w:r>
              <w:rPr>
                <w:spacing w:val="-11"/>
                <w:sz w:val="24"/>
                <w:szCs w:val="24"/>
              </w:rPr>
              <w:t>时；</w:t>
            </w:r>
          </w:p>
          <w:p w14:paraId="1D5D7898">
            <w:pPr>
              <w:pStyle w:val="133"/>
              <w:spacing w:before="1" w:line="195" w:lineRule="auto"/>
              <w:ind w:left="20" w:right="57" w:firstLine="4"/>
              <w:rPr>
                <w:sz w:val="24"/>
                <w:szCs w:val="24"/>
              </w:rPr>
            </w:pPr>
            <w:r>
              <w:rPr>
                <w:spacing w:val="8"/>
                <w:sz w:val="24"/>
                <w:szCs w:val="24"/>
              </w:rPr>
              <w:t>4.安装：适配原有灯杆接</w:t>
            </w:r>
            <w:r>
              <w:rPr>
                <w:spacing w:val="4"/>
                <w:sz w:val="24"/>
                <w:szCs w:val="24"/>
              </w:rPr>
              <w:t>口，线缆采用</w:t>
            </w:r>
            <w:r>
              <w:rPr>
                <w:sz w:val="24"/>
                <w:szCs w:val="24"/>
              </w:rPr>
              <w:t>RVV</w:t>
            </w:r>
            <w:r>
              <w:rPr>
                <w:spacing w:val="4"/>
                <w:sz w:val="24"/>
                <w:szCs w:val="24"/>
              </w:rPr>
              <w:t>2×</w:t>
            </w:r>
            <w:r>
              <w:rPr>
                <w:spacing w:val="-30"/>
                <w:sz w:val="24"/>
                <w:szCs w:val="24"/>
              </w:rPr>
              <w:t xml:space="preserve"> </w:t>
            </w:r>
            <w:r>
              <w:rPr>
                <w:spacing w:val="4"/>
                <w:sz w:val="24"/>
                <w:szCs w:val="24"/>
              </w:rPr>
              <w:t>1.5</w:t>
            </w:r>
            <w:r>
              <w:rPr>
                <w:sz w:val="24"/>
                <w:szCs w:val="24"/>
              </w:rPr>
              <w:t xml:space="preserve"> mm</w:t>
            </w:r>
            <w:r>
              <w:rPr>
                <w:spacing w:val="9"/>
                <w:sz w:val="24"/>
                <w:szCs w:val="24"/>
              </w:rPr>
              <w:t>²铜芯线，接头处用防</w:t>
            </w:r>
            <w:r>
              <w:rPr>
                <w:spacing w:val="-2"/>
                <w:sz w:val="24"/>
                <w:szCs w:val="24"/>
              </w:rPr>
              <w:t>水端子；</w:t>
            </w:r>
          </w:p>
          <w:p w14:paraId="3A50625E">
            <w:pPr>
              <w:pStyle w:val="133"/>
              <w:spacing w:before="1" w:line="195" w:lineRule="auto"/>
              <w:ind w:left="23" w:right="69" w:firstLine="5"/>
              <w:rPr>
                <w:sz w:val="24"/>
                <w:szCs w:val="24"/>
              </w:rPr>
            </w:pPr>
            <w:r>
              <w:rPr>
                <w:spacing w:val="4"/>
                <w:sz w:val="24"/>
                <w:szCs w:val="24"/>
              </w:rPr>
              <w:t>5.调试：调整照射角度，</w:t>
            </w:r>
            <w:r>
              <w:rPr>
                <w:spacing w:val="7"/>
                <w:sz w:val="24"/>
                <w:szCs w:val="24"/>
              </w:rPr>
              <w:t>确保路面平均照度符合《</w:t>
            </w:r>
            <w:r>
              <w:rPr>
                <w:spacing w:val="8"/>
                <w:sz w:val="24"/>
                <w:szCs w:val="24"/>
              </w:rPr>
              <w:t>城市道路照明设计标准》</w:t>
            </w:r>
            <w:r>
              <w:rPr>
                <w:sz w:val="24"/>
                <w:szCs w:val="24"/>
              </w:rPr>
              <w:t xml:space="preserve"> CJJ</w:t>
            </w:r>
            <w:r>
              <w:rPr>
                <w:spacing w:val="3"/>
                <w:sz w:val="24"/>
                <w:szCs w:val="24"/>
              </w:rPr>
              <w:t>45-2015要求；</w:t>
            </w:r>
          </w:p>
          <w:p w14:paraId="0E4D00ED">
            <w:pPr>
              <w:pStyle w:val="133"/>
              <w:spacing w:before="3" w:line="203" w:lineRule="auto"/>
              <w:ind w:left="25" w:leftChars="0" w:right="88" w:rightChars="0" w:firstLine="1" w:firstLineChars="0"/>
              <w:rPr>
                <w:rFonts w:ascii="宋体" w:hAnsi="宋体" w:eastAsia="宋体" w:cs="宋体"/>
                <w:snapToGrid w:val="0"/>
                <w:color w:val="000000"/>
                <w:kern w:val="0"/>
                <w:sz w:val="24"/>
                <w:szCs w:val="24"/>
                <w:lang w:val="en-US" w:eastAsia="en-US" w:bidi="ar-SA"/>
              </w:rPr>
            </w:pPr>
            <w:r>
              <w:rPr>
                <w:spacing w:val="7"/>
                <w:sz w:val="24"/>
                <w:szCs w:val="24"/>
              </w:rPr>
              <w:t>6.其他描述不详之处(包括措施费)，投标人结合</w:t>
            </w:r>
            <w:r>
              <w:rPr>
                <w:spacing w:val="4"/>
                <w:sz w:val="24"/>
                <w:szCs w:val="24"/>
              </w:rPr>
              <w:t>现场踏勘情况自行考虑，</w:t>
            </w:r>
            <w:r>
              <w:rPr>
                <w:spacing w:val="6"/>
                <w:sz w:val="24"/>
                <w:szCs w:val="24"/>
              </w:rPr>
              <w:t>费用包含在综合单价中。</w:t>
            </w:r>
          </w:p>
        </w:tc>
        <w:tc>
          <w:tcPr>
            <w:tcW w:w="610" w:type="pct"/>
            <w:shd w:val="clear" w:color="auto" w:fill="auto"/>
            <w:vAlign w:val="top"/>
          </w:tcPr>
          <w:p w14:paraId="2FDDF1F4">
            <w:pPr>
              <w:spacing w:line="261" w:lineRule="auto"/>
              <w:rPr>
                <w:rFonts w:ascii="Arial"/>
                <w:sz w:val="24"/>
                <w:szCs w:val="24"/>
              </w:rPr>
            </w:pPr>
          </w:p>
          <w:p w14:paraId="05CD19C1">
            <w:pPr>
              <w:spacing w:line="261" w:lineRule="auto"/>
              <w:rPr>
                <w:rFonts w:ascii="Arial"/>
                <w:sz w:val="24"/>
                <w:szCs w:val="24"/>
              </w:rPr>
            </w:pPr>
          </w:p>
          <w:p w14:paraId="26448F2D">
            <w:pPr>
              <w:spacing w:line="261" w:lineRule="auto"/>
              <w:rPr>
                <w:rFonts w:ascii="Arial"/>
                <w:sz w:val="24"/>
                <w:szCs w:val="24"/>
              </w:rPr>
            </w:pPr>
          </w:p>
          <w:p w14:paraId="40658D80">
            <w:pPr>
              <w:spacing w:line="261" w:lineRule="auto"/>
              <w:rPr>
                <w:rFonts w:ascii="Arial"/>
                <w:sz w:val="24"/>
                <w:szCs w:val="24"/>
              </w:rPr>
            </w:pPr>
          </w:p>
          <w:p w14:paraId="16B17B67">
            <w:pPr>
              <w:spacing w:line="261" w:lineRule="auto"/>
              <w:rPr>
                <w:rFonts w:ascii="Arial"/>
                <w:sz w:val="24"/>
                <w:szCs w:val="24"/>
              </w:rPr>
            </w:pPr>
          </w:p>
          <w:p w14:paraId="1A63AFCB">
            <w:pPr>
              <w:spacing w:line="261" w:lineRule="auto"/>
              <w:rPr>
                <w:rFonts w:ascii="Arial"/>
                <w:sz w:val="24"/>
                <w:szCs w:val="24"/>
              </w:rPr>
            </w:pPr>
          </w:p>
          <w:p w14:paraId="71549C2F">
            <w:pPr>
              <w:spacing w:line="261" w:lineRule="auto"/>
              <w:rPr>
                <w:rFonts w:ascii="Arial"/>
                <w:sz w:val="24"/>
                <w:szCs w:val="24"/>
              </w:rPr>
            </w:pPr>
          </w:p>
          <w:p w14:paraId="236FB381">
            <w:pPr>
              <w:spacing w:line="262" w:lineRule="auto"/>
              <w:rPr>
                <w:rFonts w:ascii="Arial"/>
                <w:sz w:val="24"/>
                <w:szCs w:val="24"/>
              </w:rPr>
            </w:pPr>
          </w:p>
          <w:p w14:paraId="53B80479">
            <w:pPr>
              <w:spacing w:line="262" w:lineRule="auto"/>
              <w:rPr>
                <w:rFonts w:ascii="Arial"/>
                <w:sz w:val="24"/>
                <w:szCs w:val="24"/>
              </w:rPr>
            </w:pPr>
          </w:p>
          <w:p w14:paraId="34EE93DB">
            <w:pPr>
              <w:pStyle w:val="133"/>
              <w:spacing w:before="55" w:line="236"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盏</w:t>
            </w:r>
          </w:p>
        </w:tc>
        <w:tc>
          <w:tcPr>
            <w:tcW w:w="681" w:type="pct"/>
            <w:shd w:val="clear" w:color="auto" w:fill="auto"/>
            <w:vAlign w:val="top"/>
          </w:tcPr>
          <w:p w14:paraId="0EFEB6D5">
            <w:pPr>
              <w:spacing w:line="261" w:lineRule="auto"/>
              <w:rPr>
                <w:rFonts w:ascii="Arial"/>
                <w:sz w:val="24"/>
                <w:szCs w:val="24"/>
              </w:rPr>
            </w:pPr>
          </w:p>
          <w:p w14:paraId="4AD973B8">
            <w:pPr>
              <w:spacing w:line="261" w:lineRule="auto"/>
              <w:rPr>
                <w:rFonts w:ascii="Arial"/>
                <w:sz w:val="24"/>
                <w:szCs w:val="24"/>
              </w:rPr>
            </w:pPr>
          </w:p>
          <w:p w14:paraId="6EBCE4FD">
            <w:pPr>
              <w:spacing w:line="261" w:lineRule="auto"/>
              <w:rPr>
                <w:rFonts w:ascii="Arial"/>
                <w:sz w:val="24"/>
                <w:szCs w:val="24"/>
              </w:rPr>
            </w:pPr>
          </w:p>
          <w:p w14:paraId="4399FD50">
            <w:pPr>
              <w:spacing w:line="261" w:lineRule="auto"/>
              <w:rPr>
                <w:rFonts w:ascii="Arial"/>
                <w:sz w:val="24"/>
                <w:szCs w:val="24"/>
              </w:rPr>
            </w:pPr>
          </w:p>
          <w:p w14:paraId="3F9E1525">
            <w:pPr>
              <w:spacing w:line="261" w:lineRule="auto"/>
              <w:rPr>
                <w:rFonts w:ascii="Arial"/>
                <w:sz w:val="24"/>
                <w:szCs w:val="24"/>
              </w:rPr>
            </w:pPr>
          </w:p>
          <w:p w14:paraId="4CEF0939">
            <w:pPr>
              <w:spacing w:line="261" w:lineRule="auto"/>
              <w:rPr>
                <w:rFonts w:ascii="Arial"/>
                <w:sz w:val="24"/>
                <w:szCs w:val="24"/>
              </w:rPr>
            </w:pPr>
          </w:p>
          <w:p w14:paraId="7025438D">
            <w:pPr>
              <w:spacing w:line="261" w:lineRule="auto"/>
              <w:rPr>
                <w:rFonts w:ascii="Arial"/>
                <w:sz w:val="24"/>
                <w:szCs w:val="24"/>
              </w:rPr>
            </w:pPr>
          </w:p>
          <w:p w14:paraId="00B75873">
            <w:pPr>
              <w:spacing w:line="261" w:lineRule="auto"/>
              <w:rPr>
                <w:rFonts w:ascii="Arial"/>
                <w:sz w:val="24"/>
                <w:szCs w:val="24"/>
              </w:rPr>
            </w:pPr>
          </w:p>
          <w:p w14:paraId="21860C38">
            <w:pPr>
              <w:spacing w:line="262" w:lineRule="auto"/>
              <w:rPr>
                <w:rFonts w:ascii="Arial"/>
                <w:sz w:val="24"/>
                <w:szCs w:val="24"/>
              </w:rPr>
            </w:pPr>
          </w:p>
          <w:p w14:paraId="0480C1A6">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50E41BC7">
            <w:pPr>
              <w:pStyle w:val="133"/>
              <w:spacing w:before="3" w:line="203" w:lineRule="auto"/>
              <w:ind w:left="25" w:right="88" w:firstLine="1"/>
              <w:jc w:val="center"/>
              <w:rPr>
                <w:spacing w:val="4"/>
                <w:sz w:val="24"/>
                <w:szCs w:val="24"/>
              </w:rPr>
            </w:pPr>
          </w:p>
          <w:p w14:paraId="4F3E4F4B">
            <w:pPr>
              <w:pStyle w:val="133"/>
              <w:spacing w:before="3" w:line="203" w:lineRule="auto"/>
              <w:ind w:left="25" w:right="88" w:firstLine="1"/>
              <w:jc w:val="center"/>
              <w:rPr>
                <w:spacing w:val="4"/>
                <w:sz w:val="24"/>
                <w:szCs w:val="24"/>
              </w:rPr>
            </w:pPr>
          </w:p>
          <w:p w14:paraId="7C5190EC">
            <w:pPr>
              <w:pStyle w:val="133"/>
              <w:spacing w:before="3" w:line="203" w:lineRule="auto"/>
              <w:ind w:left="25" w:right="88" w:firstLine="1"/>
              <w:jc w:val="center"/>
              <w:rPr>
                <w:spacing w:val="4"/>
                <w:sz w:val="24"/>
                <w:szCs w:val="24"/>
              </w:rPr>
            </w:pPr>
          </w:p>
          <w:p w14:paraId="2DF64F19">
            <w:pPr>
              <w:pStyle w:val="133"/>
              <w:spacing w:before="3" w:line="203" w:lineRule="auto"/>
              <w:ind w:left="25" w:right="88" w:firstLine="1"/>
              <w:jc w:val="center"/>
              <w:rPr>
                <w:spacing w:val="4"/>
                <w:sz w:val="24"/>
                <w:szCs w:val="24"/>
              </w:rPr>
            </w:pPr>
          </w:p>
          <w:p w14:paraId="7DEC8E43">
            <w:pPr>
              <w:pStyle w:val="133"/>
              <w:spacing w:before="3" w:line="203" w:lineRule="auto"/>
              <w:ind w:left="25" w:right="88" w:firstLine="1"/>
              <w:jc w:val="center"/>
              <w:rPr>
                <w:spacing w:val="4"/>
                <w:sz w:val="24"/>
                <w:szCs w:val="24"/>
              </w:rPr>
            </w:pPr>
          </w:p>
          <w:p w14:paraId="5B8DE3D1">
            <w:pPr>
              <w:pStyle w:val="133"/>
              <w:spacing w:before="3" w:line="203" w:lineRule="auto"/>
              <w:ind w:left="25" w:right="88" w:firstLine="1"/>
              <w:jc w:val="center"/>
              <w:rPr>
                <w:spacing w:val="4"/>
                <w:sz w:val="24"/>
                <w:szCs w:val="24"/>
              </w:rPr>
            </w:pPr>
          </w:p>
          <w:p w14:paraId="3900D12A">
            <w:pPr>
              <w:pStyle w:val="133"/>
              <w:spacing w:before="3" w:line="203" w:lineRule="auto"/>
              <w:ind w:left="25" w:right="88" w:firstLine="1"/>
              <w:jc w:val="center"/>
              <w:rPr>
                <w:spacing w:val="4"/>
                <w:sz w:val="24"/>
                <w:szCs w:val="24"/>
              </w:rPr>
            </w:pPr>
          </w:p>
          <w:p w14:paraId="007318C7">
            <w:pPr>
              <w:pStyle w:val="133"/>
              <w:spacing w:before="3" w:line="203" w:lineRule="auto"/>
              <w:ind w:left="25" w:right="88" w:firstLine="1"/>
              <w:jc w:val="center"/>
              <w:rPr>
                <w:spacing w:val="4"/>
                <w:sz w:val="24"/>
                <w:szCs w:val="24"/>
              </w:rPr>
            </w:pPr>
          </w:p>
          <w:p w14:paraId="66F48CB7">
            <w:pPr>
              <w:pStyle w:val="133"/>
              <w:spacing w:before="3" w:line="203" w:lineRule="auto"/>
              <w:ind w:left="25" w:right="88" w:firstLine="1"/>
              <w:jc w:val="center"/>
              <w:rPr>
                <w:spacing w:val="4"/>
                <w:sz w:val="24"/>
                <w:szCs w:val="24"/>
              </w:rPr>
            </w:pPr>
          </w:p>
          <w:p w14:paraId="5322FFE5">
            <w:pPr>
              <w:pStyle w:val="133"/>
              <w:spacing w:before="3" w:line="203" w:lineRule="auto"/>
              <w:ind w:left="25" w:right="88" w:firstLine="1"/>
              <w:jc w:val="center"/>
              <w:rPr>
                <w:spacing w:val="4"/>
                <w:sz w:val="24"/>
                <w:szCs w:val="24"/>
              </w:rPr>
            </w:pPr>
          </w:p>
          <w:p w14:paraId="4B0BC3D5">
            <w:pPr>
              <w:pStyle w:val="133"/>
              <w:spacing w:before="3" w:line="203" w:lineRule="auto"/>
              <w:ind w:left="25" w:leftChars="0" w:right="88" w:rightChars="0" w:firstLine="1" w:firstLineChars="0"/>
              <w:jc w:val="center"/>
              <w:rPr>
                <w:rFonts w:hint="eastAsia" w:ascii="宋体" w:hAnsi="宋体" w:eastAsia="宋体" w:cs="宋体"/>
                <w:snapToGrid w:val="0"/>
                <w:color w:val="000000"/>
                <w:spacing w:val="4"/>
                <w:kern w:val="0"/>
                <w:sz w:val="24"/>
                <w:szCs w:val="24"/>
                <w:lang w:val="en-US" w:eastAsia="zh-CN" w:bidi="ar-SA"/>
              </w:rPr>
            </w:pPr>
            <w:r>
              <w:rPr>
                <w:rFonts w:hint="eastAsia"/>
                <w:spacing w:val="4"/>
                <w:sz w:val="24"/>
                <w:szCs w:val="24"/>
                <w:lang w:val="en-US" w:eastAsia="zh-CN"/>
              </w:rPr>
              <w:t>450</w:t>
            </w:r>
          </w:p>
        </w:tc>
      </w:tr>
      <w:tr w14:paraId="04AB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01033C36">
            <w:pPr>
              <w:spacing w:line="446" w:lineRule="auto"/>
              <w:rPr>
                <w:rFonts w:ascii="Arial"/>
                <w:sz w:val="24"/>
                <w:szCs w:val="24"/>
              </w:rPr>
            </w:pPr>
          </w:p>
          <w:p w14:paraId="122C373F">
            <w:pPr>
              <w:pStyle w:val="133"/>
              <w:spacing w:before="55" w:line="231"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35</w:t>
            </w:r>
          </w:p>
        </w:tc>
        <w:tc>
          <w:tcPr>
            <w:tcW w:w="645" w:type="pct"/>
            <w:shd w:val="clear" w:color="auto" w:fill="auto"/>
            <w:vAlign w:val="top"/>
          </w:tcPr>
          <w:p w14:paraId="29BC0EBC">
            <w:pPr>
              <w:spacing w:line="446" w:lineRule="auto"/>
              <w:rPr>
                <w:rFonts w:ascii="Arial"/>
                <w:sz w:val="24"/>
                <w:szCs w:val="24"/>
              </w:rPr>
            </w:pPr>
          </w:p>
          <w:p w14:paraId="66284DF4">
            <w:pPr>
              <w:pStyle w:val="133"/>
              <w:spacing w:before="55" w:line="231"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030411004001</w:t>
            </w:r>
          </w:p>
        </w:tc>
        <w:tc>
          <w:tcPr>
            <w:tcW w:w="759" w:type="pct"/>
            <w:shd w:val="clear" w:color="auto" w:fill="auto"/>
            <w:vAlign w:val="top"/>
          </w:tcPr>
          <w:p w14:paraId="26FBB7D1">
            <w:pPr>
              <w:spacing w:line="446" w:lineRule="auto"/>
              <w:rPr>
                <w:rFonts w:ascii="Arial"/>
                <w:sz w:val="24"/>
                <w:szCs w:val="24"/>
              </w:rPr>
            </w:pPr>
          </w:p>
          <w:p w14:paraId="60308EE8">
            <w:pPr>
              <w:pStyle w:val="133"/>
              <w:spacing w:before="55" w:line="230" w:lineRule="auto"/>
              <w:ind w:left="24" w:leftChars="0"/>
              <w:rPr>
                <w:rFonts w:ascii="宋体" w:hAnsi="宋体" w:eastAsia="宋体" w:cs="宋体"/>
                <w:snapToGrid w:val="0"/>
                <w:color w:val="000000"/>
                <w:kern w:val="0"/>
                <w:sz w:val="24"/>
                <w:szCs w:val="24"/>
                <w:lang w:val="en-US" w:eastAsia="en-US" w:bidi="ar-SA"/>
              </w:rPr>
            </w:pPr>
            <w:r>
              <w:rPr>
                <w:spacing w:val="8"/>
                <w:sz w:val="24"/>
                <w:szCs w:val="24"/>
              </w:rPr>
              <w:t>路灯线路更换</w:t>
            </w:r>
          </w:p>
        </w:tc>
        <w:tc>
          <w:tcPr>
            <w:tcW w:w="1173" w:type="pct"/>
            <w:shd w:val="clear" w:color="auto" w:fill="auto"/>
            <w:vAlign w:val="top"/>
          </w:tcPr>
          <w:p w14:paraId="133C16D3">
            <w:pPr>
              <w:pStyle w:val="133"/>
              <w:numPr>
                <w:ilvl w:val="0"/>
                <w:numId w:val="13"/>
              </w:numPr>
              <w:spacing w:before="234" w:line="204" w:lineRule="auto"/>
              <w:ind w:left="23" w:leftChars="0" w:right="57" w:rightChars="0" w:firstLine="14" w:firstLineChars="0"/>
              <w:jc w:val="both"/>
              <w:rPr>
                <w:spacing w:val="-9"/>
                <w:sz w:val="24"/>
                <w:szCs w:val="24"/>
              </w:rPr>
            </w:pPr>
            <w:r>
              <w:rPr>
                <w:spacing w:val="2"/>
                <w:sz w:val="24"/>
                <w:szCs w:val="24"/>
              </w:rPr>
              <w:t>线缆类型：</w:t>
            </w:r>
            <w:r>
              <w:rPr>
                <w:spacing w:val="-28"/>
                <w:sz w:val="24"/>
                <w:szCs w:val="24"/>
              </w:rPr>
              <w:t xml:space="preserve"> </w:t>
            </w:r>
            <w:r>
              <w:rPr>
                <w:sz w:val="24"/>
                <w:szCs w:val="24"/>
              </w:rPr>
              <w:t>YJV</w:t>
            </w:r>
            <w:r>
              <w:rPr>
                <w:spacing w:val="2"/>
                <w:sz w:val="24"/>
                <w:szCs w:val="24"/>
              </w:rPr>
              <w:t>22-0.6/</w:t>
            </w:r>
            <w:r>
              <w:rPr>
                <w:sz w:val="24"/>
                <w:szCs w:val="24"/>
              </w:rPr>
              <w:t xml:space="preserve"> </w:t>
            </w:r>
            <w:r>
              <w:rPr>
                <w:spacing w:val="9"/>
                <w:sz w:val="24"/>
                <w:szCs w:val="24"/>
              </w:rPr>
              <w:t>1</w:t>
            </w:r>
            <w:r>
              <w:rPr>
                <w:sz w:val="24"/>
                <w:szCs w:val="24"/>
              </w:rPr>
              <w:t>kV</w:t>
            </w:r>
            <w:r>
              <w:rPr>
                <w:spacing w:val="9"/>
                <w:sz w:val="24"/>
                <w:szCs w:val="24"/>
              </w:rPr>
              <w:t>铜芯交联聚乙烯绝缘钢带铠装聚氯乙烯护套电</w:t>
            </w:r>
            <w:r>
              <w:rPr>
                <w:spacing w:val="-9"/>
                <w:sz w:val="24"/>
                <w:szCs w:val="24"/>
              </w:rPr>
              <w:t>缆；</w:t>
            </w:r>
          </w:p>
          <w:p w14:paraId="0B466B91">
            <w:pPr>
              <w:pStyle w:val="133"/>
              <w:spacing w:before="55" w:line="195" w:lineRule="auto"/>
              <w:ind w:left="27" w:right="158"/>
              <w:rPr>
                <w:sz w:val="24"/>
                <w:szCs w:val="24"/>
              </w:rPr>
            </w:pPr>
            <w:r>
              <w:rPr>
                <w:spacing w:val="-2"/>
                <w:sz w:val="24"/>
                <w:szCs w:val="24"/>
              </w:rPr>
              <w:t>2.规格：主线3×</w:t>
            </w:r>
            <w:r>
              <w:rPr>
                <w:spacing w:val="-26"/>
                <w:sz w:val="24"/>
                <w:szCs w:val="24"/>
              </w:rPr>
              <w:t xml:space="preserve"> </w:t>
            </w:r>
            <w:r>
              <w:rPr>
                <w:spacing w:val="-2"/>
                <w:sz w:val="24"/>
                <w:szCs w:val="24"/>
              </w:rPr>
              <w:t>16mm²</w:t>
            </w:r>
            <w:r>
              <w:rPr>
                <w:spacing w:val="-63"/>
                <w:sz w:val="24"/>
                <w:szCs w:val="24"/>
              </w:rPr>
              <w:t xml:space="preserve"> </w:t>
            </w:r>
            <w:r>
              <w:rPr>
                <w:spacing w:val="-2"/>
                <w:sz w:val="24"/>
                <w:szCs w:val="24"/>
              </w:rPr>
              <w:t>,</w:t>
            </w:r>
            <w:r>
              <w:rPr>
                <w:spacing w:val="11"/>
                <w:sz w:val="24"/>
                <w:szCs w:val="24"/>
              </w:rPr>
              <w:t>分支线2×</w:t>
            </w:r>
            <w:r>
              <w:rPr>
                <w:spacing w:val="-40"/>
                <w:sz w:val="24"/>
                <w:szCs w:val="24"/>
              </w:rPr>
              <w:t xml:space="preserve"> </w:t>
            </w:r>
            <w:r>
              <w:rPr>
                <w:spacing w:val="11"/>
                <w:sz w:val="24"/>
                <w:szCs w:val="24"/>
              </w:rPr>
              <w:t>6</w:t>
            </w:r>
            <w:r>
              <w:rPr>
                <w:sz w:val="24"/>
                <w:szCs w:val="24"/>
              </w:rPr>
              <w:t>mm</w:t>
            </w:r>
            <w:r>
              <w:rPr>
                <w:spacing w:val="11"/>
                <w:sz w:val="24"/>
                <w:szCs w:val="24"/>
              </w:rPr>
              <w:t>²,绝缘电</w:t>
            </w:r>
            <w:r>
              <w:rPr>
                <w:spacing w:val="1"/>
                <w:sz w:val="24"/>
                <w:szCs w:val="24"/>
              </w:rPr>
              <w:t>阻≥100MΩ;</w:t>
            </w:r>
          </w:p>
          <w:p w14:paraId="0A512730">
            <w:pPr>
              <w:pStyle w:val="133"/>
              <w:spacing w:line="195" w:lineRule="auto"/>
              <w:ind w:left="28" w:right="57"/>
              <w:rPr>
                <w:sz w:val="24"/>
                <w:szCs w:val="24"/>
              </w:rPr>
            </w:pPr>
            <w:r>
              <w:rPr>
                <w:spacing w:val="14"/>
                <w:sz w:val="24"/>
                <w:szCs w:val="24"/>
              </w:rPr>
              <w:t>3.敷设：采用</w:t>
            </w:r>
            <w:r>
              <w:rPr>
                <w:sz w:val="24"/>
                <w:szCs w:val="24"/>
              </w:rPr>
              <w:t>PE</w:t>
            </w:r>
            <w:r>
              <w:rPr>
                <w:spacing w:val="14"/>
                <w:sz w:val="24"/>
                <w:szCs w:val="24"/>
              </w:rPr>
              <w:t>管保护(</w:t>
            </w:r>
            <w:r>
              <w:rPr>
                <w:spacing w:val="7"/>
                <w:sz w:val="24"/>
                <w:szCs w:val="24"/>
              </w:rPr>
              <w:t>管径50</w:t>
            </w:r>
            <w:r>
              <w:rPr>
                <w:sz w:val="24"/>
                <w:szCs w:val="24"/>
              </w:rPr>
              <w:t>mm</w:t>
            </w:r>
            <w:r>
              <w:rPr>
                <w:spacing w:val="8"/>
                <w:sz w:val="24"/>
                <w:szCs w:val="24"/>
              </w:rPr>
              <w:t>），</w:t>
            </w:r>
            <w:r>
              <w:rPr>
                <w:spacing w:val="7"/>
                <w:sz w:val="24"/>
                <w:szCs w:val="24"/>
              </w:rPr>
              <w:t>埋深≥0.7m</w:t>
            </w:r>
            <w:r>
              <w:rPr>
                <w:spacing w:val="1"/>
                <w:sz w:val="24"/>
                <w:szCs w:val="24"/>
              </w:rPr>
              <w:t xml:space="preserve"> </w:t>
            </w:r>
            <w:r>
              <w:rPr>
                <w:spacing w:val="12"/>
                <w:sz w:val="24"/>
                <w:szCs w:val="24"/>
              </w:rPr>
              <w:t>,过路处穿钢管保护；</w:t>
            </w:r>
          </w:p>
          <w:p w14:paraId="432AB9AC">
            <w:pPr>
              <w:pStyle w:val="133"/>
              <w:spacing w:line="195" w:lineRule="auto"/>
              <w:ind w:left="25" w:right="57" w:hanging="1"/>
              <w:rPr>
                <w:sz w:val="24"/>
                <w:szCs w:val="24"/>
              </w:rPr>
            </w:pPr>
            <w:r>
              <w:rPr>
                <w:spacing w:val="8"/>
                <w:sz w:val="24"/>
                <w:szCs w:val="24"/>
              </w:rPr>
              <w:t>4.接头：采用防水接线盒</w:t>
            </w:r>
            <w:r>
              <w:rPr>
                <w:spacing w:val="3"/>
                <w:sz w:val="24"/>
                <w:szCs w:val="24"/>
              </w:rPr>
              <w:t xml:space="preserve"> </w:t>
            </w:r>
            <w:r>
              <w:rPr>
                <w:spacing w:val="15"/>
                <w:sz w:val="24"/>
                <w:szCs w:val="24"/>
              </w:rPr>
              <w:t>,接头处做绝缘处理，绝</w:t>
            </w:r>
            <w:r>
              <w:rPr>
                <w:spacing w:val="3"/>
                <w:sz w:val="24"/>
                <w:szCs w:val="24"/>
              </w:rPr>
              <w:t>缘电阻≥10MΩ;</w:t>
            </w:r>
          </w:p>
          <w:p w14:paraId="4C1A79B8">
            <w:pPr>
              <w:pStyle w:val="133"/>
              <w:spacing w:before="1" w:line="195" w:lineRule="auto"/>
              <w:ind w:left="25" w:right="57" w:firstLine="2"/>
              <w:rPr>
                <w:sz w:val="24"/>
                <w:szCs w:val="24"/>
              </w:rPr>
            </w:pPr>
            <w:r>
              <w:rPr>
                <w:spacing w:val="8"/>
                <w:sz w:val="24"/>
                <w:szCs w:val="24"/>
              </w:rPr>
              <w:t>5.测试：线路敷设后进行</w:t>
            </w:r>
            <w:r>
              <w:rPr>
                <w:spacing w:val="9"/>
                <w:sz w:val="24"/>
                <w:szCs w:val="24"/>
              </w:rPr>
              <w:t>绝缘测试和通断测试，确</w:t>
            </w:r>
            <w:r>
              <w:rPr>
                <w:spacing w:val="2"/>
                <w:sz w:val="24"/>
                <w:szCs w:val="24"/>
              </w:rPr>
              <w:t>保无短路、断路；</w:t>
            </w:r>
          </w:p>
          <w:p w14:paraId="740EF026">
            <w:pPr>
              <w:pStyle w:val="133"/>
              <w:numPr>
                <w:ilvl w:val="0"/>
                <w:numId w:val="0"/>
              </w:numPr>
              <w:spacing w:before="234" w:line="204" w:lineRule="auto"/>
              <w:ind w:left="37" w:leftChars="0" w:right="57" w:rightChars="0"/>
              <w:jc w:val="both"/>
              <w:rPr>
                <w:spacing w:val="-9"/>
                <w:sz w:val="24"/>
                <w:szCs w:val="24"/>
                <w:lang w:val="en-US" w:eastAsia="en-US"/>
              </w:rPr>
            </w:pPr>
            <w:r>
              <w:rPr>
                <w:spacing w:val="7"/>
                <w:sz w:val="24"/>
                <w:szCs w:val="24"/>
              </w:rPr>
              <w:t>6.其他描述不详之处(包括措施费)，投标人结合</w:t>
            </w:r>
            <w:r>
              <w:rPr>
                <w:spacing w:val="4"/>
                <w:sz w:val="24"/>
                <w:szCs w:val="24"/>
              </w:rPr>
              <w:t>现场踏勘情况自行考虑，</w:t>
            </w:r>
            <w:r>
              <w:rPr>
                <w:spacing w:val="6"/>
                <w:sz w:val="24"/>
                <w:szCs w:val="24"/>
              </w:rPr>
              <w:t>费用包含在综合单价中。</w:t>
            </w:r>
          </w:p>
        </w:tc>
        <w:tc>
          <w:tcPr>
            <w:tcW w:w="610" w:type="pct"/>
            <w:shd w:val="clear" w:color="auto" w:fill="auto"/>
            <w:vAlign w:val="top"/>
          </w:tcPr>
          <w:p w14:paraId="21659912">
            <w:pPr>
              <w:spacing w:line="446" w:lineRule="auto"/>
              <w:rPr>
                <w:rFonts w:ascii="Arial"/>
                <w:sz w:val="24"/>
                <w:szCs w:val="24"/>
              </w:rPr>
            </w:pPr>
          </w:p>
          <w:p w14:paraId="0FD5779A">
            <w:pPr>
              <w:pStyle w:val="133"/>
              <w:spacing w:before="55" w:line="232" w:lineRule="exact"/>
              <w:ind w:left="248"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070FE70D">
            <w:pPr>
              <w:spacing w:line="446" w:lineRule="auto"/>
              <w:rPr>
                <w:rFonts w:ascii="Arial"/>
                <w:sz w:val="24"/>
                <w:szCs w:val="24"/>
              </w:rPr>
            </w:pPr>
          </w:p>
          <w:p w14:paraId="38115AC8">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2441373">
            <w:pPr>
              <w:pStyle w:val="133"/>
              <w:spacing w:before="3" w:line="203" w:lineRule="auto"/>
              <w:ind w:left="25" w:right="88" w:firstLine="1"/>
              <w:jc w:val="center"/>
              <w:rPr>
                <w:spacing w:val="4"/>
                <w:sz w:val="24"/>
                <w:szCs w:val="24"/>
              </w:rPr>
            </w:pPr>
          </w:p>
          <w:p w14:paraId="7FFAE176">
            <w:pPr>
              <w:pStyle w:val="133"/>
              <w:spacing w:before="3" w:line="203" w:lineRule="auto"/>
              <w:ind w:left="25" w:right="88" w:firstLine="1"/>
              <w:jc w:val="center"/>
              <w:rPr>
                <w:spacing w:val="4"/>
                <w:sz w:val="24"/>
                <w:szCs w:val="24"/>
              </w:rPr>
            </w:pPr>
          </w:p>
          <w:p w14:paraId="68F46F03">
            <w:pPr>
              <w:pStyle w:val="133"/>
              <w:spacing w:before="3" w:line="203" w:lineRule="auto"/>
              <w:ind w:left="25" w:leftChars="0" w:right="88" w:rightChars="0" w:firstLine="1" w:firstLineChars="0"/>
              <w:jc w:val="center"/>
              <w:rPr>
                <w:rFonts w:hint="eastAsia" w:ascii="宋体" w:hAnsi="宋体" w:eastAsia="宋体" w:cs="宋体"/>
                <w:snapToGrid w:val="0"/>
                <w:color w:val="000000"/>
                <w:spacing w:val="4"/>
                <w:kern w:val="0"/>
                <w:sz w:val="24"/>
                <w:szCs w:val="24"/>
                <w:lang w:val="en-US" w:eastAsia="zh-CN" w:bidi="ar-SA"/>
              </w:rPr>
            </w:pPr>
            <w:r>
              <w:rPr>
                <w:rFonts w:hint="eastAsia"/>
                <w:spacing w:val="4"/>
                <w:sz w:val="24"/>
                <w:szCs w:val="24"/>
                <w:lang w:val="en-US" w:eastAsia="zh-CN"/>
              </w:rPr>
              <w:t>140</w:t>
            </w:r>
          </w:p>
        </w:tc>
      </w:tr>
      <w:tr w14:paraId="1A80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2E62CDCF">
            <w:pPr>
              <w:spacing w:line="265" w:lineRule="auto"/>
              <w:rPr>
                <w:rFonts w:ascii="Arial"/>
                <w:sz w:val="24"/>
                <w:szCs w:val="24"/>
              </w:rPr>
            </w:pPr>
          </w:p>
          <w:p w14:paraId="0F325239">
            <w:pPr>
              <w:spacing w:line="265" w:lineRule="auto"/>
              <w:rPr>
                <w:rFonts w:ascii="Arial"/>
                <w:sz w:val="24"/>
                <w:szCs w:val="24"/>
              </w:rPr>
            </w:pPr>
          </w:p>
          <w:p w14:paraId="2C8F2B0D">
            <w:pPr>
              <w:spacing w:line="266" w:lineRule="auto"/>
              <w:rPr>
                <w:rFonts w:ascii="Arial"/>
                <w:sz w:val="24"/>
                <w:szCs w:val="24"/>
              </w:rPr>
            </w:pPr>
          </w:p>
          <w:p w14:paraId="78168280">
            <w:pPr>
              <w:spacing w:line="266" w:lineRule="auto"/>
              <w:rPr>
                <w:rFonts w:ascii="Arial"/>
                <w:sz w:val="24"/>
                <w:szCs w:val="24"/>
              </w:rPr>
            </w:pPr>
          </w:p>
          <w:p w14:paraId="6B816F91">
            <w:pPr>
              <w:spacing w:line="266" w:lineRule="auto"/>
              <w:rPr>
                <w:rFonts w:ascii="Arial"/>
                <w:sz w:val="24"/>
                <w:szCs w:val="24"/>
              </w:rPr>
            </w:pPr>
          </w:p>
          <w:p w14:paraId="30F5297D">
            <w:pPr>
              <w:spacing w:line="266" w:lineRule="auto"/>
              <w:rPr>
                <w:rFonts w:ascii="Arial"/>
                <w:sz w:val="24"/>
                <w:szCs w:val="24"/>
              </w:rPr>
            </w:pPr>
          </w:p>
          <w:p w14:paraId="1E447EC1">
            <w:pPr>
              <w:spacing w:line="266" w:lineRule="auto"/>
              <w:rPr>
                <w:rFonts w:ascii="Arial"/>
                <w:sz w:val="24"/>
                <w:szCs w:val="24"/>
              </w:rPr>
            </w:pPr>
          </w:p>
          <w:p w14:paraId="5B700810">
            <w:pPr>
              <w:spacing w:line="266" w:lineRule="auto"/>
              <w:rPr>
                <w:rFonts w:ascii="Arial"/>
                <w:sz w:val="24"/>
                <w:szCs w:val="24"/>
              </w:rPr>
            </w:pPr>
          </w:p>
          <w:p w14:paraId="585185F5">
            <w:pPr>
              <w:pStyle w:val="133"/>
              <w:spacing w:before="56" w:line="230"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36</w:t>
            </w:r>
          </w:p>
        </w:tc>
        <w:tc>
          <w:tcPr>
            <w:tcW w:w="645" w:type="pct"/>
            <w:shd w:val="clear" w:color="auto" w:fill="auto"/>
            <w:vAlign w:val="top"/>
          </w:tcPr>
          <w:p w14:paraId="608B7CD1">
            <w:pPr>
              <w:spacing w:line="265" w:lineRule="auto"/>
              <w:rPr>
                <w:rFonts w:ascii="Arial"/>
                <w:sz w:val="24"/>
                <w:szCs w:val="24"/>
              </w:rPr>
            </w:pPr>
          </w:p>
          <w:p w14:paraId="6958CB57">
            <w:pPr>
              <w:spacing w:line="265" w:lineRule="auto"/>
              <w:rPr>
                <w:rFonts w:ascii="Arial"/>
                <w:sz w:val="24"/>
                <w:szCs w:val="24"/>
              </w:rPr>
            </w:pPr>
          </w:p>
          <w:p w14:paraId="22A6764C">
            <w:pPr>
              <w:spacing w:line="266" w:lineRule="auto"/>
              <w:rPr>
                <w:rFonts w:ascii="Arial"/>
                <w:sz w:val="24"/>
                <w:szCs w:val="24"/>
              </w:rPr>
            </w:pPr>
          </w:p>
          <w:p w14:paraId="5C795CE6">
            <w:pPr>
              <w:spacing w:line="266" w:lineRule="auto"/>
              <w:rPr>
                <w:rFonts w:ascii="Arial"/>
                <w:sz w:val="24"/>
                <w:szCs w:val="24"/>
              </w:rPr>
            </w:pPr>
          </w:p>
          <w:p w14:paraId="4B4EA303">
            <w:pPr>
              <w:spacing w:line="266" w:lineRule="auto"/>
              <w:rPr>
                <w:rFonts w:ascii="Arial"/>
                <w:sz w:val="24"/>
                <w:szCs w:val="24"/>
              </w:rPr>
            </w:pPr>
          </w:p>
          <w:p w14:paraId="676E6F82">
            <w:pPr>
              <w:spacing w:line="266" w:lineRule="auto"/>
              <w:rPr>
                <w:rFonts w:ascii="Arial"/>
                <w:sz w:val="24"/>
                <w:szCs w:val="24"/>
              </w:rPr>
            </w:pPr>
          </w:p>
          <w:p w14:paraId="572FBAF0">
            <w:pPr>
              <w:spacing w:line="266" w:lineRule="auto"/>
              <w:rPr>
                <w:rFonts w:ascii="Arial"/>
                <w:sz w:val="24"/>
                <w:szCs w:val="24"/>
              </w:rPr>
            </w:pPr>
          </w:p>
          <w:p w14:paraId="1D528D8E">
            <w:pPr>
              <w:spacing w:line="266" w:lineRule="auto"/>
              <w:rPr>
                <w:rFonts w:ascii="Arial"/>
                <w:sz w:val="24"/>
                <w:szCs w:val="24"/>
              </w:rPr>
            </w:pPr>
          </w:p>
          <w:p w14:paraId="0FA0FACA">
            <w:pPr>
              <w:pStyle w:val="133"/>
              <w:spacing w:before="56" w:line="230"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030412009001</w:t>
            </w:r>
          </w:p>
        </w:tc>
        <w:tc>
          <w:tcPr>
            <w:tcW w:w="759" w:type="pct"/>
            <w:shd w:val="clear" w:color="auto" w:fill="auto"/>
            <w:vAlign w:val="top"/>
          </w:tcPr>
          <w:p w14:paraId="32F1425B">
            <w:pPr>
              <w:spacing w:line="254" w:lineRule="auto"/>
              <w:rPr>
                <w:rFonts w:ascii="Arial"/>
                <w:sz w:val="24"/>
                <w:szCs w:val="24"/>
              </w:rPr>
            </w:pPr>
          </w:p>
          <w:p w14:paraId="3AA1B770">
            <w:pPr>
              <w:spacing w:line="254" w:lineRule="auto"/>
              <w:rPr>
                <w:rFonts w:ascii="Arial"/>
                <w:sz w:val="24"/>
                <w:szCs w:val="24"/>
              </w:rPr>
            </w:pPr>
          </w:p>
          <w:p w14:paraId="45195441">
            <w:pPr>
              <w:spacing w:line="255" w:lineRule="auto"/>
              <w:rPr>
                <w:rFonts w:ascii="Arial"/>
                <w:sz w:val="24"/>
                <w:szCs w:val="24"/>
              </w:rPr>
            </w:pPr>
          </w:p>
          <w:p w14:paraId="4A03C2C7">
            <w:pPr>
              <w:spacing w:line="255" w:lineRule="auto"/>
              <w:rPr>
                <w:rFonts w:ascii="Arial"/>
                <w:sz w:val="24"/>
                <w:szCs w:val="24"/>
              </w:rPr>
            </w:pPr>
          </w:p>
          <w:p w14:paraId="7F37CC61">
            <w:pPr>
              <w:spacing w:line="255" w:lineRule="auto"/>
              <w:rPr>
                <w:rFonts w:ascii="Arial"/>
                <w:sz w:val="24"/>
                <w:szCs w:val="24"/>
              </w:rPr>
            </w:pPr>
          </w:p>
          <w:p w14:paraId="5D5E6882">
            <w:pPr>
              <w:spacing w:line="255" w:lineRule="auto"/>
              <w:rPr>
                <w:rFonts w:ascii="Arial"/>
                <w:sz w:val="24"/>
                <w:szCs w:val="24"/>
              </w:rPr>
            </w:pPr>
          </w:p>
          <w:p w14:paraId="2B9C49B5">
            <w:pPr>
              <w:spacing w:line="255" w:lineRule="auto"/>
              <w:rPr>
                <w:rFonts w:ascii="Arial"/>
                <w:sz w:val="24"/>
                <w:szCs w:val="24"/>
              </w:rPr>
            </w:pPr>
          </w:p>
          <w:p w14:paraId="7B68490F">
            <w:pPr>
              <w:spacing w:line="255" w:lineRule="auto"/>
              <w:rPr>
                <w:rFonts w:ascii="Arial"/>
                <w:sz w:val="24"/>
                <w:szCs w:val="24"/>
              </w:rPr>
            </w:pPr>
          </w:p>
          <w:p w14:paraId="362476DC">
            <w:pPr>
              <w:pStyle w:val="133"/>
              <w:spacing w:before="55" w:line="213" w:lineRule="auto"/>
              <w:ind w:left="22" w:leftChars="0" w:right="61" w:rightChars="0" w:firstLine="1" w:firstLineChars="0"/>
              <w:rPr>
                <w:rFonts w:ascii="宋体" w:hAnsi="宋体" w:eastAsia="宋体" w:cs="宋体"/>
                <w:snapToGrid w:val="0"/>
                <w:color w:val="000000"/>
                <w:kern w:val="0"/>
                <w:sz w:val="24"/>
                <w:szCs w:val="24"/>
                <w:lang w:val="en-US" w:eastAsia="en-US" w:bidi="ar-SA"/>
              </w:rPr>
            </w:pPr>
            <w:r>
              <w:rPr>
                <w:spacing w:val="8"/>
                <w:sz w:val="24"/>
                <w:szCs w:val="24"/>
              </w:rPr>
              <w:t>车行道信号灯损</w:t>
            </w:r>
            <w:r>
              <w:rPr>
                <w:spacing w:val="2"/>
                <w:sz w:val="24"/>
                <w:szCs w:val="24"/>
              </w:rPr>
              <w:t>坏</w:t>
            </w:r>
          </w:p>
        </w:tc>
        <w:tc>
          <w:tcPr>
            <w:tcW w:w="1173" w:type="pct"/>
            <w:shd w:val="clear" w:color="auto" w:fill="auto"/>
            <w:vAlign w:val="top"/>
          </w:tcPr>
          <w:p w14:paraId="78837CA8">
            <w:pPr>
              <w:spacing w:line="429" w:lineRule="auto"/>
              <w:rPr>
                <w:rFonts w:ascii="Arial"/>
                <w:sz w:val="24"/>
                <w:szCs w:val="24"/>
              </w:rPr>
            </w:pPr>
          </w:p>
          <w:p w14:paraId="5FFD4769">
            <w:pPr>
              <w:pStyle w:val="133"/>
              <w:spacing w:before="55" w:line="195" w:lineRule="auto"/>
              <w:ind w:left="28" w:right="57" w:firstLine="10"/>
              <w:rPr>
                <w:sz w:val="24"/>
                <w:szCs w:val="24"/>
              </w:rPr>
            </w:pPr>
            <w:r>
              <w:rPr>
                <w:spacing w:val="2"/>
                <w:sz w:val="24"/>
                <w:szCs w:val="24"/>
              </w:rPr>
              <w:t>1.灯具类型：</w:t>
            </w:r>
            <w:r>
              <w:rPr>
                <w:spacing w:val="-25"/>
                <w:sz w:val="24"/>
                <w:szCs w:val="24"/>
              </w:rPr>
              <w:t xml:space="preserve"> </w:t>
            </w:r>
            <w:r>
              <w:rPr>
                <w:sz w:val="24"/>
                <w:szCs w:val="24"/>
              </w:rPr>
              <w:t>LED</w:t>
            </w:r>
            <w:r>
              <w:rPr>
                <w:spacing w:val="2"/>
                <w:sz w:val="24"/>
                <w:szCs w:val="24"/>
              </w:rPr>
              <w:t>交通信</w:t>
            </w:r>
            <w:r>
              <w:rPr>
                <w:spacing w:val="8"/>
                <w:sz w:val="24"/>
                <w:szCs w:val="24"/>
              </w:rPr>
              <w:t>号灯，红黄绿三色，单灯</w:t>
            </w:r>
            <w:r>
              <w:rPr>
                <w:spacing w:val="4"/>
                <w:sz w:val="24"/>
                <w:szCs w:val="24"/>
              </w:rPr>
              <w:t>功率≤15W；</w:t>
            </w:r>
          </w:p>
          <w:p w14:paraId="1E1FFA07">
            <w:pPr>
              <w:pStyle w:val="133"/>
              <w:spacing w:line="195" w:lineRule="auto"/>
              <w:ind w:left="27"/>
              <w:rPr>
                <w:sz w:val="24"/>
                <w:szCs w:val="24"/>
              </w:rPr>
            </w:pPr>
            <w:r>
              <w:rPr>
                <w:spacing w:val="8"/>
                <w:sz w:val="24"/>
                <w:szCs w:val="24"/>
              </w:rPr>
              <w:t>2.技术参数：防护等级</w:t>
            </w:r>
            <w:r>
              <w:rPr>
                <w:sz w:val="24"/>
                <w:szCs w:val="24"/>
              </w:rPr>
              <w:t>IP</w:t>
            </w:r>
          </w:p>
          <w:p w14:paraId="4D8CDB7D">
            <w:pPr>
              <w:pStyle w:val="133"/>
              <w:spacing w:line="195" w:lineRule="auto"/>
              <w:ind w:left="24" w:right="76" w:firstLine="2"/>
              <w:rPr>
                <w:sz w:val="24"/>
                <w:szCs w:val="24"/>
              </w:rPr>
            </w:pPr>
            <w:r>
              <w:rPr>
                <w:spacing w:val="5"/>
                <w:sz w:val="24"/>
                <w:szCs w:val="24"/>
              </w:rPr>
              <w:t>65，视认距离≥300m，闪</w:t>
            </w:r>
            <w:r>
              <w:rPr>
                <w:sz w:val="24"/>
                <w:szCs w:val="24"/>
              </w:rPr>
              <w:t>烁频率50±</w:t>
            </w:r>
            <w:r>
              <w:rPr>
                <w:spacing w:val="-37"/>
                <w:sz w:val="24"/>
                <w:szCs w:val="24"/>
              </w:rPr>
              <w:t xml:space="preserve"> </w:t>
            </w:r>
            <w:r>
              <w:rPr>
                <w:sz w:val="24"/>
                <w:szCs w:val="24"/>
              </w:rPr>
              <w:t>2次/分钟；</w:t>
            </w:r>
          </w:p>
          <w:p w14:paraId="4546A53D">
            <w:pPr>
              <w:pStyle w:val="133"/>
              <w:spacing w:before="1" w:line="195" w:lineRule="auto"/>
              <w:ind w:left="27" w:right="57" w:firstLine="1"/>
              <w:rPr>
                <w:sz w:val="24"/>
                <w:szCs w:val="24"/>
              </w:rPr>
            </w:pPr>
            <w:r>
              <w:rPr>
                <w:spacing w:val="8"/>
                <w:sz w:val="24"/>
                <w:szCs w:val="24"/>
              </w:rPr>
              <w:t>3.灯壳材质：铝合金压铸</w:t>
            </w:r>
            <w:r>
              <w:rPr>
                <w:sz w:val="24"/>
                <w:szCs w:val="24"/>
              </w:rPr>
              <w:t xml:space="preserve"> </w:t>
            </w:r>
            <w:r>
              <w:rPr>
                <w:spacing w:val="15"/>
                <w:sz w:val="24"/>
                <w:szCs w:val="24"/>
              </w:rPr>
              <w:t>,表面喷塑处理，抗腐蚀</w:t>
            </w:r>
            <w:r>
              <w:rPr>
                <w:spacing w:val="7"/>
                <w:sz w:val="24"/>
                <w:szCs w:val="24"/>
              </w:rPr>
              <w:t>性能≥1000小时盐雾试验</w:t>
            </w:r>
            <w:r>
              <w:rPr>
                <w:spacing w:val="5"/>
                <w:sz w:val="24"/>
                <w:szCs w:val="24"/>
              </w:rPr>
              <w:t xml:space="preserve"> </w:t>
            </w:r>
            <w:r>
              <w:rPr>
                <w:sz w:val="24"/>
                <w:szCs w:val="24"/>
              </w:rPr>
              <w:t>;</w:t>
            </w:r>
          </w:p>
          <w:p w14:paraId="4AFF33AC">
            <w:pPr>
              <w:pStyle w:val="133"/>
              <w:spacing w:before="1" w:line="195" w:lineRule="auto"/>
              <w:ind w:left="26" w:right="57" w:hanging="2"/>
              <w:rPr>
                <w:sz w:val="24"/>
                <w:szCs w:val="24"/>
              </w:rPr>
            </w:pPr>
            <w:r>
              <w:rPr>
                <w:spacing w:val="8"/>
                <w:sz w:val="24"/>
                <w:szCs w:val="24"/>
              </w:rPr>
              <w:t>4.修复内容：更换损坏灯</w:t>
            </w:r>
            <w:r>
              <w:rPr>
                <w:spacing w:val="4"/>
                <w:sz w:val="24"/>
                <w:szCs w:val="24"/>
              </w:rPr>
              <w:t>具、线路，检查控制箱，</w:t>
            </w:r>
            <w:r>
              <w:rPr>
                <w:spacing w:val="1"/>
                <w:sz w:val="24"/>
                <w:szCs w:val="24"/>
              </w:rPr>
              <w:t>调试信号时序；</w:t>
            </w:r>
          </w:p>
          <w:p w14:paraId="3CBC9BFC">
            <w:pPr>
              <w:pStyle w:val="133"/>
              <w:spacing w:line="195" w:lineRule="auto"/>
              <w:ind w:left="25" w:right="102" w:firstLine="3"/>
              <w:rPr>
                <w:sz w:val="24"/>
                <w:szCs w:val="24"/>
              </w:rPr>
            </w:pPr>
            <w:r>
              <w:rPr>
                <w:spacing w:val="7"/>
                <w:sz w:val="24"/>
                <w:szCs w:val="24"/>
              </w:rPr>
              <w:t>5.安装：垂直度误差≤1</w:t>
            </w:r>
            <w:r>
              <w:rPr>
                <w:spacing w:val="6"/>
                <w:sz w:val="24"/>
                <w:szCs w:val="24"/>
              </w:rPr>
              <w:t xml:space="preserve"> </w:t>
            </w:r>
            <w:r>
              <w:rPr>
                <w:spacing w:val="2"/>
                <w:sz w:val="24"/>
                <w:szCs w:val="24"/>
              </w:rPr>
              <w:t>°</w:t>
            </w:r>
            <w:r>
              <w:rPr>
                <w:spacing w:val="31"/>
                <w:w w:val="101"/>
                <w:sz w:val="24"/>
                <w:szCs w:val="24"/>
              </w:rPr>
              <w:t xml:space="preserve"> </w:t>
            </w:r>
            <w:r>
              <w:rPr>
                <w:spacing w:val="2"/>
                <w:sz w:val="24"/>
                <w:szCs w:val="24"/>
              </w:rPr>
              <w:t>,与道路中心线垂直，</w:t>
            </w:r>
            <w:r>
              <w:rPr>
                <w:spacing w:val="4"/>
                <w:sz w:val="24"/>
                <w:szCs w:val="24"/>
              </w:rPr>
              <w:t>确保各个方向视认良好；</w:t>
            </w:r>
          </w:p>
          <w:p w14:paraId="3543B7CF">
            <w:pPr>
              <w:pStyle w:val="133"/>
              <w:spacing w:before="3" w:line="203" w:lineRule="auto"/>
              <w:ind w:left="25" w:leftChars="0" w:right="88" w:rightChars="0" w:firstLine="1" w:firstLineChars="0"/>
              <w:rPr>
                <w:rFonts w:ascii="宋体" w:hAnsi="宋体" w:eastAsia="宋体" w:cs="宋体"/>
                <w:snapToGrid w:val="0"/>
                <w:color w:val="000000"/>
                <w:kern w:val="0"/>
                <w:sz w:val="24"/>
                <w:szCs w:val="24"/>
                <w:lang w:val="en-US" w:eastAsia="en-US" w:bidi="ar-SA"/>
              </w:rPr>
            </w:pPr>
            <w:r>
              <w:rPr>
                <w:spacing w:val="7"/>
                <w:sz w:val="24"/>
                <w:szCs w:val="24"/>
              </w:rPr>
              <w:t>6.其他描述不详之处(包括措施费)，投标人结合</w:t>
            </w:r>
            <w:r>
              <w:rPr>
                <w:spacing w:val="4"/>
                <w:sz w:val="24"/>
                <w:szCs w:val="24"/>
              </w:rPr>
              <w:t>现场踏勘情况自行考虑，</w:t>
            </w:r>
            <w:r>
              <w:rPr>
                <w:spacing w:val="6"/>
                <w:sz w:val="24"/>
                <w:szCs w:val="24"/>
              </w:rPr>
              <w:t>费用包含在综合单价中。</w:t>
            </w:r>
          </w:p>
        </w:tc>
        <w:tc>
          <w:tcPr>
            <w:tcW w:w="610" w:type="pct"/>
            <w:shd w:val="clear" w:color="auto" w:fill="auto"/>
            <w:vAlign w:val="top"/>
          </w:tcPr>
          <w:p w14:paraId="7F78E52E">
            <w:pPr>
              <w:spacing w:line="265" w:lineRule="auto"/>
              <w:rPr>
                <w:rFonts w:ascii="Arial"/>
                <w:sz w:val="24"/>
                <w:szCs w:val="24"/>
              </w:rPr>
            </w:pPr>
          </w:p>
          <w:p w14:paraId="386A8644">
            <w:pPr>
              <w:spacing w:line="265" w:lineRule="auto"/>
              <w:rPr>
                <w:rFonts w:ascii="Arial"/>
                <w:sz w:val="24"/>
                <w:szCs w:val="24"/>
              </w:rPr>
            </w:pPr>
          </w:p>
          <w:p w14:paraId="434C3155">
            <w:pPr>
              <w:spacing w:line="266" w:lineRule="auto"/>
              <w:rPr>
                <w:rFonts w:ascii="Arial"/>
                <w:sz w:val="24"/>
                <w:szCs w:val="24"/>
              </w:rPr>
            </w:pPr>
          </w:p>
          <w:p w14:paraId="55581B0A">
            <w:pPr>
              <w:spacing w:line="266" w:lineRule="auto"/>
              <w:rPr>
                <w:rFonts w:ascii="Arial"/>
                <w:sz w:val="24"/>
                <w:szCs w:val="24"/>
              </w:rPr>
            </w:pPr>
          </w:p>
          <w:p w14:paraId="08D82E98">
            <w:pPr>
              <w:spacing w:line="266" w:lineRule="auto"/>
              <w:rPr>
                <w:rFonts w:ascii="Arial"/>
                <w:sz w:val="24"/>
                <w:szCs w:val="24"/>
              </w:rPr>
            </w:pPr>
          </w:p>
          <w:p w14:paraId="32F68A45">
            <w:pPr>
              <w:spacing w:line="266" w:lineRule="auto"/>
              <w:rPr>
                <w:rFonts w:ascii="Arial"/>
                <w:sz w:val="24"/>
                <w:szCs w:val="24"/>
              </w:rPr>
            </w:pPr>
          </w:p>
          <w:p w14:paraId="30C0B803">
            <w:pPr>
              <w:spacing w:line="266" w:lineRule="auto"/>
              <w:rPr>
                <w:rFonts w:ascii="Arial"/>
                <w:sz w:val="24"/>
                <w:szCs w:val="24"/>
              </w:rPr>
            </w:pPr>
          </w:p>
          <w:p w14:paraId="4CFB6121">
            <w:pPr>
              <w:spacing w:line="266" w:lineRule="auto"/>
              <w:rPr>
                <w:rFonts w:ascii="Arial"/>
                <w:sz w:val="24"/>
                <w:szCs w:val="24"/>
              </w:rPr>
            </w:pPr>
          </w:p>
          <w:p w14:paraId="76E0213C">
            <w:pPr>
              <w:pStyle w:val="133"/>
              <w:spacing w:before="56" w:line="231"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套</w:t>
            </w:r>
          </w:p>
        </w:tc>
        <w:tc>
          <w:tcPr>
            <w:tcW w:w="681" w:type="pct"/>
            <w:shd w:val="clear" w:color="auto" w:fill="auto"/>
            <w:vAlign w:val="top"/>
          </w:tcPr>
          <w:p w14:paraId="13F4CE6C">
            <w:pPr>
              <w:spacing w:line="265" w:lineRule="auto"/>
              <w:rPr>
                <w:rFonts w:ascii="Arial"/>
                <w:sz w:val="24"/>
                <w:szCs w:val="24"/>
              </w:rPr>
            </w:pPr>
          </w:p>
          <w:p w14:paraId="12E595A1">
            <w:pPr>
              <w:spacing w:line="265" w:lineRule="auto"/>
              <w:rPr>
                <w:rFonts w:ascii="Arial"/>
                <w:sz w:val="24"/>
                <w:szCs w:val="24"/>
              </w:rPr>
            </w:pPr>
          </w:p>
          <w:p w14:paraId="6E26B8CA">
            <w:pPr>
              <w:spacing w:line="266" w:lineRule="auto"/>
              <w:rPr>
                <w:rFonts w:ascii="Arial"/>
                <w:sz w:val="24"/>
                <w:szCs w:val="24"/>
              </w:rPr>
            </w:pPr>
          </w:p>
          <w:p w14:paraId="06EB87B8">
            <w:pPr>
              <w:spacing w:line="266" w:lineRule="auto"/>
              <w:rPr>
                <w:rFonts w:ascii="Arial"/>
                <w:sz w:val="24"/>
                <w:szCs w:val="24"/>
              </w:rPr>
            </w:pPr>
          </w:p>
          <w:p w14:paraId="1AE1ECCA">
            <w:pPr>
              <w:spacing w:line="266" w:lineRule="auto"/>
              <w:rPr>
                <w:rFonts w:ascii="Arial"/>
                <w:sz w:val="24"/>
                <w:szCs w:val="24"/>
              </w:rPr>
            </w:pPr>
          </w:p>
          <w:p w14:paraId="0F65C293">
            <w:pPr>
              <w:spacing w:line="266" w:lineRule="auto"/>
              <w:rPr>
                <w:rFonts w:ascii="Arial"/>
                <w:sz w:val="24"/>
                <w:szCs w:val="24"/>
              </w:rPr>
            </w:pPr>
          </w:p>
          <w:p w14:paraId="43DD47C3">
            <w:pPr>
              <w:spacing w:line="266" w:lineRule="auto"/>
              <w:rPr>
                <w:rFonts w:ascii="Arial"/>
                <w:sz w:val="24"/>
                <w:szCs w:val="24"/>
              </w:rPr>
            </w:pPr>
          </w:p>
          <w:p w14:paraId="3892CAE8">
            <w:pPr>
              <w:spacing w:line="266" w:lineRule="auto"/>
              <w:rPr>
                <w:rFonts w:ascii="Arial"/>
                <w:sz w:val="24"/>
                <w:szCs w:val="24"/>
              </w:rPr>
            </w:pPr>
          </w:p>
          <w:p w14:paraId="5536BE1B">
            <w:pPr>
              <w:pStyle w:val="133"/>
              <w:spacing w:before="56"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0B110D26">
            <w:pPr>
              <w:pStyle w:val="133"/>
              <w:spacing w:before="56" w:line="231" w:lineRule="auto"/>
              <w:ind w:left="209"/>
              <w:rPr>
                <w:sz w:val="24"/>
                <w:szCs w:val="24"/>
              </w:rPr>
            </w:pPr>
          </w:p>
          <w:p w14:paraId="55E1D8D1">
            <w:pPr>
              <w:pStyle w:val="133"/>
              <w:spacing w:before="56" w:line="231" w:lineRule="auto"/>
              <w:ind w:left="209"/>
              <w:rPr>
                <w:sz w:val="24"/>
                <w:szCs w:val="24"/>
              </w:rPr>
            </w:pPr>
          </w:p>
          <w:p w14:paraId="3C850595">
            <w:pPr>
              <w:pStyle w:val="133"/>
              <w:spacing w:before="56" w:line="231" w:lineRule="auto"/>
              <w:ind w:left="209"/>
              <w:rPr>
                <w:sz w:val="24"/>
                <w:szCs w:val="24"/>
              </w:rPr>
            </w:pPr>
          </w:p>
          <w:p w14:paraId="09E97E81">
            <w:pPr>
              <w:pStyle w:val="133"/>
              <w:spacing w:before="56" w:line="231" w:lineRule="auto"/>
              <w:ind w:left="209"/>
              <w:rPr>
                <w:sz w:val="24"/>
                <w:szCs w:val="24"/>
              </w:rPr>
            </w:pPr>
          </w:p>
          <w:p w14:paraId="39744512">
            <w:pPr>
              <w:pStyle w:val="133"/>
              <w:spacing w:before="56" w:line="231" w:lineRule="auto"/>
              <w:ind w:left="209"/>
              <w:rPr>
                <w:sz w:val="24"/>
                <w:szCs w:val="24"/>
              </w:rPr>
            </w:pPr>
          </w:p>
          <w:p w14:paraId="6DC6B691">
            <w:pPr>
              <w:pStyle w:val="133"/>
              <w:spacing w:before="56" w:line="231" w:lineRule="auto"/>
              <w:ind w:left="209"/>
              <w:rPr>
                <w:sz w:val="24"/>
                <w:szCs w:val="24"/>
              </w:rPr>
            </w:pPr>
          </w:p>
          <w:p w14:paraId="52DF6477">
            <w:pPr>
              <w:pStyle w:val="133"/>
              <w:spacing w:before="56" w:line="231" w:lineRule="auto"/>
              <w:ind w:left="209"/>
              <w:rPr>
                <w:sz w:val="24"/>
                <w:szCs w:val="24"/>
              </w:rPr>
            </w:pPr>
          </w:p>
          <w:p w14:paraId="334D2B38">
            <w:pPr>
              <w:pStyle w:val="133"/>
              <w:spacing w:before="56" w:line="231" w:lineRule="auto"/>
              <w:ind w:left="209"/>
              <w:rPr>
                <w:sz w:val="24"/>
                <w:szCs w:val="24"/>
              </w:rPr>
            </w:pPr>
          </w:p>
          <w:p w14:paraId="388EE2F8">
            <w:pPr>
              <w:pStyle w:val="133"/>
              <w:spacing w:before="56" w:line="231" w:lineRule="auto"/>
              <w:ind w:left="209"/>
              <w:rPr>
                <w:sz w:val="24"/>
                <w:szCs w:val="24"/>
              </w:rPr>
            </w:pPr>
          </w:p>
          <w:p w14:paraId="6F89B2A1">
            <w:pPr>
              <w:pStyle w:val="133"/>
              <w:spacing w:before="56" w:line="231" w:lineRule="auto"/>
              <w:ind w:left="209"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1750</w:t>
            </w:r>
          </w:p>
        </w:tc>
      </w:tr>
      <w:tr w14:paraId="3DE1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9E0BDEC">
            <w:pPr>
              <w:spacing w:line="252" w:lineRule="auto"/>
              <w:rPr>
                <w:rFonts w:ascii="Arial"/>
                <w:sz w:val="24"/>
                <w:szCs w:val="24"/>
              </w:rPr>
            </w:pPr>
          </w:p>
          <w:p w14:paraId="6B671A0C">
            <w:pPr>
              <w:spacing w:line="253" w:lineRule="auto"/>
              <w:rPr>
                <w:rFonts w:ascii="Arial"/>
                <w:sz w:val="24"/>
                <w:szCs w:val="24"/>
              </w:rPr>
            </w:pPr>
          </w:p>
          <w:p w14:paraId="1BF8F9F1">
            <w:pPr>
              <w:spacing w:line="253" w:lineRule="auto"/>
              <w:rPr>
                <w:rFonts w:ascii="Arial"/>
                <w:sz w:val="24"/>
                <w:szCs w:val="24"/>
              </w:rPr>
            </w:pPr>
          </w:p>
          <w:p w14:paraId="0CE3F5B8">
            <w:pPr>
              <w:spacing w:line="253" w:lineRule="auto"/>
              <w:rPr>
                <w:rFonts w:ascii="Arial"/>
                <w:sz w:val="24"/>
                <w:szCs w:val="24"/>
              </w:rPr>
            </w:pPr>
          </w:p>
          <w:p w14:paraId="18B81A55">
            <w:pPr>
              <w:pStyle w:val="133"/>
              <w:spacing w:before="55" w:line="231"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37</w:t>
            </w:r>
          </w:p>
        </w:tc>
        <w:tc>
          <w:tcPr>
            <w:tcW w:w="645" w:type="pct"/>
            <w:shd w:val="clear" w:color="auto" w:fill="auto"/>
            <w:vAlign w:val="top"/>
          </w:tcPr>
          <w:p w14:paraId="47E44820">
            <w:pPr>
              <w:spacing w:line="252" w:lineRule="auto"/>
              <w:rPr>
                <w:rFonts w:ascii="Arial"/>
                <w:sz w:val="24"/>
                <w:szCs w:val="24"/>
              </w:rPr>
            </w:pPr>
          </w:p>
          <w:p w14:paraId="415ACB22">
            <w:pPr>
              <w:spacing w:line="253" w:lineRule="auto"/>
              <w:rPr>
                <w:rFonts w:ascii="Arial"/>
                <w:sz w:val="24"/>
                <w:szCs w:val="24"/>
              </w:rPr>
            </w:pPr>
          </w:p>
          <w:p w14:paraId="751790DE">
            <w:pPr>
              <w:spacing w:line="253" w:lineRule="auto"/>
              <w:rPr>
                <w:rFonts w:ascii="Arial"/>
                <w:sz w:val="24"/>
                <w:szCs w:val="24"/>
              </w:rPr>
            </w:pPr>
          </w:p>
          <w:p w14:paraId="6C2F1B7B">
            <w:pPr>
              <w:spacing w:line="253" w:lineRule="auto"/>
              <w:rPr>
                <w:rFonts w:ascii="Arial"/>
                <w:sz w:val="24"/>
                <w:szCs w:val="24"/>
              </w:rPr>
            </w:pPr>
          </w:p>
          <w:p w14:paraId="564E0D9F">
            <w:pPr>
              <w:pStyle w:val="133"/>
              <w:spacing w:before="55" w:line="231" w:lineRule="exact"/>
              <w:ind w:left="14" w:leftChars="0"/>
              <w:rPr>
                <w:rFonts w:ascii="宋体" w:hAnsi="宋体" w:eastAsia="宋体" w:cs="宋体"/>
                <w:snapToGrid w:val="0"/>
                <w:color w:val="000000"/>
                <w:kern w:val="0"/>
                <w:sz w:val="24"/>
                <w:szCs w:val="24"/>
                <w:lang w:val="en-US" w:eastAsia="en-US" w:bidi="ar-SA"/>
              </w:rPr>
            </w:pPr>
            <w:r>
              <w:rPr>
                <w:spacing w:val="4"/>
                <w:position w:val="1"/>
                <w:sz w:val="24"/>
                <w:szCs w:val="24"/>
              </w:rPr>
              <w:t>030412009002</w:t>
            </w:r>
          </w:p>
        </w:tc>
        <w:tc>
          <w:tcPr>
            <w:tcW w:w="759" w:type="pct"/>
            <w:shd w:val="clear" w:color="auto" w:fill="auto"/>
            <w:vAlign w:val="top"/>
          </w:tcPr>
          <w:p w14:paraId="3DA716C4">
            <w:pPr>
              <w:spacing w:line="307" w:lineRule="auto"/>
              <w:rPr>
                <w:rFonts w:ascii="Arial"/>
                <w:sz w:val="24"/>
                <w:szCs w:val="24"/>
              </w:rPr>
            </w:pPr>
          </w:p>
          <w:p w14:paraId="220FC4C7">
            <w:pPr>
              <w:spacing w:line="307" w:lineRule="auto"/>
              <w:rPr>
                <w:rFonts w:ascii="Arial"/>
                <w:sz w:val="24"/>
                <w:szCs w:val="24"/>
              </w:rPr>
            </w:pPr>
          </w:p>
          <w:p w14:paraId="34E13A1B">
            <w:pPr>
              <w:spacing w:line="308" w:lineRule="auto"/>
              <w:rPr>
                <w:rFonts w:ascii="Arial"/>
                <w:sz w:val="24"/>
                <w:szCs w:val="24"/>
              </w:rPr>
            </w:pPr>
          </w:p>
          <w:p w14:paraId="02145F90">
            <w:pPr>
              <w:pStyle w:val="133"/>
              <w:spacing w:before="55" w:line="213" w:lineRule="auto"/>
              <w:ind w:left="22" w:leftChars="0" w:right="61" w:rightChars="0" w:firstLine="1" w:firstLineChars="0"/>
              <w:rPr>
                <w:rFonts w:ascii="宋体" w:hAnsi="宋体" w:eastAsia="宋体" w:cs="宋体"/>
                <w:snapToGrid w:val="0"/>
                <w:color w:val="000000"/>
                <w:kern w:val="0"/>
                <w:sz w:val="24"/>
                <w:szCs w:val="24"/>
                <w:lang w:val="en-US" w:eastAsia="en-US" w:bidi="ar-SA"/>
              </w:rPr>
            </w:pPr>
            <w:r>
              <w:rPr>
                <w:spacing w:val="8"/>
                <w:sz w:val="24"/>
                <w:szCs w:val="24"/>
              </w:rPr>
              <w:t>人行道信号灯损</w:t>
            </w:r>
            <w:r>
              <w:rPr>
                <w:spacing w:val="2"/>
                <w:sz w:val="24"/>
                <w:szCs w:val="24"/>
              </w:rPr>
              <w:t>坏</w:t>
            </w:r>
          </w:p>
        </w:tc>
        <w:tc>
          <w:tcPr>
            <w:tcW w:w="1173" w:type="pct"/>
            <w:shd w:val="clear" w:color="auto" w:fill="auto"/>
            <w:vAlign w:val="top"/>
          </w:tcPr>
          <w:p w14:paraId="678B22BB">
            <w:pPr>
              <w:pStyle w:val="133"/>
              <w:spacing w:before="55" w:line="195" w:lineRule="auto"/>
              <w:ind w:right="57"/>
              <w:rPr>
                <w:sz w:val="24"/>
                <w:szCs w:val="24"/>
              </w:rPr>
            </w:pPr>
            <w:r>
              <w:rPr>
                <w:spacing w:val="2"/>
                <w:sz w:val="24"/>
                <w:szCs w:val="24"/>
              </w:rPr>
              <w:t>1.灯具类型：</w:t>
            </w:r>
            <w:r>
              <w:rPr>
                <w:spacing w:val="-25"/>
                <w:sz w:val="24"/>
                <w:szCs w:val="24"/>
              </w:rPr>
              <w:t xml:space="preserve"> </w:t>
            </w:r>
            <w:r>
              <w:rPr>
                <w:sz w:val="24"/>
                <w:szCs w:val="24"/>
              </w:rPr>
              <w:t>LED</w:t>
            </w:r>
            <w:r>
              <w:rPr>
                <w:spacing w:val="2"/>
                <w:sz w:val="24"/>
                <w:szCs w:val="24"/>
              </w:rPr>
              <w:t>行人信</w:t>
            </w:r>
            <w:r>
              <w:rPr>
                <w:spacing w:val="8"/>
                <w:sz w:val="24"/>
                <w:szCs w:val="24"/>
              </w:rPr>
              <w:t>号灯，红人绿人图案，功</w:t>
            </w:r>
            <w:r>
              <w:rPr>
                <w:spacing w:val="4"/>
                <w:sz w:val="24"/>
                <w:szCs w:val="24"/>
              </w:rPr>
              <w:t>率≤10W；</w:t>
            </w:r>
          </w:p>
          <w:p w14:paraId="142E9940">
            <w:pPr>
              <w:pStyle w:val="133"/>
              <w:spacing w:line="195" w:lineRule="auto"/>
              <w:ind w:left="27"/>
              <w:rPr>
                <w:sz w:val="24"/>
                <w:szCs w:val="24"/>
              </w:rPr>
            </w:pPr>
            <w:r>
              <w:rPr>
                <w:spacing w:val="8"/>
                <w:sz w:val="24"/>
                <w:szCs w:val="24"/>
              </w:rPr>
              <w:t>2.技术参数：防护等级</w:t>
            </w:r>
            <w:r>
              <w:rPr>
                <w:sz w:val="24"/>
                <w:szCs w:val="24"/>
              </w:rPr>
              <w:t>IP</w:t>
            </w:r>
          </w:p>
          <w:p w14:paraId="1E2C2BAD">
            <w:pPr>
              <w:pStyle w:val="133"/>
              <w:spacing w:line="195" w:lineRule="auto"/>
              <w:ind w:left="26" w:right="57"/>
              <w:rPr>
                <w:sz w:val="24"/>
                <w:szCs w:val="24"/>
              </w:rPr>
            </w:pPr>
            <w:r>
              <w:rPr>
                <w:spacing w:val="6"/>
                <w:sz w:val="24"/>
                <w:szCs w:val="24"/>
              </w:rPr>
              <w:t>65，视认距离≥200m，语</w:t>
            </w:r>
            <w:r>
              <w:rPr>
                <w:spacing w:val="8"/>
                <w:sz w:val="24"/>
                <w:szCs w:val="24"/>
              </w:rPr>
              <w:t>音提示功能（如有）正常</w:t>
            </w:r>
            <w:r>
              <w:rPr>
                <w:spacing w:val="9"/>
                <w:sz w:val="24"/>
                <w:szCs w:val="24"/>
              </w:rPr>
              <w:t xml:space="preserve"> </w:t>
            </w:r>
            <w:r>
              <w:rPr>
                <w:sz w:val="24"/>
                <w:szCs w:val="24"/>
              </w:rPr>
              <w:t>;</w:t>
            </w:r>
          </w:p>
          <w:p w14:paraId="00C8DF6F">
            <w:pPr>
              <w:pStyle w:val="133"/>
              <w:spacing w:before="55" w:line="195" w:lineRule="auto"/>
              <w:ind w:left="41"/>
              <w:rPr>
                <w:sz w:val="24"/>
                <w:szCs w:val="24"/>
              </w:rPr>
            </w:pPr>
            <w:r>
              <w:rPr>
                <w:spacing w:val="2"/>
                <w:sz w:val="24"/>
                <w:szCs w:val="24"/>
              </w:rPr>
              <w:t>3.安装高度：</w:t>
            </w:r>
            <w:r>
              <w:rPr>
                <w:spacing w:val="-22"/>
                <w:sz w:val="24"/>
                <w:szCs w:val="24"/>
              </w:rPr>
              <w:t xml:space="preserve"> </w:t>
            </w:r>
            <w:r>
              <w:rPr>
                <w:spacing w:val="2"/>
                <w:sz w:val="24"/>
                <w:szCs w:val="24"/>
              </w:rPr>
              <w:t>2.2-2.5m，</w:t>
            </w:r>
            <w:r>
              <w:rPr>
                <w:spacing w:val="7"/>
                <w:sz w:val="24"/>
                <w:szCs w:val="24"/>
              </w:rPr>
              <w:t>与人行道边缘距离≤0.5m</w:t>
            </w:r>
            <w:r>
              <w:rPr>
                <w:sz w:val="24"/>
                <w:szCs w:val="24"/>
              </w:rPr>
              <w:t>;</w:t>
            </w:r>
          </w:p>
          <w:p w14:paraId="5D1CB08C">
            <w:pPr>
              <w:pStyle w:val="133"/>
              <w:spacing w:before="1" w:line="195" w:lineRule="auto"/>
              <w:ind w:left="25" w:right="55"/>
              <w:rPr>
                <w:sz w:val="24"/>
                <w:szCs w:val="24"/>
              </w:rPr>
            </w:pPr>
            <w:r>
              <w:rPr>
                <w:spacing w:val="8"/>
                <w:sz w:val="24"/>
                <w:szCs w:val="24"/>
              </w:rPr>
              <w:t>4.修复内容：更换损坏灯</w:t>
            </w:r>
            <w:r>
              <w:rPr>
                <w:spacing w:val="9"/>
                <w:sz w:val="24"/>
                <w:szCs w:val="24"/>
              </w:rPr>
              <w:t>具、按钮（如有），检查供电线路，调试切换时序</w:t>
            </w:r>
            <w:r>
              <w:rPr>
                <w:sz w:val="24"/>
                <w:szCs w:val="24"/>
              </w:rPr>
              <w:t xml:space="preserve"> ;</w:t>
            </w:r>
          </w:p>
          <w:p w14:paraId="5BDEDC51">
            <w:pPr>
              <w:pStyle w:val="133"/>
              <w:spacing w:before="1" w:line="195" w:lineRule="auto"/>
              <w:ind w:left="25" w:right="55" w:firstLine="4"/>
              <w:rPr>
                <w:sz w:val="24"/>
                <w:szCs w:val="24"/>
              </w:rPr>
            </w:pPr>
            <w:r>
              <w:rPr>
                <w:spacing w:val="8"/>
                <w:sz w:val="24"/>
                <w:szCs w:val="24"/>
              </w:rPr>
              <w:t>5.测试：确保红灯、绿灯</w:t>
            </w:r>
            <w:r>
              <w:rPr>
                <w:spacing w:val="9"/>
                <w:sz w:val="24"/>
                <w:szCs w:val="24"/>
              </w:rPr>
              <w:t>切换正常，语音提示清晰</w:t>
            </w:r>
            <w:r>
              <w:rPr>
                <w:spacing w:val="8"/>
                <w:sz w:val="24"/>
                <w:szCs w:val="24"/>
              </w:rPr>
              <w:t>（如有</w:t>
            </w:r>
            <w:r>
              <w:rPr>
                <w:spacing w:val="9"/>
                <w:sz w:val="24"/>
                <w:szCs w:val="24"/>
              </w:rPr>
              <w:t>），</w:t>
            </w:r>
            <w:r>
              <w:rPr>
                <w:spacing w:val="8"/>
                <w:sz w:val="24"/>
                <w:szCs w:val="24"/>
              </w:rPr>
              <w:t>符合行人通行</w:t>
            </w:r>
            <w:r>
              <w:rPr>
                <w:spacing w:val="-6"/>
                <w:sz w:val="24"/>
                <w:szCs w:val="24"/>
              </w:rPr>
              <w:t>需求；</w:t>
            </w:r>
          </w:p>
          <w:p w14:paraId="7EEC49D4">
            <w:pPr>
              <w:pStyle w:val="133"/>
              <w:spacing w:line="213" w:lineRule="auto"/>
              <w:ind w:left="28" w:leftChars="0" w:right="57" w:rightChars="0"/>
              <w:rPr>
                <w:rFonts w:ascii="宋体" w:hAnsi="宋体" w:eastAsia="宋体" w:cs="宋体"/>
                <w:snapToGrid w:val="0"/>
                <w:color w:val="000000"/>
                <w:kern w:val="0"/>
                <w:sz w:val="24"/>
                <w:szCs w:val="24"/>
                <w:lang w:val="en-US" w:eastAsia="en-US" w:bidi="ar-SA"/>
              </w:rPr>
            </w:pPr>
            <w:r>
              <w:rPr>
                <w:spacing w:val="7"/>
                <w:sz w:val="24"/>
                <w:szCs w:val="24"/>
              </w:rPr>
              <w:t>6.其他描述不详之处(包括措施费)，投标人结合</w:t>
            </w:r>
            <w:r>
              <w:rPr>
                <w:spacing w:val="4"/>
                <w:sz w:val="24"/>
                <w:szCs w:val="24"/>
              </w:rPr>
              <w:t>现场踏勘情况自行考虑，</w:t>
            </w:r>
            <w:r>
              <w:rPr>
                <w:spacing w:val="6"/>
                <w:sz w:val="24"/>
                <w:szCs w:val="24"/>
              </w:rPr>
              <w:t>费用包含在综合单价中。</w:t>
            </w:r>
          </w:p>
        </w:tc>
        <w:tc>
          <w:tcPr>
            <w:tcW w:w="610" w:type="pct"/>
            <w:shd w:val="clear" w:color="auto" w:fill="auto"/>
            <w:vAlign w:val="top"/>
          </w:tcPr>
          <w:p w14:paraId="273AB7AE">
            <w:pPr>
              <w:spacing w:line="252" w:lineRule="auto"/>
              <w:rPr>
                <w:rFonts w:ascii="Arial"/>
                <w:sz w:val="24"/>
                <w:szCs w:val="24"/>
              </w:rPr>
            </w:pPr>
          </w:p>
          <w:p w14:paraId="62877335">
            <w:pPr>
              <w:spacing w:line="253" w:lineRule="auto"/>
              <w:rPr>
                <w:rFonts w:ascii="Arial"/>
                <w:sz w:val="24"/>
                <w:szCs w:val="24"/>
              </w:rPr>
            </w:pPr>
          </w:p>
          <w:p w14:paraId="4C88E08A">
            <w:pPr>
              <w:spacing w:line="253" w:lineRule="auto"/>
              <w:rPr>
                <w:rFonts w:ascii="Arial"/>
                <w:sz w:val="24"/>
                <w:szCs w:val="24"/>
              </w:rPr>
            </w:pPr>
          </w:p>
          <w:p w14:paraId="20A56DCE">
            <w:pPr>
              <w:spacing w:line="253" w:lineRule="auto"/>
              <w:rPr>
                <w:rFonts w:ascii="Arial"/>
                <w:sz w:val="24"/>
                <w:szCs w:val="24"/>
              </w:rPr>
            </w:pPr>
          </w:p>
          <w:p w14:paraId="3409FBA6">
            <w:pPr>
              <w:pStyle w:val="133"/>
              <w:spacing w:before="55" w:line="231" w:lineRule="auto"/>
              <w:ind w:left="209" w:leftChars="0"/>
              <w:rPr>
                <w:rFonts w:ascii="宋体" w:hAnsi="宋体" w:eastAsia="宋体" w:cs="宋体"/>
                <w:snapToGrid w:val="0"/>
                <w:color w:val="000000"/>
                <w:kern w:val="0"/>
                <w:sz w:val="24"/>
                <w:szCs w:val="24"/>
                <w:lang w:val="en-US" w:eastAsia="en-US" w:bidi="ar-SA"/>
              </w:rPr>
            </w:pPr>
            <w:r>
              <w:rPr>
                <w:spacing w:val="1"/>
                <w:sz w:val="24"/>
                <w:szCs w:val="24"/>
              </w:rPr>
              <w:t>套</w:t>
            </w:r>
          </w:p>
        </w:tc>
        <w:tc>
          <w:tcPr>
            <w:tcW w:w="681" w:type="pct"/>
            <w:shd w:val="clear" w:color="auto" w:fill="auto"/>
            <w:vAlign w:val="top"/>
          </w:tcPr>
          <w:p w14:paraId="53AE8C22">
            <w:pPr>
              <w:spacing w:line="252" w:lineRule="auto"/>
              <w:rPr>
                <w:rFonts w:ascii="Arial"/>
                <w:sz w:val="24"/>
                <w:szCs w:val="24"/>
              </w:rPr>
            </w:pPr>
          </w:p>
          <w:p w14:paraId="1E3D4A15">
            <w:pPr>
              <w:spacing w:line="253" w:lineRule="auto"/>
              <w:rPr>
                <w:rFonts w:ascii="Arial"/>
                <w:sz w:val="24"/>
                <w:szCs w:val="24"/>
              </w:rPr>
            </w:pPr>
          </w:p>
          <w:p w14:paraId="610CA8F6">
            <w:pPr>
              <w:spacing w:line="253" w:lineRule="auto"/>
              <w:rPr>
                <w:rFonts w:ascii="Arial"/>
                <w:sz w:val="24"/>
                <w:szCs w:val="24"/>
              </w:rPr>
            </w:pPr>
          </w:p>
          <w:p w14:paraId="048AC76C">
            <w:pPr>
              <w:spacing w:line="253" w:lineRule="auto"/>
              <w:rPr>
                <w:rFonts w:ascii="Arial"/>
                <w:sz w:val="24"/>
                <w:szCs w:val="24"/>
              </w:rPr>
            </w:pPr>
          </w:p>
          <w:p w14:paraId="429B7634">
            <w:pPr>
              <w:pStyle w:val="133"/>
              <w:spacing w:before="55" w:line="232" w:lineRule="exact"/>
              <w:ind w:left="372"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9F1A470">
            <w:pPr>
              <w:pStyle w:val="133"/>
              <w:spacing w:before="56" w:line="231" w:lineRule="auto"/>
              <w:ind w:left="209"/>
              <w:rPr>
                <w:sz w:val="24"/>
                <w:szCs w:val="24"/>
              </w:rPr>
            </w:pPr>
          </w:p>
          <w:p w14:paraId="7B4F7D20">
            <w:pPr>
              <w:pStyle w:val="133"/>
              <w:spacing w:before="56" w:line="231" w:lineRule="auto"/>
              <w:ind w:left="209"/>
              <w:rPr>
                <w:sz w:val="24"/>
                <w:szCs w:val="24"/>
              </w:rPr>
            </w:pPr>
          </w:p>
          <w:p w14:paraId="7548FDB2">
            <w:pPr>
              <w:pStyle w:val="133"/>
              <w:spacing w:before="56" w:line="231" w:lineRule="auto"/>
              <w:ind w:left="209"/>
              <w:rPr>
                <w:sz w:val="24"/>
                <w:szCs w:val="24"/>
              </w:rPr>
            </w:pPr>
          </w:p>
          <w:p w14:paraId="61FE4D77">
            <w:pPr>
              <w:pStyle w:val="133"/>
              <w:spacing w:before="56" w:line="231" w:lineRule="auto"/>
              <w:ind w:left="209"/>
              <w:rPr>
                <w:sz w:val="24"/>
                <w:szCs w:val="24"/>
              </w:rPr>
            </w:pPr>
          </w:p>
          <w:p w14:paraId="49492494">
            <w:pPr>
              <w:pStyle w:val="133"/>
              <w:spacing w:before="56" w:line="231" w:lineRule="auto"/>
              <w:ind w:left="209" w:leftChars="0"/>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1360</w:t>
            </w:r>
          </w:p>
        </w:tc>
      </w:tr>
      <w:tr w14:paraId="7D62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E0300E0">
            <w:pPr>
              <w:pStyle w:val="133"/>
              <w:spacing w:before="177" w:line="231"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38</w:t>
            </w:r>
          </w:p>
        </w:tc>
        <w:tc>
          <w:tcPr>
            <w:tcW w:w="645" w:type="pct"/>
            <w:shd w:val="clear" w:color="auto" w:fill="auto"/>
            <w:vAlign w:val="top"/>
          </w:tcPr>
          <w:p w14:paraId="3333A883">
            <w:pPr>
              <w:pStyle w:val="133"/>
              <w:spacing w:before="207" w:line="189" w:lineRule="auto"/>
              <w:ind w:left="20" w:leftChars="0"/>
              <w:rPr>
                <w:rFonts w:ascii="宋体" w:hAnsi="宋体" w:eastAsia="宋体" w:cs="宋体"/>
                <w:snapToGrid w:val="0"/>
                <w:color w:val="000000"/>
                <w:kern w:val="0"/>
                <w:sz w:val="24"/>
                <w:szCs w:val="24"/>
                <w:lang w:val="en-US" w:eastAsia="en-US" w:bidi="ar-SA"/>
              </w:rPr>
            </w:pPr>
            <w:r>
              <w:rPr>
                <w:spacing w:val="3"/>
                <w:sz w:val="24"/>
                <w:szCs w:val="24"/>
              </w:rPr>
              <w:t>04B02</w:t>
            </w:r>
          </w:p>
        </w:tc>
        <w:tc>
          <w:tcPr>
            <w:tcW w:w="759" w:type="pct"/>
            <w:shd w:val="clear" w:color="auto" w:fill="auto"/>
            <w:vAlign w:val="top"/>
          </w:tcPr>
          <w:p w14:paraId="5E9F2D42">
            <w:pPr>
              <w:pStyle w:val="133"/>
              <w:spacing w:before="88" w:line="213" w:lineRule="auto"/>
              <w:ind w:left="23" w:leftChars="0" w:right="60" w:rightChars="0"/>
              <w:rPr>
                <w:rFonts w:ascii="宋体" w:hAnsi="宋体" w:eastAsia="宋体" w:cs="宋体"/>
                <w:snapToGrid w:val="0"/>
                <w:color w:val="000000"/>
                <w:kern w:val="0"/>
                <w:sz w:val="24"/>
                <w:szCs w:val="24"/>
                <w:lang w:val="en-US" w:eastAsia="en-US" w:bidi="ar-SA"/>
              </w:rPr>
            </w:pPr>
            <w:r>
              <w:rPr>
                <w:spacing w:val="8"/>
                <w:sz w:val="24"/>
                <w:szCs w:val="24"/>
              </w:rPr>
              <w:t>新建中央隔离护</w:t>
            </w:r>
            <w:r>
              <w:rPr>
                <w:spacing w:val="2"/>
                <w:sz w:val="24"/>
                <w:szCs w:val="24"/>
              </w:rPr>
              <w:t>栏</w:t>
            </w:r>
          </w:p>
        </w:tc>
        <w:tc>
          <w:tcPr>
            <w:tcW w:w="1173" w:type="pct"/>
            <w:shd w:val="clear" w:color="auto" w:fill="auto"/>
            <w:vAlign w:val="top"/>
          </w:tcPr>
          <w:p w14:paraId="46782955">
            <w:pPr>
              <w:pStyle w:val="133"/>
              <w:spacing w:before="87" w:line="213" w:lineRule="auto"/>
              <w:ind w:left="39" w:leftChars="0" w:right="55" w:rightChars="0"/>
              <w:rPr>
                <w:rFonts w:ascii="宋体" w:hAnsi="宋体" w:eastAsia="宋体" w:cs="宋体"/>
                <w:snapToGrid w:val="0"/>
                <w:color w:val="000000"/>
                <w:kern w:val="0"/>
                <w:sz w:val="24"/>
                <w:szCs w:val="24"/>
                <w:lang w:val="en-US" w:eastAsia="en-US" w:bidi="ar-SA"/>
              </w:rPr>
            </w:pPr>
            <w:r>
              <w:rPr>
                <w:sz w:val="24"/>
                <w:szCs w:val="24"/>
              </w:rPr>
              <w:t xml:space="preserve">1.新建中央隔离护栏， H= </w:t>
            </w:r>
            <w:r>
              <w:rPr>
                <w:spacing w:val="1"/>
                <w:sz w:val="24"/>
                <w:szCs w:val="24"/>
              </w:rPr>
              <w:t>1.10米</w:t>
            </w:r>
          </w:p>
        </w:tc>
        <w:tc>
          <w:tcPr>
            <w:tcW w:w="610" w:type="pct"/>
            <w:shd w:val="clear" w:color="auto" w:fill="auto"/>
            <w:vAlign w:val="top"/>
          </w:tcPr>
          <w:p w14:paraId="7B9E85D9">
            <w:pPr>
              <w:pStyle w:val="133"/>
              <w:spacing w:before="177" w:line="232" w:lineRule="exact"/>
              <w:ind w:left="250"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5FA9A4CC">
            <w:pPr>
              <w:pStyle w:val="133"/>
              <w:spacing w:before="177" w:line="232" w:lineRule="exact"/>
              <w:ind w:left="374"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7ACC9704">
            <w:pPr>
              <w:pStyle w:val="133"/>
              <w:spacing w:before="87" w:line="213" w:lineRule="auto"/>
              <w:ind w:right="55"/>
              <w:jc w:val="center"/>
              <w:rPr>
                <w:rFonts w:hint="eastAsia"/>
                <w:sz w:val="24"/>
                <w:szCs w:val="24"/>
                <w:lang w:val="en-US" w:eastAsia="zh-CN"/>
              </w:rPr>
            </w:pPr>
          </w:p>
          <w:p w14:paraId="244B9382">
            <w:pPr>
              <w:pStyle w:val="133"/>
              <w:spacing w:before="87" w:line="213" w:lineRule="auto"/>
              <w:ind w:right="55" w:righ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220</w:t>
            </w:r>
          </w:p>
        </w:tc>
      </w:tr>
      <w:tr w14:paraId="009E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07764325">
            <w:pPr>
              <w:pStyle w:val="133"/>
              <w:spacing w:before="178" w:line="230" w:lineRule="exact"/>
              <w:ind w:left="285" w:leftChars="0"/>
              <w:rPr>
                <w:rFonts w:ascii="宋体" w:hAnsi="宋体" w:eastAsia="宋体" w:cs="宋体"/>
                <w:snapToGrid w:val="0"/>
                <w:color w:val="000000"/>
                <w:kern w:val="0"/>
                <w:sz w:val="24"/>
                <w:szCs w:val="24"/>
                <w:lang w:val="en-US" w:eastAsia="en-US" w:bidi="ar-SA"/>
              </w:rPr>
            </w:pPr>
            <w:r>
              <w:rPr>
                <w:spacing w:val="-1"/>
                <w:position w:val="1"/>
                <w:sz w:val="24"/>
                <w:szCs w:val="24"/>
              </w:rPr>
              <w:t>39</w:t>
            </w:r>
          </w:p>
        </w:tc>
        <w:tc>
          <w:tcPr>
            <w:tcW w:w="645" w:type="pct"/>
            <w:shd w:val="clear" w:color="auto" w:fill="auto"/>
            <w:vAlign w:val="top"/>
          </w:tcPr>
          <w:p w14:paraId="11DDDDDD">
            <w:pPr>
              <w:pStyle w:val="133"/>
              <w:spacing w:before="208" w:line="189" w:lineRule="auto"/>
              <w:ind w:left="20" w:leftChars="0"/>
              <w:rPr>
                <w:rFonts w:ascii="宋体" w:hAnsi="宋体" w:eastAsia="宋体" w:cs="宋体"/>
                <w:snapToGrid w:val="0"/>
                <w:color w:val="000000"/>
                <w:kern w:val="0"/>
                <w:sz w:val="24"/>
                <w:szCs w:val="24"/>
                <w:lang w:val="en-US" w:eastAsia="en-US" w:bidi="ar-SA"/>
              </w:rPr>
            </w:pPr>
            <w:r>
              <w:rPr>
                <w:spacing w:val="3"/>
                <w:sz w:val="24"/>
                <w:szCs w:val="24"/>
              </w:rPr>
              <w:t>04B08</w:t>
            </w:r>
          </w:p>
        </w:tc>
        <w:tc>
          <w:tcPr>
            <w:tcW w:w="759" w:type="pct"/>
            <w:shd w:val="clear" w:color="auto" w:fill="auto"/>
            <w:vAlign w:val="top"/>
          </w:tcPr>
          <w:p w14:paraId="0C10C6C3">
            <w:pPr>
              <w:pStyle w:val="133"/>
              <w:spacing w:before="88" w:line="213" w:lineRule="auto"/>
              <w:ind w:left="23" w:leftChars="0" w:right="60" w:rightChars="0"/>
              <w:rPr>
                <w:rFonts w:ascii="宋体" w:hAnsi="宋体" w:eastAsia="宋体" w:cs="宋体"/>
                <w:snapToGrid w:val="0"/>
                <w:color w:val="000000"/>
                <w:kern w:val="0"/>
                <w:sz w:val="24"/>
                <w:szCs w:val="24"/>
                <w:lang w:val="en-US" w:eastAsia="en-US" w:bidi="ar-SA"/>
              </w:rPr>
            </w:pPr>
            <w:r>
              <w:rPr>
                <w:spacing w:val="8"/>
                <w:sz w:val="24"/>
                <w:szCs w:val="24"/>
              </w:rPr>
              <w:t>修复中央隔离护</w:t>
            </w:r>
            <w:r>
              <w:rPr>
                <w:spacing w:val="2"/>
                <w:sz w:val="24"/>
                <w:szCs w:val="24"/>
              </w:rPr>
              <w:t>栏</w:t>
            </w:r>
          </w:p>
        </w:tc>
        <w:tc>
          <w:tcPr>
            <w:tcW w:w="1173" w:type="pct"/>
            <w:shd w:val="clear" w:color="auto" w:fill="auto"/>
            <w:vAlign w:val="top"/>
          </w:tcPr>
          <w:p w14:paraId="36831870">
            <w:pPr>
              <w:pStyle w:val="133"/>
              <w:spacing w:before="88" w:line="213" w:lineRule="auto"/>
              <w:ind w:left="27" w:leftChars="0" w:right="55" w:rightChars="0" w:firstLine="11" w:firstLineChars="0"/>
              <w:rPr>
                <w:rFonts w:ascii="宋体" w:hAnsi="宋体" w:eastAsia="宋体" w:cs="宋体"/>
                <w:snapToGrid w:val="0"/>
                <w:color w:val="000000"/>
                <w:kern w:val="0"/>
                <w:sz w:val="24"/>
                <w:szCs w:val="24"/>
                <w:lang w:val="en-US" w:eastAsia="en-US" w:bidi="ar-SA"/>
              </w:rPr>
            </w:pPr>
            <w:r>
              <w:rPr>
                <w:spacing w:val="7"/>
                <w:sz w:val="24"/>
                <w:szCs w:val="24"/>
              </w:rPr>
              <w:t>1.拆除原有损坏部分，更</w:t>
            </w:r>
            <w:r>
              <w:rPr>
                <w:spacing w:val="6"/>
                <w:sz w:val="24"/>
                <w:szCs w:val="24"/>
              </w:rPr>
              <w:t>换护栏，H=1.10米</w:t>
            </w:r>
          </w:p>
        </w:tc>
        <w:tc>
          <w:tcPr>
            <w:tcW w:w="610" w:type="pct"/>
            <w:shd w:val="clear" w:color="auto" w:fill="auto"/>
            <w:vAlign w:val="top"/>
          </w:tcPr>
          <w:p w14:paraId="720A6B7A">
            <w:pPr>
              <w:pStyle w:val="133"/>
              <w:spacing w:before="178" w:line="232" w:lineRule="exact"/>
              <w:ind w:left="250" w:leftChars="0"/>
              <w:rPr>
                <w:rFonts w:ascii="宋体" w:hAnsi="宋体" w:eastAsia="宋体" w:cs="宋体"/>
                <w:snapToGrid w:val="0"/>
                <w:color w:val="000000"/>
                <w:kern w:val="0"/>
                <w:sz w:val="24"/>
                <w:szCs w:val="24"/>
                <w:lang w:val="en-US" w:eastAsia="en-US" w:bidi="ar-SA"/>
              </w:rPr>
            </w:pPr>
            <w:r>
              <w:rPr>
                <w:spacing w:val="2"/>
                <w:position w:val="3"/>
                <w:sz w:val="24"/>
                <w:szCs w:val="24"/>
              </w:rPr>
              <w:t>m</w:t>
            </w:r>
          </w:p>
        </w:tc>
        <w:tc>
          <w:tcPr>
            <w:tcW w:w="681" w:type="pct"/>
            <w:shd w:val="clear" w:color="auto" w:fill="auto"/>
            <w:vAlign w:val="top"/>
          </w:tcPr>
          <w:p w14:paraId="78ABB412">
            <w:pPr>
              <w:pStyle w:val="133"/>
              <w:spacing w:before="178" w:line="232" w:lineRule="exact"/>
              <w:ind w:left="374" w:leftChars="0"/>
              <w:rPr>
                <w:rFonts w:ascii="宋体" w:hAnsi="宋体" w:eastAsia="宋体" w:cs="宋体"/>
                <w:snapToGrid w:val="0"/>
                <w:color w:val="000000"/>
                <w:kern w:val="0"/>
                <w:sz w:val="24"/>
                <w:szCs w:val="24"/>
                <w:lang w:val="en-US" w:eastAsia="en-US" w:bidi="ar-SA"/>
              </w:rPr>
            </w:pPr>
            <w:r>
              <w:rPr>
                <w:position w:val="1"/>
                <w:sz w:val="24"/>
                <w:szCs w:val="24"/>
              </w:rPr>
              <w:t>1</w:t>
            </w:r>
          </w:p>
        </w:tc>
        <w:tc>
          <w:tcPr>
            <w:tcW w:w="758" w:type="pct"/>
            <w:shd w:val="clear" w:color="auto" w:fill="auto"/>
            <w:vAlign w:val="top"/>
          </w:tcPr>
          <w:p w14:paraId="32C0133B">
            <w:pPr>
              <w:pStyle w:val="133"/>
              <w:spacing w:before="87" w:line="213" w:lineRule="auto"/>
              <w:ind w:left="39" w:right="55"/>
              <w:jc w:val="center"/>
              <w:rPr>
                <w:sz w:val="24"/>
                <w:szCs w:val="24"/>
              </w:rPr>
            </w:pPr>
          </w:p>
          <w:p w14:paraId="507AB11E">
            <w:pPr>
              <w:pStyle w:val="133"/>
              <w:spacing w:before="87" w:line="213" w:lineRule="auto"/>
              <w:ind w:left="39" w:leftChars="0" w:right="55" w:righ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230</w:t>
            </w:r>
          </w:p>
        </w:tc>
      </w:tr>
      <w:tr w14:paraId="05BB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4696C520">
            <w:pPr>
              <w:pStyle w:val="133"/>
              <w:spacing w:before="58" w:line="239" w:lineRule="auto"/>
              <w:ind w:left="280" w:leftChars="0"/>
              <w:rPr>
                <w:rFonts w:ascii="宋体" w:hAnsi="宋体" w:eastAsia="宋体" w:cs="宋体"/>
                <w:snapToGrid w:val="0"/>
                <w:color w:val="000000"/>
                <w:kern w:val="0"/>
                <w:sz w:val="24"/>
                <w:szCs w:val="24"/>
                <w:lang w:val="en-US" w:eastAsia="en-US" w:bidi="ar-SA"/>
              </w:rPr>
            </w:pPr>
            <w:r>
              <w:rPr>
                <w:spacing w:val="1"/>
                <w:sz w:val="24"/>
                <w:szCs w:val="24"/>
              </w:rPr>
              <w:t>40</w:t>
            </w:r>
          </w:p>
        </w:tc>
        <w:tc>
          <w:tcPr>
            <w:tcW w:w="645" w:type="pct"/>
            <w:shd w:val="clear" w:color="auto" w:fill="auto"/>
            <w:vAlign w:val="top"/>
          </w:tcPr>
          <w:p w14:paraId="3BDBC2CD">
            <w:pPr>
              <w:pStyle w:val="133"/>
              <w:spacing w:before="88" w:line="189" w:lineRule="auto"/>
              <w:ind w:left="20" w:leftChars="0"/>
              <w:rPr>
                <w:rFonts w:ascii="宋体" w:hAnsi="宋体" w:eastAsia="宋体" w:cs="宋体"/>
                <w:snapToGrid w:val="0"/>
                <w:color w:val="000000"/>
                <w:kern w:val="0"/>
                <w:sz w:val="24"/>
                <w:szCs w:val="24"/>
                <w:lang w:val="en-US" w:eastAsia="en-US" w:bidi="ar-SA"/>
              </w:rPr>
            </w:pPr>
            <w:r>
              <w:rPr>
                <w:spacing w:val="3"/>
                <w:sz w:val="24"/>
                <w:szCs w:val="24"/>
              </w:rPr>
              <w:t>04B003</w:t>
            </w:r>
          </w:p>
        </w:tc>
        <w:tc>
          <w:tcPr>
            <w:tcW w:w="759" w:type="pct"/>
            <w:shd w:val="clear" w:color="auto" w:fill="auto"/>
            <w:vAlign w:val="top"/>
          </w:tcPr>
          <w:p w14:paraId="0ED630A2">
            <w:pPr>
              <w:pStyle w:val="133"/>
              <w:spacing w:before="59" w:line="230" w:lineRule="auto"/>
              <w:ind w:left="24" w:leftChars="0"/>
              <w:rPr>
                <w:rFonts w:ascii="宋体" w:hAnsi="宋体" w:eastAsia="宋体" w:cs="宋体"/>
                <w:snapToGrid w:val="0"/>
                <w:color w:val="000000"/>
                <w:kern w:val="0"/>
                <w:sz w:val="24"/>
                <w:szCs w:val="24"/>
                <w:lang w:val="en-US" w:eastAsia="en-US" w:bidi="ar-SA"/>
              </w:rPr>
            </w:pPr>
            <w:r>
              <w:rPr>
                <w:spacing w:val="8"/>
                <w:sz w:val="24"/>
                <w:szCs w:val="24"/>
              </w:rPr>
              <w:t>新建施工围挡</w:t>
            </w:r>
          </w:p>
        </w:tc>
        <w:tc>
          <w:tcPr>
            <w:tcW w:w="1173" w:type="pct"/>
            <w:shd w:val="clear" w:color="auto" w:fill="auto"/>
            <w:vAlign w:val="top"/>
          </w:tcPr>
          <w:p w14:paraId="65CBE60A">
            <w:pPr>
              <w:rPr>
                <w:rFonts w:ascii="Arial" w:hAnsi="Arial" w:eastAsia="Arial" w:cs="Arial"/>
                <w:snapToGrid w:val="0"/>
                <w:color w:val="000000"/>
                <w:kern w:val="0"/>
                <w:sz w:val="24"/>
                <w:szCs w:val="24"/>
                <w:lang w:val="en-US" w:eastAsia="en-US" w:bidi="ar-SA"/>
              </w:rPr>
            </w:pPr>
          </w:p>
        </w:tc>
        <w:tc>
          <w:tcPr>
            <w:tcW w:w="610" w:type="pct"/>
            <w:shd w:val="clear" w:color="auto" w:fill="auto"/>
            <w:vAlign w:val="top"/>
          </w:tcPr>
          <w:p w14:paraId="632F69A3">
            <w:pPr>
              <w:pStyle w:val="133"/>
              <w:spacing w:before="58" w:line="239" w:lineRule="auto"/>
              <w:ind w:left="205" w:leftChars="0"/>
              <w:rPr>
                <w:rFonts w:ascii="宋体" w:hAnsi="宋体" w:eastAsia="宋体" w:cs="宋体"/>
                <w:snapToGrid w:val="0"/>
                <w:color w:val="000000"/>
                <w:kern w:val="0"/>
                <w:sz w:val="24"/>
                <w:szCs w:val="24"/>
                <w:lang w:val="en-US" w:eastAsia="en-US" w:bidi="ar-SA"/>
              </w:rPr>
            </w:pPr>
            <w:r>
              <w:rPr>
                <w:spacing w:val="3"/>
                <w:sz w:val="24"/>
                <w:szCs w:val="24"/>
              </w:rPr>
              <w:t>m2</w:t>
            </w:r>
          </w:p>
        </w:tc>
        <w:tc>
          <w:tcPr>
            <w:tcW w:w="681" w:type="pct"/>
            <w:shd w:val="clear" w:color="auto" w:fill="auto"/>
            <w:vAlign w:val="top"/>
          </w:tcPr>
          <w:p w14:paraId="18DD741D">
            <w:pPr>
              <w:pStyle w:val="133"/>
              <w:spacing w:before="58" w:line="239" w:lineRule="auto"/>
              <w:ind w:left="374" w:leftChars="0"/>
              <w:rPr>
                <w:rFonts w:ascii="宋体" w:hAnsi="宋体" w:eastAsia="宋体" w:cs="宋体"/>
                <w:snapToGrid w:val="0"/>
                <w:color w:val="000000"/>
                <w:kern w:val="0"/>
                <w:sz w:val="24"/>
                <w:szCs w:val="24"/>
                <w:lang w:val="en-US" w:eastAsia="en-US" w:bidi="ar-SA"/>
              </w:rPr>
            </w:pPr>
            <w:r>
              <w:rPr>
                <w:sz w:val="24"/>
                <w:szCs w:val="24"/>
              </w:rPr>
              <w:t>1</w:t>
            </w:r>
          </w:p>
        </w:tc>
        <w:tc>
          <w:tcPr>
            <w:tcW w:w="758" w:type="pct"/>
            <w:shd w:val="clear" w:color="auto" w:fill="auto"/>
            <w:vAlign w:val="top"/>
          </w:tcPr>
          <w:p w14:paraId="52191EBD">
            <w:pPr>
              <w:pStyle w:val="133"/>
              <w:spacing w:before="87" w:line="213" w:lineRule="auto"/>
              <w:ind w:left="39" w:leftChars="0" w:right="55" w:righ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80</w:t>
            </w:r>
          </w:p>
        </w:tc>
      </w:tr>
      <w:tr w14:paraId="5F7A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5D60D0F1">
            <w:pPr>
              <w:pStyle w:val="133"/>
              <w:spacing w:before="59" w:line="238" w:lineRule="auto"/>
              <w:ind w:left="280" w:leftChars="0"/>
              <w:rPr>
                <w:rFonts w:ascii="宋体" w:hAnsi="宋体" w:eastAsia="宋体" w:cs="宋体"/>
                <w:snapToGrid w:val="0"/>
                <w:color w:val="000000"/>
                <w:kern w:val="0"/>
                <w:sz w:val="24"/>
                <w:szCs w:val="24"/>
                <w:lang w:val="en-US" w:eastAsia="en-US" w:bidi="ar-SA"/>
              </w:rPr>
            </w:pPr>
            <w:r>
              <w:rPr>
                <w:spacing w:val="1"/>
                <w:sz w:val="24"/>
                <w:szCs w:val="24"/>
              </w:rPr>
              <w:t>41</w:t>
            </w:r>
          </w:p>
        </w:tc>
        <w:tc>
          <w:tcPr>
            <w:tcW w:w="645" w:type="pct"/>
            <w:shd w:val="clear" w:color="auto" w:fill="auto"/>
            <w:vAlign w:val="top"/>
          </w:tcPr>
          <w:p w14:paraId="5DF185CB">
            <w:pPr>
              <w:pStyle w:val="133"/>
              <w:spacing w:before="89" w:line="189" w:lineRule="auto"/>
              <w:ind w:left="20" w:leftChars="0"/>
              <w:rPr>
                <w:rFonts w:ascii="宋体" w:hAnsi="宋体" w:eastAsia="宋体" w:cs="宋体"/>
                <w:snapToGrid w:val="0"/>
                <w:color w:val="000000"/>
                <w:kern w:val="0"/>
                <w:sz w:val="24"/>
                <w:szCs w:val="24"/>
                <w:lang w:val="en-US" w:eastAsia="en-US" w:bidi="ar-SA"/>
              </w:rPr>
            </w:pPr>
            <w:r>
              <w:rPr>
                <w:spacing w:val="3"/>
                <w:sz w:val="24"/>
                <w:szCs w:val="24"/>
              </w:rPr>
              <w:t>04B004</w:t>
            </w:r>
          </w:p>
        </w:tc>
        <w:tc>
          <w:tcPr>
            <w:tcW w:w="759" w:type="pct"/>
            <w:shd w:val="clear" w:color="auto" w:fill="auto"/>
            <w:vAlign w:val="top"/>
          </w:tcPr>
          <w:p w14:paraId="6483C7F4">
            <w:pPr>
              <w:pStyle w:val="133"/>
              <w:spacing w:before="60" w:line="230" w:lineRule="auto"/>
              <w:ind w:left="23" w:leftChars="0"/>
              <w:rPr>
                <w:rFonts w:ascii="宋体" w:hAnsi="宋体" w:eastAsia="宋体" w:cs="宋体"/>
                <w:snapToGrid w:val="0"/>
                <w:color w:val="000000"/>
                <w:kern w:val="0"/>
                <w:sz w:val="24"/>
                <w:szCs w:val="24"/>
                <w:lang w:val="en-US" w:eastAsia="en-US" w:bidi="ar-SA"/>
              </w:rPr>
            </w:pPr>
            <w:r>
              <w:rPr>
                <w:spacing w:val="8"/>
                <w:sz w:val="24"/>
                <w:szCs w:val="24"/>
              </w:rPr>
              <w:t>修复施工围挡</w:t>
            </w:r>
          </w:p>
        </w:tc>
        <w:tc>
          <w:tcPr>
            <w:tcW w:w="1173" w:type="pct"/>
            <w:shd w:val="clear" w:color="auto" w:fill="auto"/>
            <w:vAlign w:val="top"/>
          </w:tcPr>
          <w:p w14:paraId="1B14B6E8">
            <w:pPr>
              <w:rPr>
                <w:rFonts w:ascii="Arial" w:hAnsi="Arial" w:eastAsia="Arial" w:cs="Arial"/>
                <w:snapToGrid w:val="0"/>
                <w:color w:val="000000"/>
                <w:kern w:val="0"/>
                <w:sz w:val="24"/>
                <w:szCs w:val="24"/>
                <w:lang w:val="en-US" w:eastAsia="en-US" w:bidi="ar-SA"/>
              </w:rPr>
            </w:pPr>
          </w:p>
        </w:tc>
        <w:tc>
          <w:tcPr>
            <w:tcW w:w="610" w:type="pct"/>
            <w:shd w:val="clear" w:color="auto" w:fill="auto"/>
            <w:vAlign w:val="top"/>
          </w:tcPr>
          <w:p w14:paraId="45F29351">
            <w:pPr>
              <w:pStyle w:val="133"/>
              <w:spacing w:before="59" w:line="238" w:lineRule="auto"/>
              <w:ind w:left="205" w:leftChars="0"/>
              <w:rPr>
                <w:rFonts w:ascii="宋体" w:hAnsi="宋体" w:eastAsia="宋体" w:cs="宋体"/>
                <w:snapToGrid w:val="0"/>
                <w:color w:val="000000"/>
                <w:kern w:val="0"/>
                <w:sz w:val="24"/>
                <w:szCs w:val="24"/>
                <w:lang w:val="en-US" w:eastAsia="en-US" w:bidi="ar-SA"/>
              </w:rPr>
            </w:pPr>
            <w:r>
              <w:rPr>
                <w:spacing w:val="3"/>
                <w:sz w:val="24"/>
                <w:szCs w:val="24"/>
              </w:rPr>
              <w:t>m2</w:t>
            </w:r>
          </w:p>
        </w:tc>
        <w:tc>
          <w:tcPr>
            <w:tcW w:w="681" w:type="pct"/>
            <w:shd w:val="clear" w:color="auto" w:fill="auto"/>
            <w:vAlign w:val="top"/>
          </w:tcPr>
          <w:p w14:paraId="2957D8F1">
            <w:pPr>
              <w:pStyle w:val="133"/>
              <w:spacing w:before="59" w:line="238" w:lineRule="auto"/>
              <w:ind w:left="374" w:leftChars="0"/>
              <w:rPr>
                <w:rFonts w:ascii="宋体" w:hAnsi="宋体" w:eastAsia="宋体" w:cs="宋体"/>
                <w:snapToGrid w:val="0"/>
                <w:color w:val="000000"/>
                <w:kern w:val="0"/>
                <w:sz w:val="24"/>
                <w:szCs w:val="24"/>
                <w:lang w:val="en-US" w:eastAsia="en-US" w:bidi="ar-SA"/>
              </w:rPr>
            </w:pPr>
            <w:r>
              <w:rPr>
                <w:sz w:val="24"/>
                <w:szCs w:val="24"/>
              </w:rPr>
              <w:t>1</w:t>
            </w:r>
          </w:p>
        </w:tc>
        <w:tc>
          <w:tcPr>
            <w:tcW w:w="758" w:type="pct"/>
            <w:shd w:val="clear" w:color="auto" w:fill="auto"/>
            <w:vAlign w:val="top"/>
          </w:tcPr>
          <w:p w14:paraId="487664EC">
            <w:pPr>
              <w:pStyle w:val="133"/>
              <w:spacing w:before="87" w:line="213" w:lineRule="auto"/>
              <w:ind w:left="39" w:leftChars="0" w:right="55" w:righ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40</w:t>
            </w:r>
          </w:p>
        </w:tc>
      </w:tr>
      <w:tr w14:paraId="7DE8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371" w:type="pct"/>
            <w:tcBorders>
              <w:left w:val="single" w:color="000000" w:sz="10" w:space="0"/>
            </w:tcBorders>
            <w:shd w:val="clear" w:color="auto" w:fill="auto"/>
            <w:vAlign w:val="top"/>
          </w:tcPr>
          <w:p w14:paraId="7F967124">
            <w:pPr>
              <w:pStyle w:val="133"/>
              <w:spacing w:before="60" w:line="237" w:lineRule="auto"/>
              <w:ind w:left="280" w:leftChars="0"/>
              <w:rPr>
                <w:rFonts w:ascii="宋体" w:hAnsi="宋体" w:eastAsia="宋体" w:cs="宋体"/>
                <w:snapToGrid w:val="0"/>
                <w:color w:val="000000"/>
                <w:kern w:val="0"/>
                <w:sz w:val="24"/>
                <w:szCs w:val="24"/>
                <w:lang w:val="en-US" w:eastAsia="en-US" w:bidi="ar-SA"/>
              </w:rPr>
            </w:pPr>
            <w:r>
              <w:rPr>
                <w:spacing w:val="1"/>
                <w:sz w:val="24"/>
                <w:szCs w:val="24"/>
              </w:rPr>
              <w:t>42</w:t>
            </w:r>
          </w:p>
        </w:tc>
        <w:tc>
          <w:tcPr>
            <w:tcW w:w="645" w:type="pct"/>
            <w:shd w:val="clear" w:color="auto" w:fill="auto"/>
            <w:vAlign w:val="top"/>
          </w:tcPr>
          <w:p w14:paraId="5C74F56F">
            <w:pPr>
              <w:pStyle w:val="133"/>
              <w:spacing w:before="90" w:line="189" w:lineRule="auto"/>
              <w:ind w:left="20" w:leftChars="0"/>
              <w:rPr>
                <w:rFonts w:ascii="宋体" w:hAnsi="宋体" w:eastAsia="宋体" w:cs="宋体"/>
                <w:snapToGrid w:val="0"/>
                <w:color w:val="000000"/>
                <w:kern w:val="0"/>
                <w:sz w:val="24"/>
                <w:szCs w:val="24"/>
                <w:lang w:val="en-US" w:eastAsia="en-US" w:bidi="ar-SA"/>
              </w:rPr>
            </w:pPr>
            <w:r>
              <w:rPr>
                <w:spacing w:val="3"/>
                <w:sz w:val="24"/>
                <w:szCs w:val="24"/>
              </w:rPr>
              <w:t>04B005</w:t>
            </w:r>
          </w:p>
        </w:tc>
        <w:tc>
          <w:tcPr>
            <w:tcW w:w="759" w:type="pct"/>
            <w:shd w:val="clear" w:color="auto" w:fill="auto"/>
            <w:vAlign w:val="top"/>
          </w:tcPr>
          <w:p w14:paraId="4651E57E">
            <w:pPr>
              <w:pStyle w:val="133"/>
              <w:spacing w:before="60" w:line="230" w:lineRule="auto"/>
              <w:ind w:left="23" w:leftChars="0"/>
              <w:rPr>
                <w:rFonts w:ascii="宋体" w:hAnsi="宋体" w:eastAsia="宋体" w:cs="宋体"/>
                <w:snapToGrid w:val="0"/>
                <w:color w:val="000000"/>
                <w:kern w:val="0"/>
                <w:sz w:val="24"/>
                <w:szCs w:val="24"/>
                <w:lang w:val="en-US" w:eastAsia="en-US" w:bidi="ar-SA"/>
              </w:rPr>
            </w:pPr>
            <w:r>
              <w:rPr>
                <w:spacing w:val="8"/>
                <w:sz w:val="24"/>
                <w:szCs w:val="24"/>
              </w:rPr>
              <w:t>修复围挡绿草皮</w:t>
            </w:r>
          </w:p>
        </w:tc>
        <w:tc>
          <w:tcPr>
            <w:tcW w:w="1173" w:type="pct"/>
            <w:shd w:val="clear" w:color="auto" w:fill="auto"/>
            <w:vAlign w:val="top"/>
          </w:tcPr>
          <w:p w14:paraId="63C0D884">
            <w:pPr>
              <w:rPr>
                <w:rFonts w:ascii="Arial" w:hAnsi="Arial" w:eastAsia="Arial" w:cs="Arial"/>
                <w:snapToGrid w:val="0"/>
                <w:color w:val="000000"/>
                <w:kern w:val="0"/>
                <w:sz w:val="24"/>
                <w:szCs w:val="24"/>
                <w:lang w:val="en-US" w:eastAsia="en-US" w:bidi="ar-SA"/>
              </w:rPr>
            </w:pPr>
          </w:p>
        </w:tc>
        <w:tc>
          <w:tcPr>
            <w:tcW w:w="610" w:type="pct"/>
            <w:shd w:val="clear" w:color="auto" w:fill="auto"/>
            <w:vAlign w:val="top"/>
          </w:tcPr>
          <w:p w14:paraId="21B5906C">
            <w:pPr>
              <w:pStyle w:val="133"/>
              <w:spacing w:before="60" w:line="237" w:lineRule="auto"/>
              <w:ind w:left="205" w:leftChars="0"/>
              <w:rPr>
                <w:rFonts w:ascii="宋体" w:hAnsi="宋体" w:eastAsia="宋体" w:cs="宋体"/>
                <w:snapToGrid w:val="0"/>
                <w:color w:val="000000"/>
                <w:kern w:val="0"/>
                <w:sz w:val="24"/>
                <w:szCs w:val="24"/>
                <w:lang w:val="en-US" w:eastAsia="en-US" w:bidi="ar-SA"/>
              </w:rPr>
            </w:pPr>
            <w:r>
              <w:rPr>
                <w:spacing w:val="3"/>
                <w:sz w:val="24"/>
                <w:szCs w:val="24"/>
              </w:rPr>
              <w:t>m2</w:t>
            </w:r>
          </w:p>
        </w:tc>
        <w:tc>
          <w:tcPr>
            <w:tcW w:w="681" w:type="pct"/>
            <w:shd w:val="clear" w:color="auto" w:fill="auto"/>
            <w:vAlign w:val="top"/>
          </w:tcPr>
          <w:p w14:paraId="720D1B6B">
            <w:pPr>
              <w:pStyle w:val="133"/>
              <w:spacing w:before="60" w:line="237" w:lineRule="auto"/>
              <w:ind w:left="374" w:leftChars="0"/>
              <w:rPr>
                <w:rFonts w:ascii="宋体" w:hAnsi="宋体" w:eastAsia="宋体" w:cs="宋体"/>
                <w:snapToGrid w:val="0"/>
                <w:color w:val="000000"/>
                <w:kern w:val="0"/>
                <w:sz w:val="24"/>
                <w:szCs w:val="24"/>
                <w:lang w:val="en-US" w:eastAsia="en-US" w:bidi="ar-SA"/>
              </w:rPr>
            </w:pPr>
            <w:r>
              <w:rPr>
                <w:sz w:val="24"/>
                <w:szCs w:val="24"/>
              </w:rPr>
              <w:t>1</w:t>
            </w:r>
          </w:p>
        </w:tc>
        <w:tc>
          <w:tcPr>
            <w:tcW w:w="758" w:type="pct"/>
            <w:shd w:val="clear" w:color="auto" w:fill="auto"/>
            <w:vAlign w:val="top"/>
          </w:tcPr>
          <w:p w14:paraId="605F7F97">
            <w:pPr>
              <w:pStyle w:val="133"/>
              <w:spacing w:before="87" w:line="213" w:lineRule="auto"/>
              <w:ind w:left="39" w:leftChars="0" w:right="55" w:rightChars="0"/>
              <w:jc w:val="center"/>
              <w:rPr>
                <w:rFonts w:hint="eastAsia" w:ascii="宋体" w:hAnsi="宋体" w:eastAsia="宋体" w:cs="宋体"/>
                <w:snapToGrid w:val="0"/>
                <w:color w:val="000000"/>
                <w:kern w:val="0"/>
                <w:sz w:val="24"/>
                <w:szCs w:val="24"/>
                <w:lang w:val="en-US" w:eastAsia="zh-CN" w:bidi="ar-SA"/>
              </w:rPr>
            </w:pPr>
            <w:r>
              <w:rPr>
                <w:rFonts w:hint="eastAsia"/>
                <w:sz w:val="24"/>
                <w:szCs w:val="24"/>
                <w:lang w:val="en-US" w:eastAsia="zh-CN"/>
              </w:rPr>
              <w:t>21</w:t>
            </w:r>
          </w:p>
        </w:tc>
      </w:tr>
      <w:tr w14:paraId="3FE3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241" w:type="pct"/>
            <w:gridSpan w:val="6"/>
            <w:tcBorders>
              <w:left w:val="single" w:color="000000" w:sz="10" w:space="0"/>
            </w:tcBorders>
            <w:vAlign w:val="top"/>
          </w:tcPr>
          <w:p w14:paraId="1BE5333E">
            <w:pPr>
              <w:pStyle w:val="133"/>
              <w:spacing w:before="55" w:line="232" w:lineRule="exact"/>
              <w:ind w:left="373"/>
              <w:rPr>
                <w:rFonts w:hint="eastAsia" w:eastAsia="宋体"/>
                <w:position w:val="1"/>
                <w:sz w:val="24"/>
                <w:szCs w:val="24"/>
                <w:lang w:val="en-US" w:eastAsia="zh-CN"/>
              </w:rPr>
            </w:pPr>
            <w:r>
              <w:rPr>
                <w:rFonts w:hint="eastAsia"/>
                <w:position w:val="1"/>
                <w:sz w:val="24"/>
                <w:szCs w:val="24"/>
                <w:lang w:val="en-US" w:eastAsia="zh-CN"/>
              </w:rPr>
              <w:t>合计</w:t>
            </w:r>
          </w:p>
        </w:tc>
        <w:tc>
          <w:tcPr>
            <w:tcW w:w="758" w:type="pct"/>
            <w:vAlign w:val="top"/>
          </w:tcPr>
          <w:p w14:paraId="7BDF13EF">
            <w:pPr>
              <w:pStyle w:val="133"/>
              <w:spacing w:before="56" w:line="232" w:lineRule="exact"/>
              <w:jc w:val="both"/>
              <w:rPr>
                <w:rFonts w:hint="default"/>
                <w:position w:val="1"/>
                <w:sz w:val="24"/>
                <w:szCs w:val="24"/>
                <w:lang w:val="en-US" w:eastAsia="zh-CN"/>
              </w:rPr>
            </w:pPr>
            <w:r>
              <w:rPr>
                <w:rFonts w:hint="eastAsia"/>
                <w:position w:val="1"/>
                <w:sz w:val="24"/>
                <w:szCs w:val="24"/>
                <w:lang w:val="en-US" w:eastAsia="zh-CN"/>
              </w:rPr>
              <w:t>17331.62</w:t>
            </w:r>
          </w:p>
        </w:tc>
      </w:tr>
    </w:tbl>
    <w:p w14:paraId="060A24AB">
      <w:pPr>
        <w:pStyle w:val="22"/>
        <w:rPr>
          <w:rFonts w:hint="eastAsia" w:ascii="宋体" w:hAnsi="宋体" w:eastAsia="宋体" w:cs="宋体"/>
          <w:highlight w:val="yellow"/>
          <w:lang w:val="en-US" w:eastAsia="zh-CN"/>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3529">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4F803">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34F803">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09ED">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935D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A935D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C257B">
    <w:pPr>
      <w:pStyle w:val="23"/>
      <w:pBdr>
        <w:bottom w:val="none" w:color="auto" w:sz="0" w:space="1"/>
      </w:pBdr>
      <w:rPr>
        <w:rFonts w:hint="eastAsia" w:eastAsia="仿宋_GB2312"/>
        <w:lang w:eastAsia="zh-CN"/>
      </w:rPr>
    </w:pPr>
    <w:r>
      <w:rPr>
        <w:rFonts w:hint="eastAsia" w:ascii="仿宋_GB2312" w:eastAsia="仿宋_GB2312"/>
        <w:b/>
        <w:sz w:val="21"/>
        <w:szCs w:val="21"/>
        <w:u w:val="single"/>
      </w:rPr>
      <w:t>公开招标文件</w:t>
    </w:r>
    <w:r>
      <w:rPr>
        <w:rFonts w:ascii="仿宋_GB2312" w:eastAsia="仿宋_GB2312"/>
        <w:b/>
        <w:sz w:val="21"/>
        <w:szCs w:val="21"/>
        <w:u w:val="single"/>
      </w:rPr>
      <w:t xml:space="preserve">                      </w:t>
    </w:r>
    <w:r>
      <w:rPr>
        <w:rFonts w:hint="eastAsia" w:ascii="仿宋_GB2312" w:eastAsia="仿宋_GB2312"/>
        <w:b/>
        <w:sz w:val="21"/>
        <w:szCs w:val="21"/>
        <w:u w:val="single"/>
        <w:lang w:val="en-US" w:eastAsia="zh-CN"/>
      </w:rPr>
      <w:t xml:space="preserve">      </w:t>
    </w:r>
    <w:r>
      <w:rPr>
        <w:rFonts w:hint="eastAsia" w:ascii="仿宋_GB2312" w:eastAsia="仿宋_GB2312"/>
        <w:b/>
        <w:sz w:val="21"/>
        <w:szCs w:val="21"/>
        <w:u w:val="single"/>
      </w:rPr>
      <w:t xml:space="preserve">     </w:t>
    </w:r>
    <w:r>
      <w:rPr>
        <w:rFonts w:hint="eastAsia" w:ascii="仿宋_GB2312" w:eastAsia="仿宋_GB2312"/>
        <w:b/>
        <w:sz w:val="21"/>
        <w:szCs w:val="21"/>
        <w:u w:val="single"/>
        <w:lang w:eastAsia="zh-CN"/>
      </w:rPr>
      <w:t>青海浩驰公招（服务）2026-090号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835CB"/>
    <w:multiLevelType w:val="singleLevel"/>
    <w:tmpl w:val="8D3835CB"/>
    <w:lvl w:ilvl="0" w:tentative="0">
      <w:start w:val="4"/>
      <w:numFmt w:val="decimal"/>
      <w:lvlText w:val="%1."/>
      <w:lvlJc w:val="left"/>
      <w:pPr>
        <w:tabs>
          <w:tab w:val="left" w:pos="312"/>
        </w:tabs>
      </w:pPr>
    </w:lvl>
  </w:abstractNum>
  <w:abstractNum w:abstractNumId="1">
    <w:nsid w:val="AE48269C"/>
    <w:multiLevelType w:val="singleLevel"/>
    <w:tmpl w:val="AE48269C"/>
    <w:lvl w:ilvl="0" w:tentative="0">
      <w:start w:val="2"/>
      <w:numFmt w:val="chineseCounting"/>
      <w:suff w:val="nothing"/>
      <w:lvlText w:val="（%1）"/>
      <w:lvlJc w:val="left"/>
      <w:rPr>
        <w:rFonts w:hint="eastAsia"/>
      </w:rPr>
    </w:lvl>
  </w:abstractNum>
  <w:abstractNum w:abstractNumId="2">
    <w:nsid w:val="C0550CD0"/>
    <w:multiLevelType w:val="singleLevel"/>
    <w:tmpl w:val="C0550CD0"/>
    <w:lvl w:ilvl="0" w:tentative="0">
      <w:start w:val="4"/>
      <w:numFmt w:val="decimal"/>
      <w:suff w:val="nothing"/>
      <w:lvlText w:val="（%1）"/>
      <w:lvlJc w:val="left"/>
    </w:lvl>
  </w:abstractNum>
  <w:abstractNum w:abstractNumId="3">
    <w:nsid w:val="ED3853E9"/>
    <w:multiLevelType w:val="singleLevel"/>
    <w:tmpl w:val="ED3853E9"/>
    <w:lvl w:ilvl="0" w:tentative="0">
      <w:start w:val="3"/>
      <w:numFmt w:val="decimal"/>
      <w:suff w:val="nothing"/>
      <w:lvlText w:val="（%1）"/>
      <w:lvlJc w:val="left"/>
    </w:lvl>
  </w:abstractNum>
  <w:abstractNum w:abstractNumId="4">
    <w:nsid w:val="0D1F05CB"/>
    <w:multiLevelType w:val="multilevel"/>
    <w:tmpl w:val="0D1F05CB"/>
    <w:lvl w:ilvl="0" w:tentative="0">
      <w:start w:val="1"/>
      <w:numFmt w:val="decimal"/>
      <w:pStyle w:val="97"/>
      <w:lvlText w:val="%1"/>
      <w:lvlJc w:val="left"/>
      <w:pPr>
        <w:ind w:left="425" w:hanging="425"/>
      </w:pPr>
      <w:rPr>
        <w:rFonts w:hint="default" w:ascii="Times New Roman" w:hAnsi="Times New Roman" w:cs="Times New Roman"/>
      </w:rPr>
    </w:lvl>
    <w:lvl w:ilvl="1" w:tentative="0">
      <w:start w:val="1"/>
      <w:numFmt w:val="decimal"/>
      <w:pStyle w:val="96"/>
      <w:lvlText w:val="%1.%2"/>
      <w:lvlJc w:val="left"/>
      <w:pPr>
        <w:ind w:left="567" w:hanging="567"/>
      </w:pPr>
      <w:rPr>
        <w:rFonts w:hint="default" w:ascii="Times New Roman" w:hAnsi="Times New Roman" w:eastAsia="楷体" w:cs="Times New Roman"/>
        <w:b/>
      </w:rPr>
    </w:lvl>
    <w:lvl w:ilvl="2" w:tentative="0">
      <w:start w:val="1"/>
      <w:numFmt w:val="decimal"/>
      <w:pStyle w:val="100"/>
      <w:lvlText w:val="%1.%2.%3"/>
      <w:lvlJc w:val="left"/>
      <w:pPr>
        <w:ind w:left="567" w:hanging="567"/>
      </w:pPr>
      <w:rPr>
        <w:rFonts w:hint="default" w:ascii="Times New Roman" w:hAnsi="Times New Roman" w:eastAsia="黑体" w:cs="Times New Roman"/>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DE4C7F9"/>
    <w:multiLevelType w:val="singleLevel"/>
    <w:tmpl w:val="1DE4C7F9"/>
    <w:lvl w:ilvl="0" w:tentative="0">
      <w:start w:val="1"/>
      <w:numFmt w:val="decimal"/>
      <w:lvlText w:val="%1."/>
      <w:lvlJc w:val="left"/>
      <w:pPr>
        <w:tabs>
          <w:tab w:val="left" w:pos="312"/>
        </w:tabs>
      </w:pPr>
    </w:lvl>
  </w:abstractNum>
  <w:abstractNum w:abstractNumId="6">
    <w:nsid w:val="59B11739"/>
    <w:multiLevelType w:val="singleLevel"/>
    <w:tmpl w:val="59B11739"/>
    <w:lvl w:ilvl="0" w:tentative="0">
      <w:start w:val="1"/>
      <w:numFmt w:val="decimal"/>
      <w:suff w:val="nothing"/>
      <w:lvlText w:val="（%1）"/>
      <w:lvlJc w:val="left"/>
    </w:lvl>
  </w:abstractNum>
  <w:abstractNum w:abstractNumId="7">
    <w:nsid w:val="59FC3CC6"/>
    <w:multiLevelType w:val="singleLevel"/>
    <w:tmpl w:val="59FC3CC6"/>
    <w:lvl w:ilvl="0" w:tentative="0">
      <w:start w:val="1"/>
      <w:numFmt w:val="decimal"/>
      <w:suff w:val="nothing"/>
      <w:lvlText w:val="（%1）"/>
      <w:lvlJc w:val="left"/>
      <w:pPr>
        <w:ind w:left="0"/>
      </w:pPr>
    </w:lvl>
  </w:abstractNum>
  <w:abstractNum w:abstractNumId="8">
    <w:nsid w:val="59FC3E95"/>
    <w:multiLevelType w:val="singleLevel"/>
    <w:tmpl w:val="59FC3E95"/>
    <w:lvl w:ilvl="0" w:tentative="0">
      <w:start w:val="1"/>
      <w:numFmt w:val="decimal"/>
      <w:lvlText w:val="(%1)"/>
      <w:lvlJc w:val="left"/>
      <w:pPr>
        <w:tabs>
          <w:tab w:val="left" w:pos="312"/>
        </w:tabs>
      </w:pPr>
    </w:lvl>
  </w:abstractNum>
  <w:abstractNum w:abstractNumId="9">
    <w:nsid w:val="59FC4271"/>
    <w:multiLevelType w:val="singleLevel"/>
    <w:tmpl w:val="59FC4271"/>
    <w:lvl w:ilvl="0" w:tentative="0">
      <w:start w:val="1"/>
      <w:numFmt w:val="decimal"/>
      <w:suff w:val="nothing"/>
      <w:lvlText w:val="（%1）"/>
      <w:lvlJc w:val="left"/>
    </w:lvl>
  </w:abstractNum>
  <w:abstractNum w:abstractNumId="10">
    <w:nsid w:val="59FC4698"/>
    <w:multiLevelType w:val="singleLevel"/>
    <w:tmpl w:val="59FC4698"/>
    <w:lvl w:ilvl="0" w:tentative="0">
      <w:start w:val="1"/>
      <w:numFmt w:val="decimal"/>
      <w:suff w:val="nothing"/>
      <w:lvlText w:val="（%1）"/>
      <w:lvlJc w:val="left"/>
    </w:lvl>
  </w:abstractNum>
  <w:abstractNum w:abstractNumId="11">
    <w:nsid w:val="59FC4CCC"/>
    <w:multiLevelType w:val="singleLevel"/>
    <w:tmpl w:val="59FC4CCC"/>
    <w:lvl w:ilvl="0" w:tentative="0">
      <w:start w:val="1"/>
      <w:numFmt w:val="decimal"/>
      <w:suff w:val="nothing"/>
      <w:lvlText w:val="（%1）"/>
      <w:lvlJc w:val="left"/>
    </w:lvl>
  </w:abstractNum>
  <w:abstractNum w:abstractNumId="12">
    <w:nsid w:val="7B82D156"/>
    <w:multiLevelType w:val="singleLevel"/>
    <w:tmpl w:val="7B82D156"/>
    <w:lvl w:ilvl="0" w:tentative="0">
      <w:start w:val="2"/>
      <w:numFmt w:val="decimal"/>
      <w:lvlText w:val="%1."/>
      <w:lvlJc w:val="left"/>
      <w:pPr>
        <w:tabs>
          <w:tab w:val="left" w:pos="312"/>
        </w:tabs>
        <w:ind w:left="480" w:firstLine="0"/>
      </w:pPr>
    </w:lvl>
  </w:abstractNum>
  <w:num w:numId="1">
    <w:abstractNumId w:val="4"/>
  </w:num>
  <w:num w:numId="2">
    <w:abstractNumId w:val="7"/>
  </w:num>
  <w:num w:numId="3">
    <w:abstractNumId w:val="8"/>
  </w:num>
  <w:num w:numId="4">
    <w:abstractNumId w:val="9"/>
  </w:num>
  <w:num w:numId="5">
    <w:abstractNumId w:val="10"/>
  </w:num>
  <w:num w:numId="6">
    <w:abstractNumId w:val="11"/>
  </w:num>
  <w:num w:numId="7">
    <w:abstractNumId w:val="3"/>
  </w:num>
  <w:num w:numId="8">
    <w:abstractNumId w:val="2"/>
  </w:num>
  <w:num w:numId="9">
    <w:abstractNumId w:val="6"/>
  </w:num>
  <w:num w:numId="10">
    <w:abstractNumId w:val="1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9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iNjExZWE5ZTBmMmRkNmE5YWMwNzhjZGQ2MDBjOGEifQ=="/>
    <w:docVar w:name="KSO_WPS_MARK_KEY" w:val="35b2f815-a8f9-486d-bd4b-8474326acc8d"/>
  </w:docVars>
  <w:rsids>
    <w:rsidRoot w:val="00686935"/>
    <w:rsid w:val="00004607"/>
    <w:rsid w:val="00006C2E"/>
    <w:rsid w:val="00010F33"/>
    <w:rsid w:val="00012284"/>
    <w:rsid w:val="00012767"/>
    <w:rsid w:val="0001391F"/>
    <w:rsid w:val="0001401E"/>
    <w:rsid w:val="0002777A"/>
    <w:rsid w:val="000302DB"/>
    <w:rsid w:val="000329D9"/>
    <w:rsid w:val="000333DB"/>
    <w:rsid w:val="000353E8"/>
    <w:rsid w:val="00041486"/>
    <w:rsid w:val="00046388"/>
    <w:rsid w:val="0004773B"/>
    <w:rsid w:val="0005386C"/>
    <w:rsid w:val="00053F84"/>
    <w:rsid w:val="000540BE"/>
    <w:rsid w:val="000604A5"/>
    <w:rsid w:val="00065706"/>
    <w:rsid w:val="00065D17"/>
    <w:rsid w:val="0007570E"/>
    <w:rsid w:val="00080452"/>
    <w:rsid w:val="000836E4"/>
    <w:rsid w:val="00083A2A"/>
    <w:rsid w:val="0008609F"/>
    <w:rsid w:val="000865CC"/>
    <w:rsid w:val="000875EB"/>
    <w:rsid w:val="000A3592"/>
    <w:rsid w:val="000A6708"/>
    <w:rsid w:val="000A6DF3"/>
    <w:rsid w:val="000B0CB7"/>
    <w:rsid w:val="000B4D2D"/>
    <w:rsid w:val="000B581D"/>
    <w:rsid w:val="000B652B"/>
    <w:rsid w:val="000C0D8F"/>
    <w:rsid w:val="000C2C05"/>
    <w:rsid w:val="000C2C06"/>
    <w:rsid w:val="000C38E9"/>
    <w:rsid w:val="000D28C8"/>
    <w:rsid w:val="000D2AAD"/>
    <w:rsid w:val="000D5A34"/>
    <w:rsid w:val="000E0907"/>
    <w:rsid w:val="000E57F7"/>
    <w:rsid w:val="000E5B3B"/>
    <w:rsid w:val="000E7B1D"/>
    <w:rsid w:val="000F2C75"/>
    <w:rsid w:val="000F51BE"/>
    <w:rsid w:val="000F5C05"/>
    <w:rsid w:val="00102BAF"/>
    <w:rsid w:val="00121632"/>
    <w:rsid w:val="00147594"/>
    <w:rsid w:val="00150ABF"/>
    <w:rsid w:val="00151A00"/>
    <w:rsid w:val="001522D9"/>
    <w:rsid w:val="00154251"/>
    <w:rsid w:val="00160479"/>
    <w:rsid w:val="001656BA"/>
    <w:rsid w:val="00170D2A"/>
    <w:rsid w:val="0017311E"/>
    <w:rsid w:val="00174763"/>
    <w:rsid w:val="00181E12"/>
    <w:rsid w:val="00183207"/>
    <w:rsid w:val="00187489"/>
    <w:rsid w:val="001978C2"/>
    <w:rsid w:val="001A0922"/>
    <w:rsid w:val="001A1BD5"/>
    <w:rsid w:val="001B3699"/>
    <w:rsid w:val="001B603E"/>
    <w:rsid w:val="001C2819"/>
    <w:rsid w:val="001C6A65"/>
    <w:rsid w:val="001D6AD4"/>
    <w:rsid w:val="001F4555"/>
    <w:rsid w:val="001F5C10"/>
    <w:rsid w:val="001F67C5"/>
    <w:rsid w:val="00201034"/>
    <w:rsid w:val="002133D4"/>
    <w:rsid w:val="0022149E"/>
    <w:rsid w:val="00221A53"/>
    <w:rsid w:val="00225A81"/>
    <w:rsid w:val="00227CA6"/>
    <w:rsid w:val="0023151D"/>
    <w:rsid w:val="002361DF"/>
    <w:rsid w:val="00240473"/>
    <w:rsid w:val="0024446D"/>
    <w:rsid w:val="00253C5D"/>
    <w:rsid w:val="00255D41"/>
    <w:rsid w:val="00261698"/>
    <w:rsid w:val="002630BB"/>
    <w:rsid w:val="00265472"/>
    <w:rsid w:val="00267527"/>
    <w:rsid w:val="00271C7E"/>
    <w:rsid w:val="00276453"/>
    <w:rsid w:val="00277219"/>
    <w:rsid w:val="002816D0"/>
    <w:rsid w:val="00283FF2"/>
    <w:rsid w:val="00285F5E"/>
    <w:rsid w:val="00286755"/>
    <w:rsid w:val="00294A23"/>
    <w:rsid w:val="002A085C"/>
    <w:rsid w:val="002A60D5"/>
    <w:rsid w:val="002A6A11"/>
    <w:rsid w:val="002B06E5"/>
    <w:rsid w:val="002B777E"/>
    <w:rsid w:val="002C1F9B"/>
    <w:rsid w:val="002C5D73"/>
    <w:rsid w:val="002C7475"/>
    <w:rsid w:val="002D2150"/>
    <w:rsid w:val="002D3055"/>
    <w:rsid w:val="002D5E45"/>
    <w:rsid w:val="002E4BCC"/>
    <w:rsid w:val="002E7D8F"/>
    <w:rsid w:val="002F5CDC"/>
    <w:rsid w:val="003001CE"/>
    <w:rsid w:val="00302443"/>
    <w:rsid w:val="003046DB"/>
    <w:rsid w:val="003064D4"/>
    <w:rsid w:val="00316F67"/>
    <w:rsid w:val="00323197"/>
    <w:rsid w:val="00334737"/>
    <w:rsid w:val="00352249"/>
    <w:rsid w:val="00354E8F"/>
    <w:rsid w:val="003637BB"/>
    <w:rsid w:val="0036431D"/>
    <w:rsid w:val="00373DD2"/>
    <w:rsid w:val="00374199"/>
    <w:rsid w:val="00375CF6"/>
    <w:rsid w:val="0038064F"/>
    <w:rsid w:val="003829F9"/>
    <w:rsid w:val="003850AB"/>
    <w:rsid w:val="003973B3"/>
    <w:rsid w:val="003A04D1"/>
    <w:rsid w:val="003A0824"/>
    <w:rsid w:val="003A0ED3"/>
    <w:rsid w:val="003A5CEF"/>
    <w:rsid w:val="003B0A7C"/>
    <w:rsid w:val="003B3433"/>
    <w:rsid w:val="003B5F74"/>
    <w:rsid w:val="003B6136"/>
    <w:rsid w:val="003B6E91"/>
    <w:rsid w:val="003C010A"/>
    <w:rsid w:val="003C3230"/>
    <w:rsid w:val="003C3644"/>
    <w:rsid w:val="003D3BFB"/>
    <w:rsid w:val="003F06C2"/>
    <w:rsid w:val="004000F4"/>
    <w:rsid w:val="00413C09"/>
    <w:rsid w:val="0041505E"/>
    <w:rsid w:val="00415661"/>
    <w:rsid w:val="004173C4"/>
    <w:rsid w:val="004225EB"/>
    <w:rsid w:val="00422F75"/>
    <w:rsid w:val="00423104"/>
    <w:rsid w:val="0043577F"/>
    <w:rsid w:val="00437427"/>
    <w:rsid w:val="00437A53"/>
    <w:rsid w:val="0044450A"/>
    <w:rsid w:val="00444D64"/>
    <w:rsid w:val="00445777"/>
    <w:rsid w:val="004479E5"/>
    <w:rsid w:val="0045180C"/>
    <w:rsid w:val="00456BAD"/>
    <w:rsid w:val="00456D62"/>
    <w:rsid w:val="00464431"/>
    <w:rsid w:val="00465EC2"/>
    <w:rsid w:val="004728B8"/>
    <w:rsid w:val="0047406A"/>
    <w:rsid w:val="00475309"/>
    <w:rsid w:val="00482F37"/>
    <w:rsid w:val="004864BA"/>
    <w:rsid w:val="0048778F"/>
    <w:rsid w:val="004919C2"/>
    <w:rsid w:val="004A1525"/>
    <w:rsid w:val="004A1CBF"/>
    <w:rsid w:val="004A7B95"/>
    <w:rsid w:val="004B35C8"/>
    <w:rsid w:val="004B4B99"/>
    <w:rsid w:val="004C24AF"/>
    <w:rsid w:val="004C3974"/>
    <w:rsid w:val="004D2AF3"/>
    <w:rsid w:val="004D2FB9"/>
    <w:rsid w:val="004D3322"/>
    <w:rsid w:val="004D4AEB"/>
    <w:rsid w:val="004E0ECB"/>
    <w:rsid w:val="004E296C"/>
    <w:rsid w:val="004E32E4"/>
    <w:rsid w:val="004E3524"/>
    <w:rsid w:val="004E43BF"/>
    <w:rsid w:val="004E71AC"/>
    <w:rsid w:val="004F5E27"/>
    <w:rsid w:val="00503989"/>
    <w:rsid w:val="00522917"/>
    <w:rsid w:val="005241C1"/>
    <w:rsid w:val="005261BA"/>
    <w:rsid w:val="00527935"/>
    <w:rsid w:val="005316B5"/>
    <w:rsid w:val="0055204B"/>
    <w:rsid w:val="00555C7E"/>
    <w:rsid w:val="00556DFD"/>
    <w:rsid w:val="005600D5"/>
    <w:rsid w:val="00565A69"/>
    <w:rsid w:val="00571E62"/>
    <w:rsid w:val="00580E9F"/>
    <w:rsid w:val="00585952"/>
    <w:rsid w:val="00590F9E"/>
    <w:rsid w:val="005A0C4D"/>
    <w:rsid w:val="005A4A09"/>
    <w:rsid w:val="005A724E"/>
    <w:rsid w:val="005B3886"/>
    <w:rsid w:val="005B3C14"/>
    <w:rsid w:val="005B5287"/>
    <w:rsid w:val="005B6B7A"/>
    <w:rsid w:val="005C2BFE"/>
    <w:rsid w:val="005C2E55"/>
    <w:rsid w:val="005C5321"/>
    <w:rsid w:val="005C7271"/>
    <w:rsid w:val="005E0E0E"/>
    <w:rsid w:val="005E1896"/>
    <w:rsid w:val="005F074C"/>
    <w:rsid w:val="005F4E90"/>
    <w:rsid w:val="00603144"/>
    <w:rsid w:val="006044CD"/>
    <w:rsid w:val="006051C5"/>
    <w:rsid w:val="00606693"/>
    <w:rsid w:val="0060758E"/>
    <w:rsid w:val="00607C82"/>
    <w:rsid w:val="00611517"/>
    <w:rsid w:val="00614B34"/>
    <w:rsid w:val="0061664F"/>
    <w:rsid w:val="006247C6"/>
    <w:rsid w:val="00625384"/>
    <w:rsid w:val="00632C01"/>
    <w:rsid w:val="00641128"/>
    <w:rsid w:val="0064207B"/>
    <w:rsid w:val="00642D31"/>
    <w:rsid w:val="0065456E"/>
    <w:rsid w:val="006557C8"/>
    <w:rsid w:val="00657231"/>
    <w:rsid w:val="00660E11"/>
    <w:rsid w:val="006610D8"/>
    <w:rsid w:val="00661BA5"/>
    <w:rsid w:val="00667012"/>
    <w:rsid w:val="0067722F"/>
    <w:rsid w:val="006825AC"/>
    <w:rsid w:val="00686935"/>
    <w:rsid w:val="00687D7D"/>
    <w:rsid w:val="00691A17"/>
    <w:rsid w:val="00692581"/>
    <w:rsid w:val="00694657"/>
    <w:rsid w:val="00694FB9"/>
    <w:rsid w:val="006952D0"/>
    <w:rsid w:val="0069602E"/>
    <w:rsid w:val="006A5595"/>
    <w:rsid w:val="006B0631"/>
    <w:rsid w:val="006B1F45"/>
    <w:rsid w:val="006C2A45"/>
    <w:rsid w:val="006D2B28"/>
    <w:rsid w:val="006D73EB"/>
    <w:rsid w:val="006D7894"/>
    <w:rsid w:val="006E5C8C"/>
    <w:rsid w:val="006E660D"/>
    <w:rsid w:val="006F078B"/>
    <w:rsid w:val="006F4CF1"/>
    <w:rsid w:val="00706A60"/>
    <w:rsid w:val="00706FCC"/>
    <w:rsid w:val="007109C6"/>
    <w:rsid w:val="00711044"/>
    <w:rsid w:val="00720A0D"/>
    <w:rsid w:val="00723C48"/>
    <w:rsid w:val="00725A21"/>
    <w:rsid w:val="007262EE"/>
    <w:rsid w:val="0072636A"/>
    <w:rsid w:val="00737C69"/>
    <w:rsid w:val="0075045E"/>
    <w:rsid w:val="00752BB5"/>
    <w:rsid w:val="00760DDF"/>
    <w:rsid w:val="00766BE9"/>
    <w:rsid w:val="00776220"/>
    <w:rsid w:val="00777958"/>
    <w:rsid w:val="007876DF"/>
    <w:rsid w:val="007925E5"/>
    <w:rsid w:val="00793BD2"/>
    <w:rsid w:val="0079626F"/>
    <w:rsid w:val="007A0549"/>
    <w:rsid w:val="007A4E18"/>
    <w:rsid w:val="007A5C38"/>
    <w:rsid w:val="007A7AA5"/>
    <w:rsid w:val="007A7BB7"/>
    <w:rsid w:val="007B0530"/>
    <w:rsid w:val="007B4D66"/>
    <w:rsid w:val="007C059C"/>
    <w:rsid w:val="007C1234"/>
    <w:rsid w:val="007C3279"/>
    <w:rsid w:val="007C3AB6"/>
    <w:rsid w:val="007C6E00"/>
    <w:rsid w:val="007D4F9E"/>
    <w:rsid w:val="007D539C"/>
    <w:rsid w:val="007D66DC"/>
    <w:rsid w:val="007E0724"/>
    <w:rsid w:val="007E1DE5"/>
    <w:rsid w:val="007E4984"/>
    <w:rsid w:val="007E790F"/>
    <w:rsid w:val="007F221C"/>
    <w:rsid w:val="007F45BD"/>
    <w:rsid w:val="007F5C63"/>
    <w:rsid w:val="007F5E2E"/>
    <w:rsid w:val="008004A5"/>
    <w:rsid w:val="008018EA"/>
    <w:rsid w:val="0080510A"/>
    <w:rsid w:val="0080787B"/>
    <w:rsid w:val="008105F5"/>
    <w:rsid w:val="00816D7C"/>
    <w:rsid w:val="00817F1A"/>
    <w:rsid w:val="00823282"/>
    <w:rsid w:val="00826D51"/>
    <w:rsid w:val="008304C0"/>
    <w:rsid w:val="0083064E"/>
    <w:rsid w:val="0083160A"/>
    <w:rsid w:val="00834F5E"/>
    <w:rsid w:val="00835599"/>
    <w:rsid w:val="00837F2C"/>
    <w:rsid w:val="0084183E"/>
    <w:rsid w:val="008547C6"/>
    <w:rsid w:val="00855188"/>
    <w:rsid w:val="00857398"/>
    <w:rsid w:val="00863600"/>
    <w:rsid w:val="00864848"/>
    <w:rsid w:val="00870AFD"/>
    <w:rsid w:val="00871646"/>
    <w:rsid w:val="008724E7"/>
    <w:rsid w:val="008812F9"/>
    <w:rsid w:val="0088679E"/>
    <w:rsid w:val="00887279"/>
    <w:rsid w:val="00894E70"/>
    <w:rsid w:val="0089564E"/>
    <w:rsid w:val="00897682"/>
    <w:rsid w:val="008A03E4"/>
    <w:rsid w:val="008A504B"/>
    <w:rsid w:val="008A75CB"/>
    <w:rsid w:val="008B3CBC"/>
    <w:rsid w:val="008C25C7"/>
    <w:rsid w:val="008C310D"/>
    <w:rsid w:val="008C7CC8"/>
    <w:rsid w:val="008D128B"/>
    <w:rsid w:val="008D16B3"/>
    <w:rsid w:val="008D6341"/>
    <w:rsid w:val="008E3C63"/>
    <w:rsid w:val="008F6B95"/>
    <w:rsid w:val="0090105F"/>
    <w:rsid w:val="0090298A"/>
    <w:rsid w:val="00904654"/>
    <w:rsid w:val="00907AB3"/>
    <w:rsid w:val="00911746"/>
    <w:rsid w:val="00915D8E"/>
    <w:rsid w:val="00917554"/>
    <w:rsid w:val="009304CE"/>
    <w:rsid w:val="00930882"/>
    <w:rsid w:val="00933672"/>
    <w:rsid w:val="009403BD"/>
    <w:rsid w:val="0094199B"/>
    <w:rsid w:val="00942454"/>
    <w:rsid w:val="00950D48"/>
    <w:rsid w:val="009518EC"/>
    <w:rsid w:val="009534D3"/>
    <w:rsid w:val="00963D0F"/>
    <w:rsid w:val="00973C56"/>
    <w:rsid w:val="0097673F"/>
    <w:rsid w:val="00977452"/>
    <w:rsid w:val="00980F4F"/>
    <w:rsid w:val="0099074C"/>
    <w:rsid w:val="00991D1A"/>
    <w:rsid w:val="00992FA0"/>
    <w:rsid w:val="009A4CE4"/>
    <w:rsid w:val="009A512D"/>
    <w:rsid w:val="009A5BA3"/>
    <w:rsid w:val="009A6238"/>
    <w:rsid w:val="009B1754"/>
    <w:rsid w:val="009B228C"/>
    <w:rsid w:val="009C0873"/>
    <w:rsid w:val="009C68F6"/>
    <w:rsid w:val="009D0EA5"/>
    <w:rsid w:val="009E048F"/>
    <w:rsid w:val="009E0F70"/>
    <w:rsid w:val="009F412D"/>
    <w:rsid w:val="009F4C02"/>
    <w:rsid w:val="009F4D00"/>
    <w:rsid w:val="009F71EC"/>
    <w:rsid w:val="009F7D4B"/>
    <w:rsid w:val="00A003CC"/>
    <w:rsid w:val="00A073E6"/>
    <w:rsid w:val="00A202F6"/>
    <w:rsid w:val="00A2288D"/>
    <w:rsid w:val="00A24965"/>
    <w:rsid w:val="00A25C86"/>
    <w:rsid w:val="00A2722E"/>
    <w:rsid w:val="00A27B25"/>
    <w:rsid w:val="00A30A2D"/>
    <w:rsid w:val="00A33375"/>
    <w:rsid w:val="00A33711"/>
    <w:rsid w:val="00A338E3"/>
    <w:rsid w:val="00A35B3A"/>
    <w:rsid w:val="00A35CC8"/>
    <w:rsid w:val="00A37D9E"/>
    <w:rsid w:val="00A41442"/>
    <w:rsid w:val="00A41D87"/>
    <w:rsid w:val="00A4294E"/>
    <w:rsid w:val="00A45FF3"/>
    <w:rsid w:val="00A51F53"/>
    <w:rsid w:val="00A54058"/>
    <w:rsid w:val="00A55CA7"/>
    <w:rsid w:val="00A60305"/>
    <w:rsid w:val="00A63E0F"/>
    <w:rsid w:val="00A670F8"/>
    <w:rsid w:val="00A67B8F"/>
    <w:rsid w:val="00A716F9"/>
    <w:rsid w:val="00A73F74"/>
    <w:rsid w:val="00A80A3F"/>
    <w:rsid w:val="00A82083"/>
    <w:rsid w:val="00A834D1"/>
    <w:rsid w:val="00A87250"/>
    <w:rsid w:val="00A87E30"/>
    <w:rsid w:val="00A94046"/>
    <w:rsid w:val="00A95088"/>
    <w:rsid w:val="00A959EC"/>
    <w:rsid w:val="00A95B30"/>
    <w:rsid w:val="00AA07F7"/>
    <w:rsid w:val="00AB10D8"/>
    <w:rsid w:val="00AB6052"/>
    <w:rsid w:val="00AD1488"/>
    <w:rsid w:val="00AD39F5"/>
    <w:rsid w:val="00AD47E1"/>
    <w:rsid w:val="00AE1382"/>
    <w:rsid w:val="00AE5EF4"/>
    <w:rsid w:val="00AF1317"/>
    <w:rsid w:val="00AF7D47"/>
    <w:rsid w:val="00B00CA6"/>
    <w:rsid w:val="00B028D8"/>
    <w:rsid w:val="00B04ABF"/>
    <w:rsid w:val="00B055EE"/>
    <w:rsid w:val="00B1123B"/>
    <w:rsid w:val="00B13061"/>
    <w:rsid w:val="00B16C6E"/>
    <w:rsid w:val="00B23A3B"/>
    <w:rsid w:val="00B26540"/>
    <w:rsid w:val="00B270AA"/>
    <w:rsid w:val="00B30F62"/>
    <w:rsid w:val="00B37428"/>
    <w:rsid w:val="00B404C7"/>
    <w:rsid w:val="00B41C53"/>
    <w:rsid w:val="00B41C7E"/>
    <w:rsid w:val="00B42641"/>
    <w:rsid w:val="00B44CCA"/>
    <w:rsid w:val="00B46F91"/>
    <w:rsid w:val="00B524EF"/>
    <w:rsid w:val="00B56A07"/>
    <w:rsid w:val="00B602F3"/>
    <w:rsid w:val="00B60327"/>
    <w:rsid w:val="00B65D82"/>
    <w:rsid w:val="00B75089"/>
    <w:rsid w:val="00B80555"/>
    <w:rsid w:val="00B81C5A"/>
    <w:rsid w:val="00B84075"/>
    <w:rsid w:val="00BA067D"/>
    <w:rsid w:val="00BA5DD6"/>
    <w:rsid w:val="00BA7D9A"/>
    <w:rsid w:val="00BB115F"/>
    <w:rsid w:val="00BB2275"/>
    <w:rsid w:val="00BB31A3"/>
    <w:rsid w:val="00BC0429"/>
    <w:rsid w:val="00BC069F"/>
    <w:rsid w:val="00BC1708"/>
    <w:rsid w:val="00BC3D12"/>
    <w:rsid w:val="00BD47FF"/>
    <w:rsid w:val="00BD752F"/>
    <w:rsid w:val="00BE18A1"/>
    <w:rsid w:val="00BE6400"/>
    <w:rsid w:val="00BF0E15"/>
    <w:rsid w:val="00BF1378"/>
    <w:rsid w:val="00BF5849"/>
    <w:rsid w:val="00C00458"/>
    <w:rsid w:val="00C0235F"/>
    <w:rsid w:val="00C02A98"/>
    <w:rsid w:val="00C02C78"/>
    <w:rsid w:val="00C079F3"/>
    <w:rsid w:val="00C11953"/>
    <w:rsid w:val="00C22A68"/>
    <w:rsid w:val="00C25C91"/>
    <w:rsid w:val="00C30358"/>
    <w:rsid w:val="00C30CA9"/>
    <w:rsid w:val="00C3322D"/>
    <w:rsid w:val="00C41BC3"/>
    <w:rsid w:val="00C44013"/>
    <w:rsid w:val="00C55392"/>
    <w:rsid w:val="00C557BB"/>
    <w:rsid w:val="00C5592F"/>
    <w:rsid w:val="00C569E9"/>
    <w:rsid w:val="00C5735C"/>
    <w:rsid w:val="00C65A11"/>
    <w:rsid w:val="00C66126"/>
    <w:rsid w:val="00C670C4"/>
    <w:rsid w:val="00C713FA"/>
    <w:rsid w:val="00C71ED8"/>
    <w:rsid w:val="00C80AE4"/>
    <w:rsid w:val="00C8351F"/>
    <w:rsid w:val="00C8381B"/>
    <w:rsid w:val="00C84863"/>
    <w:rsid w:val="00C91EC9"/>
    <w:rsid w:val="00C92BC5"/>
    <w:rsid w:val="00C93F6C"/>
    <w:rsid w:val="00C949E3"/>
    <w:rsid w:val="00CA17F5"/>
    <w:rsid w:val="00CA43F0"/>
    <w:rsid w:val="00CB7847"/>
    <w:rsid w:val="00CC2C70"/>
    <w:rsid w:val="00CC74BE"/>
    <w:rsid w:val="00CD2D66"/>
    <w:rsid w:val="00CD3070"/>
    <w:rsid w:val="00CD473A"/>
    <w:rsid w:val="00CE02B1"/>
    <w:rsid w:val="00CE1056"/>
    <w:rsid w:val="00CF3E63"/>
    <w:rsid w:val="00D02A6D"/>
    <w:rsid w:val="00D02CB6"/>
    <w:rsid w:val="00D05894"/>
    <w:rsid w:val="00D13F4F"/>
    <w:rsid w:val="00D162F1"/>
    <w:rsid w:val="00D167A0"/>
    <w:rsid w:val="00D353E2"/>
    <w:rsid w:val="00D364FA"/>
    <w:rsid w:val="00D409C3"/>
    <w:rsid w:val="00D43201"/>
    <w:rsid w:val="00D43261"/>
    <w:rsid w:val="00D4346F"/>
    <w:rsid w:val="00D45453"/>
    <w:rsid w:val="00D45D77"/>
    <w:rsid w:val="00D47992"/>
    <w:rsid w:val="00D50B60"/>
    <w:rsid w:val="00D51AFE"/>
    <w:rsid w:val="00D56474"/>
    <w:rsid w:val="00D6734A"/>
    <w:rsid w:val="00D725C2"/>
    <w:rsid w:val="00D869F8"/>
    <w:rsid w:val="00D9524C"/>
    <w:rsid w:val="00DA389F"/>
    <w:rsid w:val="00DA7B8E"/>
    <w:rsid w:val="00DB17B6"/>
    <w:rsid w:val="00DB504A"/>
    <w:rsid w:val="00DB57FA"/>
    <w:rsid w:val="00DC55AC"/>
    <w:rsid w:val="00DC79C8"/>
    <w:rsid w:val="00DD00E3"/>
    <w:rsid w:val="00DD05D8"/>
    <w:rsid w:val="00DD08DC"/>
    <w:rsid w:val="00DE02D0"/>
    <w:rsid w:val="00DE181E"/>
    <w:rsid w:val="00DE415F"/>
    <w:rsid w:val="00DE4B0A"/>
    <w:rsid w:val="00DE7B80"/>
    <w:rsid w:val="00DE7E16"/>
    <w:rsid w:val="00DF4DCE"/>
    <w:rsid w:val="00E02CCC"/>
    <w:rsid w:val="00E047AF"/>
    <w:rsid w:val="00E10605"/>
    <w:rsid w:val="00E204D9"/>
    <w:rsid w:val="00E21A93"/>
    <w:rsid w:val="00E2268D"/>
    <w:rsid w:val="00E23256"/>
    <w:rsid w:val="00E25C10"/>
    <w:rsid w:val="00E32A0E"/>
    <w:rsid w:val="00E32D5A"/>
    <w:rsid w:val="00E33A4E"/>
    <w:rsid w:val="00E43D64"/>
    <w:rsid w:val="00E4550C"/>
    <w:rsid w:val="00E45674"/>
    <w:rsid w:val="00E46D68"/>
    <w:rsid w:val="00E60A9C"/>
    <w:rsid w:val="00E63092"/>
    <w:rsid w:val="00E67554"/>
    <w:rsid w:val="00E75A7A"/>
    <w:rsid w:val="00E76349"/>
    <w:rsid w:val="00E7698B"/>
    <w:rsid w:val="00E76EDA"/>
    <w:rsid w:val="00E8144C"/>
    <w:rsid w:val="00E947D0"/>
    <w:rsid w:val="00E954A5"/>
    <w:rsid w:val="00EA1515"/>
    <w:rsid w:val="00EA5364"/>
    <w:rsid w:val="00EA65CE"/>
    <w:rsid w:val="00EA72EC"/>
    <w:rsid w:val="00EB1B0C"/>
    <w:rsid w:val="00EC0C35"/>
    <w:rsid w:val="00EC180C"/>
    <w:rsid w:val="00EC47C7"/>
    <w:rsid w:val="00EC5226"/>
    <w:rsid w:val="00ED027E"/>
    <w:rsid w:val="00ED7415"/>
    <w:rsid w:val="00EE2A9F"/>
    <w:rsid w:val="00EE4B74"/>
    <w:rsid w:val="00EF4059"/>
    <w:rsid w:val="00F00BF8"/>
    <w:rsid w:val="00F03A3A"/>
    <w:rsid w:val="00F03A51"/>
    <w:rsid w:val="00F11245"/>
    <w:rsid w:val="00F20357"/>
    <w:rsid w:val="00F331E1"/>
    <w:rsid w:val="00F33751"/>
    <w:rsid w:val="00F3453D"/>
    <w:rsid w:val="00F3714D"/>
    <w:rsid w:val="00F4081E"/>
    <w:rsid w:val="00F412B0"/>
    <w:rsid w:val="00F42058"/>
    <w:rsid w:val="00F443B1"/>
    <w:rsid w:val="00F5204E"/>
    <w:rsid w:val="00F55798"/>
    <w:rsid w:val="00F55F37"/>
    <w:rsid w:val="00F724E4"/>
    <w:rsid w:val="00F72D4E"/>
    <w:rsid w:val="00F74086"/>
    <w:rsid w:val="00F7498F"/>
    <w:rsid w:val="00F7613F"/>
    <w:rsid w:val="00F77130"/>
    <w:rsid w:val="00F80C76"/>
    <w:rsid w:val="00F91D70"/>
    <w:rsid w:val="00F91D7F"/>
    <w:rsid w:val="00FA56FC"/>
    <w:rsid w:val="00FB102E"/>
    <w:rsid w:val="00FB4779"/>
    <w:rsid w:val="00FB484C"/>
    <w:rsid w:val="00FD2F9E"/>
    <w:rsid w:val="00FE07EF"/>
    <w:rsid w:val="00FE5CDE"/>
    <w:rsid w:val="00FE6885"/>
    <w:rsid w:val="00FF10DA"/>
    <w:rsid w:val="00FF292E"/>
    <w:rsid w:val="00FF3EB9"/>
    <w:rsid w:val="01101675"/>
    <w:rsid w:val="011B240D"/>
    <w:rsid w:val="012810B4"/>
    <w:rsid w:val="012F41F1"/>
    <w:rsid w:val="01311D17"/>
    <w:rsid w:val="013E4434"/>
    <w:rsid w:val="0147153B"/>
    <w:rsid w:val="014C6B2F"/>
    <w:rsid w:val="014F03EF"/>
    <w:rsid w:val="01621A8C"/>
    <w:rsid w:val="018117C1"/>
    <w:rsid w:val="018E53BB"/>
    <w:rsid w:val="01910A08"/>
    <w:rsid w:val="019C5EFA"/>
    <w:rsid w:val="01AE3DF8"/>
    <w:rsid w:val="01BA61B0"/>
    <w:rsid w:val="01BF1B14"/>
    <w:rsid w:val="01BF37C7"/>
    <w:rsid w:val="01CF32DE"/>
    <w:rsid w:val="01CF3A40"/>
    <w:rsid w:val="01DF6AA8"/>
    <w:rsid w:val="01EE7C08"/>
    <w:rsid w:val="021D2D7C"/>
    <w:rsid w:val="022278B2"/>
    <w:rsid w:val="023169E5"/>
    <w:rsid w:val="024022EB"/>
    <w:rsid w:val="026C6D7F"/>
    <w:rsid w:val="02783976"/>
    <w:rsid w:val="027F4D04"/>
    <w:rsid w:val="02810A7C"/>
    <w:rsid w:val="028642E4"/>
    <w:rsid w:val="029E4FA7"/>
    <w:rsid w:val="02C91CBB"/>
    <w:rsid w:val="02F81A2C"/>
    <w:rsid w:val="02FC6355"/>
    <w:rsid w:val="0304521B"/>
    <w:rsid w:val="03083283"/>
    <w:rsid w:val="03232FD4"/>
    <w:rsid w:val="033664B5"/>
    <w:rsid w:val="03391357"/>
    <w:rsid w:val="03454A0A"/>
    <w:rsid w:val="034E601D"/>
    <w:rsid w:val="0369330A"/>
    <w:rsid w:val="036D7252"/>
    <w:rsid w:val="039D426C"/>
    <w:rsid w:val="03A5079A"/>
    <w:rsid w:val="03AF33C7"/>
    <w:rsid w:val="03B44E81"/>
    <w:rsid w:val="03DA48E8"/>
    <w:rsid w:val="040556DD"/>
    <w:rsid w:val="040E4592"/>
    <w:rsid w:val="041A2F36"/>
    <w:rsid w:val="041F054D"/>
    <w:rsid w:val="04223B99"/>
    <w:rsid w:val="045542C8"/>
    <w:rsid w:val="046643CE"/>
    <w:rsid w:val="048A4669"/>
    <w:rsid w:val="048B7990"/>
    <w:rsid w:val="0490144A"/>
    <w:rsid w:val="04AE18D1"/>
    <w:rsid w:val="04C84F46"/>
    <w:rsid w:val="04D74983"/>
    <w:rsid w:val="04DA6B4D"/>
    <w:rsid w:val="051F4FC3"/>
    <w:rsid w:val="052120A3"/>
    <w:rsid w:val="0526092D"/>
    <w:rsid w:val="052B6D6C"/>
    <w:rsid w:val="056D178C"/>
    <w:rsid w:val="05746676"/>
    <w:rsid w:val="057C6008"/>
    <w:rsid w:val="0583332C"/>
    <w:rsid w:val="05904239"/>
    <w:rsid w:val="059C5BCD"/>
    <w:rsid w:val="05A827C4"/>
    <w:rsid w:val="05AD7DDA"/>
    <w:rsid w:val="05B253F0"/>
    <w:rsid w:val="05C313AC"/>
    <w:rsid w:val="05FD19EC"/>
    <w:rsid w:val="060C7EB6"/>
    <w:rsid w:val="062F07EF"/>
    <w:rsid w:val="062F51F8"/>
    <w:rsid w:val="06691E55"/>
    <w:rsid w:val="06823015"/>
    <w:rsid w:val="069531D9"/>
    <w:rsid w:val="06AB4C7D"/>
    <w:rsid w:val="06BF6017"/>
    <w:rsid w:val="06D7510F"/>
    <w:rsid w:val="06EE06AA"/>
    <w:rsid w:val="07061550"/>
    <w:rsid w:val="070B1BA3"/>
    <w:rsid w:val="07133DFD"/>
    <w:rsid w:val="072D7CE9"/>
    <w:rsid w:val="07426476"/>
    <w:rsid w:val="074D4254"/>
    <w:rsid w:val="07601FFA"/>
    <w:rsid w:val="076170CE"/>
    <w:rsid w:val="07676B70"/>
    <w:rsid w:val="076B3AA9"/>
    <w:rsid w:val="077706A0"/>
    <w:rsid w:val="079B25E0"/>
    <w:rsid w:val="07B0770E"/>
    <w:rsid w:val="07CC09EB"/>
    <w:rsid w:val="07DC0503"/>
    <w:rsid w:val="07EF4010"/>
    <w:rsid w:val="07F47A3B"/>
    <w:rsid w:val="080F490D"/>
    <w:rsid w:val="08116517"/>
    <w:rsid w:val="082E6D53"/>
    <w:rsid w:val="08365E65"/>
    <w:rsid w:val="083B347B"/>
    <w:rsid w:val="08536A17"/>
    <w:rsid w:val="08606B5E"/>
    <w:rsid w:val="086E7210"/>
    <w:rsid w:val="0870581B"/>
    <w:rsid w:val="08732C15"/>
    <w:rsid w:val="088968DD"/>
    <w:rsid w:val="089808CE"/>
    <w:rsid w:val="089A335E"/>
    <w:rsid w:val="08B84ACC"/>
    <w:rsid w:val="08CB50A1"/>
    <w:rsid w:val="08E6788B"/>
    <w:rsid w:val="08FA1588"/>
    <w:rsid w:val="09101C07"/>
    <w:rsid w:val="091A7E4E"/>
    <w:rsid w:val="092403B3"/>
    <w:rsid w:val="09383E5F"/>
    <w:rsid w:val="09737E07"/>
    <w:rsid w:val="097B468D"/>
    <w:rsid w:val="098B24C6"/>
    <w:rsid w:val="0992356F"/>
    <w:rsid w:val="09A31DD2"/>
    <w:rsid w:val="09A339CE"/>
    <w:rsid w:val="09B90AFC"/>
    <w:rsid w:val="09BA4874"/>
    <w:rsid w:val="09BF1E8A"/>
    <w:rsid w:val="0A1C72DC"/>
    <w:rsid w:val="0A5371A2"/>
    <w:rsid w:val="0A560A40"/>
    <w:rsid w:val="0A7F0E46"/>
    <w:rsid w:val="0A7F4683"/>
    <w:rsid w:val="0AA52EBD"/>
    <w:rsid w:val="0AB45767"/>
    <w:rsid w:val="0B0B22C0"/>
    <w:rsid w:val="0B10474E"/>
    <w:rsid w:val="0B123D7F"/>
    <w:rsid w:val="0B3906B7"/>
    <w:rsid w:val="0B4C599F"/>
    <w:rsid w:val="0B4D3BF1"/>
    <w:rsid w:val="0BBE3FF5"/>
    <w:rsid w:val="0BFA0351"/>
    <w:rsid w:val="0C0B13B7"/>
    <w:rsid w:val="0C0B7609"/>
    <w:rsid w:val="0C122745"/>
    <w:rsid w:val="0C435DCB"/>
    <w:rsid w:val="0C4949F9"/>
    <w:rsid w:val="0C526F74"/>
    <w:rsid w:val="0C741652"/>
    <w:rsid w:val="0CF34325"/>
    <w:rsid w:val="0CF956B3"/>
    <w:rsid w:val="0CFD3DAC"/>
    <w:rsid w:val="0CFD7333"/>
    <w:rsid w:val="0D2C02BA"/>
    <w:rsid w:val="0D336E17"/>
    <w:rsid w:val="0D4418B7"/>
    <w:rsid w:val="0D662D48"/>
    <w:rsid w:val="0D6D61B7"/>
    <w:rsid w:val="0D7116ED"/>
    <w:rsid w:val="0D8256A8"/>
    <w:rsid w:val="0DC7021C"/>
    <w:rsid w:val="0DF37C28"/>
    <w:rsid w:val="0DF7383C"/>
    <w:rsid w:val="0E0132C0"/>
    <w:rsid w:val="0E2624D8"/>
    <w:rsid w:val="0E332990"/>
    <w:rsid w:val="0E515D90"/>
    <w:rsid w:val="0E5F4985"/>
    <w:rsid w:val="0E8536A2"/>
    <w:rsid w:val="0E8A515C"/>
    <w:rsid w:val="0E946FD3"/>
    <w:rsid w:val="0EAA4EB7"/>
    <w:rsid w:val="0EAE37B8"/>
    <w:rsid w:val="0EB775D4"/>
    <w:rsid w:val="0EBE6BB4"/>
    <w:rsid w:val="0EC817E1"/>
    <w:rsid w:val="0EDB7EEB"/>
    <w:rsid w:val="0F2466C7"/>
    <w:rsid w:val="0F2C6214"/>
    <w:rsid w:val="0F6D49BF"/>
    <w:rsid w:val="0F704352"/>
    <w:rsid w:val="0F8B2F3A"/>
    <w:rsid w:val="0F9D28CF"/>
    <w:rsid w:val="0FD81EB4"/>
    <w:rsid w:val="0FD85A54"/>
    <w:rsid w:val="0FF9631D"/>
    <w:rsid w:val="10007006"/>
    <w:rsid w:val="101F3682"/>
    <w:rsid w:val="102F7D69"/>
    <w:rsid w:val="10321608"/>
    <w:rsid w:val="104D01F0"/>
    <w:rsid w:val="10516791"/>
    <w:rsid w:val="105B0B5E"/>
    <w:rsid w:val="10855BDB"/>
    <w:rsid w:val="108A31F2"/>
    <w:rsid w:val="109104A7"/>
    <w:rsid w:val="10A047C3"/>
    <w:rsid w:val="10D41366"/>
    <w:rsid w:val="10E50428"/>
    <w:rsid w:val="11164A85"/>
    <w:rsid w:val="114333A1"/>
    <w:rsid w:val="11767477"/>
    <w:rsid w:val="11AA3420"/>
    <w:rsid w:val="11AE1162"/>
    <w:rsid w:val="11B20C52"/>
    <w:rsid w:val="11C0305F"/>
    <w:rsid w:val="11C6581E"/>
    <w:rsid w:val="11D81D3B"/>
    <w:rsid w:val="11F12DFD"/>
    <w:rsid w:val="120E3495"/>
    <w:rsid w:val="121A2353"/>
    <w:rsid w:val="121E0096"/>
    <w:rsid w:val="122C0D99"/>
    <w:rsid w:val="122E2EB4"/>
    <w:rsid w:val="12492C39"/>
    <w:rsid w:val="125B4E2B"/>
    <w:rsid w:val="1263659D"/>
    <w:rsid w:val="127B734E"/>
    <w:rsid w:val="128123D2"/>
    <w:rsid w:val="129C5699"/>
    <w:rsid w:val="12A33597"/>
    <w:rsid w:val="12A368C1"/>
    <w:rsid w:val="12AD19F7"/>
    <w:rsid w:val="12F9097B"/>
    <w:rsid w:val="12FB2185"/>
    <w:rsid w:val="13051255"/>
    <w:rsid w:val="130F5C30"/>
    <w:rsid w:val="13453400"/>
    <w:rsid w:val="134621D2"/>
    <w:rsid w:val="13511DA5"/>
    <w:rsid w:val="135D5455"/>
    <w:rsid w:val="13C46271"/>
    <w:rsid w:val="13D2293E"/>
    <w:rsid w:val="13F23898"/>
    <w:rsid w:val="1402186A"/>
    <w:rsid w:val="140C50F1"/>
    <w:rsid w:val="141A7F6A"/>
    <w:rsid w:val="141F1EA3"/>
    <w:rsid w:val="14264FE0"/>
    <w:rsid w:val="14437C0E"/>
    <w:rsid w:val="14634486"/>
    <w:rsid w:val="147437C4"/>
    <w:rsid w:val="14787805"/>
    <w:rsid w:val="14AD5701"/>
    <w:rsid w:val="14AE30CA"/>
    <w:rsid w:val="14EA104F"/>
    <w:rsid w:val="14EA425F"/>
    <w:rsid w:val="14F7697C"/>
    <w:rsid w:val="1519109A"/>
    <w:rsid w:val="153A3C2D"/>
    <w:rsid w:val="1550412F"/>
    <w:rsid w:val="15542020"/>
    <w:rsid w:val="15671D54"/>
    <w:rsid w:val="15761F97"/>
    <w:rsid w:val="157C1E02"/>
    <w:rsid w:val="158D0FFB"/>
    <w:rsid w:val="158E4F33"/>
    <w:rsid w:val="159643E7"/>
    <w:rsid w:val="15C727F2"/>
    <w:rsid w:val="15EF0FCE"/>
    <w:rsid w:val="15F5110D"/>
    <w:rsid w:val="161D2412"/>
    <w:rsid w:val="162B5097"/>
    <w:rsid w:val="163C6D3C"/>
    <w:rsid w:val="16442095"/>
    <w:rsid w:val="16556050"/>
    <w:rsid w:val="16702BCA"/>
    <w:rsid w:val="16753FFC"/>
    <w:rsid w:val="16781D3E"/>
    <w:rsid w:val="16A668AC"/>
    <w:rsid w:val="16B23D92"/>
    <w:rsid w:val="16E921FA"/>
    <w:rsid w:val="16FE2244"/>
    <w:rsid w:val="171A79F6"/>
    <w:rsid w:val="172218D0"/>
    <w:rsid w:val="175A3CEF"/>
    <w:rsid w:val="177E449B"/>
    <w:rsid w:val="17885FB1"/>
    <w:rsid w:val="17CA0378"/>
    <w:rsid w:val="17CB5E82"/>
    <w:rsid w:val="17CF598E"/>
    <w:rsid w:val="17EA07E6"/>
    <w:rsid w:val="17F45E20"/>
    <w:rsid w:val="18023FB5"/>
    <w:rsid w:val="18115FA7"/>
    <w:rsid w:val="18134F1D"/>
    <w:rsid w:val="18162E07"/>
    <w:rsid w:val="182B25AE"/>
    <w:rsid w:val="18363189"/>
    <w:rsid w:val="18417E78"/>
    <w:rsid w:val="187327BD"/>
    <w:rsid w:val="18743468"/>
    <w:rsid w:val="187C3D68"/>
    <w:rsid w:val="18892CD0"/>
    <w:rsid w:val="18B12FAE"/>
    <w:rsid w:val="18B2778A"/>
    <w:rsid w:val="18BC5F12"/>
    <w:rsid w:val="18BE71DE"/>
    <w:rsid w:val="18D461FA"/>
    <w:rsid w:val="18D94D16"/>
    <w:rsid w:val="18E2303C"/>
    <w:rsid w:val="19193365"/>
    <w:rsid w:val="192F4936"/>
    <w:rsid w:val="194B2292"/>
    <w:rsid w:val="19574891"/>
    <w:rsid w:val="195E346D"/>
    <w:rsid w:val="1968609A"/>
    <w:rsid w:val="196F7429"/>
    <w:rsid w:val="197F7EDC"/>
    <w:rsid w:val="198A4263"/>
    <w:rsid w:val="198E4EFC"/>
    <w:rsid w:val="1998697F"/>
    <w:rsid w:val="19A54BF8"/>
    <w:rsid w:val="19AD1CFF"/>
    <w:rsid w:val="19E865A1"/>
    <w:rsid w:val="1A1324AA"/>
    <w:rsid w:val="1A143B2C"/>
    <w:rsid w:val="1A1A55E6"/>
    <w:rsid w:val="1A376E0A"/>
    <w:rsid w:val="1A421BFE"/>
    <w:rsid w:val="1A455583"/>
    <w:rsid w:val="1A4B6A9E"/>
    <w:rsid w:val="1A552F1E"/>
    <w:rsid w:val="1A6F007A"/>
    <w:rsid w:val="1A705F49"/>
    <w:rsid w:val="1AAC1FB7"/>
    <w:rsid w:val="1AAC5768"/>
    <w:rsid w:val="1AB21051"/>
    <w:rsid w:val="1AB53561"/>
    <w:rsid w:val="1ABA0B77"/>
    <w:rsid w:val="1AD80FFE"/>
    <w:rsid w:val="1ADB7B54"/>
    <w:rsid w:val="1AEF1492"/>
    <w:rsid w:val="1AF1023F"/>
    <w:rsid w:val="1B580BDC"/>
    <w:rsid w:val="1B6D24CA"/>
    <w:rsid w:val="1B6D7998"/>
    <w:rsid w:val="1B7104CB"/>
    <w:rsid w:val="1B746F78"/>
    <w:rsid w:val="1BD16179"/>
    <w:rsid w:val="1BD246CC"/>
    <w:rsid w:val="1BDD0528"/>
    <w:rsid w:val="1C0133B5"/>
    <w:rsid w:val="1C4C1CA3"/>
    <w:rsid w:val="1C4E5A1B"/>
    <w:rsid w:val="1C853E1C"/>
    <w:rsid w:val="1CA471D3"/>
    <w:rsid w:val="1CB97944"/>
    <w:rsid w:val="1CBB4733"/>
    <w:rsid w:val="1CD87093"/>
    <w:rsid w:val="1CF3742B"/>
    <w:rsid w:val="1D036806"/>
    <w:rsid w:val="1D1D719C"/>
    <w:rsid w:val="1D1F0255"/>
    <w:rsid w:val="1D21589A"/>
    <w:rsid w:val="1D33475E"/>
    <w:rsid w:val="1D3C3966"/>
    <w:rsid w:val="1D5B5DA0"/>
    <w:rsid w:val="1D73442E"/>
    <w:rsid w:val="1D750D86"/>
    <w:rsid w:val="1D76315B"/>
    <w:rsid w:val="1D792624"/>
    <w:rsid w:val="1D8E3BF5"/>
    <w:rsid w:val="1D8F1E47"/>
    <w:rsid w:val="1D97506A"/>
    <w:rsid w:val="1DA352DB"/>
    <w:rsid w:val="1DB338D4"/>
    <w:rsid w:val="1DB43157"/>
    <w:rsid w:val="1DC75A85"/>
    <w:rsid w:val="1DC85359"/>
    <w:rsid w:val="1DCC7E6F"/>
    <w:rsid w:val="1DD439F5"/>
    <w:rsid w:val="1DDB2360"/>
    <w:rsid w:val="1E03300B"/>
    <w:rsid w:val="1E1B44E3"/>
    <w:rsid w:val="1E242829"/>
    <w:rsid w:val="1E4C3429"/>
    <w:rsid w:val="1E517DA2"/>
    <w:rsid w:val="1E584BC1"/>
    <w:rsid w:val="1E5B16E3"/>
    <w:rsid w:val="1E62755C"/>
    <w:rsid w:val="1E641526"/>
    <w:rsid w:val="1E645F44"/>
    <w:rsid w:val="1E74728F"/>
    <w:rsid w:val="1E780B2E"/>
    <w:rsid w:val="1E7B6870"/>
    <w:rsid w:val="1E894098"/>
    <w:rsid w:val="1E920021"/>
    <w:rsid w:val="1EA97E3F"/>
    <w:rsid w:val="1EB15DEE"/>
    <w:rsid w:val="1ECD061A"/>
    <w:rsid w:val="1ECE2E43"/>
    <w:rsid w:val="1EDC0634"/>
    <w:rsid w:val="1F1F71FB"/>
    <w:rsid w:val="1F200CBB"/>
    <w:rsid w:val="1F592C45"/>
    <w:rsid w:val="1F974FE3"/>
    <w:rsid w:val="1FCF6E73"/>
    <w:rsid w:val="1FD224BF"/>
    <w:rsid w:val="200F101E"/>
    <w:rsid w:val="202F346E"/>
    <w:rsid w:val="20337402"/>
    <w:rsid w:val="2038754A"/>
    <w:rsid w:val="203C3DDD"/>
    <w:rsid w:val="204213F3"/>
    <w:rsid w:val="204A115E"/>
    <w:rsid w:val="204F3B10"/>
    <w:rsid w:val="207B2A71"/>
    <w:rsid w:val="20915ED7"/>
    <w:rsid w:val="20BE0B17"/>
    <w:rsid w:val="20CE0ED9"/>
    <w:rsid w:val="20F52909"/>
    <w:rsid w:val="21006EC9"/>
    <w:rsid w:val="211557B9"/>
    <w:rsid w:val="21234279"/>
    <w:rsid w:val="214E041B"/>
    <w:rsid w:val="21645399"/>
    <w:rsid w:val="21725D08"/>
    <w:rsid w:val="21867A05"/>
    <w:rsid w:val="219A0DBB"/>
    <w:rsid w:val="219A700D"/>
    <w:rsid w:val="21B05509"/>
    <w:rsid w:val="21BE2F0E"/>
    <w:rsid w:val="21D01A69"/>
    <w:rsid w:val="21E26745"/>
    <w:rsid w:val="21EA7F94"/>
    <w:rsid w:val="221E19EC"/>
    <w:rsid w:val="22342FBD"/>
    <w:rsid w:val="22565A52"/>
    <w:rsid w:val="226564F4"/>
    <w:rsid w:val="226A69DF"/>
    <w:rsid w:val="22703147"/>
    <w:rsid w:val="22743D02"/>
    <w:rsid w:val="227710FC"/>
    <w:rsid w:val="229D6DB5"/>
    <w:rsid w:val="22B42350"/>
    <w:rsid w:val="22C02AA3"/>
    <w:rsid w:val="22CA1996"/>
    <w:rsid w:val="22CD737C"/>
    <w:rsid w:val="230E1A60"/>
    <w:rsid w:val="231F5A1C"/>
    <w:rsid w:val="233139A1"/>
    <w:rsid w:val="233C481F"/>
    <w:rsid w:val="235D7E4B"/>
    <w:rsid w:val="23626302"/>
    <w:rsid w:val="2369138D"/>
    <w:rsid w:val="239575E6"/>
    <w:rsid w:val="23B03722"/>
    <w:rsid w:val="23C2284B"/>
    <w:rsid w:val="23C8502F"/>
    <w:rsid w:val="23C87E61"/>
    <w:rsid w:val="23D77185"/>
    <w:rsid w:val="23EE3640"/>
    <w:rsid w:val="23F549CE"/>
    <w:rsid w:val="241F1A4B"/>
    <w:rsid w:val="24561911"/>
    <w:rsid w:val="2471674B"/>
    <w:rsid w:val="24816262"/>
    <w:rsid w:val="248C488D"/>
    <w:rsid w:val="248D10AB"/>
    <w:rsid w:val="24C1651E"/>
    <w:rsid w:val="250F1AC0"/>
    <w:rsid w:val="252A7676"/>
    <w:rsid w:val="253D487F"/>
    <w:rsid w:val="25457290"/>
    <w:rsid w:val="25461985"/>
    <w:rsid w:val="255B4D05"/>
    <w:rsid w:val="255D754F"/>
    <w:rsid w:val="25B05051"/>
    <w:rsid w:val="25C3277F"/>
    <w:rsid w:val="25CF509A"/>
    <w:rsid w:val="25FC7E3F"/>
    <w:rsid w:val="25FD58FB"/>
    <w:rsid w:val="264F594F"/>
    <w:rsid w:val="26527EB6"/>
    <w:rsid w:val="2658120D"/>
    <w:rsid w:val="26753BA5"/>
    <w:rsid w:val="26D64229"/>
    <w:rsid w:val="26EB1EFE"/>
    <w:rsid w:val="26F056BD"/>
    <w:rsid w:val="27054F28"/>
    <w:rsid w:val="27113709"/>
    <w:rsid w:val="272A0E33"/>
    <w:rsid w:val="27434BF3"/>
    <w:rsid w:val="277355DA"/>
    <w:rsid w:val="277F4CDB"/>
    <w:rsid w:val="27807F4C"/>
    <w:rsid w:val="27837C82"/>
    <w:rsid w:val="2792313A"/>
    <w:rsid w:val="279C354A"/>
    <w:rsid w:val="27B30E28"/>
    <w:rsid w:val="27B52C98"/>
    <w:rsid w:val="27BC71D8"/>
    <w:rsid w:val="27DD7922"/>
    <w:rsid w:val="27E01FDC"/>
    <w:rsid w:val="27E02656"/>
    <w:rsid w:val="27E62FAC"/>
    <w:rsid w:val="28164F13"/>
    <w:rsid w:val="283A5AC7"/>
    <w:rsid w:val="283F090E"/>
    <w:rsid w:val="284428E2"/>
    <w:rsid w:val="286D547B"/>
    <w:rsid w:val="288C1E8D"/>
    <w:rsid w:val="28C055AB"/>
    <w:rsid w:val="28CA467C"/>
    <w:rsid w:val="28D2370F"/>
    <w:rsid w:val="28DC114A"/>
    <w:rsid w:val="28ED0CB5"/>
    <w:rsid w:val="290B1967"/>
    <w:rsid w:val="2916341D"/>
    <w:rsid w:val="29645168"/>
    <w:rsid w:val="29645F5E"/>
    <w:rsid w:val="29690152"/>
    <w:rsid w:val="2976210D"/>
    <w:rsid w:val="297A1E54"/>
    <w:rsid w:val="29B35110"/>
    <w:rsid w:val="29C5414A"/>
    <w:rsid w:val="29CB3C83"/>
    <w:rsid w:val="29CE021D"/>
    <w:rsid w:val="29D3130E"/>
    <w:rsid w:val="2A2713CD"/>
    <w:rsid w:val="2A2900DA"/>
    <w:rsid w:val="2A2C6C70"/>
    <w:rsid w:val="2A585CB7"/>
    <w:rsid w:val="2A5A37DD"/>
    <w:rsid w:val="2A7379BB"/>
    <w:rsid w:val="2A753607"/>
    <w:rsid w:val="2AD57308"/>
    <w:rsid w:val="2ADE60B9"/>
    <w:rsid w:val="2AE44F3C"/>
    <w:rsid w:val="2AE63A0A"/>
    <w:rsid w:val="2AEB4A25"/>
    <w:rsid w:val="2B015FAC"/>
    <w:rsid w:val="2B312790"/>
    <w:rsid w:val="2B4A759E"/>
    <w:rsid w:val="2B5446D0"/>
    <w:rsid w:val="2BA56CDA"/>
    <w:rsid w:val="2BB92785"/>
    <w:rsid w:val="2BC52ED8"/>
    <w:rsid w:val="2BD92A11"/>
    <w:rsid w:val="2BDA2E28"/>
    <w:rsid w:val="2BDE442F"/>
    <w:rsid w:val="2C0B5689"/>
    <w:rsid w:val="2C0C6D59"/>
    <w:rsid w:val="2C1C3440"/>
    <w:rsid w:val="2C2B3683"/>
    <w:rsid w:val="2C387B4E"/>
    <w:rsid w:val="2C46670C"/>
    <w:rsid w:val="2C581F9E"/>
    <w:rsid w:val="2C6C34ED"/>
    <w:rsid w:val="2C731B0C"/>
    <w:rsid w:val="2C820DC9"/>
    <w:rsid w:val="2C9A6113"/>
    <w:rsid w:val="2C9F3729"/>
    <w:rsid w:val="2CA01CC9"/>
    <w:rsid w:val="2CB90C8F"/>
    <w:rsid w:val="2CBA4A07"/>
    <w:rsid w:val="2CCF04B2"/>
    <w:rsid w:val="2CDD4252"/>
    <w:rsid w:val="2CF94F11"/>
    <w:rsid w:val="2CF971DA"/>
    <w:rsid w:val="2D0F23F8"/>
    <w:rsid w:val="2D2455C6"/>
    <w:rsid w:val="2D2E420C"/>
    <w:rsid w:val="2D2F6528"/>
    <w:rsid w:val="2D692247"/>
    <w:rsid w:val="2D6E10F6"/>
    <w:rsid w:val="2D7B23E8"/>
    <w:rsid w:val="2D853DF5"/>
    <w:rsid w:val="2D8E211C"/>
    <w:rsid w:val="2DA61FA1"/>
    <w:rsid w:val="2DB43E76"/>
    <w:rsid w:val="2DD1025A"/>
    <w:rsid w:val="2DDF227C"/>
    <w:rsid w:val="2DE417D9"/>
    <w:rsid w:val="2DED6716"/>
    <w:rsid w:val="2E0423DE"/>
    <w:rsid w:val="2E217DE1"/>
    <w:rsid w:val="2E546E31"/>
    <w:rsid w:val="2E593038"/>
    <w:rsid w:val="2E7A61FC"/>
    <w:rsid w:val="2EA33802"/>
    <w:rsid w:val="2EB001C3"/>
    <w:rsid w:val="2EB21E3A"/>
    <w:rsid w:val="2EB2447D"/>
    <w:rsid w:val="2EB86D24"/>
    <w:rsid w:val="2EC102CF"/>
    <w:rsid w:val="2ED67C5E"/>
    <w:rsid w:val="2ED975A3"/>
    <w:rsid w:val="2EDF0AA9"/>
    <w:rsid w:val="2EF37A83"/>
    <w:rsid w:val="2EF67098"/>
    <w:rsid w:val="2EFE0BDB"/>
    <w:rsid w:val="2F10090E"/>
    <w:rsid w:val="2F2E3565"/>
    <w:rsid w:val="2F3150ED"/>
    <w:rsid w:val="2F3926C8"/>
    <w:rsid w:val="2F422131"/>
    <w:rsid w:val="2F470C74"/>
    <w:rsid w:val="2F4E01B9"/>
    <w:rsid w:val="2F527179"/>
    <w:rsid w:val="2F5702EB"/>
    <w:rsid w:val="2F5B427F"/>
    <w:rsid w:val="2F7075FF"/>
    <w:rsid w:val="2F726C5C"/>
    <w:rsid w:val="2F7470EF"/>
    <w:rsid w:val="2F992D4A"/>
    <w:rsid w:val="2F9D032C"/>
    <w:rsid w:val="2FA8323D"/>
    <w:rsid w:val="2FE37DD1"/>
    <w:rsid w:val="2FF635C9"/>
    <w:rsid w:val="2FF65D56"/>
    <w:rsid w:val="2FF81ACE"/>
    <w:rsid w:val="30000983"/>
    <w:rsid w:val="30032221"/>
    <w:rsid w:val="3013573C"/>
    <w:rsid w:val="302523F5"/>
    <w:rsid w:val="30313232"/>
    <w:rsid w:val="30344C33"/>
    <w:rsid w:val="3037780B"/>
    <w:rsid w:val="303E2107"/>
    <w:rsid w:val="303F598D"/>
    <w:rsid w:val="30450A8C"/>
    <w:rsid w:val="30526FA6"/>
    <w:rsid w:val="3058167E"/>
    <w:rsid w:val="305F259A"/>
    <w:rsid w:val="30914BF5"/>
    <w:rsid w:val="309D61D2"/>
    <w:rsid w:val="30AC34B0"/>
    <w:rsid w:val="30D37E45"/>
    <w:rsid w:val="30ED1223"/>
    <w:rsid w:val="30EE4C7F"/>
    <w:rsid w:val="30F92FBF"/>
    <w:rsid w:val="310149B3"/>
    <w:rsid w:val="310E5321"/>
    <w:rsid w:val="311350AC"/>
    <w:rsid w:val="311B7998"/>
    <w:rsid w:val="311F752F"/>
    <w:rsid w:val="312F63BA"/>
    <w:rsid w:val="31692558"/>
    <w:rsid w:val="31772EC7"/>
    <w:rsid w:val="31853836"/>
    <w:rsid w:val="318D5281"/>
    <w:rsid w:val="31952D58"/>
    <w:rsid w:val="31C629E1"/>
    <w:rsid w:val="31D412D6"/>
    <w:rsid w:val="31DB16A7"/>
    <w:rsid w:val="325D3E6B"/>
    <w:rsid w:val="325D7C57"/>
    <w:rsid w:val="32607DFF"/>
    <w:rsid w:val="326E2DDF"/>
    <w:rsid w:val="327B2543"/>
    <w:rsid w:val="329736A8"/>
    <w:rsid w:val="32A550C7"/>
    <w:rsid w:val="32B07329"/>
    <w:rsid w:val="32B36180"/>
    <w:rsid w:val="32B953B7"/>
    <w:rsid w:val="32DD0CAF"/>
    <w:rsid w:val="32E1519D"/>
    <w:rsid w:val="32E21EBD"/>
    <w:rsid w:val="32F81DE5"/>
    <w:rsid w:val="32FD2735"/>
    <w:rsid w:val="32FD73FC"/>
    <w:rsid w:val="330853A0"/>
    <w:rsid w:val="330B38C7"/>
    <w:rsid w:val="3317670F"/>
    <w:rsid w:val="331A0D92"/>
    <w:rsid w:val="331D1B33"/>
    <w:rsid w:val="33380434"/>
    <w:rsid w:val="334148BA"/>
    <w:rsid w:val="3361798A"/>
    <w:rsid w:val="337934A9"/>
    <w:rsid w:val="33814BD7"/>
    <w:rsid w:val="33823C77"/>
    <w:rsid w:val="33857B1D"/>
    <w:rsid w:val="3392223A"/>
    <w:rsid w:val="33977850"/>
    <w:rsid w:val="33D939C5"/>
    <w:rsid w:val="33E505BB"/>
    <w:rsid w:val="33F17F05"/>
    <w:rsid w:val="33F77B36"/>
    <w:rsid w:val="33FE78CF"/>
    <w:rsid w:val="33FF13EE"/>
    <w:rsid w:val="34126EDA"/>
    <w:rsid w:val="341669C7"/>
    <w:rsid w:val="342A0ABE"/>
    <w:rsid w:val="343159A7"/>
    <w:rsid w:val="34451CA1"/>
    <w:rsid w:val="345D45F6"/>
    <w:rsid w:val="34750E92"/>
    <w:rsid w:val="34951FE2"/>
    <w:rsid w:val="349A3FCD"/>
    <w:rsid w:val="349D0E96"/>
    <w:rsid w:val="349D1F0C"/>
    <w:rsid w:val="34CC5558"/>
    <w:rsid w:val="34D4418C"/>
    <w:rsid w:val="34EF2A8C"/>
    <w:rsid w:val="353A2171"/>
    <w:rsid w:val="35441312"/>
    <w:rsid w:val="35645510"/>
    <w:rsid w:val="35813F18"/>
    <w:rsid w:val="359758E5"/>
    <w:rsid w:val="35B00755"/>
    <w:rsid w:val="35C80195"/>
    <w:rsid w:val="35CF0516"/>
    <w:rsid w:val="35D42671"/>
    <w:rsid w:val="35D76811"/>
    <w:rsid w:val="35D94948"/>
    <w:rsid w:val="35DC154A"/>
    <w:rsid w:val="35F50368"/>
    <w:rsid w:val="360C2505"/>
    <w:rsid w:val="36154A5C"/>
    <w:rsid w:val="36297806"/>
    <w:rsid w:val="36394BEF"/>
    <w:rsid w:val="364F4412"/>
    <w:rsid w:val="36626C16"/>
    <w:rsid w:val="36646B4C"/>
    <w:rsid w:val="366A124C"/>
    <w:rsid w:val="36931BCD"/>
    <w:rsid w:val="36B64E5E"/>
    <w:rsid w:val="36D258DB"/>
    <w:rsid w:val="36F079A3"/>
    <w:rsid w:val="370803F0"/>
    <w:rsid w:val="370D2ADD"/>
    <w:rsid w:val="37164F30"/>
    <w:rsid w:val="372E5DD5"/>
    <w:rsid w:val="373132AD"/>
    <w:rsid w:val="373759DA"/>
    <w:rsid w:val="373C4996"/>
    <w:rsid w:val="374A6392"/>
    <w:rsid w:val="375C6DE7"/>
    <w:rsid w:val="3795334F"/>
    <w:rsid w:val="37B945C6"/>
    <w:rsid w:val="37D470DF"/>
    <w:rsid w:val="37E8067A"/>
    <w:rsid w:val="382316B2"/>
    <w:rsid w:val="3825542A"/>
    <w:rsid w:val="38A85780"/>
    <w:rsid w:val="38A9741C"/>
    <w:rsid w:val="38AD5420"/>
    <w:rsid w:val="38B22A36"/>
    <w:rsid w:val="38C369F1"/>
    <w:rsid w:val="38DF7CCF"/>
    <w:rsid w:val="3922196A"/>
    <w:rsid w:val="392C34D5"/>
    <w:rsid w:val="39335925"/>
    <w:rsid w:val="39504729"/>
    <w:rsid w:val="397C3770"/>
    <w:rsid w:val="398B39B3"/>
    <w:rsid w:val="3990325F"/>
    <w:rsid w:val="399860D0"/>
    <w:rsid w:val="39B42EA8"/>
    <w:rsid w:val="39BB7CA8"/>
    <w:rsid w:val="39C168C3"/>
    <w:rsid w:val="39C649EB"/>
    <w:rsid w:val="39D02DD6"/>
    <w:rsid w:val="39D74299"/>
    <w:rsid w:val="39FE1DE4"/>
    <w:rsid w:val="3A00614F"/>
    <w:rsid w:val="3A072C82"/>
    <w:rsid w:val="3A085136"/>
    <w:rsid w:val="3A1F40FB"/>
    <w:rsid w:val="3A2B6F44"/>
    <w:rsid w:val="3A51097F"/>
    <w:rsid w:val="3A573895"/>
    <w:rsid w:val="3A9B19D4"/>
    <w:rsid w:val="3AB02213"/>
    <w:rsid w:val="3AB931B0"/>
    <w:rsid w:val="3B0F5F1E"/>
    <w:rsid w:val="3B5A363D"/>
    <w:rsid w:val="3B732951"/>
    <w:rsid w:val="3B7364AD"/>
    <w:rsid w:val="3B7C7A57"/>
    <w:rsid w:val="3B835946"/>
    <w:rsid w:val="3B8E1539"/>
    <w:rsid w:val="3BA83D2E"/>
    <w:rsid w:val="3BBB13EA"/>
    <w:rsid w:val="3BC211E2"/>
    <w:rsid w:val="3C003E02"/>
    <w:rsid w:val="3C0256F9"/>
    <w:rsid w:val="3C050B38"/>
    <w:rsid w:val="3C177780"/>
    <w:rsid w:val="3C1C2023"/>
    <w:rsid w:val="3C2E4B1F"/>
    <w:rsid w:val="3C385593"/>
    <w:rsid w:val="3C3F2833"/>
    <w:rsid w:val="3C493E09"/>
    <w:rsid w:val="3C6D5966"/>
    <w:rsid w:val="3CBC1B32"/>
    <w:rsid w:val="3CE64C09"/>
    <w:rsid w:val="3CEC4769"/>
    <w:rsid w:val="3D141F11"/>
    <w:rsid w:val="3D14513C"/>
    <w:rsid w:val="3D174F01"/>
    <w:rsid w:val="3D3717FB"/>
    <w:rsid w:val="3D74650C"/>
    <w:rsid w:val="3D8C7CFA"/>
    <w:rsid w:val="3D96397D"/>
    <w:rsid w:val="3DBD4357"/>
    <w:rsid w:val="3DC21AB7"/>
    <w:rsid w:val="3E10092B"/>
    <w:rsid w:val="3E18333B"/>
    <w:rsid w:val="3E196FDB"/>
    <w:rsid w:val="3E5500EC"/>
    <w:rsid w:val="3E5E3444"/>
    <w:rsid w:val="3E854E75"/>
    <w:rsid w:val="3E882C1F"/>
    <w:rsid w:val="3E9450B8"/>
    <w:rsid w:val="3EB05C6A"/>
    <w:rsid w:val="3EE15635"/>
    <w:rsid w:val="3EEF7CBF"/>
    <w:rsid w:val="3EF45B57"/>
    <w:rsid w:val="3F0A3E0D"/>
    <w:rsid w:val="3F2B2AE2"/>
    <w:rsid w:val="3F32667F"/>
    <w:rsid w:val="3F3643C1"/>
    <w:rsid w:val="3F4A1C1A"/>
    <w:rsid w:val="3F5B7984"/>
    <w:rsid w:val="3F60143E"/>
    <w:rsid w:val="3F6A406B"/>
    <w:rsid w:val="3F7D3370"/>
    <w:rsid w:val="3F88629F"/>
    <w:rsid w:val="3F8C11CB"/>
    <w:rsid w:val="3F9410E8"/>
    <w:rsid w:val="3FA0000A"/>
    <w:rsid w:val="3FC01EDD"/>
    <w:rsid w:val="3FC7326B"/>
    <w:rsid w:val="3FFB3A22"/>
    <w:rsid w:val="400973E0"/>
    <w:rsid w:val="402661E4"/>
    <w:rsid w:val="402A0777"/>
    <w:rsid w:val="402B158F"/>
    <w:rsid w:val="40391CF5"/>
    <w:rsid w:val="404B17A6"/>
    <w:rsid w:val="40827192"/>
    <w:rsid w:val="40833636"/>
    <w:rsid w:val="408A49C4"/>
    <w:rsid w:val="4093314D"/>
    <w:rsid w:val="409749EB"/>
    <w:rsid w:val="409E6B59"/>
    <w:rsid w:val="41052815"/>
    <w:rsid w:val="41151DFF"/>
    <w:rsid w:val="411E0017"/>
    <w:rsid w:val="41214BFD"/>
    <w:rsid w:val="412A0D07"/>
    <w:rsid w:val="413C46BC"/>
    <w:rsid w:val="41405083"/>
    <w:rsid w:val="415222A9"/>
    <w:rsid w:val="416D21AE"/>
    <w:rsid w:val="41AD7858"/>
    <w:rsid w:val="41C34B30"/>
    <w:rsid w:val="41CC6917"/>
    <w:rsid w:val="41E225DE"/>
    <w:rsid w:val="421C357F"/>
    <w:rsid w:val="422229DB"/>
    <w:rsid w:val="42552DB0"/>
    <w:rsid w:val="427D5E63"/>
    <w:rsid w:val="42813BA5"/>
    <w:rsid w:val="428F724E"/>
    <w:rsid w:val="42F73E67"/>
    <w:rsid w:val="42F83AD5"/>
    <w:rsid w:val="43212C92"/>
    <w:rsid w:val="43280A28"/>
    <w:rsid w:val="432C24B3"/>
    <w:rsid w:val="43340C5A"/>
    <w:rsid w:val="434A21E9"/>
    <w:rsid w:val="43713C1A"/>
    <w:rsid w:val="43784FA8"/>
    <w:rsid w:val="43827A08"/>
    <w:rsid w:val="43B9111D"/>
    <w:rsid w:val="43BC29BB"/>
    <w:rsid w:val="43E97C54"/>
    <w:rsid w:val="442347E8"/>
    <w:rsid w:val="444924A1"/>
    <w:rsid w:val="444E3F5B"/>
    <w:rsid w:val="445D7CFA"/>
    <w:rsid w:val="44B872D3"/>
    <w:rsid w:val="44DD5576"/>
    <w:rsid w:val="44E36D41"/>
    <w:rsid w:val="44FF7003"/>
    <w:rsid w:val="450702B6"/>
    <w:rsid w:val="450B1257"/>
    <w:rsid w:val="450B7471"/>
    <w:rsid w:val="45321187"/>
    <w:rsid w:val="453273D9"/>
    <w:rsid w:val="45372C41"/>
    <w:rsid w:val="45397E0B"/>
    <w:rsid w:val="45470BFC"/>
    <w:rsid w:val="45472E74"/>
    <w:rsid w:val="4551405E"/>
    <w:rsid w:val="45634846"/>
    <w:rsid w:val="45684BA8"/>
    <w:rsid w:val="457F1EF2"/>
    <w:rsid w:val="45992FB4"/>
    <w:rsid w:val="45B2506E"/>
    <w:rsid w:val="45BD3146"/>
    <w:rsid w:val="45D6658A"/>
    <w:rsid w:val="45EC57D9"/>
    <w:rsid w:val="45EC7588"/>
    <w:rsid w:val="45EE0562"/>
    <w:rsid w:val="45EF52CA"/>
    <w:rsid w:val="45F70820"/>
    <w:rsid w:val="46317690"/>
    <w:rsid w:val="463E26A5"/>
    <w:rsid w:val="465C4EF6"/>
    <w:rsid w:val="46792EF0"/>
    <w:rsid w:val="46B10D84"/>
    <w:rsid w:val="46BF08D0"/>
    <w:rsid w:val="46BF0E5D"/>
    <w:rsid w:val="46BF1040"/>
    <w:rsid w:val="46BF4C9C"/>
    <w:rsid w:val="46FB7DC6"/>
    <w:rsid w:val="470628CB"/>
    <w:rsid w:val="47084895"/>
    <w:rsid w:val="470E1780"/>
    <w:rsid w:val="4713129D"/>
    <w:rsid w:val="47150D60"/>
    <w:rsid w:val="47163D7B"/>
    <w:rsid w:val="472B386C"/>
    <w:rsid w:val="472E3BD0"/>
    <w:rsid w:val="47341A65"/>
    <w:rsid w:val="47356D0C"/>
    <w:rsid w:val="47413903"/>
    <w:rsid w:val="47700AB3"/>
    <w:rsid w:val="47A1292F"/>
    <w:rsid w:val="47A3011A"/>
    <w:rsid w:val="47B70069"/>
    <w:rsid w:val="47C167F2"/>
    <w:rsid w:val="47CF53B3"/>
    <w:rsid w:val="47D143BA"/>
    <w:rsid w:val="47E10C42"/>
    <w:rsid w:val="481B7AFF"/>
    <w:rsid w:val="48284AC3"/>
    <w:rsid w:val="48435459"/>
    <w:rsid w:val="484C255F"/>
    <w:rsid w:val="486A0C38"/>
    <w:rsid w:val="48733062"/>
    <w:rsid w:val="487D6BBD"/>
    <w:rsid w:val="488816D7"/>
    <w:rsid w:val="488A12DA"/>
    <w:rsid w:val="48931989"/>
    <w:rsid w:val="48945CB4"/>
    <w:rsid w:val="48972E18"/>
    <w:rsid w:val="48F5715D"/>
    <w:rsid w:val="48FA645F"/>
    <w:rsid w:val="4924528A"/>
    <w:rsid w:val="493E4DB3"/>
    <w:rsid w:val="49470D20"/>
    <w:rsid w:val="495542D2"/>
    <w:rsid w:val="498A4BEA"/>
    <w:rsid w:val="498D5A32"/>
    <w:rsid w:val="4998570B"/>
    <w:rsid w:val="499A554C"/>
    <w:rsid w:val="49BD5A29"/>
    <w:rsid w:val="49C33793"/>
    <w:rsid w:val="49D767A1"/>
    <w:rsid w:val="49E1317B"/>
    <w:rsid w:val="49EF7728"/>
    <w:rsid w:val="49F904C5"/>
    <w:rsid w:val="4A0B1BCE"/>
    <w:rsid w:val="4A2A4B22"/>
    <w:rsid w:val="4A3204F3"/>
    <w:rsid w:val="4A3414FD"/>
    <w:rsid w:val="4A357A0A"/>
    <w:rsid w:val="4A4756D4"/>
    <w:rsid w:val="4A570F3A"/>
    <w:rsid w:val="4A6B299F"/>
    <w:rsid w:val="4A7045EA"/>
    <w:rsid w:val="4AC079A4"/>
    <w:rsid w:val="4AC705C3"/>
    <w:rsid w:val="4AC97E97"/>
    <w:rsid w:val="4ADF3B5F"/>
    <w:rsid w:val="4AE922E8"/>
    <w:rsid w:val="4AEF1963"/>
    <w:rsid w:val="4AF869CF"/>
    <w:rsid w:val="4AFE29C3"/>
    <w:rsid w:val="4B0842D4"/>
    <w:rsid w:val="4B294DDA"/>
    <w:rsid w:val="4B3B0528"/>
    <w:rsid w:val="4B604956"/>
    <w:rsid w:val="4B7177F6"/>
    <w:rsid w:val="4BD34A8B"/>
    <w:rsid w:val="4BE331DB"/>
    <w:rsid w:val="4BEB208F"/>
    <w:rsid w:val="4BFA1B23"/>
    <w:rsid w:val="4C016F35"/>
    <w:rsid w:val="4C2757BD"/>
    <w:rsid w:val="4C3361FD"/>
    <w:rsid w:val="4C5005B5"/>
    <w:rsid w:val="4C59524B"/>
    <w:rsid w:val="4C5D3964"/>
    <w:rsid w:val="4C62542B"/>
    <w:rsid w:val="4C72630D"/>
    <w:rsid w:val="4C7639EF"/>
    <w:rsid w:val="4CA24E44"/>
    <w:rsid w:val="4CAE1A3B"/>
    <w:rsid w:val="4CD6689C"/>
    <w:rsid w:val="4CDA1D3F"/>
    <w:rsid w:val="4CF338F1"/>
    <w:rsid w:val="4D043409"/>
    <w:rsid w:val="4D0E072B"/>
    <w:rsid w:val="4D36349D"/>
    <w:rsid w:val="4D404CAD"/>
    <w:rsid w:val="4D6B2964"/>
    <w:rsid w:val="4D754306"/>
    <w:rsid w:val="4D7906B3"/>
    <w:rsid w:val="4D7B7443"/>
    <w:rsid w:val="4D970BC6"/>
    <w:rsid w:val="4DC808DA"/>
    <w:rsid w:val="4DD059E1"/>
    <w:rsid w:val="4DEB7965"/>
    <w:rsid w:val="4E0156B1"/>
    <w:rsid w:val="4E0E6BE0"/>
    <w:rsid w:val="4E1712E5"/>
    <w:rsid w:val="4E2140F4"/>
    <w:rsid w:val="4E355844"/>
    <w:rsid w:val="4E383591"/>
    <w:rsid w:val="4E467B58"/>
    <w:rsid w:val="4E557C94"/>
    <w:rsid w:val="4E772448"/>
    <w:rsid w:val="4E870795"/>
    <w:rsid w:val="4E9B5FEF"/>
    <w:rsid w:val="4EA44C21"/>
    <w:rsid w:val="4ED66C5F"/>
    <w:rsid w:val="4EE17F97"/>
    <w:rsid w:val="4EE31744"/>
    <w:rsid w:val="4EE74D90"/>
    <w:rsid w:val="4EF86F9D"/>
    <w:rsid w:val="4F104156"/>
    <w:rsid w:val="4F271630"/>
    <w:rsid w:val="4F2B6157"/>
    <w:rsid w:val="4F2E29BF"/>
    <w:rsid w:val="4F337FD5"/>
    <w:rsid w:val="4F55619D"/>
    <w:rsid w:val="4F6A3FAF"/>
    <w:rsid w:val="4F6B55D9"/>
    <w:rsid w:val="4F6B59C1"/>
    <w:rsid w:val="4F7F74C5"/>
    <w:rsid w:val="4FAD1966"/>
    <w:rsid w:val="500A0972"/>
    <w:rsid w:val="503264DF"/>
    <w:rsid w:val="503923F2"/>
    <w:rsid w:val="503A35E5"/>
    <w:rsid w:val="504A1E5D"/>
    <w:rsid w:val="505C779B"/>
    <w:rsid w:val="50662246"/>
    <w:rsid w:val="50A078EC"/>
    <w:rsid w:val="50AA1A16"/>
    <w:rsid w:val="50BD049E"/>
    <w:rsid w:val="50D4451E"/>
    <w:rsid w:val="51172D37"/>
    <w:rsid w:val="5139564B"/>
    <w:rsid w:val="515B78D4"/>
    <w:rsid w:val="51622AD5"/>
    <w:rsid w:val="51624B84"/>
    <w:rsid w:val="519A2A2F"/>
    <w:rsid w:val="51C4585C"/>
    <w:rsid w:val="51D74DBA"/>
    <w:rsid w:val="51E05BBD"/>
    <w:rsid w:val="51E46AE7"/>
    <w:rsid w:val="51F4280F"/>
    <w:rsid w:val="522D2622"/>
    <w:rsid w:val="52323C88"/>
    <w:rsid w:val="52546BE0"/>
    <w:rsid w:val="528648C0"/>
    <w:rsid w:val="529A3C54"/>
    <w:rsid w:val="52A5743C"/>
    <w:rsid w:val="52AF3E17"/>
    <w:rsid w:val="52B0193D"/>
    <w:rsid w:val="52C33D66"/>
    <w:rsid w:val="52C673B2"/>
    <w:rsid w:val="52E33AC0"/>
    <w:rsid w:val="52F43F1F"/>
    <w:rsid w:val="531445C2"/>
    <w:rsid w:val="53380FC9"/>
    <w:rsid w:val="53552829"/>
    <w:rsid w:val="539C2D37"/>
    <w:rsid w:val="53A5346C"/>
    <w:rsid w:val="53E82A87"/>
    <w:rsid w:val="53F65A75"/>
    <w:rsid w:val="540006A2"/>
    <w:rsid w:val="540957A8"/>
    <w:rsid w:val="541F4125"/>
    <w:rsid w:val="54302D35"/>
    <w:rsid w:val="54324CFF"/>
    <w:rsid w:val="543547EF"/>
    <w:rsid w:val="54562C35"/>
    <w:rsid w:val="5463135D"/>
    <w:rsid w:val="547343BF"/>
    <w:rsid w:val="547F7730"/>
    <w:rsid w:val="548C2AFB"/>
    <w:rsid w:val="549A70F0"/>
    <w:rsid w:val="54E35FFA"/>
    <w:rsid w:val="54F03E7B"/>
    <w:rsid w:val="54F226E1"/>
    <w:rsid w:val="55061CE8"/>
    <w:rsid w:val="5522723D"/>
    <w:rsid w:val="552C0A96"/>
    <w:rsid w:val="554A28A3"/>
    <w:rsid w:val="559B2B61"/>
    <w:rsid w:val="55C401F5"/>
    <w:rsid w:val="55DE3EFF"/>
    <w:rsid w:val="55FB0724"/>
    <w:rsid w:val="56020701"/>
    <w:rsid w:val="56080B32"/>
    <w:rsid w:val="56102C7E"/>
    <w:rsid w:val="56345FA6"/>
    <w:rsid w:val="5643420C"/>
    <w:rsid w:val="5656177B"/>
    <w:rsid w:val="56764C4B"/>
    <w:rsid w:val="569A4DDE"/>
    <w:rsid w:val="56D26326"/>
    <w:rsid w:val="56E36960"/>
    <w:rsid w:val="56FB3ACE"/>
    <w:rsid w:val="570B1838"/>
    <w:rsid w:val="570C5CDB"/>
    <w:rsid w:val="57256D9D"/>
    <w:rsid w:val="573D7879"/>
    <w:rsid w:val="573E7E5F"/>
    <w:rsid w:val="574B30E2"/>
    <w:rsid w:val="574D00A2"/>
    <w:rsid w:val="575B631B"/>
    <w:rsid w:val="575E405D"/>
    <w:rsid w:val="576D604E"/>
    <w:rsid w:val="57B819BF"/>
    <w:rsid w:val="57E5652D"/>
    <w:rsid w:val="58025F20"/>
    <w:rsid w:val="581970B6"/>
    <w:rsid w:val="581E6EFC"/>
    <w:rsid w:val="582279DB"/>
    <w:rsid w:val="5830515C"/>
    <w:rsid w:val="583C2F39"/>
    <w:rsid w:val="58481CE4"/>
    <w:rsid w:val="58553578"/>
    <w:rsid w:val="585A172A"/>
    <w:rsid w:val="58604752"/>
    <w:rsid w:val="58690C9D"/>
    <w:rsid w:val="587D413A"/>
    <w:rsid w:val="5898534D"/>
    <w:rsid w:val="58B54151"/>
    <w:rsid w:val="58C83E84"/>
    <w:rsid w:val="58CD4E39"/>
    <w:rsid w:val="58DE5456"/>
    <w:rsid w:val="58FB56CF"/>
    <w:rsid w:val="590B3D71"/>
    <w:rsid w:val="590B5B1F"/>
    <w:rsid w:val="59162E41"/>
    <w:rsid w:val="59227A2E"/>
    <w:rsid w:val="592866D1"/>
    <w:rsid w:val="59373618"/>
    <w:rsid w:val="5939268C"/>
    <w:rsid w:val="593A4535"/>
    <w:rsid w:val="593C217C"/>
    <w:rsid w:val="598029DD"/>
    <w:rsid w:val="5980475F"/>
    <w:rsid w:val="599124C8"/>
    <w:rsid w:val="59AC10B0"/>
    <w:rsid w:val="59B72EFC"/>
    <w:rsid w:val="59C363FA"/>
    <w:rsid w:val="59C56616"/>
    <w:rsid w:val="59E85E60"/>
    <w:rsid w:val="5A167004"/>
    <w:rsid w:val="5A1C2481"/>
    <w:rsid w:val="5A3115B5"/>
    <w:rsid w:val="5A3F0176"/>
    <w:rsid w:val="5A41352B"/>
    <w:rsid w:val="5A975865"/>
    <w:rsid w:val="5AAC6643"/>
    <w:rsid w:val="5AB93F1D"/>
    <w:rsid w:val="5B092061"/>
    <w:rsid w:val="5B71145A"/>
    <w:rsid w:val="5B762629"/>
    <w:rsid w:val="5B8D3163"/>
    <w:rsid w:val="5B94011F"/>
    <w:rsid w:val="5BA34735"/>
    <w:rsid w:val="5BB71F8E"/>
    <w:rsid w:val="5BC91427"/>
    <w:rsid w:val="5BD62E57"/>
    <w:rsid w:val="5BFE13BA"/>
    <w:rsid w:val="5C0E6052"/>
    <w:rsid w:val="5C182A2D"/>
    <w:rsid w:val="5C277114"/>
    <w:rsid w:val="5C3E0E1F"/>
    <w:rsid w:val="5C4A069B"/>
    <w:rsid w:val="5C4E644E"/>
    <w:rsid w:val="5C550D5E"/>
    <w:rsid w:val="5C6F0602"/>
    <w:rsid w:val="5C702869"/>
    <w:rsid w:val="5C910A31"/>
    <w:rsid w:val="5CA83A73"/>
    <w:rsid w:val="5CBA6D14"/>
    <w:rsid w:val="5CBC407B"/>
    <w:rsid w:val="5D0336DD"/>
    <w:rsid w:val="5D072AA1"/>
    <w:rsid w:val="5D30024A"/>
    <w:rsid w:val="5D321FBD"/>
    <w:rsid w:val="5D361251"/>
    <w:rsid w:val="5D5977A1"/>
    <w:rsid w:val="5D6362FA"/>
    <w:rsid w:val="5D720862"/>
    <w:rsid w:val="5D74508C"/>
    <w:rsid w:val="5D771F1C"/>
    <w:rsid w:val="5D924064"/>
    <w:rsid w:val="5D9A3294"/>
    <w:rsid w:val="5D9A56C3"/>
    <w:rsid w:val="5DAC2961"/>
    <w:rsid w:val="5DAF73C1"/>
    <w:rsid w:val="5DC81725"/>
    <w:rsid w:val="5DCE5AAD"/>
    <w:rsid w:val="5DDD2180"/>
    <w:rsid w:val="5DF4093C"/>
    <w:rsid w:val="5DFA61A5"/>
    <w:rsid w:val="5E1E7E48"/>
    <w:rsid w:val="5E4E4E2C"/>
    <w:rsid w:val="5E5E2B95"/>
    <w:rsid w:val="5E653F23"/>
    <w:rsid w:val="5E6554CB"/>
    <w:rsid w:val="5E745F14"/>
    <w:rsid w:val="5E82577E"/>
    <w:rsid w:val="5E83000D"/>
    <w:rsid w:val="5E8C3303"/>
    <w:rsid w:val="5E95615C"/>
    <w:rsid w:val="5E993BCD"/>
    <w:rsid w:val="5EA94124"/>
    <w:rsid w:val="5EB32EE1"/>
    <w:rsid w:val="5F0454EA"/>
    <w:rsid w:val="5F0B6879"/>
    <w:rsid w:val="5F0C25F1"/>
    <w:rsid w:val="5F2329E5"/>
    <w:rsid w:val="5F2416E8"/>
    <w:rsid w:val="5F310BD2"/>
    <w:rsid w:val="5F3804D8"/>
    <w:rsid w:val="5F3C1128"/>
    <w:rsid w:val="5F446D8B"/>
    <w:rsid w:val="5F5E109E"/>
    <w:rsid w:val="5F630463"/>
    <w:rsid w:val="5F6B37BB"/>
    <w:rsid w:val="5FAF36A8"/>
    <w:rsid w:val="5FCB523A"/>
    <w:rsid w:val="5FDD6FB4"/>
    <w:rsid w:val="5FF13CC0"/>
    <w:rsid w:val="5FF55728"/>
    <w:rsid w:val="60037F0C"/>
    <w:rsid w:val="601856F1"/>
    <w:rsid w:val="601E25DC"/>
    <w:rsid w:val="602A71D2"/>
    <w:rsid w:val="602C3549"/>
    <w:rsid w:val="602C7894"/>
    <w:rsid w:val="607267DF"/>
    <w:rsid w:val="60AA5CA4"/>
    <w:rsid w:val="60AD570E"/>
    <w:rsid w:val="60B13B07"/>
    <w:rsid w:val="60C26055"/>
    <w:rsid w:val="60CB2763"/>
    <w:rsid w:val="60F63B4D"/>
    <w:rsid w:val="60F80115"/>
    <w:rsid w:val="61285BD1"/>
    <w:rsid w:val="612C6F7A"/>
    <w:rsid w:val="6162620F"/>
    <w:rsid w:val="61C13B66"/>
    <w:rsid w:val="61C8283A"/>
    <w:rsid w:val="61D64AF9"/>
    <w:rsid w:val="61E67129"/>
    <w:rsid w:val="61FA2BD4"/>
    <w:rsid w:val="62065A1D"/>
    <w:rsid w:val="62312961"/>
    <w:rsid w:val="623F140B"/>
    <w:rsid w:val="624B3430"/>
    <w:rsid w:val="625E13B5"/>
    <w:rsid w:val="62632091"/>
    <w:rsid w:val="62690F0D"/>
    <w:rsid w:val="627604AD"/>
    <w:rsid w:val="627E3805"/>
    <w:rsid w:val="628D57F7"/>
    <w:rsid w:val="62935F75"/>
    <w:rsid w:val="629D0130"/>
    <w:rsid w:val="629E5C56"/>
    <w:rsid w:val="62AA63A9"/>
    <w:rsid w:val="62D32B06"/>
    <w:rsid w:val="62DE6052"/>
    <w:rsid w:val="62FC7AA6"/>
    <w:rsid w:val="63027AF7"/>
    <w:rsid w:val="631E1FE1"/>
    <w:rsid w:val="631E3720"/>
    <w:rsid w:val="631F0B45"/>
    <w:rsid w:val="634E3A1D"/>
    <w:rsid w:val="6361115D"/>
    <w:rsid w:val="636A04DD"/>
    <w:rsid w:val="63776E7B"/>
    <w:rsid w:val="638209BA"/>
    <w:rsid w:val="638B7F88"/>
    <w:rsid w:val="63B23767"/>
    <w:rsid w:val="64267CB1"/>
    <w:rsid w:val="64300B2F"/>
    <w:rsid w:val="64487D48"/>
    <w:rsid w:val="644C1333"/>
    <w:rsid w:val="64524F4A"/>
    <w:rsid w:val="646B7DB9"/>
    <w:rsid w:val="64831A22"/>
    <w:rsid w:val="64B43BB5"/>
    <w:rsid w:val="64BC260F"/>
    <w:rsid w:val="64BF72F8"/>
    <w:rsid w:val="64D20713"/>
    <w:rsid w:val="64EB5977"/>
    <w:rsid w:val="64F8789F"/>
    <w:rsid w:val="64FD6C64"/>
    <w:rsid w:val="65085009"/>
    <w:rsid w:val="6509385A"/>
    <w:rsid w:val="651A78D9"/>
    <w:rsid w:val="6558033E"/>
    <w:rsid w:val="655D1621"/>
    <w:rsid w:val="656447FC"/>
    <w:rsid w:val="65672E18"/>
    <w:rsid w:val="65731146"/>
    <w:rsid w:val="65984BDE"/>
    <w:rsid w:val="659A0956"/>
    <w:rsid w:val="65A11CE5"/>
    <w:rsid w:val="65BC6B1F"/>
    <w:rsid w:val="65C854C3"/>
    <w:rsid w:val="65CB08B8"/>
    <w:rsid w:val="65F02088"/>
    <w:rsid w:val="65F22540"/>
    <w:rsid w:val="6609788A"/>
    <w:rsid w:val="663761A5"/>
    <w:rsid w:val="66417024"/>
    <w:rsid w:val="6646463A"/>
    <w:rsid w:val="664663E8"/>
    <w:rsid w:val="6660394E"/>
    <w:rsid w:val="66666A8A"/>
    <w:rsid w:val="66A302D7"/>
    <w:rsid w:val="66A75227"/>
    <w:rsid w:val="66AA2E1B"/>
    <w:rsid w:val="66AD6571"/>
    <w:rsid w:val="66B15F58"/>
    <w:rsid w:val="66C0263F"/>
    <w:rsid w:val="66C22D3A"/>
    <w:rsid w:val="670C2280"/>
    <w:rsid w:val="6736719C"/>
    <w:rsid w:val="677B7117"/>
    <w:rsid w:val="679669B4"/>
    <w:rsid w:val="67966EFB"/>
    <w:rsid w:val="67D0065F"/>
    <w:rsid w:val="67DD3829"/>
    <w:rsid w:val="67EA7D34"/>
    <w:rsid w:val="67FA392E"/>
    <w:rsid w:val="680653B7"/>
    <w:rsid w:val="681C1AF7"/>
    <w:rsid w:val="68264723"/>
    <w:rsid w:val="683F57E5"/>
    <w:rsid w:val="685B0CAE"/>
    <w:rsid w:val="68725BBA"/>
    <w:rsid w:val="68880F3A"/>
    <w:rsid w:val="68915761"/>
    <w:rsid w:val="689F6E4C"/>
    <w:rsid w:val="68B672D9"/>
    <w:rsid w:val="68D423D1"/>
    <w:rsid w:val="68E63EB3"/>
    <w:rsid w:val="690A4AA4"/>
    <w:rsid w:val="69181CC6"/>
    <w:rsid w:val="6933534A"/>
    <w:rsid w:val="69382960"/>
    <w:rsid w:val="69536B78"/>
    <w:rsid w:val="69643E88"/>
    <w:rsid w:val="697274F4"/>
    <w:rsid w:val="69AB0CAE"/>
    <w:rsid w:val="69B63885"/>
    <w:rsid w:val="69BB0E9B"/>
    <w:rsid w:val="69C6022E"/>
    <w:rsid w:val="69FC1BE0"/>
    <w:rsid w:val="6A08670B"/>
    <w:rsid w:val="6A29188C"/>
    <w:rsid w:val="6A3D5D54"/>
    <w:rsid w:val="6A440E91"/>
    <w:rsid w:val="6A460CA7"/>
    <w:rsid w:val="6A462CC6"/>
    <w:rsid w:val="6AAF0A00"/>
    <w:rsid w:val="6AC17509"/>
    <w:rsid w:val="6AE34B4E"/>
    <w:rsid w:val="6AEA7C8A"/>
    <w:rsid w:val="6AF01164"/>
    <w:rsid w:val="6B3709F5"/>
    <w:rsid w:val="6B407C2A"/>
    <w:rsid w:val="6B427AC6"/>
    <w:rsid w:val="6B4A24D7"/>
    <w:rsid w:val="6BBC1336"/>
    <w:rsid w:val="6BC60FFB"/>
    <w:rsid w:val="6BF3491C"/>
    <w:rsid w:val="6C066D46"/>
    <w:rsid w:val="6C0D3413"/>
    <w:rsid w:val="6C6D31D7"/>
    <w:rsid w:val="6C983716"/>
    <w:rsid w:val="6C9D62CE"/>
    <w:rsid w:val="6CC41A6A"/>
    <w:rsid w:val="6CE801F9"/>
    <w:rsid w:val="6CF21078"/>
    <w:rsid w:val="6CFD3869"/>
    <w:rsid w:val="6D0E5786"/>
    <w:rsid w:val="6D2D76B5"/>
    <w:rsid w:val="6D2F0485"/>
    <w:rsid w:val="6D5C4743"/>
    <w:rsid w:val="6D604233"/>
    <w:rsid w:val="6D6535F8"/>
    <w:rsid w:val="6D6D06FE"/>
    <w:rsid w:val="6D745F31"/>
    <w:rsid w:val="6D7970A3"/>
    <w:rsid w:val="6DAA1953"/>
    <w:rsid w:val="6DBC3CF4"/>
    <w:rsid w:val="6DBD0123"/>
    <w:rsid w:val="6DE50BDD"/>
    <w:rsid w:val="6E1A0FD5"/>
    <w:rsid w:val="6E2E60E0"/>
    <w:rsid w:val="6E354E71"/>
    <w:rsid w:val="6E3F653F"/>
    <w:rsid w:val="6E537FD5"/>
    <w:rsid w:val="6E6020D8"/>
    <w:rsid w:val="6E7D7067"/>
    <w:rsid w:val="6E9028F6"/>
    <w:rsid w:val="6E9F2B3A"/>
    <w:rsid w:val="6EA142D6"/>
    <w:rsid w:val="6EA939B8"/>
    <w:rsid w:val="6EC005EB"/>
    <w:rsid w:val="6ED76777"/>
    <w:rsid w:val="6EDE7B06"/>
    <w:rsid w:val="6EDF260E"/>
    <w:rsid w:val="6EE3336E"/>
    <w:rsid w:val="6EF074E6"/>
    <w:rsid w:val="6F12155D"/>
    <w:rsid w:val="6F1B5096"/>
    <w:rsid w:val="6F502086"/>
    <w:rsid w:val="6F507156"/>
    <w:rsid w:val="6F5074C6"/>
    <w:rsid w:val="6F5D707E"/>
    <w:rsid w:val="6F6F4C02"/>
    <w:rsid w:val="6FC565D0"/>
    <w:rsid w:val="6FCE54FF"/>
    <w:rsid w:val="6FE4739E"/>
    <w:rsid w:val="7012558D"/>
    <w:rsid w:val="701A2DCE"/>
    <w:rsid w:val="70231548"/>
    <w:rsid w:val="702C664F"/>
    <w:rsid w:val="70457711"/>
    <w:rsid w:val="7056191E"/>
    <w:rsid w:val="705E42EA"/>
    <w:rsid w:val="706202C3"/>
    <w:rsid w:val="70694AC6"/>
    <w:rsid w:val="70783D6C"/>
    <w:rsid w:val="70807F9B"/>
    <w:rsid w:val="70B054D2"/>
    <w:rsid w:val="70C2594D"/>
    <w:rsid w:val="70E150EF"/>
    <w:rsid w:val="70E37655"/>
    <w:rsid w:val="70ED4030"/>
    <w:rsid w:val="70FA78DD"/>
    <w:rsid w:val="71130528"/>
    <w:rsid w:val="713F4B17"/>
    <w:rsid w:val="714325E3"/>
    <w:rsid w:val="714571EE"/>
    <w:rsid w:val="71502811"/>
    <w:rsid w:val="71950224"/>
    <w:rsid w:val="71A76679"/>
    <w:rsid w:val="71C32FE3"/>
    <w:rsid w:val="71C4488E"/>
    <w:rsid w:val="71E33685"/>
    <w:rsid w:val="71E573FD"/>
    <w:rsid w:val="71F15DA2"/>
    <w:rsid w:val="72010403"/>
    <w:rsid w:val="720158B9"/>
    <w:rsid w:val="72084E9A"/>
    <w:rsid w:val="720D425E"/>
    <w:rsid w:val="722F0678"/>
    <w:rsid w:val="724E1389"/>
    <w:rsid w:val="725863AA"/>
    <w:rsid w:val="72671BC0"/>
    <w:rsid w:val="72677E12"/>
    <w:rsid w:val="726C367A"/>
    <w:rsid w:val="7285473C"/>
    <w:rsid w:val="728C1627"/>
    <w:rsid w:val="729606F7"/>
    <w:rsid w:val="729E3177"/>
    <w:rsid w:val="72AE77EF"/>
    <w:rsid w:val="72BF11DF"/>
    <w:rsid w:val="72D03C09"/>
    <w:rsid w:val="72E01973"/>
    <w:rsid w:val="72F07E08"/>
    <w:rsid w:val="73046E24"/>
    <w:rsid w:val="731C6E4F"/>
    <w:rsid w:val="732D1AA9"/>
    <w:rsid w:val="73683E42"/>
    <w:rsid w:val="73683F57"/>
    <w:rsid w:val="73690B78"/>
    <w:rsid w:val="739F4B92"/>
    <w:rsid w:val="73C53042"/>
    <w:rsid w:val="73DE427F"/>
    <w:rsid w:val="73E060CE"/>
    <w:rsid w:val="73E97B4F"/>
    <w:rsid w:val="741B2C62"/>
    <w:rsid w:val="743A3F47"/>
    <w:rsid w:val="745B3564"/>
    <w:rsid w:val="74624D35"/>
    <w:rsid w:val="74644B73"/>
    <w:rsid w:val="747118AF"/>
    <w:rsid w:val="74B65081"/>
    <w:rsid w:val="74BA06CD"/>
    <w:rsid w:val="74D20BB4"/>
    <w:rsid w:val="74FE5694"/>
    <w:rsid w:val="754F59CB"/>
    <w:rsid w:val="75572054"/>
    <w:rsid w:val="757824E3"/>
    <w:rsid w:val="757F1917"/>
    <w:rsid w:val="758E56B6"/>
    <w:rsid w:val="75921D70"/>
    <w:rsid w:val="75930F1E"/>
    <w:rsid w:val="75A92D8A"/>
    <w:rsid w:val="75D827AD"/>
    <w:rsid w:val="75EB36D0"/>
    <w:rsid w:val="75FC4D15"/>
    <w:rsid w:val="760D6F22"/>
    <w:rsid w:val="762229CE"/>
    <w:rsid w:val="76283D5C"/>
    <w:rsid w:val="764346F2"/>
    <w:rsid w:val="765E6BE4"/>
    <w:rsid w:val="76607052"/>
    <w:rsid w:val="7667087B"/>
    <w:rsid w:val="766E5C13"/>
    <w:rsid w:val="769B55BF"/>
    <w:rsid w:val="76B33626"/>
    <w:rsid w:val="76B35000"/>
    <w:rsid w:val="76C05D43"/>
    <w:rsid w:val="76C27237"/>
    <w:rsid w:val="76C52CAD"/>
    <w:rsid w:val="76E25CB9"/>
    <w:rsid w:val="770671F4"/>
    <w:rsid w:val="771816DB"/>
    <w:rsid w:val="771F0CBB"/>
    <w:rsid w:val="77291B3A"/>
    <w:rsid w:val="77456248"/>
    <w:rsid w:val="7762031B"/>
    <w:rsid w:val="7778661E"/>
    <w:rsid w:val="777D59E2"/>
    <w:rsid w:val="779D3DB3"/>
    <w:rsid w:val="77A67EC3"/>
    <w:rsid w:val="77AD08D9"/>
    <w:rsid w:val="77B51620"/>
    <w:rsid w:val="77E90D1D"/>
    <w:rsid w:val="781B6E27"/>
    <w:rsid w:val="78201073"/>
    <w:rsid w:val="78342545"/>
    <w:rsid w:val="783B3C00"/>
    <w:rsid w:val="784701B8"/>
    <w:rsid w:val="786C7F30"/>
    <w:rsid w:val="7878508A"/>
    <w:rsid w:val="78887081"/>
    <w:rsid w:val="78AE0074"/>
    <w:rsid w:val="78B74BB0"/>
    <w:rsid w:val="78BB0EB8"/>
    <w:rsid w:val="78C53AE4"/>
    <w:rsid w:val="78C57641"/>
    <w:rsid w:val="78CA10FB"/>
    <w:rsid w:val="78CD1220"/>
    <w:rsid w:val="78E24696"/>
    <w:rsid w:val="78F148D9"/>
    <w:rsid w:val="78FA3D25"/>
    <w:rsid w:val="79065589"/>
    <w:rsid w:val="79110AD8"/>
    <w:rsid w:val="791D122B"/>
    <w:rsid w:val="79371559"/>
    <w:rsid w:val="79444A09"/>
    <w:rsid w:val="7955062C"/>
    <w:rsid w:val="79927E6B"/>
    <w:rsid w:val="79AB2CDA"/>
    <w:rsid w:val="79B6253C"/>
    <w:rsid w:val="79C773E8"/>
    <w:rsid w:val="79EA1A55"/>
    <w:rsid w:val="79EF2389"/>
    <w:rsid w:val="79FC1788"/>
    <w:rsid w:val="7A1E11D9"/>
    <w:rsid w:val="7A232871"/>
    <w:rsid w:val="7A4606FA"/>
    <w:rsid w:val="7A804167"/>
    <w:rsid w:val="7A9D78F5"/>
    <w:rsid w:val="7AB13ECC"/>
    <w:rsid w:val="7AC3298E"/>
    <w:rsid w:val="7AC85AB9"/>
    <w:rsid w:val="7AE5221C"/>
    <w:rsid w:val="7AE53FCA"/>
    <w:rsid w:val="7AFD1314"/>
    <w:rsid w:val="7B0408F4"/>
    <w:rsid w:val="7B0A3A31"/>
    <w:rsid w:val="7B0B79A2"/>
    <w:rsid w:val="7B377B77"/>
    <w:rsid w:val="7B3A7748"/>
    <w:rsid w:val="7B3B008E"/>
    <w:rsid w:val="7B3B3162"/>
    <w:rsid w:val="7B4E7DC1"/>
    <w:rsid w:val="7B5B0730"/>
    <w:rsid w:val="7B6725E7"/>
    <w:rsid w:val="7B6A1C5D"/>
    <w:rsid w:val="7B6E5DE2"/>
    <w:rsid w:val="7B7D2454"/>
    <w:rsid w:val="7B8E6410"/>
    <w:rsid w:val="7BA774D1"/>
    <w:rsid w:val="7BB2120E"/>
    <w:rsid w:val="7BBD6CF5"/>
    <w:rsid w:val="7BC96519"/>
    <w:rsid w:val="7BF42603"/>
    <w:rsid w:val="7BF9193F"/>
    <w:rsid w:val="7BFE17E7"/>
    <w:rsid w:val="7C0466D2"/>
    <w:rsid w:val="7C120F4C"/>
    <w:rsid w:val="7C396B93"/>
    <w:rsid w:val="7C44675E"/>
    <w:rsid w:val="7C4B29E2"/>
    <w:rsid w:val="7C507B69"/>
    <w:rsid w:val="7C5B649E"/>
    <w:rsid w:val="7C5C066F"/>
    <w:rsid w:val="7C6C6AB6"/>
    <w:rsid w:val="7C7747B0"/>
    <w:rsid w:val="7C80748C"/>
    <w:rsid w:val="7C8F20FF"/>
    <w:rsid w:val="7CAF4890"/>
    <w:rsid w:val="7CB06BDA"/>
    <w:rsid w:val="7CE65DD7"/>
    <w:rsid w:val="7CEC1A84"/>
    <w:rsid w:val="7D05409C"/>
    <w:rsid w:val="7D056BA5"/>
    <w:rsid w:val="7D36167C"/>
    <w:rsid w:val="7D472B78"/>
    <w:rsid w:val="7D4B45BE"/>
    <w:rsid w:val="7D5847AF"/>
    <w:rsid w:val="7D5F4288"/>
    <w:rsid w:val="7D695A05"/>
    <w:rsid w:val="7DA77C5D"/>
    <w:rsid w:val="7DAA64D7"/>
    <w:rsid w:val="7DB3215D"/>
    <w:rsid w:val="7DC974CD"/>
    <w:rsid w:val="7DE93DD1"/>
    <w:rsid w:val="7DEE7639"/>
    <w:rsid w:val="7DFB4006"/>
    <w:rsid w:val="7E046E5D"/>
    <w:rsid w:val="7E0B3D48"/>
    <w:rsid w:val="7E221091"/>
    <w:rsid w:val="7E6478FC"/>
    <w:rsid w:val="7E691F7C"/>
    <w:rsid w:val="7E806673"/>
    <w:rsid w:val="7E906943"/>
    <w:rsid w:val="7EB0162C"/>
    <w:rsid w:val="7ECF1219"/>
    <w:rsid w:val="7ED97A14"/>
    <w:rsid w:val="7F2A644F"/>
    <w:rsid w:val="7F3B1E69"/>
    <w:rsid w:val="7F536828"/>
    <w:rsid w:val="7F654A59"/>
    <w:rsid w:val="7F6A2CF0"/>
    <w:rsid w:val="7F6E0A32"/>
    <w:rsid w:val="7F7B314F"/>
    <w:rsid w:val="7F856148"/>
    <w:rsid w:val="7F9935D5"/>
    <w:rsid w:val="7FA44454"/>
    <w:rsid w:val="7FBC10CA"/>
    <w:rsid w:val="7FC3060F"/>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bCs/>
      <w:kern w:val="44"/>
      <w:sz w:val="30"/>
      <w:szCs w:val="44"/>
    </w:rPr>
  </w:style>
  <w:style w:type="paragraph" w:styleId="3">
    <w:name w:val="heading 2"/>
    <w:basedOn w:val="1"/>
    <w:next w:val="1"/>
    <w:link w:val="4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45"/>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6"/>
    <w:autoRedefine/>
    <w:qFormat/>
    <w:uiPriority w:val="0"/>
    <w:pPr>
      <w:keepNext/>
      <w:keepLines/>
      <w:tabs>
        <w:tab w:val="left" w:pos="864"/>
      </w:tabs>
      <w:spacing w:before="160" w:after="100" w:line="360" w:lineRule="auto"/>
      <w:ind w:left="864" w:hanging="864"/>
      <w:jc w:val="left"/>
      <w:outlineLvl w:val="3"/>
    </w:pPr>
    <w:rPr>
      <w:rFonts w:eastAsia="等线 Light"/>
      <w:b/>
      <w:bCs/>
      <w:sz w:val="30"/>
      <w:szCs w:val="28"/>
    </w:rPr>
  </w:style>
  <w:style w:type="paragraph" w:styleId="6">
    <w:name w:val="heading 5"/>
    <w:basedOn w:val="1"/>
    <w:next w:val="1"/>
    <w:link w:val="47"/>
    <w:qFormat/>
    <w:uiPriority w:val="0"/>
    <w:pPr>
      <w:keepNext/>
      <w:keepLines/>
      <w:tabs>
        <w:tab w:val="left" w:pos="1008"/>
      </w:tabs>
      <w:spacing w:before="160" w:after="100" w:line="360" w:lineRule="auto"/>
      <w:ind w:left="1008" w:hanging="1008"/>
      <w:jc w:val="left"/>
      <w:outlineLvl w:val="4"/>
    </w:pPr>
    <w:rPr>
      <w:rFonts w:eastAsia="等线 Light"/>
      <w:b/>
      <w:bCs/>
      <w:sz w:val="28"/>
      <w:szCs w:val="28"/>
    </w:rPr>
  </w:style>
  <w:style w:type="paragraph" w:styleId="7">
    <w:name w:val="heading 6"/>
    <w:basedOn w:val="1"/>
    <w:next w:val="1"/>
    <w:link w:val="48"/>
    <w:autoRedefine/>
    <w:qFormat/>
    <w:uiPriority w:val="0"/>
    <w:pPr>
      <w:keepNext/>
      <w:keepLines/>
      <w:tabs>
        <w:tab w:val="left" w:pos="1152"/>
      </w:tabs>
      <w:spacing w:before="160" w:after="100" w:line="360" w:lineRule="auto"/>
      <w:ind w:left="1152" w:hanging="1152"/>
      <w:jc w:val="left"/>
      <w:outlineLvl w:val="5"/>
    </w:pPr>
    <w:rPr>
      <w:rFonts w:eastAsia="等线 Light"/>
      <w:b/>
      <w:bCs/>
    </w:rPr>
  </w:style>
  <w:style w:type="paragraph" w:styleId="8">
    <w:name w:val="heading 7"/>
    <w:basedOn w:val="1"/>
    <w:next w:val="1"/>
    <w:link w:val="49"/>
    <w:qFormat/>
    <w:uiPriority w:val="0"/>
    <w:pPr>
      <w:keepNext/>
      <w:keepLines/>
      <w:tabs>
        <w:tab w:val="left" w:pos="1296"/>
      </w:tabs>
      <w:spacing w:before="160" w:after="100" w:line="360" w:lineRule="auto"/>
      <w:ind w:left="1296" w:hanging="1296"/>
      <w:jc w:val="left"/>
      <w:outlineLvl w:val="6"/>
    </w:pPr>
    <w:rPr>
      <w:rFonts w:eastAsia="等线 Light"/>
      <w:b/>
      <w:bCs/>
      <w:sz w:val="21"/>
    </w:rPr>
  </w:style>
  <w:style w:type="paragraph" w:styleId="9">
    <w:name w:val="heading 8"/>
    <w:basedOn w:val="1"/>
    <w:next w:val="1"/>
    <w:link w:val="50"/>
    <w:autoRedefine/>
    <w:qFormat/>
    <w:uiPriority w:val="0"/>
    <w:pPr>
      <w:keepNext/>
      <w:keepLines/>
      <w:tabs>
        <w:tab w:val="left" w:pos="1440"/>
      </w:tabs>
      <w:spacing w:before="160" w:after="100" w:line="360" w:lineRule="auto"/>
      <w:ind w:left="1440" w:hanging="1440"/>
      <w:jc w:val="left"/>
      <w:outlineLvl w:val="7"/>
    </w:pPr>
    <w:rPr>
      <w:rFonts w:eastAsia="等线 Light"/>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next w:val="1"/>
    <w:link w:val="51"/>
    <w:qFormat/>
    <w:uiPriority w:val="0"/>
    <w:pPr>
      <w:ind w:firstLine="420"/>
    </w:pPr>
    <w:rPr>
      <w:szCs w:val="20"/>
    </w:rPr>
  </w:style>
  <w:style w:type="paragraph" w:styleId="11">
    <w:name w:val="Document Map"/>
    <w:basedOn w:val="1"/>
    <w:autoRedefine/>
    <w:semiHidden/>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132"/>
    <w:qFormat/>
    <w:uiPriority w:val="0"/>
    <w:rPr>
      <w:rFonts w:ascii="宋体"/>
      <w:szCs w:val="20"/>
    </w:rPr>
  </w:style>
  <w:style w:type="paragraph" w:styleId="14">
    <w:name w:val="Body Text"/>
    <w:basedOn w:val="1"/>
    <w:next w:val="15"/>
    <w:link w:val="53"/>
    <w:autoRedefine/>
    <w:qFormat/>
    <w:uiPriority w:val="0"/>
    <w:pPr>
      <w:spacing w:after="120" w:line="360" w:lineRule="auto"/>
    </w:pPr>
    <w:rPr>
      <w:rFonts w:ascii="宋体" w:hAnsi="宋体" w:eastAsiaTheme="minorEastAsia"/>
      <w:b/>
      <w:bCs/>
    </w:rPr>
  </w:style>
  <w:style w:type="paragraph" w:customStyle="1" w:styleId="15">
    <w:name w:val="一级条标题"/>
    <w:basedOn w:val="16"/>
    <w:next w:val="17"/>
    <w:qFormat/>
    <w:uiPriority w:val="0"/>
    <w:pPr>
      <w:spacing w:line="240" w:lineRule="auto"/>
      <w:ind w:left="420"/>
      <w:outlineLvl w:val="2"/>
    </w:pPr>
  </w:style>
  <w:style w:type="paragraph" w:customStyle="1" w:styleId="1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8">
    <w:name w:val="Body Text Indent"/>
    <w:basedOn w:val="1"/>
    <w:next w:val="5"/>
    <w:link w:val="54"/>
    <w:autoRedefine/>
    <w:qFormat/>
    <w:uiPriority w:val="0"/>
    <w:pPr>
      <w:spacing w:after="120"/>
      <w:ind w:left="420" w:leftChars="200"/>
    </w:pPr>
    <w:rPr>
      <w:sz w:val="21"/>
    </w:rPr>
  </w:style>
  <w:style w:type="paragraph" w:styleId="19">
    <w:name w:val="Plain Text"/>
    <w:basedOn w:val="1"/>
    <w:link w:val="55"/>
    <w:autoRedefine/>
    <w:qFormat/>
    <w:uiPriority w:val="99"/>
    <w:rPr>
      <w:rFonts w:ascii="宋体" w:hAnsi="Courier New"/>
      <w:sz w:val="21"/>
      <w:szCs w:val="21"/>
    </w:rPr>
  </w:style>
  <w:style w:type="paragraph" w:styleId="20">
    <w:name w:val="Date"/>
    <w:basedOn w:val="1"/>
    <w:next w:val="1"/>
    <w:autoRedefine/>
    <w:qFormat/>
    <w:uiPriority w:val="0"/>
    <w:pPr>
      <w:ind w:left="100" w:leftChars="2500"/>
    </w:pPr>
    <w:rPr>
      <w:rFonts w:eastAsia="仿宋_GB2312"/>
      <w:sz w:val="32"/>
    </w:rPr>
  </w:style>
  <w:style w:type="paragraph" w:styleId="21">
    <w:name w:val="Balloon Text"/>
    <w:basedOn w:val="1"/>
    <w:link w:val="56"/>
    <w:autoRedefine/>
    <w:qFormat/>
    <w:uiPriority w:val="99"/>
    <w:rPr>
      <w:sz w:val="18"/>
      <w:szCs w:val="18"/>
    </w:rPr>
  </w:style>
  <w:style w:type="paragraph" w:styleId="22">
    <w:name w:val="footer"/>
    <w:basedOn w:val="1"/>
    <w:link w:val="57"/>
    <w:autoRedefine/>
    <w:qFormat/>
    <w:uiPriority w:val="99"/>
    <w:pPr>
      <w:tabs>
        <w:tab w:val="center" w:pos="4153"/>
        <w:tab w:val="right" w:pos="8306"/>
      </w:tabs>
      <w:snapToGrid w:val="0"/>
      <w:jc w:val="left"/>
    </w:pPr>
    <w:rPr>
      <w:sz w:val="18"/>
      <w:szCs w:val="18"/>
    </w:rPr>
  </w:style>
  <w:style w:type="paragraph" w:styleId="23">
    <w:name w:val="header"/>
    <w:basedOn w:val="1"/>
    <w:link w:val="58"/>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99"/>
    <w:pPr>
      <w:spacing w:before="120" w:after="120" w:line="400" w:lineRule="exact"/>
      <w:jc w:val="left"/>
    </w:pPr>
    <w:rPr>
      <w:rFonts w:ascii="Calibri" w:hAnsi="Calibri"/>
      <w:caps/>
      <w:szCs w:val="20"/>
      <w:lang w:val="zh-CN"/>
    </w:rPr>
  </w:style>
  <w:style w:type="paragraph" w:styleId="25">
    <w:name w:val="Subtitle"/>
    <w:basedOn w:val="1"/>
    <w:next w:val="1"/>
    <w:link w:val="59"/>
    <w:autoRedefine/>
    <w:qFormat/>
    <w:uiPriority w:val="0"/>
    <w:pPr>
      <w:spacing w:before="240" w:after="60" w:line="312" w:lineRule="auto"/>
      <w:jc w:val="center"/>
      <w:outlineLvl w:val="1"/>
    </w:pPr>
    <w:rPr>
      <w:rFonts w:ascii="Cambria" w:hAnsi="Cambria"/>
      <w:b/>
      <w:bCs/>
      <w:kern w:val="28"/>
      <w:sz w:val="32"/>
      <w:szCs w:val="32"/>
    </w:rPr>
  </w:style>
  <w:style w:type="paragraph" w:styleId="26">
    <w:name w:val="HTML Preformatted"/>
    <w:basedOn w:val="1"/>
    <w:next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7">
    <w:name w:val="Normal (Web)"/>
    <w:basedOn w:val="1"/>
    <w:autoRedefine/>
    <w:qFormat/>
    <w:uiPriority w:val="99"/>
    <w:pPr>
      <w:spacing w:before="100" w:beforeAutospacing="1" w:after="100" w:afterAutospacing="1"/>
      <w:jc w:val="left"/>
    </w:pPr>
    <w:rPr>
      <w:kern w:val="0"/>
    </w:rPr>
  </w:style>
  <w:style w:type="paragraph" w:styleId="28">
    <w:name w:val="Title"/>
    <w:basedOn w:val="1"/>
    <w:next w:val="1"/>
    <w:link w:val="60"/>
    <w:autoRedefine/>
    <w:qFormat/>
    <w:uiPriority w:val="0"/>
    <w:pPr>
      <w:spacing w:before="240" w:after="60"/>
      <w:jc w:val="center"/>
      <w:outlineLvl w:val="0"/>
    </w:pPr>
    <w:rPr>
      <w:rFonts w:ascii="Cambria" w:hAnsi="Cambria"/>
      <w:b/>
      <w:bCs/>
      <w:sz w:val="36"/>
      <w:szCs w:val="32"/>
    </w:rPr>
  </w:style>
  <w:style w:type="paragraph" w:styleId="29">
    <w:name w:val="annotation subject"/>
    <w:basedOn w:val="12"/>
    <w:next w:val="12"/>
    <w:link w:val="61"/>
    <w:autoRedefine/>
    <w:unhideWhenUsed/>
    <w:qFormat/>
    <w:uiPriority w:val="99"/>
    <w:rPr>
      <w:rFonts w:ascii="Calibri" w:hAnsi="Calibri"/>
      <w:b/>
      <w:bCs/>
      <w:sz w:val="21"/>
      <w:szCs w:val="22"/>
    </w:rPr>
  </w:style>
  <w:style w:type="paragraph" w:styleId="30">
    <w:name w:val="Body Text First Indent"/>
    <w:basedOn w:val="1"/>
    <w:next w:val="1"/>
    <w:link w:val="62"/>
    <w:autoRedefine/>
    <w:qFormat/>
    <w:uiPriority w:val="0"/>
    <w:pPr>
      <w:ind w:firstLine="420" w:firstLineChars="100"/>
    </w:pPr>
    <w:rPr>
      <w:sz w:val="21"/>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autoRedefine/>
    <w:qFormat/>
    <w:uiPriority w:val="0"/>
  </w:style>
  <w:style w:type="character" w:styleId="36">
    <w:name w:val="FollowedHyperlink"/>
    <w:autoRedefine/>
    <w:qFormat/>
    <w:uiPriority w:val="0"/>
    <w:rPr>
      <w:color w:val="000000"/>
      <w:u w:val="none"/>
    </w:rPr>
  </w:style>
  <w:style w:type="character" w:styleId="37">
    <w:name w:val="Emphasis"/>
    <w:autoRedefine/>
    <w:qFormat/>
    <w:uiPriority w:val="0"/>
  </w:style>
  <w:style w:type="character" w:styleId="38">
    <w:name w:val="Hyperlink"/>
    <w:basedOn w:val="33"/>
    <w:autoRedefine/>
    <w:qFormat/>
    <w:uiPriority w:val="99"/>
    <w:rPr>
      <w:color w:val="000000"/>
      <w:u w:val="none"/>
    </w:rPr>
  </w:style>
  <w:style w:type="character" w:styleId="39">
    <w:name w:val="annotation reference"/>
    <w:autoRedefine/>
    <w:unhideWhenUsed/>
    <w:qFormat/>
    <w:uiPriority w:val="99"/>
    <w:rPr>
      <w:sz w:val="21"/>
      <w:szCs w:val="21"/>
    </w:rPr>
  </w:style>
  <w:style w:type="character" w:styleId="40">
    <w:name w:val="HTML Sample"/>
    <w:basedOn w:val="33"/>
    <w:autoRedefine/>
    <w:qFormat/>
    <w:uiPriority w:val="0"/>
    <w:rPr>
      <w:rFonts w:ascii="Courier New" w:hAnsi="Courier New"/>
    </w:rPr>
  </w:style>
  <w:style w:type="paragraph" w:customStyle="1" w:styleId="41">
    <w:name w:val="样式 首行缩进:  2 字符"/>
    <w:basedOn w:val="1"/>
    <w:autoRedefine/>
    <w:qFormat/>
    <w:uiPriority w:val="0"/>
    <w:pPr>
      <w:ind w:firstLine="560"/>
    </w:pPr>
    <w:rPr>
      <w:rFonts w:eastAsia="仿宋_GB2312"/>
      <w:szCs w:val="20"/>
    </w:rPr>
  </w:style>
  <w:style w:type="paragraph" w:customStyle="1" w:styleId="42">
    <w:name w:val="表格文字"/>
    <w:basedOn w:val="1"/>
    <w:autoRedefine/>
    <w:qFormat/>
    <w:uiPriority w:val="0"/>
    <w:pPr>
      <w:spacing w:before="25" w:after="25"/>
    </w:pPr>
    <w:rPr>
      <w:bCs/>
      <w:spacing w:val="10"/>
      <w:szCs w:val="20"/>
    </w:rPr>
  </w:style>
  <w:style w:type="character" w:customStyle="1" w:styleId="43">
    <w:name w:val="标题 1 字符1"/>
    <w:link w:val="2"/>
    <w:autoRedefine/>
    <w:qFormat/>
    <w:uiPriority w:val="0"/>
    <w:rPr>
      <w:b/>
      <w:bCs/>
      <w:kern w:val="44"/>
      <w:sz w:val="30"/>
      <w:szCs w:val="44"/>
    </w:rPr>
  </w:style>
  <w:style w:type="character" w:customStyle="1" w:styleId="44">
    <w:name w:val="标题 2 字符1"/>
    <w:link w:val="3"/>
    <w:autoRedefine/>
    <w:qFormat/>
    <w:uiPriority w:val="0"/>
    <w:rPr>
      <w:rFonts w:ascii="Cambria" w:hAnsi="Cambria"/>
      <w:b/>
      <w:bCs/>
      <w:kern w:val="2"/>
      <w:sz w:val="32"/>
      <w:szCs w:val="32"/>
    </w:rPr>
  </w:style>
  <w:style w:type="character" w:customStyle="1" w:styleId="45">
    <w:name w:val="标题 3 字符1"/>
    <w:link w:val="4"/>
    <w:autoRedefine/>
    <w:qFormat/>
    <w:uiPriority w:val="0"/>
    <w:rPr>
      <w:b/>
      <w:bCs/>
      <w:kern w:val="2"/>
      <w:sz w:val="32"/>
      <w:szCs w:val="32"/>
    </w:rPr>
  </w:style>
  <w:style w:type="character" w:customStyle="1" w:styleId="46">
    <w:name w:val="标题 4 字符1"/>
    <w:link w:val="5"/>
    <w:autoRedefine/>
    <w:qFormat/>
    <w:uiPriority w:val="0"/>
    <w:rPr>
      <w:rFonts w:ascii="Times New Roman" w:hAnsi="Times New Roman" w:eastAsia="等线 Light"/>
      <w:b/>
      <w:bCs/>
      <w:kern w:val="2"/>
      <w:sz w:val="30"/>
      <w:szCs w:val="28"/>
    </w:rPr>
  </w:style>
  <w:style w:type="character" w:customStyle="1" w:styleId="47">
    <w:name w:val="标题 5 字符1"/>
    <w:link w:val="6"/>
    <w:autoRedefine/>
    <w:qFormat/>
    <w:uiPriority w:val="0"/>
    <w:rPr>
      <w:rFonts w:ascii="Times New Roman" w:hAnsi="Times New Roman" w:eastAsia="等线 Light"/>
      <w:b/>
      <w:bCs/>
      <w:kern w:val="2"/>
      <w:sz w:val="28"/>
      <w:szCs w:val="28"/>
    </w:rPr>
  </w:style>
  <w:style w:type="character" w:customStyle="1" w:styleId="48">
    <w:name w:val="标题 6 字符1"/>
    <w:link w:val="7"/>
    <w:autoRedefine/>
    <w:qFormat/>
    <w:uiPriority w:val="0"/>
    <w:rPr>
      <w:rFonts w:ascii="Times New Roman" w:hAnsi="Times New Roman" w:eastAsia="等线 Light"/>
      <w:b/>
      <w:bCs/>
      <w:kern w:val="2"/>
      <w:sz w:val="24"/>
      <w:szCs w:val="24"/>
    </w:rPr>
  </w:style>
  <w:style w:type="character" w:customStyle="1" w:styleId="49">
    <w:name w:val="标题 7 字符1"/>
    <w:link w:val="8"/>
    <w:autoRedefine/>
    <w:qFormat/>
    <w:uiPriority w:val="0"/>
    <w:rPr>
      <w:rFonts w:ascii="Times New Roman" w:hAnsi="Times New Roman" w:eastAsia="等线 Light"/>
      <w:b/>
      <w:bCs/>
      <w:kern w:val="2"/>
      <w:sz w:val="21"/>
      <w:szCs w:val="24"/>
    </w:rPr>
  </w:style>
  <w:style w:type="character" w:customStyle="1" w:styleId="50">
    <w:name w:val="标题 8 字符1"/>
    <w:link w:val="9"/>
    <w:autoRedefine/>
    <w:qFormat/>
    <w:uiPriority w:val="0"/>
    <w:rPr>
      <w:rFonts w:ascii="Times New Roman" w:hAnsi="Times New Roman" w:eastAsia="等线 Light"/>
      <w:b/>
      <w:kern w:val="2"/>
      <w:sz w:val="28"/>
      <w:szCs w:val="24"/>
    </w:rPr>
  </w:style>
  <w:style w:type="character" w:customStyle="1" w:styleId="51">
    <w:name w:val="正文缩进 字符1"/>
    <w:link w:val="10"/>
    <w:autoRedefine/>
    <w:qFormat/>
    <w:locked/>
    <w:uiPriority w:val="0"/>
    <w:rPr>
      <w:kern w:val="2"/>
      <w:sz w:val="24"/>
    </w:rPr>
  </w:style>
  <w:style w:type="character" w:customStyle="1" w:styleId="52">
    <w:name w:val="批注文字 字符1"/>
    <w:link w:val="12"/>
    <w:autoRedefine/>
    <w:qFormat/>
    <w:uiPriority w:val="99"/>
    <w:rPr>
      <w:kern w:val="2"/>
      <w:sz w:val="24"/>
      <w:szCs w:val="24"/>
    </w:rPr>
  </w:style>
  <w:style w:type="character" w:customStyle="1" w:styleId="53">
    <w:name w:val="正文文本 字符1"/>
    <w:link w:val="14"/>
    <w:autoRedefine/>
    <w:qFormat/>
    <w:uiPriority w:val="0"/>
    <w:rPr>
      <w:rFonts w:ascii="宋体" w:hAnsi="宋体" w:eastAsiaTheme="minorEastAsia"/>
      <w:b/>
      <w:bCs/>
      <w:kern w:val="2"/>
      <w:sz w:val="24"/>
      <w:szCs w:val="24"/>
    </w:rPr>
  </w:style>
  <w:style w:type="character" w:customStyle="1" w:styleId="54">
    <w:name w:val="正文文本缩进 字符1"/>
    <w:link w:val="18"/>
    <w:autoRedefine/>
    <w:qFormat/>
    <w:uiPriority w:val="0"/>
    <w:rPr>
      <w:kern w:val="2"/>
      <w:sz w:val="21"/>
      <w:szCs w:val="24"/>
    </w:rPr>
  </w:style>
  <w:style w:type="character" w:customStyle="1" w:styleId="55">
    <w:name w:val="纯文本 字符1"/>
    <w:link w:val="19"/>
    <w:autoRedefine/>
    <w:qFormat/>
    <w:uiPriority w:val="99"/>
    <w:rPr>
      <w:rFonts w:ascii="宋体" w:hAnsi="Courier New" w:cs="Courier New"/>
      <w:kern w:val="2"/>
      <w:sz w:val="21"/>
      <w:szCs w:val="21"/>
    </w:rPr>
  </w:style>
  <w:style w:type="character" w:customStyle="1" w:styleId="56">
    <w:name w:val="批注框文本 字符1"/>
    <w:link w:val="21"/>
    <w:autoRedefine/>
    <w:qFormat/>
    <w:uiPriority w:val="99"/>
    <w:rPr>
      <w:kern w:val="2"/>
      <w:sz w:val="18"/>
      <w:szCs w:val="18"/>
    </w:rPr>
  </w:style>
  <w:style w:type="character" w:customStyle="1" w:styleId="57">
    <w:name w:val="页脚 字符1"/>
    <w:link w:val="22"/>
    <w:autoRedefine/>
    <w:qFormat/>
    <w:uiPriority w:val="99"/>
    <w:rPr>
      <w:kern w:val="2"/>
      <w:sz w:val="18"/>
      <w:szCs w:val="18"/>
    </w:rPr>
  </w:style>
  <w:style w:type="character" w:customStyle="1" w:styleId="58">
    <w:name w:val="页眉 字符1"/>
    <w:link w:val="23"/>
    <w:autoRedefine/>
    <w:qFormat/>
    <w:uiPriority w:val="99"/>
    <w:rPr>
      <w:kern w:val="2"/>
      <w:sz w:val="18"/>
      <w:szCs w:val="18"/>
    </w:rPr>
  </w:style>
  <w:style w:type="character" w:customStyle="1" w:styleId="59">
    <w:name w:val="副标题 字符1"/>
    <w:link w:val="25"/>
    <w:autoRedefine/>
    <w:qFormat/>
    <w:uiPriority w:val="0"/>
    <w:rPr>
      <w:rFonts w:ascii="Cambria" w:hAnsi="Cambria"/>
      <w:b/>
      <w:bCs/>
      <w:kern w:val="28"/>
      <w:sz w:val="32"/>
      <w:szCs w:val="32"/>
    </w:rPr>
  </w:style>
  <w:style w:type="character" w:customStyle="1" w:styleId="60">
    <w:name w:val="标题 字符1"/>
    <w:link w:val="28"/>
    <w:autoRedefine/>
    <w:qFormat/>
    <w:uiPriority w:val="0"/>
    <w:rPr>
      <w:rFonts w:ascii="Cambria" w:hAnsi="Cambria"/>
      <w:b/>
      <w:bCs/>
      <w:kern w:val="2"/>
      <w:sz w:val="36"/>
      <w:szCs w:val="32"/>
    </w:rPr>
  </w:style>
  <w:style w:type="character" w:customStyle="1" w:styleId="61">
    <w:name w:val="批注主题 字符1"/>
    <w:link w:val="29"/>
    <w:autoRedefine/>
    <w:qFormat/>
    <w:uiPriority w:val="99"/>
    <w:rPr>
      <w:rFonts w:ascii="Calibri" w:hAnsi="Calibri" w:eastAsia="宋体" w:cs="Times New Roman"/>
      <w:b/>
      <w:bCs/>
      <w:kern w:val="2"/>
      <w:sz w:val="21"/>
      <w:szCs w:val="22"/>
    </w:rPr>
  </w:style>
  <w:style w:type="character" w:customStyle="1" w:styleId="62">
    <w:name w:val="正文文本首行缩进 字符"/>
    <w:link w:val="30"/>
    <w:autoRedefine/>
    <w:qFormat/>
    <w:uiPriority w:val="0"/>
    <w:rPr>
      <w:kern w:val="2"/>
      <w:sz w:val="21"/>
      <w:szCs w:val="24"/>
    </w:rPr>
  </w:style>
  <w:style w:type="character" w:customStyle="1" w:styleId="63">
    <w:name w:val="标题 4 字符"/>
    <w:autoRedefine/>
    <w:qFormat/>
    <w:uiPriority w:val="0"/>
    <w:rPr>
      <w:rFonts w:ascii="Times New Roman" w:hAnsi="Times New Roman" w:eastAsia="等线 Light"/>
      <w:b/>
      <w:bCs/>
      <w:kern w:val="2"/>
      <w:sz w:val="30"/>
      <w:szCs w:val="28"/>
    </w:rPr>
  </w:style>
  <w:style w:type="character" w:customStyle="1" w:styleId="64">
    <w:name w:val="more"/>
    <w:autoRedefine/>
    <w:qFormat/>
    <w:uiPriority w:val="0"/>
    <w:rPr>
      <w:color w:val="666666"/>
      <w:sz w:val="18"/>
      <w:szCs w:val="18"/>
    </w:rPr>
  </w:style>
  <w:style w:type="character" w:customStyle="1" w:styleId="65">
    <w:name w:val="正文缩进 字符"/>
    <w:autoRedefine/>
    <w:qFormat/>
    <w:locked/>
    <w:uiPriority w:val="0"/>
    <w:rPr>
      <w:kern w:val="2"/>
      <w:sz w:val="24"/>
    </w:rPr>
  </w:style>
  <w:style w:type="character" w:customStyle="1" w:styleId="66">
    <w:name w:val="文本 Char Char"/>
    <w:link w:val="67"/>
    <w:autoRedefine/>
    <w:qFormat/>
    <w:uiPriority w:val="0"/>
    <w:rPr>
      <w:rFonts w:ascii="宋体" w:hAnsi="宋体"/>
    </w:rPr>
  </w:style>
  <w:style w:type="paragraph" w:customStyle="1" w:styleId="67">
    <w:name w:val="文本"/>
    <w:basedOn w:val="1"/>
    <w:link w:val="66"/>
    <w:autoRedefine/>
    <w:qFormat/>
    <w:uiPriority w:val="0"/>
    <w:pPr>
      <w:widowControl/>
      <w:spacing w:line="360" w:lineRule="auto"/>
      <w:ind w:firstLine="420" w:firstLineChars="200"/>
      <w:contextualSpacing/>
      <w:jc w:val="left"/>
    </w:pPr>
    <w:rPr>
      <w:rFonts w:ascii="宋体" w:hAnsi="宋体"/>
      <w:kern w:val="0"/>
      <w:sz w:val="20"/>
      <w:szCs w:val="20"/>
    </w:rPr>
  </w:style>
  <w:style w:type="character" w:customStyle="1" w:styleId="68">
    <w:name w:val="表的格式 Char"/>
    <w:link w:val="69"/>
    <w:autoRedefine/>
    <w:qFormat/>
    <w:uiPriority w:val="0"/>
    <w:rPr>
      <w:rFonts w:ascii="Times New Roman" w:hAnsi="Times New Roman" w:eastAsia="等线"/>
      <w:kern w:val="2"/>
      <w:sz w:val="24"/>
      <w:szCs w:val="24"/>
    </w:rPr>
  </w:style>
  <w:style w:type="paragraph" w:customStyle="1" w:styleId="69">
    <w:name w:val="表的格式"/>
    <w:basedOn w:val="1"/>
    <w:link w:val="68"/>
    <w:autoRedefine/>
    <w:qFormat/>
    <w:uiPriority w:val="0"/>
    <w:pPr>
      <w:spacing w:afterLines="50"/>
    </w:pPr>
    <w:rPr>
      <w:rFonts w:eastAsia="等线"/>
    </w:rPr>
  </w:style>
  <w:style w:type="character" w:customStyle="1" w:styleId="70">
    <w:name w:val="批注文字 Char"/>
    <w:autoRedefine/>
    <w:semiHidden/>
    <w:qFormat/>
    <w:uiPriority w:val="99"/>
  </w:style>
  <w:style w:type="character" w:customStyle="1" w:styleId="71">
    <w:name w:val="标题 3 字符"/>
    <w:autoRedefine/>
    <w:qFormat/>
    <w:uiPriority w:val="0"/>
    <w:rPr>
      <w:b/>
      <w:bCs/>
      <w:kern w:val="2"/>
      <w:sz w:val="32"/>
      <w:szCs w:val="32"/>
    </w:rPr>
  </w:style>
  <w:style w:type="character" w:customStyle="1" w:styleId="72">
    <w:name w:val="标题 6 字符"/>
    <w:autoRedefine/>
    <w:qFormat/>
    <w:uiPriority w:val="0"/>
    <w:rPr>
      <w:rFonts w:ascii="Times New Roman" w:hAnsi="Times New Roman" w:eastAsia="等线 Light"/>
      <w:b/>
      <w:bCs/>
      <w:kern w:val="2"/>
      <w:sz w:val="24"/>
      <w:szCs w:val="24"/>
    </w:rPr>
  </w:style>
  <w:style w:type="character" w:customStyle="1" w:styleId="73">
    <w:name w:val="tabg"/>
    <w:autoRedefine/>
    <w:qFormat/>
    <w:uiPriority w:val="0"/>
    <w:rPr>
      <w:rFonts w:ascii="微软雅黑" w:hAnsi="微软雅黑" w:eastAsia="微软雅黑" w:cs="微软雅黑"/>
      <w:color w:val="FFFFFF"/>
      <w:sz w:val="27"/>
      <w:szCs w:val="27"/>
    </w:rPr>
  </w:style>
  <w:style w:type="character" w:customStyle="1" w:styleId="74">
    <w:name w:val="fontstyle01"/>
    <w:autoRedefine/>
    <w:qFormat/>
    <w:uiPriority w:val="0"/>
    <w:rPr>
      <w:rFonts w:hint="default" w:ascii="仿宋" w:hAnsi="仿宋"/>
      <w:color w:val="000000"/>
      <w:sz w:val="28"/>
      <w:szCs w:val="28"/>
    </w:rPr>
  </w:style>
  <w:style w:type="character" w:customStyle="1" w:styleId="75">
    <w:name w:val="页脚 字符"/>
    <w:autoRedefine/>
    <w:qFormat/>
    <w:uiPriority w:val="99"/>
    <w:rPr>
      <w:kern w:val="2"/>
      <w:sz w:val="18"/>
      <w:szCs w:val="18"/>
    </w:rPr>
  </w:style>
  <w:style w:type="character" w:customStyle="1" w:styleId="76">
    <w:name w:val="纯文本 字符"/>
    <w:autoRedefine/>
    <w:qFormat/>
    <w:uiPriority w:val="99"/>
    <w:rPr>
      <w:rFonts w:ascii="宋体" w:hAnsi="Courier New" w:cs="Courier New"/>
      <w:kern w:val="2"/>
      <w:sz w:val="21"/>
      <w:szCs w:val="21"/>
    </w:rPr>
  </w:style>
  <w:style w:type="character" w:customStyle="1" w:styleId="77">
    <w:name w:val="标题 Char1"/>
    <w:autoRedefine/>
    <w:qFormat/>
    <w:uiPriority w:val="0"/>
    <w:rPr>
      <w:rFonts w:ascii="Cambria" w:hAnsi="Cambria" w:cs="Times New Roman"/>
      <w:b/>
      <w:bCs/>
      <w:kern w:val="2"/>
      <w:sz w:val="32"/>
      <w:szCs w:val="32"/>
    </w:rPr>
  </w:style>
  <w:style w:type="character" w:customStyle="1" w:styleId="78">
    <w:name w:val="列出段落 字符"/>
    <w:autoRedefine/>
    <w:qFormat/>
    <w:locked/>
    <w:uiPriority w:val="34"/>
    <w:rPr>
      <w:rFonts w:ascii="Calibri" w:hAnsi="Calibri"/>
      <w:kern w:val="2"/>
      <w:sz w:val="21"/>
      <w:szCs w:val="22"/>
    </w:rPr>
  </w:style>
  <w:style w:type="character" w:customStyle="1" w:styleId="79">
    <w:name w:val="标题 8 字符"/>
    <w:autoRedefine/>
    <w:qFormat/>
    <w:uiPriority w:val="0"/>
    <w:rPr>
      <w:rFonts w:ascii="Times New Roman" w:hAnsi="Times New Roman" w:eastAsia="等线 Light"/>
      <w:b/>
      <w:kern w:val="2"/>
      <w:sz w:val="28"/>
      <w:szCs w:val="24"/>
    </w:rPr>
  </w:style>
  <w:style w:type="character" w:customStyle="1" w:styleId="80">
    <w:name w:val="_Style 74"/>
    <w:autoRedefine/>
    <w:qFormat/>
    <w:uiPriority w:val="21"/>
    <w:rPr>
      <w:b/>
      <w:bCs/>
      <w:i/>
      <w:iCs/>
      <w:color w:val="4F81BD"/>
    </w:rPr>
  </w:style>
  <w:style w:type="character" w:customStyle="1" w:styleId="81">
    <w:name w:val="标题 1 字符"/>
    <w:autoRedefine/>
    <w:qFormat/>
    <w:uiPriority w:val="0"/>
    <w:rPr>
      <w:b/>
      <w:bCs/>
      <w:kern w:val="44"/>
      <w:sz w:val="30"/>
      <w:szCs w:val="44"/>
    </w:rPr>
  </w:style>
  <w:style w:type="character" w:customStyle="1" w:styleId="82">
    <w:name w:val="标题 字符"/>
    <w:autoRedefine/>
    <w:qFormat/>
    <w:uiPriority w:val="10"/>
    <w:rPr>
      <w:rFonts w:ascii="Cambria" w:hAnsi="Cambria"/>
      <w:b/>
      <w:bCs/>
      <w:kern w:val="2"/>
      <w:sz w:val="36"/>
      <w:szCs w:val="32"/>
    </w:rPr>
  </w:style>
  <w:style w:type="character" w:customStyle="1" w:styleId="83">
    <w:name w:val="bg02"/>
    <w:autoRedefine/>
    <w:qFormat/>
    <w:uiPriority w:val="0"/>
  </w:style>
  <w:style w:type="character" w:customStyle="1" w:styleId="84">
    <w:name w:val="标题 7 字符"/>
    <w:autoRedefine/>
    <w:qFormat/>
    <w:uiPriority w:val="0"/>
    <w:rPr>
      <w:rFonts w:ascii="Times New Roman" w:hAnsi="Times New Roman" w:eastAsia="等线 Light"/>
      <w:b/>
      <w:bCs/>
      <w:kern w:val="2"/>
      <w:sz w:val="21"/>
      <w:szCs w:val="24"/>
    </w:rPr>
  </w:style>
  <w:style w:type="character" w:customStyle="1" w:styleId="85">
    <w:name w:val="副标题 字符"/>
    <w:autoRedefine/>
    <w:qFormat/>
    <w:uiPriority w:val="0"/>
    <w:rPr>
      <w:rFonts w:ascii="Cambria" w:hAnsi="Cambria"/>
      <w:b/>
      <w:bCs/>
      <w:kern w:val="28"/>
      <w:sz w:val="32"/>
      <w:szCs w:val="32"/>
    </w:rPr>
  </w:style>
  <w:style w:type="character" w:customStyle="1" w:styleId="86">
    <w:name w:val="正文文本缩进 字符"/>
    <w:autoRedefine/>
    <w:qFormat/>
    <w:uiPriority w:val="0"/>
    <w:rPr>
      <w:kern w:val="2"/>
      <w:sz w:val="21"/>
      <w:szCs w:val="24"/>
    </w:rPr>
  </w:style>
  <w:style w:type="character" w:customStyle="1" w:styleId="87">
    <w:name w:val="批注框文本 字符"/>
    <w:autoRedefine/>
    <w:qFormat/>
    <w:uiPriority w:val="99"/>
    <w:rPr>
      <w:kern w:val="2"/>
      <w:sz w:val="18"/>
      <w:szCs w:val="18"/>
    </w:rPr>
  </w:style>
  <w:style w:type="character" w:customStyle="1" w:styleId="88">
    <w:name w:val="标题 5 字符"/>
    <w:autoRedefine/>
    <w:qFormat/>
    <w:uiPriority w:val="0"/>
    <w:rPr>
      <w:rFonts w:ascii="Times New Roman" w:hAnsi="Times New Roman" w:eastAsia="等线 Light"/>
      <w:b/>
      <w:bCs/>
      <w:kern w:val="2"/>
      <w:sz w:val="28"/>
      <w:szCs w:val="28"/>
    </w:rPr>
  </w:style>
  <w:style w:type="character" w:customStyle="1" w:styleId="89">
    <w:name w:val="正文文本 字符"/>
    <w:autoRedefine/>
    <w:qFormat/>
    <w:uiPriority w:val="0"/>
    <w:rPr>
      <w:kern w:val="2"/>
      <w:sz w:val="24"/>
      <w:szCs w:val="24"/>
    </w:rPr>
  </w:style>
  <w:style w:type="character" w:customStyle="1" w:styleId="90">
    <w:name w:val="副标题 Char1"/>
    <w:autoRedefine/>
    <w:qFormat/>
    <w:uiPriority w:val="0"/>
    <w:rPr>
      <w:rFonts w:ascii="Cambria" w:hAnsi="Cambria" w:cs="Times New Roman"/>
      <w:b/>
      <w:bCs/>
      <w:kern w:val="28"/>
      <w:sz w:val="32"/>
      <w:szCs w:val="32"/>
    </w:rPr>
  </w:style>
  <w:style w:type="character" w:customStyle="1" w:styleId="91">
    <w:name w:val="正文首行缩进 字符"/>
    <w:autoRedefine/>
    <w:qFormat/>
    <w:uiPriority w:val="0"/>
    <w:rPr>
      <w:kern w:val="2"/>
      <w:sz w:val="21"/>
      <w:szCs w:val="24"/>
    </w:rPr>
  </w:style>
  <w:style w:type="character" w:customStyle="1" w:styleId="92">
    <w:name w:val="标题 1 Char1"/>
    <w:autoRedefine/>
    <w:qFormat/>
    <w:uiPriority w:val="0"/>
    <w:rPr>
      <w:b/>
      <w:bCs/>
      <w:kern w:val="44"/>
      <w:sz w:val="44"/>
      <w:szCs w:val="44"/>
    </w:rPr>
  </w:style>
  <w:style w:type="character" w:customStyle="1" w:styleId="93">
    <w:name w:val="文档正文 Char"/>
    <w:link w:val="94"/>
    <w:autoRedefine/>
    <w:qFormat/>
    <w:uiPriority w:val="0"/>
    <w:rPr>
      <w:rFonts w:ascii="Times New Roman" w:hAnsi="Times New Roman"/>
      <w:kern w:val="2"/>
      <w:sz w:val="24"/>
      <w:szCs w:val="24"/>
    </w:rPr>
  </w:style>
  <w:style w:type="paragraph" w:customStyle="1" w:styleId="94">
    <w:name w:val="文档正文"/>
    <w:basedOn w:val="1"/>
    <w:link w:val="93"/>
    <w:autoRedefine/>
    <w:qFormat/>
    <w:uiPriority w:val="0"/>
    <w:pPr>
      <w:spacing w:line="360" w:lineRule="auto"/>
      <w:ind w:firstLine="480" w:firstLineChars="200"/>
    </w:pPr>
  </w:style>
  <w:style w:type="character" w:customStyle="1" w:styleId="95">
    <w:name w:val="head-2 字符"/>
    <w:link w:val="96"/>
    <w:autoRedefine/>
    <w:qFormat/>
    <w:uiPriority w:val="0"/>
    <w:rPr>
      <w:rFonts w:ascii="微软雅黑" w:hAnsi="微软雅黑" w:eastAsia="楷体" w:cs="Times New Roman"/>
      <w:b/>
      <w:kern w:val="2"/>
      <w:sz w:val="28"/>
      <w:szCs w:val="32"/>
    </w:rPr>
  </w:style>
  <w:style w:type="paragraph" w:customStyle="1" w:styleId="96">
    <w:name w:val="head-2"/>
    <w:basedOn w:val="97"/>
    <w:link w:val="95"/>
    <w:autoRedefine/>
    <w:qFormat/>
    <w:uiPriority w:val="0"/>
    <w:pPr>
      <w:numPr>
        <w:ilvl w:val="1"/>
      </w:numPr>
    </w:pPr>
    <w:rPr>
      <w:rFonts w:eastAsia="楷体"/>
      <w:sz w:val="28"/>
    </w:rPr>
  </w:style>
  <w:style w:type="paragraph" w:customStyle="1" w:styleId="97">
    <w:name w:val="head-1"/>
    <w:basedOn w:val="1"/>
    <w:autoRedefine/>
    <w:qFormat/>
    <w:uiPriority w:val="0"/>
    <w:pPr>
      <w:numPr>
        <w:ilvl w:val="0"/>
        <w:numId w:val="1"/>
      </w:numPr>
      <w:spacing w:afterLines="50" w:line="360" w:lineRule="auto"/>
    </w:pPr>
    <w:rPr>
      <w:rFonts w:ascii="微软雅黑" w:hAnsi="微软雅黑" w:eastAsia="微软雅黑"/>
      <w:b/>
      <w:sz w:val="32"/>
      <w:szCs w:val="32"/>
    </w:rPr>
  </w:style>
  <w:style w:type="character" w:customStyle="1" w:styleId="98">
    <w:name w:val="页眉 字符"/>
    <w:autoRedefine/>
    <w:qFormat/>
    <w:uiPriority w:val="99"/>
    <w:rPr>
      <w:kern w:val="2"/>
      <w:sz w:val="18"/>
      <w:szCs w:val="18"/>
    </w:rPr>
  </w:style>
  <w:style w:type="character" w:customStyle="1" w:styleId="99">
    <w:name w:val="head-3 字符"/>
    <w:link w:val="100"/>
    <w:autoRedefine/>
    <w:qFormat/>
    <w:uiPriority w:val="0"/>
  </w:style>
  <w:style w:type="paragraph" w:customStyle="1" w:styleId="100">
    <w:name w:val="head-3"/>
    <w:basedOn w:val="96"/>
    <w:link w:val="99"/>
    <w:autoRedefine/>
    <w:qFormat/>
    <w:uiPriority w:val="0"/>
    <w:pPr>
      <w:numPr>
        <w:ilvl w:val="2"/>
      </w:numPr>
    </w:pPr>
  </w:style>
  <w:style w:type="character" w:customStyle="1" w:styleId="101">
    <w:name w:val="无间隔 字符1"/>
    <w:link w:val="102"/>
    <w:autoRedefine/>
    <w:qFormat/>
    <w:uiPriority w:val="1"/>
    <w:rPr>
      <w:sz w:val="22"/>
      <w:szCs w:val="22"/>
      <w:lang w:val="en-US" w:eastAsia="zh-CN" w:bidi="ar-SA"/>
    </w:rPr>
  </w:style>
  <w:style w:type="paragraph" w:styleId="102">
    <w:name w:val="No Spacing"/>
    <w:link w:val="101"/>
    <w:autoRedefine/>
    <w:qFormat/>
    <w:uiPriority w:val="1"/>
    <w:rPr>
      <w:rFonts w:ascii="Times New Roman" w:hAnsi="Times New Roman" w:eastAsia="宋体" w:cs="Times New Roman"/>
      <w:sz w:val="22"/>
      <w:szCs w:val="22"/>
      <w:lang w:val="en-US" w:eastAsia="zh-CN" w:bidi="ar-SA"/>
    </w:rPr>
  </w:style>
  <w:style w:type="character" w:customStyle="1" w:styleId="103">
    <w:name w:val="纯文本 Char3"/>
    <w:autoRedefine/>
    <w:qFormat/>
    <w:uiPriority w:val="0"/>
    <w:rPr>
      <w:rFonts w:ascii="宋体" w:hAnsi="Courier New" w:eastAsia="宋体"/>
      <w:kern w:val="2"/>
      <w:sz w:val="21"/>
      <w:lang w:val="en-US" w:eastAsia="zh-CN" w:bidi="ar-SA"/>
    </w:rPr>
  </w:style>
  <w:style w:type="character" w:customStyle="1" w:styleId="104">
    <w:name w:val="无间隔 字符"/>
    <w:autoRedefine/>
    <w:qFormat/>
    <w:uiPriority w:val="1"/>
    <w:rPr>
      <w:rFonts w:ascii="Calibri" w:hAnsi="Calibri"/>
      <w:sz w:val="22"/>
      <w:szCs w:val="22"/>
      <w:lang w:val="en-US" w:eastAsia="zh-CN" w:bidi="ar-SA"/>
    </w:rPr>
  </w:style>
  <w:style w:type="character" w:customStyle="1" w:styleId="105">
    <w:name w:val="font11"/>
    <w:autoRedefine/>
    <w:qFormat/>
    <w:uiPriority w:val="0"/>
    <w:rPr>
      <w:rFonts w:hint="eastAsia" w:ascii="宋体" w:hAnsi="宋体" w:eastAsia="宋体" w:cs="宋体"/>
      <w:color w:val="000000"/>
      <w:sz w:val="21"/>
      <w:szCs w:val="21"/>
      <w:u w:val="none"/>
    </w:rPr>
  </w:style>
  <w:style w:type="character" w:customStyle="1" w:styleId="106">
    <w:name w:val="font21"/>
    <w:autoRedefine/>
    <w:qFormat/>
    <w:uiPriority w:val="0"/>
    <w:rPr>
      <w:rFonts w:hint="default" w:ascii="等线" w:hAnsi="等线" w:eastAsia="等线" w:cs="等线"/>
      <w:color w:val="000000"/>
      <w:sz w:val="21"/>
      <w:szCs w:val="21"/>
      <w:u w:val="none"/>
    </w:rPr>
  </w:style>
  <w:style w:type="character" w:customStyle="1" w:styleId="107">
    <w:name w:val="标题 2 字符"/>
    <w:autoRedefine/>
    <w:qFormat/>
    <w:uiPriority w:val="0"/>
    <w:rPr>
      <w:rFonts w:ascii="Cambria" w:hAnsi="Cambria"/>
      <w:b/>
      <w:bCs/>
      <w:kern w:val="2"/>
      <w:sz w:val="32"/>
      <w:szCs w:val="32"/>
    </w:rPr>
  </w:style>
  <w:style w:type="character" w:customStyle="1" w:styleId="108">
    <w:name w:val="列表段落 字符"/>
    <w:link w:val="109"/>
    <w:autoRedefine/>
    <w:qFormat/>
    <w:locked/>
    <w:uiPriority w:val="34"/>
    <w:rPr>
      <w:rFonts w:ascii="Calibri" w:hAnsi="Calibri"/>
      <w:kern w:val="2"/>
      <w:sz w:val="21"/>
      <w:szCs w:val="22"/>
    </w:rPr>
  </w:style>
  <w:style w:type="paragraph" w:styleId="109">
    <w:name w:val="List Paragraph"/>
    <w:basedOn w:val="1"/>
    <w:link w:val="108"/>
    <w:autoRedefine/>
    <w:qFormat/>
    <w:uiPriority w:val="34"/>
    <w:pPr>
      <w:ind w:firstLine="420" w:firstLineChars="200"/>
    </w:pPr>
    <w:rPr>
      <w:rFonts w:ascii="Calibri" w:hAnsi="Calibri"/>
      <w:sz w:val="21"/>
      <w:szCs w:val="22"/>
    </w:rPr>
  </w:style>
  <w:style w:type="character" w:customStyle="1" w:styleId="110">
    <w:name w:val="批注文字 字符"/>
    <w:autoRedefine/>
    <w:qFormat/>
    <w:uiPriority w:val="99"/>
    <w:rPr>
      <w:kern w:val="2"/>
      <w:sz w:val="24"/>
      <w:szCs w:val="24"/>
    </w:rPr>
  </w:style>
  <w:style w:type="character" w:customStyle="1" w:styleId="111">
    <w:name w:val="bg01"/>
    <w:autoRedefine/>
    <w:qFormat/>
    <w:uiPriority w:val="0"/>
  </w:style>
  <w:style w:type="character" w:customStyle="1" w:styleId="112">
    <w:name w:val="批注主题 字符"/>
    <w:autoRedefine/>
    <w:qFormat/>
    <w:uiPriority w:val="99"/>
    <w:rPr>
      <w:rFonts w:ascii="Calibri" w:hAnsi="Calibri" w:eastAsia="宋体" w:cs="Times New Roman"/>
      <w:b/>
      <w:bCs/>
      <w:kern w:val="2"/>
      <w:sz w:val="21"/>
      <w:szCs w:val="22"/>
    </w:rPr>
  </w:style>
  <w:style w:type="paragraph" w:customStyle="1" w:styleId="113">
    <w:name w:val="样式2"/>
    <w:basedOn w:val="1"/>
    <w:autoRedefine/>
    <w:qFormat/>
    <w:uiPriority w:val="0"/>
    <w:rPr>
      <w:rFonts w:eastAsia="华文中宋"/>
      <w:sz w:val="44"/>
    </w:rPr>
  </w:style>
  <w:style w:type="paragraph" w:customStyle="1" w:styleId="114">
    <w:name w:val="_Style 31"/>
    <w:basedOn w:val="11"/>
    <w:autoRedefine/>
    <w:qFormat/>
    <w:uiPriority w:val="0"/>
    <w:rPr>
      <w:szCs w:val="20"/>
      <w:shd w:val="clear" w:color="auto" w:fill="000080"/>
    </w:rPr>
  </w:style>
  <w:style w:type="paragraph" w:customStyle="1" w:styleId="115">
    <w:name w:val="样式3"/>
    <w:basedOn w:val="113"/>
    <w:autoRedefine/>
    <w:qFormat/>
    <w:uiPriority w:val="0"/>
    <w:pPr>
      <w:jc w:val="center"/>
    </w:pPr>
  </w:style>
  <w:style w:type="paragraph" w:customStyle="1" w:styleId="116">
    <w:name w:val="样式1"/>
    <w:basedOn w:val="1"/>
    <w:autoRedefine/>
    <w:qFormat/>
    <w:uiPriority w:val="0"/>
    <w:rPr>
      <w:rFonts w:eastAsia="仿宋_GB2312"/>
      <w:sz w:val="32"/>
    </w:rPr>
  </w:style>
  <w:style w:type="paragraph" w:customStyle="1" w:styleId="117">
    <w:name w:val="列出段落5"/>
    <w:basedOn w:val="1"/>
    <w:autoRedefine/>
    <w:qFormat/>
    <w:uiPriority w:val="0"/>
    <w:pPr>
      <w:widowControl/>
      <w:spacing w:line="360" w:lineRule="auto"/>
      <w:ind w:firstLine="420" w:firstLineChars="200"/>
    </w:pPr>
    <w:rPr>
      <w:rFonts w:eastAsia="等线"/>
    </w:rPr>
  </w:style>
  <w:style w:type="paragraph" w:customStyle="1" w:styleId="118">
    <w:name w:val="List Paragraph1"/>
    <w:basedOn w:val="1"/>
    <w:autoRedefine/>
    <w:qFormat/>
    <w:uiPriority w:val="99"/>
    <w:pPr>
      <w:ind w:firstLine="420" w:firstLineChars="200"/>
    </w:pPr>
    <w:rPr>
      <w:rFonts w:ascii="Calibri" w:hAnsi="Calibri"/>
      <w:sz w:val="21"/>
    </w:rPr>
  </w:style>
  <w:style w:type="paragraph" w:customStyle="1" w:styleId="119">
    <w:name w:val="Table Paragraph"/>
    <w:basedOn w:val="1"/>
    <w:autoRedefine/>
    <w:qFormat/>
    <w:uiPriority w:val="1"/>
    <w:pPr>
      <w:jc w:val="left"/>
    </w:pPr>
    <w:rPr>
      <w:rFonts w:ascii="宋体" w:hAnsi="宋体" w:cs="宋体"/>
      <w:kern w:val="0"/>
      <w:sz w:val="22"/>
      <w:szCs w:val="22"/>
      <w:lang w:eastAsia="en-US"/>
    </w:rPr>
  </w:style>
  <w:style w:type="paragraph" w:customStyle="1" w:styleId="120">
    <w:name w:val="正文4"/>
    <w:qFormat/>
    <w:uiPriority w:val="0"/>
    <w:pPr>
      <w:widowControl w:val="0"/>
      <w:jc w:val="both"/>
    </w:pPr>
    <w:rPr>
      <w:rFonts w:ascii="等线" w:hAnsi="等线" w:eastAsia="等线" w:cs="Times New Roman"/>
      <w:kern w:val="2"/>
      <w:sz w:val="21"/>
      <w:szCs w:val="21"/>
      <w:lang w:val="en-US" w:eastAsia="zh-CN" w:bidi="ar-SA"/>
    </w:rPr>
  </w:style>
  <w:style w:type="paragraph" w:customStyle="1" w:styleId="121">
    <w:name w:val="Char"/>
    <w:basedOn w:val="1"/>
    <w:autoRedefine/>
    <w:qFormat/>
    <w:uiPriority w:val="0"/>
    <w:rPr>
      <w:szCs w:val="21"/>
    </w:rPr>
  </w:style>
  <w:style w:type="paragraph" w:customStyle="1" w:styleId="122">
    <w:name w:val="Level 6: (i)"/>
    <w:basedOn w:val="1"/>
    <w:autoRedefine/>
    <w:qFormat/>
    <w:uiPriority w:val="0"/>
    <w:pPr>
      <w:widowControl/>
      <w:tabs>
        <w:tab w:val="left" w:pos="2160"/>
      </w:tabs>
      <w:spacing w:before="72" w:after="72"/>
      <w:ind w:left="5102" w:hanging="1700"/>
      <w:outlineLvl w:val="8"/>
    </w:pPr>
    <w:rPr>
      <w:rFonts w:ascii="Arial" w:hAnsi="Arial" w:eastAsia="等线"/>
      <w:kern w:val="0"/>
      <w:sz w:val="20"/>
      <w:lang w:eastAsia="en-US"/>
    </w:rPr>
  </w:style>
  <w:style w:type="paragraph" w:customStyle="1" w:styleId="123">
    <w:name w:val="Char1"/>
    <w:basedOn w:val="1"/>
    <w:autoRedefine/>
    <w:qFormat/>
    <w:uiPriority w:val="99"/>
    <w:pPr>
      <w:widowControl/>
      <w:spacing w:line="240" w:lineRule="exact"/>
      <w:jc w:val="left"/>
    </w:pPr>
    <w:rPr>
      <w:rFonts w:ascii="Verdana" w:hAnsi="Verdana" w:eastAsia="等线"/>
      <w:kern w:val="0"/>
      <w:sz w:val="21"/>
      <w:szCs w:val="20"/>
      <w:lang w:eastAsia="en-US"/>
    </w:rPr>
  </w:style>
  <w:style w:type="table" w:customStyle="1" w:styleId="124">
    <w:name w:val="Table Normal"/>
    <w:autoRedefine/>
    <w:semiHidden/>
    <w:qFormat/>
    <w:uiPriority w:val="0"/>
    <w:rPr>
      <w:rFonts w:eastAsia="Times New Roman"/>
    </w:rPr>
    <w:tblPr>
      <w:tblCellMar>
        <w:top w:w="0" w:type="dxa"/>
        <w:left w:w="108" w:type="dxa"/>
        <w:bottom w:w="0" w:type="dxa"/>
        <w:right w:w="108" w:type="dxa"/>
      </w:tblCellMar>
    </w:tblPr>
  </w:style>
  <w:style w:type="paragraph" w:customStyle="1" w:styleId="125">
    <w:name w:val="这是表格内容"/>
    <w:basedOn w:val="1"/>
    <w:autoRedefine/>
    <w:qFormat/>
    <w:uiPriority w:val="0"/>
    <w:pPr>
      <w:tabs>
        <w:tab w:val="left" w:pos="5580"/>
      </w:tabs>
      <w:adjustRightInd w:val="0"/>
      <w:snapToGrid w:val="0"/>
      <w:spacing w:line="276" w:lineRule="auto"/>
      <w:jc w:val="left"/>
    </w:pPr>
    <w:rPr>
      <w:rFonts w:ascii="宋体" w:hAnsi="宋体"/>
      <w:sz w:val="22"/>
    </w:rPr>
  </w:style>
  <w:style w:type="character" w:customStyle="1" w:styleId="126">
    <w:name w:val="hei141"/>
    <w:basedOn w:val="33"/>
    <w:autoRedefine/>
    <w:qFormat/>
    <w:uiPriority w:val="0"/>
    <w:rPr>
      <w:rFonts w:hint="eastAsia" w:ascii="宋体" w:hAnsi="宋体" w:eastAsia="宋体"/>
      <w:color w:val="000000"/>
      <w:sz w:val="17"/>
      <w:szCs w:val="17"/>
      <w:u w:val="none"/>
    </w:rPr>
  </w:style>
  <w:style w:type="paragraph" w:customStyle="1" w:styleId="127">
    <w:name w:val="UserStyle_0"/>
    <w:autoRedefine/>
    <w:qFormat/>
    <w:uiPriority w:val="0"/>
    <w:pPr>
      <w:widowControl w:val="0"/>
      <w:spacing w:line="365" w:lineRule="atLeast"/>
      <w:ind w:left="1" w:firstLine="200" w:firstLineChars="200"/>
      <w:jc w:val="both"/>
      <w:textAlignment w:val="baseline"/>
    </w:pPr>
    <w:rPr>
      <w:rFonts w:ascii="Calibri" w:hAnsi="Calibri" w:eastAsia="宋体" w:cs="Times New Roman"/>
      <w:color w:val="000000"/>
      <w:kern w:val="2"/>
      <w:sz w:val="21"/>
      <w:szCs w:val="21"/>
      <w:lang w:val="en-US" w:eastAsia="zh-CN" w:bidi="ar-SA"/>
    </w:rPr>
  </w:style>
  <w:style w:type="paragraph" w:customStyle="1" w:styleId="128">
    <w:name w:val="正文段落（常规）"/>
    <w:basedOn w:val="1"/>
    <w:autoRedefine/>
    <w:qFormat/>
    <w:uiPriority w:val="0"/>
  </w:style>
  <w:style w:type="paragraph" w:customStyle="1" w:styleId="129">
    <w:name w:val="表格文字（正文）-居左"/>
    <w:basedOn w:val="130"/>
    <w:autoRedefine/>
    <w:qFormat/>
    <w:uiPriority w:val="0"/>
    <w:rPr>
      <w:bCs/>
      <w:sz w:val="20"/>
    </w:rPr>
  </w:style>
  <w:style w:type="paragraph" w:customStyle="1" w:styleId="130">
    <w:name w:val="正文段落（居左）"/>
    <w:basedOn w:val="128"/>
    <w:autoRedefine/>
    <w:qFormat/>
    <w:uiPriority w:val="0"/>
  </w:style>
  <w:style w:type="paragraph" w:customStyle="1" w:styleId="131">
    <w:name w:val="列出段落1"/>
    <w:basedOn w:val="1"/>
    <w:autoRedefine/>
    <w:qFormat/>
    <w:uiPriority w:val="34"/>
    <w:pPr>
      <w:ind w:firstLine="420" w:firstLineChars="200"/>
    </w:pPr>
    <w:rPr>
      <w:sz w:val="21"/>
    </w:rPr>
  </w:style>
  <w:style w:type="character" w:customStyle="1" w:styleId="132">
    <w:name w:val="正文文本 3 字符"/>
    <w:basedOn w:val="33"/>
    <w:link w:val="13"/>
    <w:qFormat/>
    <w:uiPriority w:val="0"/>
    <w:rPr>
      <w:rFonts w:ascii="宋体"/>
      <w:kern w:val="2"/>
      <w:sz w:val="24"/>
    </w:rPr>
  </w:style>
  <w:style w:type="paragraph" w:customStyle="1" w:styleId="133">
    <w:name w:val="Table Text"/>
    <w:basedOn w:val="1"/>
    <w:semiHidden/>
    <w:qFormat/>
    <w:uiPriority w:val="0"/>
    <w:rPr>
      <w:rFonts w:ascii="宋体" w:hAnsi="宋体" w:eastAsia="宋体" w:cs="宋体"/>
      <w:sz w:val="24"/>
      <w:szCs w:val="24"/>
      <w:lang w:val="en-US" w:eastAsia="en-US" w:bidi="ar-SA"/>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czt</Company>
  <Pages>80</Pages>
  <Words>923</Words>
  <Characters>1050</Characters>
  <Lines>356</Lines>
  <Paragraphs>100</Paragraphs>
  <TotalTime>39</TotalTime>
  <ScaleCrop>false</ScaleCrop>
  <LinksUpToDate>false</LinksUpToDate>
  <CharactersWithSpaces>1137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2024-08-23T10:07:00Z</dcterms:created>
  <dc:creator>太子弹琴</dc:creator>
  <cp:lastModifiedBy>Administrator</cp:lastModifiedBy>
  <cp:lastPrinted>2023-01-06T09:59:00Z</cp:lastPrinted>
  <dcterms:modified xsi:type="dcterms:W3CDTF">2026-04-16T10:26:15Z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FAB68664C7EF44E88248FC80F0001BFC_13</vt:lpwstr>
  </property>
  <property fmtid="{D5CDD505-2E9C-101B-9397-08002B2CF9AE}" pid="4" name="KSOTemplateDocerSaveRecord">
    <vt:lpwstr>eyJoZGlkIjoiNzFmMWJjOTM1YzMyOWYxZGVlZWYwZWU0ZWY2ZGQzZWYiLCJ1c2VySWQiOiIyNDU3NjUyMzAifQ==</vt:lpwstr>
  </property>
</Properties>
</file>