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C41FD8">
      <w:pPr>
        <w:rPr>
          <w:rFonts w:ascii="宋体" w:hAnsi="宋体" w:cs="宋体"/>
          <w:b/>
          <w:bCs/>
          <w:color w:val="auto"/>
          <w:spacing w:val="120"/>
          <w:sz w:val="52"/>
          <w:szCs w:val="52"/>
          <w:highlight w:val="none"/>
        </w:rPr>
      </w:pPr>
    </w:p>
    <w:p w14:paraId="7E7ECAF2">
      <w:pPr>
        <w:rPr>
          <w:rFonts w:ascii="宋体" w:hAnsi="宋体" w:cs="宋体"/>
          <w:b/>
          <w:bCs/>
          <w:color w:val="auto"/>
          <w:sz w:val="52"/>
          <w:szCs w:val="52"/>
          <w:highlight w:val="none"/>
        </w:rPr>
      </w:pPr>
      <w:r>
        <w:rPr>
          <w:rFonts w:hint="eastAsia" w:ascii="宋体" w:hAnsi="宋体" w:cs="宋体"/>
          <w:color w:val="auto"/>
          <w:spacing w:val="20"/>
          <w:sz w:val="84"/>
          <w:highlight w:val="none"/>
        </w:rPr>
        <w:t>温州市政府（分散）采购</w:t>
      </w:r>
    </w:p>
    <w:p w14:paraId="7B09A448">
      <w:pPr>
        <w:jc w:val="center"/>
        <w:rPr>
          <w:rFonts w:ascii="宋体" w:hAnsi="宋体" w:cs="宋体"/>
          <w:b/>
          <w:bCs/>
          <w:color w:val="auto"/>
          <w:spacing w:val="26"/>
          <w:sz w:val="52"/>
          <w:highlight w:val="none"/>
        </w:rPr>
      </w:pPr>
    </w:p>
    <w:p w14:paraId="34E0C4C5">
      <w:pPr>
        <w:ind w:firstLine="2357" w:firstLineChars="235"/>
        <w:rPr>
          <w:rFonts w:ascii="宋体" w:hAnsi="宋体" w:cs="宋体"/>
          <w:b/>
          <w:bCs/>
          <w:color w:val="auto"/>
          <w:spacing w:val="140"/>
          <w:sz w:val="72"/>
          <w:highlight w:val="none"/>
        </w:rPr>
      </w:pPr>
    </w:p>
    <w:p w14:paraId="042D5071">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4"/>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730"/>
      </w:tblGrid>
      <w:tr w14:paraId="1184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top"/>
          </w:tcPr>
          <w:p w14:paraId="23F906F9">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项 目 编 号：</w:t>
            </w:r>
          </w:p>
        </w:tc>
        <w:tc>
          <w:tcPr>
            <w:tcW w:w="5730" w:type="dxa"/>
            <w:vAlign w:val="top"/>
          </w:tcPr>
          <w:p w14:paraId="05E5315D">
            <w:pPr>
              <w:spacing w:line="700" w:lineRule="exact"/>
              <w:jc w:val="center"/>
              <w:rPr>
                <w:rFonts w:hint="default" w:ascii="宋体" w:hAnsi="宋体" w:cs="宋体"/>
                <w:color w:val="auto"/>
                <w:spacing w:val="40"/>
                <w:sz w:val="30"/>
                <w:szCs w:val="30"/>
                <w:highlight w:val="none"/>
                <w:lang w:val="en-US" w:eastAsia="zh-CN"/>
              </w:rPr>
            </w:pPr>
            <w:r>
              <w:rPr>
                <w:rFonts w:hint="eastAsia" w:ascii="宋体" w:hAnsi="宋体" w:cs="宋体"/>
                <w:color w:val="auto"/>
                <w:spacing w:val="40"/>
                <w:sz w:val="30"/>
                <w:szCs w:val="30"/>
                <w:highlight w:val="none"/>
                <w:lang w:eastAsia="zh-CN"/>
              </w:rPr>
              <w:t>330300261320090000009-WZLCZB（Z）-2026-03055-1</w:t>
            </w:r>
          </w:p>
        </w:tc>
      </w:tr>
      <w:tr w14:paraId="31DB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top"/>
          </w:tcPr>
          <w:p w14:paraId="4DD12AF0">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项 目 名 称：</w:t>
            </w:r>
          </w:p>
        </w:tc>
        <w:tc>
          <w:tcPr>
            <w:tcW w:w="5730" w:type="dxa"/>
            <w:vAlign w:val="top"/>
          </w:tcPr>
          <w:p w14:paraId="4026C5BD">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诊后疾病精细化管理服务项目(重)</w:t>
            </w:r>
          </w:p>
        </w:tc>
      </w:tr>
      <w:tr w14:paraId="221E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top"/>
          </w:tcPr>
          <w:p w14:paraId="53571918">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采 购 方 式：</w:t>
            </w:r>
          </w:p>
        </w:tc>
        <w:tc>
          <w:tcPr>
            <w:tcW w:w="5730" w:type="dxa"/>
            <w:vAlign w:val="top"/>
          </w:tcPr>
          <w:p w14:paraId="36C55866">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公开招标</w:t>
            </w:r>
          </w:p>
        </w:tc>
      </w:tr>
      <w:tr w14:paraId="6368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top"/>
          </w:tcPr>
          <w:p w14:paraId="4EA561BE">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评 审 方 式：</w:t>
            </w:r>
          </w:p>
        </w:tc>
        <w:tc>
          <w:tcPr>
            <w:tcW w:w="5730" w:type="dxa"/>
            <w:vAlign w:val="top"/>
          </w:tcPr>
          <w:p w14:paraId="66A41618">
            <w:pPr>
              <w:spacing w:line="700" w:lineRule="exact"/>
              <w:jc w:val="center"/>
              <w:rPr>
                <w:rFonts w:hint="eastAsia" w:ascii="宋体" w:hAnsi="宋体" w:cs="宋体"/>
                <w:color w:val="auto"/>
                <w:spacing w:val="40"/>
                <w:sz w:val="30"/>
                <w:szCs w:val="30"/>
                <w:highlight w:val="none"/>
                <w:lang w:eastAsia="zh-CN"/>
              </w:rPr>
            </w:pPr>
            <w:r>
              <w:rPr>
                <w:rFonts w:hint="eastAsia" w:ascii="宋体" w:hAnsi="宋体" w:cs="宋体"/>
                <w:color w:val="auto"/>
                <w:spacing w:val="40"/>
                <w:sz w:val="30"/>
                <w:szCs w:val="30"/>
                <w:highlight w:val="none"/>
                <w:lang w:eastAsia="zh-CN"/>
              </w:rPr>
              <w:t>线上电子招投标</w:t>
            </w:r>
          </w:p>
        </w:tc>
      </w:tr>
    </w:tbl>
    <w:p w14:paraId="47EDC72C">
      <w:pPr>
        <w:spacing w:line="700" w:lineRule="exact"/>
        <w:ind w:firstLine="723" w:firstLineChars="300"/>
        <w:jc w:val="left"/>
        <w:rPr>
          <w:rFonts w:ascii="宋体" w:hAnsi="宋体" w:cs="宋体"/>
          <w:b/>
          <w:bCs/>
          <w:color w:val="auto"/>
          <w:sz w:val="24"/>
          <w:highlight w:val="none"/>
        </w:rPr>
      </w:pPr>
    </w:p>
    <w:p w14:paraId="5F17AD15">
      <w:pPr>
        <w:spacing w:line="700" w:lineRule="exact"/>
        <w:ind w:firstLine="904" w:firstLineChars="300"/>
        <w:jc w:val="left"/>
        <w:rPr>
          <w:rFonts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6DD0F2E2">
      <w:pPr>
        <w:keepNext/>
        <w:spacing w:line="700" w:lineRule="exact"/>
        <w:rPr>
          <w:rFonts w:ascii="宋体" w:hAnsi="宋体" w:cs="宋体"/>
          <w:color w:val="auto"/>
          <w:spacing w:val="40"/>
          <w:sz w:val="30"/>
          <w:szCs w:val="30"/>
          <w:highlight w:val="none"/>
        </w:rPr>
      </w:pPr>
    </w:p>
    <w:p w14:paraId="179CB823">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 标 人:温州市人民医院</w:t>
      </w:r>
    </w:p>
    <w:p w14:paraId="55869374">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招标代理机构：温州历程招标有限公司</w:t>
      </w:r>
    </w:p>
    <w:p w14:paraId="538C7B9A">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60ABAA1B">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4EA1520C">
          <w:pPr>
            <w:jc w:val="center"/>
            <w:rPr>
              <w:rFonts w:ascii="宋体" w:hAnsi="宋体" w:cs="宋体"/>
              <w:color w:val="auto"/>
              <w:highlight w:val="none"/>
            </w:rPr>
          </w:pPr>
        </w:p>
        <w:p w14:paraId="273DB35A">
          <w:pPr>
            <w:pStyle w:val="39"/>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5D4E6E78">
          <w:pPr>
            <w:pStyle w:val="39"/>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4BD8B4D9">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第一部分    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6EE305DE">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724BF95A">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9</w:t>
          </w:r>
          <w:r>
            <w:rPr>
              <w:color w:val="auto"/>
              <w:sz w:val="22"/>
              <w:szCs w:val="28"/>
              <w:highlight w:val="none"/>
            </w:rPr>
            <w:fldChar w:fldCharType="end"/>
          </w:r>
          <w:r>
            <w:rPr>
              <w:color w:val="auto"/>
              <w:sz w:val="22"/>
              <w:szCs w:val="28"/>
              <w:highlight w:val="none"/>
            </w:rPr>
            <w:fldChar w:fldCharType="end"/>
          </w:r>
        </w:p>
        <w:p w14:paraId="7B755FE3">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二、 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10</w:t>
          </w:r>
          <w:r>
            <w:rPr>
              <w:color w:val="auto"/>
              <w:sz w:val="22"/>
              <w:szCs w:val="28"/>
              <w:highlight w:val="none"/>
            </w:rPr>
            <w:fldChar w:fldCharType="end"/>
          </w:r>
          <w:r>
            <w:rPr>
              <w:color w:val="auto"/>
              <w:sz w:val="22"/>
              <w:szCs w:val="28"/>
              <w:highlight w:val="none"/>
            </w:rPr>
            <w:fldChar w:fldCharType="end"/>
          </w:r>
        </w:p>
        <w:p w14:paraId="477AA436">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三、 投标文件的编制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11</w:t>
          </w:r>
          <w:r>
            <w:rPr>
              <w:color w:val="auto"/>
              <w:sz w:val="22"/>
              <w:szCs w:val="28"/>
              <w:highlight w:val="none"/>
            </w:rPr>
            <w:fldChar w:fldCharType="end"/>
          </w:r>
          <w:r>
            <w:rPr>
              <w:color w:val="auto"/>
              <w:sz w:val="22"/>
              <w:szCs w:val="28"/>
              <w:highlight w:val="none"/>
            </w:rPr>
            <w:fldChar w:fldCharType="end"/>
          </w:r>
        </w:p>
        <w:p w14:paraId="77143097">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四、 投标文件的递交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14</w:t>
          </w:r>
          <w:r>
            <w:rPr>
              <w:color w:val="auto"/>
              <w:sz w:val="22"/>
              <w:szCs w:val="28"/>
              <w:highlight w:val="none"/>
            </w:rPr>
            <w:fldChar w:fldCharType="end"/>
          </w:r>
          <w:r>
            <w:rPr>
              <w:color w:val="auto"/>
              <w:sz w:val="22"/>
              <w:szCs w:val="28"/>
              <w:highlight w:val="none"/>
            </w:rPr>
            <w:fldChar w:fldCharType="end"/>
          </w:r>
        </w:p>
        <w:p w14:paraId="4A734B95">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14</w:t>
          </w:r>
          <w:r>
            <w:rPr>
              <w:color w:val="auto"/>
              <w:sz w:val="22"/>
              <w:szCs w:val="28"/>
              <w:highlight w:val="none"/>
            </w:rPr>
            <w:fldChar w:fldCharType="end"/>
          </w:r>
          <w:r>
            <w:rPr>
              <w:color w:val="auto"/>
              <w:sz w:val="22"/>
              <w:szCs w:val="28"/>
              <w:highlight w:val="none"/>
            </w:rPr>
            <w:fldChar w:fldCharType="end"/>
          </w:r>
        </w:p>
        <w:p w14:paraId="2CAEF483">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19</w:t>
          </w:r>
          <w:r>
            <w:rPr>
              <w:color w:val="auto"/>
              <w:sz w:val="22"/>
              <w:szCs w:val="28"/>
              <w:highlight w:val="none"/>
            </w:rPr>
            <w:fldChar w:fldCharType="end"/>
          </w:r>
          <w:r>
            <w:rPr>
              <w:color w:val="auto"/>
              <w:sz w:val="22"/>
              <w:szCs w:val="28"/>
              <w:highlight w:val="none"/>
            </w:rPr>
            <w:fldChar w:fldCharType="end"/>
          </w:r>
        </w:p>
        <w:p w14:paraId="4962DD00">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20</w:t>
          </w:r>
          <w:r>
            <w:rPr>
              <w:color w:val="auto"/>
              <w:sz w:val="22"/>
              <w:szCs w:val="28"/>
              <w:highlight w:val="none"/>
            </w:rPr>
            <w:fldChar w:fldCharType="end"/>
          </w:r>
          <w:r>
            <w:rPr>
              <w:color w:val="auto"/>
              <w:sz w:val="22"/>
              <w:szCs w:val="28"/>
              <w:highlight w:val="none"/>
            </w:rPr>
            <w:fldChar w:fldCharType="end"/>
          </w:r>
        </w:p>
        <w:p w14:paraId="434B3119">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21</w:t>
          </w:r>
          <w:r>
            <w:rPr>
              <w:color w:val="auto"/>
              <w:sz w:val="22"/>
              <w:szCs w:val="28"/>
              <w:highlight w:val="none"/>
            </w:rPr>
            <w:fldChar w:fldCharType="end"/>
          </w:r>
          <w:r>
            <w:rPr>
              <w:color w:val="auto"/>
              <w:sz w:val="22"/>
              <w:szCs w:val="28"/>
              <w:highlight w:val="none"/>
            </w:rPr>
            <w:fldChar w:fldCharType="end"/>
          </w:r>
        </w:p>
        <w:p w14:paraId="4192C02A">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3A676FCD">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27</w:t>
          </w:r>
          <w:r>
            <w:rPr>
              <w:color w:val="auto"/>
              <w:sz w:val="22"/>
              <w:szCs w:val="28"/>
              <w:highlight w:val="none"/>
            </w:rPr>
            <w:fldChar w:fldCharType="end"/>
          </w:r>
          <w:r>
            <w:rPr>
              <w:color w:val="auto"/>
              <w:sz w:val="22"/>
              <w:szCs w:val="28"/>
              <w:highlight w:val="none"/>
            </w:rPr>
            <w:fldChar w:fldCharType="end"/>
          </w:r>
        </w:p>
        <w:p w14:paraId="7C5CF87D">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30</w:t>
          </w:r>
          <w:r>
            <w:rPr>
              <w:color w:val="auto"/>
              <w:sz w:val="22"/>
              <w:szCs w:val="28"/>
              <w:highlight w:val="none"/>
            </w:rPr>
            <w:fldChar w:fldCharType="end"/>
          </w:r>
          <w:r>
            <w:rPr>
              <w:color w:val="auto"/>
              <w:sz w:val="22"/>
              <w:szCs w:val="28"/>
              <w:highlight w:val="none"/>
            </w:rPr>
            <w:fldChar w:fldCharType="end"/>
          </w:r>
        </w:p>
        <w:p w14:paraId="244D5990">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33</w:t>
          </w:r>
          <w:r>
            <w:rPr>
              <w:color w:val="auto"/>
              <w:sz w:val="22"/>
              <w:szCs w:val="28"/>
              <w:highlight w:val="none"/>
            </w:rPr>
            <w:fldChar w:fldCharType="end"/>
          </w:r>
          <w:r>
            <w:rPr>
              <w:color w:val="auto"/>
              <w:sz w:val="22"/>
              <w:szCs w:val="28"/>
              <w:highlight w:val="none"/>
            </w:rPr>
            <w:fldChar w:fldCharType="end"/>
          </w:r>
        </w:p>
        <w:p w14:paraId="65795988">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33</w:t>
          </w:r>
          <w:r>
            <w:rPr>
              <w:color w:val="auto"/>
              <w:sz w:val="22"/>
              <w:szCs w:val="28"/>
              <w:highlight w:val="none"/>
            </w:rPr>
            <w:fldChar w:fldCharType="end"/>
          </w:r>
          <w:r>
            <w:rPr>
              <w:color w:val="auto"/>
              <w:sz w:val="22"/>
              <w:szCs w:val="28"/>
              <w:highlight w:val="none"/>
            </w:rPr>
            <w:fldChar w:fldCharType="end"/>
          </w:r>
        </w:p>
        <w:p w14:paraId="61DDF7D9">
          <w:pPr>
            <w:pStyle w:val="2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color w:val="auto"/>
              <w:sz w:val="22"/>
              <w:szCs w:val="28"/>
              <w:highlight w:val="none"/>
            </w:rPr>
            <w:fldChar w:fldCharType="end"/>
          </w:r>
        </w:p>
        <w:p w14:paraId="42F5B070">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56</w:t>
          </w:r>
          <w:r>
            <w:rPr>
              <w:color w:val="auto"/>
              <w:sz w:val="22"/>
              <w:szCs w:val="28"/>
              <w:highlight w:val="none"/>
            </w:rPr>
            <w:fldChar w:fldCharType="end"/>
          </w:r>
          <w:r>
            <w:rPr>
              <w:color w:val="auto"/>
              <w:sz w:val="22"/>
              <w:szCs w:val="28"/>
              <w:highlight w:val="none"/>
            </w:rPr>
            <w:fldChar w:fldCharType="end"/>
          </w:r>
        </w:p>
        <w:p w14:paraId="6D4DD5A4">
          <w:pPr>
            <w:pStyle w:val="3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56</w:t>
          </w:r>
          <w:r>
            <w:rPr>
              <w:color w:val="auto"/>
              <w:sz w:val="22"/>
              <w:szCs w:val="28"/>
              <w:highlight w:val="none"/>
            </w:rPr>
            <w:fldChar w:fldCharType="end"/>
          </w:r>
          <w:r>
            <w:rPr>
              <w:color w:val="auto"/>
              <w:sz w:val="22"/>
              <w:szCs w:val="28"/>
              <w:highlight w:val="none"/>
            </w:rPr>
            <w:fldChar w:fldCharType="end"/>
          </w:r>
        </w:p>
        <w:p w14:paraId="144E06C4">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color w:val="auto"/>
              <w:sz w:val="22"/>
              <w:szCs w:val="28"/>
              <w:highlight w:val="none"/>
            </w:rPr>
            <w:fldChar w:fldCharType="end"/>
          </w:r>
        </w:p>
        <w:p w14:paraId="0517BB28">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color w:val="auto"/>
              <w:sz w:val="22"/>
              <w:szCs w:val="28"/>
              <w:highlight w:val="none"/>
            </w:rPr>
            <w:fldChar w:fldCharType="end"/>
          </w:r>
        </w:p>
        <w:p w14:paraId="57ACAB7F">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color w:val="auto"/>
              <w:sz w:val="22"/>
              <w:szCs w:val="28"/>
              <w:highlight w:val="none"/>
            </w:rPr>
            <w:fldChar w:fldCharType="end"/>
          </w:r>
        </w:p>
        <w:p w14:paraId="3D98E814">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color w:val="auto"/>
              <w:sz w:val="22"/>
              <w:szCs w:val="28"/>
              <w:highlight w:val="none"/>
            </w:rPr>
            <w:fldChar w:fldCharType="end"/>
          </w:r>
        </w:p>
        <w:p w14:paraId="2A15D70E">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color w:val="auto"/>
              <w:sz w:val="22"/>
              <w:szCs w:val="28"/>
              <w:highlight w:val="none"/>
            </w:rPr>
            <w:fldChar w:fldCharType="end"/>
          </w:r>
        </w:p>
        <w:p w14:paraId="09279DC3">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75</w:t>
          </w:r>
          <w:r>
            <w:rPr>
              <w:color w:val="auto"/>
              <w:sz w:val="22"/>
              <w:szCs w:val="28"/>
              <w:highlight w:val="none"/>
            </w:rPr>
            <w:fldChar w:fldCharType="end"/>
          </w:r>
          <w:r>
            <w:rPr>
              <w:color w:val="auto"/>
              <w:sz w:val="22"/>
              <w:szCs w:val="28"/>
              <w:highlight w:val="none"/>
            </w:rPr>
            <w:fldChar w:fldCharType="end"/>
          </w:r>
        </w:p>
        <w:p w14:paraId="6832C63F">
          <w:pPr>
            <w:pStyle w:val="46"/>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七、投标人义务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75</w:t>
          </w:r>
          <w:r>
            <w:rPr>
              <w:color w:val="auto"/>
              <w:sz w:val="22"/>
              <w:szCs w:val="28"/>
              <w:highlight w:val="none"/>
            </w:rPr>
            <w:fldChar w:fldCharType="end"/>
          </w:r>
          <w:r>
            <w:rPr>
              <w:color w:val="auto"/>
              <w:sz w:val="22"/>
              <w:szCs w:val="28"/>
              <w:highlight w:val="none"/>
            </w:rPr>
            <w:fldChar w:fldCharType="end"/>
          </w:r>
        </w:p>
        <w:p w14:paraId="5937E677">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44E50396">
      <w:pPr>
        <w:pStyle w:val="5"/>
        <w:rPr>
          <w:rFonts w:ascii="宋体" w:hAnsi="宋体" w:eastAsia="宋体" w:cs="宋体"/>
          <w:color w:val="auto"/>
          <w:highlight w:val="none"/>
        </w:rPr>
      </w:pPr>
      <w:bookmarkStart w:id="0" w:name="_Toc6599"/>
      <w:bookmarkStart w:id="1" w:name="_Toc32649"/>
      <w:r>
        <w:rPr>
          <w:rFonts w:hint="eastAsia" w:ascii="宋体" w:hAnsi="宋体" w:eastAsia="宋体" w:cs="宋体"/>
          <w:color w:val="auto"/>
          <w:highlight w:val="none"/>
        </w:rPr>
        <w:t>招 标 公 告</w:t>
      </w:r>
      <w:bookmarkEnd w:id="0"/>
      <w:bookmarkEnd w:id="1"/>
    </w:p>
    <w:p w14:paraId="552394EE">
      <w:pPr>
        <w:tabs>
          <w:tab w:val="left" w:pos="360"/>
        </w:tabs>
        <w:spacing w:line="460" w:lineRule="exact"/>
        <w:ind w:firstLine="552" w:firstLineChars="250"/>
        <w:rPr>
          <w:rFonts w:ascii="宋体" w:hAnsi="宋体" w:cs="宋体"/>
          <w:b/>
          <w:bCs/>
          <w:color w:val="auto"/>
          <w:sz w:val="22"/>
          <w:highlight w:val="none"/>
        </w:rPr>
      </w:pPr>
      <w:r>
        <w:rPr>
          <w:b/>
          <w:bCs/>
          <w:color w:val="auto"/>
          <w:sz w:val="22"/>
          <w:highlight w:val="none"/>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3810</wp:posOffset>
                </wp:positionV>
                <wp:extent cx="6499225" cy="1209040"/>
                <wp:effectExtent l="6350" t="6350" r="9525" b="22860"/>
                <wp:wrapNone/>
                <wp:docPr id="1" name="矩形 1"/>
                <wp:cNvGraphicFramePr/>
                <a:graphic xmlns:a="http://schemas.openxmlformats.org/drawingml/2006/main">
                  <a:graphicData uri="http://schemas.microsoft.com/office/word/2010/wordprocessingShape">
                    <wps:wsp>
                      <wps:cNvSpPr/>
                      <wps:spPr>
                        <a:xfrm>
                          <a:off x="0" y="0"/>
                          <a:ext cx="6499225" cy="1209040"/>
                        </a:xfrm>
                        <a:prstGeom prst="rect">
                          <a:avLst/>
                        </a:prstGeom>
                        <a:noFill/>
                        <a:ln w="12700" cap="flat" cmpd="sng">
                          <a:solidFill>
                            <a:srgbClr val="000000"/>
                          </a:solidFill>
                          <a:prstDash val="solid"/>
                          <a:round/>
                          <a:headEnd type="none" w="med" len="med"/>
                          <a:tailEnd type="none" w="med" len="med"/>
                        </a:ln>
                        <a:effectLst/>
                      </wps:spPr>
                      <wps:bodyPr anchor="ctr" anchorCtr="0" upright="1"/>
                    </wps:wsp>
                  </a:graphicData>
                </a:graphic>
              </wp:anchor>
            </w:drawing>
          </mc:Choice>
          <mc:Fallback>
            <w:pict>
              <v:rect id="_x0000_s1026" o:spid="_x0000_s1026" o:spt="1" style="position:absolute;left:0pt;margin-left:-15.5pt;margin-top:0.3pt;height:95.2pt;width:511.75pt;z-index:251661312;v-text-anchor:middle;mso-width-relative:page;mso-height-relative:page;" filled="f" stroked="t" coordsize="21600,21600" o:gfxdata="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dW/IjXAAAACAEAAA8AAAAAAAAAAQAgAAAAIgAA&#10;AGRycy9kb3ducmV2LnhtbFBLAQIUABQAAAAIAIdO4kAT8HfoCQIAACAEAAAOAAAAAAAAAAEAIAAA&#10;ACYBAABkcnMvZTJvRG9jLnhtbFBLBQYAAAAABgAGAFkBAAChBQAAAAA=&#10;">
                <v:fill on="f" focussize="0,0"/>
                <v:stroke weight="1pt" color="#000000" joinstyle="round"/>
                <v:imagedata o:title=""/>
                <o:lock v:ext="edit" aspectratio="f"/>
              </v:rect>
            </w:pict>
          </mc:Fallback>
        </mc:AlternateContent>
      </w:r>
      <w:r>
        <w:rPr>
          <w:rFonts w:hint="eastAsia" w:ascii="宋体" w:hAnsi="宋体" w:cs="宋体"/>
          <w:b/>
          <w:bCs/>
          <w:color w:val="auto"/>
          <w:sz w:val="22"/>
          <w:highlight w:val="none"/>
        </w:rPr>
        <w:t>项目概况</w:t>
      </w:r>
    </w:p>
    <w:p w14:paraId="64E5E0C1">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诊后疾病精细化管理服务项目(重)</w:t>
      </w:r>
      <w:r>
        <w:rPr>
          <w:rFonts w:hint="eastAsia" w:ascii="宋体" w:hAnsi="宋体" w:cs="宋体"/>
          <w:color w:val="auto"/>
          <w:sz w:val="22"/>
          <w:highlight w:val="none"/>
        </w:rPr>
        <w:t>招标项目的潜在投标人应在浙江政府采购网获取（下载）招标文件，并于</w:t>
      </w:r>
      <w:r>
        <w:rPr>
          <w:rFonts w:hint="eastAsia" w:ascii="宋体" w:hAnsi="宋体" w:cs="宋体"/>
          <w:color w:val="auto"/>
          <w:sz w:val="22"/>
          <w:highlight w:val="none"/>
          <w:lang w:val="en-US" w:eastAsia="zh-CN"/>
        </w:rPr>
        <w:t>2026年5月15日09点30分</w:t>
      </w:r>
      <w:r>
        <w:rPr>
          <w:rFonts w:hint="eastAsia" w:ascii="宋体" w:hAnsi="宋体" w:cs="宋体"/>
          <w:color w:val="auto"/>
          <w:sz w:val="22"/>
          <w:highlight w:val="none"/>
        </w:rPr>
        <w:t>（北京时间）前递交（上传）投标文件。</w:t>
      </w:r>
    </w:p>
    <w:p w14:paraId="18C91FFC">
      <w:pPr>
        <w:pStyle w:val="49"/>
        <w:spacing w:before="0" w:beforeAutospacing="0" w:after="0" w:afterAutospacing="0" w:line="460" w:lineRule="exact"/>
        <w:rPr>
          <w:color w:val="auto"/>
          <w:sz w:val="22"/>
          <w:szCs w:val="22"/>
          <w:highlight w:val="none"/>
        </w:rPr>
      </w:pPr>
      <w:r>
        <w:rPr>
          <w:rFonts w:hint="eastAsia"/>
          <w:b/>
          <w:bCs/>
          <w:color w:val="auto"/>
          <w:sz w:val="22"/>
          <w:szCs w:val="22"/>
          <w:highlight w:val="none"/>
        </w:rPr>
        <w:t>一、项目基本情况</w:t>
      </w:r>
    </w:p>
    <w:p w14:paraId="34D25552">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项目编号：</w:t>
      </w:r>
      <w:bookmarkStart w:id="68" w:name="_GoBack"/>
      <w:r>
        <w:rPr>
          <w:rFonts w:hint="eastAsia"/>
          <w:color w:val="auto"/>
          <w:sz w:val="22"/>
          <w:szCs w:val="22"/>
          <w:highlight w:val="none"/>
          <w:lang w:eastAsia="zh-CN"/>
        </w:rPr>
        <w:t>330300261320090000009-WZLCZB（Z）-2026-03055-1</w:t>
      </w:r>
      <w:bookmarkEnd w:id="68"/>
      <w:r>
        <w:rPr>
          <w:rFonts w:hint="eastAsia"/>
          <w:color w:val="auto"/>
          <w:sz w:val="22"/>
          <w:szCs w:val="22"/>
          <w:highlight w:val="none"/>
        </w:rPr>
        <w:t> </w:t>
      </w:r>
    </w:p>
    <w:p w14:paraId="75B84D9D">
      <w:pPr>
        <w:pStyle w:val="49"/>
        <w:wordWrap w:val="0"/>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项目名称：</w:t>
      </w:r>
      <w:r>
        <w:rPr>
          <w:rFonts w:hint="eastAsia"/>
          <w:color w:val="auto"/>
          <w:sz w:val="22"/>
          <w:szCs w:val="22"/>
          <w:highlight w:val="none"/>
          <w:lang w:eastAsia="zh-CN"/>
        </w:rPr>
        <w:t>诊后疾病精细化管理服务项目(重)</w:t>
      </w:r>
    </w:p>
    <w:p w14:paraId="1312C36E">
      <w:pPr>
        <w:pStyle w:val="49"/>
        <w:wordWrap w:val="0"/>
        <w:spacing w:before="0" w:beforeAutospacing="0" w:after="0" w:afterAutospacing="0" w:line="460" w:lineRule="exact"/>
        <w:ind w:firstLine="440" w:firstLineChars="200"/>
        <w:rPr>
          <w:rFonts w:hint="eastAsia" w:eastAsia="宋体"/>
          <w:color w:val="auto"/>
          <w:sz w:val="22"/>
          <w:szCs w:val="22"/>
          <w:highlight w:val="none"/>
          <w:lang w:val="en-US" w:eastAsia="zh-CN"/>
        </w:rPr>
      </w:pPr>
      <w:r>
        <w:rPr>
          <w:rFonts w:hint="eastAsia"/>
          <w:color w:val="auto"/>
          <w:sz w:val="22"/>
          <w:szCs w:val="22"/>
          <w:highlight w:val="none"/>
        </w:rPr>
        <w:t>预算金额（元）：</w:t>
      </w:r>
      <w:r>
        <w:rPr>
          <w:rFonts w:hint="eastAsia"/>
          <w:color w:val="auto"/>
          <w:sz w:val="22"/>
          <w:szCs w:val="22"/>
          <w:highlight w:val="none"/>
          <w:lang w:eastAsia="zh-CN"/>
        </w:rPr>
        <w:t>5600000</w:t>
      </w:r>
      <w:r>
        <w:rPr>
          <w:rFonts w:hint="eastAsia"/>
          <w:color w:val="auto"/>
          <w:sz w:val="22"/>
          <w:szCs w:val="22"/>
          <w:highlight w:val="none"/>
        </w:rPr>
        <w:t>.00</w:t>
      </w:r>
    </w:p>
    <w:p w14:paraId="10C20BA0">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最高限价（元）：/</w:t>
      </w:r>
    </w:p>
    <w:p w14:paraId="5FB90386">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采购需求：</w:t>
      </w:r>
    </w:p>
    <w:p w14:paraId="467B4280">
      <w:pPr>
        <w:pStyle w:val="49"/>
        <w:wordWrap w:val="0"/>
        <w:spacing w:before="0" w:beforeAutospacing="0" w:after="0" w:afterAutospacing="0" w:line="460" w:lineRule="exact"/>
        <w:ind w:left="437" w:leftChars="208"/>
        <w:rPr>
          <w:color w:val="auto"/>
          <w:sz w:val="22"/>
          <w:szCs w:val="22"/>
          <w:highlight w:val="none"/>
        </w:rPr>
      </w:pPr>
      <w:r>
        <w:rPr>
          <w:rFonts w:hint="eastAsia"/>
          <w:color w:val="auto"/>
          <w:sz w:val="22"/>
          <w:szCs w:val="22"/>
          <w:highlight w:val="none"/>
        </w:rPr>
        <w:t>标项名称:</w:t>
      </w:r>
      <w:r>
        <w:rPr>
          <w:rFonts w:hint="eastAsia"/>
          <w:color w:val="auto"/>
          <w:sz w:val="22"/>
          <w:szCs w:val="22"/>
          <w:highlight w:val="none"/>
          <w:lang w:eastAsia="zh-CN"/>
        </w:rPr>
        <w:t>诊后疾病精细化管理服务项目(重)</w:t>
      </w:r>
      <w:r>
        <w:rPr>
          <w:rFonts w:hint="eastAsia"/>
          <w:color w:val="auto"/>
          <w:sz w:val="22"/>
          <w:szCs w:val="22"/>
          <w:highlight w:val="none"/>
        </w:rPr>
        <w:t> </w:t>
      </w:r>
      <w:r>
        <w:rPr>
          <w:rFonts w:hint="eastAsia"/>
          <w:color w:val="auto"/>
          <w:sz w:val="22"/>
          <w:szCs w:val="22"/>
          <w:highlight w:val="none"/>
        </w:rPr>
        <w:br w:type="textWrapping"/>
      </w:r>
      <w:r>
        <w:rPr>
          <w:rFonts w:hint="eastAsia"/>
          <w:color w:val="auto"/>
          <w:sz w:val="22"/>
          <w:szCs w:val="22"/>
          <w:highlight w:val="none"/>
        </w:rPr>
        <w:t>数量:1  </w:t>
      </w:r>
      <w:r>
        <w:rPr>
          <w:rFonts w:hint="eastAsia"/>
          <w:color w:val="auto"/>
          <w:sz w:val="22"/>
          <w:szCs w:val="22"/>
          <w:highlight w:val="none"/>
        </w:rPr>
        <w:br w:type="textWrapping"/>
      </w:r>
      <w:r>
        <w:rPr>
          <w:rFonts w:hint="eastAsia"/>
          <w:color w:val="auto"/>
          <w:sz w:val="22"/>
          <w:szCs w:val="22"/>
          <w:highlight w:val="none"/>
        </w:rPr>
        <w:t>预算金额（元）:</w:t>
      </w:r>
      <w:r>
        <w:rPr>
          <w:rFonts w:hint="eastAsia"/>
          <w:color w:val="auto"/>
          <w:sz w:val="22"/>
          <w:szCs w:val="22"/>
          <w:highlight w:val="none"/>
          <w:lang w:eastAsia="zh-CN"/>
        </w:rPr>
        <w:t>5600000</w:t>
      </w:r>
      <w:r>
        <w:rPr>
          <w:rFonts w:hint="eastAsia"/>
          <w:color w:val="auto"/>
          <w:sz w:val="22"/>
          <w:szCs w:val="22"/>
          <w:highlight w:val="none"/>
        </w:rPr>
        <w:t>.00</w:t>
      </w:r>
      <w:r>
        <w:rPr>
          <w:rFonts w:hint="eastAsia"/>
          <w:color w:val="auto"/>
          <w:sz w:val="22"/>
          <w:szCs w:val="22"/>
          <w:highlight w:val="none"/>
        </w:rPr>
        <w:br w:type="textWrapping"/>
      </w:r>
      <w:r>
        <w:rPr>
          <w:rFonts w:hint="eastAsia"/>
          <w:color w:val="auto"/>
          <w:sz w:val="22"/>
          <w:szCs w:val="22"/>
          <w:highlight w:val="none"/>
        </w:rPr>
        <w:t>简要规格描述或项目基本概况介绍、用途：具体详见招标文件</w:t>
      </w:r>
      <w:r>
        <w:rPr>
          <w:rFonts w:hint="eastAsia"/>
          <w:color w:val="auto"/>
          <w:sz w:val="22"/>
          <w:szCs w:val="22"/>
          <w:highlight w:val="none"/>
        </w:rPr>
        <w:br w:type="textWrapping"/>
      </w:r>
      <w:r>
        <w:rPr>
          <w:rFonts w:hint="eastAsia"/>
          <w:color w:val="auto"/>
          <w:sz w:val="22"/>
          <w:szCs w:val="22"/>
          <w:highlight w:val="none"/>
        </w:rPr>
        <w:t>备注： </w:t>
      </w:r>
    </w:p>
    <w:p w14:paraId="0955B895">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合同履约期限：标项1，具体详见招标文件</w:t>
      </w:r>
    </w:p>
    <w:p w14:paraId="2334F986">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本项目（否）接受联合体投标。</w:t>
      </w:r>
    </w:p>
    <w:p w14:paraId="4BC10BE2">
      <w:pPr>
        <w:pStyle w:val="49"/>
        <w:spacing w:before="0" w:beforeAutospacing="0" w:after="0" w:afterAutospacing="0" w:line="460" w:lineRule="exact"/>
        <w:rPr>
          <w:color w:val="auto"/>
          <w:sz w:val="22"/>
          <w:szCs w:val="22"/>
          <w:highlight w:val="none"/>
        </w:rPr>
      </w:pPr>
      <w:r>
        <w:rPr>
          <w:rFonts w:hint="eastAsia"/>
          <w:b/>
          <w:bCs/>
          <w:color w:val="auto"/>
          <w:sz w:val="22"/>
          <w:szCs w:val="22"/>
          <w:highlight w:val="none"/>
        </w:rPr>
        <w:t>二、申请人的资格要求：</w:t>
      </w:r>
    </w:p>
    <w:p w14:paraId="14A8BA41">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9E69BE3">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2.落实政府采购政策需满足的资格要求：</w:t>
      </w:r>
      <w:r>
        <w:rPr>
          <w:rFonts w:hint="eastAsia" w:ascii="新宋体" w:hAnsi="新宋体" w:eastAsia="新宋体" w:cs="新宋体"/>
          <w:color w:val="auto"/>
          <w:sz w:val="22"/>
          <w:szCs w:val="28"/>
          <w:highlight w:val="none"/>
        </w:rPr>
        <w:t>无</w:t>
      </w:r>
      <w:r>
        <w:rPr>
          <w:rFonts w:hint="eastAsia"/>
          <w:color w:val="auto"/>
          <w:sz w:val="22"/>
          <w:szCs w:val="22"/>
          <w:highlight w:val="none"/>
        </w:rPr>
        <w:t> </w:t>
      </w:r>
    </w:p>
    <w:p w14:paraId="5D8989D9">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3.本项目的特定资格要求：无  </w:t>
      </w:r>
    </w:p>
    <w:p w14:paraId="5B581F52">
      <w:pPr>
        <w:pStyle w:val="49"/>
        <w:spacing w:before="0" w:beforeAutospacing="0" w:after="0" w:afterAutospacing="0" w:line="460" w:lineRule="exact"/>
        <w:rPr>
          <w:b/>
          <w:bCs/>
          <w:color w:val="auto"/>
          <w:sz w:val="22"/>
          <w:szCs w:val="22"/>
          <w:highlight w:val="none"/>
        </w:rPr>
      </w:pPr>
      <w:r>
        <w:rPr>
          <w:rFonts w:hint="eastAsia"/>
          <w:b/>
          <w:bCs/>
          <w:color w:val="auto"/>
          <w:sz w:val="22"/>
          <w:szCs w:val="22"/>
          <w:highlight w:val="none"/>
        </w:rPr>
        <w:t>三、获取招标文件 </w:t>
      </w:r>
    </w:p>
    <w:p w14:paraId="2EAC61C0">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时间：即日起至</w:t>
      </w:r>
      <w:r>
        <w:rPr>
          <w:rFonts w:hint="eastAsia" w:ascii="宋体" w:hAnsi="宋体" w:cs="宋体"/>
          <w:color w:val="auto"/>
          <w:sz w:val="22"/>
          <w:highlight w:val="none"/>
          <w:lang w:val="en-US" w:eastAsia="zh-CN"/>
        </w:rPr>
        <w:t>2026年5月15日</w:t>
      </w:r>
      <w:r>
        <w:rPr>
          <w:rFonts w:hint="eastAsia"/>
          <w:color w:val="auto"/>
          <w:sz w:val="22"/>
          <w:szCs w:val="22"/>
          <w:highlight w:val="none"/>
        </w:rPr>
        <w:t>，每天上午00:00至12:00，下午12:00至23:59（北京时间，线上获取法定节假日均可，线下获取文件法定节假日除外）</w:t>
      </w:r>
    </w:p>
    <w:p w14:paraId="75198E76">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地点（网址）：浙江政府采购网（https://zfcg.czt.zj.gov.cn/） </w:t>
      </w:r>
    </w:p>
    <w:p w14:paraId="67CC29B2">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方式：供应商登录政采云平台https://www.zcygov.cn/在线申请获取采购文件（进入“项目采购”应用，在获取采购文件菜单中选择项目，申请获取采购文件）</w:t>
      </w:r>
    </w:p>
    <w:p w14:paraId="4BFBBB50">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售价（元）：0 </w:t>
      </w:r>
    </w:p>
    <w:p w14:paraId="14DDFF74">
      <w:pPr>
        <w:pStyle w:val="49"/>
        <w:spacing w:before="0" w:beforeAutospacing="0" w:after="0" w:afterAutospacing="0" w:line="460" w:lineRule="exact"/>
        <w:rPr>
          <w:b/>
          <w:bCs/>
          <w:color w:val="auto"/>
          <w:sz w:val="22"/>
          <w:szCs w:val="22"/>
          <w:highlight w:val="none"/>
        </w:rPr>
      </w:pPr>
      <w:r>
        <w:rPr>
          <w:rFonts w:hint="eastAsia"/>
          <w:b/>
          <w:bCs/>
          <w:color w:val="auto"/>
          <w:sz w:val="22"/>
          <w:szCs w:val="22"/>
          <w:highlight w:val="none"/>
        </w:rPr>
        <w:t>四、提交投标文件截止时间、开标时间和地点</w:t>
      </w:r>
    </w:p>
    <w:p w14:paraId="4B86B47C">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提交投标文件截止时间：</w:t>
      </w:r>
      <w:r>
        <w:rPr>
          <w:rFonts w:hint="eastAsia" w:ascii="宋体" w:hAnsi="宋体" w:cs="宋体"/>
          <w:color w:val="auto"/>
          <w:sz w:val="22"/>
          <w:highlight w:val="none"/>
          <w:lang w:val="en-US" w:eastAsia="zh-CN"/>
        </w:rPr>
        <w:t>2026年5月15日09点30分</w:t>
      </w:r>
      <w:r>
        <w:rPr>
          <w:rFonts w:hint="eastAsia"/>
          <w:color w:val="auto"/>
          <w:sz w:val="22"/>
          <w:szCs w:val="22"/>
          <w:highlight w:val="none"/>
        </w:rPr>
        <w:t>（北京时间）</w:t>
      </w:r>
    </w:p>
    <w:p w14:paraId="5DE43398">
      <w:pPr>
        <w:pStyle w:val="49"/>
        <w:wordWrap w:val="0"/>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投标地点（网址）：</w:t>
      </w:r>
      <w:r>
        <w:rPr>
          <w:rFonts w:hint="eastAsia"/>
          <w:color w:val="auto"/>
          <w:sz w:val="22"/>
          <w:highlight w:val="none"/>
        </w:rPr>
        <w:t>政采云平台：http://zfcg.czt.zj.gov.cn</w:t>
      </w:r>
    </w:p>
    <w:p w14:paraId="4659F3A1">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开标时间：</w:t>
      </w:r>
      <w:r>
        <w:rPr>
          <w:rFonts w:hint="eastAsia" w:ascii="宋体" w:hAnsi="宋体" w:cs="宋体"/>
          <w:color w:val="auto"/>
          <w:sz w:val="22"/>
          <w:highlight w:val="none"/>
          <w:lang w:val="en-US" w:eastAsia="zh-CN"/>
        </w:rPr>
        <w:t>2026年5月15日09点30分</w:t>
      </w:r>
    </w:p>
    <w:p w14:paraId="70FDA908">
      <w:pPr>
        <w:pStyle w:val="49"/>
        <w:wordWrap w:val="0"/>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开标地点（网址）：温州市政务服务管理中心温州市会展路1268号A座3楼</w:t>
      </w:r>
      <w:r>
        <w:rPr>
          <w:rFonts w:hint="eastAsia"/>
          <w:color w:val="auto"/>
          <w:sz w:val="22"/>
          <w:szCs w:val="22"/>
          <w:highlight w:val="none"/>
          <w:lang w:eastAsia="zh-CN"/>
        </w:rPr>
        <w:t>（</w:t>
      </w:r>
      <w:r>
        <w:rPr>
          <w:rFonts w:hint="eastAsia"/>
          <w:color w:val="auto"/>
          <w:sz w:val="22"/>
          <w:highlight w:val="none"/>
        </w:rPr>
        <w:t>政采云平台：http://zfcg.czt.zj.gov.cn</w:t>
      </w:r>
      <w:r>
        <w:rPr>
          <w:rFonts w:hint="eastAsia"/>
          <w:color w:val="auto"/>
          <w:sz w:val="22"/>
          <w:highlight w:val="none"/>
          <w:lang w:eastAsia="zh-CN"/>
        </w:rPr>
        <w:t>）</w:t>
      </w:r>
    </w:p>
    <w:p w14:paraId="5A39AD1D">
      <w:pPr>
        <w:pStyle w:val="49"/>
        <w:spacing w:before="0" w:beforeAutospacing="0" w:after="0" w:afterAutospacing="0" w:line="460" w:lineRule="exact"/>
        <w:rPr>
          <w:color w:val="auto"/>
          <w:sz w:val="22"/>
          <w:szCs w:val="22"/>
          <w:highlight w:val="none"/>
        </w:rPr>
      </w:pPr>
      <w:r>
        <w:rPr>
          <w:rFonts w:hint="eastAsia"/>
          <w:b/>
          <w:bCs/>
          <w:color w:val="auto"/>
          <w:sz w:val="22"/>
          <w:szCs w:val="22"/>
          <w:highlight w:val="none"/>
        </w:rPr>
        <w:t>五、公告期限</w:t>
      </w:r>
      <w:r>
        <w:rPr>
          <w:rFonts w:hint="eastAsia"/>
          <w:color w:val="auto"/>
          <w:sz w:val="22"/>
          <w:szCs w:val="22"/>
          <w:highlight w:val="none"/>
        </w:rPr>
        <w:t> </w:t>
      </w:r>
    </w:p>
    <w:p w14:paraId="191F7F61">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自本公告发布之日起5个工作日。</w:t>
      </w:r>
    </w:p>
    <w:p w14:paraId="69AF02F5">
      <w:pPr>
        <w:pStyle w:val="49"/>
        <w:spacing w:before="0" w:beforeAutospacing="0" w:after="0" w:afterAutospacing="0" w:line="460" w:lineRule="exact"/>
        <w:rPr>
          <w:b/>
          <w:bCs/>
          <w:color w:val="auto"/>
          <w:sz w:val="22"/>
          <w:szCs w:val="22"/>
          <w:highlight w:val="none"/>
        </w:rPr>
      </w:pPr>
      <w:r>
        <w:rPr>
          <w:rFonts w:hint="eastAsia"/>
          <w:b/>
          <w:bCs/>
          <w:color w:val="auto"/>
          <w:sz w:val="22"/>
          <w:szCs w:val="22"/>
          <w:highlight w:val="none"/>
        </w:rPr>
        <w:t>六、其他补充事宜</w:t>
      </w:r>
    </w:p>
    <w:p w14:paraId="635EE8E2">
      <w:pPr>
        <w:pStyle w:val="49"/>
        <w:spacing w:before="0" w:beforeAutospacing="0" w:after="0" w:afterAutospacing="0" w:line="460" w:lineRule="exact"/>
        <w:ind w:firstLine="440" w:firstLineChars="200"/>
        <w:rPr>
          <w:color w:val="auto"/>
          <w:sz w:val="22"/>
          <w:highlight w:val="none"/>
        </w:rPr>
      </w:pPr>
      <w:r>
        <w:rPr>
          <w:rFonts w:hint="eastAsia"/>
          <w:color w:val="auto"/>
          <w:sz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71C3871">
      <w:pPr>
        <w:pStyle w:val="49"/>
        <w:spacing w:before="0" w:beforeAutospacing="0" w:after="0" w:afterAutospacing="0" w:line="460" w:lineRule="exact"/>
        <w:ind w:firstLine="440" w:firstLineChars="200"/>
        <w:rPr>
          <w:color w:val="auto"/>
          <w:sz w:val="22"/>
          <w:highlight w:val="none"/>
        </w:rPr>
      </w:pPr>
      <w:r>
        <w:rPr>
          <w:rFonts w:hint="eastAsia"/>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75ABBC49">
      <w:pPr>
        <w:pStyle w:val="49"/>
        <w:spacing w:before="0" w:beforeAutospacing="0" w:after="0" w:afterAutospacing="0" w:line="460" w:lineRule="exact"/>
        <w:ind w:firstLine="440" w:firstLineChars="200"/>
        <w:rPr>
          <w:color w:val="auto"/>
          <w:sz w:val="22"/>
          <w:highlight w:val="none"/>
        </w:rPr>
      </w:pPr>
      <w:r>
        <w:rPr>
          <w:rFonts w:hint="eastAsia"/>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2E4D677">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highlight w:val="none"/>
        </w:rPr>
        <w:t>4.其他事项：（一）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二）招标公告附件的采购文件仅供阅览使用，未按照本公告规定的方式获取采购文件的潜在供应商提起的质疑采购组织机构将不予受理、答复。</w:t>
      </w:r>
    </w:p>
    <w:p w14:paraId="73CCD712">
      <w:pPr>
        <w:tabs>
          <w:tab w:val="left" w:pos="360"/>
        </w:tabs>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七、对本次招标提出询问，请按以下方式联系</w:t>
      </w:r>
    </w:p>
    <w:p w14:paraId="132AFEDD">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1.采购人信息</w:t>
      </w:r>
    </w:p>
    <w:p w14:paraId="746995E7">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称：温州市人民医院</w:t>
      </w:r>
    </w:p>
    <w:p w14:paraId="26474D4A">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址：温州市瓯海区古岸路299号</w:t>
      </w:r>
    </w:p>
    <w:p w14:paraId="674B123D">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传  真：/</w:t>
      </w:r>
    </w:p>
    <w:p w14:paraId="410B06BC">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项目联系人（询问）：</w:t>
      </w:r>
      <w:r>
        <w:rPr>
          <w:rFonts w:hint="default" w:ascii="Times New Roman" w:hAnsi="Times New Roman" w:eastAsia="新宋体" w:cs="Times New Roman"/>
          <w:i w:val="0"/>
          <w:iCs w:val="0"/>
          <w:caps w:val="0"/>
          <w:color w:val="auto"/>
          <w:spacing w:val="0"/>
          <w:sz w:val="22"/>
          <w:szCs w:val="22"/>
          <w:highlight w:val="none"/>
          <w:shd w:val="clear" w:fill="FFFFFF"/>
          <w:lang w:val="en-US" w:eastAsia="zh-CN"/>
        </w:rPr>
        <w:t>王女士</w:t>
      </w:r>
    </w:p>
    <w:p w14:paraId="7BC33C94">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项目联系方式（询问）：0577-88059823</w:t>
      </w:r>
    </w:p>
    <w:p w14:paraId="5F7F69EF">
      <w:pPr>
        <w:pStyle w:val="25"/>
        <w:bidi w:val="0"/>
        <w:rPr>
          <w:color w:val="auto"/>
          <w:highlight w:val="none"/>
        </w:rPr>
      </w:pPr>
      <w:r>
        <w:rPr>
          <w:rFonts w:hint="eastAsia"/>
          <w:color w:val="auto"/>
          <w:highlight w:val="none"/>
        </w:rPr>
        <w:t>质疑联系人：</w:t>
      </w:r>
      <w:r>
        <w:rPr>
          <w:rFonts w:hint="eastAsia"/>
          <w:color w:val="auto"/>
          <w:highlight w:val="none"/>
          <w:lang w:val="en-US" w:eastAsia="zh-CN"/>
        </w:rPr>
        <w:t>张先生</w:t>
      </w:r>
    </w:p>
    <w:p w14:paraId="68324229">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质疑联系方式：0577-88306694</w:t>
      </w:r>
    </w:p>
    <w:p w14:paraId="0FFD8444">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2.采购代理机构信息</w:t>
      </w:r>
    </w:p>
    <w:p w14:paraId="0D83FCA8">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称：温州历程招标有限公司 </w:t>
      </w:r>
    </w:p>
    <w:p w14:paraId="7AAFE880">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址：温州市鹿城区勤民路鹿城壹号18幢803室</w:t>
      </w:r>
    </w:p>
    <w:p w14:paraId="43CE8394">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xml:space="preserve">传  真：0577-89887255   </w:t>
      </w:r>
    </w:p>
    <w:p w14:paraId="4F73B41F">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项目联系人（询问）： 张斌、郑永强</w:t>
      </w:r>
    </w:p>
    <w:p w14:paraId="0723B553">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项目联系方式（询问）：0577-89887322、13757727199</w:t>
      </w:r>
    </w:p>
    <w:p w14:paraId="3BDFD430">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质疑联系人：肖忠文</w:t>
      </w:r>
    </w:p>
    <w:p w14:paraId="4CFFA068">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质疑联系方式：13757727199</w:t>
      </w:r>
    </w:p>
    <w:p w14:paraId="0254B086">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3.同级政府采购监督管理部门</w:t>
      </w:r>
    </w:p>
    <w:p w14:paraId="17FC96C6">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称：温州市财政局（浙江省政府采购行政裁决服务中心（温州））</w:t>
      </w:r>
    </w:p>
    <w:p w14:paraId="7FCDD1E5">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址：温州市鹿城区滨江街道瓯江路展银大厦1606室</w:t>
      </w:r>
    </w:p>
    <w:p w14:paraId="3213EE67">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传    真：/</w:t>
      </w:r>
    </w:p>
    <w:p w14:paraId="3C8A7EAB">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联 系 人：李老师、王老师</w:t>
      </w:r>
    </w:p>
    <w:p w14:paraId="7C6F31DA">
      <w:pPr>
        <w:pStyle w:val="49"/>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监督投诉电话：0577-88501561、0577-85501562</w:t>
      </w:r>
    </w:p>
    <w:p w14:paraId="71DFBA39">
      <w:pPr>
        <w:pStyle w:val="5"/>
        <w:rPr>
          <w:rFonts w:ascii="宋体" w:hAnsi="宋体" w:eastAsia="宋体" w:cs="宋体"/>
          <w:color w:val="auto"/>
          <w:highlight w:val="none"/>
        </w:rPr>
      </w:pPr>
      <w:bookmarkStart w:id="2" w:name="_Toc10401"/>
      <w:bookmarkStart w:id="3" w:name="_Toc5772"/>
      <w:r>
        <w:rPr>
          <w:rFonts w:hint="eastAsia" w:ascii="宋体" w:hAnsi="宋体" w:eastAsia="宋体" w:cs="宋体"/>
          <w:color w:val="auto"/>
          <w:highlight w:val="none"/>
        </w:rPr>
        <w:t>第一部分    投标人须知</w:t>
      </w:r>
      <w:bookmarkEnd w:id="2"/>
      <w:bookmarkEnd w:id="3"/>
    </w:p>
    <w:p w14:paraId="07A17EE1">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4" w:name="_Toc233618971"/>
      <w:bookmarkStart w:id="5" w:name="_Toc33194387"/>
      <w:bookmarkStart w:id="6" w:name="_Toc6224"/>
      <w:bookmarkStart w:id="7" w:name="_Toc354996695"/>
      <w:bookmarkStart w:id="8" w:name="_Toc1839"/>
      <w:r>
        <w:rPr>
          <w:rFonts w:hint="eastAsia" w:ascii="宋体" w:hAnsi="宋体" w:cs="宋体"/>
          <w:b/>
          <w:bCs/>
          <w:color w:val="auto"/>
          <w:sz w:val="24"/>
          <w:highlight w:val="none"/>
        </w:rPr>
        <w:t>前 附 表</w:t>
      </w:r>
      <w:bookmarkEnd w:id="4"/>
      <w:bookmarkEnd w:id="5"/>
      <w:bookmarkEnd w:id="6"/>
      <w:bookmarkEnd w:id="7"/>
      <w:bookmarkEnd w:id="8"/>
    </w:p>
    <w:tbl>
      <w:tblPr>
        <w:tblStyle w:val="53"/>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2F85E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42881C2A">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DB0B335">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5DC08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FBE09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63AD5F3E">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诊后疾病精细化管理服务项目(重)</w:t>
            </w:r>
          </w:p>
          <w:p w14:paraId="54F4F481">
            <w:pPr>
              <w:spacing w:line="460" w:lineRule="exact"/>
              <w:rPr>
                <w:rFonts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3"/>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3157"/>
              <w:gridCol w:w="785"/>
              <w:gridCol w:w="1498"/>
              <w:gridCol w:w="2873"/>
            </w:tblGrid>
            <w:tr w14:paraId="30599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3384C90">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3157" w:type="dxa"/>
                  <w:tcBorders>
                    <w:top w:val="single" w:color="auto" w:sz="4" w:space="0"/>
                    <w:left w:val="single" w:color="auto" w:sz="4" w:space="0"/>
                    <w:bottom w:val="single" w:color="auto" w:sz="4" w:space="0"/>
                    <w:right w:val="single" w:color="auto" w:sz="4" w:space="0"/>
                  </w:tcBorders>
                  <w:vAlign w:val="center"/>
                </w:tcPr>
                <w:p w14:paraId="0509546B">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85" w:type="dxa"/>
                  <w:tcBorders>
                    <w:top w:val="single" w:color="auto" w:sz="4" w:space="0"/>
                    <w:left w:val="single" w:color="auto" w:sz="4" w:space="0"/>
                    <w:bottom w:val="single" w:color="auto" w:sz="4" w:space="0"/>
                    <w:right w:val="single" w:color="auto" w:sz="4" w:space="0"/>
                  </w:tcBorders>
                  <w:vAlign w:val="center"/>
                </w:tcPr>
                <w:p w14:paraId="7D412B64">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单位</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45BEE24">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预算金额（元）</w:t>
                  </w:r>
                </w:p>
              </w:tc>
              <w:tc>
                <w:tcPr>
                  <w:tcW w:w="2873" w:type="dxa"/>
                  <w:tcBorders>
                    <w:top w:val="single" w:color="auto" w:sz="4" w:space="0"/>
                    <w:left w:val="single" w:color="auto" w:sz="4" w:space="0"/>
                    <w:bottom w:val="single" w:color="auto" w:sz="4" w:space="0"/>
                    <w:right w:val="single" w:color="auto" w:sz="4" w:space="0"/>
                  </w:tcBorders>
                  <w:vAlign w:val="center"/>
                </w:tcPr>
                <w:p w14:paraId="06107A48">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6CDF0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734D180F">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157" w:type="dxa"/>
                  <w:tcBorders>
                    <w:top w:val="single" w:color="auto" w:sz="4" w:space="0"/>
                    <w:left w:val="single" w:color="auto" w:sz="4" w:space="0"/>
                    <w:right w:val="single" w:color="auto" w:sz="4" w:space="0"/>
                  </w:tcBorders>
                  <w:vAlign w:val="center"/>
                </w:tcPr>
                <w:p w14:paraId="328E7D83">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诊后疾病精细化管理服务项目(重)</w:t>
                  </w:r>
                </w:p>
              </w:tc>
              <w:tc>
                <w:tcPr>
                  <w:tcW w:w="785" w:type="dxa"/>
                  <w:tcBorders>
                    <w:top w:val="single" w:color="auto" w:sz="4" w:space="0"/>
                    <w:left w:val="single" w:color="auto" w:sz="4" w:space="0"/>
                    <w:bottom w:val="single" w:color="auto" w:sz="4" w:space="0"/>
                    <w:right w:val="single" w:color="auto" w:sz="4" w:space="0"/>
                  </w:tcBorders>
                  <w:vAlign w:val="center"/>
                </w:tcPr>
                <w:p w14:paraId="71F0D70F">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1项</w:t>
                  </w:r>
                </w:p>
              </w:tc>
              <w:tc>
                <w:tcPr>
                  <w:tcW w:w="1498" w:type="dxa"/>
                  <w:tcBorders>
                    <w:top w:val="single" w:color="auto" w:sz="4" w:space="0"/>
                    <w:left w:val="single" w:color="auto" w:sz="4" w:space="0"/>
                    <w:right w:val="single" w:color="auto" w:sz="4" w:space="0"/>
                  </w:tcBorders>
                  <w:shd w:val="clear" w:color="auto" w:fill="auto"/>
                  <w:vAlign w:val="center"/>
                </w:tcPr>
                <w:p w14:paraId="03897785">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lang w:eastAsia="zh-CN"/>
                    </w:rPr>
                    <w:t>5600000</w:t>
                  </w:r>
                </w:p>
              </w:tc>
              <w:tc>
                <w:tcPr>
                  <w:tcW w:w="2873" w:type="dxa"/>
                  <w:tcBorders>
                    <w:top w:val="single" w:color="auto" w:sz="4" w:space="0"/>
                    <w:left w:val="single" w:color="auto" w:sz="4" w:space="0"/>
                    <w:right w:val="single" w:color="auto" w:sz="4" w:space="0"/>
                  </w:tcBorders>
                  <w:vAlign w:val="center"/>
                </w:tcPr>
                <w:p w14:paraId="3E7C2C50">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bl>
          <w:p w14:paraId="79916E0B">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rPr>
              <w:t>★如投标人报价超过预算金额</w:t>
            </w:r>
            <w:r>
              <w:rPr>
                <w:rFonts w:hint="eastAsia" w:ascii="宋体" w:hAnsi="宋体" w:cs="宋体"/>
                <w:b/>
                <w:color w:val="auto"/>
                <w:sz w:val="22"/>
                <w:szCs w:val="22"/>
                <w:highlight w:val="none"/>
                <w:lang w:val="en-US" w:eastAsia="zh-CN"/>
              </w:rPr>
              <w:t>或最高限价</w:t>
            </w:r>
            <w:r>
              <w:rPr>
                <w:rFonts w:hint="eastAsia" w:ascii="宋体" w:hAnsi="宋体" w:cs="宋体"/>
                <w:b/>
                <w:color w:val="auto"/>
                <w:sz w:val="22"/>
                <w:szCs w:val="22"/>
                <w:highlight w:val="none"/>
              </w:rPr>
              <w:t>按无效标处理。</w:t>
            </w:r>
          </w:p>
        </w:tc>
      </w:tr>
      <w:tr w14:paraId="2FF04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DE0ED2A">
            <w:pPr>
              <w:snapToGrid w:val="0"/>
              <w:spacing w:line="4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tcPr>
          <w:p w14:paraId="17E6FB34">
            <w:pPr>
              <w:spacing w:line="400" w:lineRule="exact"/>
              <w:rPr>
                <w:rFonts w:ascii="宋体" w:hAnsi="宋体" w:cs="宋体"/>
                <w:b/>
                <w:color w:val="auto"/>
                <w:sz w:val="22"/>
                <w:szCs w:val="22"/>
                <w:highlight w:val="none"/>
              </w:rPr>
            </w:pPr>
            <w:r>
              <w:rPr>
                <w:rFonts w:hint="eastAsia" w:ascii="新宋体" w:hAnsi="新宋体" w:eastAsia="新宋体" w:cs="宋体"/>
                <w:b/>
                <w:color w:val="auto"/>
                <w:kern w:val="0"/>
                <w:sz w:val="22"/>
                <w:szCs w:val="22"/>
                <w:highlight w:val="none"/>
              </w:rPr>
              <w:t>本项目（否）接受联合体投标。</w:t>
            </w:r>
          </w:p>
        </w:tc>
      </w:tr>
      <w:tr w14:paraId="688C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DEAD46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35D42FBA">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5DD6A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A5645B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3CA47020">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投标保证金数额：无</w:t>
            </w:r>
            <w:r>
              <w:rPr>
                <w:rFonts w:hint="eastAsia" w:ascii="宋体" w:hAnsi="宋体" w:cs="宋体"/>
                <w:color w:val="auto"/>
                <w:sz w:val="22"/>
                <w:szCs w:val="22"/>
                <w:highlight w:val="none"/>
              </w:rPr>
              <w:t>。</w:t>
            </w:r>
          </w:p>
        </w:tc>
      </w:tr>
      <w:tr w14:paraId="2B2C3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C12F9FC">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1F467536">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招标服务费：根据国家计委计价格【2002】1980号《招标代理服务收费管理暂行办法》规定标准</w:t>
            </w:r>
            <w:r>
              <w:rPr>
                <w:rFonts w:hint="eastAsia" w:ascii="宋体" w:hAnsi="宋体" w:cs="宋体"/>
                <w:b/>
                <w:bCs/>
                <w:color w:val="auto"/>
                <w:sz w:val="22"/>
                <w:szCs w:val="22"/>
                <w:highlight w:val="none"/>
                <w:lang w:val="en-US" w:eastAsia="zh-CN"/>
              </w:rPr>
              <w:t>按预算金额计算</w:t>
            </w:r>
            <w:r>
              <w:rPr>
                <w:rFonts w:hint="eastAsia" w:ascii="宋体" w:hAnsi="宋体" w:cs="宋体"/>
                <w:b/>
                <w:bCs/>
                <w:color w:val="auto"/>
                <w:sz w:val="22"/>
                <w:szCs w:val="22"/>
                <w:highlight w:val="none"/>
              </w:rPr>
              <w:t>后下浮18%收取,由中标人在领取中标通知书时支付。</w:t>
            </w:r>
          </w:p>
          <w:p w14:paraId="5C748D5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户   名：温州历程招标有限公司</w:t>
            </w:r>
          </w:p>
          <w:p w14:paraId="6724E40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账   号：33050162870409101001</w:t>
            </w:r>
          </w:p>
          <w:p w14:paraId="7BD27AC0">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开户银行：中国建设银行股份有限公司温州新城支行</w:t>
            </w:r>
          </w:p>
        </w:tc>
      </w:tr>
      <w:tr w14:paraId="757F2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D53A440">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16EA250A">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投标文件的组成：</w:t>
            </w:r>
            <w:r>
              <w:rPr>
                <w:rFonts w:hint="eastAsia" w:ascii="宋体" w:hAnsi="宋体" w:cs="宋体"/>
                <w:color w:val="auto"/>
                <w:sz w:val="22"/>
                <w:szCs w:val="22"/>
                <w:highlight w:val="none"/>
              </w:rPr>
              <w:t>完整的《投标文件》由“资格文件”、“报价文件”和“商务技术文件”三个部分组成。</w:t>
            </w:r>
          </w:p>
        </w:tc>
      </w:tr>
      <w:tr w14:paraId="4021A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FB4694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3C37BF1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投标文件的编制：</w:t>
            </w:r>
            <w:r>
              <w:rPr>
                <w:rFonts w:hint="eastAsia" w:ascii="宋体" w:hAnsi="宋体" w:cs="宋体"/>
                <w:color w:val="auto"/>
                <w:sz w:val="22"/>
                <w:szCs w:val="22"/>
                <w:highlight w:val="none"/>
              </w:rPr>
              <w:t>供应商应先安装“政采云电子交易客户端”，并按照本招标文件和“政府采购云平台”的要求，通过“政采云电子交易客户端”编制并加密投标文件。</w:t>
            </w:r>
          </w:p>
        </w:tc>
      </w:tr>
      <w:tr w14:paraId="7DBBD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C355C4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17F3BF1D">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投标文件的签章：</w:t>
            </w:r>
            <w:r>
              <w:rPr>
                <w:rFonts w:hint="eastAsia" w:ascii="宋体" w:hAnsi="宋体" w:cs="宋体"/>
                <w:color w:val="auto"/>
                <w:sz w:val="22"/>
                <w:szCs w:val="22"/>
                <w:highlight w:val="none"/>
              </w:rPr>
              <w:t>电子签章。</w:t>
            </w:r>
          </w:p>
        </w:tc>
      </w:tr>
      <w:tr w14:paraId="13703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07256A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1791DA21">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投标文件的形式：</w:t>
            </w:r>
            <w:r>
              <w:rPr>
                <w:rFonts w:hint="eastAsia" w:ascii="宋体" w:hAnsi="宋体" w:cs="宋体"/>
                <w:color w:val="auto"/>
                <w:sz w:val="22"/>
                <w:szCs w:val="22"/>
                <w:highlight w:val="none"/>
              </w:rPr>
              <w:t>☑电子投标文件（包括“电子加密投标文件”和“备份投标文件”，在投标文件编制完成后同时生成）；</w:t>
            </w:r>
          </w:p>
          <w:p w14:paraId="4CF3D17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（1）“电子加密投标文件”是指通过“政采云电子交易客户端”完成投标文件编制后生成并加密的数据电文形式的投标文件。</w:t>
            </w:r>
          </w:p>
          <w:p w14:paraId="2E071EA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22910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2715674">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3CFEF01F">
            <w:pPr>
              <w:spacing w:line="460" w:lineRule="exact"/>
              <w:rPr>
                <w:color w:val="auto"/>
                <w:sz w:val="22"/>
                <w:szCs w:val="28"/>
                <w:highlight w:val="none"/>
              </w:rPr>
            </w:pPr>
            <w:r>
              <w:rPr>
                <w:rFonts w:hint="eastAsia"/>
                <w:color w:val="auto"/>
                <w:sz w:val="22"/>
                <w:szCs w:val="28"/>
                <w:highlight w:val="none"/>
              </w:rPr>
              <w:t>投标文件份数：</w:t>
            </w:r>
          </w:p>
          <w:p w14:paraId="0DD46FA8">
            <w:pPr>
              <w:numPr>
                <w:ilvl w:val="0"/>
                <w:numId w:val="1"/>
              </w:numPr>
              <w:spacing w:line="460" w:lineRule="exact"/>
              <w:rPr>
                <w:color w:val="auto"/>
                <w:sz w:val="22"/>
                <w:szCs w:val="28"/>
                <w:highlight w:val="none"/>
              </w:rPr>
            </w:pPr>
            <w:r>
              <w:rPr>
                <w:rFonts w:hint="eastAsia"/>
                <w:color w:val="auto"/>
                <w:sz w:val="22"/>
                <w:szCs w:val="28"/>
                <w:highlight w:val="none"/>
              </w:rPr>
              <w:t>“电子加密投标文件”：在线上传递交、一份。</w:t>
            </w:r>
          </w:p>
          <w:p w14:paraId="2E28C079">
            <w:pPr>
              <w:numPr>
                <w:ilvl w:val="0"/>
                <w:numId w:val="1"/>
              </w:numPr>
              <w:spacing w:line="460" w:lineRule="exact"/>
              <w:rPr>
                <w:color w:val="auto"/>
                <w:sz w:val="22"/>
                <w:szCs w:val="28"/>
                <w:highlight w:val="none"/>
              </w:rPr>
            </w:pPr>
            <w:r>
              <w:rPr>
                <w:rFonts w:hint="eastAsia"/>
                <w:color w:val="auto"/>
                <w:sz w:val="22"/>
                <w:szCs w:val="28"/>
                <w:highlight w:val="none"/>
              </w:rPr>
              <w:t>“备份投标文件”：密封包装后投标截止时间前递交、一份</w:t>
            </w:r>
          </w:p>
          <w:p w14:paraId="72B64CBF">
            <w:pPr>
              <w:spacing w:line="460" w:lineRule="exact"/>
              <w:rPr>
                <w:color w:val="auto"/>
                <w:sz w:val="22"/>
                <w:szCs w:val="28"/>
                <w:highlight w:val="none"/>
              </w:rPr>
            </w:pPr>
            <w:r>
              <w:rPr>
                <w:rFonts w:hint="eastAsia"/>
                <w:color w:val="auto"/>
                <w:sz w:val="22"/>
                <w:szCs w:val="28"/>
                <w:highlight w:val="none"/>
              </w:rPr>
              <w:t>（若不提供备份投标文件，开标当天电子加密投标文件解密失败，投标人自行负责。）</w:t>
            </w:r>
          </w:p>
          <w:p w14:paraId="2B51CED7">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08FF4EEB">
            <w:pPr>
              <w:spacing w:line="460" w:lineRule="exact"/>
              <w:rPr>
                <w:color w:val="auto"/>
                <w:sz w:val="22"/>
                <w:szCs w:val="28"/>
                <w:highlight w:val="none"/>
              </w:rPr>
            </w:pPr>
            <w:r>
              <w:rPr>
                <w:rFonts w:hint="eastAsia"/>
                <w:color w:val="auto"/>
                <w:sz w:val="22"/>
                <w:szCs w:val="28"/>
                <w:highlight w:val="none"/>
              </w:rPr>
              <w:t>邮寄地址：温州市鹿城区勤民路鹿城壹号18幢803室</w:t>
            </w:r>
          </w:p>
          <w:p w14:paraId="0A011DFB">
            <w:pPr>
              <w:spacing w:line="460" w:lineRule="exact"/>
              <w:rPr>
                <w:color w:val="auto"/>
                <w:highlight w:val="none"/>
              </w:rPr>
            </w:pPr>
            <w:r>
              <w:rPr>
                <w:rFonts w:hint="eastAsia"/>
                <w:color w:val="auto"/>
                <w:sz w:val="22"/>
                <w:szCs w:val="28"/>
                <w:highlight w:val="none"/>
              </w:rPr>
              <w:t>联系人：肖忠文    联系电话：13757727199</w:t>
            </w:r>
          </w:p>
        </w:tc>
      </w:tr>
      <w:tr w14:paraId="27ED1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B98CDDF">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7812DBAD">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投标文件的上传和递交：</w:t>
            </w:r>
          </w:p>
          <w:p w14:paraId="11CF6DE9">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01A30FA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a.投标人应在投标截止时间前将“电子加密投标文件   ”成功上传递交至“政府采购云平台”，否则投标无效。</w:t>
            </w:r>
          </w:p>
          <w:p w14:paraId="703C09F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79B813BE">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01D509BD">
            <w:pPr>
              <w:tabs>
                <w:tab w:val="left" w:pos="360"/>
              </w:tabs>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a.投标人在“政府采购云平台”完成“电子加密投标文件”的上传递交后，</w:t>
            </w:r>
            <w:r>
              <w:rPr>
                <w:rFonts w:hint="eastAsia" w:ascii="宋体" w:hAnsi="宋体" w:cs="宋体"/>
                <w:b/>
                <w:bCs/>
                <w:color w:val="auto"/>
                <w:sz w:val="22"/>
                <w:szCs w:val="22"/>
                <w:highlight w:val="none"/>
              </w:rPr>
              <w:t>还可以在投标截止时间前递交以介质（U盘）存储的数据电文形式的“备份投标文件”，（可以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0A0CC01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2CCEDA5C">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1AC42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2F24E7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40ABAE1F">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电子加密投标文件的解密和异常情况处理：</w:t>
            </w:r>
          </w:p>
          <w:p w14:paraId="7877BE2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517C983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00F31AC">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（3）投标截止时间前，投标人仅递交了“备份投标文件”而未将电子加密投标文件上传至“政府采购云平台”的，投标无效。</w:t>
            </w:r>
          </w:p>
        </w:tc>
      </w:tr>
      <w:tr w14:paraId="728B2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BFA0F8B">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75BDEB76">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提交投标文件截止时间：详见招标公告 </w:t>
            </w:r>
          </w:p>
          <w:p w14:paraId="71A0D6E1">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投标地点（网址）：详见招标公告 </w:t>
            </w:r>
          </w:p>
        </w:tc>
      </w:tr>
      <w:tr w14:paraId="63DF0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539DCFF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1F38A5B9">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4D82DEB2">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开标地点（网址）：详见招标公告</w:t>
            </w:r>
          </w:p>
        </w:tc>
      </w:tr>
      <w:tr w14:paraId="17239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0F959D1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10F0D9F8">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02BE7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3D0CD1B0">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363AFB9C">
            <w:pPr>
              <w:widowControl/>
              <w:snapToGrid w:val="0"/>
              <w:spacing w:line="460" w:lineRule="exact"/>
              <w:jc w:val="left"/>
              <w:rPr>
                <w:rFonts w:ascii="宋体" w:hAnsi="宋体" w:cs="宋体"/>
                <w:b/>
                <w:bCs/>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71223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32427F3">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1BA32610">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潜在供应商需在浙江政府采购网http://zfcg.czt.zj.gov.cn/进行免费注册，具体详见浙江政府采购网供应商注册要求。</w:t>
            </w:r>
          </w:p>
        </w:tc>
      </w:tr>
      <w:tr w14:paraId="6BA58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79A9484">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18</w:t>
            </w:r>
          </w:p>
        </w:tc>
        <w:tc>
          <w:tcPr>
            <w:tcW w:w="9590" w:type="dxa"/>
            <w:tcBorders>
              <w:top w:val="single" w:color="000000" w:sz="2" w:space="0"/>
              <w:left w:val="single" w:color="000000" w:sz="2" w:space="0"/>
              <w:bottom w:val="single" w:color="000000" w:sz="2" w:space="0"/>
              <w:right w:val="single" w:color="000000" w:sz="8" w:space="0"/>
            </w:tcBorders>
            <w:vAlign w:val="center"/>
          </w:tcPr>
          <w:p w14:paraId="76E71147">
            <w:pPr>
              <w:adjustRightInd w:val="0"/>
              <w:snapToGrid w:val="0"/>
              <w:spacing w:line="460" w:lineRule="exact"/>
              <w:ind w:firstLine="442" w:firstLineChars="200"/>
              <w:rPr>
                <w:rFonts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1、扶持中小企业（监狱企业、残疾人福利性单位）：</w:t>
            </w:r>
          </w:p>
          <w:p w14:paraId="2FD61293">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8434F3E">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（1）项目预算：</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560</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万元</w:t>
            </w:r>
          </w:p>
          <w:p w14:paraId="061BBD6D">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（2）项目属性：</w:t>
            </w:r>
            <w:r>
              <w:rPr>
                <w:rFonts w:hint="eastAsia" w:ascii="新宋体" w:hAnsi="新宋体" w:eastAsia="新宋体" w:cs="新宋体"/>
                <w:color w:val="auto"/>
                <w:sz w:val="22"/>
                <w:szCs w:val="28"/>
                <w:highlight w:val="none"/>
                <w:u w:val="single"/>
              </w:rPr>
              <w:t>②服务类</w:t>
            </w:r>
            <w:r>
              <w:rPr>
                <w:rFonts w:hint="eastAsia" w:ascii="新宋体" w:hAnsi="新宋体" w:eastAsia="新宋体" w:cs="新宋体"/>
                <w:color w:val="auto"/>
                <w:sz w:val="22"/>
                <w:szCs w:val="28"/>
                <w:highlight w:val="none"/>
              </w:rPr>
              <w:t xml:space="preserve"> （①货物类/②服务类/③工程类）</w:t>
            </w:r>
          </w:p>
          <w:p w14:paraId="0C6E472F">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（3）项目对应的中小企业划分标准所属行业：</w:t>
            </w:r>
            <w:r>
              <w:rPr>
                <w:rFonts w:hint="eastAsia" w:ascii="新宋体" w:hAnsi="新宋体" w:eastAsia="新宋体" w:cs="新宋体"/>
                <w:color w:val="auto"/>
                <w:sz w:val="22"/>
                <w:szCs w:val="28"/>
                <w:highlight w:val="none"/>
                <w:u w:val="single"/>
              </w:rPr>
              <w:t xml:space="preserve"> 其他未列明行业类 </w:t>
            </w:r>
            <w:r>
              <w:rPr>
                <w:rFonts w:hint="eastAsia" w:ascii="新宋体" w:hAnsi="新宋体" w:eastAsia="新宋体" w:cs="新宋体"/>
                <w:color w:val="auto"/>
                <w:sz w:val="22"/>
                <w:szCs w:val="28"/>
                <w:highlight w:val="none"/>
              </w:rPr>
              <w:t>（具体根据《中小企业划型标准规定》执行）</w:t>
            </w:r>
          </w:p>
          <w:p w14:paraId="7443D5B2">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7746E3BB">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（4）本项目</w:t>
            </w:r>
            <w:r>
              <w:rPr>
                <w:rFonts w:hint="eastAsia" w:ascii="新宋体" w:hAnsi="新宋体" w:eastAsia="新宋体" w:cs="新宋体"/>
                <w:color w:val="auto"/>
                <w:sz w:val="22"/>
                <w:szCs w:val="28"/>
                <w:highlight w:val="none"/>
                <w:u w:val="single"/>
              </w:rPr>
              <w:t xml:space="preserve"> （否） </w:t>
            </w:r>
            <w:r>
              <w:rPr>
                <w:rFonts w:hint="eastAsia" w:ascii="新宋体" w:hAnsi="新宋体" w:eastAsia="新宋体" w:cs="新宋体"/>
                <w:color w:val="auto"/>
                <w:sz w:val="22"/>
                <w:szCs w:val="28"/>
                <w:highlight w:val="none"/>
              </w:rPr>
              <w:t>属于预留份额专门面向中小企业采购的项目。</w:t>
            </w:r>
          </w:p>
          <w:p w14:paraId="6E2B4A9C">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（5）上述第4项中确定为“是”的采购项目，预留份额通过（①②③）措施进行：</w:t>
            </w:r>
          </w:p>
          <w:p w14:paraId="345BDF47">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①将采购项目整体或者设置采购包专门面向中小企业采购； </w:t>
            </w:r>
          </w:p>
          <w:p w14:paraId="3BABDE01">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②要求供应商以联合体形式参加采购活动，且联合体中中小企业承担的部分达到</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 (比例)； </w:t>
            </w:r>
          </w:p>
          <w:p w14:paraId="27920AB6">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③要求获得采购合同的供应商将采购项目中的 </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(比例)分包给一家或者多家中小企业。</w:t>
            </w:r>
          </w:p>
          <w:p w14:paraId="69F44061">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sz w:val="22"/>
                <w:szCs w:val="28"/>
                <w:highlight w:val="none"/>
                <w:u w:val="single"/>
              </w:rPr>
              <w:t xml:space="preserve">  10% </w:t>
            </w:r>
            <w:r>
              <w:rPr>
                <w:rFonts w:hint="eastAsia" w:ascii="新宋体" w:hAnsi="新宋体" w:eastAsia="新宋体" w:cs="新宋体"/>
                <w:color w:val="auto"/>
                <w:sz w:val="22"/>
                <w:szCs w:val="28"/>
                <w:highlight w:val="none"/>
              </w:rPr>
              <w:t xml:space="preserve">（工程项目为5%）的扣除，用扣除后的价格参加评审。 </w:t>
            </w:r>
          </w:p>
          <w:p w14:paraId="30490787">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auto"/>
                <w:sz w:val="22"/>
                <w:szCs w:val="28"/>
                <w:highlight w:val="none"/>
                <w:u w:val="single"/>
              </w:rPr>
              <w:t xml:space="preserve"> / </w:t>
            </w:r>
            <w:r>
              <w:rPr>
                <w:rFonts w:hint="eastAsia" w:ascii="新宋体" w:hAnsi="新宋体" w:eastAsia="新宋体" w:cs="新宋体"/>
                <w:color w:val="auto"/>
                <w:sz w:val="22"/>
                <w:szCs w:val="28"/>
                <w:highlight w:val="none"/>
              </w:rPr>
              <w:t>（工程项目为 2%）的扣除，用扣除后的价格参加评审。</w:t>
            </w:r>
          </w:p>
          <w:p w14:paraId="71EC3645">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专门面向中小企业采购的项目或者标项，不再执行价格评审优惠的扶持政策。</w:t>
            </w:r>
          </w:p>
          <w:p w14:paraId="513152E7">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2、节能产品、环境标志产品的强制采购政策</w:t>
            </w:r>
          </w:p>
          <w:p w14:paraId="1A4A9E4A">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FCBF47B">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3、节能产品、环境标志产品的优先采购政策</w:t>
            </w:r>
          </w:p>
          <w:p w14:paraId="6D077F7C">
            <w:pPr>
              <w:widowControl/>
              <w:snapToGrid w:val="0"/>
              <w:spacing w:line="460" w:lineRule="exact"/>
              <w:ind w:firstLine="440" w:firstLineChars="200"/>
              <w:jc w:val="lef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5DF56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0DFCEA5">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19</w:t>
            </w:r>
          </w:p>
        </w:tc>
        <w:tc>
          <w:tcPr>
            <w:tcW w:w="9590" w:type="dxa"/>
            <w:tcBorders>
              <w:top w:val="single" w:color="000000" w:sz="2" w:space="0"/>
              <w:left w:val="single" w:color="000000" w:sz="2" w:space="0"/>
              <w:bottom w:val="single" w:color="000000" w:sz="2" w:space="0"/>
              <w:right w:val="single" w:color="000000" w:sz="8" w:space="0"/>
            </w:tcBorders>
            <w:vAlign w:val="center"/>
          </w:tcPr>
          <w:p w14:paraId="6B398591">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460C1B36">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1）招标人或采购代理机构将对本项目供应商的信用记录进行查询。查询渠道为信用中国网站（www.creditchina.gov.cn）、中国政府采购网（www.ccgp.gov.cn）；</w:t>
            </w:r>
          </w:p>
          <w:p w14:paraId="114B1754">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3D26897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62A2FD74">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76D353EA">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3E4FC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62966C95">
            <w:pPr>
              <w:snapToGrid w:val="0"/>
              <w:spacing w:line="460" w:lineRule="exact"/>
              <w:ind w:left="105" w:leftChars="50"/>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注：招标文件其他组成部分涉及与前附表相同内容，如有不明确或不一致，以前附表规定为准。</w:t>
            </w:r>
          </w:p>
        </w:tc>
      </w:tr>
    </w:tbl>
    <w:p w14:paraId="4AE7ED43">
      <w:pPr>
        <w:spacing w:before="100" w:beforeAutospacing="1" w:after="100" w:afterAutospacing="1" w:line="460" w:lineRule="exact"/>
        <w:jc w:val="center"/>
        <w:outlineLvl w:val="1"/>
        <w:rPr>
          <w:rFonts w:ascii="宋体" w:hAnsi="宋体" w:cs="宋体"/>
          <w:b/>
          <w:bCs/>
          <w:color w:val="auto"/>
          <w:sz w:val="32"/>
          <w:szCs w:val="32"/>
          <w:highlight w:val="none"/>
        </w:rPr>
      </w:pPr>
      <w:bookmarkStart w:id="10" w:name="_Toc20846"/>
      <w:bookmarkStart w:id="11" w:name="_Toc19070"/>
      <w:r>
        <w:rPr>
          <w:rFonts w:hint="eastAsia" w:ascii="宋体" w:hAnsi="宋体" w:cs="宋体"/>
          <w:b/>
          <w:bCs/>
          <w:color w:val="auto"/>
          <w:sz w:val="26"/>
          <w:szCs w:val="26"/>
          <w:highlight w:val="none"/>
        </w:rPr>
        <w:t>一、 说   明</w:t>
      </w:r>
      <w:bookmarkEnd w:id="10"/>
      <w:bookmarkEnd w:id="11"/>
    </w:p>
    <w:p w14:paraId="70A94752">
      <w:pPr>
        <w:tabs>
          <w:tab w:val="left" w:pos="360"/>
        </w:tabs>
        <w:spacing w:line="460" w:lineRule="exact"/>
        <w:ind w:firstLine="550" w:firstLineChars="250"/>
        <w:rPr>
          <w:rFonts w:ascii="宋体" w:hAnsi="宋体" w:cs="宋体"/>
          <w:b/>
          <w:color w:val="auto"/>
          <w:sz w:val="22"/>
          <w:szCs w:val="22"/>
          <w:highlight w:val="none"/>
        </w:rPr>
      </w:pPr>
      <w:r>
        <w:rPr>
          <w:rFonts w:hint="eastAsia" w:ascii="宋体" w:hAnsi="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7D799D24">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01E5EDAE">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招标人：是指依法进行政府采购的国家机关、事业单位、团体组织</w:t>
      </w:r>
    </w:p>
    <w:p w14:paraId="16A2D81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招标代理机构：受招标人委托，在委托的范围内办理政府采购事宜的机构；</w:t>
      </w:r>
    </w:p>
    <w:p w14:paraId="6CE3607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投标人：是指参加本政府采购项目投标的供应商；</w:t>
      </w:r>
    </w:p>
    <w:p w14:paraId="158A345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投标人代表：是指参加本项目投标活动的供应商法定代表人或法定代表人授权代表；</w:t>
      </w:r>
    </w:p>
    <w:p w14:paraId="1153B2C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08245E0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甲方：是指合同签订的一方，一般与招标人、用户相同；</w:t>
      </w:r>
    </w:p>
    <w:p w14:paraId="66BF4F5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46E3851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53F82111">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0B371A81">
      <w:pPr>
        <w:tabs>
          <w:tab w:val="left" w:pos="360"/>
        </w:tabs>
        <w:spacing w:line="460" w:lineRule="exact"/>
        <w:ind w:firstLine="552" w:firstLineChars="250"/>
        <w:rPr>
          <w:rFonts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6BCD054E">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3、投标人代表</w:t>
      </w:r>
    </w:p>
    <w:p w14:paraId="7C514382">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指全权代表投标人参加投标活动并签署投标文件的人。如果投标人代表不是法定代表人，须持有《法定代表人授权书》（见附件）</w:t>
      </w:r>
    </w:p>
    <w:p w14:paraId="1592F2F3">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cs="宋体"/>
          <w:b/>
          <w:color w:val="auto"/>
          <w:sz w:val="22"/>
          <w:szCs w:val="22"/>
          <w:highlight w:val="none"/>
        </w:rPr>
        <w:t>。</w:t>
      </w:r>
    </w:p>
    <w:p w14:paraId="551ADF92">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4、投标费用</w:t>
      </w:r>
    </w:p>
    <w:p w14:paraId="0CC8FD52">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4.1投</w:t>
      </w:r>
      <w:r>
        <w:rPr>
          <w:rFonts w:hint="eastAsia" w:ascii="宋体" w:hAnsi="宋体" w:cs="宋体"/>
          <w:color w:val="auto"/>
          <w:sz w:val="22"/>
          <w:szCs w:val="22"/>
          <w:highlight w:val="none"/>
        </w:rPr>
        <w:t>标人应承担所有与准备和参加投标有关费用，不论投标的结果如何，招标人或招标代理机构均无义务和责任承担这些费用。</w:t>
      </w:r>
    </w:p>
    <w:p w14:paraId="3744834F">
      <w:pPr>
        <w:spacing w:line="460" w:lineRule="exact"/>
        <w:ind w:firstLine="541" w:firstLineChars="245"/>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5、</w:t>
      </w:r>
      <w:r>
        <w:rPr>
          <w:rFonts w:hint="eastAsia" w:ascii="宋体" w:hAnsi="宋体" w:cs="宋体"/>
          <w:b/>
          <w:color w:val="auto"/>
          <w:sz w:val="22"/>
          <w:szCs w:val="22"/>
          <w:highlight w:val="none"/>
        </w:rPr>
        <w:t>联合体</w:t>
      </w:r>
      <w:r>
        <w:rPr>
          <w:rFonts w:hint="eastAsia" w:ascii="新宋体" w:hAnsi="新宋体" w:eastAsia="新宋体"/>
          <w:b/>
          <w:color w:val="auto"/>
          <w:sz w:val="22"/>
          <w:szCs w:val="22"/>
          <w:highlight w:val="none"/>
        </w:rPr>
        <w:t>投标说明</w:t>
      </w:r>
    </w:p>
    <w:p w14:paraId="06DE479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5.1 联合体投标的，除招标文件另有规定外，招标文件的获取、响应文件的签署盖章、递交及开标过程操作均由联合体牵头人进行。</w:t>
      </w:r>
    </w:p>
    <w:p w14:paraId="5A39AE8D">
      <w:pPr>
        <w:spacing w:line="46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5.2 </w:t>
      </w:r>
      <w:r>
        <w:rPr>
          <w:rFonts w:ascii="新宋体" w:hAnsi="新宋体" w:eastAsia="新宋体"/>
          <w:color w:val="auto"/>
          <w:sz w:val="22"/>
          <w:szCs w:val="22"/>
          <w:highlight w:val="none"/>
        </w:rPr>
        <w:t>以联合体形式参加政府采购活动的，联合体各方不得再单独参加或者与其他供应商另外组成联合体参加同一合同项下的政府采购活动</w:t>
      </w:r>
      <w:r>
        <w:rPr>
          <w:rFonts w:hint="eastAsia" w:ascii="新宋体" w:hAnsi="新宋体" w:eastAsia="新宋体"/>
          <w:color w:val="auto"/>
          <w:sz w:val="22"/>
          <w:szCs w:val="22"/>
          <w:highlight w:val="none"/>
        </w:rPr>
        <w:t>，否则均按无效标处理</w:t>
      </w:r>
      <w:r>
        <w:rPr>
          <w:rFonts w:ascii="新宋体" w:hAnsi="新宋体" w:eastAsia="新宋体"/>
          <w:color w:val="auto"/>
          <w:sz w:val="22"/>
          <w:szCs w:val="22"/>
          <w:highlight w:val="none"/>
        </w:rPr>
        <w:t>。</w:t>
      </w:r>
    </w:p>
    <w:p w14:paraId="5C760EE0">
      <w:pPr>
        <w:spacing w:line="460" w:lineRule="exact"/>
        <w:ind w:firstLine="539" w:firstLineChars="245"/>
        <w:rPr>
          <w:color w:val="auto"/>
          <w:highlight w:val="none"/>
        </w:rPr>
      </w:pPr>
      <w:r>
        <w:rPr>
          <w:rFonts w:hint="eastAsia" w:ascii="新宋体" w:hAnsi="新宋体" w:eastAsia="新宋体"/>
          <w:bCs/>
          <w:color w:val="auto"/>
          <w:sz w:val="22"/>
          <w:szCs w:val="22"/>
          <w:highlight w:val="none"/>
        </w:rPr>
        <w:t>5.3 如联合体成交，</w:t>
      </w:r>
      <w:r>
        <w:rPr>
          <w:color w:val="auto"/>
          <w:kern w:val="0"/>
          <w:sz w:val="22"/>
          <w:szCs w:val="22"/>
          <w:highlight w:val="none"/>
        </w:rPr>
        <w:t>联合体各方应当共同与采购人签订采购合同，就采购合同约定的事项对采购人承担</w:t>
      </w:r>
      <w:r>
        <w:rPr>
          <w:rFonts w:hint="eastAsia" w:ascii="新宋体" w:hAnsi="新宋体" w:eastAsia="新宋体"/>
          <w:bCs/>
          <w:color w:val="auto"/>
          <w:sz w:val="22"/>
          <w:szCs w:val="22"/>
          <w:highlight w:val="none"/>
        </w:rPr>
        <w:t>连带</w:t>
      </w:r>
      <w:r>
        <w:rPr>
          <w:color w:val="auto"/>
          <w:kern w:val="0"/>
          <w:sz w:val="22"/>
          <w:szCs w:val="22"/>
          <w:highlight w:val="none"/>
        </w:rPr>
        <w:t>责任</w:t>
      </w:r>
      <w:r>
        <w:rPr>
          <w:rFonts w:hint="eastAsia"/>
          <w:color w:val="auto"/>
          <w:kern w:val="0"/>
          <w:sz w:val="22"/>
          <w:szCs w:val="22"/>
          <w:highlight w:val="none"/>
        </w:rPr>
        <w:t>，</w:t>
      </w:r>
      <w:r>
        <w:rPr>
          <w:color w:val="auto"/>
          <w:kern w:val="0"/>
          <w:sz w:val="22"/>
          <w:szCs w:val="22"/>
          <w:highlight w:val="none"/>
        </w:rPr>
        <w:t>履约保证金</w:t>
      </w:r>
      <w:r>
        <w:rPr>
          <w:rFonts w:hint="eastAsia"/>
          <w:color w:val="auto"/>
          <w:kern w:val="0"/>
          <w:sz w:val="22"/>
          <w:szCs w:val="22"/>
          <w:highlight w:val="none"/>
        </w:rPr>
        <w:t>（如有）</w:t>
      </w:r>
      <w:r>
        <w:rPr>
          <w:color w:val="auto"/>
          <w:kern w:val="0"/>
          <w:sz w:val="22"/>
          <w:szCs w:val="22"/>
          <w:highlight w:val="none"/>
        </w:rPr>
        <w:t>由联合体主</w:t>
      </w:r>
      <w:r>
        <w:rPr>
          <w:rFonts w:hint="eastAsia"/>
          <w:color w:val="auto"/>
          <w:kern w:val="0"/>
          <w:sz w:val="22"/>
          <w:szCs w:val="22"/>
          <w:highlight w:val="none"/>
        </w:rPr>
        <w:t>供应商</w:t>
      </w:r>
      <w:r>
        <w:rPr>
          <w:color w:val="auto"/>
          <w:kern w:val="0"/>
          <w:sz w:val="22"/>
          <w:szCs w:val="22"/>
          <w:highlight w:val="none"/>
        </w:rPr>
        <w:t>提交。</w:t>
      </w:r>
    </w:p>
    <w:p w14:paraId="737995BC">
      <w:pPr>
        <w:spacing w:before="100" w:beforeAutospacing="1" w:after="100" w:afterAutospacing="1" w:line="460" w:lineRule="exact"/>
        <w:jc w:val="center"/>
        <w:outlineLvl w:val="1"/>
        <w:rPr>
          <w:rFonts w:ascii="宋体" w:hAnsi="宋体" w:cs="宋体"/>
          <w:b/>
          <w:bCs/>
          <w:color w:val="auto"/>
          <w:sz w:val="26"/>
          <w:szCs w:val="26"/>
          <w:highlight w:val="none"/>
        </w:rPr>
      </w:pPr>
      <w:bookmarkStart w:id="12" w:name="_Toc9899"/>
      <w:bookmarkStart w:id="13" w:name="_Toc28278"/>
      <w:r>
        <w:rPr>
          <w:rFonts w:hint="eastAsia" w:ascii="宋体" w:hAnsi="宋体" w:cs="宋体"/>
          <w:b/>
          <w:bCs/>
          <w:color w:val="auto"/>
          <w:sz w:val="26"/>
          <w:szCs w:val="26"/>
          <w:highlight w:val="none"/>
        </w:rPr>
        <w:t>二、 招标文件</w:t>
      </w:r>
      <w:bookmarkEnd w:id="12"/>
      <w:bookmarkEnd w:id="13"/>
    </w:p>
    <w:p w14:paraId="241E186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14:paraId="5C59B3EC">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2、招标文件的澄清</w:t>
      </w:r>
    </w:p>
    <w:p w14:paraId="778CC0D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0E578C48">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3、招标文件的修改</w:t>
      </w:r>
    </w:p>
    <w:p w14:paraId="427EA33F">
      <w:pPr>
        <w:spacing w:line="460" w:lineRule="exact"/>
        <w:ind w:firstLine="539" w:firstLineChars="245"/>
        <w:rPr>
          <w:rFonts w:ascii="宋体" w:hAnsi="宋体" w:cs="宋体"/>
          <w:color w:val="auto"/>
          <w:sz w:val="22"/>
          <w:highlight w:val="none"/>
        </w:rPr>
      </w:pPr>
      <w:r>
        <w:rPr>
          <w:rFonts w:hint="eastAsia" w:ascii="宋体" w:hAnsi="宋体" w:cs="宋体"/>
          <w:color w:val="auto"/>
          <w:sz w:val="22"/>
          <w:highlight w:val="none"/>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64E957D8">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3.2招标人、招标代理机构可以视采购的具体情况决定是否延长投标截止时间和开标时间，并在招标文件要求递交投标文件的截止时间前，在财政部门指定的政府采购信息发布媒体上发布变更公告。</w:t>
      </w:r>
    </w:p>
    <w:p w14:paraId="0882F50F">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22646"/>
      <w:bookmarkStart w:id="15" w:name="_Toc12726"/>
      <w:r>
        <w:rPr>
          <w:rFonts w:hint="eastAsia" w:ascii="宋体" w:hAnsi="宋体" w:cs="宋体"/>
          <w:b/>
          <w:bCs/>
          <w:color w:val="auto"/>
          <w:sz w:val="26"/>
          <w:szCs w:val="26"/>
          <w:highlight w:val="none"/>
        </w:rPr>
        <w:t>三、 投标文件的编制</w:t>
      </w:r>
      <w:bookmarkEnd w:id="14"/>
      <w:bookmarkEnd w:id="15"/>
    </w:p>
    <w:p w14:paraId="3348DD6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4D1CAE6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2、投标人应保证所提供文件资料的真实性，所有文件资料必须是针对本次投标的。如发现投标人提供了虚假文件资料，其投标将被否决，并自行承担相应的法律责任。</w:t>
      </w:r>
    </w:p>
    <w:p w14:paraId="51B63E36">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rPr>
        <w:t>投标文件的构成：</w:t>
      </w:r>
    </w:p>
    <w:p w14:paraId="4CDF8FB9">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zh-CN"/>
        </w:rPr>
        <w:t>文件应当包括以下主要内容：资格文件、报价文件、商务技术文件。</w:t>
      </w:r>
    </w:p>
    <w:p w14:paraId="7438677F">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投标人的资格文件至少应包括以下内容： </w:t>
      </w:r>
    </w:p>
    <w:p w14:paraId="04B92389">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46A119B5">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w:t>
      </w:r>
    </w:p>
    <w:p w14:paraId="1D829B7C">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（2）营业执照(或事业法人登记证书或其它工商等登记证明材料；自然人参与政府采购，提供身份证)复印件（若联合体投标，则各方均须提供）； </w:t>
      </w:r>
    </w:p>
    <w:p w14:paraId="38D8B59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2B8303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（3）投标人信用查询；</w:t>
      </w:r>
    </w:p>
    <w:p w14:paraId="7566B56D">
      <w:pPr>
        <w:keepNext w:val="0"/>
        <w:keepLines w:val="0"/>
        <w:pageBreakBefore w:val="0"/>
        <w:widowControl w:val="0"/>
        <w:kinsoku/>
        <w:wordWrap/>
        <w:overflowPunct/>
        <w:topLinePunct w:val="0"/>
        <w:autoSpaceDE/>
        <w:autoSpaceDN/>
        <w:bidi w:val="0"/>
        <w:adjustRightInd/>
        <w:snapToGrid w:val="0"/>
        <w:spacing w:line="4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（4）政府采购活动现场确认声明书；</w:t>
      </w:r>
    </w:p>
    <w:p w14:paraId="25E7B9EE">
      <w:pPr>
        <w:pStyle w:val="52"/>
        <w:keepNext w:val="0"/>
        <w:keepLines w:val="0"/>
        <w:pageBreakBefore w:val="0"/>
        <w:widowControl w:val="0"/>
        <w:kinsoku/>
        <w:wordWrap/>
        <w:overflowPunct/>
        <w:topLinePunct w:val="0"/>
        <w:autoSpaceDE/>
        <w:autoSpaceDN/>
        <w:bidi w:val="0"/>
        <w:adjustRightInd/>
        <w:spacing w:after="0" w:line="460" w:lineRule="exact"/>
        <w:textAlignment w:val="auto"/>
        <w:rPr>
          <w:color w:val="auto"/>
          <w:highlight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）落实政府采购政策需满足的资格要求证明材料</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如有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w:t>
      </w:r>
    </w:p>
    <w:p w14:paraId="40ADA96B">
      <w:pPr>
        <w:keepNext w:val="0"/>
        <w:keepLines w:val="0"/>
        <w:pageBreakBefore w:val="0"/>
        <w:widowControl w:val="0"/>
        <w:kinsoku/>
        <w:wordWrap/>
        <w:overflowPunct/>
        <w:topLinePunct w:val="0"/>
        <w:autoSpaceDE/>
        <w:autoSpaceDN/>
        <w:bidi w:val="0"/>
        <w:adjustRightInd/>
        <w:snapToGrid w:val="0"/>
        <w:spacing w:line="460" w:lineRule="exact"/>
        <w:ind w:left="525" w:leftChars="250"/>
        <w:textAlignment w:val="auto"/>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499C0E3A">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 xml:space="preserve">3.2投标人的报价文件至少应包括以下内容： </w:t>
      </w:r>
    </w:p>
    <w:p w14:paraId="5C5C6048">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（1）投标函；</w:t>
      </w:r>
    </w:p>
    <w:p w14:paraId="7572A9D2">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（2）投标报价一览表；</w:t>
      </w:r>
    </w:p>
    <w:p w14:paraId="3730E63E">
      <w:pPr>
        <w:snapToGrid w:val="0"/>
        <w:spacing w:line="460" w:lineRule="exact"/>
        <w:ind w:left="105" w:leftChars="50" w:firstLine="440" w:firstLineChars="200"/>
        <w:rPr>
          <w:rFonts w:hint="eastAsia"/>
          <w:color w:val="auto"/>
          <w:highlight w:val="none"/>
          <w:lang w:eastAsia="zh-CN"/>
        </w:rPr>
      </w:pPr>
      <w:r>
        <w:rPr>
          <w:rFonts w:hint="eastAsia" w:ascii="宋体" w:hAnsi="宋体" w:eastAsia="宋体" w:cs="宋体"/>
          <w:color w:val="auto"/>
          <w:sz w:val="22"/>
          <w:szCs w:val="22"/>
          <w:highlight w:val="none"/>
          <w:u w:val="none"/>
        </w:rPr>
        <w:t>（</w:t>
      </w:r>
      <w:r>
        <w:rPr>
          <w:rFonts w:hint="eastAsia" w:ascii="宋体" w:hAnsi="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）中小企业声明函、监狱企业、残疾人福利性单位及其他相关的充分的证明材料。（如有）</w:t>
      </w:r>
    </w:p>
    <w:p w14:paraId="7F8AE338">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投标人的商务技术文件应包括以下内容： </w:t>
      </w:r>
    </w:p>
    <w:p w14:paraId="1D98310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55A23E7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（2）投标人情况表</w:t>
      </w:r>
    </w:p>
    <w:p w14:paraId="23BF59E7">
      <w:pPr>
        <w:snapToGrid w:val="0"/>
        <w:spacing w:line="46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（3）投标材料真实性与完整性自查核对表</w:t>
      </w:r>
    </w:p>
    <w:p w14:paraId="7D6C0198">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偏</w:t>
      </w:r>
      <w:r>
        <w:rPr>
          <w:rFonts w:hint="eastAsia" w:ascii="宋体" w:hAnsi="宋体" w:eastAsia="宋体" w:cs="宋体"/>
          <w:color w:val="auto"/>
          <w:sz w:val="22"/>
          <w:szCs w:val="22"/>
          <w:highlight w:val="none"/>
          <w:lang w:val="zh-CN"/>
        </w:rPr>
        <w:t>离表（</w:t>
      </w:r>
      <w:r>
        <w:rPr>
          <w:rFonts w:hint="eastAsia" w:ascii="宋体" w:hAnsi="宋体" w:eastAsia="宋体" w:cs="宋体"/>
          <w:color w:val="auto"/>
          <w:sz w:val="22"/>
          <w:szCs w:val="22"/>
          <w:highlight w:val="none"/>
        </w:rPr>
        <w:t>商务、技术偏离</w:t>
      </w:r>
      <w:r>
        <w:rPr>
          <w:rFonts w:hint="eastAsia" w:ascii="宋体" w:hAnsi="宋体" w:eastAsia="宋体" w:cs="宋体"/>
          <w:color w:val="auto"/>
          <w:sz w:val="22"/>
          <w:szCs w:val="22"/>
          <w:highlight w:val="none"/>
          <w:lang w:val="zh-CN"/>
        </w:rPr>
        <w:t>）</w:t>
      </w:r>
    </w:p>
    <w:p w14:paraId="79C5FE3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（5）投标人情况</w:t>
      </w:r>
    </w:p>
    <w:p w14:paraId="26BD8B98">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（6）服务供应商项目业绩</w:t>
      </w:r>
    </w:p>
    <w:p w14:paraId="01C37670">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（7）医学团队专业性</w:t>
      </w:r>
    </w:p>
    <w:p w14:paraId="081AFC86">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（8）软件支持团队负责人</w:t>
      </w:r>
    </w:p>
    <w:p w14:paraId="4EC526DE">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（9）服务支持工具</w:t>
      </w:r>
    </w:p>
    <w:p w14:paraId="6E36147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（10）项目理解</w:t>
      </w:r>
    </w:p>
    <w:p w14:paraId="36339153">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（11）技术方案</w:t>
      </w:r>
    </w:p>
    <w:p w14:paraId="17EEFD25">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（12）工作管理体系及绩效考核方案</w:t>
      </w:r>
    </w:p>
    <w:p w14:paraId="674127D7">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安全保密方案</w:t>
      </w:r>
    </w:p>
    <w:p w14:paraId="6D5AF3A8">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企微履约质量风控能力</w:t>
      </w:r>
    </w:p>
    <w:p w14:paraId="1662293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软件支持方案</w:t>
      </w:r>
    </w:p>
    <w:p w14:paraId="6BF30B48">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软件服务运维</w:t>
      </w:r>
    </w:p>
    <w:p w14:paraId="19D80A48">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其他必要提供的资料。</w:t>
      </w:r>
    </w:p>
    <w:p w14:paraId="4B231422">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投标文件中所需的各种证书、证件、证明资料如是复印件，须在复印件上加盖有效公章。</w:t>
      </w:r>
    </w:p>
    <w:p w14:paraId="1749CE13">
      <w:pPr>
        <w:pStyle w:val="29"/>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投标人的</w:t>
      </w:r>
      <w:r>
        <w:rPr>
          <w:rFonts w:hint="eastAsia" w:hAnsi="宋体" w:cs="宋体"/>
          <w:b w:val="0"/>
          <w:bCs/>
          <w:color w:val="auto"/>
          <w:sz w:val="22"/>
          <w:szCs w:val="22"/>
          <w:highlight w:val="none"/>
        </w:rPr>
        <w:t>投标文件必须按照招标文件要求制作。</w:t>
      </w:r>
    </w:p>
    <w:p w14:paraId="2EDBA32D">
      <w:pPr>
        <w:pStyle w:val="29"/>
        <w:snapToGrid w:val="0"/>
        <w:spacing w:line="460" w:lineRule="exact"/>
        <w:ind w:firstLine="440" w:firstLineChars="200"/>
        <w:rPr>
          <w:rFonts w:hAnsi="宋体" w:cs="宋体"/>
          <w:bCs/>
          <w:color w:val="auto"/>
          <w:sz w:val="22"/>
          <w:szCs w:val="22"/>
          <w:highlight w:val="none"/>
        </w:rPr>
      </w:pPr>
      <w:r>
        <w:rPr>
          <w:rFonts w:hint="eastAsia" w:hAnsi="宋体" w:cs="宋体"/>
          <w:b w:val="0"/>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5450C9D6">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4、投标报价</w:t>
      </w:r>
    </w:p>
    <w:p w14:paraId="7C5CE626">
      <w:pPr>
        <w:spacing w:line="460" w:lineRule="exact"/>
        <w:ind w:firstLine="541" w:firstLineChars="245"/>
        <w:rPr>
          <w:rFonts w:hint="eastAsia" w:ascii="宋体" w:hAnsi="宋体" w:eastAsia="宋体" w:cs="宋体"/>
          <w:bCs/>
          <w:color w:val="auto"/>
          <w:sz w:val="22"/>
          <w:szCs w:val="22"/>
          <w:highlight w:val="none"/>
          <w:lang w:eastAsia="zh-CN"/>
        </w:rPr>
      </w:pPr>
      <w:r>
        <w:rPr>
          <w:rFonts w:hint="eastAsia" w:ascii="宋体" w:hAnsi="宋体" w:cs="宋体"/>
          <w:b/>
          <w:bCs w:val="0"/>
          <w:color w:val="auto"/>
          <w:sz w:val="22"/>
          <w:highlight w:val="none"/>
        </w:rPr>
        <w:t>4.1</w:t>
      </w:r>
      <w:r>
        <w:rPr>
          <w:rFonts w:hint="eastAsia" w:ascii="宋体" w:hAnsi="宋体" w:cs="宋体"/>
          <w:b/>
          <w:color w:val="auto"/>
          <w:sz w:val="22"/>
          <w:highlight w:val="none"/>
        </w:rPr>
        <w:t>投标报价必须包括乙方在提供服务所需的一切人员的符合国家规定的工资、福利、各种加班费、误餐费、各种社会保险、食宿与交通、设备及工具、器材、服装、安全、管理费用、税费、利润、完成合同所需的一切本身和不可或缺的所有工作开支、政策性文件规定及合同包含的所有风险、责任等各项全部费用并承担一切风险责任。固定综合单价需要调整的由双方友好协商。</w:t>
      </w:r>
    </w:p>
    <w:p w14:paraId="7A335EF6">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4.2投标人必须按附件中的投标报价一览表内容填写价格，并由投标人代表签署。</w:t>
      </w:r>
    </w:p>
    <w:p w14:paraId="5A5A7F8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2232FD6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rPr>
        <w:t>招标人和招标代理机构不接受任何选择投标，对任何服务只允许一个价格。</w:t>
      </w:r>
    </w:p>
    <w:p w14:paraId="3E074F71">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4.5招标人和</w:t>
      </w:r>
      <w:r>
        <w:rPr>
          <w:rFonts w:hint="eastAsia" w:ascii="宋体" w:hAnsi="宋体" w:cs="宋体"/>
          <w:color w:val="auto"/>
          <w:sz w:val="22"/>
          <w:highlight w:val="none"/>
        </w:rPr>
        <w:t>招标代理机构</w:t>
      </w:r>
      <w:r>
        <w:rPr>
          <w:rFonts w:hint="eastAsia" w:ascii="宋体" w:hAnsi="宋体" w:cs="宋体"/>
          <w:color w:val="auto"/>
          <w:sz w:val="22"/>
          <w:szCs w:val="22"/>
          <w:highlight w:val="none"/>
        </w:rPr>
        <w:t>要求分类报价是为了方便评标，但在任何情况下不限制招标人以其认为最合适的条款、条件签订合同的权利。</w:t>
      </w:r>
    </w:p>
    <w:p w14:paraId="29FF31F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4.6投标报价报出后，投标人不得以任何理由予以变更。任何包含价格调整的要求，将被认为是非实质性响应投标而予以否决。</w:t>
      </w:r>
    </w:p>
    <w:p w14:paraId="0467DA4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4.7最低报价不能作为中标的保证。</w:t>
      </w:r>
    </w:p>
    <w:p w14:paraId="561D2F1A">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0AE7E8F1">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231F34D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9E4DA38">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5D8C142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无。</w:t>
      </w:r>
    </w:p>
    <w:p w14:paraId="729B3FCF">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7、投标文件编制</w:t>
      </w:r>
    </w:p>
    <w:p w14:paraId="04DC9AE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7.1本项目通过“政府采购云平台（http://zfcg.czt.zj.gov.cn）”实行在线投标响应（电子投标）。供应商应通过“政采云电子交易客户端”，并按照本招标文件和“政府采购云平台”的要求编制并加密投标文件。</w:t>
      </w:r>
    </w:p>
    <w:p w14:paraId="09A38BB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7.2投标人应当按照本章节 “投标文件的构成”规定的内容及顺序在“政采云电子交易客户端”编制投标文件。其中《资格文件》和《商务技术文件》中不得出现本项目投标报价。</w:t>
      </w:r>
    </w:p>
    <w:p w14:paraId="2558BA5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53FC5FF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7.4《投标文件》内容不完整、编排混乱导致《投标文件》被误读、漏读或者查找不到相关内容的，投标人自行负责。</w:t>
      </w:r>
    </w:p>
    <w:p w14:paraId="3525004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7.5《投标文件》因字迹潦草或表达不清所引起的后果由投标人负责。</w:t>
      </w:r>
    </w:p>
    <w:p w14:paraId="5151397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56D686C7">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8、投标文件的签章</w:t>
      </w:r>
    </w:p>
    <w:p w14:paraId="56B302E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8.1《投标文件》的签章：见《前附表》；</w:t>
      </w:r>
    </w:p>
    <w:p w14:paraId="5F4EAB7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8.2《投标文件》应由投标人法定代表人或其授权代表签字（或盖章），并时加盖投标人公章。</w:t>
      </w:r>
    </w:p>
    <w:p w14:paraId="5BCEB8B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67884826">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9、投标文件的形式</w:t>
      </w:r>
    </w:p>
    <w:p w14:paraId="73A223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9.1投标文件的形式：见《前附表》；</w:t>
      </w:r>
    </w:p>
    <w:p w14:paraId="2A8090E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9.2“电子加密投标文件”：“电子加密投标文件”是指通过“政采云电子交易客户端”完成投标文件编制后生成并加密的数据电文形式的投标文件。</w:t>
      </w:r>
    </w:p>
    <w:p w14:paraId="3BD3E0A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480B4B3">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10、投标文件的份数</w:t>
      </w:r>
    </w:p>
    <w:p w14:paraId="3C68A261">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10.1投标文件的份数：见《前附表》。</w:t>
      </w:r>
    </w:p>
    <w:p w14:paraId="72A3574C">
      <w:pPr>
        <w:spacing w:before="100" w:beforeAutospacing="1" w:after="100" w:afterAutospacing="1" w:line="440" w:lineRule="exact"/>
        <w:jc w:val="center"/>
        <w:outlineLvl w:val="1"/>
        <w:rPr>
          <w:rFonts w:ascii="宋体" w:hAnsi="宋体" w:cs="宋体"/>
          <w:b/>
          <w:bCs/>
          <w:color w:val="auto"/>
          <w:sz w:val="22"/>
          <w:szCs w:val="22"/>
          <w:highlight w:val="none"/>
        </w:rPr>
      </w:pPr>
      <w:bookmarkStart w:id="16" w:name="_Toc18542"/>
      <w:bookmarkStart w:id="17" w:name="_Toc15422"/>
      <w:r>
        <w:rPr>
          <w:rFonts w:hint="eastAsia" w:ascii="宋体" w:hAnsi="宋体" w:cs="宋体"/>
          <w:b/>
          <w:bCs/>
          <w:color w:val="auto"/>
          <w:sz w:val="22"/>
          <w:szCs w:val="22"/>
          <w:highlight w:val="none"/>
        </w:rPr>
        <w:t>四、 投标文件的递交</w:t>
      </w:r>
      <w:bookmarkEnd w:id="16"/>
      <w:bookmarkEnd w:id="17"/>
    </w:p>
    <w:p w14:paraId="0E20835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1、投标文件的上传和递交</w:t>
      </w:r>
    </w:p>
    <w:p w14:paraId="2E14DDB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1.1“投标文件”的上传、递交：见《前附表》。</w:t>
      </w:r>
    </w:p>
    <w:p w14:paraId="140CBE6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2、“电子加密投标文件”解密和异常情况处理</w:t>
      </w:r>
    </w:p>
    <w:p w14:paraId="674C60E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2.1“电子加密投标文件”解密：见《前附表》。</w:t>
      </w:r>
    </w:p>
    <w:p w14:paraId="305D143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3、投标文件的补充、修改或撤回</w:t>
      </w:r>
    </w:p>
    <w:p w14:paraId="54EE334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EBA327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3.2投标截止时间后，投标人不得撤回、修改《投标文件》。</w:t>
      </w:r>
    </w:p>
    <w:p w14:paraId="2A34AD3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4、投标文件的备选方案</w:t>
      </w:r>
    </w:p>
    <w:p w14:paraId="7FA48828">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2967ACE8">
      <w:pPr>
        <w:spacing w:before="100" w:beforeAutospacing="1" w:after="100" w:afterAutospacing="1" w:line="460" w:lineRule="exact"/>
        <w:jc w:val="center"/>
        <w:outlineLvl w:val="1"/>
        <w:rPr>
          <w:rFonts w:ascii="宋体" w:hAnsi="宋体" w:cs="宋体"/>
          <w:b/>
          <w:bCs/>
          <w:color w:val="auto"/>
          <w:sz w:val="22"/>
          <w:szCs w:val="22"/>
          <w:highlight w:val="none"/>
        </w:rPr>
      </w:pPr>
      <w:bookmarkStart w:id="18" w:name="_Toc8079"/>
      <w:bookmarkStart w:id="19" w:name="_Toc30172"/>
      <w:r>
        <w:rPr>
          <w:rFonts w:hint="eastAsia" w:ascii="宋体" w:hAnsi="宋体" w:cs="宋体"/>
          <w:b/>
          <w:bCs/>
          <w:color w:val="auto"/>
          <w:sz w:val="22"/>
          <w:szCs w:val="22"/>
          <w:highlight w:val="none"/>
        </w:rPr>
        <w:t>五、 开标和评标</w:t>
      </w:r>
      <w:bookmarkEnd w:id="18"/>
      <w:bookmarkEnd w:id="19"/>
    </w:p>
    <w:p w14:paraId="34E61EB2">
      <w:pPr>
        <w:spacing w:line="460" w:lineRule="exact"/>
        <w:ind w:firstLine="541" w:firstLineChars="245"/>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5CC8175F">
      <w:pPr>
        <w:spacing w:line="460" w:lineRule="exact"/>
        <w:ind w:firstLine="539" w:firstLineChars="245"/>
        <w:rPr>
          <w:rFonts w:ascii="宋体" w:hAnsi="宋体" w:cs="宋体"/>
          <w:b/>
          <w:color w:val="auto"/>
          <w:sz w:val="22"/>
          <w:szCs w:val="22"/>
          <w:highlight w:val="none"/>
        </w:rPr>
      </w:pPr>
      <w:r>
        <w:rPr>
          <w:rFonts w:hint="eastAsia" w:ascii="宋体" w:hAnsi="宋体" w:cs="宋体"/>
          <w:bCs/>
          <w:color w:val="auto"/>
          <w:sz w:val="22"/>
          <w:szCs w:val="22"/>
          <w:highlight w:val="none"/>
        </w:rPr>
        <w:t>招标人和招标代理机构组建评标委员会。评标委员会的成员在评标过程中必须严格遵守《政府采购法》等有关法律、法规的规定。</w:t>
      </w:r>
    </w:p>
    <w:p w14:paraId="5BF30BE6">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7D4C87B4">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6D753F0D">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18334BA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采购组织机构将按照招标文件规定的时间通过“政府采购云平台”组织开标、开启投标文件，所有供应商均应当准时(在线)参加。</w:t>
      </w:r>
    </w:p>
    <w:p w14:paraId="06B1DAEA">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052886D0">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26D7BBFA">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采购组织机构将按照招标文件规定的时间通过“政府采购云平台”组织开标、开启投标文件，所有供应商均应当准时(在线)参加。</w:t>
      </w:r>
      <w:r>
        <w:rPr>
          <w:rFonts w:hint="eastAsia" w:ascii="宋体" w:hAnsi="宋体" w:cs="宋体"/>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1B0A6A78">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3559061F">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3528DC9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6B869339">
      <w:pPr>
        <w:spacing w:line="460" w:lineRule="exact"/>
        <w:ind w:firstLine="539" w:firstLineChars="245"/>
        <w:rPr>
          <w:rFonts w:ascii="宋体" w:hAnsi="宋体" w:cs="宋体"/>
          <w:color w:val="auto"/>
          <w:highlight w:val="none"/>
        </w:rPr>
      </w:pPr>
      <w:r>
        <w:rPr>
          <w:rFonts w:hint="eastAsia" w:ascii="宋体" w:hAnsi="宋体" w:cs="宋体"/>
          <w:bCs/>
          <w:color w:val="auto"/>
          <w:sz w:val="22"/>
          <w:szCs w:val="22"/>
          <w:highlight w:val="none"/>
        </w:rPr>
        <w:t>投标人不足3家的，不得开标。</w:t>
      </w:r>
    </w:p>
    <w:p w14:paraId="452CFA95">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（2）解密成功后，开启投标人的《报价文件》，由供应商对自己报价文件相关内容进行签字确认，（不予确认的应说明理由，否则视为无异议）。</w:t>
      </w:r>
    </w:p>
    <w:p w14:paraId="16F22551">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（3）开启《投标文件》，进入资格审查；</w:t>
      </w:r>
      <w:r>
        <w:rPr>
          <w:rFonts w:hint="eastAsia" w:ascii="宋体" w:hAnsi="宋体" w:cs="宋体"/>
          <w:bCs/>
          <w:color w:val="auto"/>
          <w:sz w:val="22"/>
          <w:szCs w:val="22"/>
          <w:highlight w:val="none"/>
        </w:rPr>
        <w:t>合格投标人不足3家的，不得评标。</w:t>
      </w:r>
    </w:p>
    <w:p w14:paraId="307FFC71">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备注：开标大会的结束后，招标人或采购代理机构将对依法对投标人的资格进行审查，资格审查结束后进入符合性审查和商务技术的评审工作，具体见本章节“投标人资格审查”相关规定。</w:t>
      </w:r>
    </w:p>
    <w:p w14:paraId="2B1322D1">
      <w:pPr>
        <w:spacing w:line="460" w:lineRule="exact"/>
        <w:ind w:firstLine="539" w:firstLineChars="245"/>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（4）开启资格审查通过的投标人的商务技术文件进入符合性审查，</w:t>
      </w:r>
      <w:r>
        <w:rPr>
          <w:rFonts w:hint="eastAsia" w:ascii="宋体" w:hAnsi="宋体" w:cs="宋体"/>
          <w:bCs/>
          <w:color w:val="auto"/>
          <w:sz w:val="22"/>
          <w:szCs w:val="22"/>
          <w:highlight w:val="none"/>
        </w:rPr>
        <w:t>以确定其是否满足招标文件的实质性要求，合格投标人不足3家的，不得评标。</w:t>
      </w:r>
    </w:p>
    <w:p w14:paraId="59000FB7">
      <w:pPr>
        <w:spacing w:line="460" w:lineRule="exact"/>
        <w:ind w:firstLine="541" w:firstLineChars="245"/>
        <w:rPr>
          <w:rFonts w:ascii="宋体" w:hAnsi="宋体" w:cs="宋体"/>
          <w:bCs/>
          <w:color w:val="auto"/>
          <w:sz w:val="22"/>
          <w:szCs w:val="22"/>
          <w:highlight w:val="none"/>
        </w:rPr>
      </w:pPr>
      <w:r>
        <w:rPr>
          <w:rFonts w:hint="eastAsia" w:ascii="宋体" w:hAnsi="宋体" w:cs="宋体"/>
          <w:b/>
          <w:color w:val="auto"/>
          <w:sz w:val="22"/>
          <w:szCs w:val="22"/>
          <w:highlight w:val="none"/>
        </w:rPr>
        <w:t>没有满足招标文件的实质性要求的投标作无效标处理。</w:t>
      </w:r>
      <w:r>
        <w:rPr>
          <w:rFonts w:hint="eastAsia" w:ascii="宋体" w:hAnsi="宋体" w:cs="宋体"/>
          <w:bCs/>
          <w:color w:val="auto"/>
          <w:sz w:val="22"/>
          <w:szCs w:val="22"/>
          <w:highlight w:val="none"/>
        </w:rPr>
        <w:t>评标委员会决定投标的实质性要求只根据投标文件本身的内容，而不寻求外部的证据。投标人不得通过修正或撤消不合要求的偏离或保留从而使其投标成为实质上响应的投标。</w:t>
      </w:r>
    </w:p>
    <w:p w14:paraId="7048142A">
      <w:pPr>
        <w:spacing w:line="460" w:lineRule="exact"/>
        <w:ind w:firstLine="539" w:firstLineChars="245"/>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01DD005B">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5852DFB5">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5BC353E4">
      <w:pPr>
        <w:spacing w:line="460" w:lineRule="exact"/>
        <w:ind w:firstLine="541" w:firstLineChars="245"/>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特别说明：如遇“政府采购云平台”电子化开标或评审程序调整的，按调整后程序执行。</w:t>
      </w:r>
    </w:p>
    <w:p w14:paraId="05847E2F">
      <w:pPr>
        <w:spacing w:line="460" w:lineRule="exact"/>
        <w:ind w:firstLine="539" w:firstLineChars="245"/>
        <w:rPr>
          <w:rFonts w:ascii="宋体" w:hAnsi="宋体" w:cs="宋体"/>
          <w:color w:val="auto"/>
          <w:sz w:val="22"/>
          <w:szCs w:val="22"/>
          <w:highlight w:val="none"/>
        </w:rPr>
      </w:pPr>
      <w:bookmarkStart w:id="20" w:name="_Toc24550037"/>
      <w:bookmarkStart w:id="21" w:name="_Toc33194393"/>
      <w:r>
        <w:rPr>
          <w:rFonts w:hint="eastAsia" w:ascii="宋体" w:hAnsi="宋体" w:cs="宋体"/>
          <w:color w:val="auto"/>
          <w:sz w:val="22"/>
          <w:szCs w:val="22"/>
          <w:highlight w:val="none"/>
        </w:rPr>
        <w:t>6、投标人资格审查</w:t>
      </w:r>
      <w:bookmarkEnd w:id="20"/>
      <w:bookmarkEnd w:id="21"/>
    </w:p>
    <w:p w14:paraId="478D276F">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73F7051F">
      <w:pPr>
        <w:spacing w:line="460" w:lineRule="exact"/>
        <w:ind w:firstLine="539" w:firstLineChars="245"/>
        <w:rPr>
          <w:rFonts w:ascii="宋体" w:hAnsi="宋体" w:cs="宋体"/>
          <w:bCs/>
          <w:color w:val="auto"/>
          <w:kern w:val="0"/>
          <w:sz w:val="22"/>
          <w:szCs w:val="22"/>
          <w:highlight w:val="none"/>
        </w:rPr>
      </w:pPr>
      <w:r>
        <w:rPr>
          <w:rFonts w:hint="eastAsia" w:ascii="宋体" w:hAnsi="宋体" w:cs="宋体"/>
          <w:bCs/>
          <w:color w:val="auto"/>
          <w:sz w:val="22"/>
          <w:szCs w:val="22"/>
          <w:highlight w:val="none"/>
        </w:rPr>
        <w:t>6.2投标人提交的资格证明材料无法证明其符合招标文件规定的“投标人资格要求”的，招标人或采购代理机构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52F9E0A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.3单位负责人为同一人或者存在直接控股、管理关系的不同供应商参加同一合同项下的政府采购活动的，相关投标人均作资格无效处理。</w:t>
      </w:r>
    </w:p>
    <w:p w14:paraId="0E1F77C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7、评标委员按照招标文件中规定的评标方法和标准，对投标文件进行商务和技术评估，综合比较与评价。</w:t>
      </w:r>
    </w:p>
    <w:p w14:paraId="50777EFF">
      <w:pPr>
        <w:spacing w:line="460" w:lineRule="exact"/>
        <w:ind w:firstLine="541" w:firstLineChars="245"/>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8、投标人存在下列情况之一的，投标无效：</w:t>
      </w:r>
    </w:p>
    <w:p w14:paraId="1D39AC72">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（1）投标文件未按招标文件要求签署、盖章的；</w:t>
      </w:r>
    </w:p>
    <w:p w14:paraId="069DB50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（2）不具备招标文件中规定的资格要求的； </w:t>
      </w:r>
    </w:p>
    <w:p w14:paraId="3CEAD530">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（3）明显不符合招标文件中主要技术规格、技术标准的；</w:t>
      </w:r>
    </w:p>
    <w:p w14:paraId="7A827C9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（4）投标文件内容不全或关键字迹模糊无法辨认的；</w:t>
      </w:r>
    </w:p>
    <w:p w14:paraId="5DA2EAC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（5）报价超过招标文件中规定的预算金额</w:t>
      </w:r>
      <w:r>
        <w:rPr>
          <w:rFonts w:hint="eastAsia" w:ascii="宋体" w:hAnsi="宋体" w:cs="宋体"/>
          <w:bCs/>
          <w:color w:val="auto"/>
          <w:sz w:val="22"/>
          <w:szCs w:val="22"/>
          <w:highlight w:val="none"/>
          <w:lang w:val="en-US" w:eastAsia="zh-CN"/>
        </w:rPr>
        <w:t>或</w:t>
      </w:r>
      <w:r>
        <w:rPr>
          <w:rFonts w:hint="eastAsia" w:ascii="宋体" w:hAnsi="宋体" w:eastAsia="宋体" w:cs="宋体"/>
          <w:color w:val="auto"/>
          <w:sz w:val="22"/>
          <w:szCs w:val="22"/>
          <w:highlight w:val="none"/>
        </w:rPr>
        <w:t>单价最高限价</w:t>
      </w:r>
      <w:r>
        <w:rPr>
          <w:rFonts w:hint="eastAsia" w:ascii="宋体" w:hAnsi="宋体" w:cs="宋体"/>
          <w:bCs/>
          <w:color w:val="auto"/>
          <w:sz w:val="22"/>
          <w:szCs w:val="22"/>
          <w:highlight w:val="none"/>
        </w:rPr>
        <w:t>的；</w:t>
      </w:r>
    </w:p>
    <w:p w14:paraId="750A221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（6）投标人代表没有法定代表人合法、有效委托的；</w:t>
      </w:r>
    </w:p>
    <w:p w14:paraId="1C35290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（7）投标文件存在一个或一个以上备选（替代）投标方案的；</w:t>
      </w:r>
    </w:p>
    <w:p w14:paraId="56D49C42">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（8）仅提交“备份投标文件”的；</w:t>
      </w:r>
    </w:p>
    <w:p w14:paraId="2F75C748">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（9）投标文件含有招标人不能接受的附加条件的；</w:t>
      </w:r>
    </w:p>
    <w:p w14:paraId="3E08760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（10）法律、法规和招标文件规定的其他无效情形。</w:t>
      </w:r>
    </w:p>
    <w:p w14:paraId="661A026B">
      <w:pPr>
        <w:spacing w:line="460" w:lineRule="exact"/>
        <w:ind w:firstLine="541" w:firstLineChars="245"/>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9、有下列情形之一的，视为投标人串通投标，其投标无效</w:t>
      </w:r>
    </w:p>
    <w:p w14:paraId="368DA9A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（1）不同投标人的投标文件由同一单位或者个人编制；</w:t>
      </w:r>
    </w:p>
    <w:p w14:paraId="7E29151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（2）不同投标人委托同一单位或者个人办理投标事宜；</w:t>
      </w:r>
    </w:p>
    <w:p w14:paraId="6D9E488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（3）不同投标人的投标文件载明的项目管理成员或者联系人员为同一人；</w:t>
      </w:r>
    </w:p>
    <w:p w14:paraId="21A7FAC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（4）不同投标人的投标文件异常一致或者投标报价呈规律性差异；</w:t>
      </w:r>
    </w:p>
    <w:p w14:paraId="4E8127E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（5）不同投标人的投标文件相互混装；</w:t>
      </w:r>
    </w:p>
    <w:p w14:paraId="4FF5BA4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（6）不同投标人的 IP、MAC、硬件信息相同、响应文件细节错误一致且无合理解释等情形；</w:t>
      </w:r>
    </w:p>
    <w:p w14:paraId="336E1B8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（7）不同投标人的电子投标(响应)文件上传时的手机号信息相同且无法合理解释的。</w:t>
      </w:r>
    </w:p>
    <w:p w14:paraId="3375CB57">
      <w:pPr>
        <w:spacing w:line="460" w:lineRule="exact"/>
        <w:ind w:firstLine="541" w:firstLineChars="245"/>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10、投标文件报价出现前后不一致的，按照下列规定修正：</w:t>
      </w:r>
    </w:p>
    <w:p w14:paraId="2E53FF0C">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（1）系统上传的投标文件中开标一览表（报价表）（加盖公章）内容与投标文件中相应内容不一致的，以系统上传的投标文件中开标一览表（报价表）（加盖公章）为准；</w:t>
      </w:r>
    </w:p>
    <w:p w14:paraId="16D4B4D1">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（2）大写金额和小写金额不一致的，以大写金额为准；</w:t>
      </w:r>
    </w:p>
    <w:p w14:paraId="7A5C1A4C">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（3）单价金额小数点或者百分比有明显错位的，以开标一览表的总价为准，并修改单价；</w:t>
      </w:r>
    </w:p>
    <w:p w14:paraId="5943B727">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（4）总价金额与按单价汇总金额不一致的，以单价金额计算结果为准。</w:t>
      </w:r>
    </w:p>
    <w:p w14:paraId="0F2800EB">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同时出现两种以上不一致的，按照前款规定的顺序修正。修正后的报价按照本小节第12条第12.2款的规定经投标人确认后产生约束力，投标人不确认的，其投标无效。</w:t>
      </w:r>
    </w:p>
    <w:p w14:paraId="55F5F416">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1FEFFFD5">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12、投标文件的澄清</w:t>
      </w:r>
    </w:p>
    <w:p w14:paraId="6789B544">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18CA31DE">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61F8E765">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拒不按要求对其投标文件进行澄清，说明或补正的投标人，评标委员会可以否决其投标。</w:t>
      </w:r>
    </w:p>
    <w:p w14:paraId="499AA8F7">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12.2经澄清后，若偏差仍存在，且不可接受，投标人则被认为是“没有实质性响应招标文件要求”，其投标将被拒绝。</w:t>
      </w:r>
    </w:p>
    <w:p w14:paraId="257C8111">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cs="宋体"/>
          <w:b/>
          <w:bCs/>
          <w:color w:val="auto"/>
          <w:sz w:val="22"/>
          <w:szCs w:val="22"/>
          <w:highlight w:val="none"/>
          <w:u w:val="single"/>
          <w:lang w:val="en-US" w:eastAsia="zh-CN"/>
        </w:rPr>
        <w:t>13、</w:t>
      </w:r>
      <w:r>
        <w:rPr>
          <w:rFonts w:hint="eastAsia" w:ascii="宋体" w:hAnsi="宋体" w:eastAsia="宋体" w:cs="宋体"/>
          <w:b/>
          <w:bCs/>
          <w:color w:val="auto"/>
          <w:sz w:val="22"/>
          <w:szCs w:val="22"/>
          <w:highlight w:val="none"/>
          <w:u w:val="single"/>
        </w:rPr>
        <w:t>政府采购评审中出现下列情形之一的，评审委员会应当启动异常低价投标（响应）审查程序：</w:t>
      </w:r>
    </w:p>
    <w:p w14:paraId="482DC03F">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w:t>
      </w:r>
      <w:r>
        <w:rPr>
          <w:rFonts w:hint="eastAsia" w:ascii="宋体" w:hAnsi="宋体" w:eastAsia="宋体" w:cs="宋体"/>
          <w:b w:val="0"/>
          <w:bCs w:val="0"/>
          <w:color w:val="auto"/>
          <w:sz w:val="22"/>
          <w:szCs w:val="22"/>
          <w:highlight w:val="none"/>
        </w:rPr>
        <w:t>1投标（响应）报价低于全部通过符合性审查供应商投标（响应）报价平均值50%的，即投标（响应）报价&lt;全部通过符合性审查供应商投标（响应）报价平均值×50%；</w:t>
      </w:r>
    </w:p>
    <w:p w14:paraId="70032818">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13.2</w:t>
      </w:r>
      <w:r>
        <w:rPr>
          <w:rFonts w:hint="eastAsia" w:ascii="宋体" w:hAnsi="宋体" w:eastAsia="宋体" w:cs="宋体"/>
          <w:b w:val="0"/>
          <w:bCs w:val="0"/>
          <w:color w:val="auto"/>
          <w:sz w:val="22"/>
          <w:szCs w:val="22"/>
          <w:highlight w:val="none"/>
        </w:rPr>
        <w:t>投标（响应）报价低于通过符合性审查的次低报价供应商投标（响应）报价50%的，即投标（响应）报价&lt;通过符合性审查的次低报价供应商投标（响应）报价×50%；</w:t>
      </w:r>
    </w:p>
    <w:p w14:paraId="7EEF303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13.3</w:t>
      </w:r>
      <w:r>
        <w:rPr>
          <w:rFonts w:hint="eastAsia" w:ascii="宋体" w:hAnsi="宋体" w:eastAsia="宋体" w:cs="宋体"/>
          <w:b w:val="0"/>
          <w:bCs w:val="0"/>
          <w:color w:val="auto"/>
          <w:sz w:val="22"/>
          <w:szCs w:val="22"/>
          <w:highlight w:val="none"/>
        </w:rPr>
        <w:t>投标（响应）报价低于采购项目最高限价45%的，即投标（响应）报价&lt;采购项目最高限价×45%；</w:t>
      </w:r>
    </w:p>
    <w:p w14:paraId="52ECB605">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13.4</w:t>
      </w:r>
      <w:r>
        <w:rPr>
          <w:rFonts w:hint="eastAsia" w:ascii="宋体" w:hAnsi="宋体" w:eastAsia="宋体" w:cs="宋体"/>
          <w:b w:val="0"/>
          <w:bCs w:val="0"/>
          <w:color w:val="auto"/>
          <w:sz w:val="22"/>
          <w:szCs w:val="22"/>
          <w:highlight w:val="none"/>
        </w:rPr>
        <w:t>评审委员会基于专业判断，认为供应商报价过低，有可能影响产品质量或者不能诚信履约的其他情形。</w:t>
      </w:r>
    </w:p>
    <w:p w14:paraId="2876224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相关法律法规对供应商报价有规定的，从其规定。</w:t>
      </w:r>
    </w:p>
    <w:p w14:paraId="42DFCC38">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新宋体" w:hAnsi="新宋体" w:eastAsia="新宋体" w:cs="新宋体"/>
          <w:b w:val="0"/>
          <w:bCs w:val="0"/>
          <w:color w:val="auto"/>
          <w:kern w:val="2"/>
          <w:sz w:val="22"/>
          <w:szCs w:val="22"/>
          <w:highlight w:val="none"/>
          <w:u w:val="none"/>
          <w:lang w:val="en-US" w:eastAsia="zh-CN" w:bidi="ar-SA"/>
        </w:rPr>
        <w:t>其中，属于第3项情形，供应商已随投标（响应）文件一并提交相关书面说明及必要的证明材料的，在评审现场可不再重复提交。</w:t>
      </w:r>
    </w:p>
    <w:p w14:paraId="1301D142">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CEF220">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、评审结果的修改</w:t>
      </w:r>
    </w:p>
    <w:p w14:paraId="52908056">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.1评标结果汇总完成后，除下列情形外，任何人不得修改评标结果：</w:t>
      </w:r>
    </w:p>
    <w:p w14:paraId="6B5C5DF7">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（1）分值汇总计算错误的；</w:t>
      </w:r>
    </w:p>
    <w:p w14:paraId="4D13C603">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（2）分项评分超出评分标准范围的；</w:t>
      </w:r>
    </w:p>
    <w:p w14:paraId="07AF205F">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（3）评标委员会成员对客观评审因素评分不一致的；</w:t>
      </w:r>
    </w:p>
    <w:p w14:paraId="48BE9FDA">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（4）经评标委员会认定评分畸高、畸低的。</w:t>
      </w:r>
    </w:p>
    <w:p w14:paraId="2AC88FE1">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.2书面评标报告签署前，经复核发现存在以上情形之一的，评标委员会将当场修改评标结果，并在评标报告中记载。</w:t>
      </w:r>
    </w:p>
    <w:p w14:paraId="5568E38B">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5</w:t>
      </w:r>
      <w:r>
        <w:rPr>
          <w:rFonts w:hint="eastAsia" w:ascii="宋体" w:hAnsi="宋体" w:cs="宋体"/>
          <w:bCs/>
          <w:color w:val="auto"/>
          <w:sz w:val="22"/>
          <w:highlight w:val="none"/>
        </w:rPr>
        <w:t>、确定中标候选人</w:t>
      </w:r>
    </w:p>
    <w:p w14:paraId="287F9227">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5</w:t>
      </w:r>
      <w:r>
        <w:rPr>
          <w:rFonts w:hint="eastAsia" w:ascii="宋体" w:hAnsi="宋体" w:cs="宋体"/>
          <w:bCs/>
          <w:color w:val="auto"/>
          <w:sz w:val="22"/>
          <w:highlight w:val="none"/>
        </w:rPr>
        <w:t>.1由评标委员会确定中标候选人。</w:t>
      </w:r>
    </w:p>
    <w:p w14:paraId="34486ECF">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5</w:t>
      </w:r>
      <w:r>
        <w:rPr>
          <w:rFonts w:hint="eastAsia" w:ascii="宋体" w:hAnsi="宋体" w:cs="宋体"/>
          <w:bCs/>
          <w:color w:val="auto"/>
          <w:sz w:val="22"/>
          <w:highlight w:val="none"/>
        </w:rPr>
        <w:t>.2评标委员会依据法律、法规及招标文件有关规定按评审后得分（即商务技术分与报价得分之和）由高到低顺序排序，得分前二名的投标人确定为该项目的第一和第二中标候选人（得分相同的，按投标报价由低</w:t>
      </w:r>
      <w:r>
        <w:rPr>
          <w:rFonts w:hint="eastAsia" w:ascii="宋体" w:hAnsi="宋体" w:cs="宋体"/>
          <w:color w:val="auto"/>
          <w:sz w:val="22"/>
          <w:szCs w:val="22"/>
          <w:highlight w:val="none"/>
        </w:rPr>
        <w:t>到高顺序排列。得分且投标报价相同的并列。）向招标人推荐。</w:t>
      </w:r>
    </w:p>
    <w:p w14:paraId="6E6969AD">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6</w:t>
      </w:r>
      <w:r>
        <w:rPr>
          <w:rFonts w:hint="eastAsia" w:ascii="宋体" w:hAnsi="宋体" w:cs="宋体"/>
          <w:bCs/>
          <w:color w:val="auto"/>
          <w:sz w:val="22"/>
          <w:highlight w:val="none"/>
        </w:rPr>
        <w:t>、确定中标人</w:t>
      </w:r>
    </w:p>
    <w:p w14:paraId="29D00A5F">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6</w:t>
      </w:r>
      <w:r>
        <w:rPr>
          <w:rFonts w:hint="eastAsia" w:ascii="宋体" w:hAnsi="宋体" w:cs="宋体"/>
          <w:bCs/>
          <w:color w:val="auto"/>
          <w:sz w:val="22"/>
          <w:highlight w:val="none"/>
        </w:rPr>
        <w:t>.1招标人按照书面评标报告中推荐的中标候选供应商顺序确定中标人；也可以事先授权评标委员会</w:t>
      </w:r>
      <w:r>
        <w:rPr>
          <w:rFonts w:hint="eastAsia" w:ascii="宋体" w:hAnsi="宋体" w:cs="宋体"/>
          <w:color w:val="auto"/>
          <w:sz w:val="22"/>
          <w:szCs w:val="22"/>
          <w:highlight w:val="none"/>
        </w:rPr>
        <w:t>按照推荐的中标候选供应商顺序直接确定中标人。中标候选人并列的，由评标委员会全体成员记名投票按少数服从多数的原则确定排名。</w:t>
      </w:r>
    </w:p>
    <w:p w14:paraId="008C118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1F3A377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、起草、签署评审报告</w:t>
      </w:r>
    </w:p>
    <w:p w14:paraId="0EBD701F">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6713F69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8</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中标人确定后，招标人将在政府指定媒体公告中标结果，招标人向中标人发出中标通知书。</w:t>
      </w:r>
    </w:p>
    <w:p w14:paraId="5E481E8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、招标人对决标结果不做任何解释，也不保证最低价中标。</w:t>
      </w:r>
    </w:p>
    <w:p w14:paraId="54980F67">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、评标细则详见“评标原则及方法”。</w:t>
      </w:r>
    </w:p>
    <w:p w14:paraId="0A2466DE">
      <w:pPr>
        <w:spacing w:before="100" w:beforeAutospacing="1" w:after="100" w:afterAutospacing="1" w:line="440" w:lineRule="exact"/>
        <w:jc w:val="center"/>
        <w:outlineLvl w:val="1"/>
        <w:rPr>
          <w:rFonts w:ascii="宋体" w:hAnsi="宋体" w:cs="宋体"/>
          <w:b/>
          <w:bCs/>
          <w:color w:val="auto"/>
          <w:sz w:val="26"/>
          <w:szCs w:val="26"/>
          <w:highlight w:val="none"/>
        </w:rPr>
      </w:pPr>
      <w:bookmarkStart w:id="22" w:name="_Toc26836"/>
      <w:bookmarkStart w:id="23" w:name="_Toc21056"/>
      <w:r>
        <w:rPr>
          <w:rFonts w:hint="eastAsia" w:ascii="宋体" w:hAnsi="宋体" w:cs="宋体"/>
          <w:b/>
          <w:bCs/>
          <w:color w:val="auto"/>
          <w:sz w:val="26"/>
          <w:szCs w:val="26"/>
          <w:highlight w:val="none"/>
        </w:rPr>
        <w:t>六、 授予合同</w:t>
      </w:r>
      <w:bookmarkEnd w:id="22"/>
      <w:bookmarkEnd w:id="23"/>
    </w:p>
    <w:p w14:paraId="7FB109BA">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6C5EC1D7">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1.1中标人确定后，招标人将向中标人发出中标通知书。 </w:t>
      </w:r>
    </w:p>
    <w:p w14:paraId="385F9046">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1.2中标通知书是合同的一个组成部分,对招标人和中标人均具有同等法律效力。</w:t>
      </w:r>
    </w:p>
    <w:p w14:paraId="4CE9BF26">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10EC027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2.1招标人在授予合同时有权对采购货物的数量和服务在一定幅度范围内予以增加或减少,但不得对单价和其他的条款和条件作任何改变。</w:t>
      </w:r>
    </w:p>
    <w:p w14:paraId="7FC3A08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425A336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3.1中标人应按中标通知书规定的时间、地点与招标人签订合同。</w:t>
      </w:r>
    </w:p>
    <w:p w14:paraId="72EA1811">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7836FBA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3.3招标文件、中标人的投标文件、投标修改文件、评标过程中有关澄清文件及经投标人和评委双方签字的询标纪要和中标通知书均作为合同附件。</w:t>
      </w:r>
    </w:p>
    <w:p w14:paraId="6EF1698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45727332">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6B64F52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0F290EB3">
      <w:pPr>
        <w:spacing w:line="460" w:lineRule="exact"/>
        <w:ind w:firstLine="568" w:firstLineChars="245"/>
        <w:rPr>
          <w:rFonts w:ascii="宋体" w:hAnsi="宋体" w:cs="宋体"/>
          <w:bCs/>
          <w:color w:val="auto"/>
          <w:sz w:val="22"/>
          <w:highlight w:val="none"/>
        </w:rPr>
      </w:pPr>
      <w:r>
        <w:rPr>
          <w:rFonts w:hint="eastAsia" w:ascii="宋体" w:hAnsi="宋体" w:cs="宋体"/>
          <w:bCs/>
          <w:color w:val="auto"/>
          <w:spacing w:val="6"/>
          <w:sz w:val="22"/>
          <w:szCs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55999DB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49F5E12A">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5FE82261">
      <w:pPr>
        <w:rPr>
          <w:rFonts w:ascii="宋体" w:hAnsi="宋体" w:cs="宋体"/>
          <w:color w:val="auto"/>
          <w:highlight w:val="none"/>
        </w:rPr>
      </w:pPr>
      <w:bookmarkStart w:id="24" w:name="_Toc19043"/>
      <w:bookmarkStart w:id="25" w:name="_Toc28194"/>
    </w:p>
    <w:p w14:paraId="2A2F034E">
      <w:pPr>
        <w:rPr>
          <w:rFonts w:ascii="宋体" w:hAnsi="宋体" w:cs="宋体"/>
          <w:color w:val="auto"/>
          <w:highlight w:val="none"/>
        </w:rPr>
      </w:pPr>
      <w:r>
        <w:rPr>
          <w:rFonts w:hint="eastAsia" w:ascii="宋体" w:hAnsi="宋体" w:cs="宋体"/>
          <w:color w:val="auto"/>
          <w:highlight w:val="none"/>
        </w:rPr>
        <w:br w:type="page"/>
      </w:r>
    </w:p>
    <w:bookmarkEnd w:id="24"/>
    <w:bookmarkEnd w:id="25"/>
    <w:p w14:paraId="26A95F22">
      <w:pPr>
        <w:pStyle w:val="5"/>
        <w:rPr>
          <w:rFonts w:ascii="宋体" w:hAnsi="宋体" w:eastAsia="宋体" w:cs="宋体"/>
          <w:color w:val="auto"/>
          <w:highlight w:val="none"/>
        </w:rPr>
      </w:pPr>
      <w:bookmarkStart w:id="26" w:name="_Toc18439"/>
      <w:bookmarkStart w:id="27" w:name="_Toc19081"/>
      <w:r>
        <w:rPr>
          <w:rFonts w:hint="eastAsia" w:ascii="宋体" w:hAnsi="宋体" w:eastAsia="宋体" w:cs="宋体"/>
          <w:color w:val="auto"/>
          <w:highlight w:val="none"/>
        </w:rPr>
        <w:t>第二部分    合同主要条款</w:t>
      </w:r>
    </w:p>
    <w:p w14:paraId="1A426BA9">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color w:val="auto"/>
          <w:sz w:val="22"/>
          <w:szCs w:val="22"/>
          <w:highlight w:val="none"/>
        </w:rPr>
        <w:t>注：如甲、乙双方同意，合同格式也可以按照其他形式, 具体条款以甲方为主协商确定。但合同条款的基本内容应与以下要求的内容相一致。</w:t>
      </w:r>
    </w:p>
    <w:p w14:paraId="0128F097">
      <w:pPr>
        <w:spacing w:line="360" w:lineRule="auto"/>
        <w:ind w:left="-283" w:leftChars="-135" w:right="-617" w:rightChars="-294"/>
        <w:rPr>
          <w:rFonts w:hint="eastAsia" w:ascii="宋体" w:hAnsi="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 xml:space="preserve">温州市人民医院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14:paraId="1AA27B31">
      <w:pPr>
        <w:spacing w:line="360" w:lineRule="auto"/>
        <w:ind w:left="-283" w:leftChars="-135" w:right="-617" w:rightChars="-294"/>
        <w:rPr>
          <w:rFonts w:hint="eastAsia"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XXXXXXXXXXXXX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（供应商）</w:t>
      </w:r>
    </w:p>
    <w:p w14:paraId="665CD254">
      <w:pPr>
        <w:spacing w:line="380" w:lineRule="exact"/>
        <w:ind w:left="-283" w:leftChars="-135" w:right="-617" w:rightChars="-294" w:firstLine="420" w:firstLineChars="200"/>
        <w:rPr>
          <w:rFonts w:hint="eastAsia" w:ascii="宋体" w:hAnsi="宋体" w:cs="宋体"/>
          <w:color w:val="auto"/>
          <w:szCs w:val="21"/>
          <w:highlight w:val="none"/>
          <w:lang w:val="zh-CN"/>
        </w:rPr>
      </w:pPr>
      <w:r>
        <w:rPr>
          <w:rFonts w:hint="eastAsia" w:ascii="宋体" w:hAnsi="宋体"/>
          <w:color w:val="auto"/>
          <w:szCs w:val="21"/>
          <w:highlight w:val="none"/>
        </w:rPr>
        <w:t>甲乙双方根据</w:t>
      </w:r>
      <w:r>
        <w:rPr>
          <w:rFonts w:hint="eastAsia" w:ascii="宋体" w:hAnsi="宋体"/>
          <w:color w:val="auto"/>
          <w:szCs w:val="21"/>
          <w:highlight w:val="none"/>
          <w:u w:val="single"/>
        </w:rPr>
        <w:t>（项目编号：</w:t>
      </w:r>
      <w:r>
        <w:rPr>
          <w:rFonts w:ascii="宋体" w:hAnsi="宋体"/>
          <w:color w:val="auto"/>
          <w:szCs w:val="21"/>
          <w:highlight w:val="none"/>
          <w:u w:val="single"/>
        </w:rPr>
        <w:t>XXXXX</w:t>
      </w:r>
      <w:r>
        <w:rPr>
          <w:rFonts w:hint="eastAsia" w:ascii="宋体" w:hAnsi="宋体"/>
          <w:color w:val="auto"/>
          <w:szCs w:val="21"/>
          <w:highlight w:val="none"/>
          <w:u w:val="single"/>
        </w:rPr>
        <w:t xml:space="preserve"> ，执行书</w:t>
      </w:r>
      <w:r>
        <w:rPr>
          <w:rFonts w:ascii="宋体" w:hAnsi="宋体"/>
          <w:color w:val="auto"/>
          <w:szCs w:val="21"/>
          <w:highlight w:val="none"/>
          <w:u w:val="single"/>
        </w:rPr>
        <w:t>编号</w:t>
      </w:r>
      <w:r>
        <w:rPr>
          <w:rFonts w:hint="eastAsia" w:ascii="宋体" w:hAnsi="宋体"/>
          <w:color w:val="auto"/>
          <w:szCs w:val="21"/>
          <w:highlight w:val="none"/>
          <w:u w:val="single"/>
        </w:rPr>
        <w:t>：</w:t>
      </w:r>
      <w:r>
        <w:rPr>
          <w:rFonts w:ascii="宋体" w:hAnsi="宋体"/>
          <w:color w:val="auto"/>
          <w:szCs w:val="21"/>
          <w:highlight w:val="none"/>
          <w:u w:val="single"/>
        </w:rPr>
        <w:t>XXXX</w:t>
      </w:r>
      <w:r>
        <w:rPr>
          <w:rFonts w:hint="eastAsia" w:ascii="宋体" w:hAnsi="宋体"/>
          <w:color w:val="auto"/>
          <w:szCs w:val="21"/>
          <w:highlight w:val="none"/>
        </w:rPr>
        <w:t>）的招标结果和《中华人民共和国民法典》，经友好协商，就</w:t>
      </w:r>
      <w:r>
        <w:rPr>
          <w:rFonts w:ascii="宋体" w:hAnsi="宋体"/>
          <w:color w:val="auto"/>
          <w:szCs w:val="21"/>
          <w:highlight w:val="none"/>
        </w:rPr>
        <w:t>乙方向甲方供应</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X</w:t>
      </w:r>
      <w:r>
        <w:rPr>
          <w:rFonts w:ascii="宋体" w:hAnsi="宋体"/>
          <w:color w:val="auto"/>
          <w:szCs w:val="21"/>
          <w:highlight w:val="none"/>
          <w:u w:val="single"/>
        </w:rPr>
        <w:t>XXXXXX</w:t>
      </w:r>
      <w:r>
        <w:rPr>
          <w:rFonts w:hint="eastAsia" w:ascii="宋体" w:hAnsi="宋体"/>
          <w:color w:val="auto"/>
          <w:szCs w:val="21"/>
          <w:highlight w:val="none"/>
          <w:u w:val="single"/>
        </w:rPr>
        <w:t xml:space="preserve">   </w:t>
      </w:r>
      <w:r>
        <w:rPr>
          <w:rFonts w:hint="eastAsia" w:ascii="宋体" w:hAnsi="宋体"/>
          <w:color w:val="auto"/>
          <w:szCs w:val="21"/>
          <w:highlight w:val="none"/>
        </w:rPr>
        <w:t>项目签订本合同：</w:t>
      </w:r>
    </w:p>
    <w:p w14:paraId="11FDC975">
      <w:pPr>
        <w:pStyle w:val="29"/>
        <w:spacing w:before="120" w:after="120" w:line="440" w:lineRule="exact"/>
        <w:ind w:firstLine="420" w:firstLineChars="199"/>
        <w:rPr>
          <w:rFonts w:hint="eastAsia" w:hAnsi="宋体"/>
          <w:bCs/>
          <w:color w:val="auto"/>
          <w:highlight w:val="none"/>
        </w:rPr>
      </w:pPr>
      <w:bookmarkStart w:id="28" w:name="_Toc10601"/>
      <w:r>
        <w:rPr>
          <w:rFonts w:hAnsi="宋体"/>
          <w:bCs/>
          <w:color w:val="auto"/>
          <w:highlight w:val="none"/>
        </w:rPr>
        <w:t>一、</w:t>
      </w:r>
      <w:r>
        <w:rPr>
          <w:rFonts w:hint="eastAsia" w:hAnsi="宋体"/>
          <w:bCs/>
          <w:color w:val="auto"/>
          <w:highlight w:val="none"/>
        </w:rPr>
        <w:t>项目内容</w:t>
      </w:r>
      <w:bookmarkEnd w:id="28"/>
    </w:p>
    <w:tbl>
      <w:tblPr>
        <w:tblStyle w:val="53"/>
        <w:tblW w:w="1002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61"/>
        <w:gridCol w:w="4358"/>
        <w:gridCol w:w="1148"/>
        <w:gridCol w:w="1162"/>
        <w:gridCol w:w="1140"/>
        <w:gridCol w:w="614"/>
      </w:tblGrid>
      <w:tr w14:paraId="41E1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263CB5">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序号</w:t>
            </w:r>
          </w:p>
        </w:tc>
        <w:tc>
          <w:tcPr>
            <w:tcW w:w="0" w:type="auto"/>
            <w:vAlign w:val="center"/>
          </w:tcPr>
          <w:p w14:paraId="65F3D63A">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项目名称</w:t>
            </w:r>
          </w:p>
        </w:tc>
        <w:tc>
          <w:tcPr>
            <w:tcW w:w="4358" w:type="dxa"/>
            <w:vAlign w:val="center"/>
          </w:tcPr>
          <w:p w14:paraId="566E4D2E">
            <w:pPr>
              <w:spacing w:line="460" w:lineRule="exact"/>
              <w:jc w:val="center"/>
              <w:rPr>
                <w:rFonts w:hint="eastAsia" w:ascii="宋体" w:hAnsi="宋体" w:cs="新宋体"/>
                <w:b/>
                <w:bCs/>
                <w:color w:val="auto"/>
                <w:kern w:val="0"/>
                <w:sz w:val="22"/>
                <w:szCs w:val="22"/>
                <w:highlight w:val="none"/>
                <w:lang w:eastAsia="zh-Hans"/>
              </w:rPr>
            </w:pPr>
            <w:r>
              <w:rPr>
                <w:rFonts w:hint="eastAsia" w:ascii="宋体" w:hAnsi="宋体" w:cs="新宋体"/>
                <w:b/>
                <w:bCs/>
                <w:color w:val="auto"/>
                <w:kern w:val="0"/>
                <w:sz w:val="22"/>
                <w:szCs w:val="22"/>
                <w:highlight w:val="none"/>
                <w:lang w:eastAsia="zh-Hans"/>
              </w:rPr>
              <w:t>工作内容</w:t>
            </w:r>
          </w:p>
        </w:tc>
        <w:tc>
          <w:tcPr>
            <w:tcW w:w="1148" w:type="dxa"/>
            <w:vAlign w:val="center"/>
          </w:tcPr>
          <w:p w14:paraId="6093BCF1">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计价单位</w:t>
            </w:r>
            <w:r>
              <w:rPr>
                <w:rFonts w:hint="eastAsia" w:ascii="宋体" w:hAnsi="宋体" w:eastAsia="宋体" w:cs="宋体"/>
                <w:color w:val="auto"/>
                <w:kern w:val="0"/>
                <w:sz w:val="22"/>
                <w:szCs w:val="22"/>
                <w:highlight w:val="none"/>
              </w:rPr>
              <w:t>(疗程）</w:t>
            </w:r>
          </w:p>
        </w:tc>
        <w:tc>
          <w:tcPr>
            <w:tcW w:w="1162" w:type="dxa"/>
            <w:vAlign w:val="center"/>
          </w:tcPr>
          <w:p w14:paraId="0F45C3DE">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服务供应商收案及履约</w:t>
            </w:r>
          </w:p>
          <w:p w14:paraId="732387F3">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单价(元/疗程）</w:t>
            </w:r>
          </w:p>
        </w:tc>
        <w:tc>
          <w:tcPr>
            <w:tcW w:w="1140" w:type="dxa"/>
          </w:tcPr>
          <w:p w14:paraId="325A983C">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lang w:val="en-US" w:eastAsia="zh-CN"/>
              </w:rPr>
              <w:t>医院</w:t>
            </w:r>
            <w:r>
              <w:rPr>
                <w:rFonts w:hint="eastAsia" w:ascii="宋体" w:hAnsi="宋体" w:cs="新宋体"/>
                <w:b/>
                <w:bCs/>
                <w:color w:val="auto"/>
                <w:kern w:val="0"/>
                <w:sz w:val="22"/>
                <w:szCs w:val="22"/>
                <w:highlight w:val="none"/>
              </w:rPr>
              <w:t>收案及履约</w:t>
            </w:r>
          </w:p>
          <w:p w14:paraId="35237661">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单价(元/疗程）</w:t>
            </w:r>
          </w:p>
        </w:tc>
        <w:tc>
          <w:tcPr>
            <w:tcW w:w="614" w:type="dxa"/>
            <w:vAlign w:val="center"/>
          </w:tcPr>
          <w:p w14:paraId="2C813FE1">
            <w:pPr>
              <w:spacing w:line="460" w:lineRule="exact"/>
              <w:jc w:val="center"/>
              <w:rPr>
                <w:rFonts w:hint="eastAsia" w:ascii="宋体" w:hAnsi="宋体" w:cs="新宋体"/>
                <w:b/>
                <w:bCs/>
                <w:color w:val="auto"/>
                <w:kern w:val="0"/>
                <w:sz w:val="22"/>
                <w:szCs w:val="22"/>
                <w:highlight w:val="none"/>
              </w:rPr>
            </w:pPr>
            <w:r>
              <w:rPr>
                <w:rFonts w:hint="eastAsia" w:ascii="宋体" w:hAnsi="宋体" w:cs="新宋体"/>
                <w:b/>
                <w:bCs/>
                <w:color w:val="auto"/>
                <w:kern w:val="0"/>
                <w:sz w:val="22"/>
                <w:szCs w:val="22"/>
                <w:highlight w:val="none"/>
              </w:rPr>
              <w:t>备注</w:t>
            </w:r>
          </w:p>
          <w:p w14:paraId="757C7001">
            <w:pPr>
              <w:spacing w:line="460" w:lineRule="exact"/>
              <w:jc w:val="center"/>
              <w:rPr>
                <w:rFonts w:hint="eastAsia" w:ascii="宋体" w:hAnsi="宋体" w:cs="新宋体"/>
                <w:b/>
                <w:bCs/>
                <w:color w:val="auto"/>
                <w:kern w:val="0"/>
                <w:sz w:val="22"/>
                <w:szCs w:val="22"/>
                <w:highlight w:val="none"/>
              </w:rPr>
            </w:pPr>
          </w:p>
        </w:tc>
      </w:tr>
      <w:tr w14:paraId="1627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0E421DD3">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197EE5FF">
            <w:pPr>
              <w:jc w:val="center"/>
              <w:rPr>
                <w:rFonts w:hint="default" w:ascii="宋体" w:hAnsi="宋体"/>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专病</w:t>
            </w:r>
            <w:r>
              <w:rPr>
                <w:rFonts w:hint="eastAsia" w:ascii="宋体" w:hAnsi="宋体" w:cs="宋体"/>
                <w:i w:val="0"/>
                <w:iCs w:val="0"/>
                <w:color w:val="auto"/>
                <w:kern w:val="0"/>
                <w:sz w:val="22"/>
                <w:szCs w:val="22"/>
                <w:highlight w:val="none"/>
                <w:u w:val="none"/>
                <w:lang w:val="en-US" w:eastAsia="zh-CN" w:bidi="ar"/>
              </w:rPr>
              <w:t>短期管理</w:t>
            </w:r>
          </w:p>
        </w:tc>
        <w:tc>
          <w:tcPr>
            <w:tcW w:w="4358" w:type="dxa"/>
            <w:shd w:val="clear" w:color="auto" w:fill="auto"/>
            <w:vAlign w:val="center"/>
          </w:tcPr>
          <w:p w14:paraId="344A1FE9">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基于离院诊断及专家医⽣确认的该专病管理路径，由医⽣、护⼠等组成的疾病管理团队成员，通过电话、微信、⼩程序、APP、现场等⽅式，对购买了此项服务的患者提供专病管理服务⼯作，包括主动为患者提供1次疾病管理⽅案制订，1次复诊提醒（按医嘱要求），1次远程疾病主动管理服务（包含疾病跟踪、⽤药指导、营养宣教等）</w:t>
            </w:r>
            <w:r>
              <w:rPr>
                <w:rFonts w:hint="eastAsia" w:ascii="宋体" w:hAnsi="宋体" w:eastAsia="宋体" w:cs="宋体"/>
                <w:i w:val="0"/>
                <w:iCs w:val="0"/>
                <w:color w:val="auto"/>
                <w:kern w:val="0"/>
                <w:sz w:val="20"/>
                <w:szCs w:val="20"/>
                <w:highlight w:val="none"/>
                <w:u w:val="none"/>
                <w:lang w:val="en-US" w:eastAsia="zh-CN" w:bidi="ar"/>
              </w:rPr>
              <w:t>管理期一周为一个疗程。</w:t>
            </w:r>
          </w:p>
        </w:tc>
        <w:tc>
          <w:tcPr>
            <w:tcW w:w="1148" w:type="dxa"/>
            <w:vAlign w:val="center"/>
          </w:tcPr>
          <w:p w14:paraId="1AB6F0EF">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lang w:val="en-US" w:eastAsia="zh-CN"/>
              </w:rPr>
              <w:t>1</w:t>
            </w:r>
          </w:p>
        </w:tc>
        <w:tc>
          <w:tcPr>
            <w:tcW w:w="1162" w:type="dxa"/>
            <w:vAlign w:val="center"/>
          </w:tcPr>
          <w:p w14:paraId="7745B8A5">
            <w:pPr>
              <w:widowControl/>
              <w:jc w:val="center"/>
              <w:rPr>
                <w:rFonts w:hint="eastAsia" w:ascii="宋体" w:hAnsi="宋体"/>
                <w:color w:val="auto"/>
                <w:highlight w:val="none"/>
              </w:rPr>
            </w:pPr>
          </w:p>
        </w:tc>
        <w:tc>
          <w:tcPr>
            <w:tcW w:w="1140" w:type="dxa"/>
          </w:tcPr>
          <w:p w14:paraId="48C97825">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7412F3FD">
            <w:pPr>
              <w:widowControl/>
              <w:spacing w:line="460" w:lineRule="exact"/>
              <w:jc w:val="center"/>
              <w:textAlignment w:val="center"/>
              <w:rPr>
                <w:rFonts w:hint="eastAsia" w:ascii="宋体" w:hAnsi="宋体" w:cs="新宋体"/>
                <w:color w:val="auto"/>
                <w:kern w:val="0"/>
                <w:sz w:val="22"/>
                <w:szCs w:val="22"/>
                <w:highlight w:val="none"/>
                <w:lang w:bidi="ar"/>
              </w:rPr>
            </w:pPr>
          </w:p>
        </w:tc>
      </w:tr>
      <w:tr w14:paraId="50F4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7458481C">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79D3549A">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短期精细化管理</w:t>
            </w:r>
          </w:p>
        </w:tc>
        <w:tc>
          <w:tcPr>
            <w:tcW w:w="4358" w:type="dxa"/>
            <w:vAlign w:val="center"/>
          </w:tcPr>
          <w:p w14:paraId="3B6190A8">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由专业人员（医生、护士、健康管理师等）组成的疾病管理团队，通过电话、微信、小程序、现场等方式，对患者进行短期的医疗照护服务，包含疾病跟踪、健康宣教、用药指导、复诊提醒等，对患者离院居家过程实现早发现、早干预、早治疗，提高患者疾病认知，短期促进患者依从性，提高患者心理健康，管理期两周为一个疗程。</w:t>
            </w:r>
          </w:p>
        </w:tc>
        <w:tc>
          <w:tcPr>
            <w:tcW w:w="1148" w:type="dxa"/>
            <w:vAlign w:val="center"/>
          </w:tcPr>
          <w:p w14:paraId="28F7487C">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31A49384">
            <w:pPr>
              <w:widowControl/>
              <w:jc w:val="center"/>
              <w:rPr>
                <w:rFonts w:hint="eastAsia" w:ascii="宋体" w:hAnsi="宋体"/>
                <w:color w:val="auto"/>
                <w:highlight w:val="none"/>
              </w:rPr>
            </w:pPr>
          </w:p>
        </w:tc>
        <w:tc>
          <w:tcPr>
            <w:tcW w:w="1140" w:type="dxa"/>
          </w:tcPr>
          <w:p w14:paraId="11BBF9F6">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7370FF06">
            <w:pPr>
              <w:widowControl/>
              <w:spacing w:line="460" w:lineRule="exact"/>
              <w:jc w:val="center"/>
              <w:textAlignment w:val="center"/>
              <w:rPr>
                <w:rFonts w:hint="eastAsia" w:ascii="宋体" w:hAnsi="宋体" w:cs="新宋体"/>
                <w:color w:val="auto"/>
                <w:kern w:val="0"/>
                <w:sz w:val="22"/>
                <w:szCs w:val="22"/>
                <w:highlight w:val="none"/>
                <w:lang w:bidi="ar"/>
              </w:rPr>
            </w:pPr>
          </w:p>
        </w:tc>
      </w:tr>
      <w:tr w14:paraId="6DFC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4C02F77E">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28DD763D">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专病短期精细化管理(家庭医护保健服务)</w:t>
            </w:r>
          </w:p>
        </w:tc>
        <w:tc>
          <w:tcPr>
            <w:tcW w:w="4358" w:type="dxa"/>
            <w:vAlign w:val="center"/>
          </w:tcPr>
          <w:p w14:paraId="530DD75A">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健康管理师等）组成的疾病管理团队，通过电话、微信、小程序、APP、上门、现场等方式，对患者进行短期的医疗照护强化管理服务，包含疾病跟踪、健康宣教、用药指导、复诊提醒、智能评估等，对患者离院居家过程实现早发现、早干预、早治疗，提高患者疾病认知，促进患者依从性，提高患者心理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管理期一个月为一个疗程。</w:t>
            </w:r>
          </w:p>
        </w:tc>
        <w:tc>
          <w:tcPr>
            <w:tcW w:w="1148" w:type="dxa"/>
            <w:vAlign w:val="center"/>
          </w:tcPr>
          <w:p w14:paraId="550B85B0">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3614A3A7">
            <w:pPr>
              <w:widowControl/>
              <w:jc w:val="center"/>
              <w:rPr>
                <w:rFonts w:hint="eastAsia" w:ascii="宋体" w:hAnsi="宋体"/>
                <w:color w:val="auto"/>
                <w:highlight w:val="none"/>
              </w:rPr>
            </w:pPr>
          </w:p>
        </w:tc>
        <w:tc>
          <w:tcPr>
            <w:tcW w:w="1140" w:type="dxa"/>
          </w:tcPr>
          <w:p w14:paraId="50D71B07">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6734C1D1">
            <w:pPr>
              <w:widowControl/>
              <w:spacing w:line="460" w:lineRule="exact"/>
              <w:jc w:val="center"/>
              <w:textAlignment w:val="center"/>
              <w:rPr>
                <w:rFonts w:hint="eastAsia" w:ascii="宋体" w:hAnsi="宋体" w:cs="新宋体"/>
                <w:color w:val="auto"/>
                <w:kern w:val="0"/>
                <w:sz w:val="22"/>
                <w:szCs w:val="22"/>
                <w:highlight w:val="none"/>
                <w:lang w:bidi="ar"/>
              </w:rPr>
            </w:pPr>
          </w:p>
        </w:tc>
      </w:tr>
      <w:tr w14:paraId="442A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07E6FAAC">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432B5840">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专病精细化标准管理(家庭医护保健服务)</w:t>
            </w:r>
          </w:p>
        </w:tc>
        <w:tc>
          <w:tcPr>
            <w:tcW w:w="4358" w:type="dxa"/>
            <w:vAlign w:val="center"/>
          </w:tcPr>
          <w:p w14:paraId="70E558D4">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药师、健康管理师等）组成的疾病管理团队，通过电话、微信、小程序、APP、上门、现场等方式，对其进行疾病评估、制定疾病标准管理方案，按需提供包括疾病风险评估、用药、饮食、运动、复诊、注射等需方当期需要的特定管理服务；阶段性的为患者给出病情评估报告，医生参与点评与异常情况解答，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管理期三个月为一个疗程。</w:t>
            </w:r>
          </w:p>
        </w:tc>
        <w:tc>
          <w:tcPr>
            <w:tcW w:w="1148" w:type="dxa"/>
            <w:vAlign w:val="center"/>
          </w:tcPr>
          <w:p w14:paraId="298DA518">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3A0348BC">
            <w:pPr>
              <w:widowControl/>
              <w:jc w:val="center"/>
              <w:rPr>
                <w:rFonts w:hint="eastAsia" w:ascii="宋体" w:hAnsi="宋体"/>
                <w:color w:val="auto"/>
                <w:highlight w:val="none"/>
              </w:rPr>
            </w:pPr>
          </w:p>
        </w:tc>
        <w:tc>
          <w:tcPr>
            <w:tcW w:w="1140" w:type="dxa"/>
          </w:tcPr>
          <w:p w14:paraId="2B0A24EC">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3F37364B">
            <w:pPr>
              <w:widowControl/>
              <w:spacing w:line="460" w:lineRule="exact"/>
              <w:jc w:val="center"/>
              <w:textAlignment w:val="center"/>
              <w:rPr>
                <w:rFonts w:hint="eastAsia" w:ascii="宋体" w:hAnsi="宋体" w:cs="新宋体"/>
                <w:color w:val="auto"/>
                <w:kern w:val="0"/>
                <w:sz w:val="22"/>
                <w:szCs w:val="22"/>
                <w:highlight w:val="none"/>
                <w:lang w:bidi="ar"/>
              </w:rPr>
            </w:pPr>
          </w:p>
        </w:tc>
      </w:tr>
      <w:tr w14:paraId="41B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699F158">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4ACC93E3">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专病精细化强化管理(家庭医护保健服务)</w:t>
            </w:r>
          </w:p>
        </w:tc>
        <w:tc>
          <w:tcPr>
            <w:tcW w:w="4358" w:type="dxa"/>
            <w:vAlign w:val="center"/>
          </w:tcPr>
          <w:p w14:paraId="255239EB">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药师、健康管理师等）组成的疾病管理团队，通过电话、微信、小程序、APP、上门、现场等方式，对其进行疾病评估和制定疾病强化管理方案，根据病情需求进行个案强化管理包括疾病风险评估及异常解答、用药、饮食、运动、复诊、注射、出诊、个性化的营养或运动康复指导、患者依从性管理等需方当期需要的特定管理服务，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管理期三个月为一个疗程。</w:t>
            </w:r>
          </w:p>
        </w:tc>
        <w:tc>
          <w:tcPr>
            <w:tcW w:w="1148" w:type="dxa"/>
            <w:vAlign w:val="center"/>
          </w:tcPr>
          <w:p w14:paraId="5E84A6AA">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21FAADBD">
            <w:pPr>
              <w:widowControl/>
              <w:jc w:val="center"/>
              <w:rPr>
                <w:rFonts w:hint="eastAsia" w:ascii="宋体" w:hAnsi="宋体"/>
                <w:color w:val="auto"/>
                <w:highlight w:val="none"/>
              </w:rPr>
            </w:pPr>
          </w:p>
        </w:tc>
        <w:tc>
          <w:tcPr>
            <w:tcW w:w="1140" w:type="dxa"/>
          </w:tcPr>
          <w:p w14:paraId="28E7E74E">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63A1654A">
            <w:pPr>
              <w:widowControl/>
              <w:spacing w:line="460" w:lineRule="exact"/>
              <w:jc w:val="center"/>
              <w:textAlignment w:val="center"/>
              <w:rPr>
                <w:rFonts w:hint="eastAsia" w:ascii="宋体" w:hAnsi="宋体" w:cs="新宋体"/>
                <w:color w:val="auto"/>
                <w:kern w:val="0"/>
                <w:sz w:val="22"/>
                <w:szCs w:val="22"/>
                <w:highlight w:val="none"/>
              </w:rPr>
            </w:pPr>
          </w:p>
        </w:tc>
      </w:tr>
      <w:tr w14:paraId="6F30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E5F1563">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60C4427E">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专病精细化全程管理(家庭医护保健服务)</w:t>
            </w:r>
          </w:p>
        </w:tc>
        <w:tc>
          <w:tcPr>
            <w:tcW w:w="4358" w:type="dxa"/>
            <w:vAlign w:val="center"/>
          </w:tcPr>
          <w:p w14:paraId="6437B935">
            <w:pPr>
              <w:jc w:val="left"/>
              <w:rPr>
                <w:rFonts w:hint="eastAsia" w:ascii="宋体" w:hAnsi="宋体"/>
                <w:color w:val="auto"/>
                <w:highlight w:val="none"/>
              </w:rPr>
            </w:pPr>
            <w:r>
              <w:rPr>
                <w:rFonts w:hint="eastAsia" w:ascii="宋体" w:hAnsi="宋体" w:eastAsia="宋体" w:cs="宋体"/>
                <w:color w:val="auto"/>
                <w:sz w:val="22"/>
                <w:szCs w:val="22"/>
                <w:highlight w:val="none"/>
              </w:rPr>
              <w:t>由专业人员（医生、护士、健康管理师等）组成的疾病管理团队，对其进行疾病评估和制定疾病全程管理方案，根据病情需求进行个案全程管理包括疾病风险评估及异常解答、用药指导、个性化的营养及运动康复指导、患者依从性管理等，并提供定期上门服务，</w:t>
            </w:r>
            <w:r>
              <w:rPr>
                <w:rFonts w:hint="eastAsia" w:ascii="宋体" w:hAnsi="宋体" w:eastAsia="宋体" w:cs="宋体"/>
                <w:color w:val="auto"/>
                <w:kern w:val="0"/>
                <w:sz w:val="22"/>
                <w:szCs w:val="22"/>
                <w:highlight w:val="none"/>
                <w:lang w:bidi="ar"/>
              </w:rPr>
              <w:t>管理期3个月为一个疗程。</w:t>
            </w:r>
          </w:p>
        </w:tc>
        <w:tc>
          <w:tcPr>
            <w:tcW w:w="1148" w:type="dxa"/>
            <w:vAlign w:val="center"/>
          </w:tcPr>
          <w:p w14:paraId="48C91380">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64FDE8E5">
            <w:pPr>
              <w:widowControl/>
              <w:jc w:val="center"/>
              <w:rPr>
                <w:rFonts w:hint="eastAsia" w:ascii="宋体" w:hAnsi="宋体"/>
                <w:color w:val="auto"/>
                <w:highlight w:val="none"/>
              </w:rPr>
            </w:pPr>
          </w:p>
        </w:tc>
        <w:tc>
          <w:tcPr>
            <w:tcW w:w="1140" w:type="dxa"/>
          </w:tcPr>
          <w:p w14:paraId="7BDC7965">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542A2096">
            <w:pPr>
              <w:widowControl/>
              <w:spacing w:line="460" w:lineRule="exact"/>
              <w:jc w:val="center"/>
              <w:textAlignment w:val="center"/>
              <w:rPr>
                <w:rFonts w:hint="eastAsia" w:ascii="宋体" w:hAnsi="宋体" w:cs="新宋体"/>
                <w:color w:val="auto"/>
                <w:sz w:val="22"/>
                <w:szCs w:val="22"/>
                <w:highlight w:val="none"/>
              </w:rPr>
            </w:pPr>
          </w:p>
        </w:tc>
      </w:tr>
      <w:tr w14:paraId="0292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434B3BDD">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38445CA3">
            <w:pPr>
              <w:pStyle w:val="36"/>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专病强干预管理(家庭医护保健服务)</w:t>
            </w:r>
          </w:p>
        </w:tc>
        <w:tc>
          <w:tcPr>
            <w:tcW w:w="4358" w:type="dxa"/>
            <w:vAlign w:val="center"/>
          </w:tcPr>
          <w:p w14:paraId="31A29A67">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上门、现场等方式，根据专家医生预先确定的病种管理要求，对专病患者制定个性化可执行的强化干预方案（饮食强化干预或运动康复强化干预）、病情症状采集与干预指导、复诊管理、异常监测指标指导、用药指导、注射、出诊等需方当期需要的特定管理服务，促进患者对疾病的认知，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1148" w:type="dxa"/>
            <w:vAlign w:val="center"/>
          </w:tcPr>
          <w:p w14:paraId="460A3C4E">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11B862D7">
            <w:pPr>
              <w:widowControl/>
              <w:jc w:val="center"/>
              <w:rPr>
                <w:rFonts w:hint="eastAsia" w:ascii="宋体" w:hAnsi="宋体"/>
                <w:color w:val="auto"/>
                <w:highlight w:val="none"/>
              </w:rPr>
            </w:pPr>
          </w:p>
        </w:tc>
        <w:tc>
          <w:tcPr>
            <w:tcW w:w="1140" w:type="dxa"/>
          </w:tcPr>
          <w:p w14:paraId="69B49829">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503E56BA">
            <w:pPr>
              <w:widowControl/>
              <w:spacing w:line="460" w:lineRule="exact"/>
              <w:jc w:val="center"/>
              <w:textAlignment w:val="center"/>
              <w:rPr>
                <w:rFonts w:hint="eastAsia" w:ascii="宋体" w:hAnsi="宋体" w:cs="新宋体"/>
                <w:color w:val="auto"/>
                <w:sz w:val="22"/>
                <w:szCs w:val="22"/>
                <w:highlight w:val="none"/>
              </w:rPr>
            </w:pPr>
          </w:p>
        </w:tc>
      </w:tr>
      <w:tr w14:paraId="38F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6CCF1CC">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6F64F3DA">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专病强干预综合管理(家庭医护保健服务)</w:t>
            </w:r>
          </w:p>
        </w:tc>
        <w:tc>
          <w:tcPr>
            <w:tcW w:w="4358" w:type="dxa"/>
            <w:vAlign w:val="center"/>
          </w:tcPr>
          <w:p w14:paraId="0EEBF3C0">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现场等方式，根据专家医生预先确定的病种管理要求，对专病患者制定个性化强化干预方案，并每周进行跟踪调整：包括每周饮食强化干预、每周运动强化干预、病情症状采集与干预指导、复诊管理强化干预、异常指标干预并按需提供用药指导、注射、出诊等服务，促进患者对疾病的认知，督促患者养成健康的生活习惯，预防并发症，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管理期1个月为一个疗程。</w:t>
            </w:r>
          </w:p>
        </w:tc>
        <w:tc>
          <w:tcPr>
            <w:tcW w:w="1148" w:type="dxa"/>
            <w:vAlign w:val="center"/>
          </w:tcPr>
          <w:p w14:paraId="0CF2C27A">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581B7EDC">
            <w:pPr>
              <w:widowControl/>
              <w:jc w:val="center"/>
              <w:rPr>
                <w:rFonts w:hint="eastAsia" w:ascii="宋体" w:hAnsi="宋体"/>
                <w:color w:val="auto"/>
                <w:highlight w:val="none"/>
              </w:rPr>
            </w:pPr>
          </w:p>
        </w:tc>
        <w:tc>
          <w:tcPr>
            <w:tcW w:w="1140" w:type="dxa"/>
          </w:tcPr>
          <w:p w14:paraId="31DEB522">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47D7B2D1">
            <w:pPr>
              <w:widowControl/>
              <w:spacing w:line="460" w:lineRule="exact"/>
              <w:jc w:val="center"/>
              <w:textAlignment w:val="center"/>
              <w:rPr>
                <w:rFonts w:hint="eastAsia" w:ascii="宋体" w:hAnsi="宋体" w:cs="新宋体"/>
                <w:color w:val="auto"/>
                <w:sz w:val="22"/>
                <w:szCs w:val="22"/>
                <w:highlight w:val="none"/>
              </w:rPr>
            </w:pPr>
          </w:p>
        </w:tc>
      </w:tr>
      <w:tr w14:paraId="6ACC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7CAA59E4">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2E47728B">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专病治疗性生活方式干预管理(家庭医护保健服务)</w:t>
            </w:r>
          </w:p>
        </w:tc>
        <w:tc>
          <w:tcPr>
            <w:tcW w:w="4358" w:type="dxa"/>
            <w:vAlign w:val="center"/>
          </w:tcPr>
          <w:p w14:paraId="06021BEF">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健康管理师、药师、营养师、运动康复师等）组成疾病管理团队，通过电话、微信、小程序、APP、上门、面访等方式，管理期内对有需要通过治疗性生活方式进行治疗的患者人群进行多学科生活方式联合干预管理，包括建立动态档案、跟踪和监测相关健康数据指标，并结合人工智能技术每日为患者提供个性化的运动和饮食方案，并监督、跟踪、指导患者对生活方式改进情况；督促患者对养成健康的生活习惯，按需提供用药指导、注射、出诊等服务，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1148" w:type="dxa"/>
            <w:vAlign w:val="center"/>
          </w:tcPr>
          <w:p w14:paraId="19F666B6">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1CCF0127">
            <w:pPr>
              <w:widowControl/>
              <w:jc w:val="center"/>
              <w:rPr>
                <w:rFonts w:hint="eastAsia" w:ascii="宋体" w:hAnsi="宋体"/>
                <w:color w:val="auto"/>
                <w:highlight w:val="none"/>
              </w:rPr>
            </w:pPr>
          </w:p>
        </w:tc>
        <w:tc>
          <w:tcPr>
            <w:tcW w:w="1140" w:type="dxa"/>
          </w:tcPr>
          <w:p w14:paraId="4C6BEF03">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63BD289E">
            <w:pPr>
              <w:widowControl/>
              <w:spacing w:line="460" w:lineRule="exact"/>
              <w:jc w:val="center"/>
              <w:textAlignment w:val="center"/>
              <w:rPr>
                <w:rFonts w:hint="eastAsia" w:ascii="宋体" w:hAnsi="宋体" w:cs="新宋体"/>
                <w:color w:val="auto"/>
                <w:kern w:val="0"/>
                <w:sz w:val="22"/>
                <w:szCs w:val="22"/>
                <w:highlight w:val="none"/>
              </w:rPr>
            </w:pPr>
          </w:p>
        </w:tc>
      </w:tr>
      <w:tr w14:paraId="244E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65F500F">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018F22D9">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多学科生活方式强化干预（家庭医护保健服务）</w:t>
            </w:r>
          </w:p>
        </w:tc>
        <w:tc>
          <w:tcPr>
            <w:tcW w:w="4358" w:type="dxa"/>
            <w:vAlign w:val="center"/>
          </w:tcPr>
          <w:p w14:paraId="6B3898AD">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由专业人员（医生、护士、健康管理师、药师、营养师、运动康复师、心理咨询师等）组成的疾病管理团队，通过电话、微信、小程序、APP、上门、面访等方式，管理期内对有需要通过治疗性生活方式进行治疗的患者人群进行个性化的多学科生活方式强化干预管理，如每日饮食强化干预、每日运动强化干预、病情症状采集与干预指导、复诊管理强化干预、异常指标干预，并提供阶段性管理成效汇报。促进患者对疾病的认知，督促患者养成健康的生活习惯，预防并发症，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1148" w:type="dxa"/>
            <w:vAlign w:val="center"/>
          </w:tcPr>
          <w:p w14:paraId="75460760">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1A95F439">
            <w:pPr>
              <w:widowControl/>
              <w:jc w:val="center"/>
              <w:rPr>
                <w:rFonts w:hint="eastAsia" w:ascii="宋体" w:hAnsi="宋体"/>
                <w:color w:val="auto"/>
                <w:highlight w:val="none"/>
              </w:rPr>
            </w:pPr>
          </w:p>
        </w:tc>
        <w:tc>
          <w:tcPr>
            <w:tcW w:w="1140" w:type="dxa"/>
          </w:tcPr>
          <w:p w14:paraId="05C6FC69">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3DCE097C">
            <w:pPr>
              <w:widowControl/>
              <w:spacing w:line="460" w:lineRule="exact"/>
              <w:jc w:val="center"/>
              <w:textAlignment w:val="center"/>
              <w:rPr>
                <w:rFonts w:hint="eastAsia" w:ascii="宋体" w:hAnsi="宋体" w:cs="新宋体"/>
                <w:color w:val="auto"/>
                <w:kern w:val="0"/>
                <w:sz w:val="22"/>
                <w:szCs w:val="22"/>
                <w:highlight w:val="none"/>
              </w:rPr>
            </w:pPr>
          </w:p>
        </w:tc>
      </w:tr>
      <w:tr w14:paraId="6B3E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2238D9D6">
            <w:pPr>
              <w:pStyle w:val="331"/>
              <w:numPr>
                <w:ilvl w:val="0"/>
                <w:numId w:val="2"/>
              </w:numPr>
              <w:ind w:left="0" w:leftChars="0" w:firstLine="0" w:firstLineChars="0"/>
              <w:jc w:val="center"/>
              <w:rPr>
                <w:rFonts w:hint="eastAsia" w:ascii="宋体" w:hAnsi="宋体" w:cs="新宋体"/>
                <w:color w:val="auto"/>
                <w:kern w:val="0"/>
                <w:sz w:val="22"/>
                <w:szCs w:val="22"/>
                <w:highlight w:val="none"/>
              </w:rPr>
            </w:pPr>
          </w:p>
        </w:tc>
        <w:tc>
          <w:tcPr>
            <w:tcW w:w="1161" w:type="dxa"/>
            <w:vAlign w:val="center"/>
          </w:tcPr>
          <w:p w14:paraId="5E34871C">
            <w:pPr>
              <w:jc w:val="center"/>
              <w:rPr>
                <w:rFonts w:hint="eastAsia" w:ascii="宋体" w:hAnsi="宋体"/>
                <w:color w:val="auto"/>
                <w:highlight w:val="none"/>
              </w:rPr>
            </w:pPr>
            <w:r>
              <w:rPr>
                <w:rFonts w:hint="eastAsia" w:ascii="宋体" w:hAnsi="宋体" w:eastAsia="宋体" w:cs="宋体"/>
                <w:color w:val="auto"/>
                <w:kern w:val="0"/>
                <w:sz w:val="22"/>
                <w:szCs w:val="22"/>
                <w:highlight w:val="none"/>
                <w:lang w:bidi="ar"/>
              </w:rPr>
              <w:t>多学科生活方式联合干预（家庭医护保健服务）</w:t>
            </w:r>
          </w:p>
        </w:tc>
        <w:tc>
          <w:tcPr>
            <w:tcW w:w="4358" w:type="dxa"/>
            <w:vAlign w:val="center"/>
          </w:tcPr>
          <w:p w14:paraId="07A0C432">
            <w:pPr>
              <w:jc w:val="left"/>
              <w:rPr>
                <w:rFonts w:hint="eastAsia" w:ascii="宋体" w:hAnsi="宋体"/>
                <w:color w:val="auto"/>
                <w:highlight w:val="none"/>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现场等方式，根据专家医生预先确定的病种管理要求，提供专病患者多学科生活方式强化干预管理服务工作，并每周进行跟踪调整：包括每周饮食强化干预、每周运动强化干预、病情症状采集与干预指导、复诊管理强化干预、异常指标干预并按需提供用药指导、出诊等服务，促进患者对疾病的认知，督促患者养成健康的生活习惯，预防并发症，提高患者治疗的依从性，提升治疗康复效果，促进健康；管理期3个月为一个疗程。包括：</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1、至少2次人体测量、2次的体成分分析和报告解读</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2、至少2次营养评估、2次营养管理方案制定、2次营养方案指导</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3、至少2次运动评估、2次运动方案制定、2次运动方案指导</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4、3个月内营养点评、运动点评</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5、3次复诊强化提醒</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6、至少2次阶段性管理点评</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7、健康咨询服务：管理期内根据患者需要提供在线的社群健康咨询服务，按需提供远程健康指标异常跟踪服务；</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8、管理期3个月为一个疗程；促进健康，提供定期上门服务；管理期3个月为一个疗程。</w:t>
            </w:r>
          </w:p>
        </w:tc>
        <w:tc>
          <w:tcPr>
            <w:tcW w:w="1148" w:type="dxa"/>
            <w:vAlign w:val="center"/>
          </w:tcPr>
          <w:p w14:paraId="3EF000C5">
            <w:pPr>
              <w:widowControl/>
              <w:jc w:val="center"/>
              <w:textAlignment w:val="center"/>
              <w:rPr>
                <w:rFonts w:hint="eastAsia" w:ascii="宋体" w:hAnsi="宋体"/>
                <w:color w:val="auto"/>
                <w:highlight w:val="none"/>
              </w:rPr>
            </w:pPr>
            <w:r>
              <w:rPr>
                <w:rFonts w:hint="eastAsia" w:ascii="宋体" w:hAnsi="宋体" w:eastAsia="宋体" w:cs="宋体"/>
                <w:color w:val="auto"/>
                <w:sz w:val="22"/>
                <w:szCs w:val="22"/>
                <w:highlight w:val="none"/>
              </w:rPr>
              <w:t>1</w:t>
            </w:r>
          </w:p>
        </w:tc>
        <w:tc>
          <w:tcPr>
            <w:tcW w:w="1162" w:type="dxa"/>
            <w:vAlign w:val="center"/>
          </w:tcPr>
          <w:p w14:paraId="651902CC">
            <w:pPr>
              <w:widowControl/>
              <w:jc w:val="center"/>
              <w:rPr>
                <w:rFonts w:hint="eastAsia" w:ascii="宋体" w:hAnsi="宋体"/>
                <w:color w:val="auto"/>
                <w:highlight w:val="none"/>
              </w:rPr>
            </w:pPr>
          </w:p>
        </w:tc>
        <w:tc>
          <w:tcPr>
            <w:tcW w:w="1140" w:type="dxa"/>
          </w:tcPr>
          <w:p w14:paraId="28650210">
            <w:pPr>
              <w:widowControl/>
              <w:spacing w:line="460" w:lineRule="exact"/>
              <w:jc w:val="center"/>
              <w:textAlignment w:val="center"/>
              <w:rPr>
                <w:rFonts w:hint="eastAsia" w:ascii="宋体" w:hAnsi="宋体" w:cs="新宋体"/>
                <w:color w:val="auto"/>
                <w:kern w:val="0"/>
                <w:sz w:val="22"/>
                <w:szCs w:val="22"/>
                <w:highlight w:val="none"/>
              </w:rPr>
            </w:pPr>
          </w:p>
        </w:tc>
        <w:tc>
          <w:tcPr>
            <w:tcW w:w="614" w:type="dxa"/>
            <w:vAlign w:val="center"/>
          </w:tcPr>
          <w:p w14:paraId="549A1B5F">
            <w:pPr>
              <w:widowControl/>
              <w:spacing w:line="460" w:lineRule="exact"/>
              <w:jc w:val="center"/>
              <w:textAlignment w:val="center"/>
              <w:rPr>
                <w:rFonts w:hint="eastAsia" w:ascii="宋体" w:hAnsi="宋体" w:cs="新宋体"/>
                <w:color w:val="auto"/>
                <w:kern w:val="0"/>
                <w:sz w:val="22"/>
                <w:szCs w:val="22"/>
                <w:highlight w:val="none"/>
              </w:rPr>
            </w:pPr>
          </w:p>
        </w:tc>
      </w:tr>
    </w:tbl>
    <w:p w14:paraId="76D7057C">
      <w:pPr>
        <w:spacing w:line="46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1、最终服务费用单价为固定综合单价。固定综合单价必须包括乙方在提供服务所需的一切人员的符合国家规定的工资、福利、各种加班费、误餐费、各种社会保险、食宿与交通、设备及工具、器材、服装、安全、管理费用、税费、利润、完成合同所需的一切本身和不可或缺的所有工作开支、政策性文件规定及合同包含的所有风险、责任等各项全部费用并承担一切风险责任。固定</w:t>
      </w:r>
      <w:r>
        <w:rPr>
          <w:rFonts w:ascii="宋体" w:hAnsi="宋体"/>
          <w:color w:val="auto"/>
          <w:sz w:val="22"/>
          <w:szCs w:val="22"/>
          <w:highlight w:val="none"/>
        </w:rPr>
        <w:t>综合单价</w:t>
      </w:r>
      <w:r>
        <w:rPr>
          <w:rFonts w:hint="eastAsia" w:ascii="宋体" w:hAnsi="宋体"/>
          <w:color w:val="auto"/>
          <w:sz w:val="22"/>
          <w:szCs w:val="22"/>
          <w:highlight w:val="none"/>
        </w:rPr>
        <w:t>需要</w:t>
      </w:r>
      <w:r>
        <w:rPr>
          <w:rFonts w:ascii="宋体" w:hAnsi="宋体"/>
          <w:color w:val="auto"/>
          <w:sz w:val="22"/>
          <w:szCs w:val="22"/>
          <w:highlight w:val="none"/>
        </w:rPr>
        <w:t>调整</w:t>
      </w:r>
      <w:r>
        <w:rPr>
          <w:rFonts w:hint="eastAsia" w:ascii="宋体" w:hAnsi="宋体"/>
          <w:color w:val="auto"/>
          <w:sz w:val="22"/>
          <w:szCs w:val="22"/>
          <w:highlight w:val="none"/>
        </w:rPr>
        <w:t>的由</w:t>
      </w:r>
      <w:r>
        <w:rPr>
          <w:rFonts w:ascii="宋体" w:hAnsi="宋体"/>
          <w:color w:val="auto"/>
          <w:sz w:val="22"/>
          <w:szCs w:val="22"/>
          <w:highlight w:val="none"/>
        </w:rPr>
        <w:t>双方</w:t>
      </w:r>
      <w:r>
        <w:rPr>
          <w:rFonts w:hint="eastAsia" w:ascii="宋体" w:hAnsi="宋体"/>
          <w:color w:val="auto"/>
          <w:sz w:val="22"/>
          <w:szCs w:val="22"/>
          <w:highlight w:val="none"/>
        </w:rPr>
        <w:t>友好</w:t>
      </w:r>
      <w:r>
        <w:rPr>
          <w:rFonts w:ascii="宋体" w:hAnsi="宋体"/>
          <w:color w:val="auto"/>
          <w:sz w:val="22"/>
          <w:szCs w:val="22"/>
          <w:highlight w:val="none"/>
        </w:rPr>
        <w:t>协商</w:t>
      </w:r>
      <w:r>
        <w:rPr>
          <w:rFonts w:hint="eastAsia" w:ascii="宋体" w:hAnsi="宋体"/>
          <w:color w:val="auto"/>
          <w:sz w:val="22"/>
          <w:szCs w:val="22"/>
          <w:highlight w:val="none"/>
        </w:rPr>
        <w:t>。</w:t>
      </w:r>
    </w:p>
    <w:p w14:paraId="31FA5338">
      <w:pPr>
        <w:spacing w:line="460" w:lineRule="exact"/>
        <w:ind w:firstLine="539" w:firstLineChars="245"/>
        <w:rPr>
          <w:rFonts w:hint="eastAsia" w:ascii="宋体" w:hAnsi="宋体"/>
          <w:b/>
          <w:color w:val="auto"/>
          <w:highlight w:val="none"/>
        </w:rPr>
      </w:pPr>
      <w:r>
        <w:rPr>
          <w:rFonts w:hint="eastAsia" w:ascii="宋体" w:hAnsi="宋体"/>
          <w:color w:val="auto"/>
          <w:sz w:val="22"/>
          <w:szCs w:val="22"/>
          <w:highlight w:val="none"/>
        </w:rPr>
        <w:t>2、乙方认为为完成本项目承包内容所需发生的直接成本、简接成本、利润、税金、政策性文件规定的费用、等一切费用、等一切费用均应计入合同价格;凡未列入的，将被认为均已包含在合同价格中，今后不得以任何理由追加或调整。</w:t>
      </w:r>
    </w:p>
    <w:p w14:paraId="6B5757D8">
      <w:pPr>
        <w:pStyle w:val="29"/>
        <w:spacing w:before="120" w:after="120" w:line="440" w:lineRule="exact"/>
        <w:ind w:firstLine="420" w:firstLineChars="199"/>
        <w:rPr>
          <w:rFonts w:hint="eastAsia" w:hAnsi="宋体" w:cs="宋体"/>
          <w:color w:val="auto"/>
          <w:highlight w:val="none"/>
        </w:rPr>
      </w:pPr>
      <w:r>
        <w:rPr>
          <w:rFonts w:hint="eastAsia" w:hAnsi="宋体" w:cs="宋体"/>
          <w:color w:val="auto"/>
          <w:highlight w:val="none"/>
        </w:rPr>
        <w:t>二、合同</w:t>
      </w:r>
      <w:r>
        <w:rPr>
          <w:rFonts w:hint="eastAsia" w:hAnsi="宋体"/>
          <w:bCs/>
          <w:color w:val="auto"/>
          <w:highlight w:val="none"/>
        </w:rPr>
        <w:t>服务</w:t>
      </w:r>
      <w:r>
        <w:rPr>
          <w:rFonts w:hint="eastAsia" w:hAnsi="宋体" w:cs="宋体"/>
          <w:color w:val="auto"/>
          <w:highlight w:val="none"/>
        </w:rPr>
        <w:t>项目款</w:t>
      </w:r>
    </w:p>
    <w:p w14:paraId="10D1E4C5">
      <w:pPr>
        <w:pStyle w:val="11"/>
        <w:rPr>
          <w:rFonts w:hint="eastAsia" w:ascii="宋体" w:hAnsi="宋体"/>
          <w:color w:val="auto"/>
          <w:highlight w:val="none"/>
        </w:rPr>
      </w:pPr>
      <w:r>
        <w:rPr>
          <w:rFonts w:hint="eastAsia" w:ascii="宋体" w:hAnsi="宋体"/>
          <w:color w:val="auto"/>
          <w:highlight w:val="none"/>
        </w:rPr>
        <w:t>本项目预算为</w:t>
      </w:r>
      <w:r>
        <w:rPr>
          <w:rFonts w:hint="eastAsia" w:ascii="宋体" w:hAnsi="宋体"/>
          <w:color w:val="auto"/>
          <w:highlight w:val="none"/>
          <w:lang w:eastAsia="zh-CN"/>
        </w:rPr>
        <w:t>560</w:t>
      </w:r>
      <w:r>
        <w:rPr>
          <w:rFonts w:hint="eastAsia" w:ascii="宋体" w:hAnsi="宋体"/>
          <w:color w:val="auto"/>
          <w:highlight w:val="none"/>
        </w:rPr>
        <w:t>万，服务期1年满后或支付费用达到本项目预算，合同终止。</w:t>
      </w:r>
    </w:p>
    <w:p w14:paraId="5F42113D">
      <w:pPr>
        <w:pStyle w:val="29"/>
        <w:spacing w:before="120" w:after="120" w:line="360" w:lineRule="auto"/>
        <w:ind w:firstLine="422"/>
        <w:rPr>
          <w:rFonts w:hint="eastAsia" w:hAnsi="宋体" w:cs="宋体"/>
          <w:color w:val="auto"/>
          <w:highlight w:val="none"/>
        </w:rPr>
      </w:pPr>
      <w:r>
        <w:rPr>
          <w:rFonts w:hint="eastAsia" w:hAnsi="宋体" w:cs="宋体"/>
          <w:color w:val="auto"/>
          <w:highlight w:val="none"/>
        </w:rPr>
        <w:t>三、服务期限</w:t>
      </w:r>
    </w:p>
    <w:p w14:paraId="049C296E">
      <w:pPr>
        <w:spacing w:line="460" w:lineRule="exac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202</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年  月  日到202</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年  月  日</w:t>
      </w:r>
    </w:p>
    <w:p w14:paraId="75EE1362">
      <w:pPr>
        <w:pStyle w:val="29"/>
        <w:spacing w:before="120" w:after="120" w:line="360" w:lineRule="auto"/>
        <w:ind w:firstLine="422"/>
        <w:rPr>
          <w:rFonts w:hint="eastAsia" w:hAnsi="宋体" w:cs="宋体"/>
          <w:color w:val="auto"/>
          <w:highlight w:val="none"/>
        </w:rPr>
      </w:pPr>
      <w:r>
        <w:rPr>
          <w:rFonts w:hint="eastAsia" w:hAnsi="宋体" w:cs="宋体"/>
          <w:color w:val="auto"/>
          <w:highlight w:val="none"/>
        </w:rPr>
        <w:t>四、交货方式、地点</w:t>
      </w:r>
    </w:p>
    <w:p w14:paraId="496AA02B">
      <w:pPr>
        <w:spacing w:line="440" w:lineRule="exact"/>
        <w:ind w:firstLine="420"/>
        <w:rPr>
          <w:rFonts w:hint="eastAsia" w:ascii="宋体" w:hAnsi="宋体" w:cs="宋体"/>
          <w:color w:val="auto"/>
          <w:szCs w:val="21"/>
          <w:highlight w:val="none"/>
        </w:rPr>
      </w:pPr>
      <w:bookmarkStart w:id="29" w:name="_Toc9536"/>
      <w:r>
        <w:rPr>
          <w:rFonts w:hint="eastAsia" w:ascii="宋体" w:hAnsi="宋体" w:cs="宋体"/>
          <w:color w:val="auto"/>
          <w:szCs w:val="21"/>
          <w:highlight w:val="none"/>
        </w:rPr>
        <w:t>合同签订后，甲方安排指定地点。</w:t>
      </w:r>
    </w:p>
    <w:p w14:paraId="1A8F7E58">
      <w:pPr>
        <w:pStyle w:val="29"/>
        <w:spacing w:before="120" w:after="120" w:line="360" w:lineRule="auto"/>
        <w:ind w:firstLine="422"/>
        <w:rPr>
          <w:rFonts w:hint="eastAsia" w:hAnsi="宋体" w:cs="宋体"/>
          <w:color w:val="auto"/>
          <w:highlight w:val="none"/>
        </w:rPr>
      </w:pPr>
      <w:r>
        <w:rPr>
          <w:rFonts w:hint="eastAsia" w:hAnsi="宋体"/>
          <w:color w:val="auto"/>
          <w:highlight w:val="none"/>
        </w:rPr>
        <w:t>五、</w:t>
      </w:r>
      <w:bookmarkEnd w:id="29"/>
      <w:r>
        <w:rPr>
          <w:rFonts w:hint="eastAsia" w:hAnsi="宋体" w:cs="宋体"/>
          <w:color w:val="auto"/>
          <w:highlight w:val="none"/>
        </w:rPr>
        <w:t>根据业主要求</w:t>
      </w:r>
    </w:p>
    <w:p w14:paraId="0DEEBEF4">
      <w:pPr>
        <w:pStyle w:val="29"/>
        <w:spacing w:before="120" w:after="120" w:line="360" w:lineRule="auto"/>
        <w:ind w:firstLine="422"/>
        <w:rPr>
          <w:rFonts w:hint="eastAsia" w:hAnsi="宋体" w:cs="宋体"/>
          <w:color w:val="auto"/>
          <w:highlight w:val="none"/>
        </w:rPr>
      </w:pPr>
      <w:r>
        <w:rPr>
          <w:rFonts w:hint="eastAsia" w:hAnsi="宋体" w:cs="宋体"/>
          <w:color w:val="auto"/>
          <w:highlight w:val="none"/>
        </w:rPr>
        <w:t>六、异议期：在合同履行过程中发生争议，双方应当协商解决。</w:t>
      </w:r>
    </w:p>
    <w:p w14:paraId="1B2046F9">
      <w:pPr>
        <w:numPr>
          <w:ilvl w:val="0"/>
          <w:numId w:val="3"/>
        </w:numPr>
        <w:spacing w:line="360" w:lineRule="auto"/>
        <w:ind w:firstLine="420"/>
        <w:rPr>
          <w:rFonts w:hint="eastAsia" w:ascii="宋体" w:hAnsi="宋体" w:cs="宋体"/>
          <w:color w:val="auto"/>
          <w:sz w:val="22"/>
          <w:szCs w:val="22"/>
          <w:highlight w:val="none"/>
        </w:rPr>
      </w:pPr>
      <w:r>
        <w:rPr>
          <w:rFonts w:hint="eastAsia" w:ascii="宋体" w:hAnsi="宋体"/>
          <w:b/>
          <w:color w:val="auto"/>
          <w:highlight w:val="none"/>
        </w:rPr>
        <w:t>七、付款方式：</w:t>
      </w:r>
    </w:p>
    <w:p w14:paraId="404F7801">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采购人根据采购人根据上月份实际新增的精细化管理服务患者人次数乘以各项套餐包单项报价及考核结果（考核标准见附件）进行按月结算。采购人自收到正规发票之日起30日内完成付款，中标人须出具符合采购人要求的发票，否则中标人自行承担延迟付款的责任。双方若对金额存在异议的，不影响无异议部分金额的支付。</w:t>
      </w:r>
    </w:p>
    <w:p w14:paraId="43BB8505">
      <w:pPr>
        <w:spacing w:line="440" w:lineRule="exact"/>
        <w:ind w:firstLine="422" w:firstLineChars="200"/>
        <w:rPr>
          <w:rFonts w:hint="eastAsia" w:ascii="宋体" w:hAnsi="宋体"/>
          <w:b/>
          <w:color w:val="auto"/>
          <w:highlight w:val="none"/>
        </w:rPr>
      </w:pPr>
      <w:r>
        <w:rPr>
          <w:rFonts w:hint="eastAsia" w:ascii="宋体" w:hAnsi="宋体"/>
          <w:b/>
          <w:bCs/>
          <w:color w:val="auto"/>
          <w:highlight w:val="none"/>
        </w:rPr>
        <w:t>八、履约保证金:</w:t>
      </w:r>
    </w:p>
    <w:p w14:paraId="0BEAF5AC">
      <w:pPr>
        <w:pStyle w:val="36"/>
        <w:ind w:firstLine="420" w:firstLineChars="200"/>
        <w:rPr>
          <w:color w:val="auto"/>
          <w:highlight w:val="none"/>
        </w:rPr>
      </w:pPr>
      <w:r>
        <w:rPr>
          <w:rFonts w:hint="eastAsia"/>
          <w:color w:val="auto"/>
          <w:highlight w:val="none"/>
        </w:rPr>
        <w:t>本项目不收取履约保证金。</w:t>
      </w:r>
    </w:p>
    <w:p w14:paraId="4FDF8DB1">
      <w:pPr>
        <w:spacing w:line="440" w:lineRule="exact"/>
        <w:ind w:firstLine="422" w:firstLineChars="200"/>
        <w:rPr>
          <w:rFonts w:hint="eastAsia" w:ascii="宋体" w:hAnsi="宋体"/>
          <w:b/>
          <w:color w:val="auto"/>
          <w:highlight w:val="none"/>
        </w:rPr>
      </w:pPr>
      <w:r>
        <w:rPr>
          <w:rFonts w:hint="eastAsia" w:ascii="宋体" w:hAnsi="宋体"/>
          <w:b/>
          <w:bCs/>
          <w:color w:val="auto"/>
          <w:highlight w:val="none"/>
        </w:rPr>
        <w:t>九、违</w:t>
      </w:r>
      <w:r>
        <w:rPr>
          <w:rFonts w:hint="eastAsia" w:ascii="宋体" w:hAnsi="宋体"/>
          <w:b/>
          <w:color w:val="auto"/>
          <w:highlight w:val="none"/>
        </w:rPr>
        <w:t>约责任：</w:t>
      </w:r>
    </w:p>
    <w:p w14:paraId="4E4BA0B5">
      <w:pPr>
        <w:spacing w:line="440" w:lineRule="exact"/>
        <w:rPr>
          <w:rFonts w:hint="eastAsia" w:ascii="宋体" w:hAnsi="宋体"/>
          <w:color w:val="auto"/>
          <w:highlight w:val="none"/>
        </w:rPr>
      </w:pPr>
      <w:r>
        <w:rPr>
          <w:rFonts w:hint="eastAsia" w:ascii="宋体" w:hAnsi="宋体"/>
          <w:color w:val="auto"/>
          <w:highlight w:val="none"/>
        </w:rPr>
        <w:t xml:space="preserve">    如乙方延期交(提)货（除不可抗拒的因素外）、甲方延期付款(有正当拒付理由者除外)，由于甲方的使用单位延期的原因要求延期交货等情况，由双方协商解决，如协商不成则可按合同争议处理方式处理。</w:t>
      </w:r>
    </w:p>
    <w:p w14:paraId="46611EB0">
      <w:pPr>
        <w:spacing w:line="440" w:lineRule="exact"/>
        <w:rPr>
          <w:rFonts w:hint="eastAsia" w:ascii="宋体" w:hAnsi="宋体"/>
          <w:color w:val="auto"/>
          <w:highlight w:val="none"/>
        </w:rPr>
      </w:pPr>
      <w:r>
        <w:rPr>
          <w:rFonts w:ascii="宋体" w:hAnsi="宋体"/>
          <w:color w:val="auto"/>
          <w:highlight w:val="none"/>
        </w:rPr>
        <w:t xml:space="preserve">   </w:t>
      </w:r>
      <w:r>
        <w:rPr>
          <w:rFonts w:hint="eastAsia" w:ascii="宋体" w:hAnsi="宋体"/>
          <w:b/>
          <w:color w:val="auto"/>
          <w:highlight w:val="none"/>
        </w:rPr>
        <w:t xml:space="preserve"> 十、合同相关文件：</w:t>
      </w:r>
      <w:r>
        <w:rPr>
          <w:rFonts w:hint="eastAsia" w:ascii="宋体" w:hAnsi="宋体"/>
          <w:color w:val="auto"/>
          <w:highlight w:val="none"/>
        </w:rPr>
        <w:t>有关本次采购项目的采购文件以及相关的函件如答疑函、承诺函等均为本合同不可分割的一部份。若“本次采购项目的采购文件以及相关的函件、如答疑函、承诺函”与本合同有出入时，以“本次采购项目的采购文件以及相关的函件如答疑函、承诺函”为准。</w:t>
      </w:r>
    </w:p>
    <w:p w14:paraId="16E32519">
      <w:pPr>
        <w:spacing w:line="440" w:lineRule="exact"/>
        <w:rPr>
          <w:rFonts w:hint="eastAsia" w:ascii="宋体" w:hAnsi="宋体"/>
          <w:color w:val="auto"/>
          <w:highlight w:val="none"/>
        </w:rPr>
      </w:pPr>
      <w:r>
        <w:rPr>
          <w:rFonts w:hint="eastAsia" w:ascii="宋体" w:hAnsi="宋体"/>
          <w:b/>
          <w:color w:val="auto"/>
          <w:highlight w:val="none"/>
        </w:rPr>
        <w:t xml:space="preserve">    十一、合同在执行过程中出现的未尽事宜，</w:t>
      </w:r>
      <w:r>
        <w:rPr>
          <w:rFonts w:hint="eastAsia" w:ascii="宋体" w:hAnsi="宋体"/>
          <w:color w:val="auto"/>
          <w:highlight w:val="none"/>
        </w:rPr>
        <w:t>双方在不违背本合同和采购(招标)文件的原则下，协商解决，协商结果以书面形式盖章记录在案，作为本合同的附件，具有同等效力。</w:t>
      </w:r>
    </w:p>
    <w:p w14:paraId="2312FDC9">
      <w:pPr>
        <w:spacing w:line="440" w:lineRule="exact"/>
        <w:rPr>
          <w:rFonts w:hint="eastAsia" w:ascii="宋体" w:hAnsi="宋体"/>
          <w:color w:val="auto"/>
          <w:highlight w:val="none"/>
        </w:rPr>
      </w:pPr>
      <w:r>
        <w:rPr>
          <w:rFonts w:hint="eastAsia" w:ascii="宋体" w:hAnsi="宋体"/>
          <w:b/>
          <w:color w:val="auto"/>
          <w:highlight w:val="none"/>
        </w:rPr>
        <w:t xml:space="preserve">    十二、合同争议处理方式：</w:t>
      </w:r>
      <w:r>
        <w:rPr>
          <w:rFonts w:hint="eastAsia" w:ascii="宋体" w:hAnsi="宋体"/>
          <w:color w:val="auto"/>
          <w:highlight w:val="none"/>
        </w:rPr>
        <w:t>本合同在履行中若发生争议，双方应协商解决。协商不成时，按下列第</w:t>
      </w:r>
      <w:r>
        <w:rPr>
          <w:rFonts w:hint="eastAsia" w:ascii="宋体" w:hAnsi="宋体"/>
          <w:color w:val="auto"/>
          <w:highlight w:val="none"/>
          <w:u w:val="single"/>
        </w:rPr>
        <w:t xml:space="preserve">（2） </w:t>
      </w:r>
      <w:r>
        <w:rPr>
          <w:rFonts w:hint="eastAsia" w:ascii="宋体" w:hAnsi="宋体"/>
          <w:color w:val="auto"/>
          <w:highlight w:val="none"/>
        </w:rPr>
        <w:t>种方式处理：</w:t>
      </w:r>
    </w:p>
    <w:p w14:paraId="2A9EC95C">
      <w:pPr>
        <w:spacing w:line="360" w:lineRule="auto"/>
        <w:rPr>
          <w:rFonts w:hint="eastAsia" w:ascii="宋体" w:hAnsi="宋体"/>
          <w:color w:val="auto"/>
          <w:highlight w:val="none"/>
        </w:rPr>
      </w:pPr>
      <w:r>
        <w:rPr>
          <w:rFonts w:hint="eastAsia" w:ascii="宋体" w:hAnsi="宋体"/>
          <w:color w:val="auto"/>
          <w:highlight w:val="none"/>
        </w:rPr>
        <w:t xml:space="preserve">    (1)提交</w:t>
      </w:r>
      <w:r>
        <w:rPr>
          <w:rFonts w:hint="eastAsia" w:ascii="宋体" w:hAnsi="宋体"/>
          <w:color w:val="auto"/>
          <w:highlight w:val="none"/>
          <w:u w:val="single"/>
        </w:rPr>
        <w:t xml:space="preserve"> 温州 </w:t>
      </w:r>
      <w:r>
        <w:rPr>
          <w:rFonts w:hint="eastAsia" w:ascii="宋体" w:hAnsi="宋体"/>
          <w:color w:val="auto"/>
          <w:highlight w:val="none"/>
        </w:rPr>
        <w:t>仲裁委员会仲裁。    (2)依法向甲方人民法院起诉。</w:t>
      </w:r>
    </w:p>
    <w:p w14:paraId="289F90E3">
      <w:pPr>
        <w:spacing w:line="360" w:lineRule="auto"/>
        <w:ind w:firstLine="630" w:firstLineChars="300"/>
        <w:rPr>
          <w:rFonts w:hint="eastAsia" w:ascii="宋体" w:hAnsi="宋体"/>
          <w:color w:val="auto"/>
          <w:highlight w:val="none"/>
        </w:rPr>
      </w:pPr>
      <w:r>
        <w:rPr>
          <w:rFonts w:hint="eastAsia" w:ascii="宋体" w:hAnsi="宋体"/>
          <w:color w:val="auto"/>
          <w:highlight w:val="none"/>
        </w:rPr>
        <w:t xml:space="preserve">本合同一式五份，甲方执叁份、乙执贰份。合同附件和本合同均具有同等法律效力。   </w:t>
      </w:r>
    </w:p>
    <w:p w14:paraId="0C860C5D">
      <w:pPr>
        <w:spacing w:line="440" w:lineRule="exact"/>
        <w:ind w:firstLine="420"/>
        <w:rPr>
          <w:rFonts w:hint="eastAsia" w:ascii="宋体" w:hAnsi="宋体"/>
          <w:color w:val="auto"/>
          <w:highlight w:val="none"/>
        </w:rPr>
      </w:pPr>
      <w:r>
        <w:rPr>
          <w:rFonts w:hint="eastAsia" w:ascii="宋体" w:hAnsi="宋体"/>
          <w:color w:val="auto"/>
          <w:highlight w:val="none"/>
        </w:rPr>
        <w:t>本合同有效期限：</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 xml:space="preserve"> 月</w:t>
      </w:r>
      <w:r>
        <w:rPr>
          <w:rFonts w:hint="eastAsia" w:ascii="宋体" w:hAnsi="宋体"/>
          <w:color w:val="auto"/>
          <w:highlight w:val="none"/>
          <w:u w:val="single"/>
        </w:rPr>
        <w:t xml:space="preserve">    </w:t>
      </w:r>
      <w:r>
        <w:rPr>
          <w:rFonts w:hint="eastAsia" w:ascii="宋体" w:hAnsi="宋体"/>
          <w:color w:val="auto"/>
          <w:highlight w:val="none"/>
        </w:rPr>
        <w:t>日至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日止。自签订之日起生效。</w:t>
      </w:r>
    </w:p>
    <w:p w14:paraId="0D951299">
      <w:pPr>
        <w:widowControl/>
        <w:spacing w:line="400" w:lineRule="atLeast"/>
        <w:ind w:firstLine="310" w:firstLineChars="147"/>
        <w:rPr>
          <w:rFonts w:hint="eastAsia" w:ascii="宋体" w:hAnsi="宋体" w:cs="宋体"/>
          <w:b/>
          <w:bCs/>
          <w:color w:val="auto"/>
          <w:kern w:val="0"/>
          <w:szCs w:val="28"/>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88"/>
        <w:gridCol w:w="3315"/>
        <w:gridCol w:w="15"/>
        <w:gridCol w:w="4004"/>
      </w:tblGrid>
      <w:tr w14:paraId="29A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shd w:val="clear" w:color="auto" w:fill="FFFFFF"/>
          </w:tcPr>
          <w:p w14:paraId="2AF71DA6">
            <w:pPr>
              <w:spacing w:line="460" w:lineRule="exact"/>
              <w:rPr>
                <w:rFonts w:hint="eastAsia" w:ascii="宋体" w:hAnsi="宋体" w:cs="新宋体"/>
                <w:color w:val="auto"/>
                <w:sz w:val="22"/>
                <w:szCs w:val="22"/>
                <w:highlight w:val="none"/>
              </w:rPr>
            </w:pPr>
          </w:p>
        </w:tc>
        <w:tc>
          <w:tcPr>
            <w:tcW w:w="3315" w:type="dxa"/>
            <w:shd w:val="clear" w:color="auto" w:fill="FFFFFF"/>
          </w:tcPr>
          <w:p w14:paraId="65392745">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甲方</w:t>
            </w:r>
          </w:p>
        </w:tc>
        <w:tc>
          <w:tcPr>
            <w:tcW w:w="4019" w:type="dxa"/>
            <w:gridSpan w:val="2"/>
            <w:shd w:val="clear" w:color="auto" w:fill="FFFFFF"/>
          </w:tcPr>
          <w:p w14:paraId="5CA46439">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乙方</w:t>
            </w:r>
          </w:p>
        </w:tc>
      </w:tr>
      <w:tr w14:paraId="5397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shd w:val="clear" w:color="auto" w:fill="FFFFFF"/>
            <w:vAlign w:val="center"/>
          </w:tcPr>
          <w:p w14:paraId="555AE7E5">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单位名称</w:t>
            </w:r>
          </w:p>
        </w:tc>
        <w:tc>
          <w:tcPr>
            <w:tcW w:w="3315" w:type="dxa"/>
            <w:shd w:val="clear" w:color="auto" w:fill="FFFFFF"/>
            <w:vAlign w:val="center"/>
          </w:tcPr>
          <w:p w14:paraId="1B7F0DA4">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温州市人民医院</w:t>
            </w:r>
          </w:p>
          <w:p w14:paraId="743B110F">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（盖章）</w:t>
            </w:r>
          </w:p>
        </w:tc>
        <w:tc>
          <w:tcPr>
            <w:tcW w:w="4019" w:type="dxa"/>
            <w:gridSpan w:val="2"/>
            <w:shd w:val="clear" w:color="auto" w:fill="FFFFFF"/>
            <w:vAlign w:val="center"/>
          </w:tcPr>
          <w:p w14:paraId="190A6D67">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 xml:space="preserve"> </w:t>
            </w:r>
          </w:p>
          <w:p w14:paraId="4013D31F">
            <w:pPr>
              <w:spacing w:line="460" w:lineRule="exact"/>
              <w:jc w:val="center"/>
              <w:rPr>
                <w:rFonts w:hint="eastAsia" w:ascii="宋体" w:hAnsi="宋体" w:cs="新宋体"/>
                <w:color w:val="auto"/>
                <w:sz w:val="22"/>
                <w:szCs w:val="22"/>
                <w:highlight w:val="none"/>
              </w:rPr>
            </w:pPr>
            <w:r>
              <w:rPr>
                <w:rFonts w:hint="eastAsia" w:ascii="宋体" w:hAnsi="宋体" w:cs="新宋体"/>
                <w:color w:val="auto"/>
                <w:sz w:val="22"/>
                <w:szCs w:val="22"/>
                <w:highlight w:val="none"/>
              </w:rPr>
              <w:t>（盖章）</w:t>
            </w:r>
          </w:p>
        </w:tc>
      </w:tr>
      <w:tr w14:paraId="3418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188" w:type="dxa"/>
            <w:shd w:val="clear" w:color="auto" w:fill="FFFFFF"/>
            <w:vAlign w:val="center"/>
          </w:tcPr>
          <w:p w14:paraId="692A5EC7">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地址</w:t>
            </w:r>
          </w:p>
        </w:tc>
        <w:tc>
          <w:tcPr>
            <w:tcW w:w="3315" w:type="dxa"/>
            <w:shd w:val="clear" w:color="auto" w:fill="FFFFFF"/>
            <w:vAlign w:val="center"/>
          </w:tcPr>
          <w:p w14:paraId="1982EDEF">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温州市瓯海区古岸路299号</w:t>
            </w:r>
          </w:p>
        </w:tc>
        <w:tc>
          <w:tcPr>
            <w:tcW w:w="4019" w:type="dxa"/>
            <w:gridSpan w:val="2"/>
            <w:shd w:val="clear" w:color="auto" w:fill="FFFFFF"/>
            <w:vAlign w:val="center"/>
          </w:tcPr>
          <w:p w14:paraId="4EEEA40B">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 xml:space="preserve"> </w:t>
            </w:r>
          </w:p>
        </w:tc>
      </w:tr>
      <w:tr w14:paraId="7A4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1188" w:type="dxa"/>
            <w:shd w:val="clear" w:color="auto" w:fill="FFFFFF"/>
            <w:vAlign w:val="center"/>
          </w:tcPr>
          <w:p w14:paraId="1B84217E">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开户银行/账号/税号</w:t>
            </w:r>
          </w:p>
        </w:tc>
        <w:tc>
          <w:tcPr>
            <w:tcW w:w="3315" w:type="dxa"/>
            <w:shd w:val="clear" w:color="auto" w:fill="FFFFFF"/>
            <w:vAlign w:val="center"/>
          </w:tcPr>
          <w:p w14:paraId="3705A85B">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温州市建行营业部</w:t>
            </w:r>
          </w:p>
          <w:p w14:paraId="6F186CC5">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账号：33001623535050035971</w:t>
            </w:r>
          </w:p>
          <w:p w14:paraId="1711A6DF">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税号：123303004705255657</w:t>
            </w:r>
          </w:p>
        </w:tc>
        <w:tc>
          <w:tcPr>
            <w:tcW w:w="4019" w:type="dxa"/>
            <w:gridSpan w:val="2"/>
            <w:shd w:val="clear" w:color="auto" w:fill="FFFFFF"/>
            <w:vAlign w:val="center"/>
          </w:tcPr>
          <w:p w14:paraId="1B3B82AB">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 xml:space="preserve"> </w:t>
            </w:r>
          </w:p>
          <w:p w14:paraId="5510A2CD">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 xml:space="preserve">账户： </w:t>
            </w:r>
          </w:p>
        </w:tc>
      </w:tr>
      <w:tr w14:paraId="65B5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44" w:hRule="atLeast"/>
          <w:jc w:val="center"/>
        </w:trPr>
        <w:tc>
          <w:tcPr>
            <w:tcW w:w="1188" w:type="dxa"/>
            <w:shd w:val="clear" w:color="auto" w:fill="FFFFFF"/>
            <w:vAlign w:val="center"/>
          </w:tcPr>
          <w:p w14:paraId="625BBE0F">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签约人</w:t>
            </w:r>
          </w:p>
        </w:tc>
        <w:tc>
          <w:tcPr>
            <w:tcW w:w="3315" w:type="dxa"/>
            <w:shd w:val="clear" w:color="auto" w:fill="FFFFFF"/>
            <w:vAlign w:val="center"/>
          </w:tcPr>
          <w:p w14:paraId="749730F8">
            <w:pPr>
              <w:spacing w:line="460" w:lineRule="exact"/>
              <w:rPr>
                <w:rFonts w:hint="eastAsia" w:ascii="宋体" w:hAnsi="宋体" w:cs="新宋体"/>
                <w:color w:val="auto"/>
                <w:sz w:val="22"/>
                <w:szCs w:val="22"/>
                <w:highlight w:val="none"/>
              </w:rPr>
            </w:pPr>
          </w:p>
        </w:tc>
        <w:tc>
          <w:tcPr>
            <w:tcW w:w="4019" w:type="dxa"/>
            <w:gridSpan w:val="2"/>
            <w:shd w:val="clear" w:color="auto" w:fill="FFFFFF"/>
            <w:vAlign w:val="center"/>
          </w:tcPr>
          <w:p w14:paraId="673E8D08">
            <w:pPr>
              <w:spacing w:line="460" w:lineRule="exact"/>
              <w:rPr>
                <w:rFonts w:hint="eastAsia" w:ascii="宋体" w:hAnsi="宋体" w:cs="新宋体"/>
                <w:color w:val="auto"/>
                <w:sz w:val="22"/>
                <w:szCs w:val="22"/>
                <w:highlight w:val="none"/>
              </w:rPr>
            </w:pPr>
          </w:p>
        </w:tc>
      </w:tr>
      <w:tr w14:paraId="15D8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188" w:type="dxa"/>
            <w:shd w:val="clear" w:color="auto" w:fill="FFFFFF"/>
            <w:vAlign w:val="center"/>
          </w:tcPr>
          <w:p w14:paraId="79F057A3">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联系电话</w:t>
            </w:r>
          </w:p>
        </w:tc>
        <w:tc>
          <w:tcPr>
            <w:tcW w:w="3330" w:type="dxa"/>
            <w:gridSpan w:val="2"/>
            <w:shd w:val="clear" w:color="auto" w:fill="FFFFFF"/>
            <w:vAlign w:val="center"/>
          </w:tcPr>
          <w:p w14:paraId="145EFEFB">
            <w:pPr>
              <w:spacing w:line="460" w:lineRule="exact"/>
              <w:rPr>
                <w:rFonts w:hint="eastAsia" w:ascii="宋体" w:hAnsi="宋体" w:cs="新宋体"/>
                <w:color w:val="auto"/>
                <w:sz w:val="22"/>
                <w:szCs w:val="22"/>
                <w:highlight w:val="none"/>
              </w:rPr>
            </w:pPr>
          </w:p>
        </w:tc>
        <w:tc>
          <w:tcPr>
            <w:tcW w:w="4004" w:type="dxa"/>
            <w:shd w:val="clear" w:color="auto" w:fill="FFFFFF"/>
            <w:vAlign w:val="center"/>
          </w:tcPr>
          <w:p w14:paraId="1B6892EA">
            <w:pPr>
              <w:spacing w:line="460" w:lineRule="exact"/>
              <w:rPr>
                <w:rFonts w:hint="eastAsia" w:ascii="宋体" w:hAnsi="宋体" w:cs="新宋体"/>
                <w:color w:val="auto"/>
                <w:sz w:val="22"/>
                <w:szCs w:val="22"/>
                <w:highlight w:val="none"/>
              </w:rPr>
            </w:pPr>
          </w:p>
        </w:tc>
      </w:tr>
      <w:tr w14:paraId="4B8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8" w:type="dxa"/>
            <w:shd w:val="clear" w:color="auto" w:fill="FFFFFF"/>
            <w:vAlign w:val="center"/>
          </w:tcPr>
          <w:p w14:paraId="3D83EE08">
            <w:pPr>
              <w:spacing w:line="460" w:lineRule="exact"/>
              <w:rPr>
                <w:rFonts w:hint="eastAsia" w:ascii="宋体" w:hAnsi="宋体" w:cs="新宋体"/>
                <w:color w:val="auto"/>
                <w:sz w:val="22"/>
                <w:szCs w:val="22"/>
                <w:highlight w:val="none"/>
              </w:rPr>
            </w:pPr>
            <w:r>
              <w:rPr>
                <w:rFonts w:hint="eastAsia" w:ascii="宋体" w:hAnsi="宋体" w:cs="新宋体"/>
                <w:color w:val="auto"/>
                <w:sz w:val="22"/>
                <w:szCs w:val="22"/>
                <w:highlight w:val="none"/>
              </w:rPr>
              <w:t>签约时间</w:t>
            </w:r>
          </w:p>
        </w:tc>
        <w:tc>
          <w:tcPr>
            <w:tcW w:w="7334" w:type="dxa"/>
            <w:gridSpan w:val="3"/>
            <w:shd w:val="clear" w:color="auto" w:fill="FFFFFF"/>
            <w:vAlign w:val="center"/>
          </w:tcPr>
          <w:p w14:paraId="094F8AC4">
            <w:pPr>
              <w:spacing w:line="460" w:lineRule="exact"/>
              <w:ind w:firstLine="1980" w:firstLineChars="900"/>
              <w:rPr>
                <w:rFonts w:hint="eastAsia" w:ascii="宋体" w:hAnsi="宋体" w:cs="新宋体"/>
                <w:color w:val="auto"/>
                <w:sz w:val="22"/>
                <w:szCs w:val="22"/>
                <w:highlight w:val="none"/>
              </w:rPr>
            </w:pPr>
            <w:r>
              <w:rPr>
                <w:rFonts w:hint="eastAsia" w:ascii="宋体" w:hAnsi="宋体" w:cs="新宋体"/>
                <w:color w:val="auto"/>
                <w:sz w:val="22"/>
                <w:szCs w:val="22"/>
                <w:highlight w:val="none"/>
              </w:rPr>
              <w:t>年     月     日</w:t>
            </w:r>
          </w:p>
        </w:tc>
      </w:tr>
    </w:tbl>
    <w:p w14:paraId="18E2F486">
      <w:pPr>
        <w:rPr>
          <w:rFonts w:hint="eastAsia" w:ascii="宋体" w:hAnsi="宋体" w:eastAsia="宋体" w:cs="宋体"/>
          <w:color w:val="auto"/>
          <w:highlight w:val="none"/>
        </w:rPr>
      </w:pPr>
      <w:r>
        <w:rPr>
          <w:rFonts w:ascii="宋体" w:hAnsi="宋体"/>
          <w:b/>
          <w:bCs/>
          <w:color w:val="auto"/>
          <w:highlight w:val="none"/>
        </w:rPr>
        <w:t xml:space="preserve">  </w:t>
      </w:r>
      <w:r>
        <w:rPr>
          <w:rFonts w:hint="eastAsia" w:ascii="宋体" w:hAnsi="宋体"/>
          <w:b/>
          <w:color w:val="auto"/>
          <w:highlight w:val="none"/>
        </w:rPr>
        <w:t>注：此合同样本仅作参考，采购人、供应商可根据采购项目的实际情况进行修改。</w:t>
      </w:r>
      <w:r>
        <w:rPr>
          <w:rFonts w:hint="eastAsia" w:ascii="宋体" w:hAnsi="宋体" w:eastAsia="宋体" w:cs="宋体"/>
          <w:color w:val="auto"/>
          <w:highlight w:val="none"/>
        </w:rPr>
        <w:br w:type="page"/>
      </w:r>
    </w:p>
    <w:p w14:paraId="707A899C">
      <w:pPr>
        <w:pStyle w:val="5"/>
        <w:rPr>
          <w:rFonts w:ascii="宋体" w:hAnsi="宋体" w:eastAsia="宋体" w:cs="宋体"/>
          <w:color w:val="auto"/>
          <w:highlight w:val="none"/>
        </w:rPr>
      </w:pPr>
      <w:r>
        <w:rPr>
          <w:rFonts w:hint="eastAsia" w:ascii="宋体" w:hAnsi="宋体" w:eastAsia="宋体" w:cs="宋体"/>
          <w:color w:val="auto"/>
          <w:highlight w:val="none"/>
        </w:rPr>
        <w:t>第三部分    附件</w:t>
      </w:r>
      <w:bookmarkEnd w:id="26"/>
      <w:bookmarkEnd w:id="27"/>
    </w:p>
    <w:p w14:paraId="3DADD21C">
      <w:pPr>
        <w:pStyle w:val="23"/>
        <w:spacing w:line="460" w:lineRule="exact"/>
        <w:ind w:left="433" w:hanging="433" w:hangingChars="196"/>
        <w:outlineLvl w:val="1"/>
        <w:rPr>
          <w:rFonts w:ascii="宋体" w:hAnsi="宋体" w:cs="宋体"/>
          <w:b/>
          <w:color w:val="auto"/>
          <w:sz w:val="22"/>
          <w:highlight w:val="none"/>
        </w:rPr>
      </w:pPr>
      <w:bookmarkStart w:id="30" w:name="_Toc7056"/>
      <w:bookmarkStart w:id="31" w:name="_Toc6368"/>
      <w:r>
        <w:rPr>
          <w:rFonts w:hint="eastAsia" w:ascii="宋体" w:hAnsi="宋体" w:cs="宋体"/>
          <w:b/>
          <w:color w:val="auto"/>
          <w:sz w:val="22"/>
          <w:highlight w:val="none"/>
        </w:rPr>
        <w:t>附件一</w:t>
      </w:r>
      <w:bookmarkEnd w:id="30"/>
      <w:bookmarkEnd w:id="31"/>
    </w:p>
    <w:p w14:paraId="0FD8D586">
      <w:pPr>
        <w:spacing w:line="400" w:lineRule="exact"/>
        <w:jc w:val="center"/>
        <w:outlineLvl w:val="2"/>
        <w:rPr>
          <w:rFonts w:ascii="宋体" w:hAnsi="宋体" w:cs="宋体"/>
          <w:b/>
          <w:bCs/>
          <w:color w:val="auto"/>
          <w:sz w:val="28"/>
          <w:szCs w:val="28"/>
          <w:highlight w:val="none"/>
        </w:rPr>
      </w:pPr>
      <w:bookmarkStart w:id="32" w:name="_Toc5430"/>
      <w:bookmarkStart w:id="33" w:name="_Toc13365"/>
      <w:r>
        <w:rPr>
          <w:rFonts w:hint="eastAsia" w:ascii="宋体" w:hAnsi="宋体" w:cs="宋体"/>
          <w:b/>
          <w:bCs/>
          <w:color w:val="auto"/>
          <w:sz w:val="28"/>
          <w:szCs w:val="28"/>
          <w:highlight w:val="none"/>
        </w:rPr>
        <w:t>报价文件</w:t>
      </w:r>
      <w:bookmarkEnd w:id="32"/>
      <w:bookmarkEnd w:id="33"/>
    </w:p>
    <w:p w14:paraId="520DC71D">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投标函</w:t>
      </w:r>
    </w:p>
    <w:p w14:paraId="1FD52CC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致：温州市人民医院</w:t>
      </w:r>
    </w:p>
    <w:p w14:paraId="635415F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（授权代表全名，职务）代表我方处理有关本投标的一切事宜。为此：</w:t>
      </w:r>
    </w:p>
    <w:p w14:paraId="1EB270D1">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1、我方同意在投标人</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规定的开标日期起遵守本投标书中的承诺且在投标有效期满之前均具有约束力。</w:t>
      </w:r>
    </w:p>
    <w:p w14:paraId="08F4E6E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1EA738B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1AC6AE1">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60BBEB1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51AAC6A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297EA89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46B0F86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74C1645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05D52B01">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规定的全部投标文件，包括资格文件、报价文件、商务技术文件。具体内容为：</w:t>
      </w:r>
    </w:p>
    <w:p w14:paraId="07F2DF3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093F5FA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23914AB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0CC6FFE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要求投标人提交的全部文件；</w:t>
      </w:r>
    </w:p>
    <w:p w14:paraId="7B74BF1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(5)按招标文件要求提供和交付的货物和服务的投标报价详见开标一览表；</w:t>
      </w:r>
    </w:p>
    <w:p w14:paraId="5A53495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098D70F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(7)保证遵守招标文件中的其他有关规定。</w:t>
      </w:r>
    </w:p>
    <w:p w14:paraId="511B2F9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4、投标有效期内不撤销投标文件，如中标，有效期将延至合同终止日为止。</w:t>
      </w:r>
    </w:p>
    <w:p w14:paraId="5B70475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11A6684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37A5EA4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7、如中标，按招标文件规定的招标代理服务费标准，在领取中标通知书时向招标代理机构支付招标代理服务费。</w:t>
      </w:r>
    </w:p>
    <w:p w14:paraId="7115C27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12A1652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435BA951">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DDF66C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1497988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33352F8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(3)与招标人、其它供应商或者招标代理机构恶意串通的；</w:t>
      </w:r>
    </w:p>
    <w:p w14:paraId="692D490A">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(4)向招标人、招标代理机构行贿或者提供其他不正当利益的；</w:t>
      </w:r>
    </w:p>
    <w:p w14:paraId="4ED327A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(5)在招标采购过程中与招标人进行协商谈判的；</w:t>
      </w:r>
    </w:p>
    <w:p w14:paraId="3495658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4C4048F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供应商有前款第(1)至(</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)项情形之一的，中标、成交无效。</w:t>
      </w:r>
    </w:p>
    <w:p w14:paraId="4C1A91D5">
      <w:pPr>
        <w:shd w:val="clear" w:color="auto" w:fill="FFFFFF"/>
        <w:snapToGrid w:val="0"/>
        <w:spacing w:line="360" w:lineRule="auto"/>
        <w:rPr>
          <w:rFonts w:ascii="宋体" w:hAnsi="宋体" w:cs="宋体"/>
          <w:color w:val="auto"/>
          <w:kern w:val="0"/>
          <w:sz w:val="22"/>
          <w:szCs w:val="22"/>
          <w:highlight w:val="none"/>
          <w:lang w:val="zh-CN"/>
        </w:rPr>
      </w:pPr>
    </w:p>
    <w:p w14:paraId="464AA4C6">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2E937CC9">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投标人盖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1113876D">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0DA83626">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2DAB7E1F">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023838B1">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56E811A0">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注：未按照本投标响应函要求填报的将被视为非实质性响应，从而可能导致该投标文件被拒绝。</w:t>
      </w:r>
    </w:p>
    <w:p w14:paraId="5BD7C04D">
      <w:pPr>
        <w:pStyle w:val="23"/>
        <w:ind w:left="442" w:hanging="442"/>
        <w:rPr>
          <w:rFonts w:ascii="宋体" w:hAnsi="宋体" w:cs="宋体"/>
          <w:b/>
          <w:bCs/>
          <w:color w:val="auto"/>
          <w:sz w:val="22"/>
          <w:szCs w:val="22"/>
          <w:highlight w:val="none"/>
        </w:rPr>
      </w:pPr>
    </w:p>
    <w:p w14:paraId="1CDC6C97">
      <w:pPr>
        <w:pStyle w:val="23"/>
        <w:ind w:left="442" w:hanging="442"/>
        <w:rPr>
          <w:rFonts w:ascii="宋体" w:hAnsi="宋体" w:cs="宋体"/>
          <w:b/>
          <w:bCs/>
          <w:color w:val="auto"/>
          <w:sz w:val="22"/>
          <w:szCs w:val="22"/>
          <w:highlight w:val="none"/>
        </w:rPr>
      </w:pPr>
    </w:p>
    <w:p w14:paraId="66D0055D">
      <w:pPr>
        <w:pStyle w:val="23"/>
        <w:ind w:left="442" w:hanging="442"/>
        <w:rPr>
          <w:rFonts w:ascii="宋体" w:hAnsi="宋体" w:cs="宋体"/>
          <w:b/>
          <w:bCs/>
          <w:color w:val="auto"/>
          <w:sz w:val="22"/>
          <w:szCs w:val="22"/>
          <w:highlight w:val="none"/>
        </w:rPr>
      </w:pPr>
    </w:p>
    <w:p w14:paraId="0ABA4ECC">
      <w:pPr>
        <w:pStyle w:val="23"/>
        <w:ind w:left="442" w:hanging="442"/>
        <w:rPr>
          <w:rFonts w:ascii="宋体" w:hAnsi="宋体" w:cs="宋体"/>
          <w:b/>
          <w:bCs/>
          <w:color w:val="auto"/>
          <w:sz w:val="22"/>
          <w:szCs w:val="22"/>
          <w:highlight w:val="none"/>
        </w:rPr>
      </w:pPr>
    </w:p>
    <w:p w14:paraId="0CB3C1BF">
      <w:pPr>
        <w:pStyle w:val="23"/>
        <w:ind w:left="442" w:hanging="442"/>
        <w:rPr>
          <w:rFonts w:ascii="宋体" w:hAnsi="宋体" w:cs="宋体"/>
          <w:b/>
          <w:bCs/>
          <w:color w:val="auto"/>
          <w:sz w:val="22"/>
          <w:szCs w:val="22"/>
          <w:highlight w:val="none"/>
        </w:rPr>
      </w:pPr>
    </w:p>
    <w:p w14:paraId="370BABE6">
      <w:pPr>
        <w:pStyle w:val="23"/>
        <w:ind w:left="442" w:hanging="442"/>
        <w:rPr>
          <w:rFonts w:ascii="宋体" w:hAnsi="宋体" w:cs="宋体"/>
          <w:b/>
          <w:bCs/>
          <w:color w:val="auto"/>
          <w:sz w:val="22"/>
          <w:szCs w:val="22"/>
          <w:highlight w:val="none"/>
        </w:rPr>
      </w:pPr>
    </w:p>
    <w:p w14:paraId="76B30D18">
      <w:pPr>
        <w:pStyle w:val="23"/>
        <w:ind w:left="442" w:hanging="442"/>
        <w:rPr>
          <w:rFonts w:ascii="宋体" w:hAnsi="宋体" w:cs="宋体"/>
          <w:b/>
          <w:bCs/>
          <w:color w:val="auto"/>
          <w:sz w:val="22"/>
          <w:szCs w:val="22"/>
          <w:highlight w:val="none"/>
        </w:rPr>
      </w:pPr>
    </w:p>
    <w:p w14:paraId="1245D032">
      <w:pPr>
        <w:pStyle w:val="23"/>
        <w:ind w:left="442" w:hanging="442"/>
        <w:rPr>
          <w:rFonts w:ascii="宋体" w:hAnsi="宋体" w:cs="宋体"/>
          <w:b/>
          <w:bCs/>
          <w:color w:val="auto"/>
          <w:sz w:val="22"/>
          <w:szCs w:val="22"/>
          <w:highlight w:val="none"/>
        </w:rPr>
      </w:pPr>
    </w:p>
    <w:p w14:paraId="456DD0C5">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5B612EB1">
      <w:pPr>
        <w:pStyle w:val="23"/>
        <w:ind w:left="0" w:firstLine="0" w:firstLineChars="0"/>
        <w:rPr>
          <w:rFonts w:ascii="宋体" w:hAnsi="宋体" w:cs="宋体"/>
          <w:b/>
          <w:bCs/>
          <w:color w:val="auto"/>
          <w:sz w:val="22"/>
          <w:szCs w:val="22"/>
          <w:highlight w:val="none"/>
        </w:rPr>
      </w:pPr>
    </w:p>
    <w:p w14:paraId="50E7FA2B">
      <w:pPr>
        <w:pStyle w:val="23"/>
        <w:ind w:left="0" w:firstLine="0" w:firstLineChars="0"/>
        <w:rPr>
          <w:rFonts w:ascii="宋体" w:hAnsi="宋体" w:cs="宋体"/>
          <w:b/>
          <w:bCs/>
          <w:color w:val="auto"/>
          <w:sz w:val="22"/>
          <w:szCs w:val="22"/>
          <w:highlight w:val="none"/>
        </w:rPr>
      </w:pPr>
    </w:p>
    <w:p w14:paraId="082BD6D5">
      <w:pPr>
        <w:spacing w:line="400" w:lineRule="exact"/>
        <w:jc w:val="center"/>
        <w:outlineLvl w:val="3"/>
        <w:rPr>
          <w:rFonts w:ascii="宋体" w:hAnsi="宋体" w:cs="宋体"/>
          <w:color w:val="auto"/>
          <w:sz w:val="22"/>
          <w:szCs w:val="22"/>
          <w:highlight w:val="none"/>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7994C10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348EAC1D">
      <w:pPr>
        <w:keepNext/>
        <w:spacing w:line="360" w:lineRule="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p w14:paraId="7DD03775">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（1）服务供应商收案寄履约</w:t>
      </w:r>
    </w:p>
    <w:tbl>
      <w:tblPr>
        <w:tblStyle w:val="53"/>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45"/>
        <w:gridCol w:w="854"/>
        <w:gridCol w:w="1211"/>
        <w:gridCol w:w="646"/>
        <w:gridCol w:w="1570"/>
        <w:gridCol w:w="2319"/>
      </w:tblGrid>
      <w:tr w14:paraId="40F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662E3318">
            <w:pPr>
              <w:pStyle w:val="331"/>
              <w:ind w:firstLine="0" w:firstLineChars="0"/>
              <w:jc w:val="center"/>
              <w:rPr>
                <w:rFonts w:hint="eastAsia" w:ascii="宋体" w:hAnsi="宋体"/>
                <w:b/>
                <w:bCs/>
                <w:color w:val="auto"/>
                <w:sz w:val="18"/>
                <w:szCs w:val="18"/>
                <w:highlight w:val="none"/>
              </w:rPr>
            </w:pPr>
            <w:r>
              <w:rPr>
                <w:rFonts w:hint="eastAsia" w:ascii="宋体" w:hAnsi="宋体" w:cs="宋体"/>
                <w:b/>
                <w:bCs/>
                <w:color w:val="auto"/>
                <w:kern w:val="0"/>
                <w:sz w:val="18"/>
                <w:szCs w:val="18"/>
                <w:highlight w:val="none"/>
              </w:rPr>
              <w:t>序号</w:t>
            </w:r>
          </w:p>
        </w:tc>
        <w:tc>
          <w:tcPr>
            <w:tcW w:w="1245" w:type="pct"/>
            <w:shd w:val="clear" w:color="auto" w:fill="auto"/>
            <w:vAlign w:val="center"/>
          </w:tcPr>
          <w:p w14:paraId="7BCE89A2">
            <w:pPr>
              <w:jc w:val="center"/>
              <w:rPr>
                <w:rFonts w:hint="eastAsia" w:ascii="宋体" w:hAnsi="宋体" w:cs="宋体"/>
                <w:b/>
                <w:bCs/>
                <w:color w:val="auto"/>
                <w:kern w:val="0"/>
                <w:sz w:val="18"/>
                <w:szCs w:val="18"/>
                <w:highlight w:val="none"/>
              </w:rPr>
            </w:pPr>
            <w:r>
              <w:rPr>
                <w:rFonts w:ascii="宋体" w:hAnsi="宋体"/>
                <w:b/>
                <w:bCs/>
                <w:color w:val="auto"/>
                <w:sz w:val="18"/>
                <w:szCs w:val="18"/>
                <w:highlight w:val="none"/>
              </w:rPr>
              <w:t>服务项目名称</w:t>
            </w:r>
          </w:p>
        </w:tc>
        <w:tc>
          <w:tcPr>
            <w:tcW w:w="434" w:type="pct"/>
            <w:shd w:val="clear" w:color="auto" w:fill="auto"/>
            <w:noWrap/>
            <w:vAlign w:val="center"/>
          </w:tcPr>
          <w:p w14:paraId="54AC74A5">
            <w:pPr>
              <w:jc w:val="center"/>
              <w:rPr>
                <w:rFonts w:hint="eastAsia" w:ascii="宋体" w:hAnsi="宋体" w:cs="宋体"/>
                <w:b/>
                <w:bCs/>
                <w:color w:val="auto"/>
                <w:kern w:val="0"/>
                <w:sz w:val="18"/>
                <w:szCs w:val="18"/>
                <w:highlight w:val="none"/>
              </w:rPr>
            </w:pPr>
            <w:r>
              <w:rPr>
                <w:rFonts w:ascii="宋体" w:hAnsi="宋体" w:cs="宋体"/>
                <w:b/>
                <w:bCs/>
                <w:color w:val="auto"/>
                <w:kern w:val="0"/>
                <w:sz w:val="18"/>
                <w:szCs w:val="18"/>
                <w:highlight w:val="none"/>
              </w:rPr>
              <w:t>单位</w:t>
            </w:r>
          </w:p>
          <w:p w14:paraId="2D334448">
            <w:pP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(疗程）</w:t>
            </w:r>
          </w:p>
        </w:tc>
        <w:tc>
          <w:tcPr>
            <w:tcW w:w="616" w:type="pct"/>
            <w:shd w:val="clear" w:color="auto" w:fill="auto"/>
            <w:noWrap/>
            <w:vAlign w:val="center"/>
          </w:tcPr>
          <w:p w14:paraId="60DC566E">
            <w:pPr>
              <w:jc w:val="center"/>
              <w:rPr>
                <w:rFonts w:hint="eastAsia" w:ascii="宋体" w:hAnsi="宋体" w:cs="宋体"/>
                <w:b/>
                <w:bCs/>
                <w:color w:val="auto"/>
                <w:kern w:val="0"/>
                <w:sz w:val="18"/>
                <w:szCs w:val="18"/>
                <w:highlight w:val="none"/>
              </w:rPr>
            </w:pPr>
            <w:r>
              <w:rPr>
                <w:rFonts w:hint="eastAsia" w:ascii="宋体" w:hAnsi="宋体"/>
                <w:b/>
                <w:bCs/>
                <w:color w:val="auto"/>
                <w:sz w:val="18"/>
                <w:szCs w:val="18"/>
                <w:highlight w:val="none"/>
              </w:rPr>
              <w:t>单价最高限价</w:t>
            </w:r>
            <w:r>
              <w:rPr>
                <w:rFonts w:ascii="宋体" w:hAnsi="宋体"/>
                <w:b/>
                <w:bCs/>
                <w:color w:val="auto"/>
                <w:sz w:val="18"/>
                <w:szCs w:val="18"/>
                <w:highlight w:val="none"/>
              </w:rPr>
              <w:t>（</w:t>
            </w:r>
            <w:r>
              <w:rPr>
                <w:rFonts w:hint="eastAsia" w:ascii="宋体" w:hAnsi="宋体"/>
                <w:b/>
                <w:bCs/>
                <w:color w:val="auto"/>
                <w:sz w:val="18"/>
                <w:szCs w:val="18"/>
                <w:highlight w:val="none"/>
              </w:rPr>
              <w:t>元/疗程</w:t>
            </w:r>
            <w:r>
              <w:rPr>
                <w:rFonts w:ascii="宋体" w:hAnsi="宋体"/>
                <w:b/>
                <w:bCs/>
                <w:color w:val="auto"/>
                <w:sz w:val="18"/>
                <w:szCs w:val="18"/>
                <w:highlight w:val="none"/>
              </w:rPr>
              <w:t>）</w:t>
            </w:r>
          </w:p>
        </w:tc>
        <w:tc>
          <w:tcPr>
            <w:tcW w:w="329" w:type="pct"/>
            <w:shd w:val="clear" w:color="auto" w:fill="auto"/>
            <w:vAlign w:val="center"/>
          </w:tcPr>
          <w:p w14:paraId="3176B9C6">
            <w:pP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单价权重</w:t>
            </w:r>
          </w:p>
        </w:tc>
        <w:tc>
          <w:tcPr>
            <w:tcW w:w="799" w:type="pct"/>
            <w:shd w:val="clear" w:color="auto" w:fill="auto"/>
            <w:vAlign w:val="center"/>
          </w:tcPr>
          <w:p w14:paraId="0CD4325F">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服务供应商收案及履约单项报价</w:t>
            </w:r>
          </w:p>
          <w:p w14:paraId="166D419E">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（元/疗程）</w:t>
            </w:r>
          </w:p>
        </w:tc>
        <w:tc>
          <w:tcPr>
            <w:tcW w:w="1181" w:type="pct"/>
            <w:shd w:val="clear" w:color="auto" w:fill="auto"/>
            <w:vAlign w:val="center"/>
          </w:tcPr>
          <w:p w14:paraId="165AE3C6">
            <w:pPr>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单项权重</w:t>
            </w:r>
            <w:r>
              <w:rPr>
                <w:rFonts w:hint="eastAsia" w:ascii="宋体" w:hAnsi="宋体" w:eastAsia="宋体" w:cs="宋体"/>
                <w:b/>
                <w:bCs/>
                <w:color w:val="auto"/>
                <w:sz w:val="20"/>
                <w:szCs w:val="20"/>
                <w:highlight w:val="none"/>
                <w:lang w:val="en-US" w:eastAsia="zh-CN"/>
              </w:rPr>
              <w:t>价（即服务供应商</w:t>
            </w:r>
            <w:r>
              <w:rPr>
                <w:rFonts w:hint="eastAsia" w:ascii="宋体" w:hAnsi="宋体" w:eastAsia="宋体" w:cs="宋体"/>
                <w:b/>
                <w:bCs/>
                <w:color w:val="auto"/>
                <w:sz w:val="20"/>
                <w:szCs w:val="20"/>
                <w:highlight w:val="none"/>
              </w:rPr>
              <w:t>收案及履约单项报价</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单价权重</w:t>
            </w:r>
            <w:r>
              <w:rPr>
                <w:rFonts w:hint="eastAsia" w:ascii="宋体" w:hAnsi="宋体" w:eastAsia="宋体" w:cs="宋体"/>
                <w:b/>
                <w:bCs/>
                <w:color w:val="auto"/>
                <w:sz w:val="20"/>
                <w:szCs w:val="20"/>
                <w:highlight w:val="none"/>
                <w:lang w:val="en-US" w:eastAsia="zh-CN"/>
              </w:rPr>
              <w:t>）</w:t>
            </w:r>
          </w:p>
        </w:tc>
      </w:tr>
      <w:tr w14:paraId="4FF9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731B3401">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FC88">
            <w:pPr>
              <w:jc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专病</w:t>
            </w:r>
            <w:r>
              <w:rPr>
                <w:rFonts w:hint="eastAsia" w:ascii="宋体" w:hAnsi="宋体" w:cs="宋体"/>
                <w:i w:val="0"/>
                <w:iCs w:val="0"/>
                <w:color w:val="auto"/>
                <w:kern w:val="0"/>
                <w:sz w:val="21"/>
                <w:szCs w:val="21"/>
                <w:highlight w:val="none"/>
                <w:u w:val="none"/>
                <w:lang w:val="en-US" w:eastAsia="zh-CN" w:bidi="ar"/>
              </w:rPr>
              <w:t>短期</w:t>
            </w:r>
            <w:r>
              <w:rPr>
                <w:rFonts w:hint="eastAsia" w:ascii="宋体" w:hAnsi="宋体" w:eastAsia="宋体" w:cs="宋体"/>
                <w:i w:val="0"/>
                <w:iCs w:val="0"/>
                <w:color w:val="auto"/>
                <w:kern w:val="0"/>
                <w:sz w:val="21"/>
                <w:szCs w:val="21"/>
                <w:highlight w:val="none"/>
                <w:u w:val="none"/>
                <w:lang w:val="en-US" w:eastAsia="zh-CN" w:bidi="ar"/>
              </w:rPr>
              <w:t>管理</w:t>
            </w:r>
          </w:p>
        </w:tc>
        <w:tc>
          <w:tcPr>
            <w:tcW w:w="434" w:type="pct"/>
            <w:shd w:val="clear" w:color="auto" w:fill="auto"/>
            <w:noWrap/>
            <w:vAlign w:val="center"/>
          </w:tcPr>
          <w:p w14:paraId="7D425D97">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5CCD">
            <w:pPr>
              <w:widowControl/>
              <w:spacing w:line="360" w:lineRule="exact"/>
              <w:jc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17.4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F116">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CB2C">
            <w:pPr>
              <w:widowControl/>
              <w:jc w:val="center"/>
              <w:textAlignment w:val="center"/>
              <w:rPr>
                <w:rFonts w:hint="eastAsia" w:ascii="宋体" w:hAnsi="宋体" w:cs="宋体"/>
                <w:color w:val="auto"/>
                <w:kern w:val="0"/>
                <w:sz w:val="22"/>
                <w:szCs w:val="22"/>
                <w:highlight w:val="none"/>
                <w:lang w:val="en-US" w:eastAsia="zh-CN"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91EB">
            <w:pPr>
              <w:widowControl/>
              <w:jc w:val="center"/>
              <w:textAlignment w:val="center"/>
              <w:rPr>
                <w:rFonts w:hint="eastAsia" w:ascii="宋体" w:hAnsi="宋体" w:cs="宋体"/>
                <w:color w:val="auto"/>
                <w:kern w:val="0"/>
                <w:sz w:val="22"/>
                <w:szCs w:val="22"/>
                <w:highlight w:val="none"/>
                <w:lang w:val="en-US" w:eastAsia="zh-CN" w:bidi="ar"/>
              </w:rPr>
            </w:pPr>
          </w:p>
        </w:tc>
      </w:tr>
      <w:tr w14:paraId="0648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65D5C285">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2</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6265">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短期精细化管理</w:t>
            </w:r>
          </w:p>
        </w:tc>
        <w:tc>
          <w:tcPr>
            <w:tcW w:w="434" w:type="pct"/>
            <w:shd w:val="clear" w:color="auto" w:fill="auto"/>
            <w:noWrap/>
            <w:vAlign w:val="center"/>
          </w:tcPr>
          <w:p w14:paraId="762A44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1113">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29.4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870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5652">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0934">
            <w:pPr>
              <w:widowControl/>
              <w:jc w:val="center"/>
              <w:textAlignment w:val="center"/>
              <w:rPr>
                <w:rFonts w:hint="eastAsia" w:ascii="宋体" w:hAnsi="宋体" w:cs="宋体"/>
                <w:color w:val="auto"/>
                <w:kern w:val="0"/>
                <w:sz w:val="22"/>
                <w:szCs w:val="22"/>
                <w:highlight w:val="none"/>
                <w:lang w:bidi="ar"/>
              </w:rPr>
            </w:pPr>
          </w:p>
        </w:tc>
      </w:tr>
      <w:tr w14:paraId="409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594B4FA7">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3</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81A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专病短期精细化管理(家庭医护保健服务)</w:t>
            </w:r>
          </w:p>
        </w:tc>
        <w:tc>
          <w:tcPr>
            <w:tcW w:w="434" w:type="pct"/>
            <w:shd w:val="clear" w:color="auto" w:fill="auto"/>
            <w:noWrap/>
          </w:tcPr>
          <w:p w14:paraId="38CA96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DFF4">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59.4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982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3707">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17C5">
            <w:pPr>
              <w:widowControl/>
              <w:jc w:val="center"/>
              <w:textAlignment w:val="center"/>
              <w:rPr>
                <w:rFonts w:hint="eastAsia" w:ascii="宋体" w:hAnsi="宋体" w:cs="宋体"/>
                <w:color w:val="auto"/>
                <w:kern w:val="0"/>
                <w:sz w:val="22"/>
                <w:szCs w:val="22"/>
                <w:highlight w:val="none"/>
                <w:lang w:bidi="ar"/>
              </w:rPr>
            </w:pPr>
          </w:p>
        </w:tc>
      </w:tr>
      <w:tr w14:paraId="5241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318FDB22">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4</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EE5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专病精细化标准管理(家庭医护保健服务)</w:t>
            </w:r>
          </w:p>
        </w:tc>
        <w:tc>
          <w:tcPr>
            <w:tcW w:w="434" w:type="pct"/>
            <w:shd w:val="clear" w:color="auto" w:fill="auto"/>
            <w:noWrap/>
          </w:tcPr>
          <w:p w14:paraId="2D4F9ED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718">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177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ED3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bidi="ar"/>
              </w:rPr>
              <w:t>%</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F89A">
            <w:pPr>
              <w:widowControl/>
              <w:jc w:val="center"/>
              <w:textAlignment w:val="center"/>
              <w:rPr>
                <w:rFonts w:hint="eastAsia" w:ascii="宋体" w:hAnsi="宋体" w:cs="宋体"/>
                <w:color w:val="auto"/>
                <w:kern w:val="0"/>
                <w:sz w:val="22"/>
                <w:szCs w:val="22"/>
                <w:highlight w:val="none"/>
                <w:lang w:val="en-US" w:eastAsia="zh-CN"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3FB">
            <w:pPr>
              <w:widowControl/>
              <w:jc w:val="center"/>
              <w:textAlignment w:val="center"/>
              <w:rPr>
                <w:rFonts w:hint="eastAsia" w:ascii="宋体" w:hAnsi="宋体" w:cs="宋体"/>
                <w:color w:val="auto"/>
                <w:kern w:val="0"/>
                <w:sz w:val="22"/>
                <w:szCs w:val="22"/>
                <w:highlight w:val="none"/>
                <w:lang w:val="en-US" w:eastAsia="zh-CN" w:bidi="ar"/>
              </w:rPr>
            </w:pPr>
          </w:p>
        </w:tc>
      </w:tr>
      <w:tr w14:paraId="4A88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2BA7BCEB">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5</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C07C">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专病精细化强化管理(家庭医护保健服务)</w:t>
            </w:r>
          </w:p>
        </w:tc>
        <w:tc>
          <w:tcPr>
            <w:tcW w:w="434" w:type="pct"/>
            <w:shd w:val="clear" w:color="auto" w:fill="auto"/>
            <w:noWrap/>
          </w:tcPr>
          <w:p w14:paraId="1CFC464F">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2DC3">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237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751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6BFD">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4728">
            <w:pPr>
              <w:widowControl/>
              <w:jc w:val="center"/>
              <w:textAlignment w:val="center"/>
              <w:rPr>
                <w:rFonts w:hint="eastAsia" w:ascii="宋体" w:hAnsi="宋体" w:cs="宋体"/>
                <w:color w:val="auto"/>
                <w:kern w:val="0"/>
                <w:sz w:val="22"/>
                <w:szCs w:val="22"/>
                <w:highlight w:val="none"/>
                <w:lang w:bidi="ar"/>
              </w:rPr>
            </w:pPr>
          </w:p>
        </w:tc>
      </w:tr>
      <w:tr w14:paraId="3FD1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263D7DC7">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6</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6F7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专病精细化全程管理(家庭医护保健服务)</w:t>
            </w:r>
          </w:p>
        </w:tc>
        <w:tc>
          <w:tcPr>
            <w:tcW w:w="434" w:type="pct"/>
            <w:shd w:val="clear" w:color="auto" w:fill="auto"/>
            <w:noWrap/>
          </w:tcPr>
          <w:p w14:paraId="77ED60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AD80">
            <w:pPr>
              <w:jc w:val="center"/>
              <w:rPr>
                <w:rFonts w:hint="eastAsia"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358.8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05B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18E7">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BB15">
            <w:pPr>
              <w:widowControl/>
              <w:jc w:val="center"/>
              <w:textAlignment w:val="center"/>
              <w:rPr>
                <w:rFonts w:hint="eastAsia" w:ascii="宋体" w:hAnsi="宋体" w:cs="宋体"/>
                <w:color w:val="auto"/>
                <w:kern w:val="0"/>
                <w:sz w:val="22"/>
                <w:szCs w:val="22"/>
                <w:highlight w:val="none"/>
                <w:lang w:bidi="ar"/>
              </w:rPr>
            </w:pPr>
          </w:p>
        </w:tc>
      </w:tr>
      <w:tr w14:paraId="235A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51D80764">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7</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D64A">
            <w:pPr>
              <w:pStyle w:val="36"/>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专病强干预管理(家庭医护保健服务)</w:t>
            </w:r>
          </w:p>
        </w:tc>
        <w:tc>
          <w:tcPr>
            <w:tcW w:w="434" w:type="pct"/>
            <w:shd w:val="clear" w:color="auto" w:fill="auto"/>
            <w:noWrap/>
          </w:tcPr>
          <w:p w14:paraId="14FCD81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0E85">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477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0F6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51F2">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48D9">
            <w:pPr>
              <w:widowControl/>
              <w:jc w:val="center"/>
              <w:textAlignment w:val="center"/>
              <w:rPr>
                <w:rFonts w:hint="eastAsia" w:ascii="宋体" w:hAnsi="宋体" w:cs="宋体"/>
                <w:color w:val="auto"/>
                <w:kern w:val="0"/>
                <w:sz w:val="22"/>
                <w:szCs w:val="22"/>
                <w:highlight w:val="none"/>
                <w:lang w:bidi="ar"/>
              </w:rPr>
            </w:pPr>
          </w:p>
        </w:tc>
      </w:tr>
      <w:tr w14:paraId="0D26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6BF8DDB5">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8</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F180">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专病强干预综合管理(家庭医护保健服务)</w:t>
            </w:r>
          </w:p>
        </w:tc>
        <w:tc>
          <w:tcPr>
            <w:tcW w:w="434" w:type="pct"/>
            <w:shd w:val="clear" w:color="auto" w:fill="auto"/>
            <w:noWrap/>
          </w:tcPr>
          <w:p w14:paraId="4FFD590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9CF">
            <w:pPr>
              <w:jc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954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69B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87B1">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5390">
            <w:pPr>
              <w:widowControl/>
              <w:jc w:val="center"/>
              <w:textAlignment w:val="center"/>
              <w:rPr>
                <w:rFonts w:hint="eastAsia" w:ascii="宋体" w:hAnsi="宋体" w:cs="宋体"/>
                <w:color w:val="auto"/>
                <w:kern w:val="0"/>
                <w:sz w:val="22"/>
                <w:szCs w:val="22"/>
                <w:highlight w:val="none"/>
                <w:lang w:bidi="ar"/>
              </w:rPr>
            </w:pPr>
          </w:p>
        </w:tc>
      </w:tr>
      <w:tr w14:paraId="579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6EBB3446">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9</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6EA1">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专病治疗性生活方式干预管理(家庭医护保健服务)</w:t>
            </w:r>
          </w:p>
        </w:tc>
        <w:tc>
          <w:tcPr>
            <w:tcW w:w="434" w:type="pct"/>
            <w:shd w:val="clear" w:color="auto" w:fill="auto"/>
            <w:noWrap/>
          </w:tcPr>
          <w:p w14:paraId="2034C00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C945">
            <w:pPr>
              <w:jc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1431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9FF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2135">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CBBB">
            <w:pPr>
              <w:widowControl/>
              <w:jc w:val="center"/>
              <w:textAlignment w:val="center"/>
              <w:rPr>
                <w:rFonts w:hint="eastAsia" w:ascii="宋体" w:hAnsi="宋体" w:cs="宋体"/>
                <w:color w:val="auto"/>
                <w:kern w:val="0"/>
                <w:sz w:val="22"/>
                <w:szCs w:val="22"/>
                <w:highlight w:val="none"/>
                <w:lang w:bidi="ar"/>
              </w:rPr>
            </w:pPr>
          </w:p>
        </w:tc>
      </w:tr>
      <w:tr w14:paraId="0068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69A1887A">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818D">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多学科生活方式强化干预（家庭医护保健服务）</w:t>
            </w:r>
          </w:p>
        </w:tc>
        <w:tc>
          <w:tcPr>
            <w:tcW w:w="434" w:type="pct"/>
            <w:shd w:val="clear" w:color="auto" w:fill="auto"/>
            <w:noWrap/>
          </w:tcPr>
          <w:p w14:paraId="0B080F4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D69E">
            <w:pPr>
              <w:jc w:val="center"/>
              <w:rPr>
                <w:rFonts w:hint="eastAsia"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1908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3A5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C1ED">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4C66">
            <w:pPr>
              <w:widowControl/>
              <w:jc w:val="center"/>
              <w:textAlignment w:val="center"/>
              <w:rPr>
                <w:rFonts w:hint="eastAsia" w:ascii="宋体" w:hAnsi="宋体" w:cs="宋体"/>
                <w:color w:val="auto"/>
                <w:kern w:val="0"/>
                <w:sz w:val="22"/>
                <w:szCs w:val="22"/>
                <w:highlight w:val="none"/>
                <w:lang w:bidi="ar"/>
              </w:rPr>
            </w:pPr>
          </w:p>
        </w:tc>
      </w:tr>
      <w:tr w14:paraId="0CE5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93" w:type="pct"/>
            <w:shd w:val="clear" w:color="auto" w:fill="auto"/>
            <w:vAlign w:val="center"/>
          </w:tcPr>
          <w:p w14:paraId="794B549F">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11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9E6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多学科生活方式联合干预（家庭医护保健服务）</w:t>
            </w:r>
          </w:p>
        </w:tc>
        <w:tc>
          <w:tcPr>
            <w:tcW w:w="434" w:type="pct"/>
            <w:shd w:val="clear" w:color="auto" w:fill="auto"/>
            <w:noWrap/>
          </w:tcPr>
          <w:p w14:paraId="0FD3248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CB91">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2148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F97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E0A5">
            <w:pPr>
              <w:widowControl/>
              <w:jc w:val="center"/>
              <w:textAlignment w:val="center"/>
              <w:rPr>
                <w:rFonts w:hint="eastAsia" w:ascii="宋体" w:hAnsi="宋体" w:cs="宋体"/>
                <w:color w:val="auto"/>
                <w:kern w:val="0"/>
                <w:sz w:val="22"/>
                <w:szCs w:val="22"/>
                <w:highlight w:val="none"/>
                <w:lang w:bidi="ar"/>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AD51">
            <w:pPr>
              <w:widowControl/>
              <w:jc w:val="center"/>
              <w:textAlignment w:val="center"/>
              <w:rPr>
                <w:rFonts w:hint="eastAsia" w:ascii="宋体" w:hAnsi="宋体" w:cs="宋体"/>
                <w:color w:val="auto"/>
                <w:kern w:val="0"/>
                <w:sz w:val="22"/>
                <w:szCs w:val="22"/>
                <w:highlight w:val="none"/>
                <w:lang w:bidi="ar"/>
              </w:rPr>
            </w:pPr>
          </w:p>
        </w:tc>
      </w:tr>
      <w:tr w14:paraId="1F6D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638" w:type="pct"/>
            <w:gridSpan w:val="2"/>
            <w:tcBorders>
              <w:right w:val="single" w:color="000000" w:sz="4" w:space="0"/>
            </w:tcBorders>
            <w:shd w:val="clear" w:color="auto" w:fill="auto"/>
            <w:vAlign w:val="center"/>
          </w:tcPr>
          <w:p w14:paraId="509575C9">
            <w:pPr>
              <w:widowControl/>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 w:val="22"/>
                <w:szCs w:val="22"/>
                <w:highlight w:val="none"/>
                <w:lang w:val="en-US" w:eastAsia="zh-CN"/>
              </w:rPr>
              <w:t>各项</w:t>
            </w:r>
            <w:r>
              <w:rPr>
                <w:rFonts w:hint="eastAsia" w:ascii="宋体" w:hAnsi="宋体" w:cs="宋体"/>
                <w:b/>
                <w:bCs/>
                <w:color w:val="auto"/>
                <w:kern w:val="0"/>
                <w:sz w:val="22"/>
                <w:szCs w:val="22"/>
                <w:highlight w:val="none"/>
              </w:rPr>
              <w:t>投标报价（综合单价）=（各项单项报价*各单价权重）之和。最终结果四舍五入保留小数点后两位</w:t>
            </w:r>
          </w:p>
        </w:tc>
        <w:tc>
          <w:tcPr>
            <w:tcW w:w="3361" w:type="pct"/>
            <w:gridSpan w:val="5"/>
            <w:tcBorders>
              <w:right w:val="single" w:color="000000" w:sz="4" w:space="0"/>
            </w:tcBorders>
            <w:shd w:val="clear" w:color="auto" w:fill="auto"/>
            <w:noWrap/>
            <w:vAlign w:val="center"/>
          </w:tcPr>
          <w:p w14:paraId="593D284B">
            <w:pPr>
              <w:widowControl/>
              <w:jc w:val="center"/>
              <w:textAlignment w:val="center"/>
              <w:rPr>
                <w:rFonts w:hint="eastAsia" w:ascii="宋体" w:hAnsi="宋体" w:cs="宋体"/>
                <w:color w:val="auto"/>
                <w:kern w:val="0"/>
                <w:sz w:val="22"/>
                <w:szCs w:val="22"/>
                <w:highlight w:val="none"/>
                <w:lang w:bidi="ar"/>
              </w:rPr>
            </w:pPr>
          </w:p>
        </w:tc>
      </w:tr>
    </w:tbl>
    <w:p w14:paraId="0E105056">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（2）医院收案及履约</w:t>
      </w:r>
    </w:p>
    <w:tbl>
      <w:tblPr>
        <w:tblStyle w:val="53"/>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68"/>
        <w:gridCol w:w="796"/>
        <w:gridCol w:w="1235"/>
        <w:gridCol w:w="669"/>
        <w:gridCol w:w="1546"/>
        <w:gridCol w:w="2424"/>
      </w:tblGrid>
      <w:tr w14:paraId="4828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1961FA4E">
            <w:pPr>
              <w:pStyle w:val="331"/>
              <w:ind w:firstLine="0" w:firstLineChars="0"/>
              <w:jc w:val="center"/>
              <w:rPr>
                <w:rFonts w:hint="eastAsia" w:ascii="宋体" w:hAnsi="宋体"/>
                <w:b/>
                <w:bCs/>
                <w:color w:val="auto"/>
                <w:sz w:val="18"/>
                <w:szCs w:val="18"/>
                <w:highlight w:val="none"/>
              </w:rPr>
            </w:pPr>
            <w:r>
              <w:rPr>
                <w:rFonts w:hint="eastAsia" w:ascii="宋体" w:hAnsi="宋体" w:cs="宋体"/>
                <w:b/>
                <w:bCs/>
                <w:color w:val="auto"/>
                <w:kern w:val="0"/>
                <w:sz w:val="18"/>
                <w:szCs w:val="18"/>
                <w:highlight w:val="none"/>
              </w:rPr>
              <w:t>序号</w:t>
            </w:r>
          </w:p>
        </w:tc>
        <w:tc>
          <w:tcPr>
            <w:tcW w:w="1245" w:type="pct"/>
            <w:shd w:val="clear" w:color="auto" w:fill="auto"/>
            <w:vAlign w:val="center"/>
          </w:tcPr>
          <w:p w14:paraId="4F4B402E">
            <w:pPr>
              <w:jc w:val="center"/>
              <w:rPr>
                <w:rFonts w:hint="eastAsia" w:ascii="宋体" w:hAnsi="宋体" w:cs="宋体"/>
                <w:b/>
                <w:bCs/>
                <w:color w:val="auto"/>
                <w:kern w:val="0"/>
                <w:sz w:val="18"/>
                <w:szCs w:val="18"/>
                <w:highlight w:val="none"/>
              </w:rPr>
            </w:pPr>
            <w:r>
              <w:rPr>
                <w:rFonts w:ascii="宋体" w:hAnsi="宋体"/>
                <w:b/>
                <w:bCs/>
                <w:color w:val="auto"/>
                <w:sz w:val="18"/>
                <w:szCs w:val="18"/>
                <w:highlight w:val="none"/>
              </w:rPr>
              <w:t>服务项目名称</w:t>
            </w:r>
          </w:p>
        </w:tc>
        <w:tc>
          <w:tcPr>
            <w:tcW w:w="401" w:type="pct"/>
            <w:shd w:val="clear" w:color="auto" w:fill="auto"/>
            <w:noWrap/>
            <w:vAlign w:val="center"/>
          </w:tcPr>
          <w:p w14:paraId="3EB3E941">
            <w:pPr>
              <w:jc w:val="center"/>
              <w:rPr>
                <w:rFonts w:hint="eastAsia" w:ascii="宋体" w:hAnsi="宋体" w:cs="宋体"/>
                <w:b/>
                <w:bCs/>
                <w:color w:val="auto"/>
                <w:kern w:val="0"/>
                <w:sz w:val="18"/>
                <w:szCs w:val="18"/>
                <w:highlight w:val="none"/>
              </w:rPr>
            </w:pPr>
            <w:r>
              <w:rPr>
                <w:rFonts w:ascii="宋体" w:hAnsi="宋体" w:cs="宋体"/>
                <w:b/>
                <w:bCs/>
                <w:color w:val="auto"/>
                <w:kern w:val="0"/>
                <w:sz w:val="18"/>
                <w:szCs w:val="18"/>
                <w:highlight w:val="none"/>
              </w:rPr>
              <w:t>单位</w:t>
            </w:r>
          </w:p>
          <w:p w14:paraId="555F6CF9">
            <w:pP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(疗程）</w:t>
            </w:r>
          </w:p>
        </w:tc>
        <w:tc>
          <w:tcPr>
            <w:tcW w:w="623" w:type="pct"/>
            <w:shd w:val="clear" w:color="auto" w:fill="auto"/>
            <w:noWrap/>
            <w:vAlign w:val="center"/>
          </w:tcPr>
          <w:p w14:paraId="0E01EAB6">
            <w:pPr>
              <w:jc w:val="center"/>
              <w:rPr>
                <w:rFonts w:hint="eastAsia" w:ascii="宋体" w:hAnsi="宋体" w:cs="宋体"/>
                <w:b/>
                <w:bCs/>
                <w:color w:val="auto"/>
                <w:kern w:val="0"/>
                <w:sz w:val="18"/>
                <w:szCs w:val="18"/>
                <w:highlight w:val="none"/>
              </w:rPr>
            </w:pPr>
            <w:r>
              <w:rPr>
                <w:rFonts w:hint="eastAsia" w:ascii="宋体" w:hAnsi="宋体"/>
                <w:b/>
                <w:bCs/>
                <w:color w:val="auto"/>
                <w:sz w:val="18"/>
                <w:szCs w:val="18"/>
                <w:highlight w:val="none"/>
              </w:rPr>
              <w:t>单价最高限价</w:t>
            </w:r>
            <w:r>
              <w:rPr>
                <w:rFonts w:ascii="宋体" w:hAnsi="宋体"/>
                <w:b/>
                <w:bCs/>
                <w:color w:val="auto"/>
                <w:sz w:val="18"/>
                <w:szCs w:val="18"/>
                <w:highlight w:val="none"/>
              </w:rPr>
              <w:t>（</w:t>
            </w:r>
            <w:r>
              <w:rPr>
                <w:rFonts w:hint="eastAsia" w:ascii="宋体" w:hAnsi="宋体"/>
                <w:b/>
                <w:bCs/>
                <w:color w:val="auto"/>
                <w:sz w:val="18"/>
                <w:szCs w:val="18"/>
                <w:highlight w:val="none"/>
              </w:rPr>
              <w:t>元/疗程</w:t>
            </w:r>
            <w:r>
              <w:rPr>
                <w:rFonts w:ascii="宋体" w:hAnsi="宋体"/>
                <w:b/>
                <w:bCs/>
                <w:color w:val="auto"/>
                <w:sz w:val="18"/>
                <w:szCs w:val="18"/>
                <w:highlight w:val="none"/>
              </w:rPr>
              <w:t>）</w:t>
            </w:r>
          </w:p>
        </w:tc>
        <w:tc>
          <w:tcPr>
            <w:tcW w:w="337" w:type="pct"/>
            <w:shd w:val="clear" w:color="auto" w:fill="auto"/>
            <w:vAlign w:val="center"/>
          </w:tcPr>
          <w:p w14:paraId="05881AAF">
            <w:pP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单价权重</w:t>
            </w:r>
          </w:p>
        </w:tc>
        <w:tc>
          <w:tcPr>
            <w:tcW w:w="780" w:type="pct"/>
            <w:shd w:val="clear" w:color="auto" w:fill="auto"/>
            <w:vAlign w:val="center"/>
          </w:tcPr>
          <w:p w14:paraId="4BCCFD22">
            <w:pPr>
              <w:jc w:val="center"/>
              <w:rPr>
                <w:rFonts w:hint="eastAsia" w:ascii="宋体" w:hAnsi="宋体" w:cs="宋体"/>
                <w:b/>
                <w:bCs/>
                <w:color w:val="auto"/>
                <w:kern w:val="0"/>
                <w:sz w:val="18"/>
                <w:szCs w:val="18"/>
                <w:highlight w:val="none"/>
              </w:rPr>
            </w:pPr>
            <w:r>
              <w:rPr>
                <w:rFonts w:hint="eastAsia" w:ascii="宋体" w:hAnsi="宋体" w:eastAsia="宋体" w:cs="宋体"/>
                <w:b/>
                <w:bCs/>
                <w:color w:val="auto"/>
                <w:sz w:val="20"/>
                <w:szCs w:val="20"/>
                <w:highlight w:val="none"/>
                <w:lang w:val="en-US" w:eastAsia="zh-CN"/>
              </w:rPr>
              <w:t>医院收案及履约</w:t>
            </w:r>
            <w:r>
              <w:rPr>
                <w:rFonts w:hint="eastAsia" w:ascii="宋体" w:hAnsi="宋体" w:eastAsia="宋体" w:cs="宋体"/>
                <w:b/>
                <w:bCs/>
                <w:color w:val="auto"/>
                <w:sz w:val="20"/>
                <w:szCs w:val="20"/>
                <w:highlight w:val="none"/>
              </w:rPr>
              <w:t>单项报价（元/疗程）</w:t>
            </w:r>
          </w:p>
        </w:tc>
        <w:tc>
          <w:tcPr>
            <w:tcW w:w="1223" w:type="pct"/>
            <w:shd w:val="clear" w:color="auto" w:fill="auto"/>
            <w:vAlign w:val="center"/>
          </w:tcPr>
          <w:p w14:paraId="323ABAE2">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单项权重</w:t>
            </w:r>
            <w:r>
              <w:rPr>
                <w:rFonts w:hint="eastAsia" w:ascii="宋体" w:hAnsi="宋体" w:eastAsia="宋体" w:cs="宋体"/>
                <w:b/>
                <w:bCs/>
                <w:color w:val="auto"/>
                <w:sz w:val="20"/>
                <w:szCs w:val="20"/>
                <w:highlight w:val="none"/>
                <w:lang w:val="en-US" w:eastAsia="zh-CN"/>
              </w:rPr>
              <w:t>价（即医院</w:t>
            </w:r>
            <w:r>
              <w:rPr>
                <w:rFonts w:hint="eastAsia" w:ascii="宋体" w:hAnsi="宋体" w:eastAsia="宋体" w:cs="宋体"/>
                <w:b/>
                <w:bCs/>
                <w:color w:val="auto"/>
                <w:sz w:val="20"/>
                <w:szCs w:val="20"/>
                <w:highlight w:val="none"/>
              </w:rPr>
              <w:t>收案及履约单项报价</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单价权重</w:t>
            </w:r>
            <w:r>
              <w:rPr>
                <w:rFonts w:hint="eastAsia" w:ascii="宋体" w:hAnsi="宋体" w:eastAsia="宋体" w:cs="宋体"/>
                <w:b/>
                <w:bCs/>
                <w:color w:val="auto"/>
                <w:sz w:val="20"/>
                <w:szCs w:val="20"/>
                <w:highlight w:val="none"/>
                <w:lang w:val="en-US" w:eastAsia="zh-CN"/>
              </w:rPr>
              <w:t>）</w:t>
            </w:r>
          </w:p>
        </w:tc>
      </w:tr>
      <w:tr w14:paraId="164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2AE82C73">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F94D">
            <w:pPr>
              <w:jc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专病</w:t>
            </w:r>
            <w:r>
              <w:rPr>
                <w:rFonts w:hint="eastAsia" w:ascii="宋体" w:hAnsi="宋体" w:cs="宋体"/>
                <w:i w:val="0"/>
                <w:iCs w:val="0"/>
                <w:color w:val="auto"/>
                <w:kern w:val="0"/>
                <w:sz w:val="21"/>
                <w:szCs w:val="21"/>
                <w:highlight w:val="none"/>
                <w:u w:val="none"/>
                <w:lang w:val="en-US" w:eastAsia="zh-CN" w:bidi="ar"/>
              </w:rPr>
              <w:t>短期</w:t>
            </w:r>
            <w:r>
              <w:rPr>
                <w:rFonts w:hint="eastAsia" w:ascii="宋体" w:hAnsi="宋体" w:eastAsia="宋体" w:cs="宋体"/>
                <w:i w:val="0"/>
                <w:iCs w:val="0"/>
                <w:color w:val="auto"/>
                <w:kern w:val="0"/>
                <w:sz w:val="21"/>
                <w:szCs w:val="21"/>
                <w:highlight w:val="none"/>
                <w:u w:val="none"/>
                <w:lang w:val="en-US" w:eastAsia="zh-CN" w:bidi="ar"/>
              </w:rPr>
              <w:t>管理</w:t>
            </w:r>
          </w:p>
        </w:tc>
        <w:tc>
          <w:tcPr>
            <w:tcW w:w="401" w:type="pct"/>
            <w:shd w:val="clear" w:color="auto" w:fill="auto"/>
            <w:noWrap/>
            <w:vAlign w:val="center"/>
          </w:tcPr>
          <w:p w14:paraId="099A305F">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9C52">
            <w:pPr>
              <w:widowControl/>
              <w:spacing w:line="360" w:lineRule="exact"/>
              <w:jc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F173">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F39">
            <w:pPr>
              <w:widowControl/>
              <w:jc w:val="center"/>
              <w:textAlignment w:val="center"/>
              <w:rPr>
                <w:rFonts w:hint="eastAsia" w:ascii="宋体" w:hAnsi="宋体" w:cs="宋体"/>
                <w:color w:val="auto"/>
                <w:kern w:val="0"/>
                <w:sz w:val="22"/>
                <w:szCs w:val="22"/>
                <w:highlight w:val="none"/>
                <w:lang w:val="en-US" w:eastAsia="zh-CN"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9428">
            <w:pPr>
              <w:widowControl/>
              <w:jc w:val="center"/>
              <w:textAlignment w:val="center"/>
              <w:rPr>
                <w:rFonts w:hint="eastAsia" w:ascii="宋体" w:hAnsi="宋体" w:cs="宋体"/>
                <w:color w:val="auto"/>
                <w:kern w:val="0"/>
                <w:sz w:val="22"/>
                <w:szCs w:val="22"/>
                <w:highlight w:val="none"/>
                <w:lang w:val="en-US" w:eastAsia="zh-CN" w:bidi="ar"/>
              </w:rPr>
            </w:pPr>
          </w:p>
        </w:tc>
      </w:tr>
      <w:tr w14:paraId="1CE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7643BF7B">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9755">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短期精细化管理</w:t>
            </w:r>
          </w:p>
        </w:tc>
        <w:tc>
          <w:tcPr>
            <w:tcW w:w="401" w:type="pct"/>
            <w:shd w:val="clear" w:color="auto" w:fill="auto"/>
            <w:noWrap/>
            <w:vAlign w:val="center"/>
          </w:tcPr>
          <w:p w14:paraId="4E1794C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7D7D">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19.6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F1D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E407">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9E17">
            <w:pPr>
              <w:widowControl/>
              <w:jc w:val="center"/>
              <w:textAlignment w:val="center"/>
              <w:rPr>
                <w:rFonts w:hint="eastAsia" w:ascii="宋体" w:hAnsi="宋体" w:cs="宋体"/>
                <w:color w:val="auto"/>
                <w:kern w:val="0"/>
                <w:sz w:val="22"/>
                <w:szCs w:val="22"/>
                <w:highlight w:val="none"/>
                <w:lang w:bidi="ar"/>
              </w:rPr>
            </w:pPr>
          </w:p>
        </w:tc>
      </w:tr>
      <w:tr w14:paraId="49D2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2D104DC9">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93C9">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专病短期精细化管理(家庭医护保健服务)</w:t>
            </w:r>
          </w:p>
        </w:tc>
        <w:tc>
          <w:tcPr>
            <w:tcW w:w="401" w:type="pct"/>
            <w:shd w:val="clear" w:color="auto" w:fill="auto"/>
            <w:noWrap/>
          </w:tcPr>
          <w:p w14:paraId="3597769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6194">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39.6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DFD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CE27">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48C5">
            <w:pPr>
              <w:widowControl/>
              <w:jc w:val="center"/>
              <w:textAlignment w:val="center"/>
              <w:rPr>
                <w:rFonts w:hint="eastAsia" w:ascii="宋体" w:hAnsi="宋体" w:cs="宋体"/>
                <w:color w:val="auto"/>
                <w:kern w:val="0"/>
                <w:sz w:val="22"/>
                <w:szCs w:val="22"/>
                <w:highlight w:val="none"/>
                <w:lang w:bidi="ar"/>
              </w:rPr>
            </w:pPr>
          </w:p>
        </w:tc>
      </w:tr>
      <w:tr w14:paraId="3962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565DEE07">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1777">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专病精细化标准管理(家庭医护保健服务)</w:t>
            </w:r>
          </w:p>
        </w:tc>
        <w:tc>
          <w:tcPr>
            <w:tcW w:w="401" w:type="pct"/>
            <w:shd w:val="clear" w:color="auto" w:fill="auto"/>
            <w:noWrap/>
          </w:tcPr>
          <w:p w14:paraId="6817D9F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7E95">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EB4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bidi="ar"/>
              </w:rPr>
              <w:t>%</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4959">
            <w:pPr>
              <w:widowControl/>
              <w:jc w:val="center"/>
              <w:textAlignment w:val="center"/>
              <w:rPr>
                <w:rFonts w:hint="eastAsia" w:ascii="宋体" w:hAnsi="宋体" w:cs="宋体"/>
                <w:color w:val="auto"/>
                <w:kern w:val="0"/>
                <w:sz w:val="22"/>
                <w:szCs w:val="22"/>
                <w:highlight w:val="none"/>
                <w:lang w:val="en-US" w:eastAsia="zh-CN"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1033">
            <w:pPr>
              <w:widowControl/>
              <w:jc w:val="center"/>
              <w:textAlignment w:val="center"/>
              <w:rPr>
                <w:rFonts w:hint="eastAsia" w:ascii="宋体" w:hAnsi="宋体" w:cs="宋体"/>
                <w:color w:val="auto"/>
                <w:kern w:val="0"/>
                <w:sz w:val="22"/>
                <w:szCs w:val="22"/>
                <w:highlight w:val="none"/>
                <w:lang w:val="en-US" w:eastAsia="zh-CN" w:bidi="ar"/>
              </w:rPr>
            </w:pPr>
          </w:p>
        </w:tc>
      </w:tr>
      <w:tr w14:paraId="4DD1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4C942C92">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0D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专病精细化强化管理(家庭医护保健服务)</w:t>
            </w:r>
          </w:p>
        </w:tc>
        <w:tc>
          <w:tcPr>
            <w:tcW w:w="401" w:type="pct"/>
            <w:shd w:val="clear" w:color="auto" w:fill="auto"/>
            <w:noWrap/>
          </w:tcPr>
          <w:p w14:paraId="4F21DAC3">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D05C">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158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411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464A">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5119">
            <w:pPr>
              <w:widowControl/>
              <w:jc w:val="center"/>
              <w:textAlignment w:val="center"/>
              <w:rPr>
                <w:rFonts w:hint="eastAsia" w:ascii="宋体" w:hAnsi="宋体" w:cs="宋体"/>
                <w:color w:val="auto"/>
                <w:kern w:val="0"/>
                <w:sz w:val="22"/>
                <w:szCs w:val="22"/>
                <w:highlight w:val="none"/>
                <w:lang w:bidi="ar"/>
              </w:rPr>
            </w:pPr>
          </w:p>
        </w:tc>
      </w:tr>
      <w:tr w14:paraId="71E9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0B2A2551">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283A">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专病精细化全程管理(家庭医护保健服务)</w:t>
            </w:r>
          </w:p>
        </w:tc>
        <w:tc>
          <w:tcPr>
            <w:tcW w:w="401" w:type="pct"/>
            <w:shd w:val="clear" w:color="auto" w:fill="auto"/>
            <w:noWrap/>
          </w:tcPr>
          <w:p w14:paraId="6EA847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F7F0">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 w:val="22"/>
                <w:szCs w:val="22"/>
                <w:highlight w:val="none"/>
                <w:lang w:val="en-US" w:eastAsia="zh-CN" w:bidi="ar"/>
              </w:rPr>
              <w:t>239.2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F7B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5A2B">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9209">
            <w:pPr>
              <w:widowControl/>
              <w:jc w:val="center"/>
              <w:textAlignment w:val="center"/>
              <w:rPr>
                <w:rFonts w:hint="eastAsia" w:ascii="宋体" w:hAnsi="宋体" w:cs="宋体"/>
                <w:color w:val="auto"/>
                <w:kern w:val="0"/>
                <w:sz w:val="22"/>
                <w:szCs w:val="22"/>
                <w:highlight w:val="none"/>
                <w:lang w:bidi="ar"/>
              </w:rPr>
            </w:pPr>
          </w:p>
        </w:tc>
      </w:tr>
      <w:tr w14:paraId="3FFD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4B8E8815">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A1F4">
            <w:pPr>
              <w:pStyle w:val="36"/>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专病强干预管理(家庭医护保健服务)</w:t>
            </w:r>
          </w:p>
        </w:tc>
        <w:tc>
          <w:tcPr>
            <w:tcW w:w="401" w:type="pct"/>
            <w:shd w:val="clear" w:color="auto" w:fill="auto"/>
            <w:noWrap/>
          </w:tcPr>
          <w:p w14:paraId="10017E6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FC3">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318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B06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A75C">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CF30">
            <w:pPr>
              <w:widowControl/>
              <w:jc w:val="center"/>
              <w:textAlignment w:val="center"/>
              <w:rPr>
                <w:rFonts w:hint="eastAsia" w:ascii="宋体" w:hAnsi="宋体" w:cs="宋体"/>
                <w:color w:val="auto"/>
                <w:kern w:val="0"/>
                <w:sz w:val="22"/>
                <w:szCs w:val="22"/>
                <w:highlight w:val="none"/>
                <w:lang w:bidi="ar"/>
              </w:rPr>
            </w:pPr>
          </w:p>
        </w:tc>
      </w:tr>
      <w:tr w14:paraId="73E9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2660DE28">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8</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73A0">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专病强干预综合管理(家庭医护保健服务)</w:t>
            </w:r>
          </w:p>
        </w:tc>
        <w:tc>
          <w:tcPr>
            <w:tcW w:w="401" w:type="pct"/>
            <w:shd w:val="clear" w:color="auto" w:fill="auto"/>
            <w:noWrap/>
          </w:tcPr>
          <w:p w14:paraId="368A387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ADF6">
            <w:pPr>
              <w:jc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2"/>
                <w:szCs w:val="22"/>
                <w:highlight w:val="none"/>
                <w:lang w:val="en-US" w:eastAsia="zh-CN" w:bidi="ar"/>
              </w:rPr>
              <w:t>636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E7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9F8">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E6AA">
            <w:pPr>
              <w:widowControl/>
              <w:jc w:val="center"/>
              <w:textAlignment w:val="center"/>
              <w:rPr>
                <w:rFonts w:hint="eastAsia" w:ascii="宋体" w:hAnsi="宋体" w:cs="宋体"/>
                <w:color w:val="auto"/>
                <w:kern w:val="0"/>
                <w:sz w:val="22"/>
                <w:szCs w:val="22"/>
                <w:highlight w:val="none"/>
                <w:lang w:bidi="ar"/>
              </w:rPr>
            </w:pPr>
          </w:p>
        </w:tc>
      </w:tr>
      <w:tr w14:paraId="2BE2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4FCA0D50">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9</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DE5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专病治疗性生活方式干预管理(家庭医护保健服务)</w:t>
            </w:r>
          </w:p>
        </w:tc>
        <w:tc>
          <w:tcPr>
            <w:tcW w:w="401" w:type="pct"/>
            <w:shd w:val="clear" w:color="auto" w:fill="auto"/>
            <w:noWrap/>
          </w:tcPr>
          <w:p w14:paraId="16F855B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2899">
            <w:pPr>
              <w:jc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2"/>
                <w:szCs w:val="22"/>
                <w:highlight w:val="none"/>
                <w:lang w:val="en-US" w:eastAsia="zh-CN" w:bidi="ar"/>
              </w:rPr>
              <w:t>954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DA9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4423">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0C67">
            <w:pPr>
              <w:widowControl/>
              <w:jc w:val="center"/>
              <w:textAlignment w:val="center"/>
              <w:rPr>
                <w:rFonts w:hint="eastAsia" w:ascii="宋体" w:hAnsi="宋体" w:cs="宋体"/>
                <w:color w:val="auto"/>
                <w:kern w:val="0"/>
                <w:sz w:val="22"/>
                <w:szCs w:val="22"/>
                <w:highlight w:val="none"/>
                <w:lang w:bidi="ar"/>
              </w:rPr>
            </w:pPr>
          </w:p>
        </w:tc>
      </w:tr>
      <w:tr w14:paraId="30DA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1B21D44D">
            <w:pPr>
              <w:pStyle w:val="331"/>
              <w:numPr>
                <w:ilvl w:val="0"/>
                <w:numId w:val="0"/>
              </w:numPr>
              <w:ind w:left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E2C">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多学科生活方式强化干预（家庭医护保健服务）</w:t>
            </w:r>
          </w:p>
        </w:tc>
        <w:tc>
          <w:tcPr>
            <w:tcW w:w="401" w:type="pct"/>
            <w:shd w:val="clear" w:color="auto" w:fill="auto"/>
            <w:noWrap/>
          </w:tcPr>
          <w:p w14:paraId="02E1CED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7E04">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 w:val="22"/>
                <w:szCs w:val="22"/>
                <w:highlight w:val="none"/>
                <w:lang w:val="en-US" w:eastAsia="zh-CN" w:bidi="ar"/>
              </w:rPr>
              <w:t>1272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387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976E">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A4A0">
            <w:pPr>
              <w:widowControl/>
              <w:jc w:val="center"/>
              <w:textAlignment w:val="center"/>
              <w:rPr>
                <w:rFonts w:hint="eastAsia" w:ascii="宋体" w:hAnsi="宋体" w:cs="宋体"/>
                <w:color w:val="auto"/>
                <w:kern w:val="0"/>
                <w:sz w:val="22"/>
                <w:szCs w:val="22"/>
                <w:highlight w:val="none"/>
                <w:lang w:bidi="ar"/>
              </w:rPr>
            </w:pPr>
          </w:p>
        </w:tc>
      </w:tr>
      <w:tr w14:paraId="6701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89" w:type="pct"/>
            <w:shd w:val="clear" w:color="auto" w:fill="auto"/>
            <w:vAlign w:val="center"/>
          </w:tcPr>
          <w:p w14:paraId="28040DD1">
            <w:pPr>
              <w:pStyle w:val="331"/>
              <w:numPr>
                <w:ilvl w:val="0"/>
                <w:numId w:val="0"/>
              </w:numPr>
              <w:ind w:left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EF7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多学科生活方式联合干预（家庭医护保健服务）</w:t>
            </w:r>
          </w:p>
        </w:tc>
        <w:tc>
          <w:tcPr>
            <w:tcW w:w="401" w:type="pct"/>
            <w:shd w:val="clear" w:color="auto" w:fill="auto"/>
            <w:noWrap/>
          </w:tcPr>
          <w:p w14:paraId="33C99E6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2FF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22"/>
                <w:szCs w:val="22"/>
                <w:highlight w:val="none"/>
                <w:lang w:val="en-US" w:eastAsia="zh-CN" w:bidi="ar"/>
              </w:rPr>
              <w:t>1432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5B1F">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0609">
            <w:pPr>
              <w:widowControl/>
              <w:jc w:val="center"/>
              <w:textAlignment w:val="center"/>
              <w:rPr>
                <w:rFonts w:hint="eastAsia" w:ascii="宋体" w:hAnsi="宋体" w:cs="宋体"/>
                <w:color w:val="auto"/>
                <w:kern w:val="0"/>
                <w:sz w:val="22"/>
                <w:szCs w:val="22"/>
                <w:highlight w:val="none"/>
                <w:lang w:bidi="ar"/>
              </w:rPr>
            </w:pP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EAD0">
            <w:pPr>
              <w:widowControl/>
              <w:jc w:val="center"/>
              <w:textAlignment w:val="center"/>
              <w:rPr>
                <w:rFonts w:hint="eastAsia" w:ascii="宋体" w:hAnsi="宋体" w:cs="宋体"/>
                <w:color w:val="auto"/>
                <w:kern w:val="0"/>
                <w:sz w:val="22"/>
                <w:szCs w:val="22"/>
                <w:highlight w:val="none"/>
                <w:lang w:bidi="ar"/>
              </w:rPr>
            </w:pPr>
          </w:p>
        </w:tc>
      </w:tr>
      <w:tr w14:paraId="008A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634" w:type="pct"/>
            <w:gridSpan w:val="2"/>
            <w:tcBorders>
              <w:right w:val="single" w:color="000000" w:sz="4" w:space="0"/>
            </w:tcBorders>
            <w:shd w:val="clear" w:color="auto" w:fill="auto"/>
            <w:vAlign w:val="center"/>
          </w:tcPr>
          <w:p w14:paraId="7E3A4218">
            <w:pPr>
              <w:widowControl/>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 w:val="22"/>
                <w:szCs w:val="22"/>
                <w:highlight w:val="none"/>
                <w:lang w:val="en-US" w:eastAsia="zh-CN"/>
              </w:rPr>
              <w:t>各项</w:t>
            </w:r>
            <w:r>
              <w:rPr>
                <w:rFonts w:hint="eastAsia" w:ascii="宋体" w:hAnsi="宋体" w:cs="宋体"/>
                <w:b/>
                <w:bCs/>
                <w:color w:val="auto"/>
                <w:kern w:val="0"/>
                <w:sz w:val="22"/>
                <w:szCs w:val="22"/>
                <w:highlight w:val="none"/>
              </w:rPr>
              <w:t>投标报价（综合单价）=（各项单项报价*各单价权重）之和。最终结果四舍五入保留小数点后两位</w:t>
            </w:r>
          </w:p>
        </w:tc>
        <w:tc>
          <w:tcPr>
            <w:tcW w:w="3365" w:type="pct"/>
            <w:gridSpan w:val="5"/>
            <w:tcBorders>
              <w:right w:val="single" w:color="000000" w:sz="4" w:space="0"/>
            </w:tcBorders>
            <w:shd w:val="clear" w:color="auto" w:fill="auto"/>
            <w:noWrap/>
            <w:vAlign w:val="center"/>
          </w:tcPr>
          <w:p w14:paraId="30DEC4E7">
            <w:pPr>
              <w:widowControl/>
              <w:jc w:val="center"/>
              <w:textAlignment w:val="center"/>
              <w:rPr>
                <w:rFonts w:hint="eastAsia" w:ascii="宋体" w:hAnsi="宋体" w:cs="宋体"/>
                <w:color w:val="auto"/>
                <w:kern w:val="0"/>
                <w:sz w:val="22"/>
                <w:szCs w:val="22"/>
                <w:highlight w:val="none"/>
                <w:lang w:bidi="ar"/>
              </w:rPr>
            </w:pPr>
          </w:p>
        </w:tc>
      </w:tr>
    </w:tbl>
    <w:p w14:paraId="780BB310">
      <w:pPr>
        <w:pStyle w:val="65"/>
        <w:rPr>
          <w:rFonts w:hint="eastAsia" w:ascii="宋体" w:hAnsi="宋体" w:cs="宋体"/>
          <w:color w:val="auto"/>
          <w:sz w:val="22"/>
          <w:szCs w:val="22"/>
          <w:highlight w:val="none"/>
          <w:lang w:eastAsia="zh-CN"/>
        </w:rPr>
      </w:pPr>
    </w:p>
    <w:p w14:paraId="5F99B5DF">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75821FF7">
      <w:pPr>
        <w:numPr>
          <w:ilvl w:val="0"/>
          <w:numId w:val="4"/>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如投标人报价超过最高限价按无效标处理。</w:t>
      </w:r>
    </w:p>
    <w:p w14:paraId="4E584E7B">
      <w:pPr>
        <w:numPr>
          <w:ilvl w:val="0"/>
          <w:numId w:val="4"/>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不提供此表格将被视为没有实质性响应招标文件</w:t>
      </w:r>
    </w:p>
    <w:p w14:paraId="76EAB888">
      <w:pPr>
        <w:spacing w:line="360" w:lineRule="auto"/>
        <w:jc w:val="center"/>
        <w:rPr>
          <w:rFonts w:ascii="宋体" w:hAnsi="宋体" w:cs="宋体"/>
          <w:color w:val="auto"/>
          <w:sz w:val="22"/>
          <w:szCs w:val="22"/>
          <w:highlight w:val="none"/>
        </w:rPr>
      </w:pPr>
    </w:p>
    <w:p w14:paraId="427D246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236AA74">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法定代表人或其授权代表（签字或盖章）</w:t>
      </w:r>
      <w:r>
        <w:rPr>
          <w:rFonts w:hint="eastAsia" w:ascii="宋体" w:hAnsi="宋体" w:cs="宋体"/>
          <w:color w:val="auto"/>
          <w:sz w:val="22"/>
          <w:szCs w:val="22"/>
          <w:highlight w:val="none"/>
        </w:rPr>
        <w:t>：</w:t>
      </w:r>
    </w:p>
    <w:p w14:paraId="38020D81">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0FD19671">
      <w:pPr>
        <w:pStyle w:val="52"/>
        <w:rPr>
          <w:color w:val="auto"/>
          <w:highlight w:val="none"/>
        </w:rPr>
      </w:pPr>
    </w:p>
    <w:p w14:paraId="450E2455">
      <w:pPr>
        <w:pStyle w:val="52"/>
        <w:rPr>
          <w:color w:val="auto"/>
          <w:highlight w:val="none"/>
        </w:rPr>
      </w:pPr>
    </w:p>
    <w:p w14:paraId="0E7E08E3">
      <w:pPr>
        <w:pStyle w:val="52"/>
        <w:rPr>
          <w:color w:val="auto"/>
          <w:highlight w:val="none"/>
        </w:rPr>
      </w:pPr>
    </w:p>
    <w:p w14:paraId="38AB968D">
      <w:pPr>
        <w:pStyle w:val="52"/>
        <w:rPr>
          <w:color w:val="auto"/>
          <w:highlight w:val="none"/>
        </w:rPr>
      </w:pPr>
    </w:p>
    <w:p w14:paraId="1FD0D332">
      <w:pPr>
        <w:pStyle w:val="52"/>
        <w:rPr>
          <w:color w:val="auto"/>
          <w:highlight w:val="none"/>
        </w:rPr>
      </w:pPr>
    </w:p>
    <w:p w14:paraId="4CE22AA4">
      <w:pPr>
        <w:rPr>
          <w:rFonts w:hint="eastAsia" w:ascii="宋体" w:hAnsi="宋体" w:cs="宋体"/>
          <w:b/>
          <w:bCs/>
          <w:color w:val="auto"/>
          <w:sz w:val="28"/>
          <w:szCs w:val="28"/>
          <w:highlight w:val="none"/>
          <w:lang w:val="en-US" w:eastAsia="zh-CN"/>
        </w:rPr>
      </w:pPr>
      <w:bookmarkStart w:id="34" w:name="_Toc19402"/>
      <w:bookmarkStart w:id="35" w:name="_Toc12035"/>
      <w:r>
        <w:rPr>
          <w:rFonts w:hint="eastAsia" w:ascii="宋体" w:hAnsi="宋体" w:cs="宋体"/>
          <w:b/>
          <w:bCs/>
          <w:color w:val="auto"/>
          <w:sz w:val="28"/>
          <w:szCs w:val="28"/>
          <w:highlight w:val="none"/>
          <w:lang w:val="en-US" w:eastAsia="zh-CN"/>
        </w:rPr>
        <w:br w:type="page"/>
      </w:r>
    </w:p>
    <w:p w14:paraId="151341EA">
      <w:pPr>
        <w:tabs>
          <w:tab w:val="left" w:pos="1620"/>
        </w:tabs>
        <w:spacing w:line="460" w:lineRule="exact"/>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w:t>
      </w:r>
      <w:r>
        <w:rPr>
          <w:rFonts w:hint="eastAsia" w:ascii="宋体" w:hAnsi="宋体" w:eastAsia="宋体" w:cs="宋体"/>
          <w:b/>
          <w:bCs/>
          <w:color w:val="auto"/>
          <w:sz w:val="28"/>
          <w:szCs w:val="28"/>
          <w:highlight w:val="none"/>
        </w:rPr>
        <w:t>中小企业声明函、监狱企业、残疾人福利性单位及其他相关的充分的证明材料（如有）</w:t>
      </w:r>
    </w:p>
    <w:p w14:paraId="666BBB59">
      <w:pPr>
        <w:tabs>
          <w:tab w:val="left" w:pos="1620"/>
        </w:tabs>
        <w:spacing w:line="460" w:lineRule="exact"/>
        <w:jc w:val="center"/>
        <w:outlineLvl w:val="4"/>
        <w:rPr>
          <w:rFonts w:ascii="宋体" w:hAnsi="宋体" w:cs="宋体"/>
          <w:b/>
          <w:bCs/>
          <w:color w:val="auto"/>
          <w:sz w:val="22"/>
          <w:szCs w:val="22"/>
          <w:highlight w:val="none"/>
        </w:rPr>
      </w:pPr>
      <w:r>
        <w:rPr>
          <w:rFonts w:hint="eastAsia" w:ascii="宋体" w:hAnsi="宋体" w:cs="宋体"/>
          <w:b/>
          <w:bCs/>
          <w:color w:val="auto"/>
          <w:sz w:val="28"/>
          <w:szCs w:val="28"/>
          <w:highlight w:val="none"/>
          <w:lang w:val="en-US" w:eastAsia="zh-CN"/>
        </w:rPr>
        <w:t>①</w:t>
      </w:r>
      <w:r>
        <w:rPr>
          <w:rFonts w:hint="eastAsia" w:ascii="宋体" w:hAnsi="宋体" w:cs="宋体"/>
          <w:b/>
          <w:bCs/>
          <w:color w:val="auto"/>
          <w:sz w:val="28"/>
          <w:szCs w:val="28"/>
          <w:highlight w:val="none"/>
        </w:rPr>
        <w:t>监狱企业的相关证明材料</w:t>
      </w:r>
    </w:p>
    <w:p w14:paraId="4DFF344D">
      <w:pPr>
        <w:spacing w:line="460" w:lineRule="exact"/>
        <w:ind w:firstLine="571" w:firstLineChars="245"/>
        <w:rPr>
          <w:rFonts w:ascii="宋体" w:hAnsi="宋体" w:cs="宋体"/>
          <w:b/>
          <w:bCs/>
          <w:color w:val="auto"/>
          <w:sz w:val="22"/>
          <w:szCs w:val="22"/>
          <w:highlight w:val="none"/>
          <w:u w:val="single"/>
          <w:lang w:val="zh-CN"/>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是监狱企业的按非监狱企业处理，所提供的证明材料应为最新的最近的</w:t>
      </w:r>
      <w:r>
        <w:rPr>
          <w:rFonts w:hint="eastAsia" w:ascii="宋体" w:hAnsi="宋体" w:cs="宋体"/>
          <w:b/>
          <w:bCs/>
          <w:color w:val="auto"/>
          <w:sz w:val="22"/>
          <w:szCs w:val="22"/>
          <w:highlight w:val="none"/>
          <w:u w:val="single"/>
          <w:lang w:val="zh-CN"/>
        </w:rPr>
        <w:t>。</w:t>
      </w:r>
    </w:p>
    <w:p w14:paraId="5286482F">
      <w:pPr>
        <w:adjustRightInd w:val="0"/>
        <w:snapToGrid w:val="0"/>
        <w:spacing w:line="300" w:lineRule="auto"/>
        <w:jc w:val="center"/>
        <w:rPr>
          <w:rFonts w:ascii="宋体" w:hAnsi="宋体" w:cs="宋体"/>
          <w:b/>
          <w:color w:val="auto"/>
          <w:spacing w:val="6"/>
          <w:sz w:val="22"/>
          <w:szCs w:val="22"/>
          <w:highlight w:val="none"/>
        </w:rPr>
      </w:pPr>
    </w:p>
    <w:p w14:paraId="048C2797">
      <w:pPr>
        <w:adjustRightInd w:val="0"/>
        <w:snapToGrid w:val="0"/>
        <w:spacing w:line="300" w:lineRule="auto"/>
        <w:jc w:val="center"/>
        <w:rPr>
          <w:rFonts w:ascii="宋体" w:hAnsi="宋体" w:cs="宋体"/>
          <w:b/>
          <w:color w:val="auto"/>
          <w:spacing w:val="6"/>
          <w:sz w:val="22"/>
          <w:szCs w:val="22"/>
          <w:highlight w:val="none"/>
        </w:rPr>
      </w:pPr>
    </w:p>
    <w:p w14:paraId="0FD790A5">
      <w:pPr>
        <w:adjustRightInd w:val="0"/>
        <w:snapToGrid w:val="0"/>
        <w:spacing w:line="300" w:lineRule="auto"/>
        <w:jc w:val="center"/>
        <w:rPr>
          <w:rFonts w:ascii="宋体" w:hAnsi="宋体" w:cs="宋体"/>
          <w:b/>
          <w:color w:val="auto"/>
          <w:spacing w:val="6"/>
          <w:sz w:val="22"/>
          <w:szCs w:val="22"/>
          <w:highlight w:val="none"/>
        </w:rPr>
      </w:pPr>
    </w:p>
    <w:p w14:paraId="5BD4B3AD">
      <w:pPr>
        <w:adjustRightInd w:val="0"/>
        <w:snapToGrid w:val="0"/>
        <w:spacing w:line="300" w:lineRule="auto"/>
        <w:jc w:val="center"/>
        <w:rPr>
          <w:rFonts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09FDD45C">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69C87F19">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本企业郑重声明，根据《关于政府采购支持监狱企业发展有关问题的通知》（财库[2014]68号）的规定，本企业为监狱企业。 </w:t>
      </w:r>
    </w:p>
    <w:p w14:paraId="4BC0CC54">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 </w:t>
      </w:r>
    </w:p>
    <w:p w14:paraId="3E6BA216">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本企业为参加（招标项目名称</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）（招标编号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）采购活动并承担本工程。 </w:t>
      </w:r>
    </w:p>
    <w:p w14:paraId="4235EB3A">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本企业对上述声明的真实性负责。如有虚假，将依法承担相应责任。  </w:t>
      </w:r>
    </w:p>
    <w:p w14:paraId="298DE39E">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4361EC2E">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日期：    年    月   日 </w:t>
      </w:r>
    </w:p>
    <w:p w14:paraId="1EAE7B00">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26B1841F">
      <w:pPr>
        <w:adjustRightInd w:val="0"/>
        <w:snapToGrid w:val="0"/>
        <w:spacing w:line="460" w:lineRule="exact"/>
        <w:ind w:firstLine="464" w:firstLineChars="200"/>
        <w:rPr>
          <w:rFonts w:ascii="宋体" w:hAnsi="宋体" w:cs="宋体"/>
          <w:color w:val="auto"/>
          <w:kern w:val="0"/>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2659EE">
      <w:pPr>
        <w:spacing w:line="460" w:lineRule="exact"/>
        <w:rPr>
          <w:rFonts w:ascii="宋体" w:hAnsi="宋体" w:cs="宋体"/>
          <w:color w:val="auto"/>
          <w:spacing w:val="20"/>
          <w:sz w:val="22"/>
          <w:szCs w:val="22"/>
          <w:highlight w:val="none"/>
        </w:rPr>
      </w:pPr>
    </w:p>
    <w:p w14:paraId="7154A991">
      <w:pPr>
        <w:spacing w:line="460" w:lineRule="exact"/>
        <w:rPr>
          <w:rFonts w:ascii="宋体" w:hAnsi="宋体" w:cs="宋体"/>
          <w:color w:val="auto"/>
          <w:spacing w:val="20"/>
          <w:sz w:val="22"/>
          <w:szCs w:val="22"/>
          <w:highlight w:val="none"/>
        </w:rPr>
      </w:pPr>
    </w:p>
    <w:p w14:paraId="57FA2307">
      <w:pPr>
        <w:spacing w:line="380" w:lineRule="exact"/>
        <w:rPr>
          <w:rFonts w:ascii="宋体" w:hAnsi="宋体" w:cs="宋体"/>
          <w:color w:val="auto"/>
          <w:sz w:val="22"/>
          <w:szCs w:val="22"/>
          <w:highlight w:val="none"/>
        </w:rPr>
      </w:pPr>
    </w:p>
    <w:p w14:paraId="321E9DFC">
      <w:pPr>
        <w:spacing w:line="380" w:lineRule="exact"/>
        <w:rPr>
          <w:rFonts w:ascii="宋体" w:hAnsi="宋体" w:cs="宋体"/>
          <w:color w:val="auto"/>
          <w:sz w:val="22"/>
          <w:szCs w:val="22"/>
          <w:highlight w:val="none"/>
        </w:rPr>
      </w:pPr>
    </w:p>
    <w:p w14:paraId="5B9F893D">
      <w:pPr>
        <w:spacing w:line="380" w:lineRule="exact"/>
        <w:rPr>
          <w:rFonts w:ascii="宋体" w:hAnsi="宋体" w:cs="宋体"/>
          <w:color w:val="auto"/>
          <w:sz w:val="22"/>
          <w:szCs w:val="22"/>
          <w:highlight w:val="none"/>
        </w:rPr>
      </w:pPr>
    </w:p>
    <w:p w14:paraId="1260C7F3">
      <w:pPr>
        <w:spacing w:line="380" w:lineRule="exact"/>
        <w:rPr>
          <w:rFonts w:ascii="宋体" w:hAnsi="宋体" w:cs="宋体"/>
          <w:color w:val="auto"/>
          <w:sz w:val="22"/>
          <w:szCs w:val="22"/>
          <w:highlight w:val="none"/>
        </w:rPr>
      </w:pPr>
    </w:p>
    <w:p w14:paraId="25E36023">
      <w:pPr>
        <w:spacing w:line="380" w:lineRule="exact"/>
        <w:rPr>
          <w:rFonts w:ascii="宋体" w:hAnsi="宋体" w:cs="宋体"/>
          <w:color w:val="auto"/>
          <w:sz w:val="22"/>
          <w:szCs w:val="22"/>
          <w:highlight w:val="none"/>
        </w:rPr>
      </w:pPr>
    </w:p>
    <w:p w14:paraId="1EEBF4A9">
      <w:pPr>
        <w:spacing w:line="380" w:lineRule="exact"/>
        <w:rPr>
          <w:rFonts w:ascii="宋体" w:hAnsi="宋体" w:cs="宋体"/>
          <w:color w:val="auto"/>
          <w:sz w:val="22"/>
          <w:szCs w:val="22"/>
          <w:highlight w:val="none"/>
        </w:rPr>
      </w:pPr>
    </w:p>
    <w:p w14:paraId="5D15B7FB">
      <w:pPr>
        <w:spacing w:line="380" w:lineRule="exact"/>
        <w:rPr>
          <w:rFonts w:ascii="宋体" w:hAnsi="宋体" w:cs="宋体"/>
          <w:color w:val="auto"/>
          <w:sz w:val="22"/>
          <w:szCs w:val="22"/>
          <w:highlight w:val="none"/>
        </w:rPr>
      </w:pPr>
    </w:p>
    <w:p w14:paraId="7F5493C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540080E">
      <w:pPr>
        <w:tabs>
          <w:tab w:val="left" w:pos="1620"/>
        </w:tabs>
        <w:spacing w:line="460" w:lineRule="exact"/>
        <w:jc w:val="center"/>
        <w:outlineLvl w:val="4"/>
        <w:rPr>
          <w:rFonts w:ascii="宋体" w:hAnsi="宋体" w:cs="宋体"/>
          <w:b/>
          <w:bCs/>
          <w:color w:val="auto"/>
          <w:sz w:val="22"/>
          <w:szCs w:val="22"/>
          <w:highlight w:val="none"/>
        </w:rPr>
      </w:pPr>
      <w:r>
        <w:rPr>
          <w:rFonts w:hint="eastAsia" w:ascii="宋体" w:hAnsi="宋体" w:cs="宋体"/>
          <w:b/>
          <w:bCs/>
          <w:color w:val="auto"/>
          <w:sz w:val="28"/>
          <w:szCs w:val="28"/>
          <w:highlight w:val="none"/>
          <w:lang w:val="en-US" w:eastAsia="zh-CN"/>
        </w:rPr>
        <w:t>②</w:t>
      </w:r>
      <w:r>
        <w:rPr>
          <w:rFonts w:hint="eastAsia" w:ascii="宋体" w:hAnsi="宋体" w:cs="宋体"/>
          <w:b/>
          <w:bCs/>
          <w:color w:val="auto"/>
          <w:sz w:val="28"/>
          <w:szCs w:val="28"/>
          <w:highlight w:val="none"/>
        </w:rPr>
        <w:t>中小企业的相关证明材料</w:t>
      </w:r>
    </w:p>
    <w:p w14:paraId="2481BBD5">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w:t>
      </w:r>
      <w:r>
        <w:rPr>
          <w:rFonts w:hint="eastAsia" w:ascii="宋体" w:hAnsi="宋体" w:cs="宋体"/>
          <w:color w:val="auto"/>
          <w:spacing w:val="6"/>
          <w:sz w:val="22"/>
          <w:szCs w:val="22"/>
          <w:highlight w:val="none"/>
          <w:lang w:val="zh-CN"/>
        </w:rPr>
        <w:t>小型、微型</w:t>
      </w:r>
      <w:r>
        <w:rPr>
          <w:rFonts w:hint="eastAsia" w:ascii="宋体" w:hAnsi="宋体" w:cs="宋体"/>
          <w:color w:val="auto"/>
          <w:spacing w:val="6"/>
          <w:sz w:val="22"/>
          <w:szCs w:val="22"/>
          <w:highlight w:val="none"/>
        </w:rPr>
        <w:t>企业不用提供】</w:t>
      </w:r>
    </w:p>
    <w:p w14:paraId="200F9D71">
      <w:pPr>
        <w:spacing w:line="380" w:lineRule="exact"/>
        <w:rPr>
          <w:rFonts w:ascii="宋体" w:hAnsi="宋体" w:cs="宋体"/>
          <w:color w:val="auto"/>
          <w:sz w:val="22"/>
          <w:szCs w:val="22"/>
          <w:highlight w:val="none"/>
        </w:rPr>
      </w:pPr>
    </w:p>
    <w:p w14:paraId="1217C155">
      <w:pPr>
        <w:spacing w:line="460" w:lineRule="exact"/>
        <w:ind w:firstLine="539" w:firstLineChars="24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根据《政府采购促进中小企业发展管理办法》（财库﹝2020﹞46号），</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宋体" w:hAnsi="宋体" w:cs="宋体"/>
          <w:color w:val="auto"/>
          <w:sz w:val="22"/>
          <w:szCs w:val="22"/>
          <w:highlight w:val="none"/>
          <w:lang w:val="zh-CN"/>
        </w:rPr>
        <w:t>，用扣除后的价格参与价格评分。</w:t>
      </w:r>
    </w:p>
    <w:p w14:paraId="3460A615">
      <w:pPr>
        <w:spacing w:line="460" w:lineRule="exact"/>
        <w:ind w:firstLine="541" w:firstLineChars="245"/>
        <w:rPr>
          <w:rFonts w:ascii="宋体" w:hAnsi="宋体" w:cs="宋体"/>
          <w:color w:val="auto"/>
          <w:sz w:val="22"/>
          <w:szCs w:val="22"/>
          <w:highlight w:val="none"/>
          <w:lang w:val="zh-CN"/>
        </w:rPr>
      </w:pPr>
      <w:r>
        <w:rPr>
          <w:rFonts w:hint="eastAsia" w:ascii="宋体" w:hAnsi="宋体" w:cs="宋体"/>
          <w:b/>
          <w:bCs/>
          <w:color w:val="auto"/>
          <w:sz w:val="22"/>
          <w:szCs w:val="22"/>
          <w:highlight w:val="none"/>
          <w:u w:val="single"/>
        </w:rPr>
        <w:t>同时</w:t>
      </w:r>
      <w:r>
        <w:rPr>
          <w:rFonts w:hint="eastAsia" w:ascii="宋体" w:hAnsi="宋体" w:cs="宋体"/>
          <w:b/>
          <w:bCs/>
          <w:color w:val="auto"/>
          <w:sz w:val="22"/>
          <w:szCs w:val="22"/>
          <w:highlight w:val="none"/>
          <w:u w:val="single"/>
          <w:lang w:val="zh-CN"/>
        </w:rPr>
        <w:t>符合以下所有要求的投标人被认定为小型、微型企业：</w:t>
      </w:r>
    </w:p>
    <w:p w14:paraId="7AD0430D">
      <w:pPr>
        <w:spacing w:line="460" w:lineRule="exact"/>
        <w:ind w:firstLine="541" w:firstLineChars="245"/>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①企业按照《关于印发中小企业划型标准规定的通知》（工信部联企业〔2011〕300号）的所属行业规定为小型、微型企业。</w:t>
      </w:r>
    </w:p>
    <w:p w14:paraId="22A9383E">
      <w:pPr>
        <w:spacing w:line="460" w:lineRule="exact"/>
        <w:ind w:firstLine="541" w:firstLineChars="245"/>
        <w:rPr>
          <w:rFonts w:ascii="宋体" w:hAnsi="宋体" w:cs="宋体"/>
          <w:color w:val="auto"/>
          <w:sz w:val="22"/>
          <w:szCs w:val="22"/>
          <w:highlight w:val="none"/>
        </w:rPr>
      </w:pPr>
      <w:r>
        <w:rPr>
          <w:rFonts w:hint="eastAsia" w:ascii="宋体" w:hAnsi="宋体" w:cs="宋体"/>
          <w:b/>
          <w:bCs/>
          <w:color w:val="auto"/>
          <w:sz w:val="22"/>
          <w:szCs w:val="22"/>
          <w:highlight w:val="none"/>
          <w:u w:val="single"/>
        </w:rPr>
        <w:t>②</w:t>
      </w:r>
      <w:r>
        <w:rPr>
          <w:rFonts w:hint="eastAsia" w:ascii="宋体" w:hAnsi="宋体" w:cs="宋体"/>
          <w:b/>
          <w:bCs/>
          <w:color w:val="auto"/>
          <w:sz w:val="22"/>
          <w:szCs w:val="22"/>
          <w:highlight w:val="none"/>
          <w:u w:val="single"/>
          <w:lang w:val="zh-CN"/>
        </w:rPr>
        <w:t>投标文件中必须提供《中小企业声明函》。</w:t>
      </w:r>
    </w:p>
    <w:p w14:paraId="50DF795D">
      <w:pPr>
        <w:spacing w:line="460" w:lineRule="exact"/>
        <w:jc w:val="center"/>
        <w:rPr>
          <w:rFonts w:ascii="宋体" w:hAnsi="宋体" w:cs="宋体"/>
          <w:color w:val="auto"/>
          <w:sz w:val="24"/>
          <w:highlight w:val="none"/>
        </w:rPr>
      </w:pPr>
      <w:r>
        <w:rPr>
          <w:rFonts w:hint="eastAsia" w:ascii="宋体" w:hAnsi="宋体" w:cs="宋体"/>
          <w:b/>
          <w:bCs/>
          <w:color w:val="auto"/>
          <w:sz w:val="24"/>
          <w:highlight w:val="none"/>
        </w:rPr>
        <w:t>《中小企业声明函（工程、服务）》</w:t>
      </w:r>
    </w:p>
    <w:p w14:paraId="283FD2A2">
      <w:pPr>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33804F45">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C6DC94E">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1.</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 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 xml:space="preserve">； </w:t>
      </w:r>
    </w:p>
    <w:p w14:paraId="7AD09ADC">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w:t>
      </w:r>
    </w:p>
    <w:p w14:paraId="2FD1EED9">
      <w:pPr>
        <w:spacing w:line="460" w:lineRule="exact"/>
        <w:ind w:firstLine="639" w:firstLineChars="245"/>
        <w:rPr>
          <w:rFonts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w:t>
      </w:r>
    </w:p>
    <w:p w14:paraId="23C4B74D">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以上企业，不属于大企业的分支机构，不存在控股股东为大企业的情形，也不存在与大企业的负责人为同一人的情形。</w:t>
      </w:r>
    </w:p>
    <w:p w14:paraId="4CB8CEDA">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本企业对上述声明内容的真实性负责。如有虚假，将依法承担相应责任。 </w:t>
      </w:r>
    </w:p>
    <w:p w14:paraId="68E45EC7">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1C14F37A">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日 期：</w:t>
      </w:r>
    </w:p>
    <w:p w14:paraId="719CF961">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ACD5A79">
      <w:pPr>
        <w:spacing w:line="420" w:lineRule="exact"/>
        <w:ind w:left="514" w:leftChars="245"/>
        <w:jc w:val="center"/>
        <w:outlineLvl w:val="4"/>
        <w:rPr>
          <w:rFonts w:ascii="宋体" w:hAnsi="宋体" w:cs="宋体"/>
          <w:b/>
          <w:bCs/>
          <w:color w:val="auto"/>
          <w:sz w:val="22"/>
          <w:szCs w:val="22"/>
          <w:highlight w:val="none"/>
        </w:rPr>
      </w:pPr>
      <w:r>
        <w:rPr>
          <w:rFonts w:hint="eastAsia" w:ascii="宋体" w:hAnsi="宋体" w:cs="宋体"/>
          <w:b/>
          <w:bCs/>
          <w:color w:val="auto"/>
          <w:sz w:val="28"/>
          <w:szCs w:val="28"/>
          <w:highlight w:val="none"/>
          <w:lang w:val="en-US" w:eastAsia="zh-CN"/>
        </w:rPr>
        <w:t>③</w:t>
      </w:r>
      <w:r>
        <w:rPr>
          <w:rFonts w:hint="eastAsia" w:ascii="宋体" w:hAnsi="宋体" w:cs="宋体"/>
          <w:b/>
          <w:bCs/>
          <w:color w:val="auto"/>
          <w:sz w:val="28"/>
          <w:szCs w:val="28"/>
          <w:highlight w:val="none"/>
        </w:rPr>
        <w:t>残疾人福利性单位的相关证明材料</w:t>
      </w:r>
    </w:p>
    <w:p w14:paraId="6314B4EA">
      <w:pPr>
        <w:spacing w:line="460" w:lineRule="exact"/>
        <w:ind w:firstLine="699" w:firstLineChars="300"/>
        <w:rPr>
          <w:rFonts w:ascii="宋体" w:hAnsi="宋体" w:cs="宋体"/>
          <w:color w:val="auto"/>
          <w:spacing w:val="20"/>
          <w:sz w:val="22"/>
          <w:szCs w:val="22"/>
          <w:highlight w:val="none"/>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cs="宋体"/>
          <w:b/>
          <w:bCs/>
          <w:color w:val="auto"/>
          <w:sz w:val="22"/>
          <w:szCs w:val="22"/>
          <w:highlight w:val="none"/>
          <w:u w:val="single"/>
          <w:lang w:val="zh-CN"/>
        </w:rPr>
        <w:t>。</w:t>
      </w:r>
    </w:p>
    <w:p w14:paraId="2C6D50A6">
      <w:pPr>
        <w:spacing w:line="460" w:lineRule="exact"/>
        <w:rPr>
          <w:rFonts w:ascii="宋体" w:hAnsi="宋体" w:cs="宋体"/>
          <w:color w:val="auto"/>
          <w:spacing w:val="20"/>
          <w:sz w:val="22"/>
          <w:szCs w:val="22"/>
          <w:highlight w:val="none"/>
        </w:rPr>
      </w:pPr>
    </w:p>
    <w:p w14:paraId="78BBA966">
      <w:pPr>
        <w:spacing w:line="460" w:lineRule="exact"/>
        <w:rPr>
          <w:rFonts w:ascii="宋体" w:hAnsi="宋体" w:cs="宋体"/>
          <w:color w:val="auto"/>
          <w:spacing w:val="20"/>
          <w:sz w:val="22"/>
          <w:szCs w:val="22"/>
          <w:highlight w:val="none"/>
        </w:rPr>
      </w:pPr>
    </w:p>
    <w:p w14:paraId="525E97A1">
      <w:pPr>
        <w:spacing w:line="460" w:lineRule="exact"/>
        <w:jc w:val="center"/>
        <w:rPr>
          <w:rFonts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11EBD2C8">
      <w:pPr>
        <w:widowControl/>
        <w:adjustRightInd w:val="0"/>
        <w:snapToGrid w:val="0"/>
        <w:spacing w:line="460" w:lineRule="exact"/>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1F020D96">
      <w:pPr>
        <w:snapToGrid w:val="0"/>
        <w:spacing w:line="460" w:lineRule="exact"/>
        <w:jc w:val="center"/>
        <w:rPr>
          <w:rFonts w:ascii="宋体" w:hAnsi="宋体" w:cs="宋体"/>
          <w:b/>
          <w:bCs/>
          <w:color w:val="auto"/>
          <w:sz w:val="22"/>
          <w:szCs w:val="22"/>
          <w:highlight w:val="none"/>
        </w:rPr>
      </w:pPr>
    </w:p>
    <w:p w14:paraId="2CCFFF8C">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号）的规定，本单位为符合条件的残疾人福利性单位，且本单位参加</w:t>
      </w:r>
      <w:r>
        <w:rPr>
          <w:rFonts w:hint="eastAsia" w:ascii="宋体" w:hAnsi="宋体" w:cs="宋体"/>
          <w:color w:val="auto"/>
          <w:spacing w:val="6"/>
          <w:sz w:val="22"/>
          <w:szCs w:val="22"/>
          <w:highlight w:val="none"/>
          <w:u w:val="single"/>
        </w:rPr>
        <w:t>（招标人名称）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（招标项目名称）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428B5F59">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77D5A9BA">
      <w:pPr>
        <w:snapToGrid w:val="0"/>
        <w:spacing w:line="460" w:lineRule="exact"/>
        <w:ind w:firstLine="464" w:firstLineChars="200"/>
        <w:rPr>
          <w:rFonts w:ascii="宋体" w:hAnsi="宋体" w:cs="宋体"/>
          <w:color w:val="auto"/>
          <w:spacing w:val="6"/>
          <w:sz w:val="22"/>
          <w:szCs w:val="22"/>
          <w:highlight w:val="none"/>
        </w:rPr>
      </w:pPr>
    </w:p>
    <w:p w14:paraId="5ADD40F3">
      <w:pPr>
        <w:snapToGrid w:val="0"/>
        <w:spacing w:line="460" w:lineRule="exact"/>
        <w:ind w:firstLine="464" w:firstLineChars="200"/>
        <w:rPr>
          <w:rFonts w:ascii="宋体" w:hAnsi="宋体" w:cs="宋体"/>
          <w:color w:val="auto"/>
          <w:spacing w:val="6"/>
          <w:sz w:val="22"/>
          <w:szCs w:val="22"/>
          <w:highlight w:val="none"/>
        </w:rPr>
      </w:pPr>
    </w:p>
    <w:p w14:paraId="5B48B6CD">
      <w:pPr>
        <w:adjustRightInd w:val="0"/>
        <w:snapToGrid w:val="0"/>
        <w:spacing w:line="4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p>
    <w:p w14:paraId="547943A1">
      <w:pPr>
        <w:adjustRightInd w:val="0"/>
        <w:snapToGrid w:val="0"/>
        <w:spacing w:line="460" w:lineRule="exact"/>
        <w:ind w:firstLine="440" w:firstLineChars="200"/>
        <w:rPr>
          <w:rFonts w:ascii="宋体" w:hAnsi="宋体" w:cs="宋体"/>
          <w:color w:val="auto"/>
          <w:spacing w:val="20"/>
          <w:sz w:val="22"/>
          <w:szCs w:val="22"/>
          <w:highlight w:val="none"/>
        </w:rPr>
      </w:pPr>
      <w:r>
        <w:rPr>
          <w:rFonts w:hint="eastAsia" w:ascii="宋体" w:hAnsi="宋体" w:cs="宋体"/>
          <w:color w:val="auto"/>
          <w:kern w:val="0"/>
          <w:sz w:val="22"/>
          <w:szCs w:val="22"/>
          <w:highlight w:val="none"/>
        </w:rPr>
        <w:t>日期：    年   月  日</w:t>
      </w:r>
    </w:p>
    <w:p w14:paraId="769285A6">
      <w:pPr>
        <w:pStyle w:val="11"/>
        <w:rPr>
          <w:color w:val="auto"/>
          <w:highlight w:val="none"/>
        </w:rPr>
      </w:pPr>
      <w:r>
        <w:rPr>
          <w:rFonts w:hint="eastAsia"/>
          <w:color w:val="auto"/>
          <w:highlight w:val="none"/>
        </w:rPr>
        <w:br w:type="page"/>
      </w:r>
    </w:p>
    <w:p w14:paraId="3DAD6C47">
      <w:pPr>
        <w:pStyle w:val="23"/>
        <w:spacing w:line="460" w:lineRule="exact"/>
        <w:ind w:left="433" w:hanging="433" w:hangingChars="196"/>
        <w:outlineLvl w:val="1"/>
        <w:rPr>
          <w:rFonts w:ascii="宋体" w:hAnsi="宋体" w:cs="宋体"/>
          <w:b/>
          <w:color w:val="auto"/>
          <w:sz w:val="22"/>
          <w:szCs w:val="22"/>
          <w:highlight w:val="none"/>
        </w:rPr>
      </w:pPr>
      <w:r>
        <w:rPr>
          <w:rFonts w:hint="eastAsia" w:ascii="宋体" w:hAnsi="宋体" w:cs="宋体"/>
          <w:b/>
          <w:color w:val="auto"/>
          <w:sz w:val="22"/>
          <w:szCs w:val="22"/>
          <w:highlight w:val="none"/>
        </w:rPr>
        <w:t>附件二</w:t>
      </w:r>
      <w:bookmarkEnd w:id="34"/>
      <w:bookmarkEnd w:id="35"/>
    </w:p>
    <w:p w14:paraId="3F7B54AA">
      <w:pPr>
        <w:spacing w:line="460" w:lineRule="exact"/>
        <w:jc w:val="center"/>
        <w:outlineLvl w:val="2"/>
        <w:rPr>
          <w:rFonts w:ascii="宋体" w:hAnsi="宋体" w:cs="宋体"/>
          <w:color w:val="auto"/>
          <w:sz w:val="28"/>
          <w:szCs w:val="28"/>
          <w:highlight w:val="none"/>
        </w:rPr>
      </w:pPr>
      <w:bookmarkStart w:id="36" w:name="_Toc4718"/>
      <w:bookmarkStart w:id="37" w:name="_Toc25309"/>
      <w:r>
        <w:rPr>
          <w:rFonts w:hint="eastAsia" w:ascii="宋体" w:hAnsi="宋体" w:cs="宋体"/>
          <w:b/>
          <w:bCs/>
          <w:color w:val="auto"/>
          <w:sz w:val="32"/>
          <w:szCs w:val="32"/>
          <w:highlight w:val="none"/>
        </w:rPr>
        <w:t>资格证明文件</w:t>
      </w:r>
      <w:bookmarkEnd w:id="36"/>
      <w:bookmarkEnd w:id="37"/>
      <w:r>
        <w:rPr>
          <w:rFonts w:hint="eastAsia" w:ascii="宋体" w:hAnsi="宋体" w:cs="宋体"/>
          <w:color w:val="auto"/>
          <w:sz w:val="28"/>
          <w:szCs w:val="28"/>
          <w:highlight w:val="none"/>
        </w:rPr>
        <w:t xml:space="preserve"> </w:t>
      </w:r>
    </w:p>
    <w:p w14:paraId="1DB39E55">
      <w:pPr>
        <w:pStyle w:val="49"/>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38" w:name="_Toc31356"/>
      <w:bookmarkStart w:id="39" w:name="_Toc16516"/>
    </w:p>
    <w:p w14:paraId="4F3BAC86">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2BA474F4">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温州市人民医院、温州历程招标有限公司：</w:t>
      </w:r>
    </w:p>
    <w:p w14:paraId="7D83D4C4">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7A750EA3">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13DF39B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0AD75D4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516B8C5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02FCCEDA">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5E2C32AE">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AB41F07">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20183344">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67A00C9F">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6F7BE737">
      <w:pPr>
        <w:widowControl/>
        <w:snapToGrid w:val="0"/>
        <w:spacing w:line="440" w:lineRule="exact"/>
        <w:ind w:firstLine="440" w:firstLineChars="200"/>
        <w:jc w:val="left"/>
        <w:rPr>
          <w:rFonts w:ascii="宋体" w:hAnsi="宋体" w:cs="宋体"/>
          <w:color w:val="auto"/>
          <w:kern w:val="0"/>
          <w:sz w:val="22"/>
          <w:szCs w:val="22"/>
          <w:highlight w:val="none"/>
        </w:rPr>
      </w:pPr>
    </w:p>
    <w:p w14:paraId="268418E4">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73CE78DA">
      <w:pPr>
        <w:widowControl/>
        <w:snapToGrid w:val="0"/>
        <w:spacing w:line="440" w:lineRule="exact"/>
        <w:ind w:firstLine="440" w:firstLineChars="200"/>
        <w:jc w:val="left"/>
        <w:rPr>
          <w:rFonts w:ascii="宋体" w:hAnsi="宋体" w:cs="宋体"/>
          <w:color w:val="auto"/>
          <w:kern w:val="0"/>
          <w:sz w:val="22"/>
          <w:szCs w:val="22"/>
          <w:highlight w:val="none"/>
        </w:rPr>
      </w:pPr>
    </w:p>
    <w:p w14:paraId="3CA0A129">
      <w:pPr>
        <w:snapToGrid w:val="0"/>
        <w:spacing w:line="360" w:lineRule="auto"/>
        <w:ind w:firstLine="5060" w:firstLineChars="2300"/>
        <w:rPr>
          <w:rFonts w:ascii="宋体" w:hAnsi="宋体" w:cs="宋体"/>
          <w:color w:val="auto"/>
          <w:kern w:val="0"/>
          <w:sz w:val="22"/>
          <w:szCs w:val="22"/>
          <w:highlight w:val="none"/>
          <w:lang w:val="zh-CN"/>
        </w:rPr>
      </w:pPr>
    </w:p>
    <w:p w14:paraId="3B9D87B7">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rPr>
        <w:t>投标人全称（盖章）</w:t>
      </w:r>
      <w:r>
        <w:rPr>
          <w:rFonts w:hint="eastAsia" w:ascii="宋体" w:hAnsi="宋体" w:cs="宋体"/>
          <w:color w:val="auto"/>
          <w:kern w:val="0"/>
          <w:sz w:val="22"/>
          <w:szCs w:val="22"/>
          <w:highlight w:val="none"/>
        </w:rPr>
        <w:t xml:space="preserve"> ：</w:t>
      </w:r>
    </w:p>
    <w:p w14:paraId="68A2B8A9">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5B249ED8">
      <w:pPr>
        <w:widowControl/>
        <w:snapToGrid w:val="0"/>
        <w:spacing w:line="460" w:lineRule="exact"/>
        <w:ind w:firstLine="440" w:firstLineChars="200"/>
        <w:jc w:val="left"/>
        <w:rPr>
          <w:rFonts w:ascii="宋体" w:hAnsi="宋体" w:cs="宋体"/>
          <w:color w:val="auto"/>
          <w:kern w:val="0"/>
          <w:sz w:val="22"/>
          <w:szCs w:val="22"/>
          <w:highlight w:val="none"/>
        </w:rPr>
      </w:pPr>
    </w:p>
    <w:p w14:paraId="48370DE3">
      <w:pPr>
        <w:pStyle w:val="23"/>
        <w:spacing w:line="460" w:lineRule="exact"/>
        <w:ind w:left="479" w:leftChars="228" w:firstLine="5280" w:firstLineChars="24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1A64AB92">
      <w:pPr>
        <w:rPr>
          <w:rFonts w:ascii="宋体" w:hAnsi="宋体" w:cs="宋体"/>
          <w:color w:val="auto"/>
          <w:highlight w:val="none"/>
        </w:rPr>
      </w:pPr>
    </w:p>
    <w:p w14:paraId="18211CC1">
      <w:pPr>
        <w:pStyle w:val="49"/>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3AE53E29">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CB65702">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3BB29D5F">
      <w:pPr>
        <w:pStyle w:val="49"/>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5050F360">
      <w:pPr>
        <w:pStyle w:val="49"/>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rPr>
        <w:t>投标人须在投标文件中出具符合以下情况的证明材料复印件（五选一）：</w:t>
      </w:r>
    </w:p>
    <w:p w14:paraId="2CFD3825">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①如投标人是企业（包括合伙企业），提供在工商部门注册的有效“企业法人营业执照”或“营业执照”；</w:t>
      </w:r>
    </w:p>
    <w:p w14:paraId="403045D6">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②如投标人是事业单位，提供有效的“事业单位法人证书”；</w:t>
      </w:r>
    </w:p>
    <w:p w14:paraId="79F3255F">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③如投标人是非企业专业服务机构的，提供执业许可证等证明文件；</w:t>
      </w:r>
    </w:p>
    <w:p w14:paraId="250A6C31">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④如投标人是个体工商户，提供有效的“个体工商户营业执照”；</w:t>
      </w:r>
    </w:p>
    <w:p w14:paraId="4ABF36C1">
      <w:pPr>
        <w:pStyle w:val="49"/>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⑤如投标人是自然人，提供有效的自然人身份证明（居民身份证正反面或公安机关出具的临时居民身份证正反面或港澳台胞证或护照）。</w:t>
      </w:r>
    </w:p>
    <w:p w14:paraId="0488E6D8">
      <w:pPr>
        <w:pStyle w:val="49"/>
        <w:tabs>
          <w:tab w:val="left" w:pos="312"/>
        </w:tabs>
        <w:adjustRightInd w:val="0"/>
        <w:snapToGrid w:val="0"/>
        <w:spacing w:before="0" w:beforeAutospacing="0" w:after="0" w:afterAutospacing="0" w:line="360" w:lineRule="auto"/>
        <w:rPr>
          <w:bCs/>
          <w:color w:val="auto"/>
          <w:sz w:val="22"/>
          <w:szCs w:val="22"/>
          <w:highlight w:val="none"/>
        </w:rPr>
      </w:pPr>
    </w:p>
    <w:p w14:paraId="5B849D98">
      <w:pPr>
        <w:pStyle w:val="221"/>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192D183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B5981D4">
      <w:pPr>
        <w:rPr>
          <w:rFonts w:ascii="宋体" w:hAnsi="宋体" w:cs="宋体"/>
          <w:color w:val="auto"/>
          <w:highlight w:val="none"/>
        </w:rPr>
      </w:pPr>
    </w:p>
    <w:p w14:paraId="1F19B13E">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3、投标人信用查询</w:t>
      </w:r>
    </w:p>
    <w:p w14:paraId="5F747C23">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1、投标人信用信息查询的查询渠道：“信用中国”(www.creditchina.gov.cn)；“中国政府采购网”（http://www.ccgp.gov.cn/）；</w:t>
      </w:r>
    </w:p>
    <w:p w14:paraId="523694C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2、投标人信用信息查询截止时点：招标公告发布之日至投标截止时间前。</w:t>
      </w:r>
    </w:p>
    <w:p w14:paraId="414FB01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3、投标人信用信息查询记录和证据留存的具体方式：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09A70A17">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4、信用信息的使用规则：对列入失信被执行人、重大税收违法案件当事人名单、政府采购严重违法失信行为记录名单的投标人，其投标将作无效标处理。</w:t>
      </w:r>
    </w:p>
    <w:p w14:paraId="1A3C691F">
      <w:pPr>
        <w:rPr>
          <w:rFonts w:cs="宋体"/>
          <w:b/>
          <w:color w:val="auto"/>
          <w:kern w:val="0"/>
          <w:sz w:val="28"/>
          <w:szCs w:val="28"/>
          <w:highlight w:val="none"/>
        </w:rPr>
      </w:pPr>
    </w:p>
    <w:p w14:paraId="7FD52E4D">
      <w:pPr>
        <w:rPr>
          <w:rFonts w:cs="宋体"/>
          <w:b/>
          <w:color w:val="auto"/>
          <w:kern w:val="0"/>
          <w:sz w:val="28"/>
          <w:szCs w:val="28"/>
          <w:highlight w:val="none"/>
        </w:rPr>
      </w:pPr>
      <w:r>
        <w:rPr>
          <w:rFonts w:hint="eastAsia" w:cs="宋体"/>
          <w:b/>
          <w:color w:val="auto"/>
          <w:kern w:val="0"/>
          <w:sz w:val="28"/>
          <w:szCs w:val="28"/>
          <w:highlight w:val="none"/>
        </w:rPr>
        <w:br w:type="page"/>
      </w:r>
    </w:p>
    <w:p w14:paraId="5658E883">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4、政府采购活动现场确认声明书</w:t>
      </w:r>
    </w:p>
    <w:p w14:paraId="611B9DBA">
      <w:pPr>
        <w:spacing w:line="460" w:lineRule="exact"/>
        <w:rPr>
          <w:rFonts w:ascii="宋体" w:hAnsi="宋体" w:cs="宋体"/>
          <w:b/>
          <w:bCs/>
          <w:color w:val="auto"/>
          <w:sz w:val="22"/>
          <w:szCs w:val="22"/>
          <w:highlight w:val="none"/>
        </w:rPr>
      </w:pPr>
    </w:p>
    <w:p w14:paraId="0139B178">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09EA7B65">
      <w:pPr>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1888E7E0">
      <w:pPr>
        <w:numPr>
          <w:ilvl w:val="0"/>
          <w:numId w:val="5"/>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本单位与招标人之间 □不存在利害关系 □存在下列利害关系：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A.投资关系    </w:t>
      </w:r>
    </w:p>
    <w:p w14:paraId="6BF6E73F">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3A654FFF">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2EA16AD5">
      <w:pPr>
        <w:spacing w:line="460" w:lineRule="exact"/>
        <w:ind w:firstLine="660" w:firstLineChars="300"/>
        <w:rPr>
          <w:rFonts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5"/>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35D21832">
      <w:pPr>
        <w:numPr>
          <w:ilvl w:val="0"/>
          <w:numId w:val="5"/>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□与其他所有供应商之间均不存在利害关系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A.法定代表人或负责人或实际控制人是同一人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B.法定代表人或负责人或实际控制人是夫妻关系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C.法定代表人或负责人或实际控制人是直系血亲关系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D.法定代表人或负责人或实际控制人存在三代以内旁系血亲关系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E.法定代表人或负责人或实际控制人存在近姻亲关系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F.法定代表人或负责人或实际控制人存在股份控制或实际控制关系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G.存在共同直接或间接投资设立子公司、联营企业和合营企业情况</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I.其他利害关系情况</w:t>
      </w:r>
      <w:r>
        <w:rPr>
          <w:rFonts w:hint="eastAsia" w:ascii="宋体" w:hAnsi="宋体" w:cs="宋体"/>
          <w:color w:val="auto"/>
          <w:kern w:val="0"/>
          <w:sz w:val="22"/>
          <w:szCs w:val="22"/>
          <w:highlight w:val="none"/>
          <w:u w:val="single"/>
        </w:rPr>
        <w:t xml:space="preserve">                              。</w:t>
      </w:r>
    </w:p>
    <w:p w14:paraId="1A45251E">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7C12A604">
      <w:pPr>
        <w:pStyle w:val="23"/>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5"/>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5"/>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11543B73">
      <w:pPr>
        <w:pStyle w:val="23"/>
        <w:spacing w:line="460" w:lineRule="exact"/>
        <w:ind w:left="0" w:firstLine="0" w:firstLineChars="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7F3B32FC">
      <w:pPr>
        <w:pStyle w:val="23"/>
        <w:spacing w:line="460" w:lineRule="exact"/>
        <w:ind w:left="0" w:firstLine="0" w:firstLineChars="0"/>
        <w:jc w:val="right"/>
        <w:rPr>
          <w:rFonts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24D2055B">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5A7EB167">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38"/>
      <w:bookmarkEnd w:id="39"/>
    </w:p>
    <w:p w14:paraId="3460C6EA">
      <w:pPr>
        <w:spacing w:line="460" w:lineRule="exact"/>
        <w:jc w:val="center"/>
        <w:outlineLvl w:val="2"/>
        <w:rPr>
          <w:rFonts w:ascii="宋体" w:hAnsi="宋体" w:cs="宋体"/>
          <w:b/>
          <w:bCs/>
          <w:color w:val="auto"/>
          <w:sz w:val="28"/>
          <w:szCs w:val="28"/>
          <w:highlight w:val="none"/>
          <w:lang w:val="zh-CN"/>
        </w:rPr>
      </w:pPr>
      <w:bookmarkStart w:id="40" w:name="_Toc29102"/>
      <w:bookmarkStart w:id="41" w:name="_Toc13639"/>
      <w:r>
        <w:rPr>
          <w:rFonts w:hint="eastAsia" w:ascii="宋体" w:hAnsi="宋体" w:cs="宋体"/>
          <w:b/>
          <w:bCs/>
          <w:color w:val="auto"/>
          <w:sz w:val="28"/>
          <w:szCs w:val="28"/>
          <w:highlight w:val="none"/>
          <w:lang w:val="zh-CN"/>
        </w:rPr>
        <w:t>商务技术文件</w:t>
      </w:r>
      <w:bookmarkEnd w:id="40"/>
      <w:bookmarkEnd w:id="41"/>
    </w:p>
    <w:p w14:paraId="479C4DDE">
      <w:pPr>
        <w:spacing w:line="400" w:lineRule="exact"/>
        <w:jc w:val="center"/>
        <w:rPr>
          <w:rFonts w:ascii="宋体" w:hAnsi="宋体" w:cs="宋体"/>
          <w:b/>
          <w:bCs/>
          <w:color w:val="auto"/>
          <w:sz w:val="28"/>
          <w:szCs w:val="28"/>
          <w:highlight w:val="none"/>
        </w:rPr>
      </w:pPr>
    </w:p>
    <w:p w14:paraId="1094B8BA">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3FA417A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温州市人民医院、温州历程招标有限公司：</w:t>
      </w:r>
    </w:p>
    <w:p w14:paraId="24314ABB">
      <w:pPr>
        <w:spacing w:line="460" w:lineRule="exact"/>
        <w:rPr>
          <w:rFonts w:ascii="宋体" w:hAnsi="宋体" w:cs="宋体"/>
          <w:color w:val="auto"/>
          <w:sz w:val="22"/>
          <w:szCs w:val="22"/>
          <w:highlight w:val="none"/>
          <w:u w:val="single"/>
        </w:rPr>
      </w:pPr>
    </w:p>
    <w:p w14:paraId="356462B0">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（全权代表姓名）为全权代表，参加贵处组织的（项目名称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）的招标活动，全权代表我方处理招标活动中的一切事宜。</w:t>
      </w:r>
    </w:p>
    <w:p w14:paraId="12EB42B9">
      <w:pPr>
        <w:spacing w:line="460" w:lineRule="exact"/>
        <w:ind w:firstLine="2955"/>
        <w:rPr>
          <w:rFonts w:ascii="宋体" w:hAnsi="宋体" w:cs="宋体"/>
          <w:color w:val="auto"/>
          <w:sz w:val="22"/>
          <w:szCs w:val="22"/>
          <w:highlight w:val="none"/>
        </w:rPr>
      </w:pPr>
    </w:p>
    <w:p w14:paraId="78158EB6">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25F7317">
      <w:pPr>
        <w:spacing w:line="460" w:lineRule="exact"/>
        <w:ind w:firstLine="4081" w:firstLineChars="185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7376D95E">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投标人全称（公章）：</w:t>
      </w:r>
    </w:p>
    <w:p w14:paraId="599EB743">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   期：  </w:t>
      </w:r>
    </w:p>
    <w:p w14:paraId="3105EF15">
      <w:pPr>
        <w:spacing w:line="380" w:lineRule="exact"/>
        <w:rPr>
          <w:rFonts w:ascii="宋体" w:hAnsi="宋体" w:cs="宋体"/>
          <w:color w:val="auto"/>
          <w:sz w:val="22"/>
          <w:szCs w:val="22"/>
          <w:highlight w:val="none"/>
        </w:rPr>
      </w:pPr>
    </w:p>
    <w:p w14:paraId="0E893987">
      <w:pPr>
        <w:spacing w:line="380" w:lineRule="exact"/>
        <w:rPr>
          <w:rFonts w:ascii="宋体" w:hAnsi="宋体" w:cs="宋体"/>
          <w:color w:val="auto"/>
          <w:sz w:val="22"/>
          <w:szCs w:val="22"/>
          <w:highlight w:val="none"/>
        </w:rPr>
      </w:pPr>
    </w:p>
    <w:p w14:paraId="3119A0F4">
      <w:pPr>
        <w:spacing w:line="380" w:lineRule="exact"/>
        <w:rPr>
          <w:rFonts w:ascii="宋体" w:hAnsi="宋体" w:cs="宋体"/>
          <w:color w:val="auto"/>
          <w:sz w:val="22"/>
          <w:szCs w:val="22"/>
          <w:highlight w:val="none"/>
        </w:rPr>
      </w:pPr>
    </w:p>
    <w:p w14:paraId="527388F1">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76606B8D">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 xml:space="preserve">授权代表姓名：                               </w:t>
      </w:r>
    </w:p>
    <w:p w14:paraId="76AF90F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职务：</w:t>
      </w:r>
    </w:p>
    <w:p w14:paraId="7C9BDF9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7EEF8BB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电话：</w:t>
      </w:r>
    </w:p>
    <w:p w14:paraId="47BD6857">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传真：</w:t>
      </w:r>
    </w:p>
    <w:p w14:paraId="7A5D922B">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22FCAA42">
      <w:pPr>
        <w:spacing w:line="380" w:lineRule="exact"/>
        <w:rPr>
          <w:rFonts w:ascii="宋体" w:hAnsi="宋体" w:cs="宋体"/>
          <w:color w:val="auto"/>
          <w:sz w:val="22"/>
          <w:szCs w:val="22"/>
          <w:highlight w:val="none"/>
        </w:rPr>
      </w:pPr>
    </w:p>
    <w:p w14:paraId="5B9044C1">
      <w:pPr>
        <w:spacing w:line="460" w:lineRule="exact"/>
        <w:jc w:val="center"/>
        <w:rPr>
          <w:rFonts w:ascii="宋体" w:hAnsi="宋体" w:cs="宋体"/>
          <w:b/>
          <w:bCs/>
          <w:color w:val="auto"/>
          <w:sz w:val="28"/>
          <w:szCs w:val="28"/>
          <w:highlight w:val="none"/>
        </w:rPr>
      </w:pPr>
    </w:p>
    <w:p w14:paraId="304B0F86">
      <w:pPr>
        <w:spacing w:line="460" w:lineRule="exact"/>
        <w:jc w:val="center"/>
        <w:rPr>
          <w:rFonts w:ascii="宋体" w:hAnsi="宋体" w:cs="宋体"/>
          <w:b/>
          <w:bCs/>
          <w:color w:val="auto"/>
          <w:sz w:val="28"/>
          <w:szCs w:val="28"/>
          <w:highlight w:val="none"/>
        </w:rPr>
      </w:pPr>
    </w:p>
    <w:p w14:paraId="61505248">
      <w:pPr>
        <w:spacing w:line="460" w:lineRule="exact"/>
        <w:jc w:val="center"/>
        <w:rPr>
          <w:rFonts w:ascii="宋体" w:hAnsi="宋体" w:cs="宋体"/>
          <w:b/>
          <w:bCs/>
          <w:color w:val="auto"/>
          <w:sz w:val="28"/>
          <w:szCs w:val="28"/>
          <w:highlight w:val="none"/>
        </w:rPr>
      </w:pPr>
    </w:p>
    <w:p w14:paraId="72D4963D">
      <w:pPr>
        <w:spacing w:line="460" w:lineRule="exact"/>
        <w:jc w:val="center"/>
        <w:rPr>
          <w:rFonts w:ascii="宋体" w:hAnsi="宋体" w:cs="宋体"/>
          <w:b/>
          <w:bCs/>
          <w:color w:val="auto"/>
          <w:sz w:val="28"/>
          <w:szCs w:val="28"/>
          <w:highlight w:val="none"/>
        </w:rPr>
      </w:pPr>
    </w:p>
    <w:p w14:paraId="348B2A0B">
      <w:pPr>
        <w:spacing w:line="460" w:lineRule="exact"/>
        <w:jc w:val="center"/>
        <w:rPr>
          <w:rFonts w:ascii="宋体" w:hAnsi="宋体" w:cs="宋体"/>
          <w:b/>
          <w:bCs/>
          <w:color w:val="auto"/>
          <w:sz w:val="28"/>
          <w:szCs w:val="28"/>
          <w:highlight w:val="none"/>
        </w:rPr>
      </w:pPr>
    </w:p>
    <w:p w14:paraId="5459E692">
      <w:pPr>
        <w:spacing w:line="460" w:lineRule="exact"/>
        <w:jc w:val="center"/>
        <w:rPr>
          <w:rFonts w:ascii="宋体" w:hAnsi="宋体" w:cs="宋体"/>
          <w:b/>
          <w:bCs/>
          <w:color w:val="auto"/>
          <w:sz w:val="28"/>
          <w:szCs w:val="28"/>
          <w:highlight w:val="none"/>
        </w:rPr>
      </w:pPr>
    </w:p>
    <w:p w14:paraId="31CDBF7D">
      <w:pPr>
        <w:spacing w:line="460" w:lineRule="exact"/>
        <w:jc w:val="center"/>
        <w:rPr>
          <w:rFonts w:ascii="宋体" w:hAnsi="宋体" w:cs="宋体"/>
          <w:b/>
          <w:bCs/>
          <w:color w:val="auto"/>
          <w:sz w:val="28"/>
          <w:szCs w:val="28"/>
          <w:highlight w:val="none"/>
        </w:rPr>
      </w:pPr>
    </w:p>
    <w:p w14:paraId="5E22386C">
      <w:pPr>
        <w:spacing w:line="460" w:lineRule="exact"/>
        <w:jc w:val="center"/>
        <w:rPr>
          <w:rFonts w:ascii="宋体" w:hAnsi="宋体" w:cs="宋体"/>
          <w:b/>
          <w:bCs/>
          <w:color w:val="auto"/>
          <w:sz w:val="28"/>
          <w:szCs w:val="28"/>
          <w:highlight w:val="none"/>
        </w:rPr>
      </w:pPr>
    </w:p>
    <w:p w14:paraId="12BAF814">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5080" t="4445" r="8255" b="20320"/>
                <wp:wrapNone/>
                <wp:docPr id="6"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9AB0A8">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9wjaNgAAAAKAQAADwAAAAAAAAABACAAAAAiAAAAZHJzL2Rv&#10;d25yZXYueG1sUEsBAhQAFAAAAAgAh07iQCalZX0BAgAARAQAAA4AAAAAAAAAAQAgAAAAJwEAAGRy&#10;cy9lMm9Eb2MueG1sUEsFBgAAAAAGAAYAWQEAAJoFAAAAAA==&#10;">
                <v:fill on="t" focussize="0,0"/>
                <v:stroke color="#000000" joinstyle="miter"/>
                <v:imagedata o:title=""/>
                <o:lock v:ext="edit" aspectratio="f"/>
                <v:textbox>
                  <w:txbxContent>
                    <w:p w14:paraId="5E9AB0A8">
                      <w:r>
                        <w:rPr>
                          <w:rFonts w:hint="eastAsia" w:ascii="新宋体" w:hAnsi="新宋体" w:eastAsia="新宋体"/>
                          <w:sz w:val="22"/>
                          <w:szCs w:val="22"/>
                        </w:rPr>
                        <w:t xml:space="preserve">  法定代表人身份证（正反面）：</w:t>
                      </w:r>
                    </w:p>
                  </w:txbxContent>
                </v:textbox>
              </v:shape>
            </w:pict>
          </mc:Fallback>
        </mc:AlternateContent>
      </w:r>
    </w:p>
    <w:p w14:paraId="097ACEF7">
      <w:pPr>
        <w:spacing w:line="460" w:lineRule="exact"/>
        <w:jc w:val="center"/>
        <w:rPr>
          <w:rFonts w:ascii="宋体" w:hAnsi="宋体" w:cs="宋体"/>
          <w:b/>
          <w:bCs/>
          <w:color w:val="auto"/>
          <w:sz w:val="28"/>
          <w:szCs w:val="28"/>
          <w:highlight w:val="none"/>
        </w:rPr>
      </w:pPr>
    </w:p>
    <w:p w14:paraId="060667BF">
      <w:pPr>
        <w:spacing w:line="460" w:lineRule="exact"/>
        <w:jc w:val="center"/>
        <w:rPr>
          <w:rFonts w:ascii="宋体" w:hAnsi="宋体" w:cs="宋体"/>
          <w:b/>
          <w:bCs/>
          <w:color w:val="auto"/>
          <w:sz w:val="28"/>
          <w:szCs w:val="28"/>
          <w:highlight w:val="none"/>
        </w:rPr>
      </w:pPr>
    </w:p>
    <w:p w14:paraId="1112FF9C">
      <w:pPr>
        <w:spacing w:line="460" w:lineRule="exact"/>
        <w:jc w:val="center"/>
        <w:rPr>
          <w:rFonts w:ascii="宋体" w:hAnsi="宋体" w:cs="宋体"/>
          <w:b/>
          <w:bCs/>
          <w:color w:val="auto"/>
          <w:sz w:val="28"/>
          <w:szCs w:val="28"/>
          <w:highlight w:val="none"/>
        </w:rPr>
      </w:pPr>
    </w:p>
    <w:p w14:paraId="5786EF6C">
      <w:pPr>
        <w:spacing w:line="460" w:lineRule="exact"/>
        <w:jc w:val="center"/>
        <w:rPr>
          <w:rFonts w:ascii="宋体" w:hAnsi="宋体" w:cs="宋体"/>
          <w:b/>
          <w:bCs/>
          <w:color w:val="auto"/>
          <w:sz w:val="28"/>
          <w:szCs w:val="28"/>
          <w:highlight w:val="none"/>
        </w:rPr>
      </w:pPr>
    </w:p>
    <w:p w14:paraId="4A91295C">
      <w:pPr>
        <w:spacing w:line="460" w:lineRule="exact"/>
        <w:jc w:val="center"/>
        <w:rPr>
          <w:rFonts w:ascii="宋体" w:hAnsi="宋体" w:cs="宋体"/>
          <w:b/>
          <w:bCs/>
          <w:color w:val="auto"/>
          <w:sz w:val="28"/>
          <w:szCs w:val="28"/>
          <w:highlight w:val="none"/>
        </w:rPr>
      </w:pPr>
    </w:p>
    <w:p w14:paraId="20A39153">
      <w:pPr>
        <w:spacing w:line="460" w:lineRule="exact"/>
        <w:jc w:val="center"/>
        <w:rPr>
          <w:rFonts w:ascii="宋体" w:hAnsi="宋体" w:cs="宋体"/>
          <w:b/>
          <w:bCs/>
          <w:color w:val="auto"/>
          <w:sz w:val="28"/>
          <w:szCs w:val="28"/>
          <w:highlight w:val="none"/>
        </w:rPr>
      </w:pPr>
    </w:p>
    <w:p w14:paraId="60F21C68">
      <w:pPr>
        <w:spacing w:line="460" w:lineRule="exact"/>
        <w:jc w:val="center"/>
        <w:rPr>
          <w:rFonts w:ascii="宋体" w:hAnsi="宋体" w:cs="宋体"/>
          <w:b/>
          <w:bCs/>
          <w:color w:val="auto"/>
          <w:sz w:val="28"/>
          <w:szCs w:val="28"/>
          <w:highlight w:val="none"/>
        </w:rPr>
      </w:pPr>
    </w:p>
    <w:p w14:paraId="14775D7D">
      <w:pPr>
        <w:spacing w:line="460" w:lineRule="exact"/>
        <w:jc w:val="center"/>
        <w:rPr>
          <w:rFonts w:ascii="宋体" w:hAnsi="宋体" w:cs="宋体"/>
          <w:b/>
          <w:bCs/>
          <w:color w:val="auto"/>
          <w:sz w:val="28"/>
          <w:szCs w:val="28"/>
          <w:highlight w:val="none"/>
        </w:rPr>
      </w:pPr>
    </w:p>
    <w:p w14:paraId="2EAA9AEC">
      <w:pPr>
        <w:spacing w:line="460" w:lineRule="exact"/>
        <w:jc w:val="center"/>
        <w:rPr>
          <w:rFonts w:ascii="宋体" w:hAnsi="宋体" w:cs="宋体"/>
          <w:b/>
          <w:bCs/>
          <w:color w:val="auto"/>
          <w:sz w:val="28"/>
          <w:szCs w:val="28"/>
          <w:highlight w:val="none"/>
        </w:rPr>
      </w:pPr>
    </w:p>
    <w:p w14:paraId="55A6B7D3">
      <w:pPr>
        <w:spacing w:line="460" w:lineRule="exact"/>
        <w:jc w:val="center"/>
        <w:rPr>
          <w:rFonts w:ascii="宋体" w:hAnsi="宋体" w:cs="宋体"/>
          <w:b/>
          <w:bCs/>
          <w:color w:val="auto"/>
          <w:sz w:val="28"/>
          <w:szCs w:val="28"/>
          <w:highlight w:val="none"/>
        </w:rPr>
      </w:pPr>
    </w:p>
    <w:p w14:paraId="3F83FC28">
      <w:pPr>
        <w:spacing w:line="460" w:lineRule="exact"/>
        <w:jc w:val="center"/>
        <w:rPr>
          <w:rFonts w:ascii="宋体" w:hAnsi="宋体" w:cs="宋体"/>
          <w:b/>
          <w:bCs/>
          <w:color w:val="auto"/>
          <w:sz w:val="28"/>
          <w:szCs w:val="28"/>
          <w:highlight w:val="none"/>
        </w:rPr>
      </w:pPr>
    </w:p>
    <w:p w14:paraId="57094363">
      <w:pPr>
        <w:spacing w:line="460" w:lineRule="exact"/>
        <w:jc w:val="center"/>
        <w:rPr>
          <w:rFonts w:ascii="宋体" w:hAnsi="宋体" w:cs="宋体"/>
          <w:b/>
          <w:bCs/>
          <w:color w:val="auto"/>
          <w:sz w:val="28"/>
          <w:szCs w:val="28"/>
          <w:highlight w:val="none"/>
        </w:rPr>
      </w:pPr>
    </w:p>
    <w:p w14:paraId="59C5D1D3">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4445" t="5080" r="16510" b="5715"/>
                <wp:wrapNone/>
                <wp:docPr id="7"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9DBEEE">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ELca5wTAgAARgQAAA4A&#10;AAAAAAAAAQAgAAAAJwEAAGRycy9lMm9Eb2MueG1sUEsFBgAAAAAGAAYAWQEAAKwFAAAAAA==&#10;">
                <v:fill on="t" focussize="0,0"/>
                <v:stroke color="#000000" joinstyle="miter"/>
                <v:imagedata o:title=""/>
                <o:lock v:ext="edit" aspectratio="f"/>
                <v:textbox>
                  <w:txbxContent>
                    <w:p w14:paraId="469DBEEE">
                      <w:r>
                        <w:rPr>
                          <w:rFonts w:hint="eastAsia" w:ascii="新宋体" w:hAnsi="新宋体" w:eastAsia="新宋体"/>
                          <w:sz w:val="22"/>
                          <w:szCs w:val="22"/>
                        </w:rPr>
                        <w:t xml:space="preserve">  授权代表身份证（正反面）：</w:t>
                      </w:r>
                    </w:p>
                  </w:txbxContent>
                </v:textbox>
              </v:shape>
            </w:pict>
          </mc:Fallback>
        </mc:AlternateContent>
      </w:r>
    </w:p>
    <w:p w14:paraId="0F5C8BAC">
      <w:pPr>
        <w:spacing w:line="460" w:lineRule="exact"/>
        <w:jc w:val="center"/>
        <w:rPr>
          <w:rFonts w:ascii="宋体" w:hAnsi="宋体" w:cs="宋体"/>
          <w:b/>
          <w:bCs/>
          <w:color w:val="auto"/>
          <w:sz w:val="28"/>
          <w:szCs w:val="28"/>
          <w:highlight w:val="none"/>
        </w:rPr>
      </w:pPr>
    </w:p>
    <w:p w14:paraId="76F99994">
      <w:pPr>
        <w:spacing w:line="460" w:lineRule="exact"/>
        <w:jc w:val="center"/>
        <w:rPr>
          <w:rFonts w:ascii="宋体" w:hAnsi="宋体" w:cs="宋体"/>
          <w:b/>
          <w:bCs/>
          <w:color w:val="auto"/>
          <w:sz w:val="28"/>
          <w:szCs w:val="28"/>
          <w:highlight w:val="none"/>
        </w:rPr>
      </w:pPr>
    </w:p>
    <w:p w14:paraId="5B1A704C">
      <w:pPr>
        <w:spacing w:line="460" w:lineRule="exact"/>
        <w:jc w:val="center"/>
        <w:rPr>
          <w:rFonts w:ascii="宋体" w:hAnsi="宋体" w:cs="宋体"/>
          <w:b/>
          <w:bCs/>
          <w:color w:val="auto"/>
          <w:sz w:val="28"/>
          <w:szCs w:val="28"/>
          <w:highlight w:val="none"/>
        </w:rPr>
      </w:pPr>
    </w:p>
    <w:p w14:paraId="36FF7887">
      <w:pPr>
        <w:spacing w:line="460" w:lineRule="exact"/>
        <w:jc w:val="center"/>
        <w:rPr>
          <w:rFonts w:ascii="宋体" w:hAnsi="宋体" w:cs="宋体"/>
          <w:b/>
          <w:bCs/>
          <w:color w:val="auto"/>
          <w:sz w:val="28"/>
          <w:szCs w:val="28"/>
          <w:highlight w:val="none"/>
        </w:rPr>
      </w:pPr>
    </w:p>
    <w:p w14:paraId="2A5C93FC">
      <w:pPr>
        <w:spacing w:line="460" w:lineRule="exact"/>
        <w:jc w:val="center"/>
        <w:rPr>
          <w:rFonts w:ascii="宋体" w:hAnsi="宋体" w:cs="宋体"/>
          <w:b/>
          <w:bCs/>
          <w:color w:val="auto"/>
          <w:sz w:val="28"/>
          <w:szCs w:val="28"/>
          <w:highlight w:val="none"/>
        </w:rPr>
      </w:pPr>
    </w:p>
    <w:p w14:paraId="3F0DE278">
      <w:pPr>
        <w:spacing w:line="460" w:lineRule="exact"/>
        <w:jc w:val="center"/>
        <w:rPr>
          <w:rFonts w:ascii="宋体" w:hAnsi="宋体" w:cs="宋体"/>
          <w:b/>
          <w:bCs/>
          <w:color w:val="auto"/>
          <w:sz w:val="28"/>
          <w:szCs w:val="28"/>
          <w:highlight w:val="none"/>
        </w:rPr>
      </w:pPr>
    </w:p>
    <w:p w14:paraId="64188623">
      <w:pPr>
        <w:spacing w:line="460" w:lineRule="exact"/>
        <w:jc w:val="center"/>
        <w:rPr>
          <w:rFonts w:ascii="宋体" w:hAnsi="宋体" w:cs="宋体"/>
          <w:b/>
          <w:bCs/>
          <w:color w:val="auto"/>
          <w:sz w:val="28"/>
          <w:szCs w:val="28"/>
          <w:highlight w:val="none"/>
        </w:rPr>
      </w:pPr>
    </w:p>
    <w:p w14:paraId="7F6D48B0">
      <w:pPr>
        <w:spacing w:line="460" w:lineRule="exact"/>
        <w:jc w:val="center"/>
        <w:rPr>
          <w:rFonts w:ascii="宋体" w:hAnsi="宋体" w:cs="宋体"/>
          <w:b/>
          <w:bCs/>
          <w:color w:val="auto"/>
          <w:sz w:val="28"/>
          <w:szCs w:val="28"/>
          <w:highlight w:val="none"/>
        </w:rPr>
      </w:pPr>
    </w:p>
    <w:p w14:paraId="751FE818">
      <w:pPr>
        <w:spacing w:line="460" w:lineRule="exact"/>
        <w:jc w:val="center"/>
        <w:rPr>
          <w:rFonts w:ascii="宋体" w:hAnsi="宋体" w:cs="宋体"/>
          <w:b/>
          <w:bCs/>
          <w:color w:val="auto"/>
          <w:sz w:val="28"/>
          <w:szCs w:val="28"/>
          <w:highlight w:val="none"/>
        </w:rPr>
      </w:pPr>
    </w:p>
    <w:p w14:paraId="551AC4CC">
      <w:pPr>
        <w:spacing w:line="460" w:lineRule="exact"/>
        <w:jc w:val="center"/>
        <w:rPr>
          <w:rFonts w:ascii="宋体" w:hAnsi="宋体" w:cs="宋体"/>
          <w:b/>
          <w:bCs/>
          <w:color w:val="auto"/>
          <w:sz w:val="28"/>
          <w:szCs w:val="28"/>
          <w:highlight w:val="none"/>
        </w:rPr>
      </w:pPr>
    </w:p>
    <w:p w14:paraId="61EA4A75">
      <w:pPr>
        <w:spacing w:line="460" w:lineRule="exact"/>
        <w:jc w:val="center"/>
        <w:rPr>
          <w:rFonts w:ascii="宋体" w:hAnsi="宋体" w:cs="宋体"/>
          <w:b/>
          <w:bCs/>
          <w:color w:val="auto"/>
          <w:sz w:val="28"/>
          <w:szCs w:val="28"/>
          <w:highlight w:val="none"/>
        </w:rPr>
      </w:pPr>
    </w:p>
    <w:p w14:paraId="6BB75290">
      <w:pPr>
        <w:spacing w:line="460" w:lineRule="exact"/>
        <w:jc w:val="center"/>
        <w:rPr>
          <w:rFonts w:ascii="宋体" w:hAnsi="宋体" w:cs="宋体"/>
          <w:b/>
          <w:bCs/>
          <w:color w:val="auto"/>
          <w:sz w:val="28"/>
          <w:szCs w:val="28"/>
          <w:highlight w:val="none"/>
        </w:rPr>
      </w:pPr>
    </w:p>
    <w:p w14:paraId="5454A837">
      <w:pPr>
        <w:spacing w:line="460" w:lineRule="exact"/>
        <w:jc w:val="center"/>
        <w:rPr>
          <w:rFonts w:ascii="宋体" w:hAnsi="宋体" w:cs="宋体"/>
          <w:b/>
          <w:bCs/>
          <w:color w:val="auto"/>
          <w:sz w:val="28"/>
          <w:szCs w:val="28"/>
          <w:highlight w:val="none"/>
        </w:rPr>
      </w:pPr>
    </w:p>
    <w:p w14:paraId="51008A66">
      <w:pPr>
        <w:spacing w:line="460" w:lineRule="exact"/>
        <w:jc w:val="center"/>
        <w:rPr>
          <w:rFonts w:ascii="宋体" w:hAnsi="宋体" w:cs="宋体"/>
          <w:b/>
          <w:bCs/>
          <w:color w:val="auto"/>
          <w:sz w:val="28"/>
          <w:szCs w:val="28"/>
          <w:highlight w:val="none"/>
        </w:rPr>
      </w:pPr>
    </w:p>
    <w:p w14:paraId="67BA1677">
      <w:pPr>
        <w:spacing w:line="460" w:lineRule="exact"/>
        <w:jc w:val="center"/>
        <w:rPr>
          <w:rFonts w:ascii="宋体" w:hAnsi="宋体" w:cs="宋体"/>
          <w:b/>
          <w:bCs/>
          <w:color w:val="auto"/>
          <w:sz w:val="28"/>
          <w:szCs w:val="28"/>
          <w:highlight w:val="none"/>
        </w:rPr>
      </w:pPr>
    </w:p>
    <w:p w14:paraId="13182382">
      <w:pPr>
        <w:spacing w:line="460" w:lineRule="exact"/>
        <w:jc w:val="center"/>
        <w:outlineLvl w:val="3"/>
        <w:rPr>
          <w:rFonts w:ascii="宋体" w:hAnsi="宋体" w:cs="宋体"/>
          <w:b/>
          <w:bCs/>
          <w:color w:val="auto"/>
          <w:sz w:val="22"/>
          <w:szCs w:val="22"/>
          <w:highlight w:val="none"/>
        </w:rPr>
        <w:sectPr>
          <w:headerReference r:id="rId3" w:type="default"/>
          <w:footerReference r:id="rId4" w:type="default"/>
          <w:pgSz w:w="11906" w:h="16838"/>
          <w:pgMar w:top="1134" w:right="1134" w:bottom="1134" w:left="1134" w:header="850" w:footer="992" w:gutter="0"/>
          <w:cols w:space="720" w:num="1"/>
          <w:titlePg/>
          <w:docGrid w:type="lines" w:linePitch="312" w:charSpace="0"/>
        </w:sectPr>
      </w:pPr>
    </w:p>
    <w:p w14:paraId="78E1FB34">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2、投标人情况表</w:t>
      </w:r>
    </w:p>
    <w:p w14:paraId="1ED754F1">
      <w:pPr>
        <w:tabs>
          <w:tab w:val="left" w:pos="780"/>
        </w:tabs>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70C3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2BE2A1D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单位名称（盖章）</w:t>
            </w:r>
          </w:p>
        </w:tc>
        <w:tc>
          <w:tcPr>
            <w:tcW w:w="2804" w:type="dxa"/>
            <w:gridSpan w:val="2"/>
          </w:tcPr>
          <w:p w14:paraId="15D63CAD">
            <w:pPr>
              <w:spacing w:line="480" w:lineRule="exact"/>
              <w:rPr>
                <w:rFonts w:ascii="宋体" w:hAnsi="宋体" w:cs="宋体"/>
                <w:color w:val="auto"/>
                <w:sz w:val="22"/>
                <w:szCs w:val="22"/>
                <w:highlight w:val="none"/>
              </w:rPr>
            </w:pPr>
          </w:p>
        </w:tc>
        <w:tc>
          <w:tcPr>
            <w:tcW w:w="1115" w:type="dxa"/>
            <w:gridSpan w:val="2"/>
          </w:tcPr>
          <w:p w14:paraId="502821D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电 话</w:t>
            </w:r>
          </w:p>
        </w:tc>
        <w:tc>
          <w:tcPr>
            <w:tcW w:w="2588" w:type="dxa"/>
            <w:gridSpan w:val="2"/>
          </w:tcPr>
          <w:p w14:paraId="208171F5">
            <w:pPr>
              <w:spacing w:line="480" w:lineRule="exact"/>
              <w:rPr>
                <w:rFonts w:ascii="宋体" w:hAnsi="宋体" w:cs="宋体"/>
                <w:color w:val="auto"/>
                <w:sz w:val="22"/>
                <w:szCs w:val="22"/>
                <w:highlight w:val="none"/>
              </w:rPr>
            </w:pPr>
          </w:p>
        </w:tc>
        <w:tc>
          <w:tcPr>
            <w:tcW w:w="1488" w:type="dxa"/>
          </w:tcPr>
          <w:p w14:paraId="544997F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1502" w:type="dxa"/>
          </w:tcPr>
          <w:p w14:paraId="74889278">
            <w:pPr>
              <w:spacing w:line="480" w:lineRule="exact"/>
              <w:rPr>
                <w:rFonts w:ascii="宋体" w:hAnsi="宋体" w:cs="宋体"/>
                <w:color w:val="auto"/>
                <w:sz w:val="22"/>
                <w:szCs w:val="22"/>
                <w:highlight w:val="none"/>
              </w:rPr>
            </w:pPr>
          </w:p>
        </w:tc>
        <w:tc>
          <w:tcPr>
            <w:tcW w:w="1488" w:type="dxa"/>
          </w:tcPr>
          <w:p w14:paraId="0E578CE4">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企业负责人</w:t>
            </w:r>
          </w:p>
        </w:tc>
        <w:tc>
          <w:tcPr>
            <w:tcW w:w="1115" w:type="dxa"/>
          </w:tcPr>
          <w:p w14:paraId="09B99EA2">
            <w:pPr>
              <w:spacing w:line="480" w:lineRule="exact"/>
              <w:rPr>
                <w:rFonts w:ascii="宋体" w:hAnsi="宋体" w:cs="宋体"/>
                <w:color w:val="auto"/>
                <w:sz w:val="22"/>
                <w:szCs w:val="22"/>
                <w:highlight w:val="none"/>
              </w:rPr>
            </w:pPr>
          </w:p>
        </w:tc>
        <w:tc>
          <w:tcPr>
            <w:tcW w:w="1461" w:type="dxa"/>
            <w:gridSpan w:val="2"/>
          </w:tcPr>
          <w:p w14:paraId="3FBF1DF2">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244B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3DD74CFB">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p>
        </w:tc>
        <w:tc>
          <w:tcPr>
            <w:tcW w:w="2804" w:type="dxa"/>
            <w:gridSpan w:val="2"/>
          </w:tcPr>
          <w:p w14:paraId="32D0CA7D">
            <w:pPr>
              <w:spacing w:line="480" w:lineRule="exact"/>
              <w:rPr>
                <w:rFonts w:ascii="宋体" w:hAnsi="宋体" w:cs="宋体"/>
                <w:color w:val="auto"/>
                <w:sz w:val="22"/>
                <w:szCs w:val="22"/>
                <w:highlight w:val="none"/>
              </w:rPr>
            </w:pPr>
          </w:p>
        </w:tc>
        <w:tc>
          <w:tcPr>
            <w:tcW w:w="1115" w:type="dxa"/>
            <w:gridSpan w:val="2"/>
          </w:tcPr>
          <w:p w14:paraId="00D2ADA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传 真</w:t>
            </w:r>
          </w:p>
        </w:tc>
        <w:tc>
          <w:tcPr>
            <w:tcW w:w="2588" w:type="dxa"/>
            <w:gridSpan w:val="2"/>
          </w:tcPr>
          <w:p w14:paraId="48CF3856">
            <w:pPr>
              <w:spacing w:line="480" w:lineRule="exact"/>
              <w:rPr>
                <w:rFonts w:ascii="宋体" w:hAnsi="宋体" w:cs="宋体"/>
                <w:color w:val="auto"/>
                <w:sz w:val="22"/>
                <w:szCs w:val="22"/>
                <w:highlight w:val="none"/>
              </w:rPr>
            </w:pPr>
          </w:p>
        </w:tc>
        <w:tc>
          <w:tcPr>
            <w:tcW w:w="1488" w:type="dxa"/>
          </w:tcPr>
          <w:p w14:paraId="71A4B177">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1502" w:type="dxa"/>
          </w:tcPr>
          <w:p w14:paraId="32B484F1">
            <w:pPr>
              <w:spacing w:line="480" w:lineRule="exact"/>
              <w:rPr>
                <w:rFonts w:ascii="宋体" w:hAnsi="宋体" w:cs="宋体"/>
                <w:color w:val="auto"/>
                <w:sz w:val="22"/>
                <w:szCs w:val="22"/>
                <w:highlight w:val="none"/>
              </w:rPr>
            </w:pPr>
          </w:p>
        </w:tc>
        <w:tc>
          <w:tcPr>
            <w:tcW w:w="1488" w:type="dxa"/>
          </w:tcPr>
          <w:p w14:paraId="3432711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授权代表</w:t>
            </w:r>
          </w:p>
        </w:tc>
        <w:tc>
          <w:tcPr>
            <w:tcW w:w="1115" w:type="dxa"/>
          </w:tcPr>
          <w:p w14:paraId="10B5AE36">
            <w:pPr>
              <w:spacing w:line="480" w:lineRule="exact"/>
              <w:rPr>
                <w:rFonts w:ascii="宋体" w:hAnsi="宋体" w:cs="宋体"/>
                <w:color w:val="auto"/>
                <w:sz w:val="22"/>
                <w:szCs w:val="22"/>
                <w:highlight w:val="none"/>
              </w:rPr>
            </w:pPr>
          </w:p>
        </w:tc>
        <w:tc>
          <w:tcPr>
            <w:tcW w:w="1461" w:type="dxa"/>
            <w:gridSpan w:val="2"/>
          </w:tcPr>
          <w:p w14:paraId="2552F60A">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5CB2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5984235F">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2DDE74C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6507" w:type="dxa"/>
            <w:gridSpan w:val="6"/>
            <w:vAlign w:val="center"/>
          </w:tcPr>
          <w:p w14:paraId="0496125A">
            <w:pPr>
              <w:spacing w:line="480" w:lineRule="exact"/>
              <w:jc w:val="center"/>
              <w:rPr>
                <w:rFonts w:ascii="宋体" w:hAnsi="宋体" w:cs="宋体"/>
                <w:color w:val="auto"/>
                <w:sz w:val="22"/>
                <w:szCs w:val="22"/>
                <w:highlight w:val="none"/>
              </w:rPr>
            </w:pPr>
          </w:p>
        </w:tc>
        <w:tc>
          <w:tcPr>
            <w:tcW w:w="1488" w:type="dxa"/>
            <w:vAlign w:val="center"/>
          </w:tcPr>
          <w:p w14:paraId="73E750C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单位优势</w:t>
            </w:r>
          </w:p>
          <w:p w14:paraId="41F067F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及特长</w:t>
            </w:r>
          </w:p>
        </w:tc>
        <w:tc>
          <w:tcPr>
            <w:tcW w:w="5566" w:type="dxa"/>
            <w:gridSpan w:val="5"/>
          </w:tcPr>
          <w:p w14:paraId="06B7D1DB">
            <w:pPr>
              <w:spacing w:line="480" w:lineRule="exact"/>
              <w:rPr>
                <w:rFonts w:ascii="宋体" w:hAnsi="宋体" w:cs="宋体"/>
                <w:color w:val="auto"/>
                <w:sz w:val="22"/>
                <w:szCs w:val="22"/>
                <w:highlight w:val="none"/>
              </w:rPr>
            </w:pPr>
          </w:p>
        </w:tc>
      </w:tr>
      <w:tr w14:paraId="61CB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07F73B3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单位概况</w:t>
            </w:r>
          </w:p>
        </w:tc>
        <w:tc>
          <w:tcPr>
            <w:tcW w:w="1115" w:type="dxa"/>
            <w:vMerge w:val="restart"/>
          </w:tcPr>
          <w:p w14:paraId="4EA6DA22">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职工总数</w:t>
            </w:r>
          </w:p>
        </w:tc>
        <w:tc>
          <w:tcPr>
            <w:tcW w:w="1689" w:type="dxa"/>
            <w:vMerge w:val="restart"/>
          </w:tcPr>
          <w:p w14:paraId="55062E68">
            <w:pPr>
              <w:spacing w:line="480" w:lineRule="exact"/>
              <w:ind w:firstLine="1540" w:firstLineChars="700"/>
              <w:rPr>
                <w:rFonts w:ascii="宋体" w:hAnsi="宋体" w:cs="宋体"/>
                <w:color w:val="auto"/>
                <w:sz w:val="22"/>
                <w:szCs w:val="22"/>
                <w:highlight w:val="none"/>
              </w:rPr>
            </w:pPr>
          </w:p>
        </w:tc>
        <w:tc>
          <w:tcPr>
            <w:tcW w:w="3703" w:type="dxa"/>
            <w:gridSpan w:val="4"/>
            <w:vMerge w:val="restart"/>
          </w:tcPr>
          <w:p w14:paraId="1136631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各人员构成情况</w:t>
            </w:r>
          </w:p>
        </w:tc>
        <w:tc>
          <w:tcPr>
            <w:tcW w:w="1488" w:type="dxa"/>
            <w:vMerge w:val="restart"/>
            <w:vAlign w:val="center"/>
          </w:tcPr>
          <w:p w14:paraId="15A2B80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上一年主要  经济指标</w:t>
            </w:r>
          </w:p>
        </w:tc>
        <w:tc>
          <w:tcPr>
            <w:tcW w:w="1502" w:type="dxa"/>
            <w:vAlign w:val="center"/>
          </w:tcPr>
          <w:p w14:paraId="0F3B40B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指标名称</w:t>
            </w:r>
          </w:p>
        </w:tc>
        <w:tc>
          <w:tcPr>
            <w:tcW w:w="1488" w:type="dxa"/>
            <w:tcBorders>
              <w:tr2bl w:val="single" w:color="auto" w:sz="4" w:space="0"/>
            </w:tcBorders>
            <w:vAlign w:val="center"/>
          </w:tcPr>
          <w:p w14:paraId="001A2F62">
            <w:pPr>
              <w:spacing w:line="480" w:lineRule="exact"/>
              <w:jc w:val="center"/>
              <w:rPr>
                <w:rFonts w:ascii="宋体" w:hAnsi="宋体" w:cs="宋体"/>
                <w:color w:val="auto"/>
                <w:sz w:val="22"/>
                <w:szCs w:val="22"/>
                <w:highlight w:val="none"/>
              </w:rPr>
            </w:pPr>
          </w:p>
        </w:tc>
        <w:tc>
          <w:tcPr>
            <w:tcW w:w="1470" w:type="dxa"/>
            <w:gridSpan w:val="2"/>
            <w:vAlign w:val="center"/>
          </w:tcPr>
          <w:p w14:paraId="78258DAA">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实际完成</w:t>
            </w:r>
          </w:p>
        </w:tc>
        <w:tc>
          <w:tcPr>
            <w:tcW w:w="1106" w:type="dxa"/>
            <w:tcBorders>
              <w:tr2bl w:val="single" w:color="auto" w:sz="4" w:space="0"/>
            </w:tcBorders>
            <w:vAlign w:val="center"/>
          </w:tcPr>
          <w:p w14:paraId="2B73A61E">
            <w:pPr>
              <w:spacing w:line="480" w:lineRule="exact"/>
              <w:jc w:val="center"/>
              <w:rPr>
                <w:rFonts w:ascii="宋体" w:hAnsi="宋体" w:cs="宋体"/>
                <w:color w:val="auto"/>
                <w:sz w:val="22"/>
                <w:szCs w:val="22"/>
                <w:highlight w:val="none"/>
              </w:rPr>
            </w:pPr>
          </w:p>
        </w:tc>
      </w:tr>
      <w:tr w14:paraId="5CB5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0E08880A">
            <w:pPr>
              <w:spacing w:line="480" w:lineRule="exact"/>
              <w:rPr>
                <w:rFonts w:ascii="宋体" w:hAnsi="宋体" w:cs="宋体"/>
                <w:color w:val="auto"/>
                <w:sz w:val="22"/>
                <w:szCs w:val="22"/>
                <w:highlight w:val="none"/>
              </w:rPr>
            </w:pPr>
          </w:p>
        </w:tc>
        <w:tc>
          <w:tcPr>
            <w:tcW w:w="1115" w:type="dxa"/>
            <w:vMerge w:val="continue"/>
          </w:tcPr>
          <w:p w14:paraId="46592AB3">
            <w:pPr>
              <w:spacing w:line="480" w:lineRule="exact"/>
              <w:rPr>
                <w:rFonts w:ascii="宋体" w:hAnsi="宋体" w:cs="宋体"/>
                <w:color w:val="auto"/>
                <w:sz w:val="22"/>
                <w:szCs w:val="22"/>
                <w:highlight w:val="none"/>
              </w:rPr>
            </w:pPr>
          </w:p>
        </w:tc>
        <w:tc>
          <w:tcPr>
            <w:tcW w:w="1689" w:type="dxa"/>
            <w:vMerge w:val="continue"/>
          </w:tcPr>
          <w:p w14:paraId="5FF34F62">
            <w:pPr>
              <w:spacing w:line="480" w:lineRule="exact"/>
              <w:rPr>
                <w:rFonts w:ascii="宋体" w:hAnsi="宋体" w:cs="宋体"/>
                <w:color w:val="auto"/>
                <w:sz w:val="22"/>
                <w:szCs w:val="22"/>
                <w:highlight w:val="none"/>
              </w:rPr>
            </w:pPr>
          </w:p>
        </w:tc>
        <w:tc>
          <w:tcPr>
            <w:tcW w:w="3703" w:type="dxa"/>
            <w:gridSpan w:val="4"/>
            <w:vMerge w:val="continue"/>
          </w:tcPr>
          <w:p w14:paraId="049EF65C">
            <w:pPr>
              <w:spacing w:line="480" w:lineRule="exact"/>
              <w:rPr>
                <w:rFonts w:ascii="宋体" w:hAnsi="宋体" w:cs="宋体"/>
                <w:color w:val="auto"/>
                <w:sz w:val="22"/>
                <w:szCs w:val="22"/>
                <w:highlight w:val="none"/>
              </w:rPr>
            </w:pPr>
          </w:p>
        </w:tc>
        <w:tc>
          <w:tcPr>
            <w:tcW w:w="1488" w:type="dxa"/>
            <w:vMerge w:val="continue"/>
          </w:tcPr>
          <w:p w14:paraId="3B619606">
            <w:pPr>
              <w:spacing w:line="480" w:lineRule="exact"/>
              <w:rPr>
                <w:rFonts w:ascii="宋体" w:hAnsi="宋体" w:cs="宋体"/>
                <w:color w:val="auto"/>
                <w:sz w:val="22"/>
                <w:szCs w:val="22"/>
                <w:highlight w:val="none"/>
              </w:rPr>
            </w:pPr>
          </w:p>
        </w:tc>
        <w:tc>
          <w:tcPr>
            <w:tcW w:w="1502" w:type="dxa"/>
            <w:vAlign w:val="center"/>
          </w:tcPr>
          <w:p w14:paraId="35068C9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488" w:type="dxa"/>
            <w:vAlign w:val="center"/>
          </w:tcPr>
          <w:p w14:paraId="506285ED">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62A1EBA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106" w:type="dxa"/>
            <w:vAlign w:val="center"/>
          </w:tcPr>
          <w:p w14:paraId="2DEF86DE">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4EEC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51A6CDB2">
            <w:pPr>
              <w:spacing w:line="480" w:lineRule="exact"/>
              <w:rPr>
                <w:rFonts w:ascii="宋体" w:hAnsi="宋体" w:cs="宋体"/>
                <w:color w:val="auto"/>
                <w:sz w:val="22"/>
                <w:szCs w:val="22"/>
                <w:highlight w:val="none"/>
              </w:rPr>
            </w:pPr>
          </w:p>
        </w:tc>
        <w:tc>
          <w:tcPr>
            <w:tcW w:w="1115" w:type="dxa"/>
            <w:vMerge w:val="restart"/>
          </w:tcPr>
          <w:p w14:paraId="1030E08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流动资金</w:t>
            </w:r>
          </w:p>
        </w:tc>
        <w:tc>
          <w:tcPr>
            <w:tcW w:w="1689" w:type="dxa"/>
            <w:vMerge w:val="restart"/>
          </w:tcPr>
          <w:p w14:paraId="65AABA62">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CE6BCBE">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万元 </w:t>
            </w:r>
          </w:p>
        </w:tc>
        <w:tc>
          <w:tcPr>
            <w:tcW w:w="728" w:type="dxa"/>
            <w:vMerge w:val="restart"/>
          </w:tcPr>
          <w:p w14:paraId="74EF472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1487" w:type="dxa"/>
            <w:gridSpan w:val="2"/>
            <w:vAlign w:val="center"/>
          </w:tcPr>
          <w:p w14:paraId="2E17A6B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自有资金</w:t>
            </w:r>
          </w:p>
        </w:tc>
        <w:tc>
          <w:tcPr>
            <w:tcW w:w="1488" w:type="dxa"/>
            <w:vAlign w:val="center"/>
          </w:tcPr>
          <w:p w14:paraId="67B2C91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6C4E7863">
            <w:pPr>
              <w:spacing w:line="480" w:lineRule="exact"/>
              <w:rPr>
                <w:rFonts w:ascii="宋体" w:hAnsi="宋体" w:cs="宋体"/>
                <w:color w:val="auto"/>
                <w:sz w:val="22"/>
                <w:szCs w:val="22"/>
                <w:highlight w:val="none"/>
              </w:rPr>
            </w:pPr>
          </w:p>
        </w:tc>
        <w:tc>
          <w:tcPr>
            <w:tcW w:w="1502" w:type="dxa"/>
            <w:vAlign w:val="center"/>
          </w:tcPr>
          <w:p w14:paraId="1A10840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488" w:type="dxa"/>
            <w:vAlign w:val="center"/>
          </w:tcPr>
          <w:p w14:paraId="1E1E86EE">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6E20B3AC">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106" w:type="dxa"/>
            <w:vAlign w:val="center"/>
          </w:tcPr>
          <w:p w14:paraId="645A11CC">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68FB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752968AD">
            <w:pPr>
              <w:spacing w:line="480" w:lineRule="exact"/>
              <w:rPr>
                <w:rFonts w:ascii="宋体" w:hAnsi="宋体" w:cs="宋体"/>
                <w:color w:val="auto"/>
                <w:sz w:val="22"/>
                <w:szCs w:val="22"/>
                <w:highlight w:val="none"/>
              </w:rPr>
            </w:pPr>
          </w:p>
        </w:tc>
        <w:tc>
          <w:tcPr>
            <w:tcW w:w="1115" w:type="dxa"/>
            <w:vMerge w:val="continue"/>
            <w:tcBorders>
              <w:bottom w:val="single" w:color="auto" w:sz="4" w:space="0"/>
            </w:tcBorders>
          </w:tcPr>
          <w:p w14:paraId="22B377FB">
            <w:pPr>
              <w:spacing w:line="480" w:lineRule="exact"/>
              <w:rPr>
                <w:rFonts w:ascii="宋体" w:hAnsi="宋体" w:cs="宋体"/>
                <w:color w:val="auto"/>
                <w:sz w:val="22"/>
                <w:szCs w:val="22"/>
                <w:highlight w:val="none"/>
              </w:rPr>
            </w:pPr>
          </w:p>
        </w:tc>
        <w:tc>
          <w:tcPr>
            <w:tcW w:w="1689" w:type="dxa"/>
            <w:vMerge w:val="continue"/>
            <w:tcBorders>
              <w:bottom w:val="single" w:color="auto" w:sz="4" w:space="0"/>
            </w:tcBorders>
          </w:tcPr>
          <w:p w14:paraId="554CE929">
            <w:pPr>
              <w:spacing w:line="480" w:lineRule="exact"/>
              <w:rPr>
                <w:rFonts w:ascii="宋体" w:hAnsi="宋体" w:cs="宋体"/>
                <w:color w:val="auto"/>
                <w:sz w:val="22"/>
                <w:szCs w:val="22"/>
                <w:highlight w:val="none"/>
              </w:rPr>
            </w:pPr>
          </w:p>
        </w:tc>
        <w:tc>
          <w:tcPr>
            <w:tcW w:w="728" w:type="dxa"/>
            <w:vMerge w:val="continue"/>
            <w:tcBorders>
              <w:bottom w:val="single" w:color="auto" w:sz="4" w:space="0"/>
            </w:tcBorders>
          </w:tcPr>
          <w:p w14:paraId="36F51C41">
            <w:pPr>
              <w:spacing w:line="480" w:lineRule="exact"/>
              <w:rPr>
                <w:rFonts w:ascii="宋体" w:hAnsi="宋体" w:cs="宋体"/>
                <w:color w:val="auto"/>
                <w:sz w:val="22"/>
                <w:szCs w:val="22"/>
                <w:highlight w:val="none"/>
              </w:rPr>
            </w:pPr>
          </w:p>
        </w:tc>
        <w:tc>
          <w:tcPr>
            <w:tcW w:w="1487" w:type="dxa"/>
            <w:gridSpan w:val="2"/>
            <w:tcBorders>
              <w:bottom w:val="single" w:color="auto" w:sz="4" w:space="0"/>
            </w:tcBorders>
          </w:tcPr>
          <w:p w14:paraId="3FE8489D">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银行贷款</w:t>
            </w:r>
          </w:p>
        </w:tc>
        <w:tc>
          <w:tcPr>
            <w:tcW w:w="1488" w:type="dxa"/>
            <w:tcBorders>
              <w:bottom w:val="single" w:color="auto" w:sz="4" w:space="0"/>
            </w:tcBorders>
          </w:tcPr>
          <w:p w14:paraId="18C177E7">
            <w:pPr>
              <w:spacing w:line="48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88" w:type="dxa"/>
            <w:vMerge w:val="continue"/>
            <w:tcBorders>
              <w:bottom w:val="single" w:color="auto" w:sz="4" w:space="0"/>
            </w:tcBorders>
          </w:tcPr>
          <w:p w14:paraId="5BACED08">
            <w:pPr>
              <w:spacing w:line="480" w:lineRule="exact"/>
              <w:rPr>
                <w:rFonts w:ascii="宋体" w:hAnsi="宋体" w:cs="宋体"/>
                <w:color w:val="auto"/>
                <w:sz w:val="22"/>
                <w:szCs w:val="22"/>
                <w:highlight w:val="none"/>
              </w:rPr>
            </w:pPr>
          </w:p>
        </w:tc>
        <w:tc>
          <w:tcPr>
            <w:tcW w:w="1502" w:type="dxa"/>
            <w:vMerge w:val="restart"/>
            <w:tcBorders>
              <w:bottom w:val="single" w:color="auto" w:sz="4" w:space="0"/>
            </w:tcBorders>
            <w:vAlign w:val="center"/>
          </w:tcPr>
          <w:p w14:paraId="1276D090">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主要业绩</w:t>
            </w:r>
          </w:p>
        </w:tc>
        <w:tc>
          <w:tcPr>
            <w:tcW w:w="4064" w:type="dxa"/>
            <w:gridSpan w:val="4"/>
            <w:vMerge w:val="restart"/>
            <w:tcBorders>
              <w:bottom w:val="single" w:color="auto" w:sz="4" w:space="0"/>
            </w:tcBorders>
            <w:vAlign w:val="center"/>
          </w:tcPr>
          <w:p w14:paraId="020C1F03">
            <w:pPr>
              <w:spacing w:line="480" w:lineRule="exact"/>
              <w:jc w:val="center"/>
              <w:rPr>
                <w:rFonts w:ascii="宋体" w:hAnsi="宋体" w:cs="宋体"/>
                <w:color w:val="auto"/>
                <w:sz w:val="22"/>
                <w:szCs w:val="22"/>
                <w:highlight w:val="none"/>
              </w:rPr>
            </w:pPr>
          </w:p>
        </w:tc>
      </w:tr>
      <w:tr w14:paraId="0D6C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29DD81AF">
            <w:pPr>
              <w:spacing w:line="480" w:lineRule="exact"/>
              <w:rPr>
                <w:rFonts w:ascii="宋体" w:hAnsi="宋体" w:cs="宋体"/>
                <w:color w:val="auto"/>
                <w:sz w:val="22"/>
                <w:szCs w:val="22"/>
                <w:highlight w:val="none"/>
              </w:rPr>
            </w:pPr>
          </w:p>
        </w:tc>
        <w:tc>
          <w:tcPr>
            <w:tcW w:w="1115" w:type="dxa"/>
            <w:vMerge w:val="restart"/>
          </w:tcPr>
          <w:p w14:paraId="473FE925">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固定资产</w:t>
            </w:r>
          </w:p>
        </w:tc>
        <w:tc>
          <w:tcPr>
            <w:tcW w:w="1689" w:type="dxa"/>
            <w:vMerge w:val="restart"/>
          </w:tcPr>
          <w:p w14:paraId="59AD7565">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原值   万元</w:t>
            </w:r>
          </w:p>
          <w:p w14:paraId="27B8B30D">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净值   万元</w:t>
            </w:r>
          </w:p>
        </w:tc>
        <w:tc>
          <w:tcPr>
            <w:tcW w:w="728" w:type="dxa"/>
            <w:vMerge w:val="restart"/>
          </w:tcPr>
          <w:p w14:paraId="327BC36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资金性质</w:t>
            </w:r>
          </w:p>
        </w:tc>
        <w:tc>
          <w:tcPr>
            <w:tcW w:w="1487" w:type="dxa"/>
            <w:gridSpan w:val="2"/>
          </w:tcPr>
          <w:p w14:paraId="67CA0AE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生产性</w:t>
            </w:r>
          </w:p>
        </w:tc>
        <w:tc>
          <w:tcPr>
            <w:tcW w:w="1488" w:type="dxa"/>
          </w:tcPr>
          <w:p w14:paraId="6F7D2D6F">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6009F744">
            <w:pPr>
              <w:spacing w:line="480" w:lineRule="exact"/>
              <w:rPr>
                <w:rFonts w:ascii="宋体" w:hAnsi="宋体" w:cs="宋体"/>
                <w:color w:val="auto"/>
                <w:sz w:val="22"/>
                <w:szCs w:val="22"/>
                <w:highlight w:val="none"/>
              </w:rPr>
            </w:pPr>
          </w:p>
        </w:tc>
        <w:tc>
          <w:tcPr>
            <w:tcW w:w="1502" w:type="dxa"/>
            <w:vMerge w:val="continue"/>
          </w:tcPr>
          <w:p w14:paraId="4266ABC2">
            <w:pPr>
              <w:spacing w:line="480" w:lineRule="exact"/>
              <w:rPr>
                <w:rFonts w:ascii="宋体" w:hAnsi="宋体" w:cs="宋体"/>
                <w:color w:val="auto"/>
                <w:sz w:val="22"/>
                <w:szCs w:val="22"/>
                <w:highlight w:val="none"/>
              </w:rPr>
            </w:pPr>
          </w:p>
        </w:tc>
        <w:tc>
          <w:tcPr>
            <w:tcW w:w="4064" w:type="dxa"/>
            <w:gridSpan w:val="4"/>
            <w:vMerge w:val="continue"/>
          </w:tcPr>
          <w:p w14:paraId="15E89B09">
            <w:pPr>
              <w:spacing w:line="480" w:lineRule="exact"/>
              <w:rPr>
                <w:rFonts w:ascii="宋体" w:hAnsi="宋体" w:cs="宋体"/>
                <w:color w:val="auto"/>
                <w:sz w:val="22"/>
                <w:szCs w:val="22"/>
                <w:highlight w:val="none"/>
              </w:rPr>
            </w:pPr>
          </w:p>
        </w:tc>
      </w:tr>
      <w:tr w14:paraId="38F8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6C4CED76">
            <w:pPr>
              <w:spacing w:line="480" w:lineRule="exact"/>
              <w:rPr>
                <w:rFonts w:ascii="宋体" w:hAnsi="宋体" w:cs="宋体"/>
                <w:color w:val="auto"/>
                <w:sz w:val="22"/>
                <w:szCs w:val="22"/>
                <w:highlight w:val="none"/>
              </w:rPr>
            </w:pPr>
          </w:p>
        </w:tc>
        <w:tc>
          <w:tcPr>
            <w:tcW w:w="1115" w:type="dxa"/>
            <w:vMerge w:val="continue"/>
          </w:tcPr>
          <w:p w14:paraId="01E56010">
            <w:pPr>
              <w:spacing w:line="480" w:lineRule="exact"/>
              <w:rPr>
                <w:rFonts w:ascii="宋体" w:hAnsi="宋体" w:cs="宋体"/>
                <w:color w:val="auto"/>
                <w:sz w:val="22"/>
                <w:szCs w:val="22"/>
                <w:highlight w:val="none"/>
              </w:rPr>
            </w:pPr>
          </w:p>
        </w:tc>
        <w:tc>
          <w:tcPr>
            <w:tcW w:w="1689" w:type="dxa"/>
            <w:vMerge w:val="continue"/>
          </w:tcPr>
          <w:p w14:paraId="71F56A6D">
            <w:pPr>
              <w:spacing w:line="480" w:lineRule="exact"/>
              <w:rPr>
                <w:rFonts w:ascii="宋体" w:hAnsi="宋体" w:cs="宋体"/>
                <w:color w:val="auto"/>
                <w:sz w:val="22"/>
                <w:szCs w:val="22"/>
                <w:highlight w:val="none"/>
              </w:rPr>
            </w:pPr>
          </w:p>
        </w:tc>
        <w:tc>
          <w:tcPr>
            <w:tcW w:w="728" w:type="dxa"/>
            <w:vMerge w:val="continue"/>
          </w:tcPr>
          <w:p w14:paraId="09FF5F1D">
            <w:pPr>
              <w:spacing w:line="480" w:lineRule="exact"/>
              <w:rPr>
                <w:rFonts w:ascii="宋体" w:hAnsi="宋体" w:cs="宋体"/>
                <w:color w:val="auto"/>
                <w:sz w:val="22"/>
                <w:szCs w:val="22"/>
                <w:highlight w:val="none"/>
              </w:rPr>
            </w:pPr>
          </w:p>
        </w:tc>
        <w:tc>
          <w:tcPr>
            <w:tcW w:w="1487" w:type="dxa"/>
            <w:gridSpan w:val="2"/>
          </w:tcPr>
          <w:p w14:paraId="13334396">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非生产性</w:t>
            </w:r>
          </w:p>
        </w:tc>
        <w:tc>
          <w:tcPr>
            <w:tcW w:w="1488" w:type="dxa"/>
          </w:tcPr>
          <w:p w14:paraId="26328226">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7AB2868C">
            <w:pPr>
              <w:spacing w:line="480" w:lineRule="exact"/>
              <w:rPr>
                <w:rFonts w:ascii="宋体" w:hAnsi="宋体" w:cs="宋体"/>
                <w:color w:val="auto"/>
                <w:sz w:val="22"/>
                <w:szCs w:val="22"/>
                <w:highlight w:val="none"/>
              </w:rPr>
            </w:pPr>
          </w:p>
        </w:tc>
        <w:tc>
          <w:tcPr>
            <w:tcW w:w="1502" w:type="dxa"/>
            <w:vMerge w:val="continue"/>
          </w:tcPr>
          <w:p w14:paraId="418690D3">
            <w:pPr>
              <w:spacing w:line="480" w:lineRule="exact"/>
              <w:rPr>
                <w:rFonts w:ascii="宋体" w:hAnsi="宋体" w:cs="宋体"/>
                <w:color w:val="auto"/>
                <w:sz w:val="22"/>
                <w:szCs w:val="22"/>
                <w:highlight w:val="none"/>
              </w:rPr>
            </w:pPr>
          </w:p>
        </w:tc>
        <w:tc>
          <w:tcPr>
            <w:tcW w:w="4064" w:type="dxa"/>
            <w:gridSpan w:val="4"/>
            <w:vMerge w:val="continue"/>
          </w:tcPr>
          <w:p w14:paraId="7B33CB85">
            <w:pPr>
              <w:spacing w:line="480" w:lineRule="exact"/>
              <w:rPr>
                <w:rFonts w:ascii="宋体" w:hAnsi="宋体" w:cs="宋体"/>
                <w:color w:val="auto"/>
                <w:sz w:val="22"/>
                <w:szCs w:val="22"/>
                <w:highlight w:val="none"/>
              </w:rPr>
            </w:pPr>
          </w:p>
        </w:tc>
      </w:tr>
    </w:tbl>
    <w:p w14:paraId="5AA1A313">
      <w:pPr>
        <w:spacing w:line="460" w:lineRule="exact"/>
        <w:rPr>
          <w:rFonts w:ascii="宋体" w:hAnsi="宋体" w:cs="宋体"/>
          <w:color w:val="auto"/>
          <w:sz w:val="22"/>
          <w:szCs w:val="22"/>
          <w:highlight w:val="none"/>
        </w:rPr>
        <w:sectPr>
          <w:pgSz w:w="16838" w:h="11906" w:orient="landscape"/>
          <w:pgMar w:top="1134" w:right="1134" w:bottom="1134" w:left="1134" w:header="850" w:footer="992" w:gutter="0"/>
          <w:cols w:space="720" w:num="1"/>
          <w:docGrid w:type="lines" w:linePitch="321" w:charSpace="0"/>
        </w:sectPr>
      </w:pPr>
    </w:p>
    <w:p w14:paraId="12095D91">
      <w:pPr>
        <w:spacing w:line="400" w:lineRule="exact"/>
        <w:jc w:val="center"/>
        <w:outlineLvl w:val="3"/>
        <w:rPr>
          <w:rFonts w:ascii="宋体" w:hAnsi="宋体"/>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b/>
          <w:bCs/>
          <w:color w:val="auto"/>
          <w:sz w:val="30"/>
          <w:szCs w:val="30"/>
          <w:highlight w:val="none"/>
        </w:rPr>
        <w:t>投标材料真实性与完整性自查核对表</w:t>
      </w:r>
    </w:p>
    <w:p w14:paraId="0C572B8B">
      <w:pPr>
        <w:spacing w:line="440" w:lineRule="exact"/>
        <w:ind w:left="220" w:hanging="220" w:hangingChars="100"/>
        <w:rPr>
          <w:rFonts w:ascii="宋体" w:hAnsi="宋体"/>
          <w:bCs/>
          <w:color w:val="auto"/>
          <w:sz w:val="22"/>
          <w:szCs w:val="22"/>
          <w:highlight w:val="none"/>
        </w:rPr>
      </w:pPr>
      <w:r>
        <w:rPr>
          <w:rFonts w:ascii="宋体" w:hAnsi="宋体"/>
          <w:bCs/>
          <w:color w:val="auto"/>
          <w:sz w:val="22"/>
          <w:szCs w:val="22"/>
          <w:highlight w:val="none"/>
        </w:rPr>
        <w:t>一、基本信息</w:t>
      </w:r>
    </w:p>
    <w:tbl>
      <w:tblPr>
        <w:tblStyle w:val="5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3517"/>
        <w:gridCol w:w="2070"/>
        <w:gridCol w:w="3174"/>
      </w:tblGrid>
      <w:tr w14:paraId="643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440" w:type="dxa"/>
            <w:tcMar>
              <w:top w:w="90" w:type="dxa"/>
              <w:left w:w="195" w:type="dxa"/>
              <w:bottom w:w="90" w:type="dxa"/>
              <w:right w:w="195" w:type="dxa"/>
            </w:tcMar>
            <w:vAlign w:val="center"/>
          </w:tcPr>
          <w:p w14:paraId="072E18E4">
            <w:pPr>
              <w:rPr>
                <w:rFonts w:ascii="宋体" w:hAnsi="宋体"/>
                <w:color w:val="auto"/>
                <w:highlight w:val="none"/>
              </w:rPr>
            </w:pPr>
            <w:r>
              <w:rPr>
                <w:rFonts w:ascii="宋体" w:hAnsi="宋体"/>
                <w:color w:val="auto"/>
                <w:highlight w:val="none"/>
              </w:rPr>
              <w:t>项目名称</w:t>
            </w:r>
          </w:p>
        </w:tc>
        <w:tc>
          <w:tcPr>
            <w:tcW w:w="3517" w:type="dxa"/>
            <w:tcMar>
              <w:top w:w="90" w:type="dxa"/>
              <w:left w:w="195" w:type="dxa"/>
              <w:bottom w:w="90" w:type="dxa"/>
              <w:right w:w="195" w:type="dxa"/>
            </w:tcMar>
            <w:vAlign w:val="center"/>
          </w:tcPr>
          <w:p w14:paraId="0E7D8872">
            <w:pPr>
              <w:rPr>
                <w:rFonts w:ascii="宋体" w:hAnsi="宋体"/>
                <w:color w:val="auto"/>
                <w:highlight w:val="none"/>
              </w:rPr>
            </w:pPr>
          </w:p>
        </w:tc>
        <w:tc>
          <w:tcPr>
            <w:tcW w:w="2070" w:type="dxa"/>
            <w:tcMar>
              <w:top w:w="90" w:type="dxa"/>
              <w:left w:w="195" w:type="dxa"/>
              <w:bottom w:w="90" w:type="dxa"/>
              <w:right w:w="195" w:type="dxa"/>
            </w:tcMar>
            <w:vAlign w:val="center"/>
          </w:tcPr>
          <w:p w14:paraId="00E837F0">
            <w:pPr>
              <w:rPr>
                <w:rFonts w:ascii="宋体" w:hAnsi="宋体"/>
                <w:color w:val="auto"/>
                <w:highlight w:val="none"/>
              </w:rPr>
            </w:pPr>
            <w:r>
              <w:rPr>
                <w:rFonts w:ascii="宋体" w:hAnsi="宋体"/>
                <w:color w:val="auto"/>
                <w:highlight w:val="none"/>
              </w:rPr>
              <w:t>项目编号</w:t>
            </w:r>
          </w:p>
        </w:tc>
        <w:tc>
          <w:tcPr>
            <w:tcW w:w="3174" w:type="dxa"/>
            <w:tcMar>
              <w:top w:w="90" w:type="dxa"/>
              <w:left w:w="195" w:type="dxa"/>
              <w:bottom w:w="90" w:type="dxa"/>
              <w:right w:w="195" w:type="dxa"/>
            </w:tcMar>
            <w:vAlign w:val="center"/>
          </w:tcPr>
          <w:p w14:paraId="67B6A057">
            <w:pPr>
              <w:rPr>
                <w:rFonts w:ascii="宋体" w:hAnsi="宋体"/>
                <w:color w:val="auto"/>
                <w:highlight w:val="none"/>
              </w:rPr>
            </w:pPr>
          </w:p>
        </w:tc>
      </w:tr>
      <w:tr w14:paraId="6C8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72D9CE93">
            <w:pPr>
              <w:rPr>
                <w:rFonts w:ascii="宋体" w:hAnsi="宋体"/>
                <w:color w:val="auto"/>
                <w:highlight w:val="none"/>
              </w:rPr>
            </w:pPr>
            <w:bookmarkStart w:id="42" w:name="_Hlk195817534"/>
            <w:r>
              <w:rPr>
                <w:rFonts w:hint="eastAsia" w:ascii="宋体" w:hAnsi="宋体"/>
                <w:color w:val="auto"/>
                <w:highlight w:val="none"/>
              </w:rPr>
              <w:t>投标人</w:t>
            </w:r>
            <w:r>
              <w:rPr>
                <w:rFonts w:ascii="宋体" w:hAnsi="宋体"/>
                <w:color w:val="auto"/>
                <w:highlight w:val="none"/>
              </w:rPr>
              <w:t>名称</w:t>
            </w:r>
            <w:bookmarkEnd w:id="42"/>
          </w:p>
        </w:tc>
        <w:tc>
          <w:tcPr>
            <w:tcW w:w="3517" w:type="dxa"/>
            <w:tcMar>
              <w:top w:w="90" w:type="dxa"/>
              <w:left w:w="195" w:type="dxa"/>
              <w:bottom w:w="90" w:type="dxa"/>
              <w:right w:w="195" w:type="dxa"/>
            </w:tcMar>
            <w:vAlign w:val="center"/>
          </w:tcPr>
          <w:p w14:paraId="28D6D5BD">
            <w:pPr>
              <w:rPr>
                <w:rFonts w:ascii="宋体" w:hAnsi="宋体"/>
                <w:color w:val="auto"/>
                <w:highlight w:val="none"/>
              </w:rPr>
            </w:pPr>
          </w:p>
        </w:tc>
        <w:tc>
          <w:tcPr>
            <w:tcW w:w="2070" w:type="dxa"/>
            <w:tcMar>
              <w:top w:w="90" w:type="dxa"/>
              <w:left w:w="195" w:type="dxa"/>
              <w:bottom w:w="90" w:type="dxa"/>
              <w:right w:w="195" w:type="dxa"/>
            </w:tcMar>
            <w:vAlign w:val="center"/>
          </w:tcPr>
          <w:p w14:paraId="54D282B5">
            <w:pPr>
              <w:rPr>
                <w:rFonts w:ascii="宋体" w:hAnsi="宋体"/>
                <w:color w:val="auto"/>
                <w:highlight w:val="none"/>
              </w:rPr>
            </w:pPr>
            <w:r>
              <w:rPr>
                <w:rFonts w:ascii="宋体" w:hAnsi="宋体"/>
                <w:color w:val="auto"/>
                <w:highlight w:val="none"/>
              </w:rPr>
              <w:t>统一社会信用代码</w:t>
            </w:r>
          </w:p>
        </w:tc>
        <w:tc>
          <w:tcPr>
            <w:tcW w:w="3174" w:type="dxa"/>
            <w:tcMar>
              <w:top w:w="90" w:type="dxa"/>
              <w:left w:w="195" w:type="dxa"/>
              <w:bottom w:w="90" w:type="dxa"/>
              <w:right w:w="195" w:type="dxa"/>
            </w:tcMar>
            <w:vAlign w:val="center"/>
          </w:tcPr>
          <w:p w14:paraId="2AED4BCC">
            <w:pPr>
              <w:rPr>
                <w:rFonts w:ascii="宋体" w:hAnsi="宋体"/>
                <w:color w:val="auto"/>
                <w:highlight w:val="none"/>
              </w:rPr>
            </w:pPr>
          </w:p>
        </w:tc>
      </w:tr>
      <w:tr w14:paraId="500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4268E1E7">
            <w:pPr>
              <w:rPr>
                <w:rFonts w:ascii="宋体" w:hAnsi="宋体"/>
                <w:color w:val="auto"/>
                <w:highlight w:val="none"/>
              </w:rPr>
            </w:pPr>
            <w:r>
              <w:rPr>
                <w:rFonts w:hint="eastAsia" w:ascii="宋体" w:hAnsi="宋体"/>
                <w:color w:val="auto"/>
                <w:highlight w:val="none"/>
              </w:rPr>
              <w:t>核对</w:t>
            </w:r>
            <w:r>
              <w:rPr>
                <w:rFonts w:ascii="宋体" w:hAnsi="宋体"/>
                <w:color w:val="auto"/>
                <w:highlight w:val="none"/>
              </w:rPr>
              <w:t>人</w:t>
            </w:r>
          </w:p>
        </w:tc>
        <w:tc>
          <w:tcPr>
            <w:tcW w:w="3517" w:type="dxa"/>
            <w:tcMar>
              <w:top w:w="90" w:type="dxa"/>
              <w:left w:w="195" w:type="dxa"/>
              <w:bottom w:w="90" w:type="dxa"/>
              <w:right w:w="195" w:type="dxa"/>
            </w:tcMar>
            <w:vAlign w:val="center"/>
          </w:tcPr>
          <w:p w14:paraId="4CAF2F10">
            <w:pPr>
              <w:rPr>
                <w:rFonts w:ascii="宋体" w:hAnsi="宋体"/>
                <w:color w:val="auto"/>
                <w:highlight w:val="none"/>
              </w:rPr>
            </w:pPr>
          </w:p>
        </w:tc>
        <w:tc>
          <w:tcPr>
            <w:tcW w:w="2070" w:type="dxa"/>
            <w:tcMar>
              <w:top w:w="90" w:type="dxa"/>
              <w:left w:w="195" w:type="dxa"/>
              <w:bottom w:w="90" w:type="dxa"/>
              <w:right w:w="195" w:type="dxa"/>
            </w:tcMar>
            <w:vAlign w:val="center"/>
          </w:tcPr>
          <w:p w14:paraId="77AD51F9">
            <w:pPr>
              <w:rPr>
                <w:rFonts w:ascii="宋体" w:hAnsi="宋体"/>
                <w:color w:val="auto"/>
                <w:highlight w:val="none"/>
              </w:rPr>
            </w:pPr>
            <w:r>
              <w:rPr>
                <w:rFonts w:ascii="宋体" w:hAnsi="宋体"/>
                <w:color w:val="auto"/>
                <w:highlight w:val="none"/>
              </w:rPr>
              <w:t>联系电话</w:t>
            </w:r>
          </w:p>
        </w:tc>
        <w:tc>
          <w:tcPr>
            <w:tcW w:w="3174" w:type="dxa"/>
            <w:tcMar>
              <w:top w:w="90" w:type="dxa"/>
              <w:left w:w="195" w:type="dxa"/>
              <w:bottom w:w="90" w:type="dxa"/>
              <w:right w:w="195" w:type="dxa"/>
            </w:tcMar>
            <w:vAlign w:val="center"/>
          </w:tcPr>
          <w:p w14:paraId="4F2EC381">
            <w:pPr>
              <w:rPr>
                <w:rFonts w:ascii="宋体" w:hAnsi="宋体"/>
                <w:color w:val="auto"/>
                <w:highlight w:val="none"/>
              </w:rPr>
            </w:pPr>
          </w:p>
        </w:tc>
      </w:tr>
    </w:tbl>
    <w:p w14:paraId="6B1B5EE8">
      <w:pPr>
        <w:spacing w:line="440" w:lineRule="exact"/>
        <w:ind w:left="220" w:hanging="220" w:hangingChars="100"/>
        <w:rPr>
          <w:rFonts w:ascii="宋体" w:hAnsi="宋体"/>
          <w:bCs/>
          <w:color w:val="auto"/>
          <w:sz w:val="22"/>
          <w:szCs w:val="22"/>
          <w:highlight w:val="none"/>
        </w:rPr>
      </w:pPr>
      <w:r>
        <w:rPr>
          <w:rFonts w:hint="eastAsia" w:ascii="宋体" w:hAnsi="宋体"/>
          <w:bCs/>
          <w:color w:val="auto"/>
          <w:sz w:val="22"/>
          <w:szCs w:val="22"/>
          <w:highlight w:val="none"/>
        </w:rPr>
        <w:t>二</w:t>
      </w:r>
      <w:r>
        <w:rPr>
          <w:rFonts w:ascii="宋体" w:hAnsi="宋体"/>
          <w:bCs/>
          <w:color w:val="auto"/>
          <w:sz w:val="22"/>
          <w:szCs w:val="22"/>
          <w:highlight w:val="none"/>
        </w:rPr>
        <w:t>、</w:t>
      </w:r>
      <w:r>
        <w:rPr>
          <w:rFonts w:hint="eastAsia" w:ascii="宋体" w:hAnsi="宋体"/>
          <w:bCs/>
          <w:color w:val="auto"/>
          <w:sz w:val="22"/>
          <w:szCs w:val="22"/>
          <w:highlight w:val="none"/>
        </w:rPr>
        <w:t>投标人</w:t>
      </w:r>
      <w:r>
        <w:rPr>
          <w:rFonts w:ascii="宋体" w:hAnsi="宋体"/>
          <w:bCs/>
          <w:color w:val="auto"/>
          <w:sz w:val="22"/>
          <w:szCs w:val="22"/>
          <w:highlight w:val="none"/>
        </w:rPr>
        <w:t>诚信声明</w:t>
      </w:r>
    </w:p>
    <w:p w14:paraId="1414D19C">
      <w:pPr>
        <w:pStyle w:val="29"/>
        <w:spacing w:line="440" w:lineRule="exact"/>
        <w:ind w:firstLine="442" w:firstLineChars="200"/>
        <w:rPr>
          <w:rFonts w:ascii="宋体" w:hAnsi="宋体" w:eastAsia="宋体" w:cs="Courier New"/>
          <w:color w:val="auto"/>
          <w:sz w:val="22"/>
          <w:szCs w:val="22"/>
          <w:highlight w:val="none"/>
        </w:rPr>
      </w:pPr>
      <w:r>
        <w:rPr>
          <w:rFonts w:ascii="宋体" w:hAnsi="宋体" w:eastAsia="宋体" w:cs="Courier New"/>
          <w:color w:val="auto"/>
          <w:sz w:val="22"/>
          <w:szCs w:val="22"/>
          <w:highlight w:val="none"/>
        </w:rPr>
        <w:t>本公司严格遵循诚实信用原则，保证所提供的投标（响应）文件中的</w:t>
      </w:r>
      <w:r>
        <w:rPr>
          <w:rFonts w:ascii="宋体" w:hAnsi="宋体" w:eastAsia="宋体" w:cs="Courier New"/>
          <w:b/>
          <w:bCs/>
          <w:color w:val="auto"/>
          <w:sz w:val="22"/>
          <w:szCs w:val="22"/>
          <w:highlight w:val="none"/>
          <w:u w:val="single"/>
        </w:rPr>
        <w:t>所有证明类材料（包括检测报告/认证证书/资质证书/业绩证明/人员证书/荣誉证书/知识产权证明/其他）真实有效</w:t>
      </w:r>
      <w:r>
        <w:rPr>
          <w:rFonts w:ascii="宋体" w:hAnsi="宋体" w:eastAsia="宋体" w:cs="Courier New"/>
          <w:color w:val="auto"/>
          <w:sz w:val="22"/>
          <w:szCs w:val="22"/>
          <w:highlight w:val="none"/>
        </w:rPr>
        <w:t>，并已通过公开官网或其他有效方式核对相关证书和报告内容，确保资料准确无误。如有虚假，愿承担包括但不限于取消投标资格、赔偿损失等法律责任。</w:t>
      </w:r>
    </w:p>
    <w:p w14:paraId="7DBA13BA">
      <w:pPr>
        <w:spacing w:line="440" w:lineRule="exact"/>
        <w:ind w:left="220" w:hanging="220" w:hangingChars="100"/>
        <w:rPr>
          <w:rFonts w:ascii="宋体" w:hAnsi="宋体"/>
          <w:bCs/>
          <w:color w:val="auto"/>
          <w:sz w:val="22"/>
          <w:szCs w:val="22"/>
          <w:highlight w:val="none"/>
        </w:rPr>
      </w:pPr>
      <w:r>
        <w:rPr>
          <w:rFonts w:hint="eastAsia" w:ascii="宋体" w:hAnsi="宋体"/>
          <w:bCs/>
          <w:color w:val="auto"/>
          <w:sz w:val="22"/>
          <w:szCs w:val="22"/>
          <w:highlight w:val="none"/>
        </w:rPr>
        <w:t>三、材料清单</w:t>
      </w:r>
    </w:p>
    <w:tbl>
      <w:tblPr>
        <w:tblStyle w:val="53"/>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2"/>
        <w:gridCol w:w="1701"/>
        <w:gridCol w:w="1882"/>
        <w:gridCol w:w="1418"/>
        <w:gridCol w:w="1385"/>
        <w:gridCol w:w="1166"/>
        <w:gridCol w:w="851"/>
        <w:gridCol w:w="1275"/>
      </w:tblGrid>
      <w:tr w14:paraId="04D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562" w:type="dxa"/>
            <w:shd w:val="clear" w:color="auto" w:fill="FFFFFF"/>
            <w:tcMar>
              <w:top w:w="90" w:type="dxa"/>
              <w:left w:w="195" w:type="dxa"/>
              <w:bottom w:w="90" w:type="dxa"/>
              <w:right w:w="195" w:type="dxa"/>
            </w:tcMar>
            <w:vAlign w:val="center"/>
          </w:tcPr>
          <w:p w14:paraId="6693C067">
            <w:pPr>
              <w:jc w:val="center"/>
              <w:rPr>
                <w:rFonts w:ascii="宋体" w:hAnsi="宋体"/>
                <w:color w:val="auto"/>
                <w:sz w:val="22"/>
                <w:szCs w:val="22"/>
                <w:highlight w:val="none"/>
              </w:rPr>
            </w:pPr>
            <w:r>
              <w:rPr>
                <w:rFonts w:ascii="宋体" w:hAnsi="宋体"/>
                <w:color w:val="auto"/>
                <w:sz w:val="22"/>
                <w:szCs w:val="22"/>
                <w:highlight w:val="none"/>
              </w:rPr>
              <w:t>序号</w:t>
            </w:r>
          </w:p>
        </w:tc>
        <w:tc>
          <w:tcPr>
            <w:tcW w:w="1701" w:type="dxa"/>
            <w:shd w:val="clear" w:color="auto" w:fill="FFFFFF"/>
            <w:tcMar>
              <w:top w:w="90" w:type="dxa"/>
              <w:left w:w="195" w:type="dxa"/>
              <w:bottom w:w="90" w:type="dxa"/>
              <w:right w:w="195" w:type="dxa"/>
            </w:tcMar>
            <w:vAlign w:val="center"/>
          </w:tcPr>
          <w:p w14:paraId="4D4916BE">
            <w:pPr>
              <w:jc w:val="center"/>
              <w:rPr>
                <w:rFonts w:ascii="宋体" w:hAnsi="宋体"/>
                <w:color w:val="auto"/>
                <w:sz w:val="22"/>
                <w:szCs w:val="22"/>
                <w:highlight w:val="none"/>
              </w:rPr>
            </w:pPr>
            <w:r>
              <w:rPr>
                <w:rFonts w:ascii="宋体" w:hAnsi="宋体"/>
                <w:color w:val="auto"/>
                <w:sz w:val="22"/>
                <w:szCs w:val="22"/>
                <w:highlight w:val="none"/>
              </w:rPr>
              <w:t>材料名称及编号</w:t>
            </w:r>
            <w:r>
              <w:rPr>
                <w:rFonts w:hint="eastAsia" w:ascii="宋体" w:hAnsi="宋体"/>
                <w:color w:val="auto"/>
                <w:sz w:val="22"/>
                <w:szCs w:val="22"/>
                <w:highlight w:val="none"/>
              </w:rPr>
              <w:t>/识别码</w:t>
            </w:r>
          </w:p>
        </w:tc>
        <w:tc>
          <w:tcPr>
            <w:tcW w:w="1882" w:type="dxa"/>
            <w:shd w:val="clear" w:color="auto" w:fill="FFFFFF"/>
            <w:tcMar>
              <w:top w:w="90" w:type="dxa"/>
              <w:left w:w="195" w:type="dxa"/>
              <w:bottom w:w="90" w:type="dxa"/>
              <w:right w:w="195" w:type="dxa"/>
            </w:tcMar>
            <w:vAlign w:val="center"/>
          </w:tcPr>
          <w:p w14:paraId="07FA6360">
            <w:pPr>
              <w:jc w:val="center"/>
              <w:rPr>
                <w:rFonts w:ascii="宋体" w:hAnsi="宋体"/>
                <w:color w:val="auto"/>
                <w:sz w:val="22"/>
                <w:szCs w:val="22"/>
                <w:highlight w:val="none"/>
              </w:rPr>
            </w:pPr>
            <w:r>
              <w:rPr>
                <w:rFonts w:ascii="宋体" w:hAnsi="宋体"/>
                <w:color w:val="auto"/>
                <w:sz w:val="22"/>
                <w:szCs w:val="22"/>
                <w:highlight w:val="none"/>
              </w:rPr>
              <w:t>材料类型</w:t>
            </w:r>
          </w:p>
          <w:p w14:paraId="2BC30004">
            <w:pPr>
              <w:jc w:val="center"/>
              <w:rPr>
                <w:rFonts w:ascii="宋体" w:hAnsi="宋体"/>
                <w:color w:val="auto"/>
                <w:sz w:val="22"/>
                <w:szCs w:val="22"/>
                <w:highlight w:val="none"/>
              </w:rPr>
            </w:pPr>
            <w:r>
              <w:rPr>
                <w:rFonts w:ascii="宋体" w:hAnsi="宋体"/>
                <w:color w:val="auto"/>
                <w:sz w:val="22"/>
                <w:szCs w:val="22"/>
                <w:highlight w:val="none"/>
              </w:rPr>
              <w:t>（</w:t>
            </w:r>
            <w:r>
              <w:rPr>
                <w:rFonts w:hint="eastAsia" w:ascii="宋体" w:hAnsi="宋体"/>
                <w:color w:val="auto"/>
                <w:sz w:val="22"/>
                <w:szCs w:val="22"/>
                <w:highlight w:val="none"/>
              </w:rPr>
              <w:t>检测报告/认证证书/资质证书/业绩证明/人员证书/荣誉证书/知识产权证明/其他</w:t>
            </w:r>
            <w:r>
              <w:rPr>
                <w:rFonts w:ascii="宋体" w:hAnsi="宋体"/>
                <w:color w:val="auto"/>
                <w:sz w:val="22"/>
                <w:szCs w:val="22"/>
                <w:highlight w:val="none"/>
              </w:rPr>
              <w:t>）</w:t>
            </w:r>
          </w:p>
        </w:tc>
        <w:tc>
          <w:tcPr>
            <w:tcW w:w="1418" w:type="dxa"/>
            <w:shd w:val="clear" w:color="auto" w:fill="FFFFFF"/>
            <w:tcMar>
              <w:top w:w="90" w:type="dxa"/>
              <w:left w:w="195" w:type="dxa"/>
              <w:bottom w:w="90" w:type="dxa"/>
              <w:right w:w="195" w:type="dxa"/>
            </w:tcMar>
            <w:vAlign w:val="center"/>
          </w:tcPr>
          <w:p w14:paraId="72E45E62">
            <w:pPr>
              <w:jc w:val="center"/>
              <w:rPr>
                <w:rFonts w:ascii="宋体" w:hAnsi="宋体"/>
                <w:color w:val="auto"/>
                <w:sz w:val="22"/>
                <w:szCs w:val="22"/>
                <w:highlight w:val="none"/>
              </w:rPr>
            </w:pPr>
            <w:r>
              <w:rPr>
                <w:rFonts w:ascii="宋体" w:hAnsi="宋体"/>
                <w:color w:val="auto"/>
                <w:sz w:val="22"/>
                <w:szCs w:val="22"/>
                <w:highlight w:val="none"/>
              </w:rPr>
              <w:t>有效期限</w:t>
            </w:r>
          </w:p>
          <w:p w14:paraId="3E05DA00">
            <w:pPr>
              <w:jc w:val="center"/>
              <w:rPr>
                <w:rFonts w:ascii="宋体" w:hAnsi="宋体"/>
                <w:color w:val="auto"/>
                <w:sz w:val="22"/>
                <w:szCs w:val="22"/>
                <w:highlight w:val="none"/>
              </w:rPr>
            </w:pPr>
            <w:r>
              <w:rPr>
                <w:rFonts w:ascii="宋体" w:hAnsi="宋体"/>
                <w:color w:val="auto"/>
                <w:sz w:val="22"/>
                <w:szCs w:val="22"/>
                <w:highlight w:val="none"/>
              </w:rPr>
              <w:t>（如无或长期有效请注明）</w:t>
            </w:r>
          </w:p>
        </w:tc>
        <w:tc>
          <w:tcPr>
            <w:tcW w:w="1385" w:type="dxa"/>
            <w:shd w:val="clear" w:color="auto" w:fill="FFFFFF"/>
            <w:tcMar>
              <w:top w:w="90" w:type="dxa"/>
              <w:left w:w="195" w:type="dxa"/>
              <w:bottom w:w="90" w:type="dxa"/>
              <w:right w:w="195" w:type="dxa"/>
            </w:tcMar>
            <w:vAlign w:val="center"/>
          </w:tcPr>
          <w:p w14:paraId="01890A58">
            <w:pPr>
              <w:jc w:val="center"/>
              <w:rPr>
                <w:rFonts w:ascii="宋体" w:hAnsi="宋体"/>
                <w:color w:val="auto"/>
                <w:sz w:val="22"/>
                <w:szCs w:val="22"/>
                <w:highlight w:val="none"/>
              </w:rPr>
            </w:pPr>
            <w:r>
              <w:rPr>
                <w:rFonts w:ascii="宋体" w:hAnsi="宋体"/>
                <w:color w:val="auto"/>
                <w:sz w:val="22"/>
                <w:szCs w:val="22"/>
                <w:highlight w:val="none"/>
              </w:rPr>
              <w:t>材料是否在有效期内</w:t>
            </w:r>
          </w:p>
          <w:p w14:paraId="015E8B5E">
            <w:pPr>
              <w:jc w:val="center"/>
              <w:rPr>
                <w:rFonts w:ascii="宋体" w:hAnsi="宋体"/>
                <w:color w:val="auto"/>
                <w:sz w:val="22"/>
                <w:szCs w:val="22"/>
                <w:highlight w:val="none"/>
              </w:rPr>
            </w:pPr>
            <w:r>
              <w:rPr>
                <w:rFonts w:ascii="宋体" w:hAnsi="宋体"/>
                <w:color w:val="auto"/>
                <w:sz w:val="22"/>
                <w:szCs w:val="22"/>
                <w:highlight w:val="none"/>
              </w:rPr>
              <w:t>（是/否）</w:t>
            </w:r>
          </w:p>
        </w:tc>
        <w:tc>
          <w:tcPr>
            <w:tcW w:w="1166" w:type="dxa"/>
            <w:shd w:val="clear" w:color="auto" w:fill="FFFFFF"/>
            <w:tcMar>
              <w:top w:w="90" w:type="dxa"/>
              <w:left w:w="195" w:type="dxa"/>
              <w:bottom w:w="90" w:type="dxa"/>
              <w:right w:w="195" w:type="dxa"/>
            </w:tcMar>
            <w:vAlign w:val="center"/>
          </w:tcPr>
          <w:p w14:paraId="23154DDF">
            <w:pPr>
              <w:jc w:val="center"/>
              <w:rPr>
                <w:rFonts w:ascii="宋体" w:hAnsi="宋体"/>
                <w:color w:val="auto"/>
                <w:sz w:val="22"/>
                <w:szCs w:val="22"/>
                <w:highlight w:val="none"/>
              </w:rPr>
            </w:pPr>
            <w:r>
              <w:rPr>
                <w:rFonts w:ascii="宋体" w:hAnsi="宋体"/>
                <w:color w:val="auto"/>
                <w:sz w:val="22"/>
                <w:szCs w:val="22"/>
                <w:highlight w:val="none"/>
              </w:rPr>
              <w:t>查询网址/验证方式</w:t>
            </w:r>
          </w:p>
        </w:tc>
        <w:tc>
          <w:tcPr>
            <w:tcW w:w="851" w:type="dxa"/>
            <w:shd w:val="clear" w:color="auto" w:fill="FFFFFF"/>
            <w:vAlign w:val="center"/>
          </w:tcPr>
          <w:p w14:paraId="0359363F">
            <w:pPr>
              <w:jc w:val="center"/>
              <w:rPr>
                <w:rFonts w:ascii="宋体" w:hAnsi="宋体"/>
                <w:color w:val="auto"/>
                <w:sz w:val="22"/>
                <w:szCs w:val="22"/>
                <w:highlight w:val="none"/>
              </w:rPr>
            </w:pPr>
            <w:r>
              <w:rPr>
                <w:rFonts w:ascii="宋体" w:hAnsi="宋体"/>
                <w:color w:val="auto"/>
                <w:sz w:val="22"/>
                <w:szCs w:val="22"/>
                <w:highlight w:val="none"/>
              </w:rPr>
              <w:t>是否为完整文件（是/否）</w:t>
            </w:r>
          </w:p>
        </w:tc>
        <w:tc>
          <w:tcPr>
            <w:tcW w:w="1275" w:type="dxa"/>
            <w:shd w:val="clear" w:color="auto" w:fill="FFFFFF"/>
            <w:tcMar>
              <w:top w:w="90" w:type="dxa"/>
              <w:left w:w="195" w:type="dxa"/>
              <w:bottom w:w="90" w:type="dxa"/>
              <w:right w:w="195" w:type="dxa"/>
            </w:tcMar>
            <w:vAlign w:val="center"/>
          </w:tcPr>
          <w:p w14:paraId="1082CBFE">
            <w:pPr>
              <w:jc w:val="center"/>
              <w:rPr>
                <w:rFonts w:ascii="宋体" w:hAnsi="宋体"/>
                <w:color w:val="auto"/>
                <w:sz w:val="22"/>
                <w:szCs w:val="22"/>
                <w:highlight w:val="none"/>
              </w:rPr>
            </w:pPr>
            <w:r>
              <w:rPr>
                <w:rFonts w:ascii="宋体" w:hAnsi="宋体"/>
                <w:color w:val="auto"/>
                <w:sz w:val="22"/>
                <w:szCs w:val="22"/>
                <w:highlight w:val="none"/>
              </w:rPr>
              <w:t>备注</w:t>
            </w:r>
          </w:p>
        </w:tc>
      </w:tr>
      <w:tr w14:paraId="2C0E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04B8F7D9">
            <w:pPr>
              <w:jc w:val="center"/>
              <w:rPr>
                <w:rFonts w:ascii="宋体" w:hAnsi="宋体"/>
                <w:color w:val="auto"/>
                <w:sz w:val="22"/>
                <w:szCs w:val="22"/>
                <w:highlight w:val="none"/>
              </w:rPr>
            </w:pPr>
            <w:r>
              <w:rPr>
                <w:rFonts w:ascii="宋体" w:hAnsi="宋体"/>
                <w:color w:val="auto"/>
                <w:sz w:val="22"/>
                <w:szCs w:val="22"/>
                <w:highlight w:val="none"/>
              </w:rPr>
              <w:t>1</w:t>
            </w:r>
          </w:p>
        </w:tc>
        <w:tc>
          <w:tcPr>
            <w:tcW w:w="1701" w:type="dxa"/>
            <w:shd w:val="clear" w:color="auto" w:fill="FFFFFF"/>
            <w:tcMar>
              <w:top w:w="90" w:type="dxa"/>
              <w:left w:w="195" w:type="dxa"/>
              <w:bottom w:w="90" w:type="dxa"/>
              <w:right w:w="195" w:type="dxa"/>
            </w:tcMar>
            <w:vAlign w:val="center"/>
          </w:tcPr>
          <w:p w14:paraId="4708F179">
            <w:pPr>
              <w:jc w:val="center"/>
              <w:rPr>
                <w:rFonts w:ascii="宋体" w:hAnsi="宋体"/>
                <w:color w:val="auto"/>
                <w:sz w:val="22"/>
                <w:szCs w:val="22"/>
                <w:highlight w:val="none"/>
              </w:rPr>
            </w:pPr>
            <w:r>
              <w:rPr>
                <w:rFonts w:ascii="宋体" w:hAnsi="宋体"/>
                <w:b/>
                <w:bCs/>
                <w:color w:val="auto"/>
                <w:sz w:val="22"/>
                <w:szCs w:val="22"/>
                <w:highlight w:val="none"/>
              </w:rPr>
              <w:t>例如：XXX产品检测报告 No. 12345</w:t>
            </w:r>
          </w:p>
        </w:tc>
        <w:tc>
          <w:tcPr>
            <w:tcW w:w="1882" w:type="dxa"/>
            <w:shd w:val="clear" w:color="auto" w:fill="FFFFFF"/>
            <w:tcMar>
              <w:top w:w="90" w:type="dxa"/>
              <w:left w:w="195" w:type="dxa"/>
              <w:bottom w:w="90" w:type="dxa"/>
              <w:right w:w="195" w:type="dxa"/>
            </w:tcMar>
            <w:vAlign w:val="center"/>
          </w:tcPr>
          <w:p w14:paraId="3D24828A">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3CB0C68B">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64BD973D">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585FE9B5">
            <w:pPr>
              <w:jc w:val="center"/>
              <w:rPr>
                <w:rFonts w:ascii="宋体" w:hAnsi="宋体"/>
                <w:color w:val="auto"/>
                <w:sz w:val="22"/>
                <w:szCs w:val="22"/>
                <w:highlight w:val="none"/>
              </w:rPr>
            </w:pPr>
          </w:p>
        </w:tc>
        <w:tc>
          <w:tcPr>
            <w:tcW w:w="851" w:type="dxa"/>
            <w:shd w:val="clear" w:color="auto" w:fill="FFFFFF"/>
          </w:tcPr>
          <w:p w14:paraId="7295A9D4">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72A12B7D">
            <w:pPr>
              <w:jc w:val="center"/>
              <w:rPr>
                <w:rFonts w:ascii="宋体" w:hAnsi="宋体"/>
                <w:color w:val="auto"/>
                <w:sz w:val="22"/>
                <w:szCs w:val="22"/>
                <w:highlight w:val="none"/>
              </w:rPr>
            </w:pPr>
            <w:r>
              <w:rPr>
                <w:rFonts w:hint="eastAsia" w:ascii="宋体" w:hAnsi="宋体"/>
                <w:color w:val="auto"/>
                <w:sz w:val="22"/>
                <w:szCs w:val="22"/>
                <w:highlight w:val="none"/>
              </w:rPr>
              <w:t>例如：仅提供部分页，或特殊说明</w:t>
            </w:r>
          </w:p>
        </w:tc>
      </w:tr>
      <w:tr w14:paraId="27D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3CFF130F">
            <w:pPr>
              <w:jc w:val="center"/>
              <w:rPr>
                <w:rFonts w:ascii="宋体" w:hAnsi="宋体"/>
                <w:color w:val="auto"/>
                <w:sz w:val="22"/>
                <w:szCs w:val="22"/>
                <w:highlight w:val="none"/>
              </w:rPr>
            </w:pPr>
            <w:r>
              <w:rPr>
                <w:rFonts w:ascii="宋体" w:hAnsi="宋体"/>
                <w:color w:val="auto"/>
                <w:sz w:val="22"/>
                <w:szCs w:val="22"/>
                <w:highlight w:val="none"/>
              </w:rPr>
              <w:t>2</w:t>
            </w:r>
          </w:p>
        </w:tc>
        <w:tc>
          <w:tcPr>
            <w:tcW w:w="1701" w:type="dxa"/>
            <w:shd w:val="clear" w:color="auto" w:fill="FFFFFF"/>
            <w:tcMar>
              <w:top w:w="90" w:type="dxa"/>
              <w:left w:w="195" w:type="dxa"/>
              <w:bottom w:w="90" w:type="dxa"/>
              <w:right w:w="195" w:type="dxa"/>
            </w:tcMar>
            <w:vAlign w:val="center"/>
          </w:tcPr>
          <w:p w14:paraId="208B0204">
            <w:pPr>
              <w:jc w:val="center"/>
              <w:rPr>
                <w:rFonts w:ascii="宋体" w:hAnsi="宋体"/>
                <w:color w:val="auto"/>
                <w:sz w:val="22"/>
                <w:szCs w:val="22"/>
                <w:highlight w:val="none"/>
              </w:rPr>
            </w:pPr>
          </w:p>
        </w:tc>
        <w:tc>
          <w:tcPr>
            <w:tcW w:w="1882" w:type="dxa"/>
            <w:shd w:val="clear" w:color="auto" w:fill="FFFFFF"/>
            <w:tcMar>
              <w:top w:w="90" w:type="dxa"/>
              <w:left w:w="195" w:type="dxa"/>
              <w:bottom w:w="90" w:type="dxa"/>
              <w:right w:w="195" w:type="dxa"/>
            </w:tcMar>
            <w:vAlign w:val="center"/>
          </w:tcPr>
          <w:p w14:paraId="0FD90595">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13B7EC77">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11F741B6">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55A0AA99">
            <w:pPr>
              <w:jc w:val="center"/>
              <w:rPr>
                <w:rFonts w:ascii="宋体" w:hAnsi="宋体"/>
                <w:color w:val="auto"/>
                <w:sz w:val="22"/>
                <w:szCs w:val="22"/>
                <w:highlight w:val="none"/>
              </w:rPr>
            </w:pPr>
          </w:p>
        </w:tc>
        <w:tc>
          <w:tcPr>
            <w:tcW w:w="851" w:type="dxa"/>
            <w:shd w:val="clear" w:color="auto" w:fill="FFFFFF"/>
          </w:tcPr>
          <w:p w14:paraId="0FBD945D">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76F17306">
            <w:pPr>
              <w:jc w:val="center"/>
              <w:rPr>
                <w:rFonts w:ascii="宋体" w:hAnsi="宋体"/>
                <w:color w:val="auto"/>
                <w:sz w:val="22"/>
                <w:szCs w:val="22"/>
                <w:highlight w:val="none"/>
              </w:rPr>
            </w:pPr>
          </w:p>
        </w:tc>
      </w:tr>
      <w:tr w14:paraId="1877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6DC70863">
            <w:pPr>
              <w:jc w:val="center"/>
              <w:rPr>
                <w:rFonts w:ascii="宋体" w:hAnsi="宋体"/>
                <w:color w:val="auto"/>
                <w:sz w:val="22"/>
                <w:szCs w:val="22"/>
                <w:highlight w:val="none"/>
              </w:rPr>
            </w:pPr>
            <w:r>
              <w:rPr>
                <w:rFonts w:ascii="宋体" w:hAnsi="宋体"/>
                <w:color w:val="auto"/>
                <w:sz w:val="22"/>
                <w:szCs w:val="22"/>
                <w:highlight w:val="none"/>
              </w:rPr>
              <w:t>3</w:t>
            </w:r>
          </w:p>
        </w:tc>
        <w:tc>
          <w:tcPr>
            <w:tcW w:w="1701" w:type="dxa"/>
            <w:shd w:val="clear" w:color="auto" w:fill="FFFFFF"/>
            <w:tcMar>
              <w:top w:w="90" w:type="dxa"/>
              <w:left w:w="195" w:type="dxa"/>
              <w:bottom w:w="90" w:type="dxa"/>
              <w:right w:w="195" w:type="dxa"/>
            </w:tcMar>
            <w:vAlign w:val="center"/>
          </w:tcPr>
          <w:p w14:paraId="0799A79E">
            <w:pPr>
              <w:jc w:val="center"/>
              <w:rPr>
                <w:rFonts w:ascii="宋体" w:hAnsi="宋体"/>
                <w:color w:val="auto"/>
                <w:sz w:val="22"/>
                <w:szCs w:val="22"/>
                <w:highlight w:val="none"/>
              </w:rPr>
            </w:pPr>
          </w:p>
        </w:tc>
        <w:tc>
          <w:tcPr>
            <w:tcW w:w="1882" w:type="dxa"/>
            <w:shd w:val="clear" w:color="auto" w:fill="FFFFFF"/>
            <w:tcMar>
              <w:top w:w="90" w:type="dxa"/>
              <w:left w:w="195" w:type="dxa"/>
              <w:bottom w:w="90" w:type="dxa"/>
              <w:right w:w="195" w:type="dxa"/>
            </w:tcMar>
            <w:vAlign w:val="center"/>
          </w:tcPr>
          <w:p w14:paraId="2CC0105F">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5F40DA49">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56031130">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4EB74324">
            <w:pPr>
              <w:jc w:val="center"/>
              <w:rPr>
                <w:rFonts w:ascii="宋体" w:hAnsi="宋体"/>
                <w:color w:val="auto"/>
                <w:sz w:val="22"/>
                <w:szCs w:val="22"/>
                <w:highlight w:val="none"/>
              </w:rPr>
            </w:pPr>
          </w:p>
        </w:tc>
        <w:tc>
          <w:tcPr>
            <w:tcW w:w="851" w:type="dxa"/>
            <w:shd w:val="clear" w:color="auto" w:fill="FFFFFF"/>
          </w:tcPr>
          <w:p w14:paraId="67979AB6">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3E1721C4">
            <w:pPr>
              <w:jc w:val="center"/>
              <w:rPr>
                <w:rFonts w:ascii="宋体" w:hAnsi="宋体"/>
                <w:color w:val="auto"/>
                <w:sz w:val="22"/>
                <w:szCs w:val="22"/>
                <w:highlight w:val="none"/>
              </w:rPr>
            </w:pPr>
          </w:p>
        </w:tc>
      </w:tr>
      <w:tr w14:paraId="6B1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5" w:hRule="atLeast"/>
          <w:jc w:val="center"/>
        </w:trPr>
        <w:tc>
          <w:tcPr>
            <w:tcW w:w="562" w:type="dxa"/>
            <w:shd w:val="clear" w:color="auto" w:fill="FFFFFF"/>
            <w:tcMar>
              <w:top w:w="90" w:type="dxa"/>
              <w:left w:w="195" w:type="dxa"/>
              <w:bottom w:w="90" w:type="dxa"/>
              <w:right w:w="195" w:type="dxa"/>
            </w:tcMar>
          </w:tcPr>
          <w:p w14:paraId="665120A6">
            <w:pPr>
              <w:jc w:val="center"/>
              <w:rPr>
                <w:rFonts w:ascii="宋体" w:hAnsi="宋体"/>
                <w:color w:val="auto"/>
                <w:sz w:val="22"/>
                <w:szCs w:val="22"/>
                <w:highlight w:val="none"/>
              </w:rPr>
            </w:pPr>
            <w:r>
              <w:rPr>
                <w:rFonts w:ascii="宋体" w:hAnsi="宋体"/>
                <w:color w:val="auto"/>
                <w:highlight w:val="none"/>
              </w:rPr>
              <w:t>…</w:t>
            </w:r>
          </w:p>
        </w:tc>
        <w:tc>
          <w:tcPr>
            <w:tcW w:w="1701" w:type="dxa"/>
            <w:shd w:val="clear" w:color="auto" w:fill="FFFFFF"/>
            <w:tcMar>
              <w:top w:w="90" w:type="dxa"/>
              <w:left w:w="195" w:type="dxa"/>
              <w:bottom w:w="90" w:type="dxa"/>
              <w:right w:w="195" w:type="dxa"/>
            </w:tcMar>
          </w:tcPr>
          <w:p w14:paraId="515E5B7E">
            <w:pPr>
              <w:jc w:val="center"/>
              <w:rPr>
                <w:rFonts w:ascii="宋体" w:hAnsi="宋体"/>
                <w:color w:val="auto"/>
                <w:sz w:val="22"/>
                <w:szCs w:val="22"/>
                <w:highlight w:val="none"/>
              </w:rPr>
            </w:pPr>
            <w:r>
              <w:rPr>
                <w:rFonts w:ascii="宋体" w:hAnsi="宋体"/>
                <w:color w:val="auto"/>
                <w:highlight w:val="none"/>
              </w:rPr>
              <w:t>请根据实际情况添加更多行</w:t>
            </w:r>
          </w:p>
        </w:tc>
        <w:tc>
          <w:tcPr>
            <w:tcW w:w="1882" w:type="dxa"/>
            <w:shd w:val="clear" w:color="auto" w:fill="FFFFFF"/>
            <w:tcMar>
              <w:top w:w="90" w:type="dxa"/>
              <w:left w:w="195" w:type="dxa"/>
              <w:bottom w:w="90" w:type="dxa"/>
              <w:right w:w="195" w:type="dxa"/>
            </w:tcMar>
            <w:vAlign w:val="center"/>
          </w:tcPr>
          <w:p w14:paraId="2BE8CCC9">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1D0516F6">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674E89F8">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4B0FEE8C">
            <w:pPr>
              <w:jc w:val="center"/>
              <w:rPr>
                <w:rFonts w:ascii="宋体" w:hAnsi="宋体"/>
                <w:color w:val="auto"/>
                <w:sz w:val="22"/>
                <w:szCs w:val="22"/>
                <w:highlight w:val="none"/>
              </w:rPr>
            </w:pPr>
          </w:p>
        </w:tc>
        <w:tc>
          <w:tcPr>
            <w:tcW w:w="851" w:type="dxa"/>
            <w:shd w:val="clear" w:color="auto" w:fill="FFFFFF"/>
          </w:tcPr>
          <w:p w14:paraId="3D3F4993">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3FF668A4">
            <w:pPr>
              <w:jc w:val="center"/>
              <w:rPr>
                <w:rFonts w:ascii="宋体" w:hAnsi="宋体"/>
                <w:color w:val="auto"/>
                <w:sz w:val="22"/>
                <w:szCs w:val="22"/>
                <w:highlight w:val="none"/>
              </w:rPr>
            </w:pPr>
          </w:p>
        </w:tc>
      </w:tr>
    </w:tbl>
    <w:p w14:paraId="3ED5D60E">
      <w:pPr>
        <w:pStyle w:val="29"/>
        <w:spacing w:line="440" w:lineRule="exact"/>
        <w:rPr>
          <w:rFonts w:ascii="宋体" w:hAnsi="宋体" w:eastAsia="宋体" w:cs="Courier New"/>
          <w:color w:val="auto"/>
          <w:sz w:val="22"/>
          <w:szCs w:val="22"/>
          <w:highlight w:val="none"/>
        </w:rPr>
      </w:pPr>
      <w:bookmarkStart w:id="43" w:name="_Hlk197441796"/>
      <w:r>
        <w:rPr>
          <w:rFonts w:hint="eastAsia" w:ascii="宋体" w:hAnsi="宋体" w:eastAsia="宋体" w:cs="Courier New"/>
          <w:b/>
          <w:bCs/>
          <w:color w:val="auto"/>
          <w:sz w:val="22"/>
          <w:szCs w:val="22"/>
          <w:highlight w:val="none"/>
        </w:rPr>
        <w:t>说明：</w:t>
      </w:r>
      <w:r>
        <w:rPr>
          <w:rFonts w:ascii="宋体" w:hAnsi="宋体" w:eastAsia="宋体" w:cs="Courier New"/>
          <w:color w:val="auto"/>
          <w:sz w:val="22"/>
          <w:szCs w:val="22"/>
          <w:highlight w:val="none"/>
        </w:rPr>
        <w:t>投标人必须如实填写本表。凡在投标文件中作为依据或支撑材料提交的，</w:t>
      </w:r>
      <w:r>
        <w:rPr>
          <w:rFonts w:hint="eastAsia" w:ascii="宋体" w:hAnsi="宋体" w:eastAsia="宋体" w:cs="Courier New"/>
          <w:color w:val="auto"/>
          <w:sz w:val="22"/>
          <w:szCs w:val="22"/>
          <w:highlight w:val="none"/>
          <w:lang w:val="en-US" w:eastAsia="zh-CN"/>
        </w:rPr>
        <w:t>均须按此表内容</w:t>
      </w:r>
      <w:r>
        <w:rPr>
          <w:rFonts w:ascii="宋体" w:hAnsi="宋体" w:eastAsia="宋体" w:cs="Courier New"/>
          <w:color w:val="auto"/>
          <w:sz w:val="22"/>
          <w:szCs w:val="22"/>
          <w:highlight w:val="none"/>
        </w:rPr>
        <w:t>详细列明。凡未在本清单中列明的证明类文件，在</w:t>
      </w:r>
      <w:r>
        <w:rPr>
          <w:rFonts w:hint="eastAsia" w:ascii="宋体" w:hAnsi="宋体" w:eastAsia="宋体" w:cs="Courier New"/>
          <w:color w:val="auto"/>
          <w:sz w:val="22"/>
          <w:szCs w:val="22"/>
          <w:highlight w:val="none"/>
        </w:rPr>
        <w:t>评标</w:t>
      </w:r>
      <w:r>
        <w:rPr>
          <w:rFonts w:ascii="宋体" w:hAnsi="宋体" w:eastAsia="宋体" w:cs="Courier New"/>
          <w:color w:val="auto"/>
          <w:sz w:val="22"/>
          <w:szCs w:val="22"/>
          <w:highlight w:val="none"/>
        </w:rPr>
        <w:t>时可能不被采信或不作为评审/得分依据，由此产生的一切后果由投标人自行承担。</w:t>
      </w:r>
    </w:p>
    <w:p w14:paraId="2C81B160">
      <w:pPr>
        <w:rPr>
          <w:rFonts w:ascii="宋体" w:hAnsi="宋体"/>
          <w:color w:val="auto"/>
          <w:highlight w:val="none"/>
        </w:rPr>
      </w:pPr>
    </w:p>
    <w:bookmarkEnd w:id="43"/>
    <w:p w14:paraId="0A0FB973">
      <w:pPr>
        <w:tabs>
          <w:tab w:val="left" w:pos="840"/>
        </w:tabs>
        <w:adjustRightInd w:val="0"/>
        <w:snapToGrid w:val="0"/>
        <w:spacing w:line="360" w:lineRule="auto"/>
        <w:ind w:left="420" w:leftChars="200" w:firstLine="330" w:firstLineChars="150"/>
        <w:rPr>
          <w:rFonts w:ascii="宋体" w:hAnsi="宋体"/>
          <w:color w:val="auto"/>
          <w:sz w:val="22"/>
          <w:szCs w:val="22"/>
          <w:highlight w:val="none"/>
        </w:rPr>
      </w:pPr>
      <w:r>
        <w:rPr>
          <w:rFonts w:hint="eastAsia" w:ascii="宋体" w:hAnsi="宋体"/>
          <w:color w:val="auto"/>
          <w:sz w:val="22"/>
          <w:szCs w:val="22"/>
          <w:highlight w:val="none"/>
        </w:rPr>
        <w:t>投标人全称（盖公章）：</w:t>
      </w:r>
    </w:p>
    <w:p w14:paraId="09C87D5B">
      <w:pPr>
        <w:ind w:firstLine="880" w:firstLineChars="400"/>
        <w:rPr>
          <w:rFonts w:hint="eastAsia" w:ascii="宋体" w:hAnsi="宋体" w:cs="宋体"/>
          <w:b/>
          <w:bCs/>
          <w:color w:val="auto"/>
          <w:sz w:val="28"/>
          <w:szCs w:val="28"/>
          <w:highlight w:val="none"/>
        </w:rPr>
      </w:pPr>
      <w:r>
        <w:rPr>
          <w:rFonts w:hint="eastAsia" w:ascii="宋体" w:hAnsi="宋体"/>
          <w:color w:val="auto"/>
          <w:sz w:val="22"/>
          <w:szCs w:val="22"/>
          <w:highlight w:val="none"/>
        </w:rPr>
        <w:t>日 期：  年  月  日</w:t>
      </w:r>
    </w:p>
    <w:p w14:paraId="1E6C4172">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5A451E1">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zh-CN"/>
        </w:rPr>
        <w:t>偏离表（</w:t>
      </w:r>
      <w:r>
        <w:rPr>
          <w:rFonts w:hint="eastAsia" w:ascii="宋体" w:hAnsi="宋体" w:cs="宋体"/>
          <w:b/>
          <w:bCs/>
          <w:color w:val="auto"/>
          <w:sz w:val="28"/>
          <w:szCs w:val="28"/>
          <w:highlight w:val="none"/>
        </w:rPr>
        <w:t>商务、技术偏离</w:t>
      </w:r>
      <w:r>
        <w:rPr>
          <w:rFonts w:hint="eastAsia" w:ascii="宋体" w:hAnsi="宋体" w:cs="宋体"/>
          <w:b/>
          <w:bCs/>
          <w:color w:val="auto"/>
          <w:sz w:val="28"/>
          <w:szCs w:val="28"/>
          <w:highlight w:val="none"/>
          <w:lang w:val="zh-CN"/>
        </w:rPr>
        <w:t>）</w:t>
      </w:r>
    </w:p>
    <w:p w14:paraId="62517F3A">
      <w:pPr>
        <w:spacing w:line="360" w:lineRule="auto"/>
        <w:rPr>
          <w:rFonts w:ascii="宋体" w:hAnsi="宋体" w:cs="宋体"/>
          <w:color w:val="auto"/>
          <w:sz w:val="22"/>
          <w:szCs w:val="22"/>
          <w:highlight w:val="none"/>
        </w:rPr>
      </w:pPr>
    </w:p>
    <w:p w14:paraId="68E9B6E7">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57A51547">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562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38A532DD">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  号</w:t>
            </w:r>
          </w:p>
        </w:tc>
        <w:tc>
          <w:tcPr>
            <w:tcW w:w="3687" w:type="dxa"/>
            <w:shd w:val="clear" w:color="auto" w:fill="FFFFFF"/>
            <w:vAlign w:val="center"/>
          </w:tcPr>
          <w:p w14:paraId="2B676E37">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招标文件</w:t>
            </w:r>
          </w:p>
          <w:p w14:paraId="09498572">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规格要求</w:t>
            </w:r>
          </w:p>
        </w:tc>
        <w:tc>
          <w:tcPr>
            <w:tcW w:w="3402" w:type="dxa"/>
            <w:shd w:val="clear" w:color="auto" w:fill="FFFFFF"/>
            <w:vAlign w:val="center"/>
          </w:tcPr>
          <w:p w14:paraId="4FAE8AA0">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投标文件</w:t>
            </w:r>
          </w:p>
          <w:p w14:paraId="67740A7D">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对应规格</w:t>
            </w:r>
          </w:p>
        </w:tc>
        <w:tc>
          <w:tcPr>
            <w:tcW w:w="1580" w:type="dxa"/>
            <w:shd w:val="clear" w:color="auto" w:fill="FFFFFF"/>
            <w:vAlign w:val="center"/>
          </w:tcPr>
          <w:p w14:paraId="08EC8BF5">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说   明</w:t>
            </w:r>
          </w:p>
        </w:tc>
      </w:tr>
      <w:tr w14:paraId="42EC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3328C033">
            <w:pPr>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478060B4">
            <w:pPr>
              <w:jc w:val="center"/>
              <w:rPr>
                <w:rFonts w:ascii="宋体" w:hAnsi="宋体" w:cs="宋体"/>
                <w:color w:val="auto"/>
                <w:sz w:val="22"/>
                <w:szCs w:val="22"/>
                <w:highlight w:val="none"/>
              </w:rPr>
            </w:pPr>
          </w:p>
        </w:tc>
        <w:tc>
          <w:tcPr>
            <w:tcW w:w="3402" w:type="dxa"/>
            <w:vAlign w:val="center"/>
          </w:tcPr>
          <w:p w14:paraId="02CD3346">
            <w:pPr>
              <w:jc w:val="center"/>
              <w:rPr>
                <w:rFonts w:ascii="宋体" w:hAnsi="宋体" w:cs="宋体"/>
                <w:color w:val="auto"/>
                <w:sz w:val="22"/>
                <w:szCs w:val="22"/>
                <w:highlight w:val="none"/>
              </w:rPr>
            </w:pPr>
          </w:p>
        </w:tc>
        <w:tc>
          <w:tcPr>
            <w:tcW w:w="1580" w:type="dxa"/>
            <w:vAlign w:val="center"/>
          </w:tcPr>
          <w:p w14:paraId="14B3408C">
            <w:pPr>
              <w:jc w:val="center"/>
              <w:rPr>
                <w:rFonts w:ascii="宋体" w:hAnsi="宋体" w:cs="宋体"/>
                <w:color w:val="auto"/>
                <w:sz w:val="22"/>
                <w:szCs w:val="22"/>
                <w:highlight w:val="none"/>
              </w:rPr>
            </w:pPr>
          </w:p>
        </w:tc>
      </w:tr>
      <w:tr w14:paraId="768B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F453E82">
            <w:pPr>
              <w:jc w:val="center"/>
              <w:rPr>
                <w:rFonts w:ascii="宋体" w:hAnsi="宋体" w:cs="宋体"/>
                <w:color w:val="auto"/>
                <w:sz w:val="22"/>
                <w:szCs w:val="22"/>
                <w:highlight w:val="none"/>
              </w:rPr>
            </w:pPr>
          </w:p>
        </w:tc>
        <w:tc>
          <w:tcPr>
            <w:tcW w:w="3687" w:type="dxa"/>
            <w:vAlign w:val="center"/>
          </w:tcPr>
          <w:p w14:paraId="2BABDF3B">
            <w:pPr>
              <w:jc w:val="center"/>
              <w:rPr>
                <w:rFonts w:ascii="宋体" w:hAnsi="宋体" w:cs="宋体"/>
                <w:color w:val="auto"/>
                <w:sz w:val="22"/>
                <w:szCs w:val="22"/>
                <w:highlight w:val="none"/>
              </w:rPr>
            </w:pPr>
          </w:p>
        </w:tc>
        <w:tc>
          <w:tcPr>
            <w:tcW w:w="3402" w:type="dxa"/>
            <w:vAlign w:val="center"/>
          </w:tcPr>
          <w:p w14:paraId="0DF49A52">
            <w:pPr>
              <w:jc w:val="center"/>
              <w:rPr>
                <w:rFonts w:ascii="宋体" w:hAnsi="宋体" w:cs="宋体"/>
                <w:color w:val="auto"/>
                <w:sz w:val="22"/>
                <w:szCs w:val="22"/>
                <w:highlight w:val="none"/>
              </w:rPr>
            </w:pPr>
          </w:p>
        </w:tc>
        <w:tc>
          <w:tcPr>
            <w:tcW w:w="1580" w:type="dxa"/>
            <w:vAlign w:val="center"/>
          </w:tcPr>
          <w:p w14:paraId="37E4D9BF">
            <w:pPr>
              <w:jc w:val="center"/>
              <w:rPr>
                <w:rFonts w:ascii="宋体" w:hAnsi="宋体" w:cs="宋体"/>
                <w:color w:val="auto"/>
                <w:sz w:val="22"/>
                <w:szCs w:val="22"/>
                <w:highlight w:val="none"/>
              </w:rPr>
            </w:pPr>
          </w:p>
        </w:tc>
      </w:tr>
      <w:tr w14:paraId="1197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CEDEFDC">
            <w:pPr>
              <w:jc w:val="center"/>
              <w:rPr>
                <w:rFonts w:ascii="宋体" w:hAnsi="宋体" w:cs="宋体"/>
                <w:color w:val="auto"/>
                <w:sz w:val="22"/>
                <w:szCs w:val="22"/>
                <w:highlight w:val="none"/>
              </w:rPr>
            </w:pPr>
          </w:p>
        </w:tc>
        <w:tc>
          <w:tcPr>
            <w:tcW w:w="3687" w:type="dxa"/>
            <w:vAlign w:val="center"/>
          </w:tcPr>
          <w:p w14:paraId="2042939A">
            <w:pPr>
              <w:jc w:val="center"/>
              <w:rPr>
                <w:rFonts w:ascii="宋体" w:hAnsi="宋体" w:cs="宋体"/>
                <w:color w:val="auto"/>
                <w:sz w:val="22"/>
                <w:szCs w:val="22"/>
                <w:highlight w:val="none"/>
              </w:rPr>
            </w:pPr>
          </w:p>
        </w:tc>
        <w:tc>
          <w:tcPr>
            <w:tcW w:w="3402" w:type="dxa"/>
            <w:vAlign w:val="center"/>
          </w:tcPr>
          <w:p w14:paraId="69AF8F59">
            <w:pPr>
              <w:jc w:val="center"/>
              <w:rPr>
                <w:rFonts w:ascii="宋体" w:hAnsi="宋体" w:cs="宋体"/>
                <w:color w:val="auto"/>
                <w:sz w:val="22"/>
                <w:szCs w:val="22"/>
                <w:highlight w:val="none"/>
              </w:rPr>
            </w:pPr>
          </w:p>
        </w:tc>
        <w:tc>
          <w:tcPr>
            <w:tcW w:w="1580" w:type="dxa"/>
            <w:vAlign w:val="center"/>
          </w:tcPr>
          <w:p w14:paraId="195F098F">
            <w:pPr>
              <w:jc w:val="center"/>
              <w:rPr>
                <w:rFonts w:ascii="宋体" w:hAnsi="宋体" w:cs="宋体"/>
                <w:color w:val="auto"/>
                <w:sz w:val="22"/>
                <w:szCs w:val="22"/>
                <w:highlight w:val="none"/>
              </w:rPr>
            </w:pPr>
          </w:p>
        </w:tc>
      </w:tr>
      <w:tr w14:paraId="143E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22019CE">
            <w:pPr>
              <w:jc w:val="center"/>
              <w:rPr>
                <w:rFonts w:ascii="宋体" w:hAnsi="宋体" w:cs="宋体"/>
                <w:color w:val="auto"/>
                <w:sz w:val="22"/>
                <w:szCs w:val="22"/>
                <w:highlight w:val="none"/>
              </w:rPr>
            </w:pPr>
          </w:p>
        </w:tc>
        <w:tc>
          <w:tcPr>
            <w:tcW w:w="3687" w:type="dxa"/>
            <w:vAlign w:val="center"/>
          </w:tcPr>
          <w:p w14:paraId="49DD2338">
            <w:pPr>
              <w:jc w:val="center"/>
              <w:rPr>
                <w:rFonts w:ascii="宋体" w:hAnsi="宋体" w:cs="宋体"/>
                <w:color w:val="auto"/>
                <w:sz w:val="22"/>
                <w:szCs w:val="22"/>
                <w:highlight w:val="none"/>
              </w:rPr>
            </w:pPr>
          </w:p>
        </w:tc>
        <w:tc>
          <w:tcPr>
            <w:tcW w:w="3402" w:type="dxa"/>
            <w:vAlign w:val="center"/>
          </w:tcPr>
          <w:p w14:paraId="6798D4C3">
            <w:pPr>
              <w:jc w:val="center"/>
              <w:rPr>
                <w:rFonts w:ascii="宋体" w:hAnsi="宋体" w:cs="宋体"/>
                <w:color w:val="auto"/>
                <w:sz w:val="22"/>
                <w:szCs w:val="22"/>
                <w:highlight w:val="none"/>
              </w:rPr>
            </w:pPr>
          </w:p>
        </w:tc>
        <w:tc>
          <w:tcPr>
            <w:tcW w:w="1580" w:type="dxa"/>
            <w:vAlign w:val="center"/>
          </w:tcPr>
          <w:p w14:paraId="22D63B10">
            <w:pPr>
              <w:jc w:val="center"/>
              <w:rPr>
                <w:rFonts w:ascii="宋体" w:hAnsi="宋体" w:cs="宋体"/>
                <w:color w:val="auto"/>
                <w:sz w:val="22"/>
                <w:szCs w:val="22"/>
                <w:highlight w:val="none"/>
              </w:rPr>
            </w:pPr>
          </w:p>
        </w:tc>
      </w:tr>
      <w:tr w14:paraId="636F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1" w:hRule="atLeast"/>
        </w:trPr>
        <w:tc>
          <w:tcPr>
            <w:tcW w:w="991" w:type="dxa"/>
            <w:vAlign w:val="center"/>
          </w:tcPr>
          <w:p w14:paraId="3B4ACDE2">
            <w:pPr>
              <w:jc w:val="center"/>
              <w:rPr>
                <w:rFonts w:ascii="宋体" w:hAnsi="宋体" w:cs="宋体"/>
                <w:color w:val="auto"/>
                <w:sz w:val="22"/>
                <w:szCs w:val="22"/>
                <w:highlight w:val="none"/>
              </w:rPr>
            </w:pPr>
          </w:p>
        </w:tc>
        <w:tc>
          <w:tcPr>
            <w:tcW w:w="3687" w:type="dxa"/>
            <w:vAlign w:val="center"/>
          </w:tcPr>
          <w:p w14:paraId="586ECDD3">
            <w:pPr>
              <w:jc w:val="center"/>
              <w:rPr>
                <w:rFonts w:ascii="宋体" w:hAnsi="宋体" w:cs="宋体"/>
                <w:color w:val="auto"/>
                <w:sz w:val="22"/>
                <w:szCs w:val="22"/>
                <w:highlight w:val="none"/>
              </w:rPr>
            </w:pPr>
          </w:p>
        </w:tc>
        <w:tc>
          <w:tcPr>
            <w:tcW w:w="3402" w:type="dxa"/>
            <w:vAlign w:val="center"/>
          </w:tcPr>
          <w:p w14:paraId="2A31EEA1">
            <w:pPr>
              <w:jc w:val="center"/>
              <w:rPr>
                <w:rFonts w:ascii="宋体" w:hAnsi="宋体" w:cs="宋体"/>
                <w:color w:val="auto"/>
                <w:sz w:val="22"/>
                <w:szCs w:val="22"/>
                <w:highlight w:val="none"/>
              </w:rPr>
            </w:pPr>
          </w:p>
        </w:tc>
        <w:tc>
          <w:tcPr>
            <w:tcW w:w="1580" w:type="dxa"/>
            <w:vAlign w:val="center"/>
          </w:tcPr>
          <w:p w14:paraId="12A1957E">
            <w:pPr>
              <w:jc w:val="center"/>
              <w:rPr>
                <w:rFonts w:ascii="宋体" w:hAnsi="宋体" w:cs="宋体"/>
                <w:color w:val="auto"/>
                <w:sz w:val="22"/>
                <w:szCs w:val="22"/>
                <w:highlight w:val="none"/>
              </w:rPr>
            </w:pPr>
          </w:p>
        </w:tc>
      </w:tr>
      <w:tr w14:paraId="66A2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1821A30">
            <w:pPr>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673BEA57">
            <w:pPr>
              <w:jc w:val="center"/>
              <w:rPr>
                <w:rFonts w:ascii="宋体" w:hAnsi="宋体" w:cs="宋体"/>
                <w:color w:val="auto"/>
                <w:sz w:val="22"/>
                <w:szCs w:val="22"/>
                <w:highlight w:val="none"/>
              </w:rPr>
            </w:pPr>
          </w:p>
        </w:tc>
        <w:tc>
          <w:tcPr>
            <w:tcW w:w="3402" w:type="dxa"/>
            <w:vAlign w:val="center"/>
          </w:tcPr>
          <w:p w14:paraId="274A9DEA">
            <w:pPr>
              <w:jc w:val="center"/>
              <w:rPr>
                <w:rFonts w:ascii="宋体" w:hAnsi="宋体" w:cs="宋体"/>
                <w:color w:val="auto"/>
                <w:sz w:val="22"/>
                <w:szCs w:val="22"/>
                <w:highlight w:val="none"/>
              </w:rPr>
            </w:pPr>
          </w:p>
        </w:tc>
        <w:tc>
          <w:tcPr>
            <w:tcW w:w="1580" w:type="dxa"/>
            <w:vAlign w:val="center"/>
          </w:tcPr>
          <w:p w14:paraId="20ADAC00">
            <w:pPr>
              <w:jc w:val="center"/>
              <w:rPr>
                <w:rFonts w:ascii="宋体" w:hAnsi="宋体" w:cs="宋体"/>
                <w:color w:val="auto"/>
                <w:sz w:val="22"/>
                <w:szCs w:val="22"/>
                <w:highlight w:val="none"/>
              </w:rPr>
            </w:pPr>
          </w:p>
        </w:tc>
      </w:tr>
      <w:tr w14:paraId="70E0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0582503">
            <w:pPr>
              <w:jc w:val="center"/>
              <w:rPr>
                <w:rFonts w:ascii="宋体" w:hAnsi="宋体" w:cs="宋体"/>
                <w:color w:val="auto"/>
                <w:sz w:val="22"/>
                <w:szCs w:val="22"/>
                <w:highlight w:val="none"/>
              </w:rPr>
            </w:pPr>
          </w:p>
        </w:tc>
        <w:tc>
          <w:tcPr>
            <w:tcW w:w="3687" w:type="dxa"/>
            <w:vAlign w:val="center"/>
          </w:tcPr>
          <w:p w14:paraId="29184ED8">
            <w:pPr>
              <w:jc w:val="center"/>
              <w:rPr>
                <w:rFonts w:ascii="宋体" w:hAnsi="宋体" w:cs="宋体"/>
                <w:color w:val="auto"/>
                <w:sz w:val="22"/>
                <w:szCs w:val="22"/>
                <w:highlight w:val="none"/>
              </w:rPr>
            </w:pPr>
          </w:p>
        </w:tc>
        <w:tc>
          <w:tcPr>
            <w:tcW w:w="3402" w:type="dxa"/>
            <w:vAlign w:val="center"/>
          </w:tcPr>
          <w:p w14:paraId="177737CE">
            <w:pPr>
              <w:jc w:val="center"/>
              <w:rPr>
                <w:rFonts w:ascii="宋体" w:hAnsi="宋体" w:cs="宋体"/>
                <w:color w:val="auto"/>
                <w:sz w:val="22"/>
                <w:szCs w:val="22"/>
                <w:highlight w:val="none"/>
              </w:rPr>
            </w:pPr>
          </w:p>
        </w:tc>
        <w:tc>
          <w:tcPr>
            <w:tcW w:w="1580" w:type="dxa"/>
            <w:vAlign w:val="center"/>
          </w:tcPr>
          <w:p w14:paraId="3B0872F2">
            <w:pPr>
              <w:jc w:val="center"/>
              <w:rPr>
                <w:rFonts w:ascii="宋体" w:hAnsi="宋体" w:cs="宋体"/>
                <w:color w:val="auto"/>
                <w:sz w:val="22"/>
                <w:szCs w:val="22"/>
                <w:highlight w:val="none"/>
              </w:rPr>
            </w:pPr>
          </w:p>
        </w:tc>
      </w:tr>
      <w:tr w14:paraId="4EFC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62356C4">
            <w:pPr>
              <w:jc w:val="center"/>
              <w:rPr>
                <w:rFonts w:ascii="宋体" w:hAnsi="宋体" w:cs="宋体"/>
                <w:color w:val="auto"/>
                <w:sz w:val="22"/>
                <w:szCs w:val="22"/>
                <w:highlight w:val="none"/>
              </w:rPr>
            </w:pPr>
          </w:p>
        </w:tc>
        <w:tc>
          <w:tcPr>
            <w:tcW w:w="3687" w:type="dxa"/>
            <w:vAlign w:val="center"/>
          </w:tcPr>
          <w:p w14:paraId="00716D1C">
            <w:pPr>
              <w:jc w:val="center"/>
              <w:rPr>
                <w:rFonts w:ascii="宋体" w:hAnsi="宋体" w:cs="宋体"/>
                <w:color w:val="auto"/>
                <w:sz w:val="22"/>
                <w:szCs w:val="22"/>
                <w:highlight w:val="none"/>
              </w:rPr>
            </w:pPr>
          </w:p>
        </w:tc>
        <w:tc>
          <w:tcPr>
            <w:tcW w:w="3402" w:type="dxa"/>
            <w:vAlign w:val="center"/>
          </w:tcPr>
          <w:p w14:paraId="2C457F0A">
            <w:pPr>
              <w:jc w:val="center"/>
              <w:rPr>
                <w:rFonts w:ascii="宋体" w:hAnsi="宋体" w:cs="宋体"/>
                <w:color w:val="auto"/>
                <w:sz w:val="22"/>
                <w:szCs w:val="22"/>
                <w:highlight w:val="none"/>
              </w:rPr>
            </w:pPr>
          </w:p>
        </w:tc>
        <w:tc>
          <w:tcPr>
            <w:tcW w:w="1580" w:type="dxa"/>
            <w:vAlign w:val="center"/>
          </w:tcPr>
          <w:p w14:paraId="0E2B0067">
            <w:pPr>
              <w:jc w:val="center"/>
              <w:rPr>
                <w:rFonts w:ascii="宋体" w:hAnsi="宋体" w:cs="宋体"/>
                <w:color w:val="auto"/>
                <w:sz w:val="22"/>
                <w:szCs w:val="22"/>
                <w:highlight w:val="none"/>
              </w:rPr>
            </w:pPr>
          </w:p>
        </w:tc>
      </w:tr>
      <w:tr w14:paraId="0E68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CDD5B45">
            <w:pPr>
              <w:jc w:val="center"/>
              <w:rPr>
                <w:rFonts w:ascii="宋体" w:hAnsi="宋体" w:cs="宋体"/>
                <w:color w:val="auto"/>
                <w:sz w:val="22"/>
                <w:szCs w:val="22"/>
                <w:highlight w:val="none"/>
              </w:rPr>
            </w:pPr>
          </w:p>
        </w:tc>
        <w:tc>
          <w:tcPr>
            <w:tcW w:w="3687" w:type="dxa"/>
            <w:vAlign w:val="center"/>
          </w:tcPr>
          <w:p w14:paraId="28BA9794">
            <w:pPr>
              <w:jc w:val="center"/>
              <w:rPr>
                <w:rFonts w:ascii="宋体" w:hAnsi="宋体" w:cs="宋体"/>
                <w:color w:val="auto"/>
                <w:sz w:val="22"/>
                <w:szCs w:val="22"/>
                <w:highlight w:val="none"/>
              </w:rPr>
            </w:pPr>
          </w:p>
        </w:tc>
        <w:tc>
          <w:tcPr>
            <w:tcW w:w="3402" w:type="dxa"/>
            <w:vAlign w:val="center"/>
          </w:tcPr>
          <w:p w14:paraId="699DCFA8">
            <w:pPr>
              <w:jc w:val="center"/>
              <w:rPr>
                <w:rFonts w:ascii="宋体" w:hAnsi="宋体" w:cs="宋体"/>
                <w:color w:val="auto"/>
                <w:sz w:val="22"/>
                <w:szCs w:val="22"/>
                <w:highlight w:val="none"/>
              </w:rPr>
            </w:pPr>
          </w:p>
        </w:tc>
        <w:tc>
          <w:tcPr>
            <w:tcW w:w="1580" w:type="dxa"/>
            <w:vAlign w:val="center"/>
          </w:tcPr>
          <w:p w14:paraId="099DF73C">
            <w:pPr>
              <w:jc w:val="center"/>
              <w:rPr>
                <w:rFonts w:ascii="宋体" w:hAnsi="宋体" w:cs="宋体"/>
                <w:color w:val="auto"/>
                <w:sz w:val="22"/>
                <w:szCs w:val="22"/>
                <w:highlight w:val="none"/>
              </w:rPr>
            </w:pPr>
          </w:p>
        </w:tc>
      </w:tr>
      <w:tr w14:paraId="033C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0FB0743">
            <w:pPr>
              <w:jc w:val="center"/>
              <w:rPr>
                <w:rFonts w:ascii="宋体" w:hAnsi="宋体" w:cs="宋体"/>
                <w:color w:val="auto"/>
                <w:sz w:val="22"/>
                <w:szCs w:val="22"/>
                <w:highlight w:val="none"/>
              </w:rPr>
            </w:pPr>
          </w:p>
        </w:tc>
        <w:tc>
          <w:tcPr>
            <w:tcW w:w="3687" w:type="dxa"/>
            <w:vAlign w:val="center"/>
          </w:tcPr>
          <w:p w14:paraId="178885E9">
            <w:pPr>
              <w:jc w:val="center"/>
              <w:rPr>
                <w:rFonts w:ascii="宋体" w:hAnsi="宋体" w:cs="宋体"/>
                <w:color w:val="auto"/>
                <w:sz w:val="22"/>
                <w:szCs w:val="22"/>
                <w:highlight w:val="none"/>
              </w:rPr>
            </w:pPr>
          </w:p>
        </w:tc>
        <w:tc>
          <w:tcPr>
            <w:tcW w:w="3402" w:type="dxa"/>
            <w:vAlign w:val="center"/>
          </w:tcPr>
          <w:p w14:paraId="2E7F9C9A">
            <w:pPr>
              <w:jc w:val="center"/>
              <w:rPr>
                <w:rFonts w:ascii="宋体" w:hAnsi="宋体" w:cs="宋体"/>
                <w:color w:val="auto"/>
                <w:sz w:val="22"/>
                <w:szCs w:val="22"/>
                <w:highlight w:val="none"/>
              </w:rPr>
            </w:pPr>
          </w:p>
        </w:tc>
        <w:tc>
          <w:tcPr>
            <w:tcW w:w="1580" w:type="dxa"/>
            <w:vAlign w:val="center"/>
          </w:tcPr>
          <w:p w14:paraId="6AB5CF42">
            <w:pPr>
              <w:jc w:val="center"/>
              <w:rPr>
                <w:rFonts w:ascii="宋体" w:hAnsi="宋体" w:cs="宋体"/>
                <w:color w:val="auto"/>
                <w:sz w:val="22"/>
                <w:szCs w:val="22"/>
                <w:highlight w:val="none"/>
              </w:rPr>
            </w:pPr>
          </w:p>
        </w:tc>
      </w:tr>
      <w:tr w14:paraId="1B2F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6AF27AE">
            <w:pPr>
              <w:jc w:val="center"/>
              <w:rPr>
                <w:rFonts w:ascii="宋体" w:hAnsi="宋体" w:cs="宋体"/>
                <w:color w:val="auto"/>
                <w:sz w:val="22"/>
                <w:szCs w:val="22"/>
                <w:highlight w:val="none"/>
              </w:rPr>
            </w:pPr>
          </w:p>
        </w:tc>
        <w:tc>
          <w:tcPr>
            <w:tcW w:w="3687" w:type="dxa"/>
            <w:vAlign w:val="center"/>
          </w:tcPr>
          <w:p w14:paraId="5FCECA41">
            <w:pPr>
              <w:jc w:val="center"/>
              <w:rPr>
                <w:rFonts w:ascii="宋体" w:hAnsi="宋体" w:cs="宋体"/>
                <w:color w:val="auto"/>
                <w:sz w:val="22"/>
                <w:szCs w:val="22"/>
                <w:highlight w:val="none"/>
              </w:rPr>
            </w:pPr>
          </w:p>
        </w:tc>
        <w:tc>
          <w:tcPr>
            <w:tcW w:w="3402" w:type="dxa"/>
            <w:vAlign w:val="center"/>
          </w:tcPr>
          <w:p w14:paraId="4FAAD8EB">
            <w:pPr>
              <w:jc w:val="center"/>
              <w:rPr>
                <w:rFonts w:ascii="宋体" w:hAnsi="宋体" w:cs="宋体"/>
                <w:color w:val="auto"/>
                <w:sz w:val="22"/>
                <w:szCs w:val="22"/>
                <w:highlight w:val="none"/>
              </w:rPr>
            </w:pPr>
          </w:p>
        </w:tc>
        <w:tc>
          <w:tcPr>
            <w:tcW w:w="1580" w:type="dxa"/>
            <w:vAlign w:val="center"/>
          </w:tcPr>
          <w:p w14:paraId="4DC2E312">
            <w:pPr>
              <w:jc w:val="center"/>
              <w:rPr>
                <w:rFonts w:ascii="宋体" w:hAnsi="宋体" w:cs="宋体"/>
                <w:color w:val="auto"/>
                <w:sz w:val="22"/>
                <w:szCs w:val="22"/>
                <w:highlight w:val="none"/>
              </w:rPr>
            </w:pPr>
          </w:p>
        </w:tc>
      </w:tr>
    </w:tbl>
    <w:p w14:paraId="3E832172">
      <w:pP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注： 如有偏离，必须在偏离表中进行详细对比说明并注明正偏离和负偏离，如不说明偏离情况，视为完全响应采购文件要求无偏离</w:t>
      </w:r>
    </w:p>
    <w:p w14:paraId="7B78A78A">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8D2BF55">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DD09432">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706723AC">
      <w:pPr>
        <w:rPr>
          <w:rFonts w:ascii="宋体" w:hAnsi="宋体" w:cs="宋体"/>
          <w:b/>
          <w:color w:val="auto"/>
          <w:sz w:val="24"/>
          <w:highlight w:val="none"/>
        </w:rPr>
      </w:pPr>
      <w:bookmarkStart w:id="44" w:name="_Toc415152386"/>
      <w:r>
        <w:rPr>
          <w:rFonts w:hint="eastAsia" w:ascii="宋体" w:hAnsi="宋体" w:cs="宋体"/>
          <w:b/>
          <w:color w:val="auto"/>
          <w:sz w:val="24"/>
          <w:highlight w:val="none"/>
        </w:rPr>
        <w:br w:type="page"/>
      </w:r>
    </w:p>
    <w:p w14:paraId="4F7ED83A">
      <w:pPr>
        <w:spacing w:line="400" w:lineRule="exact"/>
        <w:jc w:val="center"/>
        <w:outlineLvl w:val="3"/>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w:t>
      </w:r>
      <w:bookmarkEnd w:id="44"/>
      <w:r>
        <w:rPr>
          <w:rFonts w:hint="eastAsia" w:ascii="宋体" w:hAnsi="宋体" w:cs="宋体"/>
          <w:b/>
          <w:color w:val="auto"/>
          <w:sz w:val="28"/>
          <w:szCs w:val="28"/>
          <w:highlight w:val="none"/>
        </w:rPr>
        <w:t>服务供应商项目业绩</w:t>
      </w:r>
    </w:p>
    <w:p w14:paraId="7694628C">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4D58C74B">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5636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472930C">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069" w:type="dxa"/>
            <w:vAlign w:val="center"/>
          </w:tcPr>
          <w:p w14:paraId="109DC8BF">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2437" w:type="dxa"/>
            <w:vAlign w:val="center"/>
          </w:tcPr>
          <w:p w14:paraId="06E4C4DA">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1737" w:type="dxa"/>
            <w:vAlign w:val="center"/>
          </w:tcPr>
          <w:p w14:paraId="71D8CDF6">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1737" w:type="dxa"/>
            <w:vAlign w:val="center"/>
          </w:tcPr>
          <w:p w14:paraId="1DC56855">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联系方式</w:t>
            </w:r>
          </w:p>
        </w:tc>
        <w:tc>
          <w:tcPr>
            <w:tcW w:w="926" w:type="dxa"/>
            <w:vAlign w:val="center"/>
          </w:tcPr>
          <w:p w14:paraId="0FDDC668">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14:paraId="022C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A70788D">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2481F185">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52C84BC4">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7EB5E4C7">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30C9CA2">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6E8687F9">
            <w:pPr>
              <w:spacing w:line="380" w:lineRule="exact"/>
              <w:ind w:left="442" w:hanging="442" w:hangingChars="200"/>
              <w:jc w:val="center"/>
              <w:rPr>
                <w:rFonts w:ascii="宋体" w:hAnsi="宋体" w:cs="宋体"/>
                <w:b/>
                <w:bCs/>
                <w:color w:val="auto"/>
                <w:sz w:val="22"/>
                <w:szCs w:val="22"/>
                <w:highlight w:val="none"/>
              </w:rPr>
            </w:pPr>
          </w:p>
        </w:tc>
      </w:tr>
      <w:tr w14:paraId="2B9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6A382A3">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782E2DC7">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310F6FF5">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4BDBF51">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93D7570">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373A4CD9">
            <w:pPr>
              <w:spacing w:line="380" w:lineRule="exact"/>
              <w:ind w:left="442" w:hanging="442" w:hangingChars="200"/>
              <w:jc w:val="center"/>
              <w:rPr>
                <w:rFonts w:ascii="宋体" w:hAnsi="宋体" w:cs="宋体"/>
                <w:b/>
                <w:bCs/>
                <w:color w:val="auto"/>
                <w:sz w:val="22"/>
                <w:szCs w:val="22"/>
                <w:highlight w:val="none"/>
              </w:rPr>
            </w:pPr>
          </w:p>
        </w:tc>
      </w:tr>
      <w:tr w14:paraId="6C33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AB7C2FA">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067C98D7">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179EC72D">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5B2564B">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3CC2BBA">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032F9D9C">
            <w:pPr>
              <w:spacing w:line="380" w:lineRule="exact"/>
              <w:ind w:left="442" w:hanging="442" w:hangingChars="200"/>
              <w:jc w:val="center"/>
              <w:rPr>
                <w:rFonts w:ascii="宋体" w:hAnsi="宋体" w:cs="宋体"/>
                <w:b/>
                <w:bCs/>
                <w:color w:val="auto"/>
                <w:sz w:val="22"/>
                <w:szCs w:val="22"/>
                <w:highlight w:val="none"/>
              </w:rPr>
            </w:pPr>
          </w:p>
        </w:tc>
      </w:tr>
      <w:tr w14:paraId="5C4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91F2760">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5104F56A">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5A89178F">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2FC0584">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4BE6630">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066C56A7">
            <w:pPr>
              <w:spacing w:line="380" w:lineRule="exact"/>
              <w:ind w:left="442" w:hanging="442" w:hangingChars="200"/>
              <w:jc w:val="center"/>
              <w:rPr>
                <w:rFonts w:ascii="宋体" w:hAnsi="宋体" w:cs="宋体"/>
                <w:b/>
                <w:bCs/>
                <w:color w:val="auto"/>
                <w:sz w:val="22"/>
                <w:szCs w:val="22"/>
                <w:highlight w:val="none"/>
              </w:rPr>
            </w:pPr>
          </w:p>
        </w:tc>
      </w:tr>
      <w:tr w14:paraId="688C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DF4B9AE">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2118546">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6CD1FC98">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D8ED3F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896ABD2">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1BAB34DE">
            <w:pPr>
              <w:spacing w:line="380" w:lineRule="exact"/>
              <w:ind w:left="442" w:hanging="442" w:hangingChars="200"/>
              <w:jc w:val="center"/>
              <w:rPr>
                <w:rFonts w:ascii="宋体" w:hAnsi="宋体" w:cs="宋体"/>
                <w:b/>
                <w:bCs/>
                <w:color w:val="auto"/>
                <w:sz w:val="22"/>
                <w:szCs w:val="22"/>
                <w:highlight w:val="none"/>
              </w:rPr>
            </w:pPr>
          </w:p>
        </w:tc>
      </w:tr>
      <w:tr w14:paraId="6F2A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1F4D968">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22D49E9A">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2535EAA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711952D2">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4788467">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72316C88">
            <w:pPr>
              <w:spacing w:line="380" w:lineRule="exact"/>
              <w:ind w:left="442" w:hanging="442" w:hangingChars="200"/>
              <w:jc w:val="center"/>
              <w:rPr>
                <w:rFonts w:ascii="宋体" w:hAnsi="宋体" w:cs="宋体"/>
                <w:b/>
                <w:bCs/>
                <w:color w:val="auto"/>
                <w:sz w:val="22"/>
                <w:szCs w:val="22"/>
                <w:highlight w:val="none"/>
              </w:rPr>
            </w:pPr>
          </w:p>
        </w:tc>
      </w:tr>
      <w:tr w14:paraId="43A7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AAFA790">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0644F75">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7FB4FAE">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627CEE8">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AA336CB">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6D49E4D7">
            <w:pPr>
              <w:spacing w:line="380" w:lineRule="exact"/>
              <w:ind w:left="442" w:hanging="442" w:hangingChars="200"/>
              <w:jc w:val="center"/>
              <w:rPr>
                <w:rFonts w:ascii="宋体" w:hAnsi="宋体" w:cs="宋体"/>
                <w:b/>
                <w:bCs/>
                <w:color w:val="auto"/>
                <w:sz w:val="22"/>
                <w:szCs w:val="22"/>
                <w:highlight w:val="none"/>
              </w:rPr>
            </w:pPr>
          </w:p>
        </w:tc>
      </w:tr>
      <w:tr w14:paraId="556D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E6908B3">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23EA2F05">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218D751E">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18D376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71494491">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46FE4D8D">
            <w:pPr>
              <w:spacing w:line="380" w:lineRule="exact"/>
              <w:ind w:left="442" w:hanging="442" w:hangingChars="200"/>
              <w:jc w:val="center"/>
              <w:rPr>
                <w:rFonts w:ascii="宋体" w:hAnsi="宋体" w:cs="宋体"/>
                <w:b/>
                <w:bCs/>
                <w:color w:val="auto"/>
                <w:sz w:val="22"/>
                <w:szCs w:val="22"/>
                <w:highlight w:val="none"/>
              </w:rPr>
            </w:pPr>
          </w:p>
        </w:tc>
      </w:tr>
      <w:tr w14:paraId="3B1D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084AB45">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8998259">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65CB4E2">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1F41C982">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525D8E4">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5DF08DF0">
            <w:pPr>
              <w:spacing w:line="380" w:lineRule="exact"/>
              <w:ind w:left="442" w:hanging="442" w:hangingChars="200"/>
              <w:jc w:val="center"/>
              <w:rPr>
                <w:rFonts w:ascii="宋体" w:hAnsi="宋体" w:cs="宋体"/>
                <w:b/>
                <w:bCs/>
                <w:color w:val="auto"/>
                <w:sz w:val="22"/>
                <w:szCs w:val="22"/>
                <w:highlight w:val="none"/>
              </w:rPr>
            </w:pPr>
          </w:p>
        </w:tc>
      </w:tr>
      <w:tr w14:paraId="008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E26233D">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04C39364">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AD457F5">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973868A">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6F823CB">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4EB99CB6">
            <w:pPr>
              <w:spacing w:line="380" w:lineRule="exact"/>
              <w:ind w:left="442" w:hanging="442" w:hangingChars="200"/>
              <w:jc w:val="center"/>
              <w:rPr>
                <w:rFonts w:ascii="宋体" w:hAnsi="宋体" w:cs="宋体"/>
                <w:b/>
                <w:bCs/>
                <w:color w:val="auto"/>
                <w:sz w:val="22"/>
                <w:szCs w:val="22"/>
                <w:highlight w:val="none"/>
              </w:rPr>
            </w:pPr>
          </w:p>
        </w:tc>
      </w:tr>
      <w:tr w14:paraId="3792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A0718CE">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48CAC706">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6EADDAD6">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26148A0">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5F31155">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65FB1414">
            <w:pPr>
              <w:spacing w:line="380" w:lineRule="exact"/>
              <w:ind w:left="442" w:hanging="442" w:hangingChars="200"/>
              <w:jc w:val="center"/>
              <w:rPr>
                <w:rFonts w:ascii="宋体" w:hAnsi="宋体" w:cs="宋体"/>
                <w:b/>
                <w:bCs/>
                <w:color w:val="auto"/>
                <w:sz w:val="22"/>
                <w:szCs w:val="22"/>
                <w:highlight w:val="none"/>
              </w:rPr>
            </w:pPr>
          </w:p>
        </w:tc>
      </w:tr>
      <w:tr w14:paraId="32FD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7430992">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75AB2D01">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150EF3A6">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04CACEB6">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6C28F5D">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32036C4C">
            <w:pPr>
              <w:spacing w:line="380" w:lineRule="exact"/>
              <w:ind w:left="442" w:hanging="442" w:hangingChars="200"/>
              <w:jc w:val="center"/>
              <w:rPr>
                <w:rFonts w:ascii="宋体" w:hAnsi="宋体" w:cs="宋体"/>
                <w:b/>
                <w:bCs/>
                <w:color w:val="auto"/>
                <w:sz w:val="22"/>
                <w:szCs w:val="22"/>
                <w:highlight w:val="none"/>
              </w:rPr>
            </w:pPr>
          </w:p>
        </w:tc>
      </w:tr>
      <w:tr w14:paraId="04E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D064BE1">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03FE6A94">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30035CAD">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E6AA458">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D57229D">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4B1DE190">
            <w:pPr>
              <w:spacing w:line="380" w:lineRule="exact"/>
              <w:ind w:left="442" w:hanging="442" w:hangingChars="200"/>
              <w:jc w:val="center"/>
              <w:rPr>
                <w:rFonts w:ascii="宋体" w:hAnsi="宋体" w:cs="宋体"/>
                <w:b/>
                <w:bCs/>
                <w:color w:val="auto"/>
                <w:sz w:val="22"/>
                <w:szCs w:val="22"/>
                <w:highlight w:val="none"/>
              </w:rPr>
            </w:pPr>
          </w:p>
        </w:tc>
      </w:tr>
      <w:tr w14:paraId="0C0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78075134">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B4D840B">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99CECEC">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16430B68">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69BEE91C">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0AB24097">
            <w:pPr>
              <w:spacing w:line="380" w:lineRule="exact"/>
              <w:ind w:left="442" w:hanging="442" w:hangingChars="200"/>
              <w:jc w:val="center"/>
              <w:rPr>
                <w:rFonts w:ascii="宋体" w:hAnsi="宋体" w:cs="宋体"/>
                <w:b/>
                <w:bCs/>
                <w:color w:val="auto"/>
                <w:sz w:val="22"/>
                <w:szCs w:val="22"/>
                <w:highlight w:val="none"/>
              </w:rPr>
            </w:pPr>
          </w:p>
        </w:tc>
      </w:tr>
    </w:tbl>
    <w:p w14:paraId="5ECE97ED">
      <w:pPr>
        <w:pStyle w:val="29"/>
        <w:spacing w:line="400" w:lineRule="atLeast"/>
        <w:rPr>
          <w:rFonts w:hAnsi="宋体" w:cs="宋体"/>
          <w:color w:val="auto"/>
          <w:sz w:val="22"/>
          <w:szCs w:val="22"/>
          <w:highlight w:val="none"/>
        </w:rPr>
      </w:pPr>
    </w:p>
    <w:p w14:paraId="6439CDFE">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372F028D">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57DCDCD">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654317AF">
      <w:pPr>
        <w:spacing w:line="460" w:lineRule="exact"/>
        <w:ind w:firstLine="5060" w:firstLineChars="2300"/>
        <w:rPr>
          <w:rFonts w:ascii="宋体" w:hAnsi="宋体" w:cs="宋体"/>
          <w:color w:val="auto"/>
          <w:sz w:val="22"/>
          <w:szCs w:val="22"/>
          <w:highlight w:val="none"/>
        </w:rPr>
      </w:pPr>
    </w:p>
    <w:p w14:paraId="3028FF09">
      <w:pPr>
        <w:spacing w:line="460" w:lineRule="exact"/>
        <w:rPr>
          <w:rFonts w:ascii="宋体" w:hAnsi="宋体" w:cs="宋体"/>
          <w:color w:val="auto"/>
          <w:sz w:val="22"/>
          <w:szCs w:val="22"/>
          <w:highlight w:val="none"/>
        </w:rPr>
      </w:pPr>
    </w:p>
    <w:p w14:paraId="766DC29D">
      <w:pPr>
        <w:rPr>
          <w:rFonts w:ascii="宋体" w:hAnsi="宋体" w:cs="宋体"/>
          <w:b/>
          <w:color w:val="auto"/>
          <w:sz w:val="24"/>
          <w:highlight w:val="none"/>
        </w:rPr>
      </w:pPr>
      <w:r>
        <w:rPr>
          <w:rFonts w:hint="eastAsia" w:ascii="宋体" w:hAnsi="宋体" w:cs="宋体"/>
          <w:b/>
          <w:color w:val="auto"/>
          <w:sz w:val="24"/>
          <w:highlight w:val="none"/>
        </w:rPr>
        <w:br w:type="page"/>
      </w:r>
    </w:p>
    <w:p w14:paraId="2FB40FFC">
      <w:pPr>
        <w:spacing w:line="400" w:lineRule="exact"/>
        <w:jc w:val="center"/>
        <w:outlineLvl w:val="3"/>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、医学团队专业性</w:t>
      </w:r>
    </w:p>
    <w:p w14:paraId="0FBE1810">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6C7D9241">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01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B019280">
            <w:pPr>
              <w:spacing w:line="360" w:lineRule="auto"/>
              <w:rPr>
                <w:rFonts w:ascii="宋体" w:hAnsi="宋体" w:cs="宋体"/>
                <w:color w:val="auto"/>
                <w:sz w:val="22"/>
                <w:szCs w:val="22"/>
                <w:highlight w:val="none"/>
              </w:rPr>
            </w:pPr>
          </w:p>
        </w:tc>
      </w:tr>
    </w:tbl>
    <w:p w14:paraId="73CFDBDB">
      <w:pPr>
        <w:spacing w:line="400" w:lineRule="exact"/>
        <w:ind w:firstLine="4620" w:firstLineChars="2100"/>
        <w:rPr>
          <w:rFonts w:ascii="宋体" w:hAnsi="宋体" w:cs="宋体"/>
          <w:color w:val="auto"/>
          <w:sz w:val="22"/>
          <w:szCs w:val="22"/>
          <w:highlight w:val="none"/>
        </w:rPr>
      </w:pPr>
    </w:p>
    <w:p w14:paraId="2DD07535">
      <w:pPr>
        <w:spacing w:line="360" w:lineRule="auto"/>
        <w:ind w:firstLine="5280" w:firstLineChars="24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E8B4F93">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47E9586E">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7DBC492D">
      <w:pPr>
        <w:spacing w:line="460" w:lineRule="exact"/>
        <w:ind w:firstLine="5060" w:firstLineChars="2300"/>
        <w:rPr>
          <w:rFonts w:ascii="宋体" w:hAnsi="宋体" w:cs="宋体"/>
          <w:color w:val="auto"/>
          <w:sz w:val="22"/>
          <w:szCs w:val="22"/>
          <w:highlight w:val="none"/>
        </w:rPr>
      </w:pPr>
    </w:p>
    <w:p w14:paraId="0E0CED50">
      <w:pPr>
        <w:rPr>
          <w:rFonts w:ascii="宋体" w:hAnsi="宋体" w:cs="宋体"/>
          <w:color w:val="auto"/>
          <w:highlight w:val="none"/>
        </w:rPr>
      </w:pPr>
    </w:p>
    <w:p w14:paraId="57D14D9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F73C7C">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、软件支持团队负责人</w:t>
      </w:r>
    </w:p>
    <w:p w14:paraId="48DC4EF5">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24A04BE6">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53C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E09EAD7">
            <w:pPr>
              <w:spacing w:line="360" w:lineRule="auto"/>
              <w:rPr>
                <w:rFonts w:ascii="宋体" w:hAnsi="宋体" w:cs="宋体"/>
                <w:color w:val="auto"/>
                <w:sz w:val="22"/>
                <w:szCs w:val="22"/>
                <w:highlight w:val="none"/>
              </w:rPr>
            </w:pPr>
          </w:p>
        </w:tc>
      </w:tr>
    </w:tbl>
    <w:p w14:paraId="02EEE524">
      <w:pPr>
        <w:pStyle w:val="29"/>
        <w:spacing w:line="400" w:lineRule="atLeast"/>
        <w:rPr>
          <w:rFonts w:hAnsi="宋体" w:cs="宋体"/>
          <w:color w:val="auto"/>
          <w:sz w:val="22"/>
          <w:highlight w:val="none"/>
        </w:rPr>
      </w:pPr>
    </w:p>
    <w:p w14:paraId="7BEE4654">
      <w:pPr>
        <w:pStyle w:val="29"/>
        <w:spacing w:line="460" w:lineRule="atLeast"/>
        <w:ind w:left="657" w:leftChars="313" w:firstLine="3960" w:firstLineChars="1800"/>
        <w:rPr>
          <w:rFonts w:hAnsi="宋体" w:cs="宋体"/>
          <w:b w:val="0"/>
          <w:bCs/>
          <w:color w:val="auto"/>
          <w:sz w:val="22"/>
          <w:highlight w:val="none"/>
        </w:rPr>
      </w:pPr>
      <w:r>
        <w:rPr>
          <w:rFonts w:hint="eastAsia" w:hAnsi="宋体" w:cs="宋体"/>
          <w:b w:val="0"/>
          <w:bCs/>
          <w:color w:val="auto"/>
          <w:sz w:val="22"/>
          <w:highlight w:val="none"/>
        </w:rPr>
        <w:t>投标人名称（盖章）：</w:t>
      </w:r>
    </w:p>
    <w:p w14:paraId="0F3774CE">
      <w:pPr>
        <w:pStyle w:val="29"/>
        <w:spacing w:line="460" w:lineRule="atLeast"/>
        <w:ind w:left="660" w:hanging="660" w:hangingChars="300"/>
        <w:rPr>
          <w:rFonts w:hAnsi="宋体" w:cs="宋体"/>
          <w:b w:val="0"/>
          <w:bCs/>
          <w:color w:val="auto"/>
          <w:sz w:val="22"/>
          <w:highlight w:val="none"/>
        </w:rPr>
      </w:pPr>
      <w:r>
        <w:rPr>
          <w:rFonts w:hint="eastAsia" w:hAnsi="宋体" w:cs="宋体"/>
          <w:b w:val="0"/>
          <w:bCs/>
          <w:color w:val="auto"/>
          <w:sz w:val="22"/>
          <w:highlight w:val="none"/>
        </w:rPr>
        <w:t xml:space="preserve">                                          法定代表人或其授权代表（签字或盖章）：   </w:t>
      </w:r>
    </w:p>
    <w:p w14:paraId="1BA933CA">
      <w:pPr>
        <w:pStyle w:val="29"/>
        <w:spacing w:line="460" w:lineRule="atLeast"/>
        <w:ind w:left="660" w:hanging="660" w:hangingChars="300"/>
        <w:rPr>
          <w:rFonts w:hAnsi="宋体" w:cs="宋体"/>
          <w:b w:val="0"/>
          <w:bCs/>
          <w:color w:val="auto"/>
          <w:sz w:val="22"/>
          <w:highlight w:val="none"/>
        </w:rPr>
      </w:pPr>
      <w:r>
        <w:rPr>
          <w:rFonts w:hint="eastAsia" w:hAnsi="宋体" w:cs="宋体"/>
          <w:b w:val="0"/>
          <w:bCs/>
          <w:color w:val="auto"/>
          <w:sz w:val="22"/>
          <w:highlight w:val="none"/>
        </w:rPr>
        <w:t xml:space="preserve">                                          日   期： </w:t>
      </w:r>
    </w:p>
    <w:p w14:paraId="122AD8C8">
      <w:pPr>
        <w:rPr>
          <w:rFonts w:ascii="宋体" w:hAnsi="宋体" w:cs="宋体"/>
          <w:b/>
          <w:bCs/>
          <w:color w:val="auto"/>
          <w:sz w:val="22"/>
          <w:szCs w:val="22"/>
          <w:highlight w:val="none"/>
        </w:rPr>
      </w:pPr>
    </w:p>
    <w:p w14:paraId="2C34A32B">
      <w:pPr>
        <w:pStyle w:val="11"/>
        <w:rPr>
          <w:color w:val="auto"/>
          <w:highlight w:val="none"/>
        </w:rPr>
      </w:pPr>
    </w:p>
    <w:p w14:paraId="37C3CFE6">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51A086B">
      <w:pPr>
        <w:spacing w:line="400" w:lineRule="exact"/>
        <w:jc w:val="center"/>
        <w:outlineLvl w:val="3"/>
        <w:rPr>
          <w:rFonts w:ascii="新宋体" w:hAnsi="新宋体" w:eastAsia="新宋体" w:cs="新宋体"/>
          <w:b/>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、服务支持工具</w:t>
      </w:r>
    </w:p>
    <w:p w14:paraId="734D1312">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143299A4">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343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4407C67F">
            <w:pPr>
              <w:spacing w:line="360" w:lineRule="auto"/>
              <w:rPr>
                <w:rFonts w:ascii="宋体" w:hAnsi="宋体" w:cs="宋体"/>
                <w:color w:val="auto"/>
                <w:sz w:val="22"/>
                <w:szCs w:val="22"/>
                <w:highlight w:val="none"/>
              </w:rPr>
            </w:pPr>
          </w:p>
        </w:tc>
      </w:tr>
    </w:tbl>
    <w:p w14:paraId="3F0C30DB">
      <w:pPr>
        <w:spacing w:line="380" w:lineRule="exact"/>
        <w:rPr>
          <w:rFonts w:ascii="宋体" w:hAnsi="宋体" w:cs="宋体"/>
          <w:color w:val="auto"/>
          <w:sz w:val="36"/>
          <w:szCs w:val="36"/>
          <w:highlight w:val="none"/>
        </w:rPr>
      </w:pPr>
    </w:p>
    <w:p w14:paraId="435B4A37">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2F06F44">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064BB0ED">
      <w:pPr>
        <w:spacing w:line="460" w:lineRule="exact"/>
        <w:ind w:firstLine="4400" w:firstLineChars="2000"/>
        <w:rPr>
          <w:rFonts w:ascii="宋体" w:hAnsi="宋体" w:cs="宋体"/>
          <w:b/>
          <w:color w:val="auto"/>
          <w:sz w:val="36"/>
          <w:szCs w:val="36"/>
          <w:highlight w:val="none"/>
        </w:rPr>
      </w:pPr>
      <w:r>
        <w:rPr>
          <w:rFonts w:hint="eastAsia" w:ascii="宋体" w:hAnsi="宋体" w:cs="宋体"/>
          <w:color w:val="auto"/>
          <w:sz w:val="22"/>
          <w:szCs w:val="22"/>
          <w:highlight w:val="none"/>
        </w:rPr>
        <w:t xml:space="preserve">日  期：   </w:t>
      </w:r>
    </w:p>
    <w:p w14:paraId="5F60D4ED">
      <w:pPr>
        <w:spacing w:line="380" w:lineRule="exact"/>
        <w:rPr>
          <w:rFonts w:ascii="宋体" w:hAnsi="宋体" w:cs="宋体"/>
          <w:b/>
          <w:color w:val="auto"/>
          <w:sz w:val="36"/>
          <w:szCs w:val="36"/>
          <w:highlight w:val="none"/>
        </w:rPr>
      </w:pPr>
    </w:p>
    <w:p w14:paraId="582BDBBF">
      <w:pPr>
        <w:spacing w:line="380" w:lineRule="exact"/>
        <w:rPr>
          <w:rFonts w:ascii="宋体" w:hAnsi="宋体" w:cs="宋体"/>
          <w:b/>
          <w:color w:val="auto"/>
          <w:sz w:val="36"/>
          <w:szCs w:val="36"/>
          <w:highlight w:val="none"/>
        </w:rPr>
      </w:pPr>
    </w:p>
    <w:p w14:paraId="70858080">
      <w:pPr>
        <w:spacing w:line="380" w:lineRule="exact"/>
        <w:rPr>
          <w:rFonts w:ascii="宋体" w:hAnsi="宋体" w:cs="宋体"/>
          <w:b/>
          <w:color w:val="auto"/>
          <w:sz w:val="36"/>
          <w:szCs w:val="36"/>
          <w:highlight w:val="none"/>
        </w:rPr>
      </w:pPr>
    </w:p>
    <w:p w14:paraId="2A1B6537">
      <w:pPr>
        <w:spacing w:line="400" w:lineRule="exact"/>
        <w:jc w:val="center"/>
        <w:outlineLvl w:val="3"/>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、项目理解</w:t>
      </w:r>
    </w:p>
    <w:p w14:paraId="093F62DC">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3C09E701">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520C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2F35EC2A">
            <w:pPr>
              <w:spacing w:line="360" w:lineRule="auto"/>
              <w:rPr>
                <w:rFonts w:ascii="宋体" w:hAnsi="宋体" w:cs="宋体"/>
                <w:color w:val="auto"/>
                <w:sz w:val="22"/>
                <w:szCs w:val="22"/>
                <w:highlight w:val="none"/>
              </w:rPr>
            </w:pPr>
          </w:p>
        </w:tc>
      </w:tr>
    </w:tbl>
    <w:p w14:paraId="571EC1C7">
      <w:pPr>
        <w:spacing w:line="380" w:lineRule="exact"/>
        <w:rPr>
          <w:rFonts w:ascii="宋体" w:hAnsi="宋体" w:cs="宋体"/>
          <w:color w:val="auto"/>
          <w:sz w:val="36"/>
          <w:szCs w:val="36"/>
          <w:highlight w:val="none"/>
        </w:rPr>
      </w:pPr>
    </w:p>
    <w:p w14:paraId="1A114C8B">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AD9E41F">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6FEAD32">
      <w:pPr>
        <w:spacing w:line="460" w:lineRule="exact"/>
        <w:ind w:firstLine="4400" w:firstLineChars="2000"/>
        <w:rPr>
          <w:rFonts w:ascii="宋体" w:hAnsi="宋体" w:cs="宋体"/>
          <w:color w:val="auto"/>
          <w:highlight w:val="none"/>
        </w:rPr>
      </w:pPr>
      <w:r>
        <w:rPr>
          <w:rFonts w:hint="eastAsia" w:ascii="宋体" w:hAnsi="宋体" w:cs="宋体"/>
          <w:color w:val="auto"/>
          <w:sz w:val="22"/>
          <w:szCs w:val="22"/>
          <w:highlight w:val="none"/>
        </w:rPr>
        <w:t>日  期：</w:t>
      </w:r>
    </w:p>
    <w:p w14:paraId="708046C4">
      <w:pPr>
        <w:rPr>
          <w:rFonts w:ascii="宋体" w:hAnsi="宋体" w:cs="宋体"/>
          <w:b/>
          <w:color w:val="auto"/>
          <w:sz w:val="24"/>
          <w:highlight w:val="none"/>
        </w:rPr>
      </w:pPr>
      <w:r>
        <w:rPr>
          <w:rFonts w:hint="eastAsia" w:ascii="宋体" w:hAnsi="宋体" w:cs="宋体"/>
          <w:b/>
          <w:color w:val="auto"/>
          <w:sz w:val="24"/>
          <w:highlight w:val="none"/>
        </w:rPr>
        <w:br w:type="page"/>
      </w:r>
    </w:p>
    <w:p w14:paraId="1822E10F">
      <w:pPr>
        <w:spacing w:line="400" w:lineRule="exact"/>
        <w:jc w:val="center"/>
        <w:outlineLvl w:val="3"/>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、技术方案</w:t>
      </w:r>
    </w:p>
    <w:p w14:paraId="231348F4">
      <w:pPr>
        <w:spacing w:line="360" w:lineRule="auto"/>
        <w:rPr>
          <w:rFonts w:hint="eastAsia" w:ascii="宋体" w:hAnsi="宋体" w:eastAsia="宋体" w:cs="宋体"/>
          <w:color w:val="auto"/>
          <w:sz w:val="22"/>
          <w:szCs w:val="22"/>
          <w:highlight w:val="none"/>
          <w:lang w:eastAsia="zh-CN"/>
        </w:rPr>
      </w:pP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17DCB9CB">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2D0F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E934A31">
            <w:pPr>
              <w:spacing w:line="360" w:lineRule="auto"/>
              <w:rPr>
                <w:rFonts w:ascii="宋体" w:hAnsi="宋体" w:cs="宋体"/>
                <w:color w:val="auto"/>
                <w:sz w:val="22"/>
                <w:szCs w:val="22"/>
                <w:highlight w:val="none"/>
              </w:rPr>
            </w:pPr>
          </w:p>
        </w:tc>
      </w:tr>
    </w:tbl>
    <w:p w14:paraId="49CD3D2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742AEB1F">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549C609B">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7E274EE">
      <w:pPr>
        <w:pStyle w:val="29"/>
        <w:spacing w:line="460" w:lineRule="atLeast"/>
        <w:ind w:left="659" w:leftChars="314" w:firstLine="3740" w:firstLineChars="1700"/>
        <w:rPr>
          <w:rFonts w:hAnsi="宋体" w:cs="宋体"/>
          <w:b w:val="0"/>
          <w:bCs/>
          <w:color w:val="auto"/>
          <w:sz w:val="22"/>
          <w:highlight w:val="none"/>
        </w:rPr>
      </w:pPr>
      <w:r>
        <w:rPr>
          <w:rFonts w:hint="eastAsia" w:hAnsi="宋体" w:cs="宋体"/>
          <w:b w:val="0"/>
          <w:color w:val="auto"/>
          <w:kern w:val="2"/>
          <w:sz w:val="22"/>
          <w:szCs w:val="22"/>
          <w:highlight w:val="none"/>
        </w:rPr>
        <w:t>日  期：</w:t>
      </w:r>
      <w:r>
        <w:rPr>
          <w:rFonts w:hint="eastAsia" w:hAnsi="宋体" w:cs="宋体"/>
          <w:b w:val="0"/>
          <w:bCs/>
          <w:color w:val="auto"/>
          <w:sz w:val="22"/>
          <w:highlight w:val="none"/>
        </w:rPr>
        <w:t xml:space="preserve"> </w:t>
      </w:r>
    </w:p>
    <w:p w14:paraId="0B11F030">
      <w:pPr>
        <w:pStyle w:val="29"/>
        <w:spacing w:line="400" w:lineRule="atLeast"/>
        <w:ind w:left="663" w:hanging="663" w:hangingChars="300"/>
        <w:rPr>
          <w:rFonts w:hAnsi="宋体" w:cs="宋体"/>
          <w:color w:val="auto"/>
          <w:sz w:val="22"/>
          <w:highlight w:val="none"/>
        </w:rPr>
      </w:pPr>
    </w:p>
    <w:p w14:paraId="6C016F13">
      <w:pPr>
        <w:pStyle w:val="29"/>
        <w:spacing w:line="400" w:lineRule="atLeast"/>
        <w:ind w:left="663" w:hanging="663" w:hangingChars="300"/>
        <w:rPr>
          <w:rFonts w:hAnsi="宋体" w:cs="宋体"/>
          <w:color w:val="auto"/>
          <w:sz w:val="22"/>
          <w:highlight w:val="none"/>
        </w:rPr>
      </w:pPr>
    </w:p>
    <w:p w14:paraId="1F45B17B">
      <w:pPr>
        <w:pStyle w:val="29"/>
        <w:spacing w:line="400" w:lineRule="atLeast"/>
        <w:rPr>
          <w:rFonts w:hAnsi="宋体" w:cs="宋体"/>
          <w:color w:val="auto"/>
          <w:sz w:val="22"/>
          <w:highlight w:val="none"/>
        </w:rPr>
      </w:pPr>
    </w:p>
    <w:p w14:paraId="4D8942FA">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、工作管理体系及绩效考核方案</w:t>
      </w:r>
    </w:p>
    <w:p w14:paraId="35E55B7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5EBE6BA9">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11C0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087E4A05">
            <w:pPr>
              <w:spacing w:line="360" w:lineRule="auto"/>
              <w:rPr>
                <w:rFonts w:ascii="宋体" w:hAnsi="宋体" w:cs="宋体"/>
                <w:color w:val="auto"/>
                <w:sz w:val="22"/>
                <w:szCs w:val="22"/>
                <w:highlight w:val="none"/>
              </w:rPr>
            </w:pPr>
          </w:p>
        </w:tc>
      </w:tr>
    </w:tbl>
    <w:p w14:paraId="78E32259">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A0A42A8">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7162F12C">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7CEFB060">
      <w:pPr>
        <w:pStyle w:val="29"/>
        <w:spacing w:line="460" w:lineRule="atLeast"/>
        <w:ind w:left="659" w:leftChars="314" w:firstLine="3740" w:firstLineChars="1700"/>
        <w:rPr>
          <w:rFonts w:hAnsi="宋体" w:cs="宋体"/>
          <w:b w:val="0"/>
          <w:bCs/>
          <w:color w:val="auto"/>
          <w:sz w:val="22"/>
          <w:highlight w:val="none"/>
        </w:rPr>
      </w:pPr>
      <w:r>
        <w:rPr>
          <w:rFonts w:hint="eastAsia" w:hAnsi="宋体" w:cs="宋体"/>
          <w:b w:val="0"/>
          <w:color w:val="auto"/>
          <w:kern w:val="2"/>
          <w:sz w:val="22"/>
          <w:szCs w:val="22"/>
          <w:highlight w:val="none"/>
        </w:rPr>
        <w:t>日  期：</w:t>
      </w:r>
      <w:r>
        <w:rPr>
          <w:rFonts w:hint="eastAsia" w:hAnsi="宋体" w:cs="宋体"/>
          <w:b w:val="0"/>
          <w:bCs/>
          <w:color w:val="auto"/>
          <w:sz w:val="22"/>
          <w:highlight w:val="none"/>
        </w:rPr>
        <w:t xml:space="preserve"> </w:t>
      </w:r>
    </w:p>
    <w:p w14:paraId="280C0930">
      <w:pPr>
        <w:spacing w:line="460" w:lineRule="exact"/>
        <w:ind w:firstLine="4400" w:firstLineChars="2000"/>
        <w:rPr>
          <w:rFonts w:ascii="宋体" w:hAnsi="宋体" w:cs="宋体"/>
          <w:color w:val="auto"/>
          <w:sz w:val="22"/>
          <w:szCs w:val="22"/>
          <w:highlight w:val="none"/>
        </w:rPr>
      </w:pPr>
    </w:p>
    <w:p w14:paraId="57FAA6CA">
      <w:pPr>
        <w:spacing w:line="460" w:lineRule="exact"/>
        <w:ind w:firstLine="4400" w:firstLineChars="2000"/>
        <w:rPr>
          <w:rFonts w:ascii="宋体" w:hAnsi="宋体" w:cs="宋体"/>
          <w:color w:val="auto"/>
          <w:sz w:val="22"/>
          <w:szCs w:val="22"/>
          <w:highlight w:val="none"/>
        </w:rPr>
      </w:pPr>
    </w:p>
    <w:p w14:paraId="713AF655">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、安全保密方案</w:t>
      </w:r>
    </w:p>
    <w:p w14:paraId="6C36103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3DBA25EC">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B3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22A3755">
            <w:pPr>
              <w:spacing w:line="360" w:lineRule="auto"/>
              <w:rPr>
                <w:rFonts w:ascii="宋体" w:hAnsi="宋体" w:cs="宋体"/>
                <w:color w:val="auto"/>
                <w:sz w:val="22"/>
                <w:szCs w:val="22"/>
                <w:highlight w:val="none"/>
              </w:rPr>
            </w:pPr>
          </w:p>
        </w:tc>
      </w:tr>
    </w:tbl>
    <w:p w14:paraId="2C806B5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D9A1B5C">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099DE969">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44F703F6">
      <w:pPr>
        <w:spacing w:line="460" w:lineRule="exact"/>
        <w:ind w:firstLine="4400" w:firstLineChars="2000"/>
        <w:rPr>
          <w:rFonts w:ascii="宋体" w:hAnsi="宋体" w:cs="宋体"/>
          <w:color w:val="auto"/>
          <w:highlight w:val="none"/>
        </w:rPr>
      </w:pPr>
      <w:r>
        <w:rPr>
          <w:rFonts w:hint="eastAsia" w:ascii="宋体" w:hAnsi="宋体" w:cs="宋体"/>
          <w:color w:val="auto"/>
          <w:sz w:val="22"/>
          <w:szCs w:val="22"/>
          <w:highlight w:val="none"/>
        </w:rPr>
        <w:t>日  期：</w:t>
      </w:r>
    </w:p>
    <w:p w14:paraId="3A1C2A87">
      <w:pPr>
        <w:rPr>
          <w:rFonts w:ascii="宋体" w:hAnsi="宋体" w:cs="宋体"/>
          <w:b/>
          <w:color w:val="auto"/>
          <w:sz w:val="24"/>
          <w:highlight w:val="none"/>
        </w:rPr>
      </w:pPr>
      <w:r>
        <w:rPr>
          <w:rFonts w:hint="eastAsia" w:ascii="宋体" w:hAnsi="宋体" w:cs="宋体"/>
          <w:b/>
          <w:color w:val="auto"/>
          <w:sz w:val="24"/>
          <w:highlight w:val="none"/>
        </w:rPr>
        <w:br w:type="page"/>
      </w:r>
    </w:p>
    <w:p w14:paraId="1983743B">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、企微履约质量风控能力</w:t>
      </w:r>
    </w:p>
    <w:p w14:paraId="106E29C9">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77FE7679">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5B3F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4CC2DFE9">
            <w:pPr>
              <w:spacing w:line="360" w:lineRule="auto"/>
              <w:rPr>
                <w:rFonts w:ascii="宋体" w:hAnsi="宋体" w:cs="宋体"/>
                <w:color w:val="auto"/>
                <w:sz w:val="22"/>
                <w:szCs w:val="22"/>
                <w:highlight w:val="none"/>
              </w:rPr>
            </w:pPr>
          </w:p>
        </w:tc>
      </w:tr>
    </w:tbl>
    <w:p w14:paraId="10D5017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8675336">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7F459662">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61F3178">
      <w:pPr>
        <w:spacing w:line="460" w:lineRule="exact"/>
        <w:ind w:firstLine="4400" w:firstLineChars="2000"/>
        <w:rPr>
          <w:rFonts w:ascii="宋体" w:hAnsi="宋体" w:cs="宋体"/>
          <w:color w:val="auto"/>
          <w:highlight w:val="none"/>
        </w:rPr>
      </w:pPr>
      <w:r>
        <w:rPr>
          <w:rFonts w:hint="eastAsia" w:ascii="宋体" w:hAnsi="宋体" w:cs="宋体"/>
          <w:color w:val="auto"/>
          <w:sz w:val="22"/>
          <w:szCs w:val="22"/>
          <w:highlight w:val="none"/>
        </w:rPr>
        <w:t>日  期：</w:t>
      </w:r>
    </w:p>
    <w:p w14:paraId="601911FA">
      <w:pPr>
        <w:rPr>
          <w:rFonts w:hint="eastAsia" w:ascii="宋体" w:hAnsi="宋体" w:cs="宋体"/>
          <w:b/>
          <w:bCs/>
          <w:color w:val="auto"/>
          <w:sz w:val="28"/>
          <w:szCs w:val="28"/>
          <w:highlight w:val="none"/>
        </w:rPr>
      </w:pPr>
    </w:p>
    <w:p w14:paraId="200DD55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EDAB322">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、软件支持方案</w:t>
      </w:r>
    </w:p>
    <w:p w14:paraId="0F0C723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5586F1B4">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41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34EF461B">
            <w:pPr>
              <w:spacing w:line="360" w:lineRule="auto"/>
              <w:rPr>
                <w:rFonts w:ascii="宋体" w:hAnsi="宋体" w:cs="宋体"/>
                <w:color w:val="auto"/>
                <w:sz w:val="22"/>
                <w:szCs w:val="22"/>
                <w:highlight w:val="none"/>
              </w:rPr>
            </w:pPr>
          </w:p>
        </w:tc>
      </w:tr>
    </w:tbl>
    <w:p w14:paraId="32FC3132">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17F750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1E8FEC79">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0BC6D499">
      <w:pPr>
        <w:spacing w:line="460" w:lineRule="exact"/>
        <w:ind w:firstLine="4400" w:firstLineChars="2000"/>
        <w:rPr>
          <w:rFonts w:ascii="宋体" w:hAnsi="宋体" w:cs="宋体"/>
          <w:color w:val="auto"/>
          <w:highlight w:val="none"/>
        </w:rPr>
      </w:pPr>
      <w:r>
        <w:rPr>
          <w:rFonts w:hint="eastAsia" w:ascii="宋体" w:hAnsi="宋体" w:cs="宋体"/>
          <w:color w:val="auto"/>
          <w:sz w:val="22"/>
          <w:szCs w:val="22"/>
          <w:highlight w:val="none"/>
        </w:rPr>
        <w:t>日  期：</w:t>
      </w:r>
    </w:p>
    <w:p w14:paraId="0A07EAB2">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FD88C62">
      <w:pPr>
        <w:spacing w:line="400" w:lineRule="exact"/>
        <w:jc w:val="center"/>
        <w:outlineLvl w:val="3"/>
        <w:rPr>
          <w:rFonts w:ascii="新宋体" w:hAnsi="新宋体" w:eastAsia="新宋体" w:cs="新宋体"/>
          <w:b/>
          <w:color w:val="auto"/>
          <w:sz w:val="24"/>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、软件服务运维</w:t>
      </w:r>
    </w:p>
    <w:p w14:paraId="117030D4">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388A822F">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42D3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FD331CF">
            <w:pPr>
              <w:spacing w:line="360" w:lineRule="auto"/>
              <w:rPr>
                <w:rFonts w:ascii="宋体" w:hAnsi="宋体" w:cs="宋体"/>
                <w:color w:val="auto"/>
                <w:sz w:val="22"/>
                <w:szCs w:val="22"/>
                <w:highlight w:val="none"/>
              </w:rPr>
            </w:pPr>
          </w:p>
        </w:tc>
      </w:tr>
    </w:tbl>
    <w:p w14:paraId="765ABDE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CD8771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投标人全称（盖章）：</w:t>
      </w:r>
    </w:p>
    <w:p w14:paraId="5CF1E00A">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0CA3414">
      <w:pPr>
        <w:spacing w:line="460" w:lineRule="exact"/>
        <w:ind w:firstLine="4400" w:firstLineChars="2000"/>
        <w:rPr>
          <w:rFonts w:ascii="宋体" w:hAnsi="宋体" w:cs="宋体"/>
          <w:color w:val="auto"/>
          <w:highlight w:val="none"/>
        </w:rPr>
      </w:pPr>
      <w:r>
        <w:rPr>
          <w:rFonts w:hint="eastAsia" w:ascii="宋体" w:hAnsi="宋体" w:cs="宋体"/>
          <w:color w:val="auto"/>
          <w:sz w:val="22"/>
          <w:szCs w:val="22"/>
          <w:highlight w:val="none"/>
        </w:rPr>
        <w:t>日  期：</w:t>
      </w:r>
    </w:p>
    <w:p w14:paraId="081D8466">
      <w:pPr>
        <w:pStyle w:val="2"/>
        <w:rPr>
          <w:rFonts w:hint="eastAsia"/>
          <w:color w:val="auto"/>
          <w:highlight w:val="none"/>
        </w:rPr>
      </w:pPr>
    </w:p>
    <w:p w14:paraId="26AE1564">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5B90450">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、其他必要提供的资料</w:t>
      </w:r>
    </w:p>
    <w:p w14:paraId="731D6060">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330300261320090000009-WZLCZB（Z）-2026-03055-1</w:t>
      </w:r>
    </w:p>
    <w:p w14:paraId="5663E56D">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诊后疾病精细化管理服务项目(重)</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66BC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2657450B">
            <w:pPr>
              <w:spacing w:line="360" w:lineRule="auto"/>
              <w:rPr>
                <w:rFonts w:ascii="宋体" w:hAnsi="宋体" w:cs="宋体"/>
                <w:color w:val="auto"/>
                <w:sz w:val="22"/>
                <w:szCs w:val="22"/>
                <w:highlight w:val="none"/>
              </w:rPr>
            </w:pPr>
          </w:p>
        </w:tc>
      </w:tr>
    </w:tbl>
    <w:p w14:paraId="66D78438">
      <w:pPr>
        <w:spacing w:line="460" w:lineRule="exact"/>
        <w:ind w:firstLine="5060" w:firstLineChars="2300"/>
        <w:rPr>
          <w:rFonts w:ascii="宋体" w:hAnsi="宋体" w:cs="宋体"/>
          <w:color w:val="auto"/>
          <w:sz w:val="22"/>
          <w:szCs w:val="22"/>
          <w:highlight w:val="none"/>
        </w:rPr>
      </w:pPr>
    </w:p>
    <w:p w14:paraId="7CC77E21">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80DF7DC">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03982962">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40483B43">
      <w:pPr>
        <w:spacing w:line="380" w:lineRule="exact"/>
        <w:ind w:firstLine="4400" w:firstLineChars="2000"/>
        <w:rPr>
          <w:rFonts w:ascii="宋体" w:hAnsi="宋体" w:cs="宋体"/>
          <w:color w:val="auto"/>
          <w:sz w:val="22"/>
          <w:szCs w:val="22"/>
          <w:highlight w:val="none"/>
        </w:rPr>
      </w:pPr>
    </w:p>
    <w:p w14:paraId="5DE88FA1">
      <w:pPr>
        <w:spacing w:line="460" w:lineRule="exact"/>
        <w:ind w:firstLine="4400" w:firstLineChars="2000"/>
        <w:rPr>
          <w:rFonts w:ascii="宋体" w:hAnsi="宋体" w:cs="宋体"/>
          <w:color w:val="auto"/>
          <w:sz w:val="22"/>
          <w:szCs w:val="22"/>
          <w:highlight w:val="none"/>
        </w:rPr>
      </w:pPr>
    </w:p>
    <w:p w14:paraId="75B6CF41">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6E09119D">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6C83861F">
      <w:pPr>
        <w:pStyle w:val="5"/>
        <w:rPr>
          <w:rFonts w:ascii="宋体" w:hAnsi="宋体" w:eastAsia="宋体" w:cs="宋体"/>
          <w:color w:val="auto"/>
          <w:highlight w:val="none"/>
        </w:rPr>
      </w:pPr>
      <w:r>
        <w:rPr>
          <w:rFonts w:hint="eastAsia" w:ascii="宋体" w:hAnsi="宋体" w:eastAsia="宋体" w:cs="宋体"/>
          <w:color w:val="auto"/>
          <w:highlight w:val="none"/>
        </w:rPr>
        <w:t xml:space="preserve">第四部分   </w:t>
      </w:r>
      <w:bookmarkStart w:id="45" w:name="_Toc10142"/>
      <w:bookmarkStart w:id="46" w:name="_Toc3381"/>
      <w:bookmarkStart w:id="47" w:name="_Toc221356895"/>
      <w:bookmarkStart w:id="48" w:name="_Toc221356958"/>
      <w:r>
        <w:rPr>
          <w:rFonts w:hint="eastAsia" w:ascii="宋体" w:hAnsi="宋体" w:eastAsia="宋体" w:cs="宋体"/>
          <w:color w:val="auto"/>
          <w:highlight w:val="none"/>
        </w:rPr>
        <w:t>项目技术规范和服务要求</w:t>
      </w:r>
      <w:bookmarkEnd w:id="45"/>
      <w:bookmarkEnd w:id="46"/>
    </w:p>
    <w:bookmarkEnd w:id="47"/>
    <w:bookmarkEnd w:id="48"/>
    <w:p w14:paraId="3DEB7504">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bookmarkStart w:id="49" w:name="_Hlk191915606"/>
      <w:bookmarkStart w:id="50" w:name="_Toc18194"/>
      <w:bookmarkStart w:id="51" w:name="_Toc30323"/>
      <w:r>
        <w:rPr>
          <w:rFonts w:hint="eastAsia" w:ascii="宋体" w:hAnsi="宋体" w:eastAsia="宋体" w:cs="宋体"/>
          <w:color w:val="auto"/>
          <w:kern w:val="0"/>
          <w:sz w:val="22"/>
          <w:szCs w:val="22"/>
          <w:highlight w:val="none"/>
        </w:rPr>
        <w:t>带“★”条款系指实质性要求条款，服务供应商须对带“▲”标记的条款作出实质性响应。不满足则为无效响应。</w:t>
      </w:r>
      <w:bookmarkEnd w:id="49"/>
    </w:p>
    <w:p w14:paraId="38888AE2">
      <w:pPr>
        <w:pStyle w:val="348"/>
        <w:keepNext w:val="0"/>
        <w:keepLines w:val="0"/>
        <w:pageBreakBefore w:val="0"/>
        <w:widowControl w:val="0"/>
        <w:kinsoku/>
        <w:wordWrap/>
        <w:overflowPunct/>
        <w:topLinePunct w:val="0"/>
        <w:autoSpaceDE/>
        <w:autoSpaceDN/>
        <w:bidi w:val="0"/>
        <w:adjustRightInd/>
        <w:spacing w:beforeLines="0" w:afterLines="0"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一、项目背景</w:t>
      </w:r>
    </w:p>
    <w:p w14:paraId="22EE5A0F">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采购第三方的患者诊后疾病精细化管理劳务外包服务，服务时间：合同期一年（合同约定时间起算）,本期项目预算为</w:t>
      </w:r>
      <w:r>
        <w:rPr>
          <w:rFonts w:hint="eastAsia" w:ascii="宋体" w:hAnsi="宋体" w:eastAsia="宋体" w:cs="宋体"/>
          <w:color w:val="auto"/>
          <w:sz w:val="22"/>
          <w:szCs w:val="22"/>
          <w:highlight w:val="none"/>
          <w:lang w:val="en-US" w:eastAsia="zh-CN"/>
        </w:rPr>
        <w:t>560</w:t>
      </w:r>
      <w:r>
        <w:rPr>
          <w:rFonts w:hint="eastAsia" w:ascii="宋体" w:hAnsi="宋体" w:eastAsia="宋体" w:cs="宋体"/>
          <w:color w:val="auto"/>
          <w:sz w:val="22"/>
          <w:szCs w:val="22"/>
          <w:highlight w:val="none"/>
        </w:rPr>
        <w:t>万元。</w:t>
      </w:r>
    </w:p>
    <w:p w14:paraId="6FDC1D07">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为响应国家“健康中国”号召，拟通过劳务外包的形式引进专业的第三方患者诊后疾病精细化管理服务供应商（以下简称“服务供应商”），共同探索并建立医、防一体的具有诊后高度管理价值的患者诊后疾病精细化健康服务创新模式。由服务供应商协助采购人为有需要的患者提供“线上+线下、院内+院外”的全方位、多层次、个性化、连续性的4大类疾病精细化管理服务，包括</w:t>
      </w:r>
      <w:bookmarkStart w:id="52" w:name="_Hlk174980662"/>
      <w:r>
        <w:rPr>
          <w:rFonts w:hint="eastAsia" w:ascii="宋体" w:hAnsi="宋体" w:eastAsia="宋体" w:cs="宋体"/>
          <w:color w:val="auto"/>
          <w:sz w:val="22"/>
          <w:szCs w:val="22"/>
          <w:highlight w:val="none"/>
        </w:rPr>
        <w:t>诊后疾病精细化标准管理服务</w:t>
      </w:r>
      <w:bookmarkEnd w:id="52"/>
      <w:r>
        <w:rPr>
          <w:rFonts w:hint="eastAsia" w:ascii="宋体" w:hAnsi="宋体" w:eastAsia="宋体" w:cs="宋体"/>
          <w:color w:val="auto"/>
          <w:sz w:val="22"/>
          <w:szCs w:val="22"/>
          <w:highlight w:val="none"/>
        </w:rPr>
        <w:t>、生活方式干预管理服务、心理咨询服务和新媒体患者运营服务。服务内容包括但不限于疾病管理、复诊管理、用药指导、居家康复指导、病情症状异常健康干预、心理咨询、院内陪诊、医院公众号健康商城运营等，从而最大限度地提升采购人的医疗服务质量，大幅提升患者对医院的满意度和获得感，通过优质的诊后患者管理服务来大幅提升采购人在本区域内的竞争力。</w:t>
      </w:r>
    </w:p>
    <w:p w14:paraId="1370B38B">
      <w:pPr>
        <w:pStyle w:val="348"/>
        <w:keepNext w:val="0"/>
        <w:keepLines w:val="0"/>
        <w:pageBreakBefore w:val="0"/>
        <w:widowControl w:val="0"/>
        <w:kinsoku/>
        <w:wordWrap/>
        <w:overflowPunct/>
        <w:topLinePunct w:val="0"/>
        <w:autoSpaceDE/>
        <w:autoSpaceDN/>
        <w:bidi w:val="0"/>
        <w:adjustRightInd/>
        <w:spacing w:beforeLines="0" w:afterLines="0"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二、服务对象</w:t>
      </w:r>
    </w:p>
    <w:p w14:paraId="5B0DDD40">
      <w:pPr>
        <w:pStyle w:val="23"/>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1.诊后疾病精细化标准管理服务:</w:t>
      </w:r>
      <w:r>
        <w:rPr>
          <w:rFonts w:hint="eastAsia" w:ascii="宋体" w:hAnsi="宋体" w:eastAsia="宋体" w:cs="宋体"/>
          <w:color w:val="auto"/>
          <w:sz w:val="22"/>
          <w:szCs w:val="22"/>
          <w:highlight w:val="none"/>
        </w:rPr>
        <w:t>主要面向具有诊后疾病精细化管理价值的患者（如慢性病类疾病、恶性肿瘤类疾病、日间手术和重大手术后类疾病、妇女和儿童类等常见病的门诊、住院患者和体检人群）提供诊后疾病精细化标准管理服务；</w:t>
      </w:r>
    </w:p>
    <w:p w14:paraId="10E764B7">
      <w:pPr>
        <w:pStyle w:val="23"/>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2.生活方式干预管理服务：</w:t>
      </w:r>
      <w:r>
        <w:rPr>
          <w:rFonts w:hint="eastAsia" w:ascii="宋体" w:hAnsi="宋体" w:eastAsia="宋体" w:cs="宋体"/>
          <w:color w:val="auto"/>
          <w:sz w:val="22"/>
          <w:szCs w:val="22"/>
          <w:highlight w:val="none"/>
        </w:rPr>
        <w:t>主要面向多囊卵巢综合征、脂肪肝、糖尿病伴肥胖、儿童肥胖等需要减重管理的患者群体提供生活方式干预管理服务（包括营养干预、运动康复指导等）；</w:t>
      </w:r>
    </w:p>
    <w:p w14:paraId="6C90D8F8">
      <w:pPr>
        <w:pStyle w:val="23"/>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3.心理咨询服务:</w:t>
      </w:r>
      <w:r>
        <w:rPr>
          <w:rFonts w:hint="eastAsia" w:ascii="宋体" w:hAnsi="宋体" w:eastAsia="宋体" w:cs="宋体"/>
          <w:color w:val="auto"/>
          <w:sz w:val="22"/>
          <w:szCs w:val="22"/>
          <w:highlight w:val="none"/>
        </w:rPr>
        <w:t>主要面向儿童、青少年、成年及家庭提供心理咨询服务；</w:t>
      </w:r>
    </w:p>
    <w:p w14:paraId="7E0AC6D1">
      <w:pPr>
        <w:pStyle w:val="23"/>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4.新媒体患者运营服务：</w:t>
      </w:r>
      <w:r>
        <w:rPr>
          <w:rFonts w:hint="eastAsia" w:ascii="宋体" w:hAnsi="宋体" w:eastAsia="宋体" w:cs="宋体"/>
          <w:color w:val="auto"/>
          <w:sz w:val="22"/>
          <w:szCs w:val="22"/>
          <w:highlight w:val="none"/>
        </w:rPr>
        <w:t>主要在医院官方抖音号、视频号、小红书或快手号等新媒体上为医生打造个人品牌IP，实现患者引流到院内就诊的全流程运营。</w:t>
      </w:r>
    </w:p>
    <w:p w14:paraId="62FD4AFE">
      <w:pPr>
        <w:pStyle w:val="348"/>
        <w:keepNext w:val="0"/>
        <w:keepLines w:val="0"/>
        <w:pageBreakBefore w:val="0"/>
        <w:widowControl w:val="0"/>
        <w:kinsoku/>
        <w:wordWrap/>
        <w:overflowPunct/>
        <w:topLinePunct w:val="0"/>
        <w:autoSpaceDE/>
        <w:autoSpaceDN/>
        <w:bidi w:val="0"/>
        <w:adjustRightInd/>
        <w:spacing w:beforeLines="0" w:afterLines="0"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三、履约团队职责及专业性要求</w:t>
      </w:r>
    </w:p>
    <w:p w14:paraId="307655DA">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outlineLvl w:val="2"/>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val="0"/>
          <w:color w:val="auto"/>
          <w:sz w:val="22"/>
          <w:szCs w:val="22"/>
          <w:highlight w:val="none"/>
          <w:lang w:val="en-US" w:eastAsia="zh-CN"/>
        </w:rPr>
        <w:t>服务供应商</w:t>
      </w:r>
      <w:r>
        <w:rPr>
          <w:rFonts w:hint="eastAsia" w:ascii="宋体" w:hAnsi="宋体" w:eastAsia="宋体" w:cs="宋体"/>
          <w:b/>
          <w:bCs/>
          <w:color w:val="auto"/>
          <w:sz w:val="22"/>
          <w:szCs w:val="22"/>
          <w:highlight w:val="none"/>
          <w:lang w:val="en-US" w:eastAsia="zh-CN"/>
        </w:rPr>
        <w:t>收案及履约</w:t>
      </w:r>
    </w:p>
    <w:p w14:paraId="6CD3447A">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为了保障诊后疾病精细化管理服务的规范性和科学性，</w:t>
      </w:r>
      <w:r>
        <w:rPr>
          <w:rFonts w:hint="eastAsia" w:ascii="宋体" w:hAnsi="宋体" w:eastAsia="宋体" w:cs="宋体"/>
          <w:color w:val="auto"/>
          <w:sz w:val="22"/>
          <w:szCs w:val="22"/>
          <w:highlight w:val="none"/>
          <w:lang w:val="en-US" w:eastAsia="zh-CN"/>
        </w:rPr>
        <w:t>双方</w:t>
      </w:r>
      <w:r>
        <w:rPr>
          <w:rFonts w:hint="eastAsia" w:ascii="宋体" w:hAnsi="宋体" w:eastAsia="宋体" w:cs="宋体"/>
          <w:color w:val="auto"/>
          <w:sz w:val="22"/>
          <w:szCs w:val="22"/>
          <w:highlight w:val="none"/>
        </w:rPr>
        <w:t>共同组建一支专业的诊后疾病精细化管理服务团队。</w:t>
      </w:r>
    </w:p>
    <w:p w14:paraId="5EFB7D9E">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服务供应商需</w:t>
      </w:r>
      <w:r>
        <w:rPr>
          <w:rFonts w:hint="eastAsia" w:ascii="宋体" w:hAnsi="宋体" w:eastAsia="宋体" w:cs="宋体"/>
          <w:bCs/>
          <w:color w:val="auto"/>
          <w:sz w:val="22"/>
          <w:szCs w:val="22"/>
          <w:highlight w:val="none"/>
        </w:rPr>
        <w:t>安排有医学背景（具备护师、医师、营养师、运动康复师、药师、健康管理师等任一医学资格能力）的服务人员。人员配置包括但不限于项目总负责人、医学路径梳理团队、医学内容编制团队、线下健康管理团队、线上个案管理师团队、和软件支持团队。各个团队</w:t>
      </w:r>
      <w:r>
        <w:rPr>
          <w:rFonts w:hint="eastAsia" w:ascii="宋体" w:hAnsi="宋体" w:eastAsia="宋体" w:cs="宋体"/>
          <w:bCs/>
          <w:color w:val="auto"/>
          <w:sz w:val="22"/>
          <w:szCs w:val="22"/>
          <w:highlight w:val="none"/>
          <w:lang w:val="en-US" w:eastAsia="zh-CN"/>
        </w:rPr>
        <w:t>人员工作职责要求如下：</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45" w:type="dxa"/>
          <w:bottom w:w="17" w:type="dxa"/>
          <w:right w:w="45" w:type="dxa"/>
        </w:tblCellMar>
      </w:tblPr>
      <w:tblGrid>
        <w:gridCol w:w="624"/>
        <w:gridCol w:w="946"/>
        <w:gridCol w:w="8154"/>
      </w:tblGrid>
      <w:tr w14:paraId="78DE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094EA4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86" w:type="pct"/>
            <w:tcBorders>
              <w:top w:val="single" w:color="auto" w:sz="4" w:space="0"/>
              <w:left w:val="nil"/>
              <w:bottom w:val="single" w:color="auto" w:sz="4" w:space="0"/>
              <w:right w:val="single" w:color="auto" w:sz="4" w:space="0"/>
            </w:tcBorders>
            <w:noWrap w:val="0"/>
            <w:vAlign w:val="center"/>
          </w:tcPr>
          <w:p w14:paraId="42C939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191" w:type="pct"/>
            <w:tcBorders>
              <w:top w:val="single" w:color="auto" w:sz="4" w:space="0"/>
              <w:left w:val="nil"/>
              <w:bottom w:val="single" w:color="auto" w:sz="4" w:space="0"/>
              <w:right w:val="single" w:color="auto" w:sz="4" w:space="0"/>
            </w:tcBorders>
            <w:noWrap w:val="0"/>
            <w:vAlign w:val="center"/>
          </w:tcPr>
          <w:p w14:paraId="2791D47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工作职责</w:t>
            </w:r>
          </w:p>
        </w:tc>
      </w:tr>
      <w:tr w14:paraId="763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5C766FA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46" w:type="dxa"/>
            <w:tcBorders>
              <w:top w:val="single" w:color="auto" w:sz="4" w:space="0"/>
              <w:left w:val="nil"/>
              <w:right w:val="single" w:color="auto" w:sz="4" w:space="0"/>
            </w:tcBorders>
            <w:noWrap w:val="0"/>
            <w:vAlign w:val="center"/>
          </w:tcPr>
          <w:p w14:paraId="515680A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项目总负责人</w:t>
            </w:r>
          </w:p>
          <w:p w14:paraId="1835A24B">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1B2C32B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统筹协调各分团队的工作开展和日常管理，每周输出患者情况医学报告给临床科室主任及院领导；对VIP患者就医体验进行跟踪和回访，统筹紧急异常病情患者的应急就诊，处理患者投诉等；每月输出一份报告给我方指定的负责人；陪同来访参观人员的接待和解答。</w:t>
            </w:r>
          </w:p>
        </w:tc>
      </w:tr>
      <w:tr w14:paraId="224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53CD87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946" w:type="dxa"/>
            <w:tcBorders>
              <w:top w:val="single" w:color="auto" w:sz="4" w:space="0"/>
              <w:left w:val="nil"/>
              <w:right w:val="single" w:color="auto" w:sz="4" w:space="0"/>
            </w:tcBorders>
            <w:noWrap w:val="0"/>
            <w:vAlign w:val="center"/>
          </w:tcPr>
          <w:p w14:paraId="4D200DD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线下健康管理团队</w:t>
            </w:r>
          </w:p>
          <w:p w14:paraId="023C2B53">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w:t>
            </w: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1E92BDD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负责面向患者现场进行服务内容宣教，协助患者签署知情同意书，协调线上远程健康管理团队与临床医护之间的沟通，提供线下非医疗诊断的健康咨询服务，提供诊后疾病管理中心体验区的带教工作等；</w:t>
            </w:r>
          </w:p>
        </w:tc>
      </w:tr>
      <w:tr w14:paraId="3B0F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restart"/>
            <w:tcBorders>
              <w:top w:val="single" w:color="auto" w:sz="4" w:space="0"/>
              <w:left w:val="single" w:color="auto" w:sz="4" w:space="0"/>
              <w:right w:val="single" w:color="auto" w:sz="4" w:space="0"/>
            </w:tcBorders>
            <w:noWrap w:val="0"/>
            <w:vAlign w:val="center"/>
          </w:tcPr>
          <w:p w14:paraId="6D68FD8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946" w:type="dxa"/>
            <w:vMerge w:val="restart"/>
            <w:tcBorders>
              <w:top w:val="single" w:color="auto" w:sz="4" w:space="0"/>
              <w:left w:val="nil"/>
              <w:right w:val="single" w:color="auto" w:sz="4" w:space="0"/>
            </w:tcBorders>
            <w:noWrap w:val="0"/>
            <w:vAlign w:val="center"/>
          </w:tcPr>
          <w:p w14:paraId="0BCA881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医学路径梳理团队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26973AC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负责人的工作职责：</w:t>
            </w:r>
          </w:p>
          <w:p w14:paraId="66C3BF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与各临床科室主任医师进行关于疾病管理方面的医学沟通、管理成效汇报、疾病管理临床科研方案探讨、临床科研成效分析、成果论文编写等；负责对疾病精细化管理的医学路径梳理有关工作的综合协调和管理。</w:t>
            </w:r>
          </w:p>
        </w:tc>
      </w:tr>
      <w:tr w14:paraId="43B8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continue"/>
            <w:tcBorders>
              <w:left w:val="single" w:color="auto" w:sz="4" w:space="0"/>
              <w:bottom w:val="single" w:color="auto" w:sz="4" w:space="0"/>
              <w:right w:val="single" w:color="auto" w:sz="4" w:space="0"/>
            </w:tcBorders>
            <w:noWrap w:val="0"/>
            <w:vAlign w:val="center"/>
          </w:tcPr>
          <w:p w14:paraId="6DCFDC5E">
            <w:pPr>
              <w:jc w:val="center"/>
              <w:rPr>
                <w:rFonts w:hint="eastAsia" w:ascii="宋体" w:hAnsi="宋体" w:eastAsia="宋体" w:cs="宋体"/>
                <w:color w:val="auto"/>
                <w:sz w:val="22"/>
                <w:szCs w:val="22"/>
                <w:highlight w:val="none"/>
              </w:rPr>
            </w:pPr>
          </w:p>
        </w:tc>
        <w:tc>
          <w:tcPr>
            <w:tcW w:w="486" w:type="pct"/>
            <w:vMerge w:val="continue"/>
            <w:tcBorders>
              <w:left w:val="nil"/>
              <w:right w:val="single" w:color="auto" w:sz="4" w:space="0"/>
            </w:tcBorders>
            <w:noWrap w:val="0"/>
            <w:vAlign w:val="center"/>
          </w:tcPr>
          <w:p w14:paraId="2EE24825">
            <w:pPr>
              <w:jc w:val="center"/>
              <w:rPr>
                <w:rFonts w:hint="eastAsia" w:ascii="宋体" w:hAnsi="宋体" w:eastAsia="宋体" w:cs="宋体"/>
                <w:color w:val="auto"/>
                <w:sz w:val="22"/>
                <w:szCs w:val="22"/>
                <w:highlight w:val="none"/>
              </w:rPr>
            </w:pPr>
          </w:p>
        </w:tc>
        <w:tc>
          <w:tcPr>
            <w:tcW w:w="4191" w:type="pct"/>
            <w:tcBorders>
              <w:top w:val="single" w:color="auto" w:sz="4" w:space="0"/>
              <w:left w:val="nil"/>
              <w:bottom w:val="single" w:color="auto" w:sz="4" w:space="0"/>
              <w:right w:val="single" w:color="auto" w:sz="4" w:space="0"/>
            </w:tcBorders>
            <w:noWrap w:val="0"/>
            <w:vAlign w:val="center"/>
          </w:tcPr>
          <w:p w14:paraId="51088A6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其他成员的工作职责：</w:t>
            </w:r>
          </w:p>
          <w:p w14:paraId="4B1CA2C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负责与各临床科室的专科医生、专科护士进行医学沟通；负责诊后疾病精细化管理路径的具体医学梳理及编制；负责疾病管理过程中的疑难问题的医学解答等工作；负责对个案管理团队提供医学支持工作；</w:t>
            </w:r>
          </w:p>
        </w:tc>
      </w:tr>
      <w:tr w14:paraId="0DDA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restart"/>
            <w:tcBorders>
              <w:top w:val="single" w:color="auto" w:sz="4" w:space="0"/>
              <w:left w:val="single" w:color="auto" w:sz="4" w:space="0"/>
              <w:right w:val="single" w:color="auto" w:sz="4" w:space="0"/>
            </w:tcBorders>
            <w:noWrap w:val="0"/>
            <w:vAlign w:val="center"/>
          </w:tcPr>
          <w:p w14:paraId="5535EFE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946" w:type="dxa"/>
            <w:vMerge w:val="restart"/>
            <w:tcBorders>
              <w:top w:val="single" w:color="auto" w:sz="4" w:space="0"/>
              <w:left w:val="nil"/>
              <w:right w:val="single" w:color="auto" w:sz="4" w:space="0"/>
            </w:tcBorders>
            <w:noWrap w:val="0"/>
            <w:vAlign w:val="center"/>
          </w:tcPr>
          <w:p w14:paraId="64ECB95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医学内容编制团队</w:t>
            </w:r>
          </w:p>
          <w:p w14:paraId="29FA91DA">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348DAE7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负责人的工作职责：</w:t>
            </w:r>
          </w:p>
          <w:p w14:paraId="72EA257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把控整个医学内容编制团队医学内容编制工作的管理和协调工作。</w:t>
            </w:r>
          </w:p>
        </w:tc>
      </w:tr>
      <w:tr w14:paraId="4391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continue"/>
            <w:tcBorders>
              <w:left w:val="single" w:color="auto" w:sz="4" w:space="0"/>
              <w:bottom w:val="single" w:color="auto" w:sz="4" w:space="0"/>
              <w:right w:val="single" w:color="auto" w:sz="4" w:space="0"/>
            </w:tcBorders>
            <w:noWrap w:val="0"/>
            <w:vAlign w:val="center"/>
          </w:tcPr>
          <w:p w14:paraId="7E626713">
            <w:pPr>
              <w:jc w:val="center"/>
              <w:rPr>
                <w:rFonts w:hint="eastAsia" w:ascii="宋体" w:hAnsi="宋体" w:eastAsia="宋体" w:cs="宋体"/>
                <w:color w:val="auto"/>
                <w:sz w:val="22"/>
                <w:szCs w:val="22"/>
                <w:highlight w:val="none"/>
              </w:rPr>
            </w:pPr>
          </w:p>
        </w:tc>
        <w:tc>
          <w:tcPr>
            <w:tcW w:w="486" w:type="pct"/>
            <w:vMerge w:val="continue"/>
            <w:tcBorders>
              <w:left w:val="nil"/>
              <w:right w:val="single" w:color="auto" w:sz="4" w:space="0"/>
            </w:tcBorders>
            <w:noWrap w:val="0"/>
            <w:vAlign w:val="center"/>
          </w:tcPr>
          <w:p w14:paraId="1FDF1550">
            <w:pPr>
              <w:jc w:val="center"/>
              <w:rPr>
                <w:rFonts w:hint="eastAsia" w:ascii="宋体" w:hAnsi="宋体" w:eastAsia="宋体" w:cs="宋体"/>
                <w:color w:val="auto"/>
                <w:sz w:val="22"/>
                <w:szCs w:val="22"/>
                <w:highlight w:val="none"/>
              </w:rPr>
            </w:pPr>
          </w:p>
        </w:tc>
        <w:tc>
          <w:tcPr>
            <w:tcW w:w="4191" w:type="pct"/>
            <w:tcBorders>
              <w:top w:val="single" w:color="auto" w:sz="4" w:space="0"/>
              <w:left w:val="nil"/>
              <w:bottom w:val="single" w:color="auto" w:sz="4" w:space="0"/>
              <w:right w:val="single" w:color="auto" w:sz="4" w:space="0"/>
            </w:tcBorders>
            <w:noWrap w:val="0"/>
            <w:vAlign w:val="center"/>
          </w:tcPr>
          <w:p w14:paraId="069B995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其他成员的工作职责：</w:t>
            </w:r>
          </w:p>
          <w:p w14:paraId="2F19B25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在医生团队的指导下，根据疾病管理服务医学路径的具体要求，编制面向患者的各个健康宣教、疾病宣教内容，包括居家护理指导、居家心理宣教、用药指导、饮食指导、运动康复指导等相关的医学图文视频编制、拍摄、剪辑等；</w:t>
            </w:r>
          </w:p>
        </w:tc>
      </w:tr>
      <w:tr w14:paraId="72D5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restart"/>
            <w:tcBorders>
              <w:left w:val="single" w:color="auto" w:sz="4" w:space="0"/>
              <w:right w:val="single" w:color="auto" w:sz="4" w:space="0"/>
            </w:tcBorders>
            <w:noWrap w:val="0"/>
            <w:vAlign w:val="center"/>
          </w:tcPr>
          <w:p w14:paraId="5FC578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946" w:type="dxa"/>
            <w:vMerge w:val="restart"/>
            <w:tcBorders>
              <w:left w:val="nil"/>
              <w:right w:val="single" w:color="auto" w:sz="4" w:space="0"/>
            </w:tcBorders>
            <w:noWrap w:val="0"/>
            <w:vAlign w:val="center"/>
          </w:tcPr>
          <w:p w14:paraId="5743AEF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线上个案管理师团队</w:t>
            </w:r>
          </w:p>
          <w:p w14:paraId="795B6A01">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w:t>
            </w:r>
            <w:r>
              <w:rPr>
                <w:rFonts w:hint="eastAsia"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34A773F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负责人的工作职责：</w:t>
            </w:r>
          </w:p>
          <w:p w14:paraId="6F4EB10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负责指导团队其他成员开展业务工作；负责与健康监测异常的患者进行深度沟通并衔接到其原主诊医生；审核患者院后疾病管理方案；处理患者管理过程中的疑难问题及制作个案管理报告等。</w:t>
            </w:r>
          </w:p>
        </w:tc>
      </w:tr>
      <w:tr w14:paraId="1C0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continue"/>
            <w:tcBorders>
              <w:left w:val="single" w:color="auto" w:sz="4" w:space="0"/>
              <w:bottom w:val="single" w:color="auto" w:sz="4" w:space="0"/>
              <w:right w:val="single" w:color="auto" w:sz="4" w:space="0"/>
            </w:tcBorders>
            <w:noWrap w:val="0"/>
            <w:vAlign w:val="center"/>
          </w:tcPr>
          <w:p w14:paraId="7B4753EB">
            <w:pPr>
              <w:jc w:val="center"/>
              <w:rPr>
                <w:rFonts w:hint="eastAsia" w:ascii="宋体" w:hAnsi="宋体" w:eastAsia="宋体" w:cs="宋体"/>
                <w:color w:val="auto"/>
                <w:sz w:val="22"/>
                <w:szCs w:val="22"/>
                <w:highlight w:val="none"/>
              </w:rPr>
            </w:pPr>
          </w:p>
        </w:tc>
        <w:tc>
          <w:tcPr>
            <w:tcW w:w="486" w:type="pct"/>
            <w:vMerge w:val="continue"/>
            <w:tcBorders>
              <w:left w:val="nil"/>
              <w:right w:val="single" w:color="auto" w:sz="4" w:space="0"/>
            </w:tcBorders>
            <w:noWrap w:val="0"/>
            <w:vAlign w:val="center"/>
          </w:tcPr>
          <w:p w14:paraId="4B8290A7">
            <w:pPr>
              <w:jc w:val="center"/>
              <w:rPr>
                <w:rFonts w:hint="eastAsia" w:ascii="宋体" w:hAnsi="宋体" w:eastAsia="宋体" w:cs="宋体"/>
                <w:color w:val="auto"/>
                <w:sz w:val="22"/>
                <w:szCs w:val="22"/>
                <w:highlight w:val="none"/>
              </w:rPr>
            </w:pPr>
          </w:p>
        </w:tc>
        <w:tc>
          <w:tcPr>
            <w:tcW w:w="4191" w:type="pct"/>
            <w:tcBorders>
              <w:top w:val="single" w:color="auto" w:sz="4" w:space="0"/>
              <w:left w:val="nil"/>
              <w:bottom w:val="single" w:color="auto" w:sz="4" w:space="0"/>
              <w:right w:val="single" w:color="auto" w:sz="4" w:space="0"/>
            </w:tcBorders>
            <w:noWrap w:val="0"/>
            <w:vAlign w:val="center"/>
          </w:tcPr>
          <w:p w14:paraId="04DAABA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成员的工作职责：负责根据患者精细化管理方案路径上确定的工作内容，与患者联系落实，包括受理咨询电话、专病随访、用药不良反应指导、异常症状采集、居家护理指导、居家营养指导、患者心理初步疏导等工作。</w:t>
            </w:r>
          </w:p>
        </w:tc>
      </w:tr>
      <w:tr w14:paraId="5490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622DC6D6">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946" w:type="dxa"/>
            <w:tcBorders>
              <w:left w:val="nil"/>
              <w:right w:val="single" w:color="auto" w:sz="4" w:space="0"/>
            </w:tcBorders>
            <w:noWrap w:val="0"/>
            <w:vAlign w:val="center"/>
          </w:tcPr>
          <w:p w14:paraId="52D0C3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软件支持团队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4EC88E1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负责根据采购人提出的疾病管理相关的业务需求，对疾病精细化管理软件进行持续迭代完善。</w:t>
            </w:r>
          </w:p>
        </w:tc>
      </w:tr>
    </w:tbl>
    <w:p w14:paraId="6B7C2201">
      <w:pPr>
        <w:pStyle w:val="36"/>
        <w:rPr>
          <w:rFonts w:hint="eastAsia" w:ascii="宋体" w:hAnsi="宋体" w:eastAsia="宋体" w:cs="宋体"/>
          <w:color w:val="auto"/>
          <w:sz w:val="22"/>
          <w:szCs w:val="22"/>
          <w:highlight w:val="none"/>
        </w:rPr>
      </w:pPr>
    </w:p>
    <w:p w14:paraId="6471961C">
      <w:pPr>
        <w:pStyle w:val="36"/>
        <w:keepNext w:val="0"/>
        <w:keepLines w:val="0"/>
        <w:pageBreakBefore w:val="0"/>
        <w:widowControl w:val="0"/>
        <w:numPr>
          <w:ilvl w:val="0"/>
          <w:numId w:val="6"/>
        </w:numPr>
        <w:kinsoku/>
        <w:wordWrap/>
        <w:overflowPunct/>
        <w:topLinePunct w:val="0"/>
        <w:autoSpaceDE/>
        <w:autoSpaceDN/>
        <w:bidi w:val="0"/>
        <w:adjustRightInd/>
        <w:spacing w:line="460" w:lineRule="exact"/>
        <w:ind w:firstLine="541" w:firstLineChars="245"/>
        <w:textAlignment w:val="auto"/>
        <w:outlineLvl w:val="2"/>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医院收案及履约</w:t>
      </w:r>
    </w:p>
    <w:p w14:paraId="0CA49CD9">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为了保障诊后疾病精细化管理服务的规范性和科学性，</w:t>
      </w:r>
      <w:r>
        <w:rPr>
          <w:rFonts w:hint="eastAsia" w:ascii="宋体" w:hAnsi="宋体" w:eastAsia="宋体" w:cs="宋体"/>
          <w:color w:val="auto"/>
          <w:sz w:val="22"/>
          <w:szCs w:val="22"/>
          <w:highlight w:val="none"/>
          <w:lang w:val="en-US" w:eastAsia="zh-CN"/>
        </w:rPr>
        <w:t>双方</w:t>
      </w:r>
      <w:r>
        <w:rPr>
          <w:rFonts w:hint="eastAsia" w:ascii="宋体" w:hAnsi="宋体" w:eastAsia="宋体" w:cs="宋体"/>
          <w:color w:val="auto"/>
          <w:sz w:val="22"/>
          <w:szCs w:val="22"/>
          <w:highlight w:val="none"/>
        </w:rPr>
        <w:t>共同组建一支专业的诊后疾病精细化管理服务团队。</w:t>
      </w:r>
      <w:r>
        <w:rPr>
          <w:rFonts w:hint="eastAsia" w:ascii="宋体" w:hAnsi="宋体" w:eastAsia="宋体" w:cs="宋体"/>
          <w:color w:val="auto"/>
          <w:sz w:val="22"/>
          <w:szCs w:val="22"/>
          <w:highlight w:val="none"/>
          <w:lang w:val="en-US" w:eastAsia="zh-CN"/>
        </w:rPr>
        <w:t>由供应商提供</w:t>
      </w:r>
      <w:r>
        <w:rPr>
          <w:rFonts w:hint="eastAsia" w:ascii="宋体" w:hAnsi="宋体" w:eastAsia="宋体" w:cs="宋体"/>
          <w:color w:val="auto"/>
          <w:sz w:val="22"/>
          <w:szCs w:val="22"/>
          <w:highlight w:val="none"/>
        </w:rPr>
        <w:t>疾病精细化管理服务</w:t>
      </w:r>
      <w:r>
        <w:rPr>
          <w:rFonts w:hint="eastAsia" w:ascii="宋体" w:hAnsi="宋体" w:eastAsia="宋体" w:cs="宋体"/>
          <w:color w:val="auto"/>
          <w:sz w:val="22"/>
          <w:szCs w:val="22"/>
          <w:highlight w:val="none"/>
          <w:lang w:val="en-US" w:eastAsia="zh-CN"/>
        </w:rPr>
        <w:t>相关的</w:t>
      </w:r>
      <w:r>
        <w:rPr>
          <w:rFonts w:hint="eastAsia" w:ascii="宋体" w:hAnsi="宋体" w:eastAsia="宋体" w:cs="宋体"/>
          <w:color w:val="auto"/>
          <w:sz w:val="22"/>
          <w:szCs w:val="22"/>
          <w:highlight w:val="none"/>
        </w:rPr>
        <w:t>软件平台+培训指导+路径梳理+内容编制+医学运营</w:t>
      </w:r>
      <w:r>
        <w:rPr>
          <w:rFonts w:hint="eastAsia" w:ascii="宋体" w:hAnsi="宋体" w:eastAsia="宋体" w:cs="宋体"/>
          <w:color w:val="auto"/>
          <w:sz w:val="22"/>
          <w:szCs w:val="22"/>
          <w:highlight w:val="none"/>
          <w:lang w:eastAsia="zh-CN"/>
        </w:rPr>
        <w:t>。</w:t>
      </w:r>
    </w:p>
    <w:p w14:paraId="405DCD28">
      <w:pPr>
        <w:pStyle w:val="23"/>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服务供应商需</w:t>
      </w:r>
      <w:r>
        <w:rPr>
          <w:rFonts w:hint="eastAsia" w:ascii="宋体" w:hAnsi="宋体" w:eastAsia="宋体" w:cs="宋体"/>
          <w:bCs/>
          <w:color w:val="auto"/>
          <w:sz w:val="22"/>
          <w:szCs w:val="22"/>
          <w:highlight w:val="none"/>
        </w:rPr>
        <w:t>安排有医学背景（具备护师、医师、营养师、运动康复师、药师、健康管理师等任一医学资格能力）的服务人员。人员配置包括但不限于项目总负责人、医学路径梳理团队、医学内容编制团队、和软件支持团队。各个团队</w:t>
      </w:r>
      <w:r>
        <w:rPr>
          <w:rFonts w:hint="eastAsia" w:ascii="宋体" w:hAnsi="宋体" w:eastAsia="宋体" w:cs="宋体"/>
          <w:bCs/>
          <w:color w:val="auto"/>
          <w:sz w:val="22"/>
          <w:szCs w:val="22"/>
          <w:highlight w:val="none"/>
          <w:lang w:val="en-US" w:eastAsia="zh-CN"/>
        </w:rPr>
        <w:t>人员工作职责要求如下：</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45" w:type="dxa"/>
          <w:bottom w:w="17" w:type="dxa"/>
          <w:right w:w="45" w:type="dxa"/>
        </w:tblCellMar>
      </w:tblPr>
      <w:tblGrid>
        <w:gridCol w:w="624"/>
        <w:gridCol w:w="946"/>
        <w:gridCol w:w="8154"/>
      </w:tblGrid>
      <w:tr w14:paraId="18F6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408A2D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86" w:type="pct"/>
            <w:tcBorders>
              <w:top w:val="single" w:color="auto" w:sz="4" w:space="0"/>
              <w:left w:val="nil"/>
              <w:bottom w:val="single" w:color="auto" w:sz="4" w:space="0"/>
              <w:right w:val="single" w:color="auto" w:sz="4" w:space="0"/>
            </w:tcBorders>
            <w:noWrap w:val="0"/>
            <w:vAlign w:val="center"/>
          </w:tcPr>
          <w:p w14:paraId="06365E6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191" w:type="pct"/>
            <w:tcBorders>
              <w:top w:val="single" w:color="auto" w:sz="4" w:space="0"/>
              <w:left w:val="nil"/>
              <w:bottom w:val="single" w:color="auto" w:sz="4" w:space="0"/>
              <w:right w:val="single" w:color="auto" w:sz="4" w:space="0"/>
            </w:tcBorders>
            <w:noWrap w:val="0"/>
            <w:vAlign w:val="center"/>
          </w:tcPr>
          <w:p w14:paraId="2DA89A9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工作职责</w:t>
            </w:r>
          </w:p>
        </w:tc>
      </w:tr>
      <w:tr w14:paraId="63AF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0487B9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46" w:type="dxa"/>
            <w:tcBorders>
              <w:top w:val="single" w:color="auto" w:sz="4" w:space="0"/>
              <w:left w:val="nil"/>
              <w:right w:val="single" w:color="auto" w:sz="4" w:space="0"/>
            </w:tcBorders>
            <w:noWrap w:val="0"/>
            <w:vAlign w:val="center"/>
          </w:tcPr>
          <w:p w14:paraId="4B31102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项目总负责人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5938B522">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统筹协调各分团队的工作开展和日常管理，每周输出患者情况医学报告给临床科室主任及院领导；对VIP患者就医体验进行跟踪和回访，统筹紧急异常病情患者的应急就诊，处理患者投诉等；每月输出一份报告给我方指定的负责人；陪同来访参观人员的接待和解答。</w:t>
            </w:r>
          </w:p>
        </w:tc>
      </w:tr>
      <w:tr w14:paraId="06F7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2DD5DE8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946" w:type="dxa"/>
            <w:tcBorders>
              <w:top w:val="single" w:color="auto" w:sz="4" w:space="0"/>
              <w:left w:val="nil"/>
              <w:right w:val="single" w:color="auto" w:sz="4" w:space="0"/>
            </w:tcBorders>
            <w:noWrap w:val="0"/>
            <w:vAlign w:val="center"/>
          </w:tcPr>
          <w:p w14:paraId="60F5637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线下健康管理团队</w:t>
            </w:r>
          </w:p>
          <w:p w14:paraId="73DE6396">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hAnsi="宋体" w:cs="宋体"/>
                <w:color w:val="auto"/>
                <w:sz w:val="22"/>
                <w:szCs w:val="22"/>
                <w:highlight w:val="none"/>
                <w:lang w:val="en-US" w:eastAsia="zh-CN"/>
              </w:rPr>
              <w:t>医院自行安排人员</w:t>
            </w:r>
            <w:r>
              <w:rPr>
                <w:rFonts w:hint="eastAsia" w:ascii="宋体" w:hAnsi="宋体" w:eastAsia="宋体" w:cs="宋体"/>
                <w:color w:val="auto"/>
                <w:sz w:val="22"/>
                <w:szCs w:val="22"/>
                <w:highlight w:val="none"/>
                <w:lang w:eastAsia="zh-CN"/>
              </w:rPr>
              <w:t>）</w:t>
            </w:r>
          </w:p>
        </w:tc>
        <w:tc>
          <w:tcPr>
            <w:tcW w:w="8154" w:type="dxa"/>
            <w:tcBorders>
              <w:top w:val="single" w:color="auto" w:sz="4" w:space="0"/>
              <w:left w:val="nil"/>
              <w:bottom w:val="single" w:color="auto" w:sz="4" w:space="0"/>
              <w:right w:val="single" w:color="auto" w:sz="4" w:space="0"/>
            </w:tcBorders>
            <w:noWrap w:val="0"/>
            <w:vAlign w:val="center"/>
          </w:tcPr>
          <w:p w14:paraId="50400AF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负责面向患者现场进行服务内容宣教，协助患者签署知情同意书，协调线上远程健康管理团队与临床医护之间的沟通，提供线下非医疗诊断的健康咨询服务，提供诊后疾病管理中心体验区的带教工作等；</w:t>
            </w:r>
          </w:p>
        </w:tc>
      </w:tr>
      <w:tr w14:paraId="420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5E37F4A7">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946" w:type="dxa"/>
            <w:tcBorders>
              <w:top w:val="single" w:color="auto" w:sz="4" w:space="0"/>
              <w:left w:val="nil"/>
              <w:right w:val="single" w:color="auto" w:sz="4" w:space="0"/>
            </w:tcBorders>
            <w:noWrap w:val="0"/>
            <w:vAlign w:val="center"/>
          </w:tcPr>
          <w:p w14:paraId="66882829">
            <w:pPr>
              <w:pStyle w:val="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线上个案管理师团队</w:t>
            </w:r>
          </w:p>
          <w:p w14:paraId="02D5EA86">
            <w:pPr>
              <w:pStyle w:val="6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hAnsi="宋体" w:cs="宋体"/>
                <w:color w:val="auto"/>
                <w:sz w:val="22"/>
                <w:szCs w:val="22"/>
                <w:highlight w:val="none"/>
                <w:lang w:val="en-US" w:eastAsia="zh-CN"/>
              </w:rPr>
              <w:t>医院自行安排人员</w:t>
            </w:r>
            <w:r>
              <w:rPr>
                <w:rFonts w:hint="eastAsia" w:ascii="宋体" w:hAnsi="宋体" w:eastAsia="宋体" w:cs="宋体"/>
                <w:color w:val="auto"/>
                <w:sz w:val="22"/>
                <w:szCs w:val="22"/>
                <w:highlight w:val="none"/>
                <w:lang w:eastAsia="zh-CN"/>
              </w:rPr>
              <w:t>）</w:t>
            </w:r>
          </w:p>
        </w:tc>
        <w:tc>
          <w:tcPr>
            <w:tcW w:w="8154" w:type="dxa"/>
            <w:tcBorders>
              <w:top w:val="single" w:color="auto" w:sz="4" w:space="0"/>
              <w:left w:val="nil"/>
              <w:bottom w:val="single" w:color="auto" w:sz="4" w:space="0"/>
              <w:right w:val="single" w:color="auto" w:sz="4" w:space="0"/>
            </w:tcBorders>
            <w:noWrap w:val="0"/>
            <w:vAlign w:val="center"/>
          </w:tcPr>
          <w:p w14:paraId="6C7A0817">
            <w:pP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项目负责人：</w:t>
            </w:r>
            <w:r>
              <w:rPr>
                <w:rFonts w:hint="eastAsia" w:ascii="宋体" w:hAnsi="宋体" w:eastAsia="宋体" w:cs="宋体"/>
                <w:color w:val="auto"/>
                <w:sz w:val="22"/>
                <w:szCs w:val="22"/>
                <w:highlight w:val="none"/>
              </w:rPr>
              <w:t>负责指导团队其他成员开展业务工作；负责与健康监测异常的患者进行深度沟通并衔接到其原主诊医生；审核患者院后疾病管理方案；处理患者管理过程中的疑难问题及制作个案管理报告等。</w:t>
            </w:r>
          </w:p>
          <w:p w14:paraId="5BD3183B">
            <w:pP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个案管理师：</w:t>
            </w:r>
            <w:r>
              <w:rPr>
                <w:rFonts w:hint="eastAsia" w:ascii="宋体" w:hAnsi="宋体" w:eastAsia="宋体" w:cs="宋体"/>
                <w:color w:val="auto"/>
                <w:sz w:val="22"/>
                <w:szCs w:val="22"/>
                <w:highlight w:val="none"/>
              </w:rPr>
              <w:t>负责根据患者精细化管理方案路径上确定的工作内容，与患者联系落实，包括受理咨询电话、专病随访、用药不良反应指导、异常症状采集、居家护理指导、居家营养指导、患者心理初步疏导等工作。</w:t>
            </w:r>
          </w:p>
        </w:tc>
      </w:tr>
      <w:tr w14:paraId="3281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restart"/>
            <w:tcBorders>
              <w:top w:val="single" w:color="auto" w:sz="4" w:space="0"/>
              <w:left w:val="single" w:color="auto" w:sz="4" w:space="0"/>
              <w:right w:val="single" w:color="auto" w:sz="4" w:space="0"/>
            </w:tcBorders>
            <w:noWrap w:val="0"/>
            <w:vAlign w:val="center"/>
          </w:tcPr>
          <w:p w14:paraId="4960E5DB">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946" w:type="dxa"/>
            <w:vMerge w:val="restart"/>
            <w:tcBorders>
              <w:top w:val="single" w:color="auto" w:sz="4" w:space="0"/>
              <w:left w:val="nil"/>
              <w:right w:val="single" w:color="auto" w:sz="4" w:space="0"/>
            </w:tcBorders>
            <w:noWrap w:val="0"/>
            <w:vAlign w:val="center"/>
          </w:tcPr>
          <w:p w14:paraId="5F0DF4F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医学路径梳理团队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7905735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负责人的工作职责：</w:t>
            </w:r>
          </w:p>
          <w:p w14:paraId="6C861C2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与各临床科室主任医师进行关于疾病管理方面的医学沟通、管理成效汇报、疾病管理临床科研方案探讨、临床科研成效分析、成果论文编写等；负责对疾病精细化管理的医学路径梳理有关工作的综合协调和管理。</w:t>
            </w:r>
          </w:p>
        </w:tc>
      </w:tr>
      <w:tr w14:paraId="76EB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continue"/>
            <w:tcBorders>
              <w:left w:val="single" w:color="auto" w:sz="4" w:space="0"/>
              <w:bottom w:val="single" w:color="auto" w:sz="4" w:space="0"/>
              <w:right w:val="single" w:color="auto" w:sz="4" w:space="0"/>
            </w:tcBorders>
            <w:noWrap w:val="0"/>
            <w:vAlign w:val="center"/>
          </w:tcPr>
          <w:p w14:paraId="5ECA194D">
            <w:pPr>
              <w:jc w:val="center"/>
              <w:rPr>
                <w:rFonts w:hint="eastAsia" w:ascii="宋体" w:hAnsi="宋体" w:eastAsia="宋体" w:cs="宋体"/>
                <w:color w:val="auto"/>
                <w:sz w:val="22"/>
                <w:szCs w:val="22"/>
                <w:highlight w:val="none"/>
              </w:rPr>
            </w:pPr>
          </w:p>
        </w:tc>
        <w:tc>
          <w:tcPr>
            <w:tcW w:w="486" w:type="pct"/>
            <w:vMerge w:val="continue"/>
            <w:tcBorders>
              <w:left w:val="nil"/>
              <w:right w:val="single" w:color="auto" w:sz="4" w:space="0"/>
            </w:tcBorders>
            <w:noWrap w:val="0"/>
            <w:vAlign w:val="center"/>
          </w:tcPr>
          <w:p w14:paraId="57A32AC5">
            <w:pPr>
              <w:jc w:val="center"/>
              <w:rPr>
                <w:rFonts w:hint="eastAsia" w:ascii="宋体" w:hAnsi="宋体" w:eastAsia="宋体" w:cs="宋体"/>
                <w:color w:val="auto"/>
                <w:sz w:val="22"/>
                <w:szCs w:val="22"/>
                <w:highlight w:val="none"/>
              </w:rPr>
            </w:pPr>
          </w:p>
        </w:tc>
        <w:tc>
          <w:tcPr>
            <w:tcW w:w="4191" w:type="pct"/>
            <w:tcBorders>
              <w:top w:val="single" w:color="auto" w:sz="4" w:space="0"/>
              <w:left w:val="nil"/>
              <w:bottom w:val="single" w:color="auto" w:sz="4" w:space="0"/>
              <w:right w:val="single" w:color="auto" w:sz="4" w:space="0"/>
            </w:tcBorders>
            <w:noWrap w:val="0"/>
            <w:vAlign w:val="center"/>
          </w:tcPr>
          <w:p w14:paraId="4388F3A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其他成员的工作职责：</w:t>
            </w:r>
          </w:p>
          <w:p w14:paraId="40BF2F6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负责与各临床科室的专科医生、专科护士进行医学沟通；负责诊后疾病精细化管理路径的具体医学梳理及编制；负责疾病管理过程中的疑难问题的医学解答等工作；负责对个案管理团队提供医学支持工作；</w:t>
            </w:r>
          </w:p>
        </w:tc>
      </w:tr>
      <w:tr w14:paraId="52E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restart"/>
            <w:tcBorders>
              <w:top w:val="single" w:color="auto" w:sz="4" w:space="0"/>
              <w:left w:val="single" w:color="auto" w:sz="4" w:space="0"/>
              <w:right w:val="single" w:color="auto" w:sz="4" w:space="0"/>
            </w:tcBorders>
            <w:noWrap w:val="0"/>
            <w:vAlign w:val="center"/>
          </w:tcPr>
          <w:p w14:paraId="5EF12CC7">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946" w:type="dxa"/>
            <w:vMerge w:val="restart"/>
            <w:tcBorders>
              <w:top w:val="single" w:color="auto" w:sz="4" w:space="0"/>
              <w:left w:val="nil"/>
              <w:right w:val="single" w:color="auto" w:sz="4" w:space="0"/>
            </w:tcBorders>
            <w:noWrap w:val="0"/>
            <w:vAlign w:val="center"/>
          </w:tcPr>
          <w:p w14:paraId="66CAB7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医学内容编制团队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7289B29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负责人的工作职责：</w:t>
            </w:r>
          </w:p>
          <w:p w14:paraId="05DBA0C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把控整个医学内容编制团队医学内容编制工作的管理和协调工作。</w:t>
            </w:r>
          </w:p>
        </w:tc>
      </w:tr>
      <w:tr w14:paraId="1C8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vMerge w:val="continue"/>
            <w:tcBorders>
              <w:left w:val="single" w:color="auto" w:sz="4" w:space="0"/>
              <w:bottom w:val="single" w:color="auto" w:sz="4" w:space="0"/>
              <w:right w:val="single" w:color="auto" w:sz="4" w:space="0"/>
            </w:tcBorders>
            <w:noWrap w:val="0"/>
            <w:vAlign w:val="center"/>
          </w:tcPr>
          <w:p w14:paraId="0C1783AD">
            <w:pPr>
              <w:jc w:val="center"/>
              <w:rPr>
                <w:rFonts w:hint="eastAsia" w:ascii="宋体" w:hAnsi="宋体" w:eastAsia="宋体" w:cs="宋体"/>
                <w:color w:val="auto"/>
                <w:sz w:val="22"/>
                <w:szCs w:val="22"/>
                <w:highlight w:val="none"/>
              </w:rPr>
            </w:pPr>
          </w:p>
        </w:tc>
        <w:tc>
          <w:tcPr>
            <w:tcW w:w="486" w:type="pct"/>
            <w:vMerge w:val="continue"/>
            <w:tcBorders>
              <w:left w:val="nil"/>
              <w:right w:val="single" w:color="auto" w:sz="4" w:space="0"/>
            </w:tcBorders>
            <w:noWrap w:val="0"/>
            <w:vAlign w:val="center"/>
          </w:tcPr>
          <w:p w14:paraId="1E27DFFC">
            <w:pPr>
              <w:jc w:val="center"/>
              <w:rPr>
                <w:rFonts w:hint="eastAsia" w:ascii="宋体" w:hAnsi="宋体" w:eastAsia="宋体" w:cs="宋体"/>
                <w:color w:val="auto"/>
                <w:sz w:val="22"/>
                <w:szCs w:val="22"/>
                <w:highlight w:val="none"/>
              </w:rPr>
            </w:pPr>
          </w:p>
        </w:tc>
        <w:tc>
          <w:tcPr>
            <w:tcW w:w="4191" w:type="pct"/>
            <w:tcBorders>
              <w:top w:val="single" w:color="auto" w:sz="4" w:space="0"/>
              <w:left w:val="nil"/>
              <w:bottom w:val="single" w:color="auto" w:sz="4" w:space="0"/>
              <w:right w:val="single" w:color="auto" w:sz="4" w:space="0"/>
            </w:tcBorders>
            <w:noWrap w:val="0"/>
            <w:vAlign w:val="center"/>
          </w:tcPr>
          <w:p w14:paraId="3799E93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其他成员的工作职责：</w:t>
            </w:r>
          </w:p>
          <w:p w14:paraId="67376A8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在医生团队的指导下，根据疾病管理服务医学路径的具体要求，编制面向患者的各个健康宣教、疾病宣教内容，包括居家护理指导、居家心理宣教、用药指导、饮食指导、运动康复指导等相关的医学图文视频编制、拍摄、剪辑等；</w:t>
            </w:r>
          </w:p>
        </w:tc>
      </w:tr>
      <w:tr w14:paraId="33AD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321" w:type="pct"/>
            <w:tcBorders>
              <w:top w:val="single" w:color="auto" w:sz="4" w:space="0"/>
              <w:left w:val="single" w:color="auto" w:sz="4" w:space="0"/>
              <w:bottom w:val="single" w:color="auto" w:sz="4" w:space="0"/>
              <w:right w:val="single" w:color="auto" w:sz="4" w:space="0"/>
            </w:tcBorders>
            <w:noWrap w:val="0"/>
            <w:vAlign w:val="center"/>
          </w:tcPr>
          <w:p w14:paraId="56A8C43C">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946" w:type="dxa"/>
            <w:tcBorders>
              <w:left w:val="nil"/>
              <w:right w:val="single" w:color="auto" w:sz="4" w:space="0"/>
            </w:tcBorders>
            <w:noWrap w:val="0"/>
            <w:vAlign w:val="center"/>
          </w:tcPr>
          <w:p w14:paraId="617274F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软件支持团队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不少于2人</w:t>
            </w:r>
            <w:r>
              <w:rPr>
                <w:rFonts w:hint="eastAsia" w:ascii="宋体" w:hAnsi="宋体" w:eastAsia="宋体" w:cs="宋体"/>
                <w:color w:val="auto"/>
                <w:sz w:val="22"/>
                <w:szCs w:val="22"/>
                <w:highlight w:val="none"/>
                <w:lang w:eastAsia="zh-CN"/>
              </w:rPr>
              <w:t>）</w:t>
            </w:r>
          </w:p>
        </w:tc>
        <w:tc>
          <w:tcPr>
            <w:tcW w:w="4191" w:type="pct"/>
            <w:tcBorders>
              <w:top w:val="single" w:color="auto" w:sz="4" w:space="0"/>
              <w:left w:val="nil"/>
              <w:bottom w:val="single" w:color="auto" w:sz="4" w:space="0"/>
              <w:right w:val="single" w:color="auto" w:sz="4" w:space="0"/>
            </w:tcBorders>
            <w:noWrap w:val="0"/>
            <w:vAlign w:val="center"/>
          </w:tcPr>
          <w:p w14:paraId="3BFA5C8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负责根据采购人提出的疾病管理相关的业务需求，对疾病精细化管理软件进行持续迭代完善。</w:t>
            </w:r>
          </w:p>
        </w:tc>
      </w:tr>
    </w:tbl>
    <w:p w14:paraId="27CD8973">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5698AE8E">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1.在服务期内，服务供应商所有服务人员的事故由服务供应商自行全权负责（如服务供应商应对其员工投保人身意外险等）。</w:t>
      </w:r>
    </w:p>
    <w:p w14:paraId="2380F598">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2.项目配置人员必须为服务供应商的正式员工，并签订劳动合同。</w:t>
      </w:r>
    </w:p>
    <w:p w14:paraId="39C230EA">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3.服务供应商对符合缴纳五险的服务人员按政府规定社会保险缴费基数进行缴纳，所有服务人员的工资、社保、奖金、福利均由服务供应商承担。</w:t>
      </w:r>
    </w:p>
    <w:p w14:paraId="3B000F82">
      <w:pPr>
        <w:pStyle w:val="36"/>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kern w:val="2"/>
          <w:sz w:val="22"/>
          <w:szCs w:val="22"/>
          <w:highlight w:val="none"/>
          <w:lang w:val="en-US" w:eastAsia="zh-CN" w:bidi="ar-SA"/>
        </w:rPr>
        <w:t>4.投标人须提供上表要求服务团队的明确的各个人员角色的配套数量，签订合同前须向医院提供具体人员名单</w:t>
      </w:r>
      <w:r>
        <w:rPr>
          <w:rFonts w:hint="eastAsia" w:ascii="宋体" w:hAnsi="宋体" w:cs="宋体"/>
          <w:b/>
          <w:color w:val="auto"/>
          <w:kern w:val="2"/>
          <w:sz w:val="22"/>
          <w:szCs w:val="22"/>
          <w:highlight w:val="none"/>
          <w:lang w:val="en-US" w:eastAsia="zh-CN" w:bidi="ar-SA"/>
        </w:rPr>
        <w:t>（两种服务模式人员可以共用）</w:t>
      </w:r>
      <w:r>
        <w:rPr>
          <w:rFonts w:hint="eastAsia" w:ascii="宋体" w:hAnsi="宋体" w:eastAsia="宋体" w:cs="宋体"/>
          <w:b/>
          <w:color w:val="auto"/>
          <w:kern w:val="2"/>
          <w:sz w:val="22"/>
          <w:szCs w:val="22"/>
          <w:highlight w:val="none"/>
          <w:lang w:val="en-US" w:eastAsia="zh-CN" w:bidi="ar-SA"/>
        </w:rPr>
        <w:t>。</w:t>
      </w:r>
    </w:p>
    <w:p w14:paraId="4E4AC765">
      <w:pPr>
        <w:pStyle w:val="348"/>
        <w:keepNext w:val="0"/>
        <w:keepLines w:val="0"/>
        <w:pageBreakBefore w:val="0"/>
        <w:widowControl w:val="0"/>
        <w:kinsoku/>
        <w:wordWrap/>
        <w:overflowPunct/>
        <w:topLinePunct w:val="0"/>
        <w:autoSpaceDE/>
        <w:autoSpaceDN/>
        <w:bidi w:val="0"/>
        <w:adjustRightInd/>
        <w:spacing w:beforeLines="0" w:afterLines="0"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四、服务内容要求</w:t>
      </w:r>
    </w:p>
    <w:p w14:paraId="474BED67">
      <w:pPr>
        <w:pStyle w:val="36"/>
        <w:keepNext w:val="0"/>
        <w:keepLines w:val="0"/>
        <w:pageBreakBefore w:val="0"/>
        <w:widowControl w:val="0"/>
        <w:kinsoku/>
        <w:wordWrap/>
        <w:overflowPunct/>
        <w:topLinePunct w:val="0"/>
        <w:autoSpaceDE/>
        <w:autoSpaceDN/>
        <w:bidi w:val="0"/>
        <w:adjustRightInd/>
        <w:spacing w:line="460" w:lineRule="exact"/>
        <w:ind w:firstLine="541" w:firstLineChars="245"/>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1.服务内容一览表</w:t>
      </w:r>
    </w:p>
    <w:p w14:paraId="646AE393">
      <w:pPr>
        <w:pStyle w:val="36"/>
        <w:keepNext w:val="0"/>
        <w:keepLines w:val="0"/>
        <w:pageBreakBefore w:val="0"/>
        <w:widowControl w:val="0"/>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服务供应商需以各套餐包形式为我院患者提供连续性的诊后疾病精细化管理服务，服务套餐包包括但不限于以下内容：</w:t>
      </w:r>
    </w:p>
    <w:p w14:paraId="6FEFD130">
      <w:pPr>
        <w:pStyle w:val="36"/>
        <w:spacing w:line="360" w:lineRule="auto"/>
        <w:ind w:firstLine="442" w:firstLineChars="2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表-服务内容一览表</w:t>
      </w:r>
    </w:p>
    <w:tbl>
      <w:tblPr>
        <w:tblStyle w:val="53"/>
        <w:tblW w:w="4997" w:type="pct"/>
        <w:jc w:val="center"/>
        <w:tblLayout w:type="autofit"/>
        <w:tblCellMar>
          <w:top w:w="0" w:type="dxa"/>
          <w:left w:w="108" w:type="dxa"/>
          <w:bottom w:w="0" w:type="dxa"/>
          <w:right w:w="108" w:type="dxa"/>
        </w:tblCellMar>
      </w:tblPr>
      <w:tblGrid>
        <w:gridCol w:w="672"/>
        <w:gridCol w:w="1261"/>
        <w:gridCol w:w="6883"/>
        <w:gridCol w:w="1032"/>
      </w:tblGrid>
      <w:tr w14:paraId="56A680E7">
        <w:tblPrEx>
          <w:tblCellMar>
            <w:top w:w="0" w:type="dxa"/>
            <w:left w:w="108" w:type="dxa"/>
            <w:bottom w:w="0" w:type="dxa"/>
            <w:right w:w="108" w:type="dxa"/>
          </w:tblCellMar>
        </w:tblPrEx>
        <w:trPr>
          <w:trHeight w:val="756"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298">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3E94">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服务项目名称</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381B">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服务工作内容</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4ACE">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单位</w:t>
            </w:r>
          </w:p>
        </w:tc>
      </w:tr>
      <w:tr w14:paraId="14126B83">
        <w:tblPrEx>
          <w:tblCellMar>
            <w:top w:w="0" w:type="dxa"/>
            <w:left w:w="108" w:type="dxa"/>
            <w:bottom w:w="0" w:type="dxa"/>
            <w:right w:w="108" w:type="dxa"/>
          </w:tblCellMar>
        </w:tblPrEx>
        <w:trPr>
          <w:trHeight w:val="337"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FE51">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A9E6">
            <w:pPr>
              <w:jc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专病</w:t>
            </w:r>
            <w:r>
              <w:rPr>
                <w:rFonts w:hint="eastAsia" w:ascii="宋体" w:hAnsi="宋体" w:cs="宋体"/>
                <w:i w:val="0"/>
                <w:iCs w:val="0"/>
                <w:color w:val="auto"/>
                <w:kern w:val="0"/>
                <w:sz w:val="22"/>
                <w:szCs w:val="22"/>
                <w:highlight w:val="none"/>
                <w:u w:val="none"/>
                <w:lang w:val="en-US" w:eastAsia="zh-CN" w:bidi="ar"/>
              </w:rPr>
              <w:t>短期</w:t>
            </w:r>
            <w:r>
              <w:rPr>
                <w:rFonts w:hint="eastAsia" w:ascii="宋体" w:hAnsi="宋体" w:eastAsia="宋体" w:cs="宋体"/>
                <w:i w:val="0"/>
                <w:iCs w:val="0"/>
                <w:color w:val="auto"/>
                <w:kern w:val="0"/>
                <w:sz w:val="22"/>
                <w:szCs w:val="22"/>
                <w:highlight w:val="none"/>
                <w:u w:val="none"/>
                <w:lang w:val="en-US" w:eastAsia="zh-CN" w:bidi="ar"/>
              </w:rPr>
              <w:t>管理</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552E">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基于离院诊断及专家医⽣确认的该专病管理路径，由医⽣、护⼠等组成的疾病管理团队成员，通过电话、微信、⼩程序、APP、现场等⽅式，对购买了此项服务的患者提供专病管理服务⼯作，包括主动为患者提供1次疾病管理⽅案制订，1次复诊提醒（按医嘱要求），1次远程疾病主动管理服务（包含疾病跟踪、⽤药指导、营养宣教等）</w:t>
            </w:r>
            <w:r>
              <w:rPr>
                <w:rFonts w:hint="eastAsia" w:ascii="宋体" w:hAnsi="宋体" w:eastAsia="宋体" w:cs="宋体"/>
                <w:i w:val="0"/>
                <w:iCs w:val="0"/>
                <w:color w:val="auto"/>
                <w:kern w:val="0"/>
                <w:sz w:val="20"/>
                <w:szCs w:val="20"/>
                <w:highlight w:val="none"/>
                <w:u w:val="none"/>
                <w:lang w:val="en-US" w:eastAsia="zh-CN" w:bidi="ar"/>
              </w:rPr>
              <w:t>管理期一周为一个疗程。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7B00">
            <w:pPr>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疗程</w:t>
            </w:r>
          </w:p>
        </w:tc>
      </w:tr>
      <w:tr w14:paraId="7AB04ACD">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2A93">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F323">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短期精细化管理</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12E3">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由专业人员（医生、护士、健康管理师等）组成的疾病管理团队，通过电话、微信、小程序、现场等方式，对患者进行短期的医疗照护服务，包含疾病跟踪、健康宣教、用药指导、复诊提醒等，对患者离院居家过程实现早发现、早干预、早治疗，提高患者疾病认知，短期促进患者依从性，提高患者心理健康，管理期两周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DC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0B933ABF">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0C44">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8ED4">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专病短期精细化管理(家庭医护保健服务)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4B4F">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专业人员（医生、护士、健康管理师等）组成的疾病管理团队，通过电话、微信、小程序、APP、上门、现场等方式，对患者进行短期的医疗照护强化管理服务，包含疾病跟踪、健康宣教、用药指导、复诊提醒、智能评估等，对患者离院居家过程实现早发现、早干预、早治疗，提高患者疾病认知，促进患者依从性，提高患者心理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管理期一个月为一个疗程。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39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426B4CCE">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E04A">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B541">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专病精细化标准管理(家庭医护保健服务)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F783">
            <w:pPr>
              <w:jc w:val="left"/>
              <w:rPr>
                <w:rFonts w:hint="eastAsia" w:ascii="宋体" w:hAnsi="宋体" w:eastAsia="宋体" w:cs="宋体"/>
                <w:color w:val="auto"/>
                <w:sz w:val="22"/>
                <w:szCs w:val="22"/>
                <w:highlight w:val="none"/>
                <w:lang w:bidi="ar"/>
              </w:rPr>
            </w:pPr>
            <w:r>
              <w:rPr>
                <w:rFonts w:hint="eastAsia" w:ascii="宋体" w:hAnsi="宋体" w:eastAsia="宋体" w:cs="宋体"/>
                <w:color w:val="auto"/>
                <w:kern w:val="0"/>
                <w:sz w:val="22"/>
                <w:szCs w:val="22"/>
                <w:highlight w:val="none"/>
                <w:lang w:bidi="ar"/>
              </w:rPr>
              <w:t>指由需方自愿要求，专业人员（医生、护士、药师、健康管理师等）组成的疾病管理团队，通过电话、微信、小程序、APP、上门、现场等方式，对其进行疾病评估、制定疾病标准管理方案，按需提供包括疾病风险评估、用药、饮食、运动、复诊、注射等需方当期需要的特定管理服务；阶段性的为患者给出病情评估报告，医生参与点评与异常情况解答，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管理期三个月为一个疗程。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7C1A">
            <w:pPr>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疗程</w:t>
            </w:r>
          </w:p>
        </w:tc>
      </w:tr>
      <w:tr w14:paraId="4DFD6B5A">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0C5">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2250">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专病精细化强化管理(家庭医护保健服务)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23B4">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专业人员（医生、护士、药师、健康管理师等）组成的疾病管理团队，通过电话、微信、小程序、APP、上门、现场等方式，对其进行疾病评估和制定疾病强化管理方案，根据病情需求进行个案强化管理包括疾病风险评估及异常解答、用药、饮食、运动、复诊、注射、出诊、个性化的营养或运动康复指导、患者依从性管理等需方当期需要的特定管理服务，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管理期三个月为一个疗程。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A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06880211">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21FA">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C337">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专病精细化全程管理(家庭医护保健服务)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104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专业人员（医生、护士、健康管理师等）组成的疾病管理团队，对其进行疾病评估和制定疾病全程管理方案，根据病情需求进行个案全程管理包括疾病风险评估及异常解答、用药指导、个性化的营养及运动康复指导、患者依从性管理等，并提供定期上门服务，</w:t>
            </w:r>
            <w:r>
              <w:rPr>
                <w:rFonts w:hint="eastAsia" w:ascii="宋体" w:hAnsi="宋体" w:eastAsia="宋体" w:cs="宋体"/>
                <w:color w:val="auto"/>
                <w:kern w:val="0"/>
                <w:sz w:val="22"/>
                <w:szCs w:val="22"/>
                <w:highlight w:val="none"/>
                <w:lang w:bidi="ar"/>
              </w:rPr>
              <w:t>管理期3个月为一个疗程。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6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2C202CCA">
        <w:tblPrEx>
          <w:tblCellMar>
            <w:top w:w="0" w:type="dxa"/>
            <w:left w:w="108" w:type="dxa"/>
            <w:bottom w:w="0" w:type="dxa"/>
            <w:right w:w="108" w:type="dxa"/>
          </w:tblCellMar>
        </w:tblPrEx>
        <w:trPr>
          <w:trHeight w:val="12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81E0">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48EB">
            <w:pPr>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专病强干预管理(家庭医护保健服务)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6CF3">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上门、现场等方式，根据专家医生预先确定的病种管理要求，对专病患者制定个性化可执行的强化干预方案（饮食强化干预或运动康复强化干预）、病情症状采集与干预指导、复诊管理、异常监测指标指导、用药指导、注射、出诊等需方当期需要的特定管理服务，促进患者对疾病的认知，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34E5">
            <w:pPr>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疗程</w:t>
            </w:r>
          </w:p>
        </w:tc>
      </w:tr>
      <w:tr w14:paraId="3F5276FB">
        <w:tblPrEx>
          <w:tblCellMar>
            <w:top w:w="0" w:type="dxa"/>
            <w:left w:w="108" w:type="dxa"/>
            <w:bottom w:w="0" w:type="dxa"/>
            <w:right w:w="108" w:type="dxa"/>
          </w:tblCellMar>
        </w:tblPrEx>
        <w:trPr>
          <w:trHeight w:val="869"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165">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4199">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专病强干预综合管理(家庭医护保健服务)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B11E">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现场等方式，根据专家医生预先确定的病种管理要求，对专病患者制定个性化强化干预方案，并每周进行跟踪调整：包括每周饮食强化干预、每周运动强化干预、病情症状采集与干预指导、复诊管理强化干预、异常指标干预并按需提供用药指导、注射、出诊等服务，促进患者对疾病的认知，督促患者养成健康的生活习惯，预防并发症，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管理期1个月为一个疗程。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102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36330E12">
        <w:tblPrEx>
          <w:tblCellMar>
            <w:top w:w="0" w:type="dxa"/>
            <w:left w:w="108" w:type="dxa"/>
            <w:bottom w:w="0" w:type="dxa"/>
            <w:right w:w="108" w:type="dxa"/>
          </w:tblCellMar>
        </w:tblPrEx>
        <w:trPr>
          <w:trHeight w:val="184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AFC2">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EA53">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专病治疗性生活方式干预管理(家庭医护保健服务)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F54E">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专业人员（医生、护士、健康管理师、药师、营养师、运动康复师等）组成疾病管理团队，通过电话、微信、小程序、APP、上门、面访等方式，管理期内对有需要通过治疗性生活方式进行治疗的患者人群进行多学科生活方式联合干预管理，包括建立动态档案、跟踪和监测相关健康数据指标，并结合人工智能技术每日为患者提供个性化的运动和饮食方案，并监督、跟踪、指导患者对生活方式改进情况；督促患者对养成健康的生活习惯，按需提供用药指导、注射、出诊等服务，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7A5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0255EBED">
        <w:tblPrEx>
          <w:tblCellMar>
            <w:top w:w="0" w:type="dxa"/>
            <w:left w:w="108" w:type="dxa"/>
            <w:bottom w:w="0" w:type="dxa"/>
            <w:right w:w="108" w:type="dxa"/>
          </w:tblCellMar>
        </w:tblPrEx>
        <w:trPr>
          <w:trHeight w:val="16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5D6C">
            <w:pPr>
              <w:pStyle w:val="331"/>
              <w:numPr>
                <w:ilvl w:val="0"/>
                <w:numId w:val="0"/>
              </w:numPr>
              <w:spacing w:line="240" w:lineRule="auto"/>
              <w:ind w:left="440" w:leftChars="0" w:hanging="440" w:firstLineChars="0"/>
              <w:jc w:val="center"/>
              <w:rPr>
                <w:rFonts w:hint="eastAsia" w:ascii="宋体" w:hAnsi="宋体" w:eastAsia="宋体" w:cs="宋体"/>
                <w:color w:val="auto"/>
                <w:sz w:val="22"/>
                <w:szCs w:val="22"/>
                <w:highlight w:val="none"/>
              </w:rPr>
            </w:pPr>
            <w:r>
              <w:rPr>
                <w:rFonts w:hint="default" w:ascii="宋体" w:hAnsi="宋体" w:eastAsia="宋体" w:cs="宋体"/>
                <w:color w:val="auto"/>
                <w:kern w:val="2"/>
                <w:sz w:val="22"/>
                <w:szCs w:val="22"/>
                <w:highlight w:val="none"/>
                <w:lang w:val="en-US" w:eastAsia="zh-CN" w:bidi="ar-SA"/>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C3E7">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多学科生活方式强化干预（家庭医护保健服务）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C36A">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由专业人员（医生、护士、健康管理师、药师、营养师、运动康复师、心理咨询师等）组成的疾病管理团队，通过电话、微信、小程序、APP、上门、面访等方式，管理期内对有需要通过治疗性生活方式进行治疗的患者人群进行个性化的多学科生活方式强化干预管理，如每日饮食强化干预、每日运动强化干预、病情症状采集与干预指导、复诊管理强化干预、异常指标干预，并提供阶段性管理成效汇报。促进患者对疾病的认知，督促患者养成健康的生活习惯，预防并发症，提高患者治疗的依从性，提升治疗康复效果，促进健康，</w:t>
            </w:r>
            <w:r>
              <w:rPr>
                <w:rFonts w:hint="eastAsia" w:ascii="宋体" w:hAnsi="宋体" w:eastAsia="宋体" w:cs="宋体"/>
                <w:color w:val="auto"/>
                <w:kern w:val="0"/>
                <w:sz w:val="22"/>
                <w:szCs w:val="22"/>
                <w:highlight w:val="none"/>
              </w:rPr>
              <w:t>提供定期上门服务；</w:t>
            </w:r>
            <w:r>
              <w:rPr>
                <w:rFonts w:hint="eastAsia" w:ascii="宋体" w:hAnsi="宋体" w:eastAsia="宋体" w:cs="宋体"/>
                <w:color w:val="auto"/>
                <w:kern w:val="0"/>
                <w:sz w:val="22"/>
                <w:szCs w:val="22"/>
                <w:highlight w:val="none"/>
                <w:lang w:bidi="ar"/>
              </w:rPr>
              <w:t>管理期3个月为一个疗程。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46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r w14:paraId="1BF6A2DA">
        <w:tblPrEx>
          <w:tblCellMar>
            <w:top w:w="0" w:type="dxa"/>
            <w:left w:w="108" w:type="dxa"/>
            <w:bottom w:w="0" w:type="dxa"/>
            <w:right w:w="108" w:type="dxa"/>
          </w:tblCellMar>
        </w:tblPrEx>
        <w:trPr>
          <w:trHeight w:val="9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3F5E">
            <w:pPr>
              <w:pStyle w:val="331"/>
              <w:numPr>
                <w:ilvl w:val="0"/>
                <w:numId w:val="0"/>
              </w:numPr>
              <w:spacing w:line="240" w:lineRule="auto"/>
              <w:ind w:left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70AC">
            <w:pPr>
              <w:jc w:val="center"/>
              <w:rPr>
                <w:rFonts w:hint="eastAsia" w:ascii="宋体" w:hAnsi="宋体" w:eastAsia="宋体" w:cs="宋体"/>
                <w:color w:val="auto"/>
                <w:sz w:val="22"/>
                <w:szCs w:val="22"/>
                <w:highlight w:val="none"/>
                <w:lang w:bidi="ar"/>
              </w:rPr>
            </w:pPr>
            <w:r>
              <w:rPr>
                <w:rFonts w:hint="eastAsia" w:ascii="宋体" w:hAnsi="宋体" w:eastAsia="宋体" w:cs="宋体"/>
                <w:color w:val="auto"/>
                <w:kern w:val="0"/>
                <w:sz w:val="22"/>
                <w:szCs w:val="22"/>
                <w:highlight w:val="none"/>
                <w:lang w:bidi="ar"/>
              </w:rPr>
              <w:t>多学科生活方式联合干预（家庭医护保健服务）</w:t>
            </w:r>
          </w:p>
        </w:tc>
        <w:tc>
          <w:tcPr>
            <w:tcW w:w="3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665C">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由需方自愿要求，专业人员（医生、护士、健康管理师、营养师、运动康复师等）组成疾病管理团队，通过电话、微信、小程序、APP、现场等方式，根据专家医生预先确定的病种管理要求，提供专病患者多学科生活方式强化干预管理服务工作，并每周进行跟踪调整：包括每周饮食强化干预、每周运动强化干预、病情症状采集与干预指导、复诊管理强化干预、异常指标干预并按需提供用药指导、出诊等服务，促进患者对疾病的认知，督促患者养成健康的生活习惯，预防并发症，提高患者治疗的依从性，提升治疗康复效果，促进健康；管理期3个月为一个疗程。包括：</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1、至少2次人体测量、2次的体成分分析和报告解读</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2、至少2次营养评估、2次营养管理方案制定、2次营养方案指导</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3、至少2次运动评估、2次运动方案制定、2次运动方案指导</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4、3个月内营养点评、运动点评</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5、3次复诊强化提醒</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6、至少2次阶段性管理点评</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7、健康咨询服务：管理期内根据患者需要提供在线的社群健康咨询服务，按需提供远程健康指标异常跟踪服务；</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8、管理期3个月为一个疗程；促进健康，提供定期上门服务；管理期3个月为一个疗程。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373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疗程</w:t>
            </w:r>
          </w:p>
        </w:tc>
      </w:tr>
    </w:tbl>
    <w:p w14:paraId="6D95DFC0">
      <w:pPr>
        <w:keepLines w:val="0"/>
        <w:pageBreakBefore w:val="0"/>
        <w:kinsoku/>
        <w:wordWrap/>
        <w:overflowPunct/>
        <w:topLinePunct w:val="0"/>
        <w:autoSpaceDE/>
        <w:autoSpaceDN/>
        <w:bidi w:val="0"/>
        <w:adjustRightInd/>
        <w:spacing w:line="460" w:lineRule="exact"/>
        <w:ind w:right="0" w:rightChars="0"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注：1）本项目不仅限于上表的服务套餐，可根据各临床科室的实际需要在本项目合同协议原则下协商一致后新增。</w:t>
      </w:r>
    </w:p>
    <w:p w14:paraId="2DF6FFB7">
      <w:pPr>
        <w:pStyle w:val="349"/>
        <w:keepLines w:val="0"/>
        <w:pageBreakBefore w:val="0"/>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2.服务路径的梳理服务要求</w:t>
      </w:r>
    </w:p>
    <w:p w14:paraId="1C070154">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服务项目中，有很大一块任务是要根据临床科室的患者疾病管理要求进行具体的诊后疾病管理路径规范梳理，要求服务供应商基于自身的疾病精细化管理路径知识储备和梳理经验，配合采购人临床医生梳理出适用的疾病和适用的诊后疾病管理路径或方案。服务供应商需负责与各临床科室主任医师进行关于疾病管理方面的医学沟通、管理成效汇报、疾病管理临床科研方案探讨、临床科研成效分析、成果论文编写等，负责对疾病精细化管理的医学路径梳理有关工作的综合协调和管理。另一方面，服务供应商还需负责与各临床科室的专科医生、专科护士进行医学沟通，负责诊后疾病精细化管理路径的具体医学梳理及编制，负责疾病管理过程中的疑难问题的医学解答等工作；负责对个案管理师团队提供医学支持工作。</w:t>
      </w:r>
    </w:p>
    <w:p w14:paraId="02E9EC8B">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供应商应在投标文件中提供不少于3个诊后疾病（疾病需属于恶性肿瘤、慢性病、日间手术和重大手术后、妇女和儿童类疾病、减重管理类等疾病）管理路径规范，路径规范中需详细列明每个管理阶段的具体管理内容和考核规范等，具体管理内容至少应包括上述疾病出现相关并发症、药物不良反应时的病情识别及其应对措施，包括但不限于相应的运动、饮食、关键指标干预等内容及具体病情随访表单内容，包括但不限于随访时间计划、方式方法、宣教视频等内容。</w:t>
      </w:r>
    </w:p>
    <w:p w14:paraId="04AD9FF5">
      <w:pPr>
        <w:pStyle w:val="349"/>
        <w:keepLines w:val="0"/>
        <w:pageBreakBefore w:val="0"/>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3.医学内容的编制服务要求</w:t>
      </w:r>
    </w:p>
    <w:p w14:paraId="384FBC8A">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供应商还需在采购人的配合下，管理和协调整个项目的医学内容编制工作。根据疾病管理服务医学路径的具体要求，编制面向患者的各个健康宣教、疾病宣教内容，包括居家护理指导、居家心理宣教、用药指导、饮食指导、运动康复指导等相关的医学图文视频编制、拍摄、剪辑等。</w:t>
      </w:r>
    </w:p>
    <w:p w14:paraId="69DB9124">
      <w:pPr>
        <w:pStyle w:val="349"/>
        <w:keepLines w:val="0"/>
        <w:pageBreakBefore w:val="0"/>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4.线上线下结合的健康管理服务要求</w:t>
      </w:r>
    </w:p>
    <w:p w14:paraId="710F06E8">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default" w:ascii="宋体" w:hAnsi="宋体" w:eastAsia="宋体" w:cs="宋体"/>
          <w:color w:val="auto"/>
          <w:sz w:val="22"/>
          <w:szCs w:val="22"/>
          <w:highlight w:val="none"/>
          <w:lang w:val="en-US"/>
        </w:rPr>
      </w:pPr>
      <w:r>
        <w:rPr>
          <w:rFonts w:hint="eastAsia" w:cs="宋体"/>
          <w:color w:val="auto"/>
          <w:sz w:val="22"/>
          <w:szCs w:val="22"/>
          <w:highlight w:val="none"/>
          <w:lang w:val="en-US" w:eastAsia="zh-CN"/>
        </w:rPr>
        <w:t>该要求仅针对服务供应商收案及履约模式，若为医院收案及履约模式，由医院自行安排人员，无需提供相应方案。</w:t>
      </w:r>
    </w:p>
    <w:p w14:paraId="6A63566B">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本项目为患者提供线上和线下的诊后疾病健康管理服务（需包含诊后疾病精细化标准管理服务、生活方式干预管理服务和心理咨询服务），</w:t>
      </w:r>
      <w:r>
        <w:rPr>
          <w:rFonts w:hint="eastAsia" w:ascii="宋体" w:hAnsi="宋体" w:eastAsia="宋体" w:cs="宋体"/>
          <w:bCs/>
          <w:color w:val="auto"/>
          <w:sz w:val="22"/>
          <w:szCs w:val="22"/>
          <w:highlight w:val="none"/>
        </w:rPr>
        <w:t>以循证医学和专家共识为基础，围绕离院诊断的疾病重点，通过与临床专家医生共创设计诊后疾病管理路径，通过互联网、AI技术设计出静态和动态、线下和线上结合的患者管理服务路径，以处方化的形式提供给患者。</w:t>
      </w:r>
    </w:p>
    <w:p w14:paraId="3A043A09">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下服务包括但不限于：负责运营管理（包括运营计划、组织、实施和风险控制），制定和执行医学运营策略；负责面向患者进行服务内容现场宣教，协助处理患者投诉，组织患友会，监控服务质量并提出改进建议；对参与本项目的我院医护人员进行培训和疑难解答；协调个案管理师团队与临床医护人员之间的沟通；提供线下非医疗诊断的健康咨询服务。</w:t>
      </w:r>
    </w:p>
    <w:p w14:paraId="2F82ADB1">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线上服务包括但不限于：</w:t>
      </w:r>
    </w:p>
    <w:p w14:paraId="2FCE2BA3">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负责与健康监测异常的患者进行深度沟通并衔接到其原主诊医生；审核患者院后疾病管理方案；处理患者管理过程中的疑难问题及制作个案管理报告等。</w:t>
      </w:r>
    </w:p>
    <w:p w14:paraId="4A455F4A">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负责根据诊后疾病管理路径上确定的工作内容，与患者联系落实，包括受理咨询电话、专病随访、用药不良反应指导、异常症状采集、居家护理指导、居家营养指导、患者心理初步疏导等服务工作。</w:t>
      </w:r>
    </w:p>
    <w:p w14:paraId="38DB8960">
      <w:pPr>
        <w:pStyle w:val="349"/>
        <w:keepLines w:val="0"/>
        <w:pageBreakBefore w:val="0"/>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5.新媒体患者运营服务</w:t>
      </w:r>
    </w:p>
    <w:p w14:paraId="5A05B524">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公域引流：根据疾病特点，制作短视频、图文科普等，并根据目标受众确定投放策略，在官方抖音、微信视频号等平台上对人群进行健康教育，并引导关注我院企业微信。</w:t>
      </w:r>
    </w:p>
    <w:p w14:paraId="25B916B1">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私域管理：针对已关注我院企业微信的用户，进行1次疾病风险评估，并根据风险进行个性化宣教，引导至对应科室就诊或互联网医院咨询。</w:t>
      </w:r>
    </w:p>
    <w:p w14:paraId="15D34BB8">
      <w:pPr>
        <w:pStyle w:val="349"/>
        <w:keepNext w:val="0"/>
        <w:keepLines w:val="0"/>
        <w:pageBreakBefore w:val="0"/>
        <w:widowControl w:val="0"/>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rPr>
      </w:pPr>
      <w:bookmarkStart w:id="53" w:name="OLE_LINK1"/>
      <w:r>
        <w:rPr>
          <w:rFonts w:hint="eastAsia" w:ascii="宋体" w:hAnsi="宋体" w:eastAsia="宋体" w:cs="宋体"/>
          <w:color w:val="auto"/>
          <w:sz w:val="22"/>
          <w:szCs w:val="22"/>
          <w:highlight w:val="none"/>
        </w:rPr>
        <w:t>6.支撑工具的运维服务要求</w:t>
      </w:r>
    </w:p>
    <w:bookmarkEnd w:id="53"/>
    <w:p w14:paraId="64613D65">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为了保障本项目的顺利落地，服务供应商需配套相应的软硬件支撑工具，并进行常态化的运维服务，运维服务要求：</w:t>
      </w:r>
    </w:p>
    <w:p w14:paraId="33C3CE06">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合同期内，为采购人提供7*24小时软硬件支撑工具售后服务支持。</w:t>
      </w:r>
    </w:p>
    <w:p w14:paraId="3CF092BC">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向采购人提供每月1次的定期巡查维护服务，定期维护服务内容包括：检查系统软件、后台服务、数据库运行状况等。</w:t>
      </w:r>
    </w:p>
    <w:p w14:paraId="4FD27131">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对软硬件支撑工具故障进行即时处理，要求响应时间不超过半小时。</w:t>
      </w:r>
    </w:p>
    <w:p w14:paraId="7EF714FE">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对软硬件支撑工具存在的潜在性错误进行修改，以版本升级形式完成。</w:t>
      </w:r>
    </w:p>
    <w:p w14:paraId="392A638E">
      <w:pPr>
        <w:keepLines w:val="0"/>
        <w:pageBreakBefore w:val="0"/>
        <w:kinsoku/>
        <w:wordWrap/>
        <w:overflowPunct/>
        <w:topLinePunct w:val="0"/>
        <w:autoSpaceDE/>
        <w:autoSpaceDN/>
        <w:bidi w:val="0"/>
        <w:adjustRightInd/>
        <w:spacing w:line="460" w:lineRule="exact"/>
        <w:ind w:right="0" w:rightChars="0" w:firstLine="541" w:firstLineChars="245"/>
        <w:textAlignment w:val="auto"/>
        <w:rPr>
          <w:rFonts w:hint="eastAsia" w:eastAsia="宋体"/>
          <w:color w:val="auto"/>
          <w:highlight w:val="none"/>
          <w:lang w:val="en-US" w:eastAsia="zh-CN"/>
        </w:rPr>
      </w:pPr>
      <w:r>
        <w:rPr>
          <w:rFonts w:hint="eastAsia" w:ascii="宋体" w:hAnsi="宋体" w:eastAsia="宋体" w:cs="宋体"/>
          <w:b/>
          <w:bCs/>
          <w:color w:val="auto"/>
          <w:sz w:val="22"/>
          <w:szCs w:val="22"/>
          <w:highlight w:val="none"/>
          <w:lang w:val="en-US" w:eastAsia="zh-CN"/>
        </w:rPr>
        <w:t>对于医院收案及履约</w:t>
      </w:r>
      <w:r>
        <w:rPr>
          <w:rFonts w:hint="eastAsia" w:ascii="宋体" w:hAnsi="宋体" w:cs="宋体"/>
          <w:b/>
          <w:bCs/>
          <w:color w:val="auto"/>
          <w:sz w:val="22"/>
          <w:szCs w:val="22"/>
          <w:highlight w:val="none"/>
          <w:lang w:val="en-US" w:eastAsia="zh-CN"/>
        </w:rPr>
        <w:t>模式，供应商应按照服务供应商收案及履约所使用得软件支持工具开放对应功能模块。</w:t>
      </w:r>
    </w:p>
    <w:p w14:paraId="1A25D835">
      <w:pPr>
        <w:pStyle w:val="349"/>
        <w:keepNext w:val="0"/>
        <w:keepLines w:val="0"/>
        <w:pageBreakBefore w:val="0"/>
        <w:widowControl w:val="0"/>
        <w:numPr>
          <w:ilvl w:val="0"/>
          <w:numId w:val="7"/>
        </w:numPr>
        <w:kinsoku/>
        <w:wordWrap/>
        <w:overflowPunct/>
        <w:topLinePunct w:val="0"/>
        <w:autoSpaceDE/>
        <w:autoSpaceDN/>
        <w:bidi w:val="0"/>
        <w:adjustRightInd/>
        <w:spacing w:before="0" w:after="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其他</w:t>
      </w:r>
      <w:r>
        <w:rPr>
          <w:rFonts w:hint="eastAsia" w:ascii="宋体" w:hAnsi="宋体" w:eastAsia="宋体" w:cs="宋体"/>
          <w:color w:val="auto"/>
          <w:sz w:val="22"/>
          <w:szCs w:val="22"/>
          <w:highlight w:val="none"/>
        </w:rPr>
        <w:t>服务要求</w:t>
      </w:r>
    </w:p>
    <w:p w14:paraId="0ED5453C">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服务供应商应为</w:t>
      </w:r>
      <w:r>
        <w:rPr>
          <w:rFonts w:hint="eastAsia" w:ascii="宋体" w:hAnsi="宋体" w:cs="宋体"/>
          <w:bCs/>
          <w:color w:val="auto"/>
          <w:sz w:val="22"/>
          <w:szCs w:val="22"/>
          <w:highlight w:val="none"/>
          <w:lang w:val="en-US" w:eastAsia="zh-CN"/>
        </w:rPr>
        <w:t>采购人</w:t>
      </w:r>
      <w:r>
        <w:rPr>
          <w:rFonts w:hint="eastAsia" w:ascii="宋体" w:hAnsi="宋体" w:eastAsia="宋体" w:cs="宋体"/>
          <w:bCs/>
          <w:color w:val="auto"/>
          <w:sz w:val="22"/>
          <w:szCs w:val="22"/>
          <w:highlight w:val="none"/>
        </w:rPr>
        <w:t>拍摄</w:t>
      </w:r>
      <w:r>
        <w:rPr>
          <w:rFonts w:hint="eastAsia" w:ascii="宋体" w:hAnsi="宋体" w:cs="宋体"/>
          <w:bCs/>
          <w:color w:val="auto"/>
          <w:sz w:val="22"/>
          <w:szCs w:val="22"/>
          <w:highlight w:val="none"/>
          <w:lang w:val="en-US" w:eastAsia="zh-CN"/>
        </w:rPr>
        <w:t>1个</w:t>
      </w:r>
      <w:r>
        <w:rPr>
          <w:rFonts w:hint="eastAsia" w:ascii="宋体" w:hAnsi="宋体" w:eastAsia="宋体" w:cs="宋体"/>
          <w:bCs/>
          <w:color w:val="auto"/>
          <w:sz w:val="22"/>
          <w:szCs w:val="22"/>
          <w:highlight w:val="none"/>
        </w:rPr>
        <w:t>宣传片，便于共同进行项目推广和宣传。服务供应商应为项目提供 3-5 个数字人，</w:t>
      </w:r>
      <w:r>
        <w:rPr>
          <w:rFonts w:hint="eastAsia" w:ascii="宋体" w:hAnsi="宋体" w:cs="宋体"/>
          <w:bCs/>
          <w:color w:val="auto"/>
          <w:sz w:val="22"/>
          <w:szCs w:val="22"/>
          <w:highlight w:val="none"/>
          <w:lang w:val="en-US" w:eastAsia="zh-CN"/>
        </w:rPr>
        <w:t>配合采购人</w:t>
      </w:r>
      <w:r>
        <w:rPr>
          <w:rFonts w:hint="eastAsia" w:ascii="宋体" w:hAnsi="宋体" w:eastAsia="宋体" w:cs="宋体"/>
          <w:bCs/>
          <w:color w:val="auto"/>
          <w:sz w:val="22"/>
          <w:szCs w:val="22"/>
          <w:highlight w:val="none"/>
        </w:rPr>
        <w:t>试点数字人智能宣教模式。项目过程中产生的相关的电话费、短信费、企微费用（除去认证费</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2025年认证费</w:t>
      </w:r>
      <w:r>
        <w:rPr>
          <w:rFonts w:hint="eastAsia" w:ascii="宋体" w:hAnsi="宋体" w:eastAsia="宋体" w:cs="宋体"/>
          <w:bCs/>
          <w:color w:val="auto"/>
          <w:sz w:val="22"/>
          <w:szCs w:val="22"/>
          <w:highlight w:val="none"/>
        </w:rPr>
        <w:t>3000元</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仅做参考</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外）等所有诊后业务支出费用均由服务供应商承担。合作过程中所需推行的所有相关新服务项目，包括精准患者筛查管理与引流、患者健康管理等所产生的信息化建设费用、服务费用等由服务供应商承担</w:t>
      </w:r>
      <w:r>
        <w:rPr>
          <w:rFonts w:hint="eastAsia" w:ascii="宋体" w:hAnsi="宋体" w:cs="宋体"/>
          <w:bCs/>
          <w:color w:val="auto"/>
          <w:sz w:val="22"/>
          <w:szCs w:val="22"/>
          <w:highlight w:val="none"/>
          <w:lang w:eastAsia="zh-CN"/>
        </w:rPr>
        <w:t>。</w:t>
      </w:r>
    </w:p>
    <w:p w14:paraId="55B05A4B">
      <w:pPr>
        <w:pStyle w:val="348"/>
        <w:keepLines w:val="0"/>
        <w:pageBreakBefore w:val="0"/>
        <w:kinsoku/>
        <w:wordWrap/>
        <w:overflowPunct/>
        <w:topLinePunct w:val="0"/>
        <w:autoSpaceDE/>
        <w:autoSpaceDN/>
        <w:bidi w:val="0"/>
        <w:adjustRightInd/>
        <w:spacing w:beforeLines="0" w:afterLines="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五、服务进度要求</w:t>
      </w:r>
    </w:p>
    <w:p w14:paraId="74440A72">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合同签订后2个月内完成相关准备工作，包括疾病精细化管理系统软件的安装部署、接口数据对接并通过功能测试等事宜；</w:t>
      </w:r>
    </w:p>
    <w:p w14:paraId="7149E85C">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aps/>
          <w:color w:val="auto"/>
          <w:sz w:val="22"/>
          <w:szCs w:val="22"/>
          <w:highlight w:val="none"/>
        </w:rPr>
      </w:pPr>
      <w:r>
        <w:rPr>
          <w:rFonts w:hint="eastAsia" w:ascii="宋体" w:hAnsi="宋体" w:eastAsia="宋体" w:cs="宋体"/>
          <w:bCs/>
          <w:color w:val="auto"/>
          <w:sz w:val="22"/>
          <w:szCs w:val="22"/>
          <w:highlight w:val="none"/>
        </w:rPr>
        <w:t>合同签订后2个月内完成第一批出院人数最多的前50个病种的疾病管理路径医学梳理及医学内容编辑并完善到疾病精细化管理系统中；合同签订后6个月内完成全院所有病区具有诊后疾病管理价值的病种（不少于400个病种）医学梳理及医学内容编辑并完善到疾病管理软件中。</w:t>
      </w:r>
    </w:p>
    <w:p w14:paraId="21D274E1">
      <w:pPr>
        <w:pStyle w:val="348"/>
        <w:keepLines w:val="0"/>
        <w:pageBreakBefore w:val="0"/>
        <w:kinsoku/>
        <w:wordWrap/>
        <w:overflowPunct/>
        <w:topLinePunct w:val="0"/>
        <w:autoSpaceDE/>
        <w:autoSpaceDN/>
        <w:bidi w:val="0"/>
        <w:adjustRightInd/>
        <w:spacing w:beforeLines="0" w:afterLines="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六、服务管理能力要求</w:t>
      </w:r>
    </w:p>
    <w:p w14:paraId="2F5E6333">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供应商应负责整个项目的服务管理体系建设，服务管理体系包括服务的具体工作流程、服务规范、服务规章制度等内容，服务管理需明确每个岗位的具体工作职责及分工界面，需详细阐述患者管理过程中的风险控制、质量控制、办公场地6S标准管理规范等相关内容。</w:t>
      </w:r>
    </w:p>
    <w:p w14:paraId="7CDAEE2B">
      <w:pPr>
        <w:pStyle w:val="348"/>
        <w:keepLines w:val="0"/>
        <w:pageBreakBefore w:val="0"/>
        <w:kinsoku/>
        <w:wordWrap/>
        <w:overflowPunct/>
        <w:topLinePunct w:val="0"/>
        <w:autoSpaceDE/>
        <w:autoSpaceDN/>
        <w:bidi w:val="0"/>
        <w:adjustRightInd/>
        <w:spacing w:beforeLines="0" w:afterLines="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七、服务质量要求</w:t>
      </w:r>
    </w:p>
    <w:p w14:paraId="4AD65CC9">
      <w:pPr>
        <w:spacing w:line="360" w:lineRule="auto"/>
        <w:ind w:firstLine="645" w:firstLineChars="300"/>
        <w:rPr>
          <w:rFonts w:hint="eastAsia"/>
          <w:color w:val="auto"/>
          <w:spacing w:val="-2"/>
          <w:sz w:val="22"/>
          <w:szCs w:val="22"/>
          <w:highlight w:val="none"/>
          <w:lang w:val="en-US" w:eastAsia="zh-CN"/>
        </w:rPr>
      </w:pPr>
      <w:r>
        <w:rPr>
          <w:rFonts w:hint="eastAsia"/>
          <w:b/>
          <w:bCs/>
          <w:color w:val="auto"/>
          <w:spacing w:val="-3"/>
          <w:sz w:val="22"/>
          <w:szCs w:val="22"/>
          <w:highlight w:val="none"/>
          <w:lang w:val="en-US" w:eastAsia="zh-CN"/>
        </w:rPr>
        <w:t>服务质量考核：</w:t>
      </w:r>
      <w:r>
        <w:rPr>
          <w:rFonts w:hint="eastAsia"/>
          <w:color w:val="auto"/>
          <w:spacing w:val="-2"/>
          <w:sz w:val="22"/>
          <w:szCs w:val="22"/>
          <w:highlight w:val="none"/>
          <w:lang w:eastAsia="zh-CN"/>
        </w:rPr>
        <w:t>每月按</w:t>
      </w:r>
      <w:r>
        <w:rPr>
          <w:rFonts w:hint="eastAsia"/>
          <w:color w:val="auto"/>
          <w:spacing w:val="-2"/>
          <w:sz w:val="22"/>
          <w:szCs w:val="22"/>
          <w:highlight w:val="none"/>
          <w:lang w:val="en-US" w:eastAsia="zh-CN"/>
        </w:rPr>
        <w:t>10%以上比例随机抽取</w:t>
      </w:r>
      <w:r>
        <w:rPr>
          <w:rFonts w:hint="eastAsia"/>
          <w:color w:val="auto"/>
          <w:spacing w:val="-2"/>
          <w:sz w:val="22"/>
          <w:szCs w:val="22"/>
          <w:highlight w:val="none"/>
          <w:lang w:eastAsia="zh-CN"/>
        </w:rPr>
        <w:t>当月结束管理的患者，从</w:t>
      </w:r>
      <w:r>
        <w:rPr>
          <w:color w:val="auto"/>
          <w:spacing w:val="-2"/>
          <w:sz w:val="22"/>
          <w:szCs w:val="22"/>
          <w:highlight w:val="none"/>
        </w:rPr>
        <w:t>疾病路径管理</w:t>
      </w:r>
      <w:r>
        <w:rPr>
          <w:rFonts w:hint="eastAsia"/>
          <w:color w:val="auto"/>
          <w:spacing w:val="-2"/>
          <w:sz w:val="22"/>
          <w:szCs w:val="22"/>
          <w:highlight w:val="none"/>
          <w:lang w:eastAsia="zh-CN"/>
        </w:rPr>
        <w:t>情况</w:t>
      </w:r>
      <w:r>
        <w:rPr>
          <w:color w:val="auto"/>
          <w:spacing w:val="-2"/>
          <w:sz w:val="22"/>
          <w:szCs w:val="22"/>
          <w:highlight w:val="none"/>
        </w:rPr>
        <w:t>、满意度</w:t>
      </w:r>
      <w:r>
        <w:rPr>
          <w:rFonts w:hint="eastAsia"/>
          <w:color w:val="auto"/>
          <w:spacing w:val="-2"/>
          <w:sz w:val="22"/>
          <w:szCs w:val="22"/>
          <w:highlight w:val="none"/>
          <w:lang w:eastAsia="zh-CN"/>
        </w:rPr>
        <w:t>情况</w:t>
      </w:r>
      <w:r>
        <w:rPr>
          <w:color w:val="auto"/>
          <w:spacing w:val="-2"/>
          <w:sz w:val="22"/>
          <w:szCs w:val="22"/>
          <w:highlight w:val="none"/>
        </w:rPr>
        <w:t>、复诊</w:t>
      </w:r>
      <w:r>
        <w:rPr>
          <w:rFonts w:hint="eastAsia"/>
          <w:color w:val="auto"/>
          <w:spacing w:val="-2"/>
          <w:sz w:val="22"/>
          <w:szCs w:val="22"/>
          <w:highlight w:val="none"/>
          <w:lang w:eastAsia="zh-CN"/>
        </w:rPr>
        <w:t>情况三</w:t>
      </w:r>
      <w:r>
        <w:rPr>
          <w:color w:val="auto"/>
          <w:spacing w:val="-2"/>
          <w:sz w:val="22"/>
          <w:szCs w:val="22"/>
          <w:highlight w:val="none"/>
        </w:rPr>
        <w:t>方面</w:t>
      </w:r>
      <w:r>
        <w:rPr>
          <w:rFonts w:hint="eastAsia"/>
          <w:color w:val="auto"/>
          <w:spacing w:val="-2"/>
          <w:sz w:val="22"/>
          <w:szCs w:val="22"/>
          <w:highlight w:val="none"/>
          <w:lang w:val="en-US" w:eastAsia="zh-CN"/>
        </w:rPr>
        <w:t xml:space="preserve"> (</w:t>
      </w:r>
      <w:r>
        <w:rPr>
          <w:rFonts w:hint="eastAsia"/>
          <w:color w:val="auto"/>
          <w:spacing w:val="-2"/>
          <w:sz w:val="22"/>
          <w:szCs w:val="22"/>
          <w:highlight w:val="none"/>
          <w:lang w:eastAsia="zh-CN"/>
        </w:rPr>
        <w:t>共</w:t>
      </w:r>
      <w:r>
        <w:rPr>
          <w:rFonts w:hint="eastAsia"/>
          <w:color w:val="auto"/>
          <w:spacing w:val="-2"/>
          <w:sz w:val="22"/>
          <w:szCs w:val="22"/>
          <w:highlight w:val="none"/>
          <w:lang w:val="en-US" w:eastAsia="zh-CN"/>
        </w:rPr>
        <w:t>25条内容</w:t>
      </w:r>
      <w:r>
        <w:rPr>
          <w:rFonts w:hint="eastAsia"/>
          <w:color w:val="auto"/>
          <w:spacing w:val="-2"/>
          <w:sz w:val="22"/>
          <w:szCs w:val="22"/>
          <w:highlight w:val="none"/>
          <w:lang w:eastAsia="zh-CN"/>
        </w:rPr>
        <w:t>）进行考核</w:t>
      </w:r>
      <w:r>
        <w:rPr>
          <w:rFonts w:hint="eastAsia"/>
          <w:color w:val="auto"/>
          <w:spacing w:val="-2"/>
          <w:sz w:val="22"/>
          <w:szCs w:val="22"/>
          <w:highlight w:val="none"/>
          <w:lang w:val="en-US" w:eastAsia="zh-CN"/>
        </w:rPr>
        <w:t>(</w:t>
      </w:r>
      <w:r>
        <w:rPr>
          <w:rFonts w:hint="eastAsia"/>
          <w:color w:val="auto"/>
          <w:spacing w:val="-2"/>
          <w:sz w:val="22"/>
          <w:szCs w:val="22"/>
          <w:highlight w:val="none"/>
          <w:lang w:eastAsia="zh-CN"/>
        </w:rPr>
        <w:t>详见下表</w:t>
      </w:r>
      <w:r>
        <w:rPr>
          <w:rFonts w:hint="eastAsia"/>
          <w:color w:val="auto"/>
          <w:spacing w:val="-2"/>
          <w:sz w:val="22"/>
          <w:szCs w:val="22"/>
          <w:highlight w:val="none"/>
          <w:lang w:val="en-US" w:eastAsia="zh-CN"/>
        </w:rPr>
        <w:t>1)，每项条目设4分分值，总分值为100分，由采购方按每条考核内容执行情况扣分。</w:t>
      </w:r>
    </w:p>
    <w:p w14:paraId="2819F9BB">
      <w:pPr>
        <w:spacing w:line="360" w:lineRule="auto"/>
        <w:ind w:firstLine="651" w:firstLineChars="300"/>
        <w:rPr>
          <w:rFonts w:hint="eastAsia"/>
          <w:color w:val="auto"/>
          <w:spacing w:val="-2"/>
          <w:sz w:val="22"/>
          <w:szCs w:val="22"/>
          <w:highlight w:val="none"/>
          <w:lang w:val="en-US" w:eastAsia="zh-CN"/>
        </w:rPr>
      </w:pPr>
      <w:r>
        <w:rPr>
          <w:rFonts w:hint="eastAsia"/>
          <w:b/>
          <w:bCs/>
          <w:color w:val="auto"/>
          <w:spacing w:val="-2"/>
          <w:sz w:val="22"/>
          <w:szCs w:val="22"/>
          <w:highlight w:val="none"/>
          <w:lang w:val="en-US" w:eastAsia="zh-CN"/>
        </w:rPr>
        <w:t>考核说明：</w:t>
      </w:r>
      <w:r>
        <w:rPr>
          <w:rFonts w:hint="eastAsia"/>
          <w:color w:val="auto"/>
          <w:spacing w:val="-2"/>
          <w:sz w:val="22"/>
          <w:szCs w:val="22"/>
          <w:highlight w:val="none"/>
          <w:lang w:val="en-US" w:eastAsia="zh-CN"/>
        </w:rPr>
        <w:t>考核条目适用于患者并完成条目内容选择“是”且不扣分；考核条目不适用于患者并未完成内容则选择“否”且扣4分；考核条目不适用于患者则选择“不适用”且不扣分。</w:t>
      </w:r>
    </w:p>
    <w:p w14:paraId="398258A9">
      <w:pPr>
        <w:pStyle w:val="2"/>
        <w:spacing w:line="240" w:lineRule="auto"/>
        <w:rPr>
          <w:rFonts w:hint="default"/>
          <w:b/>
          <w:bCs/>
          <w:color w:val="auto"/>
          <w:highlight w:val="none"/>
          <w:lang w:val="en-US" w:eastAsia="zh-CN"/>
        </w:rPr>
      </w:pPr>
      <w:r>
        <w:rPr>
          <w:rFonts w:hint="eastAsia"/>
          <w:b/>
          <w:bCs/>
          <w:color w:val="auto"/>
          <w:spacing w:val="-2"/>
          <w:sz w:val="22"/>
          <w:szCs w:val="22"/>
          <w:highlight w:val="none"/>
          <w:lang w:val="en-US" w:eastAsia="zh-CN"/>
        </w:rPr>
        <w:t>（表1）</w:t>
      </w:r>
    </w:p>
    <w:tbl>
      <w:tblPr>
        <w:tblStyle w:val="53"/>
        <w:tblW w:w="9990"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7"/>
        <w:gridCol w:w="750"/>
        <w:gridCol w:w="1080"/>
        <w:gridCol w:w="4208"/>
        <w:gridCol w:w="1995"/>
        <w:gridCol w:w="660"/>
        <w:gridCol w:w="780"/>
      </w:tblGrid>
      <w:tr w14:paraId="528F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894E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543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项目</w:t>
            </w:r>
          </w:p>
        </w:tc>
        <w:tc>
          <w:tcPr>
            <w:tcW w:w="5288" w:type="dxa"/>
            <w:gridSpan w:val="2"/>
            <w:tcBorders>
              <w:top w:val="single" w:color="000000" w:sz="4" w:space="0"/>
              <w:left w:val="single" w:color="000000" w:sz="4" w:space="0"/>
              <w:bottom w:val="single" w:color="000000" w:sz="4" w:space="0"/>
              <w:right w:val="single" w:color="000000" w:sz="4" w:space="0"/>
            </w:tcBorders>
            <w:noWrap w:val="0"/>
            <w:vAlign w:val="center"/>
          </w:tcPr>
          <w:p w14:paraId="13534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内容</w:t>
            </w:r>
          </w:p>
        </w:tc>
        <w:tc>
          <w:tcPr>
            <w:tcW w:w="1995" w:type="dxa"/>
            <w:tcBorders>
              <w:top w:val="single" w:color="000000" w:sz="4" w:space="0"/>
              <w:left w:val="single" w:color="000000" w:sz="4" w:space="0"/>
              <w:bottom w:val="single" w:color="auto" w:sz="4" w:space="0"/>
              <w:right w:val="single" w:color="000000" w:sz="4" w:space="0"/>
            </w:tcBorders>
            <w:noWrap w:val="0"/>
            <w:vAlign w:val="center"/>
          </w:tcPr>
          <w:p w14:paraId="3441B7A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检查</w:t>
            </w:r>
          </w:p>
        </w:tc>
        <w:tc>
          <w:tcPr>
            <w:tcW w:w="660" w:type="dxa"/>
            <w:tcBorders>
              <w:top w:val="single" w:color="000000" w:sz="4" w:space="0"/>
              <w:left w:val="single" w:color="000000" w:sz="4" w:space="0"/>
              <w:bottom w:val="single" w:color="auto" w:sz="4" w:space="0"/>
              <w:right w:val="single" w:color="000000" w:sz="4" w:space="0"/>
            </w:tcBorders>
            <w:noWrap w:val="0"/>
            <w:vAlign w:val="center"/>
          </w:tcPr>
          <w:p w14:paraId="7FB3AD3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扣分</w:t>
            </w:r>
          </w:p>
        </w:tc>
        <w:tc>
          <w:tcPr>
            <w:tcW w:w="780" w:type="dxa"/>
            <w:tcBorders>
              <w:top w:val="single" w:color="000000" w:sz="4" w:space="0"/>
              <w:left w:val="single" w:color="000000" w:sz="4" w:space="0"/>
              <w:bottom w:val="single" w:color="auto" w:sz="4" w:space="0"/>
              <w:right w:val="single" w:color="000000" w:sz="4" w:space="0"/>
            </w:tcBorders>
            <w:noWrap w:val="0"/>
            <w:vAlign w:val="center"/>
          </w:tcPr>
          <w:p w14:paraId="1663B5F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备注</w:t>
            </w:r>
          </w:p>
        </w:tc>
      </w:tr>
      <w:tr w14:paraId="5ECE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7" w:type="dxa"/>
            <w:vMerge w:val="restart"/>
            <w:tcBorders>
              <w:top w:val="single" w:color="000000" w:sz="4" w:space="0"/>
              <w:left w:val="single" w:color="000000" w:sz="4" w:space="0"/>
              <w:right w:val="single" w:color="000000" w:sz="4" w:space="0"/>
            </w:tcBorders>
            <w:noWrap/>
            <w:vAlign w:val="center"/>
          </w:tcPr>
          <w:p w14:paraId="0491AA40">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14:paraId="28A3B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路径管理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5B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现场宣教签约</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75BC064C">
            <w:pPr>
              <w:keepNext w:val="0"/>
              <w:keepLines w:val="0"/>
              <w:widowControl/>
              <w:suppressLineNumbers w:val="0"/>
              <w:jc w:val="left"/>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患者知晓服务与收费内容</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2B988F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58F98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006DE59">
            <w:pPr>
              <w:jc w:val="left"/>
              <w:rPr>
                <w:rFonts w:hint="eastAsia" w:ascii="宋体" w:hAnsi="宋体" w:eastAsia="宋体" w:cs="宋体"/>
                <w:i w:val="0"/>
                <w:iCs w:val="0"/>
                <w:color w:val="auto"/>
                <w:sz w:val="20"/>
                <w:szCs w:val="20"/>
                <w:highlight w:val="none"/>
                <w:u w:val="none"/>
              </w:rPr>
            </w:pPr>
          </w:p>
        </w:tc>
      </w:tr>
      <w:tr w14:paraId="2031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17" w:type="dxa"/>
            <w:vMerge w:val="continue"/>
            <w:tcBorders>
              <w:left w:val="single" w:color="000000" w:sz="4" w:space="0"/>
              <w:right w:val="single" w:color="000000" w:sz="4" w:space="0"/>
            </w:tcBorders>
            <w:noWrap/>
            <w:vAlign w:val="center"/>
          </w:tcPr>
          <w:p w14:paraId="3C4F7576">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077CAF7E">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FC58A">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03A5413D">
            <w:pPr>
              <w:keepNext w:val="0"/>
              <w:keepLines w:val="0"/>
              <w:widowControl/>
              <w:suppressLineNumbers w:val="0"/>
              <w:jc w:val="left"/>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现场知情同意书与信息采集内容准确、完整。</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83553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DFB8A02">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4929AF">
            <w:pPr>
              <w:jc w:val="left"/>
              <w:rPr>
                <w:rFonts w:hint="eastAsia" w:ascii="宋体" w:hAnsi="宋体" w:eastAsia="宋体" w:cs="宋体"/>
                <w:i w:val="0"/>
                <w:iCs w:val="0"/>
                <w:color w:val="auto"/>
                <w:sz w:val="20"/>
                <w:szCs w:val="20"/>
                <w:highlight w:val="none"/>
                <w:u w:val="none"/>
              </w:rPr>
            </w:pPr>
          </w:p>
        </w:tc>
      </w:tr>
      <w:tr w14:paraId="5953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7" w:type="dxa"/>
            <w:vMerge w:val="continue"/>
            <w:tcBorders>
              <w:left w:val="single" w:color="000000" w:sz="4" w:space="0"/>
              <w:right w:val="single" w:color="000000" w:sz="4" w:space="0"/>
            </w:tcBorders>
            <w:noWrap/>
            <w:vAlign w:val="center"/>
          </w:tcPr>
          <w:p w14:paraId="1E84AE5F">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2039899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6D7BD">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2B7BC506">
            <w:pPr>
              <w:keepNext w:val="0"/>
              <w:keepLines w:val="0"/>
              <w:widowControl/>
              <w:suppressLineNumbers w:val="0"/>
              <w:jc w:val="left"/>
              <w:textAlignment w:val="center"/>
              <w:rPr>
                <w:rFonts w:hint="eastAsia" w:ascii="宋体" w:hAnsi="宋体" w:eastAsia="宋体" w:cs="宋体"/>
                <w:i w:val="0"/>
                <w:iCs w:val="0"/>
                <w:strike w:val="0"/>
                <w:dstrike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患者自愿加入管理意愿明确。</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4F0B14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44EEA2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6440F3E">
            <w:pPr>
              <w:jc w:val="left"/>
              <w:rPr>
                <w:rFonts w:hint="eastAsia" w:ascii="宋体" w:hAnsi="宋体" w:eastAsia="宋体" w:cs="宋体"/>
                <w:i w:val="0"/>
                <w:iCs w:val="0"/>
                <w:color w:val="auto"/>
                <w:sz w:val="20"/>
                <w:szCs w:val="20"/>
                <w:highlight w:val="none"/>
                <w:u w:val="none"/>
              </w:rPr>
            </w:pPr>
          </w:p>
        </w:tc>
      </w:tr>
      <w:tr w14:paraId="4FCB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17" w:type="dxa"/>
            <w:vMerge w:val="continue"/>
            <w:tcBorders>
              <w:left w:val="single" w:color="000000" w:sz="4" w:space="0"/>
              <w:right w:val="single" w:color="000000" w:sz="4" w:space="0"/>
            </w:tcBorders>
            <w:noWrap/>
            <w:vAlign w:val="center"/>
          </w:tcPr>
          <w:p w14:paraId="05F8A532">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3CE09DD">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757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收案</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43A564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日间手术1天内、普通患者3天内完成收案（节假日顺延至7天内）。</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CB6299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F7A24F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0B59A64">
            <w:pPr>
              <w:jc w:val="left"/>
              <w:rPr>
                <w:rFonts w:hint="eastAsia" w:ascii="宋体" w:hAnsi="宋体" w:eastAsia="宋体" w:cs="宋体"/>
                <w:i w:val="0"/>
                <w:iCs w:val="0"/>
                <w:color w:val="auto"/>
                <w:sz w:val="20"/>
                <w:szCs w:val="20"/>
                <w:highlight w:val="none"/>
                <w:u w:val="none"/>
              </w:rPr>
            </w:pPr>
          </w:p>
        </w:tc>
      </w:tr>
      <w:tr w14:paraId="6F30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17" w:type="dxa"/>
            <w:vMerge w:val="continue"/>
            <w:tcBorders>
              <w:left w:val="single" w:color="000000" w:sz="4" w:space="0"/>
              <w:right w:val="single" w:color="000000" w:sz="4" w:space="0"/>
            </w:tcBorders>
            <w:noWrap/>
            <w:vAlign w:val="center"/>
          </w:tcPr>
          <w:p w14:paraId="2BD19A61">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359BC31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A1254">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1F36AE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管理路径匹配科学合理。</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6D7CCE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B9323E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8C974BF">
            <w:pPr>
              <w:jc w:val="left"/>
              <w:rPr>
                <w:rFonts w:hint="eastAsia" w:ascii="宋体" w:hAnsi="宋体" w:eastAsia="宋体" w:cs="宋体"/>
                <w:i w:val="0"/>
                <w:iCs w:val="0"/>
                <w:color w:val="auto"/>
                <w:sz w:val="20"/>
                <w:szCs w:val="20"/>
                <w:highlight w:val="none"/>
                <w:u w:val="none"/>
              </w:rPr>
            </w:pPr>
          </w:p>
        </w:tc>
      </w:tr>
      <w:tr w14:paraId="7B9B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17" w:type="dxa"/>
            <w:vMerge w:val="continue"/>
            <w:tcBorders>
              <w:left w:val="single" w:color="000000" w:sz="4" w:space="0"/>
              <w:right w:val="single" w:color="000000" w:sz="4" w:space="0"/>
            </w:tcBorders>
            <w:noWrap/>
            <w:vAlign w:val="center"/>
          </w:tcPr>
          <w:p w14:paraId="78DC292C">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ED93383">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45B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疾病健康宣教内容推送</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73D8E949">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snapToGrid w:val="0"/>
                <w:color w:val="auto"/>
                <w:kern w:val="0"/>
                <w:sz w:val="20"/>
                <w:szCs w:val="20"/>
                <w:highlight w:val="none"/>
                <w:u w:val="none"/>
                <w:lang w:val="en-US" w:eastAsia="zh-CN" w:bidi="ar"/>
              </w:rPr>
              <w:t>按时完成所有路径内的内容推送（如遇春节等特殊节日、患者个性化需求延后或关闭推送，需有备注）。</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BF4799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2B0062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B7D92AB">
            <w:pPr>
              <w:jc w:val="left"/>
              <w:rPr>
                <w:rFonts w:hint="eastAsia" w:ascii="宋体" w:hAnsi="宋体" w:eastAsia="宋体" w:cs="宋体"/>
                <w:i w:val="0"/>
                <w:iCs w:val="0"/>
                <w:color w:val="auto"/>
                <w:sz w:val="20"/>
                <w:szCs w:val="20"/>
                <w:highlight w:val="none"/>
                <w:u w:val="none"/>
              </w:rPr>
            </w:pPr>
          </w:p>
        </w:tc>
      </w:tr>
      <w:tr w14:paraId="7C52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517" w:type="dxa"/>
            <w:vMerge w:val="continue"/>
            <w:tcBorders>
              <w:left w:val="single" w:color="000000" w:sz="4" w:space="0"/>
              <w:right w:val="single" w:color="000000" w:sz="4" w:space="0"/>
            </w:tcBorders>
            <w:noWrap/>
            <w:vAlign w:val="center"/>
          </w:tcPr>
          <w:p w14:paraId="5F3F32E4">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8C9902B">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91812">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7C4B00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患者（家属）知晓并能简单表述相关健康知识内容。</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9C3B11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E99A00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F9AD700">
            <w:pPr>
              <w:jc w:val="left"/>
              <w:rPr>
                <w:rFonts w:hint="eastAsia" w:ascii="宋体" w:hAnsi="宋体" w:eastAsia="宋体" w:cs="宋体"/>
                <w:i w:val="0"/>
                <w:iCs w:val="0"/>
                <w:color w:val="auto"/>
                <w:sz w:val="20"/>
                <w:szCs w:val="20"/>
                <w:highlight w:val="none"/>
                <w:u w:val="none"/>
              </w:rPr>
            </w:pPr>
          </w:p>
        </w:tc>
      </w:tr>
      <w:tr w14:paraId="0ADB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17" w:type="dxa"/>
            <w:vMerge w:val="continue"/>
            <w:tcBorders>
              <w:left w:val="single" w:color="000000" w:sz="4" w:space="0"/>
              <w:right w:val="single" w:color="000000" w:sz="4" w:space="0"/>
            </w:tcBorders>
            <w:noWrap/>
            <w:vAlign w:val="center"/>
          </w:tcPr>
          <w:p w14:paraId="207D066A">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33EC625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B6A2D">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305DF8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对患者的血压、血糖、体重、心率/脉率等健康数据监测及时、准确。</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A0A2D8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118E7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54094B1">
            <w:pPr>
              <w:jc w:val="left"/>
              <w:rPr>
                <w:rFonts w:hint="eastAsia" w:ascii="宋体" w:hAnsi="宋体" w:eastAsia="宋体" w:cs="宋体"/>
                <w:i w:val="0"/>
                <w:iCs w:val="0"/>
                <w:color w:val="auto"/>
                <w:sz w:val="20"/>
                <w:szCs w:val="20"/>
                <w:highlight w:val="none"/>
                <w:u w:val="none"/>
              </w:rPr>
            </w:pPr>
          </w:p>
        </w:tc>
      </w:tr>
      <w:tr w14:paraId="35F9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17" w:type="dxa"/>
            <w:vMerge w:val="continue"/>
            <w:tcBorders>
              <w:left w:val="single" w:color="000000" w:sz="4" w:space="0"/>
              <w:right w:val="single" w:color="000000" w:sz="4" w:space="0"/>
            </w:tcBorders>
            <w:noWrap/>
            <w:vAlign w:val="center"/>
          </w:tcPr>
          <w:p w14:paraId="5345A9D0">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468DD82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60BFC">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4F00CC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与患者（家属）有线上（电话、企微、小程序）或线下互动。</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0C36F1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BC659C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FAEEB3">
            <w:pPr>
              <w:jc w:val="left"/>
              <w:rPr>
                <w:rFonts w:hint="eastAsia" w:ascii="宋体" w:hAnsi="宋体" w:eastAsia="宋体" w:cs="宋体"/>
                <w:i w:val="0"/>
                <w:iCs w:val="0"/>
                <w:color w:val="auto"/>
                <w:sz w:val="20"/>
                <w:szCs w:val="20"/>
                <w:highlight w:val="none"/>
                <w:u w:val="none"/>
              </w:rPr>
            </w:pPr>
          </w:p>
        </w:tc>
      </w:tr>
      <w:tr w14:paraId="7812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17" w:type="dxa"/>
            <w:vMerge w:val="continue"/>
            <w:tcBorders>
              <w:left w:val="single" w:color="000000" w:sz="4" w:space="0"/>
              <w:right w:val="single" w:color="000000" w:sz="4" w:space="0"/>
            </w:tcBorders>
            <w:noWrap/>
            <w:vAlign w:val="center"/>
          </w:tcPr>
          <w:p w14:paraId="0C044D0B">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6A9496F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CD9AC">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565DF8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院内管理路径病种有形成目录，并按实时更新；路径内容有科室医生核对并签字。</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E9235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6A689A8">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50ADF1F">
            <w:pPr>
              <w:jc w:val="left"/>
              <w:rPr>
                <w:rFonts w:hint="eastAsia" w:ascii="宋体" w:hAnsi="宋体" w:eastAsia="宋体" w:cs="宋体"/>
                <w:i w:val="0"/>
                <w:iCs w:val="0"/>
                <w:color w:val="auto"/>
                <w:sz w:val="20"/>
                <w:szCs w:val="20"/>
                <w:highlight w:val="none"/>
                <w:u w:val="none"/>
              </w:rPr>
            </w:pPr>
          </w:p>
        </w:tc>
      </w:tr>
      <w:tr w14:paraId="1D6F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17" w:type="dxa"/>
            <w:vMerge w:val="continue"/>
            <w:tcBorders>
              <w:left w:val="single" w:color="000000" w:sz="4" w:space="0"/>
              <w:right w:val="single" w:color="000000" w:sz="4" w:space="0"/>
            </w:tcBorders>
            <w:noWrap/>
            <w:vAlign w:val="center"/>
          </w:tcPr>
          <w:p w14:paraId="5FD5B9EF">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34485CE7">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AB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人工任务</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62378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按路径时间节点及时完成人工任务。（遇节假日、有患者暂未出院或再次住院等情况，按路径时间节点前后7天完成人工任务）</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FB5D1C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C1019D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C6CF0A6">
            <w:pPr>
              <w:jc w:val="left"/>
              <w:rPr>
                <w:rFonts w:hint="eastAsia" w:ascii="宋体" w:hAnsi="宋体" w:eastAsia="宋体" w:cs="宋体"/>
                <w:i w:val="0"/>
                <w:iCs w:val="0"/>
                <w:color w:val="auto"/>
                <w:sz w:val="20"/>
                <w:szCs w:val="20"/>
                <w:highlight w:val="none"/>
                <w:u w:val="none"/>
              </w:rPr>
            </w:pPr>
          </w:p>
        </w:tc>
      </w:tr>
      <w:tr w14:paraId="4A2A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17" w:type="dxa"/>
            <w:vMerge w:val="continue"/>
            <w:tcBorders>
              <w:left w:val="single" w:color="000000" w:sz="4" w:space="0"/>
              <w:right w:val="single" w:color="000000" w:sz="4" w:space="0"/>
            </w:tcBorders>
            <w:noWrap/>
            <w:vAlign w:val="center"/>
          </w:tcPr>
          <w:p w14:paraId="05D89284">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3FE0AFD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1A8EA">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361B7B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有完整的人工通话录音、管理记录书写规范。</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5501AE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71AE3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2115FBC">
            <w:pPr>
              <w:jc w:val="left"/>
              <w:rPr>
                <w:rFonts w:hint="eastAsia" w:ascii="宋体" w:hAnsi="宋体" w:eastAsia="宋体" w:cs="宋体"/>
                <w:i w:val="0"/>
                <w:iCs w:val="0"/>
                <w:color w:val="auto"/>
                <w:sz w:val="20"/>
                <w:szCs w:val="20"/>
                <w:highlight w:val="none"/>
                <w:u w:val="none"/>
              </w:rPr>
            </w:pPr>
          </w:p>
        </w:tc>
      </w:tr>
      <w:tr w14:paraId="2CA1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17" w:type="dxa"/>
            <w:vMerge w:val="continue"/>
            <w:tcBorders>
              <w:left w:val="single" w:color="000000" w:sz="4" w:space="0"/>
              <w:right w:val="single" w:color="000000" w:sz="4" w:space="0"/>
            </w:tcBorders>
            <w:noWrap/>
            <w:vAlign w:val="center"/>
          </w:tcPr>
          <w:p w14:paraId="022D20D9">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2E400402">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BC14A">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35D65D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人工通话内容规范科学、话术合理。</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3D2CC3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E94584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D32903">
            <w:pPr>
              <w:jc w:val="left"/>
              <w:rPr>
                <w:rFonts w:hint="eastAsia" w:ascii="宋体" w:hAnsi="宋体" w:eastAsia="宋体" w:cs="宋体"/>
                <w:i w:val="0"/>
                <w:iCs w:val="0"/>
                <w:color w:val="auto"/>
                <w:sz w:val="20"/>
                <w:szCs w:val="20"/>
                <w:highlight w:val="none"/>
                <w:u w:val="none"/>
              </w:rPr>
            </w:pPr>
          </w:p>
        </w:tc>
      </w:tr>
      <w:tr w14:paraId="4E62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17" w:type="dxa"/>
            <w:vMerge w:val="continue"/>
            <w:tcBorders>
              <w:left w:val="single" w:color="000000" w:sz="4" w:space="0"/>
              <w:right w:val="single" w:color="000000" w:sz="4" w:space="0"/>
            </w:tcBorders>
            <w:noWrap/>
            <w:vAlign w:val="center"/>
          </w:tcPr>
          <w:p w14:paraId="3FE2BA1C">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0BE0D44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D3FEE">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0F697D4E">
            <w:pPr>
              <w:keepNext w:val="0"/>
              <w:keepLines w:val="0"/>
              <w:widowControl/>
              <w:suppressLineNumbers w:val="0"/>
              <w:jc w:val="left"/>
              <w:textAlignment w:val="center"/>
              <w:rPr>
                <w:rFonts w:hint="default"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小程序/企业微信回复处理及时，时间不超过2小时。</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BC6C4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36F196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C438FF9">
            <w:pPr>
              <w:jc w:val="left"/>
              <w:rPr>
                <w:rFonts w:hint="eastAsia" w:ascii="宋体" w:hAnsi="宋体" w:eastAsia="宋体" w:cs="宋体"/>
                <w:i w:val="0"/>
                <w:iCs w:val="0"/>
                <w:color w:val="auto"/>
                <w:sz w:val="20"/>
                <w:szCs w:val="20"/>
                <w:highlight w:val="none"/>
                <w:u w:val="none"/>
              </w:rPr>
            </w:pPr>
          </w:p>
        </w:tc>
      </w:tr>
      <w:tr w14:paraId="0776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7" w:type="dxa"/>
            <w:vMerge w:val="continue"/>
            <w:tcBorders>
              <w:left w:val="single" w:color="000000" w:sz="4" w:space="0"/>
              <w:right w:val="single" w:color="000000" w:sz="4" w:space="0"/>
            </w:tcBorders>
            <w:noWrap/>
            <w:vAlign w:val="center"/>
          </w:tcPr>
          <w:p w14:paraId="6C42868D">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2F231A7C">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418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工单</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0ECE42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线上工单分级准确，提交及时，无漏单。</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62A5BBE">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9D22EF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75F5F72">
            <w:pPr>
              <w:jc w:val="left"/>
              <w:rPr>
                <w:rFonts w:hint="eastAsia" w:ascii="宋体" w:hAnsi="宋体" w:eastAsia="宋体" w:cs="宋体"/>
                <w:i w:val="0"/>
                <w:iCs w:val="0"/>
                <w:color w:val="auto"/>
                <w:sz w:val="20"/>
                <w:szCs w:val="20"/>
                <w:highlight w:val="none"/>
                <w:u w:val="none"/>
              </w:rPr>
            </w:pPr>
          </w:p>
        </w:tc>
      </w:tr>
      <w:tr w14:paraId="4068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17" w:type="dxa"/>
            <w:vMerge w:val="continue"/>
            <w:tcBorders>
              <w:left w:val="single" w:color="000000" w:sz="4" w:space="0"/>
              <w:right w:val="single" w:color="000000" w:sz="4" w:space="0"/>
            </w:tcBorders>
            <w:noWrap/>
            <w:vAlign w:val="center"/>
          </w:tcPr>
          <w:p w14:paraId="0B7E0C04">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72B84CB4">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nil"/>
              <w:left w:val="single" w:color="000000" w:sz="4" w:space="0"/>
              <w:bottom w:val="single" w:color="000000" w:sz="4" w:space="0"/>
              <w:right w:val="single" w:color="000000" w:sz="4" w:space="0"/>
            </w:tcBorders>
            <w:noWrap w:val="0"/>
            <w:vAlign w:val="center"/>
          </w:tcPr>
          <w:p w14:paraId="10912DC1">
            <w:pPr>
              <w:jc w:val="center"/>
              <w:rPr>
                <w:rFonts w:hint="eastAsia" w:ascii="宋体" w:hAnsi="宋体" w:eastAsia="宋体" w:cs="宋体"/>
                <w:i w:val="0"/>
                <w:iCs w:val="0"/>
                <w:color w:val="auto"/>
                <w:sz w:val="22"/>
                <w:szCs w:val="22"/>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5E4A22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线上、线下患者特殊问题或突发情况反馈及时、处理得当。</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C09453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B5957B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9490A4A">
            <w:pPr>
              <w:jc w:val="left"/>
              <w:rPr>
                <w:rFonts w:hint="eastAsia" w:ascii="宋体" w:hAnsi="宋体" w:eastAsia="宋体" w:cs="宋体"/>
                <w:i w:val="0"/>
                <w:iCs w:val="0"/>
                <w:color w:val="auto"/>
                <w:sz w:val="20"/>
                <w:szCs w:val="20"/>
                <w:highlight w:val="none"/>
                <w:u w:val="none"/>
              </w:rPr>
            </w:pPr>
          </w:p>
        </w:tc>
      </w:tr>
      <w:tr w14:paraId="08D0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17" w:type="dxa"/>
            <w:vMerge w:val="continue"/>
            <w:tcBorders>
              <w:left w:val="single" w:color="000000" w:sz="4" w:space="0"/>
              <w:right w:val="single" w:color="000000" w:sz="4" w:space="0"/>
            </w:tcBorders>
            <w:noWrap/>
            <w:vAlign w:val="center"/>
          </w:tcPr>
          <w:p w14:paraId="03BB0664">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41EB78E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5F2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结案</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2024E5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结案前完成所有管理任务，立即完成结案报告。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659078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C36C34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38289F4">
            <w:pPr>
              <w:jc w:val="left"/>
              <w:rPr>
                <w:rFonts w:hint="eastAsia" w:ascii="宋体" w:hAnsi="宋体" w:eastAsia="宋体" w:cs="宋体"/>
                <w:i w:val="0"/>
                <w:iCs w:val="0"/>
                <w:color w:val="auto"/>
                <w:sz w:val="20"/>
                <w:szCs w:val="20"/>
                <w:highlight w:val="none"/>
                <w:u w:val="none"/>
              </w:rPr>
            </w:pPr>
          </w:p>
        </w:tc>
      </w:tr>
      <w:tr w14:paraId="7BA5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17" w:type="dxa"/>
            <w:vMerge w:val="continue"/>
            <w:tcBorders>
              <w:left w:val="single" w:color="000000" w:sz="4" w:space="0"/>
              <w:right w:val="single" w:color="000000" w:sz="4" w:space="0"/>
            </w:tcBorders>
            <w:noWrap/>
            <w:vAlign w:val="center"/>
          </w:tcPr>
          <w:p w14:paraId="3DC25438">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5A4ECA6E">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E2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其他</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7EC482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服务过程符合双方合同规定，不徇私、不泄密。</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C5672D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1D687D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DDEE4A">
            <w:pPr>
              <w:jc w:val="left"/>
              <w:rPr>
                <w:rFonts w:hint="eastAsia" w:ascii="宋体" w:hAnsi="宋体" w:eastAsia="宋体" w:cs="宋体"/>
                <w:i w:val="0"/>
                <w:iCs w:val="0"/>
                <w:color w:val="auto"/>
                <w:sz w:val="20"/>
                <w:szCs w:val="20"/>
                <w:highlight w:val="none"/>
                <w:u w:val="none"/>
              </w:rPr>
            </w:pPr>
          </w:p>
        </w:tc>
      </w:tr>
      <w:tr w14:paraId="008A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17" w:type="dxa"/>
            <w:vMerge w:val="continue"/>
            <w:tcBorders>
              <w:left w:val="single" w:color="000000" w:sz="4" w:space="0"/>
              <w:bottom w:val="single" w:color="000000" w:sz="4" w:space="0"/>
              <w:right w:val="single" w:color="000000" w:sz="4" w:space="0"/>
            </w:tcBorders>
            <w:noWrap/>
            <w:vAlign w:val="center"/>
          </w:tcPr>
          <w:p w14:paraId="5CB4CB0D">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35E0A924">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2F983">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10966F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管理路径有生成互联网医院诊疗链接推送或线下复诊提醒任务。</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4D2847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35BEFD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4CE239">
            <w:pPr>
              <w:jc w:val="left"/>
              <w:rPr>
                <w:rFonts w:hint="eastAsia" w:ascii="宋体" w:hAnsi="宋体" w:eastAsia="宋体" w:cs="宋体"/>
                <w:i w:val="0"/>
                <w:iCs w:val="0"/>
                <w:color w:val="auto"/>
                <w:sz w:val="20"/>
                <w:szCs w:val="20"/>
                <w:highlight w:val="none"/>
                <w:u w:val="none"/>
              </w:rPr>
            </w:pPr>
          </w:p>
        </w:tc>
      </w:tr>
      <w:tr w14:paraId="38C9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7" w:type="dxa"/>
            <w:vMerge w:val="restart"/>
            <w:tcBorders>
              <w:left w:val="single" w:color="000000" w:sz="4" w:space="0"/>
              <w:right w:val="single" w:color="000000" w:sz="4" w:space="0"/>
            </w:tcBorders>
            <w:noWrap/>
            <w:vAlign w:val="center"/>
          </w:tcPr>
          <w:p w14:paraId="2C9FE79D">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p w14:paraId="734A84EC">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p>
        </w:tc>
        <w:tc>
          <w:tcPr>
            <w:tcW w:w="750" w:type="dxa"/>
            <w:vMerge w:val="restart"/>
            <w:tcBorders>
              <w:top w:val="single" w:color="000000" w:sz="4" w:space="0"/>
              <w:left w:val="single" w:color="000000" w:sz="4" w:space="0"/>
              <w:right w:val="single" w:color="000000" w:sz="4" w:space="0"/>
            </w:tcBorders>
            <w:noWrap/>
            <w:vAlign w:val="center"/>
          </w:tcPr>
          <w:p w14:paraId="204D1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snapToGrid w:val="0"/>
                <w:color w:val="auto"/>
                <w:kern w:val="0"/>
                <w:sz w:val="20"/>
                <w:szCs w:val="20"/>
                <w:highlight w:val="none"/>
                <w:u w:val="none"/>
                <w:lang w:val="en-US" w:eastAsia="zh-CN" w:bidi="ar"/>
              </w:rPr>
              <w:t>满意度</w:t>
            </w:r>
          </w:p>
        </w:tc>
        <w:tc>
          <w:tcPr>
            <w:tcW w:w="1080" w:type="dxa"/>
            <w:tcBorders>
              <w:top w:val="single" w:color="000000" w:sz="4" w:space="0"/>
              <w:left w:val="single" w:color="000000" w:sz="4" w:space="0"/>
              <w:right w:val="single" w:color="000000" w:sz="4" w:space="0"/>
            </w:tcBorders>
            <w:noWrap w:val="0"/>
            <w:vAlign w:val="center"/>
          </w:tcPr>
          <w:p w14:paraId="30B78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snapToGrid w:val="0"/>
                <w:color w:val="auto"/>
                <w:kern w:val="0"/>
                <w:sz w:val="20"/>
                <w:szCs w:val="20"/>
                <w:highlight w:val="none"/>
                <w:u w:val="none"/>
                <w:lang w:val="en-US" w:eastAsia="zh-CN" w:bidi="ar"/>
              </w:rPr>
              <w:t>患者</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348628CC">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管理期结束院内电话随访患者表示满意。</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B600119">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56E388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C29DA76">
            <w:pPr>
              <w:jc w:val="left"/>
              <w:rPr>
                <w:rFonts w:hint="eastAsia" w:ascii="宋体" w:hAnsi="宋体" w:eastAsia="宋体" w:cs="宋体"/>
                <w:i w:val="0"/>
                <w:iCs w:val="0"/>
                <w:color w:val="auto"/>
                <w:sz w:val="20"/>
                <w:szCs w:val="20"/>
                <w:highlight w:val="none"/>
                <w:u w:val="none"/>
              </w:rPr>
            </w:pPr>
          </w:p>
        </w:tc>
      </w:tr>
      <w:tr w14:paraId="433E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517" w:type="dxa"/>
            <w:vMerge w:val="continue"/>
            <w:tcBorders>
              <w:left w:val="single" w:color="000000" w:sz="4" w:space="0"/>
              <w:right w:val="single" w:color="000000" w:sz="4" w:space="0"/>
            </w:tcBorders>
            <w:noWrap/>
            <w:vAlign w:val="center"/>
          </w:tcPr>
          <w:p w14:paraId="260C6DDC">
            <w:pPr>
              <w:jc w:val="center"/>
              <w:rPr>
                <w:rFonts w:hint="eastAsia" w:ascii="宋体" w:hAnsi="宋体" w:eastAsia="宋体" w:cs="宋体"/>
                <w:i w:val="0"/>
                <w:iCs w:val="0"/>
                <w:color w:val="auto"/>
                <w:sz w:val="20"/>
                <w:szCs w:val="20"/>
                <w:highlight w:val="none"/>
                <w:u w:val="none"/>
              </w:rPr>
            </w:pPr>
          </w:p>
        </w:tc>
        <w:tc>
          <w:tcPr>
            <w:tcW w:w="750" w:type="dxa"/>
            <w:vMerge w:val="continue"/>
            <w:tcBorders>
              <w:left w:val="single" w:color="000000" w:sz="4" w:space="0"/>
              <w:bottom w:val="single" w:color="000000" w:sz="4" w:space="0"/>
              <w:right w:val="single" w:color="000000" w:sz="4" w:space="0"/>
            </w:tcBorders>
            <w:noWrap/>
            <w:vAlign w:val="center"/>
          </w:tcPr>
          <w:p w14:paraId="00181FC5">
            <w:pPr>
              <w:jc w:val="center"/>
              <w:rPr>
                <w:rFonts w:hint="eastAsia" w:ascii="宋体" w:hAnsi="宋体" w:eastAsia="宋体" w:cs="宋体"/>
                <w:i w:val="0"/>
                <w:iCs w:val="0"/>
                <w:color w:val="auto"/>
                <w:sz w:val="20"/>
                <w:szCs w:val="20"/>
                <w:highlight w:val="none"/>
                <w:u w:val="none"/>
              </w:rPr>
            </w:pPr>
          </w:p>
        </w:tc>
        <w:tc>
          <w:tcPr>
            <w:tcW w:w="1080" w:type="dxa"/>
            <w:vMerge w:val="restart"/>
            <w:tcBorders>
              <w:left w:val="single" w:color="000000" w:sz="4" w:space="0"/>
              <w:bottom w:val="single" w:color="000000" w:sz="4" w:space="0"/>
              <w:right w:val="single" w:color="000000" w:sz="4" w:space="0"/>
            </w:tcBorders>
            <w:noWrap w:val="0"/>
            <w:vAlign w:val="center"/>
          </w:tcPr>
          <w:p w14:paraId="48AA5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临床科室</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0A4539D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未接收到临床医生反馈的诊后管理服务不满意。</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45DFB0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1BB8A1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E3D8477">
            <w:pPr>
              <w:jc w:val="left"/>
              <w:rPr>
                <w:rFonts w:hint="eastAsia" w:ascii="宋体" w:hAnsi="宋体" w:eastAsia="宋体" w:cs="宋体"/>
                <w:i w:val="0"/>
                <w:iCs w:val="0"/>
                <w:color w:val="auto"/>
                <w:sz w:val="20"/>
                <w:szCs w:val="20"/>
                <w:highlight w:val="none"/>
                <w:u w:val="none"/>
              </w:rPr>
            </w:pPr>
          </w:p>
        </w:tc>
      </w:tr>
      <w:tr w14:paraId="4C72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17" w:type="dxa"/>
            <w:vMerge w:val="continue"/>
            <w:tcBorders>
              <w:left w:val="single" w:color="000000" w:sz="4" w:space="0"/>
              <w:right w:val="single" w:color="000000" w:sz="4" w:space="0"/>
            </w:tcBorders>
            <w:noWrap w:val="0"/>
            <w:vAlign w:val="center"/>
          </w:tcPr>
          <w:p w14:paraId="13DFD5E6">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36D54">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40CA6">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78B6F3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未接收到临床护士反馈的诊后管理服务不满意。</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3BE006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C5E20F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9BE51D">
            <w:pPr>
              <w:jc w:val="left"/>
              <w:rPr>
                <w:rFonts w:hint="eastAsia" w:ascii="宋体" w:hAnsi="宋体" w:eastAsia="宋体" w:cs="宋体"/>
                <w:i w:val="0"/>
                <w:iCs w:val="0"/>
                <w:color w:val="auto"/>
                <w:sz w:val="20"/>
                <w:szCs w:val="20"/>
                <w:highlight w:val="none"/>
                <w:u w:val="none"/>
              </w:rPr>
            </w:pPr>
          </w:p>
        </w:tc>
      </w:tr>
      <w:tr w14:paraId="627D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17" w:type="dxa"/>
            <w:vMerge w:val="continue"/>
            <w:tcBorders>
              <w:left w:val="single" w:color="000000" w:sz="4" w:space="0"/>
              <w:bottom w:val="single" w:color="auto" w:sz="4" w:space="0"/>
              <w:right w:val="single" w:color="000000" w:sz="4" w:space="0"/>
            </w:tcBorders>
            <w:noWrap w:val="0"/>
            <w:vAlign w:val="center"/>
          </w:tcPr>
          <w:p w14:paraId="0937A603">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auto" w:sz="4" w:space="0"/>
              <w:right w:val="single" w:color="000000" w:sz="4" w:space="0"/>
            </w:tcBorders>
            <w:noWrap w:val="0"/>
            <w:vAlign w:val="center"/>
          </w:tcPr>
          <w:p w14:paraId="5DCC2416">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E53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其他</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48DE61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未接收到服管办、电话来访、信访等反馈的诊后服务不满意或投诉。</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163EF3B">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A6778D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E374BC3">
            <w:pPr>
              <w:jc w:val="left"/>
              <w:rPr>
                <w:rFonts w:hint="eastAsia" w:ascii="宋体" w:hAnsi="宋体" w:eastAsia="宋体" w:cs="宋体"/>
                <w:i w:val="0"/>
                <w:iCs w:val="0"/>
                <w:color w:val="auto"/>
                <w:sz w:val="20"/>
                <w:szCs w:val="20"/>
                <w:highlight w:val="none"/>
                <w:u w:val="none"/>
              </w:rPr>
            </w:pPr>
          </w:p>
        </w:tc>
      </w:tr>
      <w:tr w14:paraId="0218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7" w:type="dxa"/>
            <w:vMerge w:val="restart"/>
            <w:tcBorders>
              <w:top w:val="single" w:color="auto" w:sz="4" w:space="0"/>
              <w:left w:val="single" w:color="auto" w:sz="4" w:space="0"/>
              <w:bottom w:val="single" w:color="auto" w:sz="4" w:space="0"/>
              <w:right w:val="single" w:color="000000" w:sz="4" w:space="0"/>
            </w:tcBorders>
            <w:noWrap w:val="0"/>
            <w:vAlign w:val="center"/>
          </w:tcPr>
          <w:p w14:paraId="196672BB">
            <w:pPr>
              <w:jc w:val="center"/>
              <w:rPr>
                <w:rFonts w:hint="eastAsia" w:ascii="宋体" w:hAnsi="宋体" w:eastAsia="宋体" w:cs="宋体"/>
                <w:i w:val="0"/>
                <w:iCs w:val="0"/>
                <w:color w:val="auto"/>
                <w:sz w:val="20"/>
                <w:szCs w:val="20"/>
                <w:highlight w:val="none"/>
                <w:u w:val="none"/>
              </w:rPr>
            </w:pPr>
          </w:p>
        </w:tc>
        <w:tc>
          <w:tcPr>
            <w:tcW w:w="750" w:type="dxa"/>
            <w:vMerge w:val="restart"/>
            <w:tcBorders>
              <w:top w:val="single" w:color="auto" w:sz="4" w:space="0"/>
              <w:left w:val="single" w:color="000000" w:sz="4" w:space="0"/>
              <w:bottom w:val="single" w:color="auto" w:sz="4" w:space="0"/>
              <w:right w:val="single" w:color="auto" w:sz="4" w:space="0"/>
            </w:tcBorders>
            <w:noWrap w:val="0"/>
            <w:vAlign w:val="center"/>
          </w:tcPr>
          <w:p w14:paraId="5DDE0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复诊情况</w:t>
            </w:r>
          </w:p>
        </w:tc>
        <w:tc>
          <w:tcPr>
            <w:tcW w:w="1080" w:type="dxa"/>
            <w:vMerge w:val="restart"/>
            <w:tcBorders>
              <w:top w:val="single" w:color="000000" w:sz="4" w:space="0"/>
              <w:left w:val="single" w:color="auto" w:sz="4" w:space="0"/>
              <w:bottom w:val="single" w:color="000000" w:sz="4" w:space="0"/>
              <w:right w:val="single" w:color="000000" w:sz="4" w:space="0"/>
            </w:tcBorders>
            <w:noWrap w:val="0"/>
            <w:vAlign w:val="center"/>
          </w:tcPr>
          <w:p w14:paraId="66F0C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患者复诊及时率</w:t>
            </w: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343DD0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患者有遵医嘱互联网医院问诊或来院复诊。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1369C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F5E996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A9E4FF">
            <w:pPr>
              <w:jc w:val="left"/>
              <w:rPr>
                <w:rFonts w:hint="eastAsia" w:ascii="宋体" w:hAnsi="宋体" w:eastAsia="宋体" w:cs="宋体"/>
                <w:i w:val="0"/>
                <w:iCs w:val="0"/>
                <w:color w:val="auto"/>
                <w:sz w:val="20"/>
                <w:szCs w:val="20"/>
                <w:highlight w:val="none"/>
                <w:u w:val="none"/>
              </w:rPr>
            </w:pPr>
          </w:p>
        </w:tc>
      </w:tr>
      <w:tr w14:paraId="7608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7" w:type="dxa"/>
            <w:vMerge w:val="continue"/>
            <w:tcBorders>
              <w:top w:val="single" w:color="auto" w:sz="4" w:space="0"/>
              <w:left w:val="single" w:color="auto" w:sz="4" w:space="0"/>
              <w:bottom w:val="single" w:color="auto" w:sz="4" w:space="0"/>
              <w:right w:val="single" w:color="000000" w:sz="4" w:space="0"/>
            </w:tcBorders>
            <w:noWrap w:val="0"/>
            <w:vAlign w:val="center"/>
          </w:tcPr>
          <w:p w14:paraId="0FF221AE">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auto" w:sz="4" w:space="0"/>
              <w:left w:val="single" w:color="000000" w:sz="4" w:space="0"/>
              <w:bottom w:val="single" w:color="auto" w:sz="4" w:space="0"/>
              <w:right w:val="single" w:color="auto" w:sz="4" w:space="0"/>
            </w:tcBorders>
            <w:noWrap w:val="0"/>
            <w:vAlign w:val="center"/>
          </w:tcPr>
          <w:p w14:paraId="43DD7C8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auto" w:sz="4" w:space="0"/>
              <w:bottom w:val="single" w:color="000000" w:sz="4" w:space="0"/>
              <w:right w:val="single" w:color="000000" w:sz="4" w:space="0"/>
            </w:tcBorders>
            <w:noWrap w:val="0"/>
            <w:vAlign w:val="center"/>
          </w:tcPr>
          <w:p w14:paraId="7AEFB9CF">
            <w:pPr>
              <w:jc w:val="center"/>
              <w:rPr>
                <w:rFonts w:hint="eastAsia" w:ascii="宋体" w:hAnsi="宋体" w:eastAsia="宋体" w:cs="宋体"/>
                <w:i w:val="0"/>
                <w:iCs w:val="0"/>
                <w:color w:val="auto"/>
                <w:sz w:val="20"/>
                <w:szCs w:val="20"/>
                <w:highlight w:val="none"/>
                <w:u w:val="none"/>
              </w:rPr>
            </w:pPr>
          </w:p>
        </w:tc>
        <w:tc>
          <w:tcPr>
            <w:tcW w:w="4208" w:type="dxa"/>
            <w:tcBorders>
              <w:top w:val="single" w:color="000000" w:sz="4" w:space="0"/>
              <w:left w:val="single" w:color="000000" w:sz="4" w:space="0"/>
              <w:bottom w:val="single" w:color="000000" w:sz="4" w:space="0"/>
              <w:right w:val="single" w:color="auto" w:sz="4" w:space="0"/>
            </w:tcBorders>
            <w:noWrap w:val="0"/>
            <w:vAlign w:val="center"/>
          </w:tcPr>
          <w:p w14:paraId="6D2AB1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患者有下单浙里护理咨询或上门</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B2CA23A">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snapToGrid w:val="0"/>
                <w:color w:val="auto"/>
                <w:kern w:val="0"/>
                <w:sz w:val="20"/>
                <w:szCs w:val="20"/>
                <w:highlight w:val="none"/>
                <w:u w:val="none"/>
                <w:lang w:val="en-US" w:eastAsia="zh-CN" w:bidi="ar"/>
              </w:rPr>
              <w:t>〇是〇否〇不适用</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CF9F067">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5A804D7">
            <w:pPr>
              <w:jc w:val="left"/>
              <w:rPr>
                <w:rFonts w:hint="eastAsia" w:ascii="宋体" w:hAnsi="宋体" w:eastAsia="宋体" w:cs="宋体"/>
                <w:i w:val="0"/>
                <w:iCs w:val="0"/>
                <w:color w:val="auto"/>
                <w:sz w:val="20"/>
                <w:szCs w:val="20"/>
                <w:highlight w:val="none"/>
                <w:u w:val="none"/>
              </w:rPr>
            </w:pPr>
          </w:p>
        </w:tc>
      </w:tr>
      <w:tr w14:paraId="2391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17" w:type="dxa"/>
            <w:tcBorders>
              <w:top w:val="single" w:color="auto" w:sz="4" w:space="0"/>
              <w:left w:val="single" w:color="000000" w:sz="4" w:space="0"/>
              <w:bottom w:val="single" w:color="000000" w:sz="4" w:space="0"/>
              <w:right w:val="single" w:color="000000" w:sz="4" w:space="0"/>
            </w:tcBorders>
            <w:noWrap w:val="0"/>
            <w:vAlign w:val="center"/>
          </w:tcPr>
          <w:p w14:paraId="6396EF7D">
            <w:pPr>
              <w:jc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4</w:t>
            </w:r>
          </w:p>
        </w:tc>
        <w:tc>
          <w:tcPr>
            <w:tcW w:w="750" w:type="dxa"/>
            <w:tcBorders>
              <w:top w:val="single" w:color="auto" w:sz="4" w:space="0"/>
              <w:left w:val="single" w:color="000000" w:sz="4" w:space="0"/>
              <w:bottom w:val="single" w:color="000000" w:sz="4" w:space="0"/>
              <w:right w:val="single" w:color="000000" w:sz="4" w:space="0"/>
            </w:tcBorders>
            <w:noWrap w:val="0"/>
            <w:vAlign w:val="center"/>
          </w:tcPr>
          <w:p w14:paraId="655C8810">
            <w:pPr>
              <w:jc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eastAsia="zh-CN"/>
              </w:rPr>
              <w:t>考核结果</w:t>
            </w:r>
          </w:p>
        </w:tc>
        <w:tc>
          <w:tcPr>
            <w:tcW w:w="5288" w:type="dxa"/>
            <w:gridSpan w:val="2"/>
            <w:tcBorders>
              <w:top w:val="single" w:color="000000" w:sz="4" w:space="0"/>
              <w:left w:val="single" w:color="000000" w:sz="4" w:space="0"/>
              <w:bottom w:val="single" w:color="000000" w:sz="4" w:space="0"/>
              <w:right w:val="single" w:color="000000" w:sz="4" w:space="0"/>
            </w:tcBorders>
            <w:noWrap w:val="0"/>
            <w:vAlign w:val="center"/>
          </w:tcPr>
          <w:p w14:paraId="78FA3BB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eastAsia="zh-CN"/>
              </w:rPr>
              <w:t>总得分：</w:t>
            </w:r>
          </w:p>
        </w:tc>
        <w:tc>
          <w:tcPr>
            <w:tcW w:w="3435" w:type="dxa"/>
            <w:gridSpan w:val="3"/>
            <w:tcBorders>
              <w:top w:val="single" w:color="000000" w:sz="4" w:space="0"/>
              <w:left w:val="single" w:color="000000" w:sz="4" w:space="0"/>
              <w:bottom w:val="single" w:color="000000" w:sz="4" w:space="0"/>
              <w:right w:val="single" w:color="000000" w:sz="4" w:space="0"/>
            </w:tcBorders>
            <w:noWrap w:val="0"/>
            <w:vAlign w:val="center"/>
          </w:tcPr>
          <w:p w14:paraId="6CAD6F61">
            <w:pPr>
              <w:jc w:val="lef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考核人：</w:t>
            </w:r>
          </w:p>
        </w:tc>
      </w:tr>
    </w:tbl>
    <w:p w14:paraId="1767442A">
      <w:pPr>
        <w:spacing w:line="360" w:lineRule="auto"/>
        <w:rPr>
          <w:rFonts w:hint="eastAsia"/>
          <w:b/>
          <w:bCs/>
          <w:color w:val="auto"/>
          <w:spacing w:val="-2"/>
          <w:sz w:val="28"/>
          <w:szCs w:val="28"/>
          <w:highlight w:val="none"/>
          <w:lang w:val="en-US" w:eastAsia="zh-CN"/>
        </w:rPr>
      </w:pPr>
      <w:r>
        <w:rPr>
          <w:rFonts w:hint="eastAsia"/>
          <w:b/>
          <w:bCs/>
          <w:color w:val="auto"/>
          <w:spacing w:val="-2"/>
          <w:sz w:val="28"/>
          <w:szCs w:val="28"/>
          <w:highlight w:val="none"/>
          <w:lang w:val="en-US" w:eastAsia="zh-CN"/>
        </w:rPr>
        <w:t>根据考核分值核算结算款的发放：</w:t>
      </w:r>
    </w:p>
    <w:p w14:paraId="76B7EE34">
      <w:pPr>
        <w:keepNext w:val="0"/>
        <w:keepLines w:val="0"/>
        <w:pageBreakBefore w:val="0"/>
        <w:widowControl/>
        <w:kinsoku w:val="0"/>
        <w:wordWrap/>
        <w:overflowPunct/>
        <w:topLinePunct w:val="0"/>
        <w:autoSpaceDE w:val="0"/>
        <w:autoSpaceDN w:val="0"/>
        <w:bidi w:val="0"/>
        <w:adjustRightInd w:val="0"/>
        <w:snapToGrid w:val="0"/>
        <w:spacing w:line="360" w:lineRule="auto"/>
        <w:ind w:left="11" w:right="198" w:firstLine="408"/>
        <w:textAlignment w:val="baseline"/>
        <w:rPr>
          <w:rFonts w:hint="eastAsia" w:eastAsia="宋体"/>
          <w:color w:val="auto"/>
          <w:spacing w:val="-3"/>
          <w:sz w:val="22"/>
          <w:szCs w:val="22"/>
          <w:highlight w:val="none"/>
          <w:lang w:eastAsia="zh-CN"/>
        </w:rPr>
      </w:pPr>
      <w:r>
        <w:rPr>
          <w:color w:val="auto"/>
          <w:spacing w:val="-3"/>
          <w:sz w:val="22"/>
          <w:szCs w:val="22"/>
          <w:highlight w:val="none"/>
        </w:rPr>
        <w:t>采购人对中标人的服务实行月度考核，</w:t>
      </w:r>
      <w:r>
        <w:rPr>
          <w:rFonts w:hint="eastAsia" w:eastAsia="宋体"/>
          <w:color w:val="auto"/>
          <w:spacing w:val="-3"/>
          <w:sz w:val="22"/>
          <w:szCs w:val="22"/>
          <w:highlight w:val="none"/>
          <w:lang w:eastAsia="zh-CN"/>
        </w:rPr>
        <w:t>按照每月服务质量考核的平均分值决定结算款发放。</w:t>
      </w:r>
    </w:p>
    <w:p w14:paraId="575712DF">
      <w:pPr>
        <w:spacing w:line="360" w:lineRule="auto"/>
        <w:rPr>
          <w:rFonts w:ascii="宋体" w:hAnsi="宋体" w:cs="宋体"/>
          <w:color w:val="auto"/>
          <w:kern w:val="0"/>
          <w:sz w:val="24"/>
          <w:highlight w:val="none"/>
        </w:rPr>
      </w:pPr>
      <w:r>
        <w:rPr>
          <w:rFonts w:hint="eastAsia" w:eastAsia="宋体"/>
          <w:color w:val="auto"/>
          <w:spacing w:val="-3"/>
          <w:sz w:val="22"/>
          <w:szCs w:val="22"/>
          <w:highlight w:val="none"/>
          <w:lang w:eastAsia="zh-CN"/>
        </w:rPr>
        <w:t>月考核平均分≥</w:t>
      </w:r>
      <w:r>
        <w:rPr>
          <w:rFonts w:hint="eastAsia" w:eastAsia="宋体"/>
          <w:color w:val="auto"/>
          <w:spacing w:val="-3"/>
          <w:sz w:val="22"/>
          <w:szCs w:val="22"/>
          <w:highlight w:val="none"/>
          <w:lang w:val="en-US" w:eastAsia="zh-CN"/>
        </w:rPr>
        <w:t>95分予以</w:t>
      </w:r>
      <w:r>
        <w:rPr>
          <w:color w:val="auto"/>
          <w:spacing w:val="-3"/>
          <w:sz w:val="22"/>
          <w:szCs w:val="22"/>
          <w:highlight w:val="none"/>
        </w:rPr>
        <w:t>全额支</w:t>
      </w:r>
      <w:r>
        <w:rPr>
          <w:color w:val="auto"/>
          <w:spacing w:val="-2"/>
          <w:sz w:val="22"/>
          <w:szCs w:val="22"/>
          <w:highlight w:val="none"/>
        </w:rPr>
        <w:t>付款项</w:t>
      </w:r>
      <w:r>
        <w:rPr>
          <w:rFonts w:hint="eastAsia" w:eastAsia="宋体"/>
          <w:color w:val="auto"/>
          <w:spacing w:val="-2"/>
          <w:sz w:val="22"/>
          <w:szCs w:val="22"/>
          <w:highlight w:val="none"/>
          <w:lang w:eastAsia="zh-CN"/>
        </w:rPr>
        <w:t>；月考核平均分小于</w:t>
      </w:r>
      <w:r>
        <w:rPr>
          <w:rFonts w:hint="eastAsia" w:eastAsia="宋体"/>
          <w:color w:val="auto"/>
          <w:spacing w:val="-2"/>
          <w:sz w:val="22"/>
          <w:szCs w:val="22"/>
          <w:highlight w:val="none"/>
          <w:lang w:val="en-US" w:eastAsia="zh-CN"/>
        </w:rPr>
        <w:t>95分，每下降一分，</w:t>
      </w:r>
      <w:r>
        <w:rPr>
          <w:rFonts w:hint="eastAsia" w:ascii="宋体" w:hAnsi="宋体" w:cs="宋体"/>
          <w:color w:val="auto"/>
          <w:kern w:val="0"/>
          <w:sz w:val="24"/>
          <w:highlight w:val="none"/>
        </w:rPr>
        <w:t>扣除</w:t>
      </w:r>
      <w:r>
        <w:rPr>
          <w:rFonts w:hint="eastAsia" w:ascii="宋体" w:hAnsi="宋体" w:eastAsia="宋体" w:cs="宋体"/>
          <w:color w:val="auto"/>
          <w:kern w:val="0"/>
          <w:sz w:val="24"/>
          <w:highlight w:val="none"/>
          <w:lang w:eastAsia="zh-CN"/>
        </w:rPr>
        <w:t>当月付款总额</w:t>
      </w:r>
      <w:r>
        <w:rPr>
          <w:rFonts w:hint="eastAsia" w:ascii="宋体" w:hAnsi="宋体" w:cs="宋体"/>
          <w:color w:val="auto"/>
          <w:kern w:val="0"/>
          <w:sz w:val="24"/>
          <w:highlight w:val="none"/>
        </w:rPr>
        <w:t>1%</w:t>
      </w:r>
      <w:r>
        <w:rPr>
          <w:rFonts w:hint="eastAsia" w:ascii="宋体" w:hAnsi="宋体" w:eastAsia="宋体" w:cs="宋体"/>
          <w:color w:val="auto"/>
          <w:kern w:val="0"/>
          <w:sz w:val="24"/>
          <w:highlight w:val="none"/>
          <w:lang w:eastAsia="zh-CN"/>
        </w:rPr>
        <w:t>；下降</w:t>
      </w:r>
      <w:r>
        <w:rPr>
          <w:rFonts w:hint="eastAsia" w:ascii="宋体" w:hAnsi="宋体" w:eastAsia="宋体" w:cs="宋体"/>
          <w:color w:val="auto"/>
          <w:kern w:val="0"/>
          <w:sz w:val="24"/>
          <w:highlight w:val="none"/>
          <w:lang w:val="en-US" w:eastAsia="zh-CN"/>
        </w:rPr>
        <w:t>2分，扣除当月付款总额2%；以此类推。</w:t>
      </w:r>
      <w:r>
        <w:rPr>
          <w:rFonts w:hint="eastAsia" w:ascii="宋体" w:hAnsi="宋体" w:cs="宋体"/>
          <w:color w:val="auto"/>
          <w:kern w:val="0"/>
          <w:sz w:val="24"/>
          <w:highlight w:val="none"/>
        </w:rPr>
        <w:t>扣款在支付款中直接扣除。</w:t>
      </w:r>
    </w:p>
    <w:p w14:paraId="6E928B81">
      <w:pPr>
        <w:keepNext w:val="0"/>
        <w:keepLines w:val="0"/>
        <w:pageBreakBefore w:val="0"/>
        <w:widowControl/>
        <w:kinsoku w:val="0"/>
        <w:wordWrap/>
        <w:overflowPunct/>
        <w:topLinePunct w:val="0"/>
        <w:autoSpaceDE w:val="0"/>
        <w:autoSpaceDN w:val="0"/>
        <w:bidi w:val="0"/>
        <w:adjustRightInd w:val="0"/>
        <w:snapToGrid w:val="0"/>
        <w:spacing w:line="360" w:lineRule="auto"/>
        <w:ind w:left="11" w:right="198" w:firstLine="408"/>
        <w:textAlignment w:val="baseline"/>
        <w:rPr>
          <w:rFonts w:hint="eastAsia"/>
          <w:color w:val="auto"/>
          <w:highlight w:val="none"/>
          <w:lang w:eastAsia="zh-CN"/>
        </w:rPr>
      </w:pPr>
      <w:r>
        <w:rPr>
          <w:color w:val="auto"/>
          <w:spacing w:val="-3"/>
          <w:sz w:val="22"/>
          <w:szCs w:val="22"/>
          <w:highlight w:val="none"/>
        </w:rPr>
        <w:t>中标人应对考核中存在问题进行持续质量改进，并以书面形式向采购人反馈整改措施及效果。对于采购人</w:t>
      </w:r>
      <w:r>
        <w:rPr>
          <w:color w:val="auto"/>
          <w:spacing w:val="3"/>
          <w:sz w:val="22"/>
          <w:szCs w:val="22"/>
          <w:highlight w:val="none"/>
        </w:rPr>
        <w:t>提出的问题未限时整改的，加倍扣分。服务期内累计三个月</w:t>
      </w:r>
      <w:r>
        <w:rPr>
          <w:rFonts w:hint="eastAsia" w:eastAsia="宋体"/>
          <w:color w:val="auto"/>
          <w:spacing w:val="3"/>
          <w:sz w:val="22"/>
          <w:szCs w:val="22"/>
          <w:highlight w:val="none"/>
          <w:lang w:eastAsia="zh-CN"/>
        </w:rPr>
        <w:t>平均</w:t>
      </w:r>
      <w:r>
        <w:rPr>
          <w:color w:val="auto"/>
          <w:spacing w:val="3"/>
          <w:sz w:val="22"/>
          <w:szCs w:val="22"/>
          <w:highlight w:val="none"/>
        </w:rPr>
        <w:t>考核得分低于</w:t>
      </w:r>
      <w:r>
        <w:rPr>
          <w:rFonts w:hint="eastAsia" w:eastAsia="宋体"/>
          <w:color w:val="auto"/>
          <w:spacing w:val="3"/>
          <w:sz w:val="22"/>
          <w:szCs w:val="22"/>
          <w:highlight w:val="none"/>
          <w:lang w:val="en-US" w:eastAsia="zh-CN"/>
        </w:rPr>
        <w:t>80</w:t>
      </w:r>
      <w:r>
        <w:rPr>
          <w:color w:val="auto"/>
          <w:spacing w:val="3"/>
          <w:sz w:val="22"/>
          <w:szCs w:val="22"/>
          <w:highlight w:val="none"/>
        </w:rPr>
        <w:t>分，视为</w:t>
      </w:r>
      <w:r>
        <w:rPr>
          <w:color w:val="auto"/>
          <w:spacing w:val="-2"/>
          <w:sz w:val="22"/>
          <w:szCs w:val="22"/>
          <w:highlight w:val="none"/>
        </w:rPr>
        <w:t>供应商不符合采购人使用要求，采购人有权依法解除合同</w:t>
      </w:r>
      <w:r>
        <w:rPr>
          <w:rFonts w:hint="eastAsia" w:eastAsia="宋体"/>
          <w:color w:val="auto"/>
          <w:spacing w:val="-2"/>
          <w:sz w:val="22"/>
          <w:szCs w:val="22"/>
          <w:highlight w:val="none"/>
          <w:lang w:eastAsia="zh-CN"/>
        </w:rPr>
        <w:t>。</w:t>
      </w:r>
    </w:p>
    <w:p w14:paraId="128A2838">
      <w:pPr>
        <w:pStyle w:val="2"/>
        <w:rPr>
          <w:rFonts w:hint="eastAsia"/>
          <w:b/>
          <w:bCs/>
          <w:color w:val="auto"/>
          <w:highlight w:val="none"/>
          <w:lang w:eastAsia="zh-CN"/>
        </w:rPr>
      </w:pPr>
      <w:r>
        <w:rPr>
          <w:rFonts w:hint="eastAsia" w:eastAsia="宋体"/>
          <w:b/>
          <w:bCs/>
          <w:color w:val="auto"/>
          <w:spacing w:val="-2"/>
          <w:sz w:val="22"/>
          <w:szCs w:val="22"/>
          <w:highlight w:val="none"/>
          <w:lang w:eastAsia="zh-CN"/>
        </w:rPr>
        <w:t>月考核结果汇总单（表</w:t>
      </w:r>
      <w:r>
        <w:rPr>
          <w:rFonts w:hint="eastAsia" w:eastAsia="宋体"/>
          <w:b/>
          <w:bCs/>
          <w:color w:val="auto"/>
          <w:spacing w:val="-2"/>
          <w:sz w:val="22"/>
          <w:szCs w:val="22"/>
          <w:highlight w:val="none"/>
          <w:lang w:val="en-US" w:eastAsia="zh-CN"/>
        </w:rPr>
        <w:t>2</w:t>
      </w:r>
      <w:r>
        <w:rPr>
          <w:rFonts w:hint="eastAsia" w:eastAsia="宋体"/>
          <w:b/>
          <w:bCs/>
          <w:color w:val="auto"/>
          <w:spacing w:val="-2"/>
          <w:sz w:val="22"/>
          <w:szCs w:val="22"/>
          <w:highlight w:val="none"/>
          <w:lang w:eastAsia="zh-CN"/>
        </w:rPr>
        <w:t>）</w:t>
      </w:r>
    </w:p>
    <w:tbl>
      <w:tblPr>
        <w:tblStyle w:val="53"/>
        <w:tblW w:w="10357"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325"/>
        <w:gridCol w:w="1530"/>
        <w:gridCol w:w="2235"/>
        <w:gridCol w:w="3030"/>
      </w:tblGrid>
      <w:tr w14:paraId="4CE1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37" w:type="dxa"/>
            <w:tcBorders>
              <w:tl2br w:val="nil"/>
              <w:tr2bl w:val="nil"/>
            </w:tcBorders>
            <w:noWrap/>
            <w:vAlign w:val="center"/>
          </w:tcPr>
          <w:p w14:paraId="43384527">
            <w:pPr>
              <w:widowControl/>
              <w:spacing w:line="240" w:lineRule="auto"/>
              <w:jc w:val="center"/>
              <w:rPr>
                <w:rFonts w:hint="eastAsia" w:eastAsia="宋体"/>
                <w:b/>
                <w:bCs/>
                <w:color w:val="auto"/>
                <w:kern w:val="0"/>
                <w:szCs w:val="21"/>
                <w:highlight w:val="none"/>
                <w:lang w:eastAsia="zh-CN"/>
              </w:rPr>
            </w:pPr>
            <w:r>
              <w:rPr>
                <w:rFonts w:hint="eastAsia" w:eastAsia="宋体"/>
                <w:b/>
                <w:bCs/>
                <w:color w:val="auto"/>
                <w:kern w:val="0"/>
                <w:szCs w:val="21"/>
                <w:highlight w:val="none"/>
                <w:lang w:eastAsia="zh-CN"/>
              </w:rPr>
              <w:t>考核月份</w:t>
            </w:r>
          </w:p>
        </w:tc>
        <w:tc>
          <w:tcPr>
            <w:tcW w:w="2325" w:type="dxa"/>
            <w:tcBorders>
              <w:tl2br w:val="nil"/>
              <w:tr2bl w:val="nil"/>
            </w:tcBorders>
            <w:noWrap/>
            <w:vAlign w:val="center"/>
          </w:tcPr>
          <w:p w14:paraId="1AF9753C">
            <w:pPr>
              <w:widowControl/>
              <w:spacing w:line="240" w:lineRule="auto"/>
              <w:jc w:val="center"/>
              <w:rPr>
                <w:rFonts w:hint="eastAsia" w:eastAsia="宋体"/>
                <w:b/>
                <w:bCs/>
                <w:color w:val="auto"/>
                <w:kern w:val="0"/>
                <w:szCs w:val="21"/>
                <w:highlight w:val="none"/>
                <w:lang w:eastAsia="zh-CN"/>
              </w:rPr>
            </w:pPr>
            <w:r>
              <w:rPr>
                <w:rFonts w:hAnsi="宋体"/>
                <w:b/>
                <w:bCs/>
                <w:color w:val="auto"/>
                <w:kern w:val="0"/>
                <w:szCs w:val="21"/>
                <w:highlight w:val="none"/>
              </w:rPr>
              <w:t>考核</w:t>
            </w:r>
            <w:r>
              <w:rPr>
                <w:rFonts w:hint="eastAsia" w:hAnsi="宋体" w:eastAsia="宋体"/>
                <w:b/>
                <w:bCs/>
                <w:color w:val="auto"/>
                <w:kern w:val="0"/>
                <w:szCs w:val="21"/>
                <w:highlight w:val="none"/>
                <w:lang w:eastAsia="zh-CN"/>
              </w:rPr>
              <w:t>内容</w:t>
            </w:r>
          </w:p>
        </w:tc>
        <w:tc>
          <w:tcPr>
            <w:tcW w:w="1530" w:type="dxa"/>
            <w:tcBorders>
              <w:tl2br w:val="nil"/>
              <w:tr2bl w:val="nil"/>
            </w:tcBorders>
            <w:noWrap/>
            <w:vAlign w:val="center"/>
          </w:tcPr>
          <w:p w14:paraId="326F0D59">
            <w:pPr>
              <w:widowControl/>
              <w:spacing w:line="240" w:lineRule="auto"/>
              <w:jc w:val="center"/>
              <w:rPr>
                <w:rFonts w:hint="eastAsia" w:eastAsia="宋体"/>
                <w:b/>
                <w:bCs/>
                <w:color w:val="auto"/>
                <w:kern w:val="0"/>
                <w:szCs w:val="21"/>
                <w:highlight w:val="none"/>
                <w:lang w:eastAsia="zh-CN"/>
              </w:rPr>
            </w:pPr>
            <w:r>
              <w:rPr>
                <w:rFonts w:hint="eastAsia" w:eastAsia="宋体"/>
                <w:b/>
                <w:bCs/>
                <w:color w:val="auto"/>
                <w:kern w:val="0"/>
                <w:szCs w:val="21"/>
                <w:highlight w:val="none"/>
                <w:lang w:eastAsia="zh-CN"/>
              </w:rPr>
              <w:t>考核数量</w:t>
            </w:r>
          </w:p>
        </w:tc>
        <w:tc>
          <w:tcPr>
            <w:tcW w:w="2235" w:type="dxa"/>
            <w:tcBorders>
              <w:tl2br w:val="nil"/>
              <w:tr2bl w:val="nil"/>
            </w:tcBorders>
            <w:noWrap/>
            <w:vAlign w:val="center"/>
          </w:tcPr>
          <w:p w14:paraId="4BE595D5">
            <w:pPr>
              <w:widowControl/>
              <w:spacing w:line="240" w:lineRule="auto"/>
              <w:jc w:val="center"/>
              <w:rPr>
                <w:rFonts w:hint="eastAsia" w:eastAsia="宋体"/>
                <w:b/>
                <w:bCs/>
                <w:color w:val="auto"/>
                <w:kern w:val="0"/>
                <w:szCs w:val="21"/>
                <w:highlight w:val="none"/>
                <w:lang w:eastAsia="zh-CN"/>
              </w:rPr>
            </w:pPr>
            <w:r>
              <w:rPr>
                <w:rFonts w:hint="eastAsia" w:eastAsia="宋体"/>
                <w:b/>
                <w:bCs/>
                <w:color w:val="auto"/>
                <w:kern w:val="0"/>
                <w:szCs w:val="21"/>
                <w:highlight w:val="none"/>
                <w:lang w:eastAsia="zh-CN"/>
              </w:rPr>
              <w:t>考核平均得分</w:t>
            </w:r>
          </w:p>
        </w:tc>
        <w:tc>
          <w:tcPr>
            <w:tcW w:w="3030" w:type="dxa"/>
            <w:tcBorders>
              <w:tl2br w:val="nil"/>
              <w:tr2bl w:val="nil"/>
            </w:tcBorders>
            <w:noWrap/>
            <w:vAlign w:val="center"/>
          </w:tcPr>
          <w:p w14:paraId="0A6F6A6F">
            <w:pPr>
              <w:widowControl/>
              <w:spacing w:line="240" w:lineRule="auto"/>
              <w:jc w:val="center"/>
              <w:rPr>
                <w:rFonts w:hint="eastAsia" w:eastAsia="宋体"/>
                <w:b/>
                <w:bCs/>
                <w:color w:val="auto"/>
                <w:kern w:val="0"/>
                <w:szCs w:val="21"/>
                <w:highlight w:val="none"/>
                <w:lang w:eastAsia="zh-CN"/>
              </w:rPr>
            </w:pPr>
            <w:r>
              <w:rPr>
                <w:rFonts w:hint="eastAsia" w:eastAsia="宋体"/>
                <w:b/>
                <w:bCs/>
                <w:color w:val="auto"/>
                <w:kern w:val="0"/>
                <w:szCs w:val="21"/>
                <w:highlight w:val="none"/>
                <w:lang w:eastAsia="zh-CN"/>
              </w:rPr>
              <w:t>扣分理由</w:t>
            </w:r>
          </w:p>
        </w:tc>
      </w:tr>
      <w:tr w14:paraId="5B80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237" w:type="dxa"/>
            <w:tcBorders>
              <w:tl2br w:val="nil"/>
              <w:tr2bl w:val="nil"/>
            </w:tcBorders>
            <w:noWrap/>
            <w:vAlign w:val="center"/>
          </w:tcPr>
          <w:p w14:paraId="1805C0AE">
            <w:pPr>
              <w:widowControl/>
              <w:jc w:val="center"/>
              <w:rPr>
                <w:color w:val="auto"/>
                <w:kern w:val="0"/>
                <w:szCs w:val="21"/>
                <w:highlight w:val="none"/>
              </w:rPr>
            </w:pPr>
          </w:p>
        </w:tc>
        <w:tc>
          <w:tcPr>
            <w:tcW w:w="2325" w:type="dxa"/>
            <w:tcBorders>
              <w:tl2br w:val="nil"/>
              <w:tr2bl w:val="nil"/>
            </w:tcBorders>
            <w:noWrap/>
            <w:vAlign w:val="center"/>
          </w:tcPr>
          <w:p w14:paraId="61F8A383">
            <w:pPr>
              <w:widowControl/>
              <w:jc w:val="center"/>
              <w:rPr>
                <w:color w:val="auto"/>
                <w:kern w:val="0"/>
                <w:szCs w:val="21"/>
                <w:highlight w:val="none"/>
              </w:rPr>
            </w:pPr>
            <w:r>
              <w:rPr>
                <w:rFonts w:hint="eastAsia"/>
                <w:color w:val="auto"/>
                <w:spacing w:val="-2"/>
                <w:sz w:val="22"/>
                <w:szCs w:val="22"/>
                <w:highlight w:val="none"/>
                <w:lang w:eastAsia="zh-CN"/>
              </w:rPr>
              <w:t>从</w:t>
            </w:r>
            <w:r>
              <w:rPr>
                <w:color w:val="auto"/>
                <w:spacing w:val="-2"/>
                <w:sz w:val="22"/>
                <w:szCs w:val="22"/>
                <w:highlight w:val="none"/>
              </w:rPr>
              <w:t>疾病路径管理</w:t>
            </w:r>
            <w:r>
              <w:rPr>
                <w:rFonts w:hint="eastAsia"/>
                <w:color w:val="auto"/>
                <w:spacing w:val="-2"/>
                <w:sz w:val="22"/>
                <w:szCs w:val="22"/>
                <w:highlight w:val="none"/>
                <w:lang w:eastAsia="zh-CN"/>
              </w:rPr>
              <w:t>情况</w:t>
            </w:r>
            <w:r>
              <w:rPr>
                <w:color w:val="auto"/>
                <w:spacing w:val="-2"/>
                <w:sz w:val="22"/>
                <w:szCs w:val="22"/>
                <w:highlight w:val="none"/>
              </w:rPr>
              <w:t>、满意度</w:t>
            </w:r>
            <w:r>
              <w:rPr>
                <w:rFonts w:hint="eastAsia"/>
                <w:color w:val="auto"/>
                <w:spacing w:val="-2"/>
                <w:sz w:val="22"/>
                <w:szCs w:val="22"/>
                <w:highlight w:val="none"/>
                <w:lang w:eastAsia="zh-CN"/>
              </w:rPr>
              <w:t>情况</w:t>
            </w:r>
            <w:r>
              <w:rPr>
                <w:color w:val="auto"/>
                <w:spacing w:val="-2"/>
                <w:sz w:val="22"/>
                <w:szCs w:val="22"/>
                <w:highlight w:val="none"/>
              </w:rPr>
              <w:t>、复诊</w:t>
            </w:r>
            <w:r>
              <w:rPr>
                <w:rFonts w:hint="eastAsia"/>
                <w:color w:val="auto"/>
                <w:spacing w:val="-2"/>
                <w:sz w:val="22"/>
                <w:szCs w:val="22"/>
                <w:highlight w:val="none"/>
                <w:lang w:eastAsia="zh-CN"/>
              </w:rPr>
              <w:t>情况三</w:t>
            </w:r>
            <w:r>
              <w:rPr>
                <w:color w:val="auto"/>
                <w:spacing w:val="-2"/>
                <w:sz w:val="22"/>
                <w:szCs w:val="22"/>
                <w:highlight w:val="none"/>
              </w:rPr>
              <w:t>方面</w:t>
            </w:r>
            <w:r>
              <w:rPr>
                <w:rFonts w:hint="eastAsia" w:eastAsia="宋体"/>
                <w:color w:val="auto"/>
                <w:spacing w:val="-2"/>
                <w:sz w:val="22"/>
                <w:szCs w:val="22"/>
                <w:highlight w:val="none"/>
                <w:lang w:eastAsia="zh-CN"/>
              </w:rPr>
              <w:t>进行考核（详见表</w:t>
            </w:r>
            <w:r>
              <w:rPr>
                <w:rFonts w:hint="eastAsia" w:eastAsia="宋体"/>
                <w:color w:val="auto"/>
                <w:spacing w:val="-2"/>
                <w:sz w:val="22"/>
                <w:szCs w:val="22"/>
                <w:highlight w:val="none"/>
                <w:lang w:val="en-US" w:eastAsia="zh-CN"/>
              </w:rPr>
              <w:t>1</w:t>
            </w:r>
            <w:r>
              <w:rPr>
                <w:rFonts w:hint="eastAsia" w:eastAsia="宋体"/>
                <w:color w:val="auto"/>
                <w:spacing w:val="-2"/>
                <w:sz w:val="22"/>
                <w:szCs w:val="22"/>
                <w:highlight w:val="none"/>
                <w:lang w:eastAsia="zh-CN"/>
              </w:rPr>
              <w:t>）</w:t>
            </w:r>
            <w:r>
              <w:rPr>
                <w:rFonts w:hint="eastAsia"/>
                <w:color w:val="auto"/>
                <w:spacing w:val="-2"/>
                <w:sz w:val="22"/>
                <w:szCs w:val="22"/>
                <w:highlight w:val="none"/>
                <w:lang w:val="en-US" w:eastAsia="zh-CN"/>
              </w:rPr>
              <w:t xml:space="preserve"> </w:t>
            </w:r>
          </w:p>
        </w:tc>
        <w:tc>
          <w:tcPr>
            <w:tcW w:w="1530" w:type="dxa"/>
            <w:tcBorders>
              <w:tl2br w:val="nil"/>
              <w:tr2bl w:val="nil"/>
            </w:tcBorders>
            <w:noWrap/>
            <w:vAlign w:val="center"/>
          </w:tcPr>
          <w:p w14:paraId="33A3D368">
            <w:pPr>
              <w:rPr>
                <w:color w:val="auto"/>
                <w:highlight w:val="none"/>
              </w:rPr>
            </w:pPr>
          </w:p>
        </w:tc>
        <w:tc>
          <w:tcPr>
            <w:tcW w:w="2235" w:type="dxa"/>
            <w:tcBorders>
              <w:tl2br w:val="nil"/>
              <w:tr2bl w:val="nil"/>
            </w:tcBorders>
            <w:noWrap/>
            <w:vAlign w:val="center"/>
          </w:tcPr>
          <w:p w14:paraId="36BCF254">
            <w:pPr>
              <w:widowControl/>
              <w:jc w:val="center"/>
              <w:rPr>
                <w:color w:val="auto"/>
                <w:kern w:val="0"/>
                <w:szCs w:val="21"/>
                <w:highlight w:val="none"/>
              </w:rPr>
            </w:pPr>
            <w:r>
              <w:rPr>
                <w:rFonts w:hAnsi="宋体"/>
                <w:color w:val="auto"/>
                <w:kern w:val="0"/>
                <w:szCs w:val="21"/>
                <w:highlight w:val="none"/>
              </w:rPr>
              <w:t>　</w:t>
            </w:r>
          </w:p>
        </w:tc>
        <w:tc>
          <w:tcPr>
            <w:tcW w:w="3030" w:type="dxa"/>
            <w:tcBorders>
              <w:tl2br w:val="nil"/>
              <w:tr2bl w:val="nil"/>
            </w:tcBorders>
            <w:noWrap/>
            <w:vAlign w:val="center"/>
          </w:tcPr>
          <w:p w14:paraId="18E0EC59">
            <w:pPr>
              <w:widowControl/>
              <w:jc w:val="center"/>
              <w:rPr>
                <w:rFonts w:hAnsi="宋体"/>
                <w:color w:val="auto"/>
                <w:kern w:val="0"/>
                <w:szCs w:val="21"/>
                <w:highlight w:val="none"/>
              </w:rPr>
            </w:pPr>
          </w:p>
        </w:tc>
      </w:tr>
      <w:tr w14:paraId="2766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357" w:type="dxa"/>
            <w:gridSpan w:val="5"/>
            <w:tcBorders>
              <w:tl2br w:val="nil"/>
              <w:tr2bl w:val="nil"/>
            </w:tcBorders>
            <w:noWrap/>
            <w:vAlign w:val="center"/>
          </w:tcPr>
          <w:p w14:paraId="7F7480E1">
            <w:pPr>
              <w:widowControl/>
              <w:jc w:val="left"/>
              <w:rPr>
                <w:rFonts w:hAnsi="宋体"/>
                <w:color w:val="auto"/>
                <w:kern w:val="0"/>
                <w:szCs w:val="21"/>
                <w:highlight w:val="none"/>
              </w:rPr>
            </w:pPr>
            <w:r>
              <w:rPr>
                <w:rFonts w:hint="eastAsia" w:eastAsia="宋体"/>
                <w:color w:val="auto"/>
                <w:kern w:val="0"/>
                <w:szCs w:val="21"/>
                <w:highlight w:val="none"/>
                <w:lang w:eastAsia="zh-CN"/>
              </w:rPr>
              <w:t>考核人意见：</w:t>
            </w:r>
          </w:p>
        </w:tc>
      </w:tr>
      <w:tr w14:paraId="5115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357" w:type="dxa"/>
            <w:gridSpan w:val="5"/>
            <w:tcBorders>
              <w:tl2br w:val="nil"/>
              <w:tr2bl w:val="nil"/>
            </w:tcBorders>
            <w:noWrap/>
            <w:vAlign w:val="center"/>
          </w:tcPr>
          <w:p w14:paraId="478E51A2">
            <w:pPr>
              <w:widowControl/>
              <w:jc w:val="left"/>
              <w:rPr>
                <w:rFonts w:hAnsi="宋体"/>
                <w:color w:val="auto"/>
                <w:kern w:val="0"/>
                <w:szCs w:val="21"/>
                <w:highlight w:val="none"/>
              </w:rPr>
            </w:pPr>
            <w:r>
              <w:rPr>
                <w:rFonts w:hint="eastAsia" w:eastAsia="宋体"/>
                <w:color w:val="auto"/>
                <w:kern w:val="0"/>
                <w:szCs w:val="21"/>
                <w:highlight w:val="none"/>
                <w:lang w:eastAsia="zh-CN"/>
              </w:rPr>
              <w:t>考核人（签名）</w:t>
            </w:r>
          </w:p>
        </w:tc>
      </w:tr>
    </w:tbl>
    <w:p w14:paraId="677DCD75">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八、患者隐私保护要求</w:t>
      </w:r>
    </w:p>
    <w:p w14:paraId="335A9A73">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在患者管理过程中，应严格按照确定的工作表单的内容进行随访及采集，严禁夹带任何额外的内容，特别是软广告信息；</w:t>
      </w:r>
    </w:p>
    <w:p w14:paraId="4E729B34">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需有呼叫中心系统，疾病管理团队外拨给患者的联系电话，均须采用采购人统一提供的电话线路和电话号码；</w:t>
      </w:r>
    </w:p>
    <w:p w14:paraId="799D0FCE">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所有与患者的沟通电话均须有电话录音（要求保存一年及以上），如果采用微信、app等方式随访的，均应保存原始记录备查；</w:t>
      </w:r>
    </w:p>
    <w:p w14:paraId="0673362E">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服务供应商应与所有有可能接触到本项目相关工作内容的服务人员签署保密协议并备案一份给采购人留档；</w:t>
      </w:r>
    </w:p>
    <w:p w14:paraId="581C9F1A">
      <w:pPr>
        <w:keepLines w:val="0"/>
        <w:pageBreakBefore w:val="0"/>
        <w:kinsoku/>
        <w:wordWrap/>
        <w:overflowPunct/>
        <w:topLinePunct w:val="0"/>
        <w:autoSpaceDE/>
        <w:autoSpaceDN/>
        <w:bidi w:val="0"/>
        <w:adjustRightInd/>
        <w:spacing w:line="460" w:lineRule="exact"/>
        <w:ind w:right="0" w:rightChars="0"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服务供应商需提供患者隐私保护的解决方案。</w:t>
      </w:r>
    </w:p>
    <w:p w14:paraId="6DD484F6">
      <w:pPr>
        <w:pStyle w:val="348"/>
        <w:keepLines w:val="0"/>
        <w:pageBreakBefore w:val="0"/>
        <w:kinsoku/>
        <w:wordWrap/>
        <w:overflowPunct/>
        <w:topLinePunct w:val="0"/>
        <w:autoSpaceDE/>
        <w:autoSpaceDN/>
        <w:bidi w:val="0"/>
        <w:adjustRightInd/>
        <w:spacing w:beforeLines="0" w:afterLines="0" w:line="460" w:lineRule="exact"/>
        <w:ind w:right="0" w:rightChars="0"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九、其他要求</w:t>
      </w:r>
    </w:p>
    <w:p w14:paraId="0F8ACA99">
      <w:pPr>
        <w:keepLines w:val="0"/>
        <w:pageBreakBefore w:val="0"/>
        <w:kinsoku/>
        <w:wordWrap/>
        <w:overflowPunct/>
        <w:topLinePunct w:val="0"/>
        <w:autoSpaceDE/>
        <w:autoSpaceDN/>
        <w:bidi w:val="0"/>
        <w:adjustRightInd/>
        <w:snapToGrid w:val="0"/>
        <w:spacing w:line="460" w:lineRule="exact"/>
        <w:ind w:right="0" w:rightChars="0"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本项目</w:t>
      </w:r>
      <w:r>
        <w:rPr>
          <w:rFonts w:hint="eastAsia" w:ascii="宋体" w:hAnsi="宋体" w:eastAsia="宋体" w:cs="宋体"/>
          <w:color w:val="auto"/>
          <w:kern w:val="0"/>
          <w:sz w:val="22"/>
          <w:szCs w:val="22"/>
          <w:highlight w:val="none"/>
        </w:rPr>
        <w:t>实行一年一考核一签合同的办法；每年合同期满后，采购人可根据相关政策以及中标人服务质量考核结果决定是否与中标人续签下一年合同，续签时中标单价不予调整；一年合同期满但采购人未获得下一年度的预算批复或需求取消，则经采购人提前书面通知供应商后，合同到期终止，不再顺延。</w:t>
      </w:r>
      <w:r>
        <w:rPr>
          <w:rFonts w:hint="eastAsia" w:ascii="宋体" w:hAnsi="宋体" w:cs="宋体"/>
          <w:color w:val="auto"/>
          <w:sz w:val="22"/>
          <w:szCs w:val="22"/>
          <w:highlight w:val="none"/>
          <w:lang w:val="zh-CN"/>
        </w:rPr>
        <w:t>本</w:t>
      </w: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lang w:val="zh-CN"/>
        </w:rPr>
        <w:t>合同</w:t>
      </w:r>
      <w:r>
        <w:rPr>
          <w:rFonts w:hint="eastAsia" w:ascii="宋体" w:hAnsi="宋体" w:cs="宋体"/>
          <w:color w:val="auto"/>
          <w:sz w:val="22"/>
          <w:szCs w:val="22"/>
          <w:highlight w:val="none"/>
          <w:lang w:val="en-US" w:eastAsia="zh-CN"/>
        </w:rPr>
        <w:t>最多</w:t>
      </w:r>
      <w:r>
        <w:rPr>
          <w:rFonts w:hint="eastAsia" w:ascii="宋体" w:hAnsi="宋体" w:cs="宋体"/>
          <w:color w:val="auto"/>
          <w:sz w:val="22"/>
          <w:szCs w:val="22"/>
          <w:highlight w:val="none"/>
          <w:lang w:val="zh-CN"/>
        </w:rPr>
        <w:t>可续签壹</w:t>
      </w:r>
      <w:r>
        <w:rPr>
          <w:rFonts w:hint="eastAsia" w:ascii="宋体" w:hAnsi="宋体" w:cs="宋体"/>
          <w:color w:val="auto"/>
          <w:sz w:val="22"/>
          <w:szCs w:val="22"/>
          <w:highlight w:val="none"/>
          <w:lang w:val="en-US" w:eastAsia="zh-CN"/>
        </w:rPr>
        <w:t>次（壹年）</w:t>
      </w:r>
      <w:r>
        <w:rPr>
          <w:rFonts w:hint="eastAsia" w:ascii="宋体" w:hAnsi="宋体" w:cs="宋体"/>
          <w:color w:val="auto"/>
          <w:sz w:val="22"/>
          <w:szCs w:val="22"/>
          <w:highlight w:val="none"/>
          <w:lang w:val="zh-CN"/>
        </w:rPr>
        <w:t>。</w:t>
      </w:r>
    </w:p>
    <w:p w14:paraId="35D10735">
      <w:pPr>
        <w:keepLines w:val="0"/>
        <w:pageBreakBefore w:val="0"/>
        <w:kinsoku/>
        <w:wordWrap/>
        <w:overflowPunct/>
        <w:topLinePunct w:val="0"/>
        <w:autoSpaceDE/>
        <w:autoSpaceDN/>
        <w:bidi w:val="0"/>
        <w:adjustRightInd/>
        <w:snapToGrid w:val="0"/>
        <w:spacing w:line="460" w:lineRule="exact"/>
        <w:ind w:right="0" w:rightChars="0"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2.采购人需为本项目提供办公场所，旨在为患者提供一站式、全流程的科学化、规范化、系统化健康管理服务。</w:t>
      </w:r>
    </w:p>
    <w:p w14:paraId="31CBA082">
      <w:pPr>
        <w:keepLines w:val="0"/>
        <w:pageBreakBefore w:val="0"/>
        <w:kinsoku/>
        <w:wordWrap/>
        <w:overflowPunct/>
        <w:topLinePunct w:val="0"/>
        <w:autoSpaceDE/>
        <w:autoSpaceDN/>
        <w:bidi w:val="0"/>
        <w:adjustRightInd/>
        <w:snapToGrid w:val="0"/>
        <w:spacing w:line="460" w:lineRule="exact"/>
        <w:ind w:right="0" w:rightChars="0" w:firstLine="539" w:firstLineChars="245"/>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3.服务供应商需对本项目所涉及到的所有业务具有完整的理解，并对项目业务可能涉及到的企业资质均须具备。</w:t>
      </w:r>
    </w:p>
    <w:p w14:paraId="71BFB58D">
      <w:pPr>
        <w:keepLines w:val="0"/>
        <w:pageBreakBefore w:val="0"/>
        <w:kinsoku/>
        <w:wordWrap/>
        <w:overflowPunct/>
        <w:topLinePunct w:val="0"/>
        <w:autoSpaceDE/>
        <w:autoSpaceDN/>
        <w:bidi w:val="0"/>
        <w:adjustRightInd/>
        <w:snapToGrid w:val="0"/>
        <w:spacing w:line="460" w:lineRule="exact"/>
        <w:ind w:right="0" w:rightChars="0"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4.服务供应商需配置本项目正常开展所需的软硬件支撑工具：如疾病精细化管理软件工具、呼叫中心设备、网络交换机、平板电脑等，软硬件设备产权归服务供应商所有。</w:t>
      </w:r>
    </w:p>
    <w:p w14:paraId="5F26BE5F">
      <w:pPr>
        <w:keepLines w:val="0"/>
        <w:pageBreakBefore w:val="0"/>
        <w:kinsoku/>
        <w:wordWrap/>
        <w:overflowPunct/>
        <w:topLinePunct w:val="0"/>
        <w:autoSpaceDE/>
        <w:autoSpaceDN/>
        <w:bidi w:val="0"/>
        <w:adjustRightInd/>
        <w:snapToGrid w:val="0"/>
        <w:spacing w:line="460" w:lineRule="exact"/>
        <w:ind w:right="0" w:rightChars="0"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sz w:val="22"/>
          <w:szCs w:val="22"/>
          <w:highlight w:val="none"/>
        </w:rPr>
        <w:t>服务供应商需具备在APP或微信小程序上推送宣教视频的相关资质和能力。（根据疾病的特点，通过APP或微信小程序定期向患者精准推送图片、文本、视频等形式的健康宣教知识。）</w:t>
      </w:r>
      <w:r>
        <w:rPr>
          <w:rFonts w:hint="eastAsia" w:ascii="宋体" w:hAnsi="宋体" w:eastAsia="宋体" w:cs="宋体"/>
          <w:color w:val="auto"/>
          <w:kern w:val="0"/>
          <w:sz w:val="22"/>
          <w:szCs w:val="22"/>
          <w:highlight w:val="none"/>
        </w:rPr>
        <w:t>要求服务供应商配套的企微端不少于以下功能配置：</w:t>
      </w:r>
    </w:p>
    <w:tbl>
      <w:tblPr>
        <w:tblStyle w:val="53"/>
        <w:tblW w:w="5000" w:type="pct"/>
        <w:tblInd w:w="0" w:type="dxa"/>
        <w:tblLayout w:type="autofit"/>
        <w:tblCellMar>
          <w:top w:w="15" w:type="dxa"/>
          <w:left w:w="15" w:type="dxa"/>
          <w:bottom w:w="15" w:type="dxa"/>
          <w:right w:w="15" w:type="dxa"/>
        </w:tblCellMar>
      </w:tblPr>
      <w:tblGrid>
        <w:gridCol w:w="1833"/>
        <w:gridCol w:w="569"/>
        <w:gridCol w:w="673"/>
        <w:gridCol w:w="6593"/>
      </w:tblGrid>
      <w:tr w14:paraId="0ECC03B7">
        <w:tblPrEx>
          <w:tblCellMar>
            <w:top w:w="15" w:type="dxa"/>
            <w:left w:w="15" w:type="dxa"/>
            <w:bottom w:w="15" w:type="dxa"/>
            <w:right w:w="15" w:type="dxa"/>
          </w:tblCellMar>
        </w:tblPrEx>
        <w:trPr>
          <w:trHeight w:val="510" w:hRule="atLeast"/>
        </w:trPr>
        <w:tc>
          <w:tcPr>
            <w:tcW w:w="948" w:type="pct"/>
            <w:tcBorders>
              <w:top w:val="single" w:color="auto" w:sz="4" w:space="0"/>
              <w:left w:val="single" w:color="auto" w:sz="4" w:space="0"/>
              <w:bottom w:val="single" w:color="auto" w:sz="4" w:space="0"/>
              <w:right w:val="single" w:color="auto" w:sz="4" w:space="0"/>
            </w:tcBorders>
            <w:shd w:val="clear" w:color="auto" w:fill="DEE0E3"/>
            <w:vAlign w:val="center"/>
          </w:tcPr>
          <w:p w14:paraId="33740EE7">
            <w:pPr>
              <w:widowControl/>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产品名称</w:t>
            </w:r>
          </w:p>
        </w:tc>
        <w:tc>
          <w:tcPr>
            <w:tcW w:w="294" w:type="pct"/>
            <w:tcBorders>
              <w:top w:val="single" w:color="auto" w:sz="4" w:space="0"/>
              <w:left w:val="single" w:color="auto" w:sz="4" w:space="0"/>
              <w:bottom w:val="single" w:color="auto" w:sz="4" w:space="0"/>
              <w:right w:val="single" w:color="auto" w:sz="4" w:space="0"/>
            </w:tcBorders>
            <w:shd w:val="clear" w:color="auto" w:fill="DEE0E3"/>
            <w:vAlign w:val="center"/>
          </w:tcPr>
          <w:p w14:paraId="3C298F70">
            <w:pPr>
              <w:widowControl/>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功能模块</w:t>
            </w:r>
          </w:p>
        </w:tc>
        <w:tc>
          <w:tcPr>
            <w:tcW w:w="348" w:type="pct"/>
            <w:tcBorders>
              <w:top w:val="single" w:color="auto" w:sz="4" w:space="0"/>
              <w:left w:val="single" w:color="auto" w:sz="4" w:space="0"/>
              <w:bottom w:val="single" w:color="auto" w:sz="4" w:space="0"/>
              <w:right w:val="single" w:color="auto" w:sz="4" w:space="0"/>
            </w:tcBorders>
            <w:shd w:val="clear" w:color="auto" w:fill="DEE0E3"/>
            <w:vAlign w:val="center"/>
          </w:tcPr>
          <w:p w14:paraId="58315CA4">
            <w:pPr>
              <w:widowControl/>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功能点</w:t>
            </w:r>
          </w:p>
        </w:tc>
        <w:tc>
          <w:tcPr>
            <w:tcW w:w="3409" w:type="pct"/>
            <w:tcBorders>
              <w:top w:val="single" w:color="auto" w:sz="4" w:space="0"/>
              <w:left w:val="single" w:color="auto" w:sz="4" w:space="0"/>
              <w:bottom w:val="single" w:color="auto" w:sz="4" w:space="0"/>
              <w:right w:val="single" w:color="auto" w:sz="4" w:space="0"/>
            </w:tcBorders>
            <w:shd w:val="clear" w:color="auto" w:fill="DEE0E3"/>
            <w:vAlign w:val="center"/>
          </w:tcPr>
          <w:p w14:paraId="61602C12">
            <w:pPr>
              <w:widowControl/>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功能要求</w:t>
            </w:r>
          </w:p>
        </w:tc>
      </w:tr>
      <w:tr w14:paraId="4AB25006">
        <w:tblPrEx>
          <w:tblCellMar>
            <w:top w:w="15" w:type="dxa"/>
            <w:left w:w="15" w:type="dxa"/>
            <w:bottom w:w="15" w:type="dxa"/>
            <w:right w:w="15" w:type="dxa"/>
          </w:tblCellMar>
        </w:tblPrEx>
        <w:trPr>
          <w:trHeight w:val="405" w:hRule="atLeast"/>
        </w:trPr>
        <w:tc>
          <w:tcPr>
            <w:tcW w:w="948" w:type="pct"/>
            <w:vMerge w:val="restart"/>
            <w:tcBorders>
              <w:top w:val="single" w:color="auto" w:sz="4" w:space="0"/>
              <w:left w:val="single" w:color="1F2329" w:sz="4" w:space="0"/>
              <w:bottom w:val="single" w:color="1F2329" w:sz="4" w:space="0"/>
              <w:right w:val="single" w:color="1F2329" w:sz="4" w:space="0"/>
            </w:tcBorders>
            <w:shd w:val="clear" w:color="auto" w:fill="auto"/>
            <w:vAlign w:val="center"/>
          </w:tcPr>
          <w:p w14:paraId="2B9383F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企微管理平台</w:t>
            </w:r>
          </w:p>
        </w:tc>
        <w:tc>
          <w:tcPr>
            <w:tcW w:w="294" w:type="pct"/>
            <w:tcBorders>
              <w:top w:val="single" w:color="auto" w:sz="4" w:space="0"/>
              <w:left w:val="single" w:color="1F2329" w:sz="4" w:space="0"/>
              <w:bottom w:val="single" w:color="1F2329" w:sz="4" w:space="0"/>
              <w:right w:val="single" w:color="1F2329" w:sz="4" w:space="0"/>
            </w:tcBorders>
            <w:shd w:val="clear" w:color="auto" w:fill="auto"/>
            <w:vAlign w:val="center"/>
          </w:tcPr>
          <w:p w14:paraId="55B53F0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机构管理</w:t>
            </w:r>
          </w:p>
        </w:tc>
        <w:tc>
          <w:tcPr>
            <w:tcW w:w="348" w:type="pct"/>
            <w:tcBorders>
              <w:top w:val="single" w:color="auto" w:sz="4" w:space="0"/>
              <w:left w:val="single" w:color="1F2329" w:sz="4" w:space="0"/>
              <w:bottom w:val="single" w:color="1F2329" w:sz="4" w:space="0"/>
              <w:right w:val="single" w:color="1F2329" w:sz="4" w:space="0"/>
            </w:tcBorders>
            <w:shd w:val="clear" w:color="auto" w:fill="auto"/>
            <w:vAlign w:val="center"/>
          </w:tcPr>
          <w:p w14:paraId="6B14D4C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机构管理</w:t>
            </w:r>
          </w:p>
        </w:tc>
        <w:tc>
          <w:tcPr>
            <w:tcW w:w="3409" w:type="pct"/>
            <w:tcBorders>
              <w:top w:val="single" w:color="auto" w:sz="4" w:space="0"/>
              <w:left w:val="single" w:color="1F2329" w:sz="4" w:space="0"/>
              <w:bottom w:val="single" w:color="1F2329" w:sz="4" w:space="0"/>
              <w:right w:val="single" w:color="1F2329" w:sz="4" w:space="0"/>
            </w:tcBorders>
            <w:shd w:val="clear" w:color="auto" w:fill="auto"/>
            <w:vAlign w:val="center"/>
          </w:tcPr>
          <w:p w14:paraId="6983CCE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支持配置不同企微主体的管理模式；</w:t>
            </w:r>
          </w:p>
        </w:tc>
      </w:tr>
      <w:tr w14:paraId="5F8E37AA">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E2BF486">
            <w:pPr>
              <w:rPr>
                <w:rFonts w:hint="eastAsia" w:ascii="宋体" w:hAnsi="宋体" w:eastAsia="宋体" w:cs="宋体"/>
                <w:color w:val="auto"/>
                <w:sz w:val="22"/>
                <w:szCs w:val="22"/>
                <w:highlight w:val="none"/>
              </w:rPr>
            </w:pPr>
          </w:p>
        </w:tc>
        <w:tc>
          <w:tcPr>
            <w:tcW w:w="294"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10508C5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内容管理</w:t>
            </w: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570CC3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素材库</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82C1E2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支持在企微管理平台维护管理过程中的素材内容，包括图片，文档，视频，链接等格式的素材；</w:t>
            </w:r>
          </w:p>
        </w:tc>
      </w:tr>
      <w:tr w14:paraId="448059B3">
        <w:tblPrEx>
          <w:tblCellMar>
            <w:top w:w="15" w:type="dxa"/>
            <w:left w:w="15" w:type="dxa"/>
            <w:bottom w:w="15" w:type="dxa"/>
            <w:right w:w="15" w:type="dxa"/>
          </w:tblCellMar>
        </w:tblPrEx>
        <w:trPr>
          <w:trHeight w:val="67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6867965">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9C0A8E9">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BB8A3D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话术库</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BF4E14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可在企微管理平台维护管理过程中的话术内容、可切换配置不同企微主体下的话术、支持按照分组设置话术内容，此处配置的话术内容；</w:t>
            </w:r>
          </w:p>
        </w:tc>
      </w:tr>
      <w:tr w14:paraId="312B84F7">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6F9FE14">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9D1A620">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773C0E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欢迎语</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F2C260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支持配置患者扫码进入的内容设置，包括管理人员和使用科室，欢迎语内容等基础内容设置；</w:t>
            </w:r>
          </w:p>
        </w:tc>
      </w:tr>
      <w:tr w14:paraId="01BD8833">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1BE5CE6">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A23A46F">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8B922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用户分群</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7B877B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支持对患者数据分析，形成患者标签，结合实际管理模式将不同标签的患者分群；</w:t>
            </w:r>
          </w:p>
        </w:tc>
      </w:tr>
      <w:tr w14:paraId="653E8EB7">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D709034">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7FE7FA0">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DEE0E3" w:sz="4" w:space="0"/>
              <w:right w:val="single" w:color="1F2329" w:sz="4" w:space="0"/>
            </w:tcBorders>
            <w:shd w:val="clear" w:color="auto" w:fill="auto"/>
            <w:vAlign w:val="center"/>
          </w:tcPr>
          <w:p w14:paraId="1955EEE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推送设置</w:t>
            </w:r>
          </w:p>
        </w:tc>
        <w:tc>
          <w:tcPr>
            <w:tcW w:w="3409" w:type="pct"/>
            <w:tcBorders>
              <w:top w:val="single" w:color="1F2329" w:sz="4" w:space="0"/>
              <w:left w:val="single" w:color="1F2329" w:sz="4" w:space="0"/>
              <w:bottom w:val="single" w:color="DEE0E3" w:sz="4" w:space="0"/>
              <w:right w:val="single" w:color="1F2329" w:sz="4" w:space="0"/>
            </w:tcBorders>
            <w:shd w:val="clear" w:color="auto" w:fill="auto"/>
            <w:vAlign w:val="center"/>
          </w:tcPr>
          <w:p w14:paraId="6CF3F47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针对不同管理特点的患者，发送个性化的内容，包括但不限于表单，宣教，提醒等内容；</w:t>
            </w:r>
          </w:p>
        </w:tc>
      </w:tr>
      <w:tr w14:paraId="3FA89DBC">
        <w:tblPrEx>
          <w:tblCellMar>
            <w:top w:w="15" w:type="dxa"/>
            <w:left w:w="15" w:type="dxa"/>
            <w:bottom w:w="15" w:type="dxa"/>
            <w:right w:w="15" w:type="dxa"/>
          </w:tblCellMar>
        </w:tblPrEx>
        <w:trPr>
          <w:trHeight w:val="405" w:hRule="atLeast"/>
        </w:trPr>
        <w:tc>
          <w:tcPr>
            <w:tcW w:w="948"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CB312B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企微客户服务时的患者诊后服务功能</w:t>
            </w:r>
          </w:p>
        </w:tc>
        <w:tc>
          <w:tcPr>
            <w:tcW w:w="2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A6FBED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患者咨询</w:t>
            </w: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76E76A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咨询</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64279F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支持患者和管理人员通过企微完成日常咨询等会话功能；</w:t>
            </w:r>
          </w:p>
        </w:tc>
      </w:tr>
      <w:tr w14:paraId="0F7F5E0B">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F60188A">
            <w:pPr>
              <w:rPr>
                <w:rFonts w:hint="eastAsia" w:ascii="宋体" w:hAnsi="宋体" w:eastAsia="宋体" w:cs="宋体"/>
                <w:color w:val="auto"/>
                <w:sz w:val="22"/>
                <w:szCs w:val="22"/>
                <w:highlight w:val="none"/>
              </w:rPr>
            </w:pPr>
          </w:p>
        </w:tc>
        <w:tc>
          <w:tcPr>
            <w:tcW w:w="294"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F2221B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患者管理</w:t>
            </w: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824686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预约挂号</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5D36A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支持在企微客户端帮助患者做预约挂号；</w:t>
            </w:r>
          </w:p>
        </w:tc>
      </w:tr>
      <w:tr w14:paraId="719365E2">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05F709">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5B7EC2C">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830EBB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发送宣教</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3CDD5F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支持给患者发送健康宣教；</w:t>
            </w:r>
          </w:p>
        </w:tc>
      </w:tr>
      <w:tr w14:paraId="1446A9CB">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73010BA">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E8E0617">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971677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指标数据</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F6493E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支持查看和帮助患者记录血糖，血压，体重等健康数据；</w:t>
            </w:r>
          </w:p>
        </w:tc>
      </w:tr>
      <w:tr w14:paraId="685F724C">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E53DC2D">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C043836">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79312F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投诉表扬</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6DB170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支持管理人员在管理过程中发生投诉表扬等行政事务时可以直接上报和处理；</w:t>
            </w:r>
          </w:p>
        </w:tc>
      </w:tr>
      <w:tr w14:paraId="6B65124F">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42E308E">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A0D6875">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7D6F7B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异常上报</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C3A06E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支持管理人员在管理过程中发生异常事件可以直接上报和处理；</w:t>
            </w:r>
          </w:p>
        </w:tc>
      </w:tr>
      <w:tr w14:paraId="1732FAF0">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EA00EB3">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EC02331">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128594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服务记录</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844FE3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支持管理人员查看整个服务管理过程的管理记录，包括发送内容和咨询记录等；</w:t>
            </w:r>
          </w:p>
        </w:tc>
      </w:tr>
      <w:tr w14:paraId="1D2AE1E3">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CC63455">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A75E029">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235D6A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管理路径</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7C3BA6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支持管理人员查看患者的管理路径，包括但不限于宣教，表单等内容；</w:t>
            </w:r>
          </w:p>
        </w:tc>
      </w:tr>
      <w:tr w14:paraId="216C0ECA">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D0A4951">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3160A49B">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6FDBA1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任务列表</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8A5B19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支持管理人员查看某一个患者的未完成的任务并支持快捷发送；</w:t>
            </w:r>
          </w:p>
        </w:tc>
      </w:tr>
      <w:tr w14:paraId="1C006CD2">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E197EB4">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FC47833">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63BC54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专项数据</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B8984D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支持管理人员查看患者管理过程中的专项数据；</w:t>
            </w:r>
          </w:p>
        </w:tc>
      </w:tr>
      <w:tr w14:paraId="1619D579">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9A6F99B">
            <w:pPr>
              <w:rPr>
                <w:rFonts w:hint="eastAsia" w:ascii="宋体" w:hAnsi="宋体" w:eastAsia="宋体" w:cs="宋体"/>
                <w:color w:val="auto"/>
                <w:sz w:val="22"/>
                <w:szCs w:val="22"/>
                <w:highlight w:val="none"/>
              </w:rPr>
            </w:pPr>
          </w:p>
        </w:tc>
        <w:tc>
          <w:tcPr>
            <w:tcW w:w="294"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64EB5BC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工作台</w:t>
            </w: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F9066A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未绑定任务</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4D0C05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系统支持对于未绑定身份的患者集中展示，提醒管理人员进行绑定；</w:t>
            </w:r>
          </w:p>
        </w:tc>
      </w:tr>
      <w:tr w14:paraId="1BF0D0C4">
        <w:tblPrEx>
          <w:tblCellMar>
            <w:top w:w="15" w:type="dxa"/>
            <w:left w:w="15" w:type="dxa"/>
            <w:bottom w:w="15" w:type="dxa"/>
            <w:right w:w="15" w:type="dxa"/>
          </w:tblCellMar>
        </w:tblPrEx>
        <w:trPr>
          <w:trHeight w:val="405" w:hRule="atLeast"/>
        </w:trPr>
        <w:tc>
          <w:tcPr>
            <w:tcW w:w="948"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8421B17">
            <w:pPr>
              <w:rPr>
                <w:rFonts w:hint="eastAsia" w:ascii="宋体" w:hAnsi="宋体" w:eastAsia="宋体" w:cs="宋体"/>
                <w:color w:val="auto"/>
                <w:sz w:val="22"/>
                <w:szCs w:val="22"/>
                <w:highlight w:val="none"/>
              </w:rPr>
            </w:pPr>
          </w:p>
        </w:tc>
        <w:tc>
          <w:tcPr>
            <w:tcW w:w="294"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A343B8">
            <w:pPr>
              <w:rPr>
                <w:rFonts w:hint="eastAsia" w:ascii="宋体" w:hAnsi="宋体" w:eastAsia="宋体" w:cs="宋体"/>
                <w:color w:val="auto"/>
                <w:sz w:val="22"/>
                <w:szCs w:val="22"/>
                <w:highlight w:val="none"/>
              </w:rPr>
            </w:pPr>
          </w:p>
        </w:tc>
        <w:tc>
          <w:tcPr>
            <w:tcW w:w="348"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821188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待办任务</w:t>
            </w:r>
          </w:p>
        </w:tc>
        <w:tc>
          <w:tcPr>
            <w:tcW w:w="3409"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6FFE4A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系统支持查看管理人员的待办任务；</w:t>
            </w:r>
          </w:p>
        </w:tc>
      </w:tr>
    </w:tbl>
    <w:p w14:paraId="23214538">
      <w:pPr>
        <w:keepNext w:val="0"/>
        <w:keepLines w:val="0"/>
        <w:pageBreakBefore w:val="0"/>
        <w:widowControl w:val="0"/>
        <w:kinsoku/>
        <w:wordWrap/>
        <w:overflowPunct/>
        <w:topLinePunct w:val="0"/>
        <w:autoSpaceDE/>
        <w:autoSpaceDN/>
        <w:bidi w:val="0"/>
        <w:adjustRightInd/>
        <w:snapToGrid w:val="0"/>
        <w:spacing w:line="460" w:lineRule="exact"/>
        <w:ind w:firstLine="90" w:firstLineChars="41"/>
        <w:jc w:val="lef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6.服务供应商须严格按照合同要求为本项目提供同质化的疾病精细化健康管理服务。</w:t>
      </w:r>
    </w:p>
    <w:p w14:paraId="56DD554F">
      <w:pPr>
        <w:keepNext w:val="0"/>
        <w:keepLines w:val="0"/>
        <w:pageBreakBefore w:val="0"/>
        <w:widowControl w:val="0"/>
        <w:kinsoku/>
        <w:wordWrap/>
        <w:overflowPunct/>
        <w:topLinePunct w:val="0"/>
        <w:autoSpaceDE/>
        <w:autoSpaceDN/>
        <w:bidi w:val="0"/>
        <w:adjustRightInd/>
        <w:snapToGrid w:val="0"/>
        <w:spacing w:line="460" w:lineRule="exact"/>
        <w:ind w:firstLine="90" w:firstLineChars="41"/>
        <w:jc w:val="lef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6.1要求服务供应商配套同质化的软件支撑工具（即疾病精细化管理系统），功能不少于现有使用的系统，须承诺与现有使用的系统无缝对接，为保证服务质量，本项目配置的疾病精细化管理系统还应与HIS/LIS/PACS/预约挂号等系统等互联互通。（涉及到的第三方软件接口费</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不超过30万元</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均须包含在报价中）。</w:t>
      </w:r>
    </w:p>
    <w:p w14:paraId="20FFB739">
      <w:pPr>
        <w:keepNext w:val="0"/>
        <w:keepLines w:val="0"/>
        <w:pageBreakBefore w:val="0"/>
        <w:widowControl w:val="0"/>
        <w:kinsoku/>
        <w:wordWrap/>
        <w:overflowPunct/>
        <w:topLinePunct w:val="0"/>
        <w:autoSpaceDE/>
        <w:autoSpaceDN/>
        <w:bidi w:val="0"/>
        <w:adjustRightInd/>
        <w:snapToGrid w:val="0"/>
        <w:spacing w:line="460" w:lineRule="exact"/>
        <w:ind w:firstLine="90" w:firstLineChars="41"/>
        <w:jc w:val="lef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6.2服务供应商提供的软件支撑工具应满足项目开展的需要，并能按照临床要求对进行迭代。软件支撑工具功能需承诺不少于以下配置：</w:t>
      </w:r>
    </w:p>
    <w:tbl>
      <w:tblPr>
        <w:tblStyle w:val="53"/>
        <w:tblW w:w="5000" w:type="pct"/>
        <w:tblInd w:w="0" w:type="dxa"/>
        <w:tblLayout w:type="autofit"/>
        <w:tblCellMar>
          <w:top w:w="0" w:type="dxa"/>
          <w:left w:w="108" w:type="dxa"/>
          <w:bottom w:w="0" w:type="dxa"/>
          <w:right w:w="108" w:type="dxa"/>
        </w:tblCellMar>
      </w:tblPr>
      <w:tblGrid>
        <w:gridCol w:w="1108"/>
        <w:gridCol w:w="1254"/>
        <w:gridCol w:w="1569"/>
        <w:gridCol w:w="5923"/>
      </w:tblGrid>
      <w:tr w14:paraId="7299B4AB">
        <w:tblPrEx>
          <w:tblCellMar>
            <w:top w:w="0" w:type="dxa"/>
            <w:left w:w="108" w:type="dxa"/>
            <w:bottom w:w="0" w:type="dxa"/>
            <w:right w:w="108" w:type="dxa"/>
          </w:tblCellMar>
        </w:tblPrEx>
        <w:trPr>
          <w:trHeight w:val="20" w:hRule="atLeast"/>
        </w:trPr>
        <w:tc>
          <w:tcPr>
            <w:tcW w:w="562"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14:paraId="7328B865">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使用对象</w:t>
            </w:r>
          </w:p>
        </w:tc>
        <w:tc>
          <w:tcPr>
            <w:tcW w:w="636"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14:paraId="582A5F07">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功能模块</w:t>
            </w:r>
          </w:p>
        </w:tc>
        <w:tc>
          <w:tcPr>
            <w:tcW w:w="796"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14:paraId="78A240F6">
            <w:pPr>
              <w:widowControl/>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功能点</w:t>
            </w:r>
          </w:p>
        </w:tc>
        <w:tc>
          <w:tcPr>
            <w:tcW w:w="3005"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14:paraId="576FA2BD">
            <w:pPr>
              <w:widowControl/>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功能说明</w:t>
            </w:r>
          </w:p>
        </w:tc>
      </w:tr>
      <w:tr w14:paraId="0658E24A">
        <w:tblPrEx>
          <w:tblCellMar>
            <w:top w:w="0" w:type="dxa"/>
            <w:left w:w="108" w:type="dxa"/>
            <w:bottom w:w="0" w:type="dxa"/>
            <w:right w:w="108" w:type="dxa"/>
          </w:tblCellMar>
        </w:tblPrEx>
        <w:trPr>
          <w:trHeight w:val="20" w:hRule="atLeast"/>
        </w:trPr>
        <w:tc>
          <w:tcPr>
            <w:tcW w:w="562" w:type="pct"/>
            <w:vMerge w:val="restar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758862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1.线下健管师PC端</w:t>
            </w:r>
          </w:p>
        </w:tc>
        <w:tc>
          <w:tcPr>
            <w:tcW w:w="636"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6C15D7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工作台</w:t>
            </w:r>
          </w:p>
        </w:tc>
        <w:tc>
          <w:tcPr>
            <w:tcW w:w="796"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A281E9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待办任务</w:t>
            </w:r>
          </w:p>
        </w:tc>
        <w:tc>
          <w:tcPr>
            <w:tcW w:w="3005"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F9B2F9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汇总当前健管师的各项任务待办集合，包括了宣讲任务、异常待办</w:t>
            </w:r>
          </w:p>
        </w:tc>
      </w:tr>
      <w:tr w14:paraId="5BA57E0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51C59B4D">
            <w:pPr>
              <w:widowControl/>
              <w:jc w:val="center"/>
              <w:rPr>
                <w:rFonts w:hint="eastAsia" w:ascii="宋体" w:hAnsi="宋体" w:eastAsia="宋体" w:cs="宋体"/>
                <w:color w:val="auto"/>
                <w:sz w:val="22"/>
                <w:szCs w:val="22"/>
                <w:highlight w:val="none"/>
              </w:rPr>
            </w:pPr>
          </w:p>
        </w:tc>
        <w:tc>
          <w:tcPr>
            <w:tcW w:w="63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5D34C1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患者管理</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0B5EB3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患者详情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629285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查看所有在管患者院内档案、维护档案基础信息等</w:t>
            </w:r>
          </w:p>
        </w:tc>
      </w:tr>
      <w:tr w14:paraId="184798E9">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7771761E">
            <w:pPr>
              <w:widowControl/>
              <w:jc w:val="center"/>
              <w:rPr>
                <w:rFonts w:hint="eastAsia" w:ascii="宋体" w:hAnsi="宋体" w:eastAsia="宋体" w:cs="宋体"/>
                <w:color w:val="auto"/>
                <w:sz w:val="22"/>
                <w:szCs w:val="22"/>
                <w:highlight w:val="none"/>
              </w:rPr>
            </w:pPr>
          </w:p>
        </w:tc>
        <w:tc>
          <w:tcPr>
            <w:tcW w:w="63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1E7508C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服务管理</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26F177C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随访详情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435FB8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查看线上履约过程中随访的关键记录</w:t>
            </w:r>
          </w:p>
        </w:tc>
      </w:tr>
      <w:tr w14:paraId="03206951">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6E3B8D9B">
            <w:pPr>
              <w:widowControl/>
              <w:jc w:val="center"/>
              <w:rPr>
                <w:rFonts w:hint="eastAsia" w:ascii="宋体" w:hAnsi="宋体" w:eastAsia="宋体" w:cs="宋体"/>
                <w:color w:val="auto"/>
                <w:sz w:val="22"/>
                <w:szCs w:val="22"/>
                <w:highlight w:val="none"/>
              </w:rPr>
            </w:pP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64CB7C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工单管理</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17AF65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宣讲任务</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CA720F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包含当前医院处于各状态的宣讲工单，供查询、处理</w:t>
            </w:r>
          </w:p>
        </w:tc>
      </w:tr>
      <w:tr w14:paraId="09CA6359">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E81A398">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0886F992">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39483F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投诉表扬</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2DA57D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线下环节节点的处理，在服务管理过程中发现的投诉表扬事件需要逐级上报处理</w:t>
            </w:r>
          </w:p>
        </w:tc>
      </w:tr>
      <w:tr w14:paraId="5C8B718E">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24D45DEB">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0A33D6E5">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8AEDEE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异常上报</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AF6ACF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线下环节节点的处理，在服务管理过程中发现的异常事件需要逐级上报处理</w:t>
            </w:r>
          </w:p>
        </w:tc>
      </w:tr>
      <w:tr w14:paraId="513B8B8A">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0C57F581">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313B3B15">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F38809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服务退费</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9DBEDA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查看患者退费情况</w:t>
            </w:r>
          </w:p>
        </w:tc>
      </w:tr>
      <w:tr w14:paraId="65BFAF9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0823FCDF">
            <w:pPr>
              <w:widowControl/>
              <w:jc w:val="center"/>
              <w:rPr>
                <w:rFonts w:hint="eastAsia" w:ascii="宋体" w:hAnsi="宋体" w:eastAsia="宋体" w:cs="宋体"/>
                <w:color w:val="auto"/>
                <w:sz w:val="22"/>
                <w:szCs w:val="22"/>
                <w:highlight w:val="none"/>
              </w:rPr>
            </w:pP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0C866C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互动渠道</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007889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短信记录</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B0CD34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查看所有线上服务的短信记录汇总</w:t>
            </w:r>
          </w:p>
        </w:tc>
      </w:tr>
      <w:tr w14:paraId="35BD7CA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DDB60AE">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1797DD5F">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EFB0B0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通话记录</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1ABD13A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查看所有线上服务的电话记录汇总</w:t>
            </w:r>
          </w:p>
        </w:tc>
      </w:tr>
      <w:tr w14:paraId="50D3B420">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EEF7EE9">
            <w:pPr>
              <w:widowControl/>
              <w:jc w:val="center"/>
              <w:rPr>
                <w:rFonts w:hint="eastAsia" w:ascii="宋体" w:hAnsi="宋体" w:eastAsia="宋体" w:cs="宋体"/>
                <w:color w:val="auto"/>
                <w:sz w:val="22"/>
                <w:szCs w:val="22"/>
                <w:highlight w:val="none"/>
              </w:rPr>
            </w:pP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9C6E9F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运营数据分析</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219F8E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数据统计</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00FA3F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医院维度的服务数据驾驶舱</w:t>
            </w:r>
          </w:p>
        </w:tc>
      </w:tr>
      <w:tr w14:paraId="2F3CFA82">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5DABB9F7">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2A61608E">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8EBD60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开单数据汇总</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22370CD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汇总各类情况的开单明细</w:t>
            </w:r>
          </w:p>
        </w:tc>
      </w:tr>
      <w:tr w14:paraId="6B2271F0">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38A9443">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542C646F">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2C946C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复诊情况分析</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5B4A9A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医院/科室维度复诊详情</w:t>
            </w:r>
          </w:p>
        </w:tc>
      </w:tr>
      <w:tr w14:paraId="3820EE5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4F014A37">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4EC63AB7">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960093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住院转化分析</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8167E8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医院维度潜在患者数据分析及科室转化情况</w:t>
            </w:r>
          </w:p>
        </w:tc>
      </w:tr>
      <w:tr w14:paraId="59B5E6F3">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415A3A2D">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4FEE8E27">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2B27E2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拓单转化分析</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630043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医院维度的科室服务转化情况数据</w:t>
            </w:r>
          </w:p>
        </w:tc>
      </w:tr>
      <w:tr w14:paraId="68DFB608">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62EC21E">
            <w:pPr>
              <w:widowControl/>
              <w:jc w:val="center"/>
              <w:rPr>
                <w:rFonts w:hint="eastAsia" w:ascii="宋体" w:hAnsi="宋体" w:eastAsia="宋体" w:cs="宋体"/>
                <w:color w:val="auto"/>
                <w:sz w:val="22"/>
                <w:szCs w:val="22"/>
                <w:highlight w:val="none"/>
              </w:rPr>
            </w:pPr>
          </w:p>
        </w:tc>
        <w:tc>
          <w:tcPr>
            <w:tcW w:w="63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F4FCDF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运营质控</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6E9018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质量分析</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31FA73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可查看每个线下宣讲任务的完成情况、知情同意书的签署情况等</w:t>
            </w:r>
          </w:p>
        </w:tc>
      </w:tr>
      <w:tr w14:paraId="20F74DE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777C3D1F">
            <w:pPr>
              <w:widowControl/>
              <w:jc w:val="center"/>
              <w:rPr>
                <w:rFonts w:hint="eastAsia" w:ascii="宋体" w:hAnsi="宋体" w:eastAsia="宋体" w:cs="宋体"/>
                <w:color w:val="auto"/>
                <w:sz w:val="22"/>
                <w:szCs w:val="22"/>
                <w:highlight w:val="none"/>
              </w:rPr>
            </w:pP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DE85F3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图表分析</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6A3073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报告管理</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015F2C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汇总管理数据，可用于快速生成汇报ppt</w:t>
            </w:r>
          </w:p>
        </w:tc>
      </w:tr>
      <w:tr w14:paraId="6FC11F2B">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1BA5B3D0">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5825F6C9">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2099811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全院视角</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1AFA7C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全院范围内的个案转化情况、管理质量等数据</w:t>
            </w:r>
          </w:p>
        </w:tc>
      </w:tr>
      <w:tr w14:paraId="3614B5CA">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14:paraId="71C9C516">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124F36E1">
            <w:pPr>
              <w:widowControl/>
              <w:jc w:val="left"/>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62218C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科室视角</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0F5247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科室情况范围内的个案转化情况、服务质量及管理成效分析</w:t>
            </w:r>
          </w:p>
        </w:tc>
      </w:tr>
      <w:tr w14:paraId="3F816F10">
        <w:tblPrEx>
          <w:tblCellMar>
            <w:top w:w="0" w:type="dxa"/>
            <w:left w:w="108" w:type="dxa"/>
            <w:bottom w:w="0" w:type="dxa"/>
            <w:right w:w="108" w:type="dxa"/>
          </w:tblCellMar>
        </w:tblPrEx>
        <w:trPr>
          <w:trHeight w:val="20" w:hRule="atLeast"/>
        </w:trPr>
        <w:tc>
          <w:tcPr>
            <w:tcW w:w="562"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EAF8A1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2.线下健管师PC端及PAD端均须具备的功能</w:t>
            </w: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7FD9C6E">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医院患者</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2C85F3F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住院患者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459619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可查看当前科室/病区的患者列表及相关的诊疗记录，可进行患者信息备注及标记</w:t>
            </w:r>
          </w:p>
        </w:tc>
      </w:tr>
      <w:tr w14:paraId="25D48CE9">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3ED64906">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2FA95E67">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75FB0B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门诊患者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6790DE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可查看当前科室/病区的患者列表及相关的诊疗记录，可进行患者信息备注及标记</w:t>
            </w:r>
          </w:p>
        </w:tc>
      </w:tr>
      <w:tr w14:paraId="2C7CE88C">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29A59698">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3D6B41A4">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23BE9A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出院患者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45A3E9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可查看近期的出院的患者列表及相关的诊疗记录</w:t>
            </w:r>
          </w:p>
        </w:tc>
      </w:tr>
      <w:tr w14:paraId="34224D5B">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6C5DCAC5">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62EB4759">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08203D3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待处理</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850B71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包含了标记为待转化患者，用于作为线下健管师的工作清单</w:t>
            </w:r>
          </w:p>
        </w:tc>
      </w:tr>
      <w:tr w14:paraId="41DDF330">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3DF2378D">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67924861">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0525A3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已处理</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3DACDD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包含了全部已处理的先宣讲后开单流程的患者</w:t>
            </w:r>
          </w:p>
        </w:tc>
      </w:tr>
      <w:tr w14:paraId="6F2D8425">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1F1576EB">
            <w:pPr>
              <w:widowControl/>
              <w:jc w:val="center"/>
              <w:rPr>
                <w:rFonts w:hint="eastAsia" w:ascii="宋体" w:hAnsi="宋体" w:eastAsia="宋体" w:cs="宋体"/>
                <w:color w:val="auto"/>
                <w:sz w:val="22"/>
                <w:szCs w:val="22"/>
                <w:highlight w:val="none"/>
              </w:rPr>
            </w:pPr>
          </w:p>
        </w:tc>
        <w:tc>
          <w:tcPr>
            <w:tcW w:w="636"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0AC9E0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宣讲签约</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91868C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未宣讲</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374F02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包含了所有待处理宣讲任务，进入详情后按照标准流程进行宣讲并记录信息</w:t>
            </w:r>
          </w:p>
        </w:tc>
      </w:tr>
      <w:tr w14:paraId="3582ADEF">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6FBAC60E">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1CC968AC">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5E6AA86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已暂存</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7C5482D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暂时无法提交的宣讲任务，可供后续处理</w:t>
            </w:r>
          </w:p>
        </w:tc>
      </w:tr>
      <w:tr w14:paraId="2852F962">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456E7685">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55235A58">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5463FA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已宣讲</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35D1963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已经完成宣讲的任务，可以查看详情及播放录音</w:t>
            </w:r>
          </w:p>
        </w:tc>
      </w:tr>
      <w:tr w14:paraId="7E6B5CAC">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55014414">
            <w:pPr>
              <w:widowControl/>
              <w:jc w:val="center"/>
              <w:rPr>
                <w:rFonts w:hint="eastAsia" w:ascii="宋体" w:hAnsi="宋体" w:eastAsia="宋体" w:cs="宋体"/>
                <w:color w:val="auto"/>
                <w:sz w:val="22"/>
                <w:szCs w:val="22"/>
                <w:highlight w:val="none"/>
              </w:rPr>
            </w:pPr>
          </w:p>
        </w:tc>
        <w:tc>
          <w:tcPr>
            <w:tcW w:w="636"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565D6B5D">
            <w:pPr>
              <w:widowControl/>
              <w:jc w:val="center"/>
              <w:rPr>
                <w:rFonts w:hint="eastAsia" w:ascii="宋体" w:hAnsi="宋体" w:eastAsia="宋体" w:cs="宋体"/>
                <w:color w:val="auto"/>
                <w:sz w:val="22"/>
                <w:szCs w:val="22"/>
                <w:highlight w:val="none"/>
              </w:rPr>
            </w:pP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095472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宣讲知识库</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603B22F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内置各病种的宣讲知识库，可以快捷查看该病种的院外居家康复注意事项及要点</w:t>
            </w:r>
          </w:p>
        </w:tc>
      </w:tr>
      <w:tr w14:paraId="1E72D187">
        <w:tblPrEx>
          <w:tblCellMar>
            <w:top w:w="0" w:type="dxa"/>
            <w:left w:w="108" w:type="dxa"/>
            <w:bottom w:w="0" w:type="dxa"/>
            <w:right w:w="108" w:type="dxa"/>
          </w:tblCellMar>
        </w:tblPrEx>
        <w:trPr>
          <w:trHeight w:val="20" w:hRule="atLeast"/>
        </w:trPr>
        <w:tc>
          <w:tcPr>
            <w:tcW w:w="562"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14:paraId="2BB489A7">
            <w:pPr>
              <w:widowControl/>
              <w:jc w:val="center"/>
              <w:rPr>
                <w:rFonts w:hint="eastAsia" w:ascii="宋体" w:hAnsi="宋体" w:eastAsia="宋体" w:cs="宋体"/>
                <w:color w:val="auto"/>
                <w:sz w:val="22"/>
                <w:szCs w:val="22"/>
                <w:highlight w:val="none"/>
              </w:rPr>
            </w:pPr>
          </w:p>
        </w:tc>
        <w:tc>
          <w:tcPr>
            <w:tcW w:w="63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4E5FFD1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订单管理</w:t>
            </w:r>
          </w:p>
        </w:tc>
        <w:tc>
          <w:tcPr>
            <w:tcW w:w="796"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18C13E6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订单详情</w:t>
            </w:r>
          </w:p>
        </w:tc>
        <w:tc>
          <w:tcPr>
            <w:tcW w:w="3005"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14:paraId="1DF5653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供查询各个状态下的订单明细</w:t>
            </w:r>
          </w:p>
        </w:tc>
      </w:tr>
      <w:tr w14:paraId="0F9490E2">
        <w:tblPrEx>
          <w:tblCellMar>
            <w:top w:w="0" w:type="dxa"/>
            <w:left w:w="108" w:type="dxa"/>
            <w:bottom w:w="0" w:type="dxa"/>
            <w:right w:w="108" w:type="dxa"/>
          </w:tblCellMar>
        </w:tblPrEx>
        <w:trPr>
          <w:trHeight w:val="20" w:hRule="atLeast"/>
        </w:trPr>
        <w:tc>
          <w:tcPr>
            <w:tcW w:w="562"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14:paraId="43E1056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3.线上个案管理的PC端</w:t>
            </w: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B2D79CD">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工作台</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2DDBD7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今日任务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C36207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根据路径拆解的时间节点进行电话随访，并支持对应内容的条件查询</w:t>
            </w:r>
          </w:p>
        </w:tc>
      </w:tr>
      <w:tr w14:paraId="119B6255">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3A013888">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2E8A4495">
            <w:pPr>
              <w:widowControl/>
              <w:jc w:val="center"/>
              <w:rPr>
                <w:rFonts w:hint="eastAsia" w:ascii="宋体" w:hAnsi="宋体" w:eastAsia="宋体" w:cs="宋体"/>
                <w:color w:val="auto"/>
                <w:kern w:val="0"/>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87AF80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跟踪待办</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88D373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跟踪个案管理师在管理过程中设置的跟踪待办任务，并支持对应内容的条件查询</w:t>
            </w:r>
          </w:p>
        </w:tc>
      </w:tr>
      <w:tr w14:paraId="2CDEF0F2">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5745633">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FB75AD5">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6B518F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患者咨询</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0AB516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个案管理师回复患者在小程序提问的内容，并支持对应内容的条件查询</w:t>
            </w:r>
          </w:p>
        </w:tc>
      </w:tr>
      <w:tr w14:paraId="76CE7B07">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2E4D52D">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FA1ADE9">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95760E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异常受理</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46F7FB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展示需要</w:t>
            </w:r>
            <w:r>
              <w:rPr>
                <w:rFonts w:hint="eastAsia" w:ascii="宋体" w:hAnsi="宋体" w:eastAsia="宋体" w:cs="宋体"/>
                <w:color w:val="auto"/>
                <w:sz w:val="22"/>
                <w:szCs w:val="22"/>
                <w:highlight w:val="none"/>
              </w:rPr>
              <w:t>个案管理</w:t>
            </w:r>
            <w:r>
              <w:rPr>
                <w:rFonts w:hint="eastAsia" w:ascii="宋体" w:hAnsi="宋体" w:eastAsia="宋体" w:cs="宋体"/>
                <w:color w:val="auto"/>
                <w:kern w:val="0"/>
                <w:sz w:val="22"/>
                <w:szCs w:val="22"/>
                <w:highlight w:val="none"/>
              </w:rPr>
              <w:t>师处理的AI异常任务，发起的各种异常事件，投诉，表扬等事项，并支持对应内容的条件查询</w:t>
            </w:r>
          </w:p>
        </w:tc>
      </w:tr>
      <w:tr w14:paraId="400A6742">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5AB8C17F">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6D00D10">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667BFD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评估任务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2E3097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根据医学配置的任务设置触发需要个案管理师处理的评估任务</w:t>
            </w:r>
          </w:p>
        </w:tc>
      </w:tr>
      <w:tr w14:paraId="4E5682F8">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6C94D938">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ED21015">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1D4BF0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复诊异常处理</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BED9A6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根据指定的复诊任务产生的跟踪任务，并支持对应内容的条件查询</w:t>
            </w:r>
          </w:p>
        </w:tc>
      </w:tr>
      <w:tr w14:paraId="6C8A5E95">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2BC960F2">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D250161">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D12F5A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未挂号提醒</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EFBEB3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对于服务过程中设置的未挂号提醒功能</w:t>
            </w:r>
          </w:p>
        </w:tc>
      </w:tr>
      <w:tr w14:paraId="3658E398">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7D3DE8E">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4D4A1D5">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AB8F73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方案制定</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FA1181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对线下流转到线上的患者进行方案制定并分配管理人员开始管理；</w:t>
            </w:r>
          </w:p>
        </w:tc>
      </w:tr>
      <w:tr w14:paraId="02B361BD">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5DD69895">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41366E7">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A60C96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服务到期结案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A7F6B1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根据服务期限到期进行结案处理</w:t>
            </w:r>
          </w:p>
        </w:tc>
      </w:tr>
      <w:tr w14:paraId="615C32EF">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13C5507">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039817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4419F9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运动点评</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12215F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运动康复师根据患者的运动记录进行点评</w:t>
            </w:r>
          </w:p>
        </w:tc>
      </w:tr>
      <w:tr w14:paraId="6FEA12CD">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713D739">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493E12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3E499E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运动回复</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667B64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运动康复师根据患者查看点评记录后的回复进行针对性的沟通和解释</w:t>
            </w:r>
          </w:p>
        </w:tc>
      </w:tr>
      <w:tr w14:paraId="00636633">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0CBC5A7">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475102A">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B10871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饮食点评</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CAF0AF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营养师根据患者的营养记录进行点评</w:t>
            </w:r>
          </w:p>
        </w:tc>
      </w:tr>
      <w:tr w14:paraId="7F5F5C89">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459385B9">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216276F">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06BAC5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饮食回复</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29F26A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营养师根据患者查看点评记录后的回复进行针对性的沟通和解释</w:t>
            </w:r>
          </w:p>
        </w:tc>
      </w:tr>
      <w:tr w14:paraId="6335BDF4">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5E957CE9">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B965977">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17010E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干预追踪</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9288B1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管理人员针对异常的指标监测或者依从性预警进行干预</w:t>
            </w:r>
          </w:p>
        </w:tc>
      </w:tr>
      <w:tr w14:paraId="27BAD3FA">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430F20EC">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39172C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工单管理</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8EA705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评估任务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F77A2A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根据医学配置的任务设置触发需要个案管理师处理的评估任务，包括已处理和未处理</w:t>
            </w:r>
          </w:p>
        </w:tc>
      </w:tr>
      <w:tr w14:paraId="454F9D2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2A5117DC">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E50917A">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35DC88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患者收案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FC8CCE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对线下流转到线上的患者进行方案制定并分配管理人员开始管理，包括已处理和未处理</w:t>
            </w:r>
          </w:p>
        </w:tc>
      </w:tr>
      <w:tr w14:paraId="11F41A53">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707FDEF">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2B5AC29">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54A704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随访任务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753132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根据路径拆解的时间节点进行电话随访，包括已处理、未处理，已过期，已结案和全部</w:t>
            </w:r>
          </w:p>
        </w:tc>
      </w:tr>
      <w:tr w14:paraId="4EB95337">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2E559D3B">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0E11F4B">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0CF7B8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服务到期结案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F04D4B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根据服务期限到期进行结案处理，包括已处理，未处理</w:t>
            </w:r>
          </w:p>
        </w:tc>
      </w:tr>
      <w:tr w14:paraId="13E65832">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6BF5E3A2">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1682ECF">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BF3376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复诊任务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8EDE5B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根据指定的复诊任务产生的跟踪任务，包括异常，正常，待处理，全部</w:t>
            </w:r>
          </w:p>
        </w:tc>
      </w:tr>
      <w:tr w14:paraId="0B75C03B">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FFEF85A">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D4A0027">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73C604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投诉表扬</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9B0806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在服务管理过程中发现的投诉表扬事件需要逐级上报处理，包括待我处理，流程中，已结束等</w:t>
            </w:r>
          </w:p>
        </w:tc>
      </w:tr>
      <w:tr w14:paraId="3FC621B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18F43B8">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B53055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132A22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异常上报</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227656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在服务管理过程中发现的异常事件需要逐级上报处理，包括待我处理，流程中，已结束等</w:t>
            </w:r>
          </w:p>
        </w:tc>
      </w:tr>
      <w:tr w14:paraId="4A5DE517">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DE218D6">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E089BA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0B6BBC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服务整改</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B5BC1E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医院监管老师会抽查服务质量产生的相关任务，包括各类任务状态</w:t>
            </w:r>
          </w:p>
        </w:tc>
      </w:tr>
      <w:tr w14:paraId="6CBB4E8F">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CEECCF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B363943">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FD2A26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患友咨询</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B6EFF8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个案管理师回复患者在小程序提问的内容，包括已处理未处理</w:t>
            </w:r>
          </w:p>
        </w:tc>
      </w:tr>
      <w:tr w14:paraId="5BE12AB1">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AC0DF44">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4CA0754">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患者管理</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AABC3C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入组患者列表展示</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3B9428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支持已入组患者的列表查看</w:t>
            </w:r>
          </w:p>
        </w:tc>
      </w:tr>
      <w:tr w14:paraId="160F4605">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AC025C5">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9A5AAFB">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DD7316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患者分组</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626601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提供基于管理路径 管理人员，疾病类型等参数的患者分组</w:t>
            </w:r>
          </w:p>
        </w:tc>
      </w:tr>
      <w:tr w14:paraId="64076C9F">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6C7A02D">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57AA90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A25C75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患者列表条件查询</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490E20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提供基于患者状态（管理中，未开启，已结案），患者年龄，管理时长等参数的条件筛选，帮助个案管理师快速定位找到对应的患者；</w:t>
            </w:r>
          </w:p>
        </w:tc>
      </w:tr>
      <w:tr w14:paraId="081A2798">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0203D18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6691A60">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9D97F0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患者医疗档案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FB6B7F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提供患者院内门诊、在院就诊、检查检验记录的查看，帮助个案管理师了解患者基础情况；</w:t>
            </w:r>
          </w:p>
        </w:tc>
      </w:tr>
      <w:tr w14:paraId="38FD6FE4">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C95DB6B">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4C75AD54">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A85553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基本信息</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604CC1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提供患者性别，年龄，身高体重，教育程度，宗教信仰，腰围等基本信息的维护</w:t>
            </w:r>
          </w:p>
        </w:tc>
      </w:tr>
      <w:tr w14:paraId="01ACADB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6C4E696">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A949D86">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6AFABF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专病档案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3CB1D9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提供不同病种的专病档案的填写与维护，是提供服务内容的基础</w:t>
            </w:r>
          </w:p>
        </w:tc>
      </w:tr>
      <w:tr w14:paraId="53479D08">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5AEBFF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BE3EE04">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FE101D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干预方案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7192C7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查看患者的饮食，运动，监测等管理方案</w:t>
            </w:r>
          </w:p>
        </w:tc>
      </w:tr>
      <w:tr w14:paraId="68AC23B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6582175C">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DBF3793">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6E520C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干预追踪</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4B0BCF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提供干预过程中时间维度下的饮食、宣教、问卷、血糖等记录与数据展示</w:t>
            </w:r>
          </w:p>
        </w:tc>
      </w:tr>
      <w:tr w14:paraId="4B8C54F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0E2D869B">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4DE58DE3">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A5EE0C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管理记录</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47AFF9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个案管理师在服务过程中产生的管理记录的汇总，可以直观快速了解服务管理的情况</w:t>
            </w:r>
          </w:p>
        </w:tc>
      </w:tr>
      <w:tr w14:paraId="23F933D3">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52B14F45">
            <w:pPr>
              <w:widowControl/>
              <w:jc w:val="center"/>
              <w:rPr>
                <w:rFonts w:hint="eastAsia" w:ascii="宋体" w:hAnsi="宋体" w:eastAsia="宋体" w:cs="宋体"/>
                <w:color w:val="auto"/>
                <w:sz w:val="22"/>
                <w:szCs w:val="22"/>
                <w:highlight w:val="none"/>
              </w:rPr>
            </w:pPr>
          </w:p>
        </w:tc>
        <w:tc>
          <w:tcPr>
            <w:tcW w:w="63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D8DFFE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预约挂号</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3FD83B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预约挂号</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1ED309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与医院预约挂号平台接口对接；当患者有需求时，可以帮助患者进行预约挂号。</w:t>
            </w:r>
          </w:p>
        </w:tc>
      </w:tr>
      <w:tr w14:paraId="0CFBB0A9">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02D2B59">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AAD800C">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呼叫中心</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8BDC13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电话互动</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872B72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一键电话呼叫、来电受理、来电语音导航、三方通话、电话通话录音汇总等</w:t>
            </w:r>
          </w:p>
        </w:tc>
      </w:tr>
      <w:tr w14:paraId="43EBCC0A">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5C70C5AD">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3F226E4">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F38D6A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短信记录</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939D22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所有线上服务的短信记录汇总</w:t>
            </w:r>
          </w:p>
        </w:tc>
      </w:tr>
      <w:tr w14:paraId="614482A7">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30EB2DF">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6E8FBB3">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7906DD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预约挂号记录</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BFBE45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所有线上服务的预约挂号记录</w:t>
            </w:r>
          </w:p>
        </w:tc>
      </w:tr>
      <w:tr w14:paraId="42F17507">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05286D22">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BEE452E">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服务质量评价</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7BECD0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服务质量评价</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4B2DF7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抽查服务管理情况，并进行评分；对服务质量存在问题的地方可进行整改</w:t>
            </w:r>
          </w:p>
        </w:tc>
      </w:tr>
      <w:tr w14:paraId="002DC54E">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4DBD3347">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6962FE5">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438258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服务质量统计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3F7040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根据质量检查结果汇总评分结果，做到结果可量化，确保服务质量监控与提升；</w:t>
            </w:r>
          </w:p>
        </w:tc>
      </w:tr>
      <w:tr w14:paraId="48703083">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1C4C02F7">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5C4F46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常用模板库</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B3098F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短信模版</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544B6E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支持新增短信模版，模版列表查询，短信模版内容编辑</w:t>
            </w:r>
          </w:p>
        </w:tc>
      </w:tr>
      <w:tr w14:paraId="739FB5E9">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0310921F">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82720D0">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B94E3E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短信发送列表</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5960AA6">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支持短信待发送列表的查看，条件查询，发送条件的设置；</w:t>
            </w:r>
          </w:p>
        </w:tc>
      </w:tr>
      <w:tr w14:paraId="2CE2C16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41CA95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3C21163A">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6DDF72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短信记录列表</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6E593E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已发送短信记录列表查询，发送失败短信的重发；</w:t>
            </w:r>
          </w:p>
        </w:tc>
      </w:tr>
      <w:tr w14:paraId="3BF27E5D">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331F962C">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D6F48D5">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统计中心</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E58BAD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工作量统计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4CF7DE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所有线上个案管理师的工作量统计</w:t>
            </w:r>
          </w:p>
        </w:tc>
      </w:tr>
      <w:tr w14:paraId="74B6F4FB">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2C685E9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A3920CB">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648947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复诊情况分析</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EA51C6E">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可以查询不同医院的复诊情况，包括复诊采集率，复诊及时率等</w:t>
            </w:r>
          </w:p>
        </w:tc>
      </w:tr>
      <w:tr w14:paraId="0847E290">
        <w:tblPrEx>
          <w:tblCellMar>
            <w:top w:w="0" w:type="dxa"/>
            <w:left w:w="108" w:type="dxa"/>
            <w:bottom w:w="0" w:type="dxa"/>
            <w:right w:w="108" w:type="dxa"/>
          </w:tblCellMar>
        </w:tblPrEx>
        <w:trPr>
          <w:trHeight w:val="20" w:hRule="atLeast"/>
        </w:trPr>
        <w:tc>
          <w:tcPr>
            <w:tcW w:w="562" w:type="pct"/>
            <w:vMerge w:val="continue"/>
            <w:tcBorders>
              <w:left w:val="single" w:color="auto" w:sz="4" w:space="0"/>
              <w:right w:val="single" w:color="auto" w:sz="4" w:space="0"/>
            </w:tcBorders>
            <w:shd w:val="clear" w:color="FFFFFF" w:fill="auto"/>
            <w:vAlign w:val="center"/>
          </w:tcPr>
          <w:p w14:paraId="78FDFB7B">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11BD28D">
            <w:pPr>
              <w:widowControl/>
              <w:jc w:val="center"/>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F7C774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AI推送统计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D7FD5E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个案管理师推送AI场景的次数统计及满意度统计</w:t>
            </w:r>
          </w:p>
        </w:tc>
      </w:tr>
      <w:tr w14:paraId="24CCFC33">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1281BBD9">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right w:val="single" w:color="auto" w:sz="4" w:space="0"/>
            </w:tcBorders>
            <w:shd w:val="clear" w:color="FFFFFF" w:fill="auto"/>
            <w:vAlign w:val="center"/>
          </w:tcPr>
          <w:p w14:paraId="32C539A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系统管理</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86AEC4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权限管理</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F9DE44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机构管理：</w:t>
            </w:r>
          </w:p>
          <w:p w14:paraId="04876B9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1、医院组织信息如科室设置、科室编码、职称编码、排班信息、医院组织机构代码、机构索引等</w:t>
            </w:r>
          </w:p>
          <w:p w14:paraId="0A69866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2、支持多中心的组织架构</w:t>
            </w:r>
          </w:p>
          <w:p w14:paraId="36CC0C5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3、用户管理：统一用户认证、单点登录、权限控制、数字证书签名</w:t>
            </w:r>
          </w:p>
          <w:p w14:paraId="0AD83A4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4、角色管理（医院领导、临床医生、患者、健康管理师、个案管理师、服务质量监督员）</w:t>
            </w:r>
          </w:p>
        </w:tc>
      </w:tr>
      <w:tr w14:paraId="699D095E">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3B013D5B">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vAlign w:val="center"/>
          </w:tcPr>
          <w:p w14:paraId="5E9EA2CA">
            <w:pPr>
              <w:widowControl/>
              <w:jc w:val="center"/>
              <w:rPr>
                <w:rFonts w:hint="eastAsia" w:ascii="宋体" w:hAnsi="宋体" w:eastAsia="宋体" w:cs="宋体"/>
                <w:color w:val="auto"/>
                <w:sz w:val="22"/>
                <w:szCs w:val="22"/>
                <w:highlight w:val="none"/>
              </w:rPr>
            </w:pPr>
          </w:p>
        </w:tc>
        <w:tc>
          <w:tcPr>
            <w:tcW w:w="796"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14:paraId="1B64194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知识库管理</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6651F3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基础食物库：食材库、食物库、食物营养成分库、食物与禁忌症库、食物常见问题库</w:t>
            </w:r>
          </w:p>
        </w:tc>
      </w:tr>
      <w:tr w14:paraId="44DC8454">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7C5E5D81">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vAlign w:val="center"/>
          </w:tcPr>
          <w:p w14:paraId="5D592996">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15EE7208">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BFC77F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基础药品知识库（药品字典编码库、药品推荐用法库、药品适应症库、药品禁忌症库、药品互斥库、药品常见问题库）</w:t>
            </w:r>
          </w:p>
        </w:tc>
      </w:tr>
      <w:tr w14:paraId="1C960E05">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0DFD3429">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vAlign w:val="center"/>
          </w:tcPr>
          <w:p w14:paraId="7E67687D">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046BDC27">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B1872F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基础宣教库</w:t>
            </w:r>
          </w:p>
        </w:tc>
      </w:tr>
      <w:tr w14:paraId="58DE7BEE">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3C2BAC94">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vAlign w:val="center"/>
          </w:tcPr>
          <w:p w14:paraId="2AEEEA53">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42697F13">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4D4675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疾病基础知识库</w:t>
            </w:r>
          </w:p>
        </w:tc>
      </w:tr>
      <w:tr w14:paraId="39631664">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2B27967C">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vAlign w:val="center"/>
          </w:tcPr>
          <w:p w14:paraId="0B28EB1B">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14:paraId="06ACA78B">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FEF311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急救指导知识库</w:t>
            </w:r>
          </w:p>
        </w:tc>
      </w:tr>
      <w:tr w14:paraId="6EF197C8">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4B6BB5D6">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vAlign w:val="center"/>
          </w:tcPr>
          <w:p w14:paraId="2EC4EE43">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D1E6FD3">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F4929C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手术操作分类代码库</w:t>
            </w:r>
          </w:p>
        </w:tc>
      </w:tr>
      <w:tr w14:paraId="0EED5E65">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2C325717">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vAlign w:val="center"/>
          </w:tcPr>
          <w:p w14:paraId="7E05B4F2">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C6AB72C">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54E574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疾病分类与代码库</w:t>
            </w:r>
          </w:p>
        </w:tc>
      </w:tr>
      <w:tr w14:paraId="2F299DA6">
        <w:tblPrEx>
          <w:tblCellMar>
            <w:top w:w="0" w:type="dxa"/>
            <w:left w:w="108" w:type="dxa"/>
            <w:bottom w:w="0" w:type="dxa"/>
            <w:right w:w="108" w:type="dxa"/>
          </w:tblCellMar>
        </w:tblPrEx>
        <w:trPr>
          <w:trHeight w:val="20" w:hRule="atLeast"/>
        </w:trPr>
        <w:tc>
          <w:tcPr>
            <w:tcW w:w="562" w:type="pct"/>
            <w:vMerge w:val="continue"/>
            <w:tcBorders>
              <w:left w:val="single" w:color="auto" w:sz="4" w:space="0"/>
              <w:bottom w:val="single" w:color="auto" w:sz="4" w:space="0"/>
              <w:right w:val="single" w:color="auto" w:sz="4" w:space="0"/>
            </w:tcBorders>
            <w:shd w:val="clear" w:color="FFFFFF" w:fill="auto"/>
            <w:vAlign w:val="center"/>
          </w:tcPr>
          <w:p w14:paraId="38B4393B">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vAlign w:val="center"/>
          </w:tcPr>
          <w:p w14:paraId="3AC51841">
            <w:pPr>
              <w:widowControl/>
              <w:jc w:val="center"/>
              <w:rPr>
                <w:rFonts w:hint="eastAsia" w:ascii="宋体" w:hAnsi="宋体" w:eastAsia="宋体" w:cs="宋体"/>
                <w:color w:val="auto"/>
                <w:sz w:val="22"/>
                <w:szCs w:val="22"/>
                <w:highlight w:val="none"/>
              </w:rPr>
            </w:pPr>
          </w:p>
        </w:tc>
        <w:tc>
          <w:tcPr>
            <w:tcW w:w="796"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6A3625C">
            <w:pPr>
              <w:widowControl/>
              <w:jc w:val="left"/>
              <w:rPr>
                <w:rFonts w:hint="eastAsia" w:ascii="宋体" w:hAnsi="宋体" w:eastAsia="宋体" w:cs="宋体"/>
                <w:color w:val="auto"/>
                <w:kern w:val="0"/>
                <w:sz w:val="22"/>
                <w:szCs w:val="22"/>
                <w:highlight w:val="none"/>
              </w:rPr>
            </w:pP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90560A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疾病管理路径库</w:t>
            </w:r>
          </w:p>
        </w:tc>
      </w:tr>
      <w:tr w14:paraId="58D8F901">
        <w:tblPrEx>
          <w:tblCellMar>
            <w:top w:w="0" w:type="dxa"/>
            <w:left w:w="108" w:type="dxa"/>
            <w:bottom w:w="0" w:type="dxa"/>
            <w:right w:w="108" w:type="dxa"/>
          </w:tblCellMar>
        </w:tblPrEx>
        <w:trPr>
          <w:trHeight w:val="20" w:hRule="atLeast"/>
        </w:trPr>
        <w:tc>
          <w:tcPr>
            <w:tcW w:w="562"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0BB1C5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4.院内医护端</w:t>
            </w:r>
          </w:p>
        </w:tc>
        <w:tc>
          <w:tcPr>
            <w:tcW w:w="63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2EA59C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工作台</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19C80E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跟踪待办</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891E48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所关联的任务管理的待办</w:t>
            </w:r>
          </w:p>
        </w:tc>
      </w:tr>
      <w:tr w14:paraId="66D03A99">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56168AB">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14:paraId="73C38D8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患者管理</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C8912F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患者管理</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F4933EF">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包含所属医院的所有患者分组和详情页面</w:t>
            </w:r>
          </w:p>
        </w:tc>
      </w:tr>
      <w:tr w14:paraId="18D58F9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DDD92AC">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D9424F8">
            <w:pPr>
              <w:widowControl/>
              <w:jc w:val="left"/>
              <w:rPr>
                <w:rFonts w:hint="eastAsia" w:ascii="宋体" w:hAnsi="宋体" w:eastAsia="宋体" w:cs="宋体"/>
                <w:color w:val="auto"/>
                <w:kern w:val="0"/>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6F0024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服务管理记录</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A59668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所有个案管理师产生的管理记录汇总，便于医生查询抽查使用</w:t>
            </w:r>
          </w:p>
        </w:tc>
      </w:tr>
      <w:tr w14:paraId="61325B5C">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579B9D5">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AE3D9E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服务统计</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58BA92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质控点评</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03FA65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对患者进行抽样后质检服务管理情况汇总</w:t>
            </w:r>
          </w:p>
        </w:tc>
      </w:tr>
      <w:tr w14:paraId="23A3505A">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377A185">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747DEB9">
            <w:pPr>
              <w:widowControl/>
              <w:jc w:val="left"/>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3D9EF5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服务评价统计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CE3ECA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对患者服务质量抽检的结果统计</w:t>
            </w:r>
          </w:p>
        </w:tc>
      </w:tr>
      <w:tr w14:paraId="6CFF71F1">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4BC15F66">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5BCE75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工单管理</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647BE7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投诉表扬</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8DD7DB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在服务管理过程中发现的投诉表扬事件需要逐级上报处理</w:t>
            </w:r>
          </w:p>
        </w:tc>
      </w:tr>
      <w:tr w14:paraId="153EE2D3">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A1912F3">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2E03AD8">
            <w:pPr>
              <w:widowControl/>
              <w:jc w:val="left"/>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DB4F32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异常上报</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BFBFDE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在服务管理过程中发现的异常事件需要逐级上报处理</w:t>
            </w:r>
          </w:p>
        </w:tc>
      </w:tr>
      <w:tr w14:paraId="4A0F477D">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28CAE34A">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14:paraId="0085D081">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服务质量检查</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8C69DF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服务抽样评价</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37BEAF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对患者进行抽样后质检服务管理情况</w:t>
            </w:r>
          </w:p>
        </w:tc>
      </w:tr>
      <w:tr w14:paraId="380DAE3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503D174D">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right w:val="single" w:color="auto" w:sz="4" w:space="0"/>
            </w:tcBorders>
            <w:shd w:val="clear" w:color="FFFFFF" w:fill="auto"/>
            <w:vAlign w:val="center"/>
          </w:tcPr>
          <w:p w14:paraId="5F7790EC">
            <w:pPr>
              <w:widowControl/>
              <w:jc w:val="left"/>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9857C8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服务评价统计</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7EEBFC6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对患者服务质量抽检的结果统计</w:t>
            </w:r>
          </w:p>
        </w:tc>
      </w:tr>
      <w:tr w14:paraId="6807CA2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42DDCF1">
            <w:pPr>
              <w:widowControl/>
              <w:jc w:val="center"/>
              <w:rPr>
                <w:rFonts w:hint="eastAsia" w:ascii="宋体" w:hAnsi="宋体" w:eastAsia="宋体" w:cs="宋体"/>
                <w:color w:val="auto"/>
                <w:sz w:val="22"/>
                <w:szCs w:val="22"/>
                <w:highlight w:val="none"/>
              </w:rPr>
            </w:pPr>
          </w:p>
        </w:tc>
        <w:tc>
          <w:tcPr>
            <w:tcW w:w="636"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E93BF8C">
            <w:pPr>
              <w:widowControl/>
              <w:jc w:val="left"/>
              <w:rPr>
                <w:rFonts w:hint="eastAsia" w:ascii="宋体" w:hAnsi="宋体" w:eastAsia="宋体" w:cs="宋体"/>
                <w:color w:val="auto"/>
                <w:kern w:val="0"/>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47BDCA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服务整改</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98C7EA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服务质量监管人员抽查服务质量产生的相关任务，包括各类任务状态汇总、督办等</w:t>
            </w:r>
          </w:p>
        </w:tc>
      </w:tr>
      <w:tr w14:paraId="77EF1E8E">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35F8BD0">
            <w:pPr>
              <w:widowControl/>
              <w:jc w:val="center"/>
              <w:rPr>
                <w:rFonts w:hint="eastAsia" w:ascii="宋体" w:hAnsi="宋体" w:eastAsia="宋体" w:cs="宋体"/>
                <w:color w:val="auto"/>
                <w:sz w:val="22"/>
                <w:szCs w:val="22"/>
                <w:highlight w:val="none"/>
              </w:rPr>
            </w:pPr>
          </w:p>
        </w:tc>
        <w:tc>
          <w:tcPr>
            <w:tcW w:w="636"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40981EC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统计</w:t>
            </w: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D0AAB8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开单数据汇总</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07AFDB0">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所有医院的开单数据汇总</w:t>
            </w:r>
          </w:p>
        </w:tc>
      </w:tr>
      <w:tr w14:paraId="6F179ACE">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7FB86C2E">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45603E1">
            <w:pPr>
              <w:widowControl/>
              <w:jc w:val="left"/>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003310D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拓单转化分析</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5695D77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不同医院科室的转化率分析</w:t>
            </w:r>
          </w:p>
        </w:tc>
      </w:tr>
      <w:tr w14:paraId="792A3E7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04004B58">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14:paraId="173A6EBF">
            <w:pPr>
              <w:widowControl/>
              <w:jc w:val="left"/>
              <w:rPr>
                <w:rFonts w:hint="eastAsia" w:ascii="宋体" w:hAnsi="宋体" w:eastAsia="宋体" w:cs="宋体"/>
                <w:color w:val="auto"/>
                <w:sz w:val="22"/>
                <w:szCs w:val="22"/>
                <w:highlight w:val="none"/>
              </w:rPr>
            </w:pPr>
          </w:p>
        </w:tc>
        <w:tc>
          <w:tcPr>
            <w:tcW w:w="796"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4B855B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复诊情况分析</w:t>
            </w:r>
          </w:p>
        </w:tc>
        <w:tc>
          <w:tcPr>
            <w:tcW w:w="3005"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8AA56D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可以查询不同医院的复诊情况，包括复诊采集率，复诊及时率等</w:t>
            </w:r>
          </w:p>
        </w:tc>
      </w:tr>
      <w:tr w14:paraId="6327BE07">
        <w:tblPrEx>
          <w:tblCellMar>
            <w:top w:w="0" w:type="dxa"/>
            <w:left w:w="108" w:type="dxa"/>
            <w:bottom w:w="0" w:type="dxa"/>
            <w:right w:w="108" w:type="dxa"/>
          </w:tblCellMar>
        </w:tblPrEx>
        <w:trPr>
          <w:trHeight w:val="20" w:hRule="atLeast"/>
        </w:trPr>
        <w:tc>
          <w:tcPr>
            <w:tcW w:w="562" w:type="pct"/>
            <w:vMerge w:val="restar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0431039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5.患者端</w:t>
            </w:r>
          </w:p>
          <w:p w14:paraId="23CA5A0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（微信小程序端）</w:t>
            </w:r>
          </w:p>
        </w:tc>
        <w:tc>
          <w:tcPr>
            <w:tcW w:w="636" w:type="pct"/>
            <w:vMerge w:val="restar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0CF31C7B">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首页</w:t>
            </w:r>
          </w:p>
        </w:tc>
        <w:tc>
          <w:tcPr>
            <w:tcW w:w="796" w:type="pc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5B694AB">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绑定就诊人</w:t>
            </w:r>
          </w:p>
        </w:tc>
        <w:tc>
          <w:tcPr>
            <w:tcW w:w="3005" w:type="pc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51B1E0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支持绑定不同的就诊人，查看相应的管理内容</w:t>
            </w:r>
          </w:p>
        </w:tc>
      </w:tr>
      <w:tr w14:paraId="587F8F6B">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74E6AAE">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44EB8275">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A9D557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健康宣教</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2E85D91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根据服务路径，患者可在小程序内收到与疾病相关的宣教内容，后续可以持续跟进</w:t>
            </w:r>
          </w:p>
        </w:tc>
      </w:tr>
      <w:tr w14:paraId="5D92CF5D">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D783D4E">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6E4C82CF">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B453E2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随访表单</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46BD3D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针对疾病类型，在对应的时间周期内会向患者下发表单，患者可根据自己的实际情况进行答题，并反馈到个案管理师后台</w:t>
            </w:r>
          </w:p>
        </w:tc>
      </w:tr>
      <w:tr w14:paraId="58DA7D6B">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3E7EF890">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843A1E2">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010FADC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监测工具</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393D21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个案管理师可制定对应的监测方案给到患者，患者按需对健康指标进行记录，后台可看到相应的内容，并对异常进行处理</w:t>
            </w:r>
          </w:p>
        </w:tc>
      </w:tr>
      <w:tr w14:paraId="7B9A955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55013D64">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4886A043">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B477D91">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健康专题</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2863595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根据不同病种配置相应的专题内容，患者可按需查看</w:t>
            </w:r>
          </w:p>
        </w:tc>
      </w:tr>
      <w:tr w14:paraId="1675C90C">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86372BC">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39787658">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1B7929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复诊提醒</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393A06A2">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给患者设定的复诊时间在患者离院后，自动进行复诊提醒</w:t>
            </w:r>
          </w:p>
        </w:tc>
      </w:tr>
      <w:tr w14:paraId="26DDCADA">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3364BE6C">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4A6A1FDB">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14BFE97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健康课程</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36E48E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针对疾病类型提供对应健康课程，患者可根据对应需求进行课程查看</w:t>
            </w:r>
          </w:p>
        </w:tc>
      </w:tr>
      <w:tr w14:paraId="6F6B8C2C">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0BF9FF9A">
            <w:pPr>
              <w:widowControl/>
              <w:jc w:val="center"/>
              <w:rPr>
                <w:rFonts w:hint="eastAsia" w:ascii="宋体" w:hAnsi="宋体" w:eastAsia="宋体" w:cs="宋体"/>
                <w:color w:val="auto"/>
                <w:sz w:val="22"/>
                <w:szCs w:val="22"/>
                <w:highlight w:val="none"/>
              </w:rPr>
            </w:pPr>
          </w:p>
        </w:tc>
        <w:tc>
          <w:tcPr>
            <w:tcW w:w="636"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70BEADFC">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434B5C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历史数据</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BAC9E4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按时间轴查看整体管理过程中的历史数据</w:t>
            </w:r>
          </w:p>
        </w:tc>
      </w:tr>
      <w:tr w14:paraId="54195C4B">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014C545F">
            <w:pPr>
              <w:widowControl/>
              <w:jc w:val="center"/>
              <w:rPr>
                <w:rFonts w:hint="eastAsia" w:ascii="宋体" w:hAnsi="宋体" w:eastAsia="宋体" w:cs="宋体"/>
                <w:color w:val="auto"/>
                <w:sz w:val="22"/>
                <w:szCs w:val="22"/>
                <w:highlight w:val="none"/>
              </w:rPr>
            </w:pPr>
          </w:p>
        </w:tc>
        <w:tc>
          <w:tcPr>
            <w:tcW w:w="63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041914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健康锦囊</w:t>
            </w: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269BC47A">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健康锦囊</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34CEF0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根据疾病类型配置对应的健康锦囊库</w:t>
            </w:r>
          </w:p>
        </w:tc>
      </w:tr>
      <w:tr w14:paraId="14F4622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72391B9A">
            <w:pPr>
              <w:widowControl/>
              <w:jc w:val="center"/>
              <w:rPr>
                <w:rFonts w:hint="eastAsia" w:ascii="宋体" w:hAnsi="宋体" w:eastAsia="宋体" w:cs="宋体"/>
                <w:color w:val="auto"/>
                <w:sz w:val="22"/>
                <w:szCs w:val="22"/>
                <w:highlight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6DECE40C">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个人中心</w:t>
            </w: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3C436384">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基本档案</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6F4196A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患者可维护自己的基本信息档案，健康教练在管理过程中可进行查看</w:t>
            </w:r>
          </w:p>
        </w:tc>
      </w:tr>
      <w:tr w14:paraId="25DEFE98">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E1DB628">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722630F">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3E1EE31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个性化方案</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A5B83FD">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根据患者提交的信息生成对应的饮食、运动、监测等方案，用户可实时查看</w:t>
            </w:r>
          </w:p>
        </w:tc>
      </w:tr>
      <w:tr w14:paraId="33301BF3">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10EF3DA">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F6A8AA8">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DACA9B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我的收藏</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14B58E4">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历史宣教内容患者可按需收藏，实时查看</w:t>
            </w:r>
          </w:p>
        </w:tc>
      </w:tr>
      <w:tr w14:paraId="6BFFB397">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4001B28A">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FE31EEE">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D62CA5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健康反馈</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D10C77A">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患者可通过文字、图片的形式向健管师提交反馈</w:t>
            </w:r>
          </w:p>
        </w:tc>
      </w:tr>
      <w:tr w14:paraId="579AFF01">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4ED0BB4">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5B02734">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13D4C5D7">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就诊人管理</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115A654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患者可手动添加对应的亲属信息，查看相应的管理记录</w:t>
            </w:r>
          </w:p>
        </w:tc>
      </w:tr>
      <w:tr w14:paraId="4628D333">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11CB6940">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694D4D82">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D6A253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我的服务</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30F55C6C">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患者可查看曾经接收过的服务内容</w:t>
            </w:r>
          </w:p>
        </w:tc>
      </w:tr>
      <w:tr w14:paraId="44A7A667">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75A7D3AA">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D589D85">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4A249E2">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专项评估</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36FF4EA7">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根据不同的病种和患者信息发送个性化的评估方案，并制定相应的管理方案</w:t>
            </w:r>
          </w:p>
        </w:tc>
      </w:tr>
      <w:tr w14:paraId="62D6D53B">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AC5ECE9">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567239B">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E396980">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阶段性报告</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5C06FD8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管理过程中生成的周报、月报，及管理结束后生成结案小结</w:t>
            </w:r>
          </w:p>
        </w:tc>
      </w:tr>
      <w:tr w14:paraId="43F7A113">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2769F49B">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B5C424D">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2E0898A5">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用药提醒</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477ED45">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患者可自主设置相关的用药提醒，在对应的时间时，通过微信公众号模板消息发送给患者提醒用药</w:t>
            </w:r>
          </w:p>
        </w:tc>
      </w:tr>
      <w:tr w14:paraId="5772D9C5">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14:paraId="7CCACB48">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551C5B10">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08F8A9D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电话咨询</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4EA6B7D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患者可以直接电话给个案管理师，进行相应的咨询</w:t>
            </w:r>
          </w:p>
        </w:tc>
      </w:tr>
      <w:tr w14:paraId="715DBD5F">
        <w:tblPrEx>
          <w:tblCellMar>
            <w:top w:w="0" w:type="dxa"/>
            <w:left w:w="108" w:type="dxa"/>
            <w:bottom w:w="0" w:type="dxa"/>
            <w:right w:w="108" w:type="dxa"/>
          </w:tblCellMar>
        </w:tblPrEx>
        <w:trPr>
          <w:trHeight w:val="20" w:hRule="atLeast"/>
        </w:trPr>
        <w:tc>
          <w:tcPr>
            <w:tcW w:w="562" w:type="pct"/>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14:paraId="52BE98CA">
            <w:pPr>
              <w:widowControl/>
              <w:jc w:val="center"/>
              <w:rPr>
                <w:rFonts w:hint="eastAsia" w:ascii="宋体" w:hAnsi="宋体" w:eastAsia="宋体" w:cs="宋体"/>
                <w:color w:val="auto"/>
                <w:sz w:val="22"/>
                <w:szCs w:val="22"/>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54D36C45">
            <w:pPr>
              <w:widowControl/>
              <w:jc w:val="center"/>
              <w:rPr>
                <w:rFonts w:hint="eastAsia" w:ascii="宋体" w:hAnsi="宋体" w:eastAsia="宋体" w:cs="宋体"/>
                <w:color w:val="auto"/>
                <w:sz w:val="22"/>
                <w:szCs w:val="22"/>
                <w:highlight w:val="none"/>
              </w:rPr>
            </w:pPr>
          </w:p>
        </w:tc>
        <w:tc>
          <w:tcPr>
            <w:tcW w:w="796"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7A5AF1A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在线图文咨询</w:t>
            </w:r>
          </w:p>
        </w:tc>
        <w:tc>
          <w:tcPr>
            <w:tcW w:w="3005"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14:paraId="68775A29">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支持通过图片+文字的形式在线咨询问题</w:t>
            </w:r>
          </w:p>
        </w:tc>
      </w:tr>
    </w:tbl>
    <w:p w14:paraId="758E5E2A">
      <w:pPr>
        <w:keepNext w:val="0"/>
        <w:keepLines w:val="0"/>
        <w:pageBreakBefore w:val="0"/>
        <w:widowControl w:val="0"/>
        <w:kinsoku/>
        <w:wordWrap/>
        <w:overflowPunct/>
        <w:topLinePunct w:val="0"/>
        <w:autoSpaceDE/>
        <w:autoSpaceDN/>
        <w:bidi w:val="0"/>
        <w:adjustRightInd/>
        <w:snapToGrid w:val="0"/>
        <w:spacing w:line="460" w:lineRule="exact"/>
        <w:ind w:firstLine="539" w:firstLineChars="245"/>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服务供应商</w:t>
      </w:r>
      <w:r>
        <w:rPr>
          <w:rFonts w:hint="eastAsia" w:ascii="宋体" w:hAnsi="宋体" w:eastAsia="宋体" w:cs="宋体"/>
          <w:color w:val="auto"/>
          <w:kern w:val="0"/>
          <w:sz w:val="22"/>
          <w:szCs w:val="22"/>
          <w:highlight w:val="none"/>
          <w:lang w:val="en-US" w:eastAsia="zh-CN"/>
        </w:rPr>
        <w:t>合同签订前，须现场演示</w:t>
      </w:r>
      <w:r>
        <w:rPr>
          <w:rFonts w:hint="eastAsia" w:ascii="宋体" w:hAnsi="宋体" w:cs="宋体"/>
          <w:color w:val="auto"/>
          <w:kern w:val="0"/>
          <w:sz w:val="22"/>
          <w:szCs w:val="22"/>
          <w:highlight w:val="none"/>
          <w:lang w:val="en-US" w:eastAsia="zh-CN"/>
        </w:rPr>
        <w:t>以上</w:t>
      </w:r>
      <w:r>
        <w:rPr>
          <w:rFonts w:hint="eastAsia" w:ascii="宋体" w:hAnsi="宋体" w:eastAsia="宋体" w:cs="宋体"/>
          <w:color w:val="auto"/>
          <w:kern w:val="0"/>
          <w:sz w:val="22"/>
          <w:szCs w:val="22"/>
          <w:highlight w:val="none"/>
          <w:lang w:val="en-US" w:eastAsia="zh-CN"/>
        </w:rPr>
        <w:t>支撑工具</w:t>
      </w:r>
      <w:r>
        <w:rPr>
          <w:rFonts w:hint="eastAsia" w:ascii="宋体" w:hAnsi="宋体" w:cs="宋体"/>
          <w:color w:val="auto"/>
          <w:kern w:val="0"/>
          <w:sz w:val="22"/>
          <w:szCs w:val="22"/>
          <w:highlight w:val="none"/>
          <w:lang w:val="en-US" w:eastAsia="zh-CN"/>
        </w:rPr>
        <w:t>功能</w:t>
      </w:r>
      <w:r>
        <w:rPr>
          <w:rFonts w:hint="eastAsia" w:ascii="宋体" w:hAnsi="宋体" w:eastAsia="宋体" w:cs="宋体"/>
          <w:color w:val="auto"/>
          <w:kern w:val="0"/>
          <w:sz w:val="22"/>
          <w:szCs w:val="22"/>
          <w:highlight w:val="none"/>
          <w:lang w:val="en-US" w:eastAsia="zh-CN"/>
        </w:rPr>
        <w:t>，若和招标响应内容不一致，将被认为虚假应标，</w:t>
      </w:r>
      <w:r>
        <w:rPr>
          <w:rFonts w:hint="eastAsia" w:ascii="宋体" w:hAnsi="宋体" w:eastAsia="宋体" w:cs="宋体"/>
          <w:color w:val="auto"/>
          <w:kern w:val="2"/>
          <w:sz w:val="22"/>
          <w:szCs w:val="22"/>
          <w:highlight w:val="none"/>
          <w:lang w:val="en-US" w:eastAsia="zh-CN" w:bidi="ar-SA"/>
        </w:rPr>
        <w:t>将被认为虚假应标，并将相关情况上报至</w:t>
      </w:r>
      <w:r>
        <w:rPr>
          <w:rFonts w:hint="eastAsia"/>
          <w:color w:val="auto"/>
          <w:sz w:val="22"/>
          <w:szCs w:val="22"/>
          <w:highlight w:val="none"/>
        </w:rPr>
        <w:t>同级政府采购监督管理部门</w:t>
      </w:r>
      <w:r>
        <w:rPr>
          <w:rFonts w:hint="eastAsia" w:ascii="宋体" w:hAnsi="宋体" w:eastAsia="宋体" w:cs="宋体"/>
          <w:color w:val="auto"/>
          <w:kern w:val="0"/>
          <w:sz w:val="22"/>
          <w:szCs w:val="22"/>
          <w:highlight w:val="none"/>
          <w:lang w:val="en-US" w:eastAsia="zh-CN"/>
        </w:rPr>
        <w:t>。</w:t>
      </w:r>
    </w:p>
    <w:p w14:paraId="45A0F401">
      <w:pPr>
        <w:pStyle w:val="348"/>
        <w:keepNext w:val="0"/>
        <w:keepLines w:val="0"/>
        <w:pageBreakBefore w:val="0"/>
        <w:widowControl w:val="0"/>
        <w:kinsoku/>
        <w:wordWrap/>
        <w:overflowPunct/>
        <w:topLinePunct w:val="0"/>
        <w:autoSpaceDE/>
        <w:autoSpaceDN/>
        <w:bidi w:val="0"/>
        <w:adjustRightInd/>
        <w:spacing w:beforeLines="0" w:afterLines="0"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十、报价要求</w:t>
      </w:r>
    </w:p>
    <w:p w14:paraId="0FF256EE">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1.单项报价包含各服务套餐有关的所有费用，包含但不限于人员的工资、社保、奖金、福利、服务工具安装调试费、人工差旅费、培训费、税费等；</w:t>
      </w:r>
    </w:p>
    <w:p w14:paraId="66922378">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2.各服务套餐包的单项报价不得超过以下单项最高限价，否则作无效投标处理。</w:t>
      </w:r>
    </w:p>
    <w:p w14:paraId="57A49FF8">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3.合同服务期内，累计结算总金额不超预算金额的按实际金额支付，累计结算金额超过预算金额的，超过部分双方另行协商。</w:t>
      </w:r>
    </w:p>
    <w:p w14:paraId="58C78BC1">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结算总金额=∑（各项套餐包实际数量*各项单项报价）</w:t>
      </w:r>
    </w:p>
    <w:p w14:paraId="768855A0">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4.本项目统一填报综合单价，综合单价=∑（各项单项报价*各单价权重）。各套餐包单价最高限价及单价权重见下表。最终结果四舍五入保留小数点后两位。</w:t>
      </w:r>
      <w:r>
        <w:rPr>
          <w:rFonts w:hint="eastAsia" w:ascii="宋体" w:hAnsi="宋体" w:eastAsia="宋体" w:cs="宋体"/>
          <w:b/>
          <w:bCs w:val="0"/>
          <w:color w:val="auto"/>
          <w:kern w:val="2"/>
          <w:sz w:val="22"/>
          <w:szCs w:val="22"/>
          <w:highlight w:val="none"/>
          <w:lang w:val="en-US" w:eastAsia="zh-CN" w:bidi="ar-SA"/>
        </w:rPr>
        <w:t>报价分为</w:t>
      </w:r>
      <w:r>
        <w:rPr>
          <w:rFonts w:hint="eastAsia" w:ascii="宋体" w:hAnsi="宋体" w:cs="宋体"/>
          <w:b/>
          <w:bCs w:val="0"/>
          <w:color w:val="auto"/>
          <w:kern w:val="2"/>
          <w:sz w:val="22"/>
          <w:szCs w:val="22"/>
          <w:highlight w:val="none"/>
          <w:lang w:val="en-US" w:eastAsia="zh-CN" w:bidi="ar-SA"/>
        </w:rPr>
        <w:t>服务供应商</w:t>
      </w:r>
      <w:r>
        <w:rPr>
          <w:rFonts w:hint="eastAsia" w:ascii="宋体" w:hAnsi="宋体" w:eastAsia="宋体" w:cs="宋体"/>
          <w:b/>
          <w:bCs w:val="0"/>
          <w:color w:val="auto"/>
          <w:kern w:val="2"/>
          <w:sz w:val="22"/>
          <w:szCs w:val="22"/>
          <w:highlight w:val="none"/>
          <w:lang w:val="en-US" w:eastAsia="zh-CN" w:bidi="ar-SA"/>
        </w:rPr>
        <w:t>收案及履约、医院收案及履约两部分。</w:t>
      </w:r>
    </w:p>
    <w:p w14:paraId="72B9B653">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服务供应商</w:t>
      </w:r>
      <w:r>
        <w:rPr>
          <w:rFonts w:hint="eastAsia" w:ascii="宋体" w:hAnsi="宋体" w:eastAsia="宋体" w:cs="宋体"/>
          <w:color w:val="auto"/>
          <w:kern w:val="0"/>
          <w:sz w:val="22"/>
          <w:szCs w:val="22"/>
          <w:highlight w:val="none"/>
          <w:lang w:val="en-US" w:eastAsia="zh-CN"/>
        </w:rPr>
        <w:t>收案</w:t>
      </w:r>
      <w:r>
        <w:rPr>
          <w:rFonts w:hint="eastAsia" w:ascii="宋体" w:hAnsi="宋体" w:cs="宋体"/>
          <w:color w:val="auto"/>
          <w:kern w:val="0"/>
          <w:sz w:val="22"/>
          <w:szCs w:val="22"/>
          <w:highlight w:val="none"/>
          <w:lang w:val="en-US" w:eastAsia="zh-CN"/>
        </w:rPr>
        <w:t>及</w:t>
      </w:r>
      <w:r>
        <w:rPr>
          <w:rFonts w:hint="eastAsia" w:ascii="宋体" w:hAnsi="宋体" w:eastAsia="宋体" w:cs="宋体"/>
          <w:color w:val="auto"/>
          <w:kern w:val="0"/>
          <w:sz w:val="22"/>
          <w:szCs w:val="22"/>
          <w:highlight w:val="none"/>
          <w:lang w:val="en-US" w:eastAsia="zh-CN"/>
        </w:rPr>
        <w:t>履约</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3994"/>
        <w:gridCol w:w="1516"/>
        <w:gridCol w:w="1899"/>
        <w:gridCol w:w="1562"/>
      </w:tblGrid>
      <w:tr w14:paraId="31A1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15DC7DB4">
            <w:pPr>
              <w:pStyle w:val="331"/>
              <w:ind w:firstLine="0" w:firstLineChars="0"/>
              <w:jc w:val="center"/>
              <w:rPr>
                <w:rFonts w:hint="eastAsia" w:ascii="宋体" w:hAnsi="宋体"/>
                <w:color w:val="auto"/>
                <w:sz w:val="21"/>
                <w:szCs w:val="21"/>
                <w:highlight w:val="none"/>
              </w:rPr>
            </w:pPr>
            <w:r>
              <w:rPr>
                <w:rFonts w:hint="eastAsia" w:ascii="宋体" w:hAnsi="宋体" w:cs="宋体"/>
                <w:color w:val="auto"/>
                <w:kern w:val="0"/>
                <w:sz w:val="21"/>
                <w:szCs w:val="21"/>
                <w:highlight w:val="none"/>
              </w:rPr>
              <w:t>序号</w:t>
            </w:r>
          </w:p>
        </w:tc>
        <w:tc>
          <w:tcPr>
            <w:tcW w:w="2026" w:type="pct"/>
            <w:shd w:val="clear" w:color="auto" w:fill="auto"/>
            <w:vAlign w:val="center"/>
          </w:tcPr>
          <w:p w14:paraId="35C52E8B">
            <w:pPr>
              <w:jc w:val="center"/>
              <w:rPr>
                <w:rFonts w:hint="eastAsia" w:ascii="宋体" w:hAnsi="宋体" w:cs="宋体"/>
                <w:color w:val="auto"/>
                <w:kern w:val="0"/>
                <w:szCs w:val="21"/>
                <w:highlight w:val="none"/>
              </w:rPr>
            </w:pPr>
            <w:r>
              <w:rPr>
                <w:rFonts w:ascii="宋体" w:hAnsi="宋体"/>
                <w:color w:val="auto"/>
                <w:szCs w:val="21"/>
                <w:highlight w:val="none"/>
              </w:rPr>
              <w:t>服务项目名称</w:t>
            </w:r>
          </w:p>
        </w:tc>
        <w:tc>
          <w:tcPr>
            <w:tcW w:w="769" w:type="pct"/>
            <w:shd w:val="clear" w:color="auto" w:fill="auto"/>
            <w:noWrap/>
            <w:vAlign w:val="center"/>
          </w:tcPr>
          <w:p w14:paraId="5C8166FC">
            <w:pPr>
              <w:jc w:val="center"/>
              <w:rPr>
                <w:rFonts w:hint="eastAsia" w:ascii="宋体" w:hAnsi="宋体" w:cs="宋体"/>
                <w:color w:val="auto"/>
                <w:kern w:val="0"/>
                <w:szCs w:val="21"/>
                <w:highlight w:val="none"/>
              </w:rPr>
            </w:pPr>
            <w:r>
              <w:rPr>
                <w:rFonts w:ascii="宋体" w:hAnsi="宋体" w:cs="宋体"/>
                <w:color w:val="auto"/>
                <w:kern w:val="0"/>
                <w:szCs w:val="21"/>
                <w:highlight w:val="none"/>
              </w:rPr>
              <w:t>单位</w:t>
            </w:r>
          </w:p>
          <w:p w14:paraId="5D3B284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(疗程）</w:t>
            </w:r>
          </w:p>
        </w:tc>
        <w:tc>
          <w:tcPr>
            <w:tcW w:w="963" w:type="pct"/>
            <w:shd w:val="clear" w:color="auto" w:fill="auto"/>
            <w:noWrap/>
            <w:vAlign w:val="center"/>
          </w:tcPr>
          <w:p w14:paraId="4185E512">
            <w:pPr>
              <w:jc w:val="center"/>
              <w:rPr>
                <w:rFonts w:hint="eastAsia" w:ascii="宋体" w:hAnsi="宋体"/>
                <w:color w:val="auto"/>
                <w:szCs w:val="21"/>
                <w:highlight w:val="none"/>
              </w:rPr>
            </w:pPr>
            <w:r>
              <w:rPr>
                <w:rFonts w:hint="eastAsia" w:ascii="宋体" w:hAnsi="宋体"/>
                <w:color w:val="auto"/>
                <w:szCs w:val="21"/>
                <w:highlight w:val="none"/>
              </w:rPr>
              <w:t>单价最高限价</w:t>
            </w:r>
          </w:p>
          <w:p w14:paraId="48B1A7E0">
            <w:pPr>
              <w:jc w:val="center"/>
              <w:rPr>
                <w:rFonts w:hint="eastAsia" w:ascii="宋体" w:hAnsi="宋体" w:cs="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元/疗程</w:t>
            </w:r>
            <w:r>
              <w:rPr>
                <w:rFonts w:ascii="宋体" w:hAnsi="宋体"/>
                <w:color w:val="auto"/>
                <w:szCs w:val="21"/>
                <w:highlight w:val="none"/>
              </w:rPr>
              <w:t>）</w:t>
            </w:r>
          </w:p>
        </w:tc>
        <w:tc>
          <w:tcPr>
            <w:tcW w:w="792" w:type="pct"/>
            <w:shd w:val="clear" w:color="auto" w:fill="auto"/>
            <w:vAlign w:val="center"/>
          </w:tcPr>
          <w:p w14:paraId="6282090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单价权重</w:t>
            </w:r>
          </w:p>
        </w:tc>
      </w:tr>
      <w:tr w14:paraId="4604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156C2A72">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7948">
            <w:pPr>
              <w:jc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专病</w:t>
            </w:r>
            <w:r>
              <w:rPr>
                <w:rFonts w:hint="eastAsia" w:ascii="宋体" w:hAnsi="宋体" w:cs="宋体"/>
                <w:i w:val="0"/>
                <w:iCs w:val="0"/>
                <w:color w:val="auto"/>
                <w:kern w:val="0"/>
                <w:sz w:val="21"/>
                <w:szCs w:val="21"/>
                <w:highlight w:val="none"/>
                <w:u w:val="none"/>
                <w:lang w:val="en-US" w:eastAsia="zh-CN" w:bidi="ar"/>
              </w:rPr>
              <w:t>短期</w:t>
            </w:r>
            <w:r>
              <w:rPr>
                <w:rFonts w:hint="eastAsia" w:ascii="宋体" w:hAnsi="宋体" w:eastAsia="宋体" w:cs="宋体"/>
                <w:i w:val="0"/>
                <w:iCs w:val="0"/>
                <w:color w:val="auto"/>
                <w:kern w:val="0"/>
                <w:sz w:val="21"/>
                <w:szCs w:val="21"/>
                <w:highlight w:val="none"/>
                <w:u w:val="none"/>
                <w:lang w:val="en-US" w:eastAsia="zh-CN" w:bidi="ar"/>
              </w:rPr>
              <w:t>管理</w:t>
            </w:r>
          </w:p>
        </w:tc>
        <w:tc>
          <w:tcPr>
            <w:tcW w:w="769" w:type="pct"/>
            <w:shd w:val="clear" w:color="auto" w:fill="auto"/>
            <w:noWrap/>
            <w:vAlign w:val="center"/>
          </w:tcPr>
          <w:p w14:paraId="01478B98">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D55F">
            <w:pPr>
              <w:widowControl/>
              <w:spacing w:line="360" w:lineRule="exact"/>
              <w:jc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17.4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E454">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r>
      <w:tr w14:paraId="66A2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24591800">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EEFF">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短期精细化管理</w:t>
            </w:r>
          </w:p>
        </w:tc>
        <w:tc>
          <w:tcPr>
            <w:tcW w:w="769" w:type="pct"/>
            <w:shd w:val="clear" w:color="auto" w:fill="auto"/>
            <w:noWrap/>
            <w:vAlign w:val="center"/>
          </w:tcPr>
          <w:p w14:paraId="5F4481A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EA64">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29.4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DF7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42B1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67B8CF4B">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A7C0">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专病短期精细化管理(家庭医护保健服务)</w:t>
            </w:r>
          </w:p>
        </w:tc>
        <w:tc>
          <w:tcPr>
            <w:tcW w:w="769" w:type="pct"/>
            <w:shd w:val="clear" w:color="auto" w:fill="auto"/>
            <w:noWrap/>
          </w:tcPr>
          <w:p w14:paraId="4051B19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02BE">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59.4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E36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15%</w:t>
            </w:r>
          </w:p>
        </w:tc>
      </w:tr>
      <w:tr w14:paraId="66B1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CA5CBEF">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B80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专病精细化标准管理(家庭医护保健服务)</w:t>
            </w:r>
          </w:p>
        </w:tc>
        <w:tc>
          <w:tcPr>
            <w:tcW w:w="769" w:type="pct"/>
            <w:shd w:val="clear" w:color="auto" w:fill="auto"/>
            <w:noWrap/>
          </w:tcPr>
          <w:p w14:paraId="19DB7F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A258">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177</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C46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bidi="ar"/>
              </w:rPr>
              <w:t>%</w:t>
            </w:r>
          </w:p>
        </w:tc>
      </w:tr>
      <w:tr w14:paraId="376D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4F382F23">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12F2">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专病精细化强化管理(家庭医护保健服务)</w:t>
            </w:r>
          </w:p>
        </w:tc>
        <w:tc>
          <w:tcPr>
            <w:tcW w:w="769" w:type="pct"/>
            <w:shd w:val="clear" w:color="auto" w:fill="auto"/>
            <w:noWrap/>
          </w:tcPr>
          <w:p w14:paraId="03E41417">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5DD7">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237</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F6BF">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10%</w:t>
            </w:r>
          </w:p>
        </w:tc>
      </w:tr>
      <w:tr w14:paraId="7959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E963DF2">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E845">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专病精细化全程管理(家庭医护保健服务)</w:t>
            </w:r>
          </w:p>
        </w:tc>
        <w:tc>
          <w:tcPr>
            <w:tcW w:w="769" w:type="pct"/>
            <w:shd w:val="clear" w:color="auto" w:fill="auto"/>
            <w:noWrap/>
          </w:tcPr>
          <w:p w14:paraId="68798A2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5556">
            <w:pPr>
              <w:jc w:val="center"/>
              <w:rPr>
                <w:rFonts w:hint="eastAsia"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358.8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833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361D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7C6A3C73">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7</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8B2F">
            <w:pPr>
              <w:pStyle w:val="36"/>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专病强干预管理(家庭医护保健服务)</w:t>
            </w:r>
          </w:p>
        </w:tc>
        <w:tc>
          <w:tcPr>
            <w:tcW w:w="769" w:type="pct"/>
            <w:shd w:val="clear" w:color="auto" w:fill="auto"/>
            <w:noWrap/>
          </w:tcPr>
          <w:p w14:paraId="72AB23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2D3B">
            <w:pPr>
              <w:widowControl/>
              <w:spacing w:line="360" w:lineRule="exact"/>
              <w:jc w:val="center"/>
              <w:rPr>
                <w:rFonts w:hint="eastAsia" w:ascii="宋体" w:hAnsi="宋体" w:cs="仿宋_GB2312"/>
                <w:color w:val="auto"/>
                <w:szCs w:val="21"/>
                <w:highlight w:val="none"/>
              </w:rPr>
            </w:pPr>
            <w:r>
              <w:rPr>
                <w:rFonts w:hint="eastAsia" w:ascii="宋体" w:hAnsi="宋体" w:cs="宋体"/>
                <w:color w:val="auto"/>
                <w:kern w:val="0"/>
                <w:sz w:val="22"/>
                <w:szCs w:val="22"/>
                <w:highlight w:val="none"/>
                <w:lang w:bidi="ar"/>
              </w:rPr>
              <w:t>477</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F93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6895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1C20FA8">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0A4E">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专病强干预综合管理(家庭医护保健服务)</w:t>
            </w:r>
          </w:p>
        </w:tc>
        <w:tc>
          <w:tcPr>
            <w:tcW w:w="769" w:type="pct"/>
            <w:shd w:val="clear" w:color="auto" w:fill="auto"/>
            <w:noWrap/>
          </w:tcPr>
          <w:p w14:paraId="756D0B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4937">
            <w:pPr>
              <w:jc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954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A5C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64FF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45924354">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9</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32EE">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专病治疗性生活方式干预管理(家庭医护保健服务)</w:t>
            </w:r>
          </w:p>
        </w:tc>
        <w:tc>
          <w:tcPr>
            <w:tcW w:w="769" w:type="pct"/>
            <w:shd w:val="clear" w:color="auto" w:fill="auto"/>
            <w:noWrap/>
          </w:tcPr>
          <w:p w14:paraId="394E18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F91">
            <w:pPr>
              <w:jc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1431</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4E3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r w14:paraId="681E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2A49B76">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10</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07D1">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多学科生活方式强化干预（家庭医护保健服务）</w:t>
            </w:r>
          </w:p>
        </w:tc>
        <w:tc>
          <w:tcPr>
            <w:tcW w:w="769" w:type="pct"/>
            <w:shd w:val="clear" w:color="auto" w:fill="auto"/>
            <w:noWrap/>
          </w:tcPr>
          <w:p w14:paraId="5892E2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AFC">
            <w:pPr>
              <w:jc w:val="center"/>
              <w:rPr>
                <w:rFonts w:hint="eastAsia" w:ascii="宋体" w:hAnsi="宋体" w:cs="宋体"/>
                <w:color w:val="auto"/>
                <w:kern w:val="0"/>
                <w:szCs w:val="21"/>
                <w:highlight w:val="none"/>
                <w:lang w:bidi="ar"/>
              </w:rPr>
            </w:pPr>
            <w:r>
              <w:rPr>
                <w:rFonts w:hint="eastAsia" w:ascii="宋体" w:hAnsi="宋体" w:cs="宋体"/>
                <w:color w:val="auto"/>
                <w:kern w:val="0"/>
                <w:sz w:val="22"/>
                <w:szCs w:val="22"/>
                <w:highlight w:val="none"/>
                <w:lang w:bidi="ar"/>
              </w:rPr>
              <w:t>1908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255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r w14:paraId="58B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0EA88F12">
            <w:pPr>
              <w:pStyle w:val="331"/>
              <w:numPr>
                <w:ilvl w:val="0"/>
                <w:numId w:val="0"/>
              </w:numPr>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11</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9A8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多学科生活方式联合干预（家庭医护保健服务）</w:t>
            </w:r>
          </w:p>
        </w:tc>
        <w:tc>
          <w:tcPr>
            <w:tcW w:w="769" w:type="pct"/>
            <w:shd w:val="clear" w:color="auto" w:fill="auto"/>
            <w:noWrap/>
          </w:tcPr>
          <w:p w14:paraId="4B1D144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FE5B">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2148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B2D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bl>
    <w:p w14:paraId="6F16AEDC">
      <w:pPr>
        <w:keepNext w:val="0"/>
        <w:keepLines w:val="0"/>
        <w:pageBreakBefore w:val="0"/>
        <w:widowControl w:val="0"/>
        <w:kinsoku/>
        <w:wordWrap/>
        <w:overflowPunct/>
        <w:topLinePunct w:val="0"/>
        <w:autoSpaceDE/>
        <w:autoSpaceDN/>
        <w:bidi w:val="0"/>
        <w:adjustRightInd/>
        <w:spacing w:line="460" w:lineRule="exact"/>
        <w:ind w:firstLine="539" w:firstLineChars="245"/>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（2）医院收案及履约</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3994"/>
        <w:gridCol w:w="1516"/>
        <w:gridCol w:w="1899"/>
        <w:gridCol w:w="1562"/>
      </w:tblGrid>
      <w:tr w14:paraId="2704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77C7D1B4">
            <w:pPr>
              <w:pStyle w:val="331"/>
              <w:ind w:firstLine="0" w:firstLineChars="0"/>
              <w:jc w:val="center"/>
              <w:rPr>
                <w:rFonts w:hint="eastAsia" w:ascii="宋体" w:hAnsi="宋体"/>
                <w:color w:val="auto"/>
                <w:sz w:val="21"/>
                <w:szCs w:val="21"/>
                <w:highlight w:val="none"/>
              </w:rPr>
            </w:pPr>
            <w:r>
              <w:rPr>
                <w:rFonts w:hint="eastAsia" w:ascii="宋体" w:hAnsi="宋体" w:cs="宋体"/>
                <w:color w:val="auto"/>
                <w:kern w:val="0"/>
                <w:sz w:val="21"/>
                <w:szCs w:val="21"/>
                <w:highlight w:val="none"/>
              </w:rPr>
              <w:t>序号</w:t>
            </w:r>
          </w:p>
        </w:tc>
        <w:tc>
          <w:tcPr>
            <w:tcW w:w="2026" w:type="pct"/>
            <w:shd w:val="clear" w:color="auto" w:fill="auto"/>
            <w:vAlign w:val="center"/>
          </w:tcPr>
          <w:p w14:paraId="48132D5C">
            <w:pPr>
              <w:jc w:val="center"/>
              <w:rPr>
                <w:rFonts w:hint="eastAsia" w:ascii="宋体" w:hAnsi="宋体" w:cs="宋体"/>
                <w:color w:val="auto"/>
                <w:kern w:val="0"/>
                <w:szCs w:val="21"/>
                <w:highlight w:val="none"/>
              </w:rPr>
            </w:pPr>
            <w:r>
              <w:rPr>
                <w:rFonts w:ascii="宋体" w:hAnsi="宋体"/>
                <w:color w:val="auto"/>
                <w:szCs w:val="21"/>
                <w:highlight w:val="none"/>
              </w:rPr>
              <w:t>服务项目名称</w:t>
            </w:r>
          </w:p>
        </w:tc>
        <w:tc>
          <w:tcPr>
            <w:tcW w:w="769" w:type="pct"/>
            <w:shd w:val="clear" w:color="auto" w:fill="auto"/>
            <w:noWrap/>
            <w:vAlign w:val="center"/>
          </w:tcPr>
          <w:p w14:paraId="3B4A0EC4">
            <w:pPr>
              <w:jc w:val="center"/>
              <w:rPr>
                <w:rFonts w:hint="eastAsia" w:ascii="宋体" w:hAnsi="宋体" w:cs="宋体"/>
                <w:color w:val="auto"/>
                <w:kern w:val="0"/>
                <w:szCs w:val="21"/>
                <w:highlight w:val="none"/>
              </w:rPr>
            </w:pPr>
            <w:r>
              <w:rPr>
                <w:rFonts w:ascii="宋体" w:hAnsi="宋体" w:cs="宋体"/>
                <w:color w:val="auto"/>
                <w:kern w:val="0"/>
                <w:szCs w:val="21"/>
                <w:highlight w:val="none"/>
              </w:rPr>
              <w:t>单位</w:t>
            </w:r>
          </w:p>
          <w:p w14:paraId="2DD77D9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(疗程）</w:t>
            </w:r>
          </w:p>
        </w:tc>
        <w:tc>
          <w:tcPr>
            <w:tcW w:w="963" w:type="pct"/>
            <w:shd w:val="clear" w:color="auto" w:fill="auto"/>
            <w:noWrap/>
            <w:vAlign w:val="center"/>
          </w:tcPr>
          <w:p w14:paraId="17B023E8">
            <w:pPr>
              <w:jc w:val="center"/>
              <w:rPr>
                <w:rFonts w:hint="eastAsia" w:ascii="宋体" w:hAnsi="宋体"/>
                <w:color w:val="auto"/>
                <w:szCs w:val="21"/>
                <w:highlight w:val="none"/>
              </w:rPr>
            </w:pPr>
            <w:r>
              <w:rPr>
                <w:rFonts w:hint="eastAsia" w:ascii="宋体" w:hAnsi="宋体"/>
                <w:color w:val="auto"/>
                <w:szCs w:val="21"/>
                <w:highlight w:val="none"/>
              </w:rPr>
              <w:t>单价最高限价</w:t>
            </w:r>
          </w:p>
          <w:p w14:paraId="29B55DC2">
            <w:pPr>
              <w:jc w:val="center"/>
              <w:rPr>
                <w:rFonts w:hint="eastAsia" w:ascii="宋体" w:hAnsi="宋体" w:cs="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元/疗程</w:t>
            </w:r>
            <w:r>
              <w:rPr>
                <w:rFonts w:ascii="宋体" w:hAnsi="宋体"/>
                <w:color w:val="auto"/>
                <w:szCs w:val="21"/>
                <w:highlight w:val="none"/>
              </w:rPr>
              <w:t>）</w:t>
            </w:r>
          </w:p>
        </w:tc>
        <w:tc>
          <w:tcPr>
            <w:tcW w:w="792" w:type="pct"/>
            <w:shd w:val="clear" w:color="auto" w:fill="auto"/>
            <w:vAlign w:val="center"/>
          </w:tcPr>
          <w:p w14:paraId="0350344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单价权重</w:t>
            </w:r>
          </w:p>
        </w:tc>
      </w:tr>
      <w:tr w14:paraId="2C1D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A69C28F">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4A6A">
            <w:pPr>
              <w:jc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专病</w:t>
            </w:r>
            <w:r>
              <w:rPr>
                <w:rFonts w:hint="eastAsia" w:ascii="宋体" w:hAnsi="宋体" w:cs="宋体"/>
                <w:i w:val="0"/>
                <w:iCs w:val="0"/>
                <w:color w:val="auto"/>
                <w:kern w:val="0"/>
                <w:sz w:val="21"/>
                <w:szCs w:val="21"/>
                <w:highlight w:val="none"/>
                <w:u w:val="none"/>
                <w:lang w:val="en-US" w:eastAsia="zh-CN" w:bidi="ar"/>
              </w:rPr>
              <w:t>短期</w:t>
            </w:r>
            <w:r>
              <w:rPr>
                <w:rFonts w:hint="eastAsia" w:ascii="宋体" w:hAnsi="宋体" w:eastAsia="宋体" w:cs="宋体"/>
                <w:i w:val="0"/>
                <w:iCs w:val="0"/>
                <w:color w:val="auto"/>
                <w:kern w:val="0"/>
                <w:sz w:val="21"/>
                <w:szCs w:val="21"/>
                <w:highlight w:val="none"/>
                <w:u w:val="none"/>
                <w:lang w:val="en-US" w:eastAsia="zh-CN" w:bidi="ar"/>
              </w:rPr>
              <w:t>管理</w:t>
            </w:r>
          </w:p>
        </w:tc>
        <w:tc>
          <w:tcPr>
            <w:tcW w:w="769" w:type="pct"/>
            <w:shd w:val="clear" w:color="auto" w:fill="auto"/>
            <w:noWrap/>
            <w:vAlign w:val="center"/>
          </w:tcPr>
          <w:p w14:paraId="3AA6BD69">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71B9">
            <w:pPr>
              <w:widowControl/>
              <w:spacing w:line="360" w:lineRule="exact"/>
              <w:jc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11.6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BB59">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r>
      <w:tr w14:paraId="1BB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5A32E3C0">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7292">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短期精细化管理</w:t>
            </w:r>
          </w:p>
        </w:tc>
        <w:tc>
          <w:tcPr>
            <w:tcW w:w="769" w:type="pct"/>
            <w:shd w:val="clear" w:color="auto" w:fill="auto"/>
            <w:noWrap/>
            <w:vAlign w:val="center"/>
          </w:tcPr>
          <w:p w14:paraId="6D1479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03EE">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19.6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85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6FF7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13E20E71">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411">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专病短期精细化管理(家庭医护保健服务)</w:t>
            </w:r>
          </w:p>
        </w:tc>
        <w:tc>
          <w:tcPr>
            <w:tcW w:w="769" w:type="pct"/>
            <w:shd w:val="clear" w:color="auto" w:fill="auto"/>
            <w:noWrap/>
          </w:tcPr>
          <w:p w14:paraId="49D057C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B4EB">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39.6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67F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15%</w:t>
            </w:r>
          </w:p>
        </w:tc>
      </w:tr>
      <w:tr w14:paraId="6D6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3735B261">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C7AA">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专病精细化标准管理(家庭医护保健服务)</w:t>
            </w:r>
          </w:p>
        </w:tc>
        <w:tc>
          <w:tcPr>
            <w:tcW w:w="769" w:type="pct"/>
            <w:shd w:val="clear" w:color="auto" w:fill="auto"/>
            <w:noWrap/>
          </w:tcPr>
          <w:p w14:paraId="4A824FE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13C5">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18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ED7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bidi="ar"/>
              </w:rPr>
              <w:t>%</w:t>
            </w:r>
          </w:p>
        </w:tc>
      </w:tr>
      <w:tr w14:paraId="0C1C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7241BBA3">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572E">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专病精细化强化管理(家庭医护保健服务)</w:t>
            </w:r>
          </w:p>
        </w:tc>
        <w:tc>
          <w:tcPr>
            <w:tcW w:w="769" w:type="pct"/>
            <w:shd w:val="clear" w:color="auto" w:fill="auto"/>
            <w:noWrap/>
          </w:tcPr>
          <w:p w14:paraId="2B9CA06F">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3B4">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158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AE4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10%</w:t>
            </w:r>
          </w:p>
        </w:tc>
      </w:tr>
      <w:tr w14:paraId="570B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4964090A">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CBB8">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专病精细化全程管理(家庭医护保健服务)</w:t>
            </w:r>
          </w:p>
        </w:tc>
        <w:tc>
          <w:tcPr>
            <w:tcW w:w="769" w:type="pct"/>
            <w:shd w:val="clear" w:color="auto" w:fill="auto"/>
            <w:noWrap/>
          </w:tcPr>
          <w:p w14:paraId="26F547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AE86">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 w:val="22"/>
                <w:szCs w:val="22"/>
                <w:highlight w:val="none"/>
                <w:lang w:val="en-US" w:eastAsia="zh-CN" w:bidi="ar"/>
              </w:rPr>
              <w:t>239.2</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024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007A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3BB88D8C">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BD7E">
            <w:pPr>
              <w:pStyle w:val="36"/>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专病强干预管理(家庭医护保健服务)</w:t>
            </w:r>
          </w:p>
        </w:tc>
        <w:tc>
          <w:tcPr>
            <w:tcW w:w="769" w:type="pct"/>
            <w:shd w:val="clear" w:color="auto" w:fill="auto"/>
            <w:noWrap/>
          </w:tcPr>
          <w:p w14:paraId="0243EE5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E2B9">
            <w:pPr>
              <w:widowControl/>
              <w:spacing w:line="360" w:lineRule="exact"/>
              <w:jc w:val="center"/>
              <w:rPr>
                <w:rFonts w:hint="default" w:ascii="宋体" w:hAnsi="宋体" w:eastAsia="宋体" w:cs="仿宋_GB2312"/>
                <w:color w:val="auto"/>
                <w:szCs w:val="21"/>
                <w:highlight w:val="none"/>
                <w:lang w:val="en-US" w:eastAsia="zh-CN"/>
              </w:rPr>
            </w:pPr>
            <w:r>
              <w:rPr>
                <w:rFonts w:hint="eastAsia" w:ascii="宋体" w:hAnsi="宋体" w:cs="宋体"/>
                <w:color w:val="auto"/>
                <w:kern w:val="0"/>
                <w:sz w:val="22"/>
                <w:szCs w:val="22"/>
                <w:highlight w:val="none"/>
                <w:lang w:val="en-US" w:eastAsia="zh-CN" w:bidi="ar"/>
              </w:rPr>
              <w:t>318</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645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6B3A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2FB7727E">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8</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F986">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专病强干预综合管理(家庭医护保健服务)</w:t>
            </w:r>
          </w:p>
        </w:tc>
        <w:tc>
          <w:tcPr>
            <w:tcW w:w="769" w:type="pct"/>
            <w:shd w:val="clear" w:color="auto" w:fill="auto"/>
            <w:noWrap/>
          </w:tcPr>
          <w:p w14:paraId="68FA7E9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9248">
            <w:pPr>
              <w:jc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2"/>
                <w:szCs w:val="22"/>
                <w:highlight w:val="none"/>
                <w:lang w:val="en-US" w:eastAsia="zh-CN" w:bidi="ar"/>
              </w:rPr>
              <w:t>636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8BD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5%</w:t>
            </w:r>
          </w:p>
        </w:tc>
      </w:tr>
      <w:tr w14:paraId="3E8F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331B35BB">
            <w:pPr>
              <w:pStyle w:val="331"/>
              <w:numPr>
                <w:ilvl w:val="0"/>
                <w:numId w:val="0"/>
              </w:numPr>
              <w:ind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9</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8A81">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专病治疗性生活方式干预管理(家庭医护保健服务)</w:t>
            </w:r>
          </w:p>
        </w:tc>
        <w:tc>
          <w:tcPr>
            <w:tcW w:w="769" w:type="pct"/>
            <w:shd w:val="clear" w:color="auto" w:fill="auto"/>
            <w:noWrap/>
          </w:tcPr>
          <w:p w14:paraId="70279D5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7CEF">
            <w:pPr>
              <w:jc w:val="center"/>
              <w:rPr>
                <w:rFonts w:hint="default" w:ascii="宋体" w:hAnsi="宋体" w:eastAsia="宋体" w:cs="宋体"/>
                <w:color w:val="auto"/>
                <w:szCs w:val="21"/>
                <w:highlight w:val="none"/>
                <w:lang w:val="en-US" w:eastAsia="zh-CN"/>
              </w:rPr>
            </w:pPr>
            <w:r>
              <w:rPr>
                <w:rFonts w:hint="eastAsia" w:ascii="宋体" w:hAnsi="宋体" w:cs="宋体"/>
                <w:color w:val="auto"/>
                <w:kern w:val="0"/>
                <w:sz w:val="22"/>
                <w:szCs w:val="22"/>
                <w:highlight w:val="none"/>
                <w:lang w:val="en-US" w:eastAsia="zh-CN" w:bidi="ar"/>
              </w:rPr>
              <w:t>954</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BB0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r w14:paraId="19C2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38F9CC79">
            <w:pPr>
              <w:pStyle w:val="331"/>
              <w:numPr>
                <w:ilvl w:val="0"/>
                <w:numId w:val="0"/>
              </w:numPr>
              <w:ind w:left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431C">
            <w:pPr>
              <w:jc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多学科生活方式强化干预（家庭医护保健服务）</w:t>
            </w:r>
          </w:p>
        </w:tc>
        <w:tc>
          <w:tcPr>
            <w:tcW w:w="769" w:type="pct"/>
            <w:shd w:val="clear" w:color="auto" w:fill="auto"/>
            <w:noWrap/>
          </w:tcPr>
          <w:p w14:paraId="400C8DE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7746">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 w:val="22"/>
                <w:szCs w:val="22"/>
                <w:highlight w:val="none"/>
                <w:lang w:val="en-US" w:eastAsia="zh-CN" w:bidi="ar"/>
              </w:rPr>
              <w:t>1272</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9BA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r w14:paraId="068C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48" w:type="pct"/>
            <w:shd w:val="clear" w:color="auto" w:fill="auto"/>
            <w:vAlign w:val="center"/>
          </w:tcPr>
          <w:p w14:paraId="2BBAD24F">
            <w:pPr>
              <w:pStyle w:val="331"/>
              <w:numPr>
                <w:ilvl w:val="0"/>
                <w:numId w:val="0"/>
              </w:numPr>
              <w:ind w:left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DAD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多学科生活方式联合干预（家庭医护保健服务）</w:t>
            </w:r>
          </w:p>
        </w:tc>
        <w:tc>
          <w:tcPr>
            <w:tcW w:w="769" w:type="pct"/>
            <w:shd w:val="clear" w:color="auto" w:fill="auto"/>
            <w:noWrap/>
          </w:tcPr>
          <w:p w14:paraId="63C1EFE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7B0F">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22"/>
                <w:szCs w:val="22"/>
                <w:highlight w:val="none"/>
                <w:lang w:val="en-US" w:eastAsia="zh-CN" w:bidi="ar"/>
              </w:rPr>
              <w:t>1432</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F8AB">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lang w:bidi="ar"/>
              </w:rPr>
              <w:t>5%</w:t>
            </w:r>
          </w:p>
        </w:tc>
      </w:tr>
    </w:tbl>
    <w:p w14:paraId="13B7C0F3">
      <w:pPr>
        <w:keepNext w:val="0"/>
        <w:keepLines w:val="0"/>
        <w:pageBreakBefore w:val="0"/>
        <w:widowControl w:val="0"/>
        <w:kinsoku/>
        <w:wordWrap/>
        <w:overflowPunct/>
        <w:topLinePunct w:val="0"/>
        <w:autoSpaceDE/>
        <w:autoSpaceDN/>
        <w:bidi w:val="0"/>
        <w:adjustRightInd/>
        <w:spacing w:line="460" w:lineRule="exact"/>
        <w:ind w:firstLine="517" w:firstLineChars="245"/>
        <w:jc w:val="left"/>
        <w:textAlignment w:val="auto"/>
        <w:rPr>
          <w:rFonts w:hint="eastAsia" w:ascii="宋体" w:hAnsi="宋体"/>
          <w:b/>
          <w:color w:val="auto"/>
          <w:highlight w:val="none"/>
        </w:rPr>
      </w:pPr>
      <w:r>
        <w:rPr>
          <w:rFonts w:hint="eastAsia" w:ascii="宋体" w:hAnsi="宋体" w:cs="宋体"/>
          <w:b/>
          <w:color w:val="auto"/>
          <w:szCs w:val="21"/>
          <w:highlight w:val="none"/>
        </w:rPr>
        <w:t>注：1）本项目不仅限于上表的服务套餐，</w:t>
      </w:r>
      <w:r>
        <w:rPr>
          <w:rFonts w:hint="eastAsia" w:ascii="宋体" w:hAnsi="宋体"/>
          <w:b/>
          <w:color w:val="auto"/>
          <w:highlight w:val="none"/>
        </w:rPr>
        <w:t>可根据各临床科室的实际需要在本项目合同协议原则下协商一致后新增。</w:t>
      </w:r>
    </w:p>
    <w:p w14:paraId="55BF55DF">
      <w:pPr>
        <w:keepNext w:val="0"/>
        <w:keepLines w:val="0"/>
        <w:pageBreakBefore w:val="0"/>
        <w:widowControl/>
        <w:kinsoku/>
        <w:wordWrap/>
        <w:overflowPunct/>
        <w:topLinePunct w:val="0"/>
        <w:autoSpaceDE/>
        <w:autoSpaceDN/>
        <w:bidi w:val="0"/>
        <w:adjustRightInd/>
        <w:snapToGrid w:val="0"/>
        <w:spacing w:line="460" w:lineRule="exact"/>
        <w:ind w:firstLine="541" w:firstLineChars="245"/>
        <w:textAlignment w:val="auto"/>
        <w:outlineLvl w:val="1"/>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十一、</w:t>
      </w:r>
      <w:r>
        <w:rPr>
          <w:rFonts w:hint="eastAsia" w:ascii="宋体" w:hAnsi="宋体" w:eastAsia="宋体" w:cs="宋体"/>
          <w:b/>
          <w:color w:val="auto"/>
          <w:sz w:val="22"/>
          <w:szCs w:val="22"/>
          <w:highlight w:val="none"/>
        </w:rPr>
        <w:t>付款方式与履约保证金</w:t>
      </w:r>
    </w:p>
    <w:p w14:paraId="31B95B5D">
      <w:pPr>
        <w:keepNext w:val="0"/>
        <w:keepLines w:val="0"/>
        <w:pageBreakBefore w:val="0"/>
        <w:tabs>
          <w:tab w:val="left" w:pos="312"/>
        </w:tabs>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1.付款方式：</w:t>
      </w:r>
    </w:p>
    <w:p w14:paraId="41B69771">
      <w:pPr>
        <w:pStyle w:val="331"/>
        <w:keepNext w:val="0"/>
        <w:keepLines w:val="0"/>
        <w:pageBreakBefore w:val="0"/>
        <w:numPr>
          <w:ilvl w:val="0"/>
          <w:numId w:val="8"/>
        </w:numPr>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按月结算：每月结算金额以实际开单量进行按月结算。采购人根据上月份实际新增的服务套餐包数量进行结算，采购人自收到正规发票之日起30日内完成付款。</w:t>
      </w:r>
    </w:p>
    <w:p w14:paraId="520F27A3">
      <w:pPr>
        <w:pStyle w:val="331"/>
        <w:keepNext w:val="0"/>
        <w:keepLines w:val="0"/>
        <w:pageBreakBefore w:val="0"/>
        <w:numPr>
          <w:ilvl w:val="0"/>
          <w:numId w:val="8"/>
        </w:numPr>
        <w:kinsoku/>
        <w:wordWrap/>
        <w:overflowPunct/>
        <w:topLinePunct w:val="0"/>
        <w:autoSpaceDE/>
        <w:autoSpaceDN/>
        <w:bidi w:val="0"/>
        <w:adjustRightIn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每月结算金额=∑（各项套餐包每月新增数量*各项套餐包单项报价）</w:t>
      </w:r>
    </w:p>
    <w:p w14:paraId="5EF80E61">
      <w:pPr>
        <w:keepNext w:val="0"/>
        <w:keepLines w:val="0"/>
        <w:pageBreakBefore w:val="0"/>
        <w:kinsoku/>
        <w:wordWrap/>
        <w:overflowPunct/>
        <w:topLinePunct w:val="0"/>
        <w:autoSpaceDE/>
        <w:autoSpaceDN/>
        <w:bidi w:val="0"/>
        <w:adjustRightInd/>
        <w:spacing w:line="460" w:lineRule="exact"/>
        <w:ind w:firstLine="541" w:firstLineChars="245"/>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2.履约保证金:</w:t>
      </w:r>
    </w:p>
    <w:p w14:paraId="26C0D213">
      <w:pPr>
        <w:keepNext w:val="0"/>
        <w:keepLines w:val="0"/>
        <w:pageBreakBefore w:val="0"/>
        <w:kinsoku/>
        <w:wordWrap/>
        <w:overflowPunct/>
        <w:topLinePunct w:val="0"/>
        <w:autoSpaceDE/>
        <w:autoSpaceDN/>
        <w:bidi w:val="0"/>
        <w:adjustRightInd/>
        <w:spacing w:line="460" w:lineRule="exact"/>
        <w:ind w:firstLine="539" w:firstLineChars="245"/>
        <w:textAlignment w:val="auto"/>
        <w:rPr>
          <w:rFonts w:hint="eastAsia" w:ascii="宋体" w:hAnsi="宋体" w:cs="宋体"/>
          <w:color w:val="auto"/>
          <w:sz w:val="24"/>
          <w:highlight w:val="none"/>
        </w:rPr>
      </w:pPr>
      <w:r>
        <w:rPr>
          <w:rFonts w:hint="eastAsia" w:ascii="宋体" w:hAnsi="宋体" w:eastAsia="宋体" w:cs="宋体"/>
          <w:color w:val="auto"/>
          <w:sz w:val="22"/>
          <w:szCs w:val="22"/>
          <w:highlight w:val="none"/>
        </w:rPr>
        <w:t>本项目不收取履约保证金。</w:t>
      </w:r>
    </w:p>
    <w:p w14:paraId="7B7F861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C24571">
      <w:pPr>
        <w:pStyle w:val="5"/>
        <w:rPr>
          <w:rFonts w:ascii="宋体" w:hAnsi="宋体" w:eastAsia="宋体" w:cs="宋体"/>
          <w:color w:val="auto"/>
          <w:highlight w:val="none"/>
        </w:rPr>
      </w:pPr>
      <w:r>
        <w:rPr>
          <w:rFonts w:hint="eastAsia" w:ascii="宋体" w:hAnsi="宋体" w:eastAsia="宋体" w:cs="宋体"/>
          <w:color w:val="auto"/>
          <w:highlight w:val="none"/>
        </w:rPr>
        <w:t>第五部分   评标原则及方法</w:t>
      </w:r>
      <w:bookmarkEnd w:id="50"/>
      <w:bookmarkEnd w:id="51"/>
    </w:p>
    <w:p w14:paraId="42E8BA1B">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67593846">
      <w:pPr>
        <w:spacing w:line="460" w:lineRule="exact"/>
        <w:ind w:firstLine="541" w:firstLineChars="245"/>
        <w:outlineLvl w:val="1"/>
        <w:rPr>
          <w:rFonts w:ascii="宋体" w:hAnsi="宋体" w:cs="宋体"/>
          <w:b/>
          <w:color w:val="auto"/>
          <w:sz w:val="22"/>
          <w:szCs w:val="22"/>
          <w:highlight w:val="none"/>
        </w:rPr>
      </w:pPr>
      <w:bookmarkStart w:id="54" w:name="_Toc15713"/>
      <w:bookmarkStart w:id="55" w:name="_Toc4407"/>
      <w:r>
        <w:rPr>
          <w:rFonts w:hint="eastAsia" w:ascii="宋体" w:hAnsi="宋体" w:cs="宋体"/>
          <w:b/>
          <w:color w:val="auto"/>
          <w:sz w:val="22"/>
          <w:szCs w:val="22"/>
          <w:highlight w:val="none"/>
        </w:rPr>
        <w:t>一、总 则</w:t>
      </w:r>
      <w:bookmarkEnd w:id="54"/>
      <w:bookmarkEnd w:id="55"/>
    </w:p>
    <w:p w14:paraId="105D211C">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6C48843F">
      <w:pPr>
        <w:spacing w:line="460" w:lineRule="exact"/>
        <w:ind w:firstLine="541" w:firstLineChars="245"/>
        <w:outlineLvl w:val="1"/>
        <w:rPr>
          <w:rFonts w:ascii="宋体" w:hAnsi="宋体" w:cs="宋体"/>
          <w:b/>
          <w:color w:val="auto"/>
          <w:sz w:val="22"/>
          <w:szCs w:val="22"/>
          <w:highlight w:val="none"/>
        </w:rPr>
      </w:pPr>
      <w:bookmarkStart w:id="56" w:name="_Toc24468"/>
      <w:bookmarkStart w:id="57" w:name="_Toc23152"/>
      <w:r>
        <w:rPr>
          <w:rFonts w:hint="eastAsia" w:ascii="宋体" w:hAnsi="宋体" w:cs="宋体"/>
          <w:b/>
          <w:color w:val="auto"/>
          <w:sz w:val="22"/>
          <w:szCs w:val="22"/>
          <w:highlight w:val="none"/>
        </w:rPr>
        <w:t>二、评标组织</w:t>
      </w:r>
      <w:bookmarkEnd w:id="56"/>
      <w:bookmarkEnd w:id="57"/>
    </w:p>
    <w:p w14:paraId="4BB2308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评标工作由招标人组建的评标委员会负责，评标全过程由有关部门指导监督。</w:t>
      </w:r>
    </w:p>
    <w:p w14:paraId="3BD87588">
      <w:pPr>
        <w:spacing w:line="460" w:lineRule="exact"/>
        <w:ind w:firstLine="541" w:firstLineChars="245"/>
        <w:outlineLvl w:val="1"/>
        <w:rPr>
          <w:rFonts w:ascii="宋体" w:hAnsi="宋体" w:cs="宋体"/>
          <w:b/>
          <w:color w:val="auto"/>
          <w:sz w:val="22"/>
          <w:szCs w:val="22"/>
          <w:highlight w:val="none"/>
        </w:rPr>
      </w:pPr>
      <w:bookmarkStart w:id="58" w:name="_Toc67"/>
      <w:bookmarkStart w:id="59" w:name="_Toc15153"/>
      <w:r>
        <w:rPr>
          <w:rFonts w:hint="eastAsia" w:ascii="宋体" w:hAnsi="宋体" w:cs="宋体"/>
          <w:b/>
          <w:color w:val="auto"/>
          <w:sz w:val="22"/>
          <w:szCs w:val="22"/>
          <w:highlight w:val="none"/>
        </w:rPr>
        <w:t>三、评标程序</w:t>
      </w:r>
      <w:bookmarkEnd w:id="58"/>
      <w:bookmarkEnd w:id="59"/>
    </w:p>
    <w:p w14:paraId="4E509E71">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评标委员按照招标文件中规定的评标方法和标准，对投标文件进行商务和技术评估，综合比较与评价</w:t>
      </w:r>
      <w:r>
        <w:rPr>
          <w:rFonts w:hint="eastAsia" w:ascii="宋体" w:hAnsi="宋体" w:cs="宋体"/>
          <w:color w:val="auto"/>
          <w:sz w:val="22"/>
          <w:szCs w:val="22"/>
          <w:highlight w:val="none"/>
        </w:rPr>
        <w:t>，根据综合评审结果，提交评审报告。</w:t>
      </w:r>
    </w:p>
    <w:p w14:paraId="66496C6F">
      <w:pPr>
        <w:spacing w:line="460" w:lineRule="exact"/>
        <w:ind w:firstLine="541" w:firstLineChars="245"/>
        <w:outlineLvl w:val="1"/>
        <w:rPr>
          <w:rFonts w:ascii="宋体" w:hAnsi="宋体" w:cs="宋体"/>
          <w:b/>
          <w:color w:val="auto"/>
          <w:sz w:val="22"/>
          <w:szCs w:val="22"/>
          <w:highlight w:val="none"/>
        </w:rPr>
      </w:pPr>
      <w:bookmarkStart w:id="60" w:name="_Toc11306"/>
      <w:bookmarkStart w:id="61" w:name="_Toc24825"/>
      <w:r>
        <w:rPr>
          <w:rFonts w:hint="eastAsia" w:ascii="宋体" w:hAnsi="宋体" w:cs="宋体"/>
          <w:b/>
          <w:color w:val="auto"/>
          <w:sz w:val="22"/>
          <w:szCs w:val="22"/>
          <w:highlight w:val="none"/>
        </w:rPr>
        <w:t>四、评标办法</w:t>
      </w:r>
      <w:bookmarkEnd w:id="60"/>
      <w:bookmarkEnd w:id="61"/>
    </w:p>
    <w:p w14:paraId="408DFBDE">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0%），商务标（报价）</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0%）。</w:t>
      </w:r>
    </w:p>
    <w:p w14:paraId="09C89B1E">
      <w:pPr>
        <w:numPr>
          <w:ilvl w:val="0"/>
          <w:numId w:val="9"/>
        </w:numPr>
        <w:spacing w:line="460" w:lineRule="exact"/>
        <w:ind w:firstLine="541" w:firstLineChars="245"/>
        <w:outlineLvl w:val="1"/>
        <w:rPr>
          <w:rFonts w:ascii="宋体" w:hAnsi="宋体" w:cs="宋体"/>
          <w:b/>
          <w:color w:val="auto"/>
          <w:sz w:val="22"/>
          <w:szCs w:val="22"/>
          <w:highlight w:val="none"/>
        </w:rPr>
      </w:pPr>
      <w:bookmarkStart w:id="62" w:name="_Toc1535"/>
      <w:bookmarkStart w:id="63" w:name="_Toc11450"/>
      <w:r>
        <w:rPr>
          <w:rFonts w:hint="eastAsia" w:ascii="宋体" w:hAnsi="宋体" w:cs="宋体"/>
          <w:b/>
          <w:color w:val="auto"/>
          <w:sz w:val="22"/>
          <w:szCs w:val="22"/>
          <w:highlight w:val="none"/>
        </w:rPr>
        <w:t>评分细则</w:t>
      </w:r>
      <w:bookmarkEnd w:id="62"/>
      <w:bookmarkEnd w:id="63"/>
    </w:p>
    <w:p w14:paraId="79F4DE8F">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1、技术分的评定：技术标</w:t>
      </w: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0%）</w:t>
      </w:r>
    </w:p>
    <w:p w14:paraId="5BBCF24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各评标委员会成员对各投标人的各项评分内容评分的算术平均值为各投标人技术分得分</w:t>
      </w:r>
      <w:r>
        <w:rPr>
          <w:rFonts w:hint="eastAsia" w:ascii="宋体" w:hAnsi="宋体" w:cs="宋体"/>
          <w:color w:val="auto"/>
          <w:sz w:val="22"/>
          <w:szCs w:val="22"/>
          <w:highlight w:val="none"/>
        </w:rPr>
        <w:t>（小数点后按四舍五入保留2位）。</w:t>
      </w:r>
    </w:p>
    <w:tbl>
      <w:tblPr>
        <w:tblStyle w:val="5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558"/>
        <w:gridCol w:w="959"/>
        <w:gridCol w:w="6716"/>
      </w:tblGrid>
      <w:tr w14:paraId="7E0F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186A30EB">
            <w:pPr>
              <w:widowControl/>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序号</w:t>
            </w:r>
          </w:p>
        </w:tc>
        <w:tc>
          <w:tcPr>
            <w:tcW w:w="791" w:type="pct"/>
            <w:noWrap w:val="0"/>
            <w:vAlign w:val="center"/>
          </w:tcPr>
          <w:p w14:paraId="4334740C">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评审内容</w:t>
            </w:r>
          </w:p>
        </w:tc>
        <w:tc>
          <w:tcPr>
            <w:tcW w:w="487" w:type="pct"/>
            <w:noWrap w:val="0"/>
            <w:vAlign w:val="center"/>
          </w:tcPr>
          <w:p w14:paraId="2FA833EE">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c>
          <w:tcPr>
            <w:tcW w:w="3409" w:type="pct"/>
            <w:noWrap w:val="0"/>
            <w:vAlign w:val="center"/>
          </w:tcPr>
          <w:p w14:paraId="5331C87C">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评分标准</w:t>
            </w:r>
          </w:p>
        </w:tc>
      </w:tr>
      <w:tr w14:paraId="7D8C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408457E9">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791" w:type="pct"/>
            <w:noWrap w:val="0"/>
            <w:vAlign w:val="center"/>
          </w:tcPr>
          <w:p w14:paraId="7D756C8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服务供应商项目业绩</w:t>
            </w:r>
          </w:p>
        </w:tc>
        <w:tc>
          <w:tcPr>
            <w:tcW w:w="487" w:type="pct"/>
            <w:noWrap w:val="0"/>
            <w:vAlign w:val="center"/>
          </w:tcPr>
          <w:p w14:paraId="694A8EDA">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p>
        </w:tc>
        <w:tc>
          <w:tcPr>
            <w:tcW w:w="3409" w:type="pct"/>
            <w:noWrap w:val="0"/>
            <w:vAlign w:val="center"/>
          </w:tcPr>
          <w:p w14:paraId="5C2E4284">
            <w:pPr>
              <w:widowControl/>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自</w:t>
            </w:r>
            <w:r>
              <w:rPr>
                <w:rFonts w:hint="eastAsia" w:ascii="宋体" w:hAnsi="宋体" w:eastAsia="宋体" w:cs="宋体"/>
                <w:color w:val="auto"/>
                <w:sz w:val="22"/>
                <w:szCs w:val="22"/>
                <w:highlight w:val="none"/>
                <w:lang w:val="en-US" w:eastAsia="zh-CN"/>
              </w:rPr>
              <w:t>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年1月1日起至今</w:t>
            </w:r>
            <w:r>
              <w:rPr>
                <w:rFonts w:hint="eastAsia" w:ascii="宋体" w:hAnsi="宋体" w:cs="宋体"/>
                <w:color w:val="auto"/>
                <w:sz w:val="22"/>
                <w:szCs w:val="22"/>
                <w:highlight w:val="none"/>
                <w:lang w:val="en-US" w:eastAsia="zh-CN"/>
              </w:rPr>
              <w:t>签署的</w:t>
            </w:r>
            <w:r>
              <w:rPr>
                <w:rFonts w:hint="eastAsia" w:ascii="宋体" w:hAnsi="宋体" w:eastAsia="宋体" w:cs="宋体"/>
                <w:color w:val="auto"/>
                <w:sz w:val="22"/>
                <w:szCs w:val="22"/>
                <w:highlight w:val="none"/>
              </w:rPr>
              <w:t>类似业绩，每个得1分，本项最高得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40722158">
            <w:pPr>
              <w:widowControl/>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须提供合同</w:t>
            </w:r>
            <w:r>
              <w:rPr>
                <w:rFonts w:hint="eastAsia" w:ascii="宋体" w:hAnsi="宋体" w:cs="宋体"/>
                <w:b/>
                <w:bCs/>
                <w:color w:val="auto"/>
                <w:kern w:val="0"/>
                <w:sz w:val="22"/>
                <w:szCs w:val="22"/>
                <w:highlight w:val="none"/>
                <w:lang w:val="en-US" w:eastAsia="zh-CN"/>
              </w:rPr>
              <w:t>复印件并加盖公章，合同内容不少于</w:t>
            </w:r>
            <w:r>
              <w:rPr>
                <w:rFonts w:hint="eastAsia" w:ascii="宋体" w:hAnsi="宋体" w:eastAsia="宋体" w:cs="宋体"/>
                <w:b/>
                <w:bCs/>
                <w:color w:val="auto"/>
                <w:kern w:val="0"/>
                <w:sz w:val="22"/>
                <w:szCs w:val="22"/>
                <w:highlight w:val="none"/>
              </w:rPr>
              <w:t>签署双方、签署日期、项目内容页面，未提供或无法辨析不得分。</w:t>
            </w:r>
          </w:p>
        </w:tc>
      </w:tr>
      <w:tr w14:paraId="6D88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311" w:type="pct"/>
            <w:noWrap w:val="0"/>
            <w:vAlign w:val="center"/>
          </w:tcPr>
          <w:p w14:paraId="39D36D27">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791" w:type="pct"/>
            <w:noWrap w:val="0"/>
            <w:vAlign w:val="center"/>
          </w:tcPr>
          <w:p w14:paraId="165BE6F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医学团队</w:t>
            </w:r>
            <w:r>
              <w:rPr>
                <w:rFonts w:hint="eastAsia" w:ascii="宋体" w:hAnsi="宋体" w:eastAsia="宋体" w:cs="宋体"/>
                <w:color w:val="auto"/>
                <w:kern w:val="0"/>
                <w:sz w:val="22"/>
                <w:szCs w:val="22"/>
                <w:highlight w:val="none"/>
                <w:lang w:val="en-US" w:eastAsia="zh-CN"/>
              </w:rPr>
              <w:t>专业性</w:t>
            </w:r>
          </w:p>
        </w:tc>
        <w:tc>
          <w:tcPr>
            <w:tcW w:w="487" w:type="pct"/>
            <w:noWrap w:val="0"/>
            <w:vAlign w:val="center"/>
          </w:tcPr>
          <w:p w14:paraId="71508A3E">
            <w:pPr>
              <w:snapToGrid w:val="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3409" w:type="pct"/>
            <w:noWrap w:val="0"/>
            <w:vAlign w:val="center"/>
          </w:tcPr>
          <w:p w14:paraId="58875C8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根据投标人拟派项目团队的整体素质、专业结构、经验匹配度及协作合理性进行综合评分，具体如下：</w:t>
            </w:r>
          </w:p>
          <w:p w14:paraId="39807146">
            <w:pPr>
              <w:widowControl/>
              <w:jc w:val="left"/>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团队结构科学合理，核心人员具备相关注册资格，具有丰富的同类项目经验；专业覆盖全面，分工明确，协作机制清晰，整体实力强，完全满足项目高标准实施要求</w:t>
            </w:r>
            <w:r>
              <w:rPr>
                <w:rFonts w:hint="eastAsia" w:ascii="宋体" w:hAnsi="宋体" w:cs="宋体"/>
                <w:color w:val="auto"/>
                <w:kern w:val="0"/>
                <w:sz w:val="22"/>
                <w:szCs w:val="22"/>
                <w:highlight w:val="none"/>
                <w:lang w:val="en-US" w:eastAsia="zh-CN"/>
              </w:rPr>
              <w:t>的得（12，11，10）分</w:t>
            </w:r>
          </w:p>
          <w:p w14:paraId="6F9EA4D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团队配置较合理，核心人员具备行业认可资质，有一定类似项目经验；专业基本覆盖，职责明确，能够胜任项目主要任务</w:t>
            </w:r>
            <w:r>
              <w:rPr>
                <w:rFonts w:hint="eastAsia" w:ascii="宋体" w:hAnsi="宋体" w:cs="宋体"/>
                <w:color w:val="auto"/>
                <w:kern w:val="0"/>
                <w:sz w:val="22"/>
                <w:szCs w:val="22"/>
                <w:highlight w:val="none"/>
                <w:lang w:val="en-US" w:eastAsia="zh-CN"/>
              </w:rPr>
              <w:t>的得（9，8，7）分</w:t>
            </w:r>
          </w:p>
          <w:p w14:paraId="3DD8AF5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团队基本满足项目需求，核心人员资质和经验基本符合要求，但部分成员经验不足或专业匹配度一般，团队协作说明较简单，存在一定实施风险</w:t>
            </w:r>
            <w:r>
              <w:rPr>
                <w:rFonts w:hint="eastAsia" w:ascii="宋体" w:hAnsi="宋体" w:cs="宋体"/>
                <w:color w:val="auto"/>
                <w:kern w:val="0"/>
                <w:sz w:val="22"/>
                <w:szCs w:val="22"/>
                <w:highlight w:val="none"/>
                <w:lang w:val="en-US" w:eastAsia="zh-CN"/>
              </w:rPr>
              <w:t>的得（6，5，4）分</w:t>
            </w:r>
          </w:p>
          <w:p w14:paraId="77BD599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团队配置不合理，核心人员资质或经验不足，专业覆盖不全，或未提供有效证明材料，难以保障项目顺利实施</w:t>
            </w:r>
            <w:r>
              <w:rPr>
                <w:rFonts w:hint="eastAsia" w:ascii="宋体" w:hAnsi="宋体" w:cs="宋体"/>
                <w:color w:val="auto"/>
                <w:kern w:val="0"/>
                <w:sz w:val="22"/>
                <w:szCs w:val="22"/>
                <w:highlight w:val="none"/>
                <w:lang w:val="en-US" w:eastAsia="zh-CN"/>
              </w:rPr>
              <w:t>的得（3，2，1，0）分</w:t>
            </w:r>
          </w:p>
          <w:p w14:paraId="2FF25B32">
            <w:pPr>
              <w:widowControl/>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（提供资格证书，</w:t>
            </w:r>
            <w:r>
              <w:rPr>
                <w:rFonts w:hint="eastAsia" w:ascii="宋体" w:hAnsi="宋体" w:eastAsia="宋体" w:cs="宋体"/>
                <w:b/>
                <w:bCs/>
                <w:color w:val="auto"/>
                <w:kern w:val="0"/>
                <w:sz w:val="22"/>
                <w:szCs w:val="22"/>
                <w:highlight w:val="none"/>
                <w:lang w:val="en-US" w:eastAsia="zh-CN"/>
              </w:rPr>
              <w:t>如</w:t>
            </w:r>
            <w:r>
              <w:rPr>
                <w:rFonts w:hint="eastAsia" w:ascii="宋体" w:hAnsi="宋体" w:eastAsia="宋体" w:cs="宋体"/>
                <w:b/>
                <w:bCs/>
                <w:color w:val="auto"/>
                <w:kern w:val="0"/>
                <w:sz w:val="22"/>
                <w:szCs w:val="22"/>
                <w:highlight w:val="none"/>
                <w:lang w:eastAsia="zh-CN"/>
              </w:rPr>
              <w:t>营养师资格证书、</w:t>
            </w:r>
            <w:r>
              <w:rPr>
                <w:rFonts w:hint="eastAsia" w:ascii="宋体" w:hAnsi="宋体" w:eastAsia="宋体" w:cs="宋体"/>
                <w:b/>
                <w:bCs/>
                <w:color w:val="auto"/>
                <w:kern w:val="0"/>
                <w:sz w:val="22"/>
                <w:szCs w:val="22"/>
                <w:highlight w:val="none"/>
                <w:lang w:val="en-US" w:eastAsia="zh-CN"/>
              </w:rPr>
              <w:t>心理咨询师</w:t>
            </w:r>
            <w:r>
              <w:rPr>
                <w:rFonts w:hint="eastAsia" w:ascii="宋体" w:hAnsi="宋体" w:eastAsia="宋体" w:cs="宋体"/>
                <w:b/>
                <w:bCs/>
                <w:color w:val="auto"/>
                <w:kern w:val="0"/>
                <w:sz w:val="22"/>
                <w:szCs w:val="22"/>
                <w:highlight w:val="none"/>
                <w:lang w:eastAsia="zh-CN"/>
              </w:rPr>
              <w:t>资格证书、运动康复师证书</w:t>
            </w:r>
            <w:r>
              <w:rPr>
                <w:rFonts w:hint="eastAsia" w:ascii="宋体" w:hAnsi="宋体" w:eastAsia="宋体" w:cs="宋体"/>
                <w:b/>
                <w:bCs/>
                <w:color w:val="auto"/>
                <w:kern w:val="0"/>
                <w:sz w:val="22"/>
                <w:szCs w:val="22"/>
                <w:highlight w:val="none"/>
                <w:lang w:val="en-US" w:eastAsia="zh-CN"/>
              </w:rPr>
              <w:t>、医师证书、</w:t>
            </w:r>
            <w:r>
              <w:rPr>
                <w:rFonts w:hint="eastAsia" w:ascii="宋体" w:hAnsi="宋体" w:eastAsia="宋体" w:cs="宋体"/>
                <w:b/>
                <w:bCs/>
                <w:color w:val="auto"/>
                <w:kern w:val="0"/>
                <w:sz w:val="22"/>
                <w:szCs w:val="22"/>
                <w:highlight w:val="none"/>
                <w:lang w:eastAsia="zh-CN"/>
              </w:rPr>
              <w:t>初级护师及以上证书、</w:t>
            </w:r>
            <w:r>
              <w:rPr>
                <w:rFonts w:hint="eastAsia" w:ascii="宋体" w:hAnsi="宋体" w:eastAsia="宋体" w:cs="宋体"/>
                <w:b/>
                <w:bCs/>
                <w:color w:val="auto"/>
                <w:kern w:val="0"/>
                <w:sz w:val="22"/>
                <w:szCs w:val="22"/>
                <w:highlight w:val="none"/>
                <w:lang w:val="en-US" w:eastAsia="zh-CN"/>
              </w:rPr>
              <w:t>健康管理</w:t>
            </w:r>
            <w:r>
              <w:rPr>
                <w:rFonts w:hint="eastAsia" w:ascii="宋体" w:hAnsi="宋体" w:eastAsia="宋体" w:cs="宋体"/>
                <w:b/>
                <w:bCs/>
                <w:color w:val="auto"/>
                <w:kern w:val="0"/>
                <w:sz w:val="22"/>
                <w:szCs w:val="22"/>
                <w:highlight w:val="none"/>
                <w:lang w:eastAsia="zh-CN"/>
              </w:rPr>
              <w:t>证书</w:t>
            </w:r>
            <w:r>
              <w:rPr>
                <w:rFonts w:hint="eastAsia" w:ascii="宋体" w:hAnsi="宋体" w:eastAsia="宋体" w:cs="宋体"/>
                <w:b/>
                <w:bCs/>
                <w:color w:val="auto"/>
                <w:kern w:val="0"/>
                <w:sz w:val="22"/>
                <w:szCs w:val="22"/>
                <w:highlight w:val="none"/>
                <w:lang w:val="en-US" w:eastAsia="zh-CN"/>
              </w:rPr>
              <w:t>等</w:t>
            </w:r>
            <w:r>
              <w:rPr>
                <w:rFonts w:hint="eastAsia" w:ascii="宋体" w:hAnsi="宋体" w:eastAsia="宋体" w:cs="宋体"/>
                <w:b/>
                <w:bCs/>
                <w:color w:val="auto"/>
                <w:kern w:val="0"/>
                <w:sz w:val="22"/>
                <w:szCs w:val="22"/>
                <w:highlight w:val="none"/>
                <w:lang w:eastAsia="zh-CN"/>
              </w:rPr>
              <w:t>，及20</w:t>
            </w:r>
            <w:r>
              <w:rPr>
                <w:rFonts w:hint="eastAsia" w:ascii="宋体" w:hAnsi="宋体" w:eastAsia="宋体" w:cs="宋体"/>
                <w:b/>
                <w:bCs/>
                <w:color w:val="auto"/>
                <w:kern w:val="0"/>
                <w:sz w:val="22"/>
                <w:szCs w:val="22"/>
                <w:highlight w:val="none"/>
                <w:lang w:val="en-US" w:eastAsia="zh-CN"/>
              </w:rPr>
              <w:t>25</w:t>
            </w:r>
            <w:r>
              <w:rPr>
                <w:rFonts w:hint="eastAsia" w:ascii="宋体" w:hAnsi="宋体" w:eastAsia="宋体" w:cs="宋体"/>
                <w:b/>
                <w:bCs/>
                <w:color w:val="auto"/>
                <w:kern w:val="0"/>
                <w:sz w:val="22"/>
                <w:szCs w:val="22"/>
                <w:highlight w:val="none"/>
                <w:lang w:eastAsia="zh-CN"/>
              </w:rPr>
              <w:t>年1月以来任意三个月由服务供应商为其缴纳的社保证明材料并加盖公章，否则不得分。）</w:t>
            </w:r>
          </w:p>
        </w:tc>
      </w:tr>
      <w:tr w14:paraId="0B99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1B25A63B">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91" w:type="pct"/>
            <w:noWrap w:val="0"/>
            <w:vAlign w:val="center"/>
          </w:tcPr>
          <w:p w14:paraId="751EE7C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软件支持团队负责人</w:t>
            </w:r>
          </w:p>
        </w:tc>
        <w:tc>
          <w:tcPr>
            <w:tcW w:w="487" w:type="pct"/>
            <w:noWrap w:val="0"/>
            <w:vAlign w:val="center"/>
          </w:tcPr>
          <w:p w14:paraId="72BB95D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3409" w:type="pct"/>
            <w:noWrap w:val="0"/>
            <w:vAlign w:val="center"/>
          </w:tcPr>
          <w:p w14:paraId="17B0E2F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rPr>
              <w:t>负责人具备计算机技术与软件专业技术资格（水平）考试的信息系统项目管理师</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系统集成项目管理工程师证书，每提供一项的</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分，最高得</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分。</w:t>
            </w:r>
          </w:p>
          <w:p w14:paraId="282AAFE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团队成员（除</w:t>
            </w:r>
            <w:r>
              <w:rPr>
                <w:rFonts w:hint="eastAsia" w:ascii="宋体" w:hAnsi="宋体" w:eastAsia="宋体" w:cs="宋体"/>
                <w:color w:val="auto"/>
                <w:kern w:val="0"/>
                <w:sz w:val="22"/>
                <w:szCs w:val="22"/>
                <w:highlight w:val="none"/>
                <w:lang w:val="en-US" w:eastAsia="zh-CN"/>
              </w:rPr>
              <w:t>项目负责人</w:t>
            </w:r>
            <w:r>
              <w:rPr>
                <w:rFonts w:hint="eastAsia" w:ascii="宋体" w:hAnsi="宋体" w:eastAsia="宋体" w:cs="宋体"/>
                <w:color w:val="auto"/>
                <w:kern w:val="0"/>
                <w:sz w:val="22"/>
                <w:szCs w:val="22"/>
                <w:highlight w:val="none"/>
              </w:rPr>
              <w:t>外）：具备计算机技术与软件专业技术资格（水平）考试的系统架构设计师</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信息系统管理工程师证书，每提供一项</w:t>
            </w:r>
            <w:r>
              <w:rPr>
                <w:rFonts w:hint="eastAsia" w:ascii="宋体" w:hAnsi="宋体" w:eastAsia="宋体" w:cs="宋体"/>
                <w:color w:val="auto"/>
                <w:kern w:val="0"/>
                <w:sz w:val="22"/>
                <w:szCs w:val="22"/>
                <w:highlight w:val="none"/>
                <w:lang w:val="en-US" w:eastAsia="zh-CN"/>
              </w:rPr>
              <w:t>得1</w:t>
            </w:r>
            <w:r>
              <w:rPr>
                <w:rFonts w:hint="eastAsia" w:ascii="宋体" w:hAnsi="宋体" w:eastAsia="宋体" w:cs="宋体"/>
                <w:color w:val="auto"/>
                <w:kern w:val="0"/>
                <w:sz w:val="22"/>
                <w:szCs w:val="22"/>
                <w:highlight w:val="none"/>
              </w:rPr>
              <w:t>分，最高得</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p w14:paraId="1516B59B">
            <w:pPr>
              <w:widowControl/>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（提供证书复印件及</w:t>
            </w:r>
            <w:r>
              <w:rPr>
                <w:rFonts w:hint="eastAsia" w:ascii="宋体" w:hAnsi="宋体" w:eastAsia="宋体" w:cs="宋体"/>
                <w:b/>
                <w:bCs/>
                <w:color w:val="auto"/>
                <w:sz w:val="22"/>
                <w:szCs w:val="22"/>
                <w:highlight w:val="none"/>
              </w:rPr>
              <w:t>20</w:t>
            </w:r>
            <w:r>
              <w:rPr>
                <w:rFonts w:hint="eastAsia" w:ascii="宋体" w:hAnsi="宋体" w:eastAsia="宋体" w:cs="宋体"/>
                <w:b/>
                <w:bCs/>
                <w:color w:val="auto"/>
                <w:sz w:val="22"/>
                <w:szCs w:val="22"/>
                <w:highlight w:val="none"/>
                <w:lang w:val="en-US" w:eastAsia="zh-CN"/>
              </w:rPr>
              <w:t>25</w:t>
            </w:r>
            <w:r>
              <w:rPr>
                <w:rFonts w:hint="eastAsia" w:ascii="宋体" w:hAnsi="宋体" w:eastAsia="宋体" w:cs="宋体"/>
                <w:b/>
                <w:bCs/>
                <w:color w:val="auto"/>
                <w:sz w:val="22"/>
                <w:szCs w:val="22"/>
                <w:highlight w:val="none"/>
              </w:rPr>
              <w:t>年1月</w:t>
            </w:r>
            <w:r>
              <w:rPr>
                <w:rFonts w:hint="eastAsia" w:ascii="宋体" w:hAnsi="宋体" w:eastAsia="宋体" w:cs="宋体"/>
                <w:b/>
                <w:bCs/>
                <w:color w:val="auto"/>
                <w:kern w:val="0"/>
                <w:sz w:val="22"/>
                <w:szCs w:val="22"/>
                <w:highlight w:val="none"/>
              </w:rPr>
              <w:t>以来任意三个月由服务供应商为其缴纳的社保证明材料并加盖服务供应商公章，否则不得分。）</w:t>
            </w:r>
          </w:p>
        </w:tc>
      </w:tr>
      <w:tr w14:paraId="0375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311" w:type="pct"/>
            <w:noWrap w:val="0"/>
            <w:vAlign w:val="center"/>
          </w:tcPr>
          <w:p w14:paraId="29E6CABC">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791" w:type="pct"/>
            <w:noWrap w:val="0"/>
            <w:vAlign w:val="center"/>
          </w:tcPr>
          <w:p w14:paraId="033475D2">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服务支持工具</w:t>
            </w:r>
          </w:p>
        </w:tc>
        <w:tc>
          <w:tcPr>
            <w:tcW w:w="487" w:type="pct"/>
            <w:noWrap w:val="0"/>
            <w:vAlign w:val="center"/>
          </w:tcPr>
          <w:p w14:paraId="7BAA62D3">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3409" w:type="pct"/>
            <w:noWrap w:val="0"/>
            <w:vAlign w:val="center"/>
          </w:tcPr>
          <w:p w14:paraId="4591D84F">
            <w:pPr>
              <w:pStyle w:val="23"/>
              <w:ind w:left="0" w:leftChars="0" w:firstLine="0" w:firstLineChars="0"/>
              <w:rPr>
                <w:rFonts w:hint="eastAsia"/>
                <w:color w:val="auto"/>
                <w:highlight w:val="none"/>
              </w:rPr>
            </w:pPr>
            <w:r>
              <w:rPr>
                <w:rFonts w:hint="eastAsia" w:ascii="宋体" w:hAnsi="宋体" w:eastAsia="宋体" w:cs="宋体"/>
                <w:b w:val="0"/>
                <w:bCs w:val="0"/>
                <w:color w:val="auto"/>
                <w:kern w:val="0"/>
                <w:sz w:val="22"/>
                <w:szCs w:val="22"/>
                <w:highlight w:val="none"/>
              </w:rPr>
              <w:t>服务供应商</w:t>
            </w:r>
            <w:r>
              <w:rPr>
                <w:rFonts w:hint="eastAsia" w:ascii="宋体" w:hAnsi="宋体" w:eastAsia="宋体" w:cs="宋体"/>
                <w:b w:val="0"/>
                <w:bCs w:val="0"/>
                <w:color w:val="auto"/>
                <w:kern w:val="0"/>
                <w:sz w:val="22"/>
                <w:szCs w:val="22"/>
                <w:highlight w:val="none"/>
                <w:lang w:val="en-US" w:eastAsia="zh-CN"/>
              </w:rPr>
              <w:t>具有</w:t>
            </w:r>
            <w:r>
              <w:rPr>
                <w:rFonts w:hint="eastAsia" w:ascii="宋体" w:hAnsi="宋体" w:eastAsia="宋体" w:cs="宋体"/>
                <w:b w:val="0"/>
                <w:bCs w:val="0"/>
                <w:color w:val="auto"/>
                <w:kern w:val="0"/>
                <w:sz w:val="22"/>
                <w:szCs w:val="22"/>
                <w:highlight w:val="none"/>
              </w:rPr>
              <w:t>疾病精细化管理系统类、医学减重管理系统类、智能营养管理系统类和智能运动康复系统类计算机软件著作权登记证书的，每提供1类得1</w:t>
            </w:r>
            <w:r>
              <w:rPr>
                <w:rFonts w:hint="eastAsia" w:ascii="宋体" w:hAnsi="宋体" w:eastAsia="宋体" w:cs="宋体"/>
                <w:b w:val="0"/>
                <w:bCs w:val="0"/>
                <w:color w:val="auto"/>
                <w:kern w:val="0"/>
                <w:sz w:val="22"/>
                <w:szCs w:val="22"/>
                <w:highlight w:val="none"/>
                <w:lang w:val="en-US" w:eastAsia="zh-CN"/>
              </w:rPr>
              <w:t>.5</w:t>
            </w:r>
            <w:r>
              <w:rPr>
                <w:rFonts w:hint="eastAsia" w:ascii="宋体" w:hAnsi="宋体" w:eastAsia="宋体" w:cs="宋体"/>
                <w:b w:val="0"/>
                <w:bCs w:val="0"/>
                <w:color w:val="auto"/>
                <w:kern w:val="0"/>
                <w:sz w:val="22"/>
                <w:szCs w:val="22"/>
                <w:highlight w:val="none"/>
              </w:rPr>
              <w:t>分，本项得最高</w:t>
            </w:r>
            <w:r>
              <w:rPr>
                <w:rFonts w:hint="eastAsia" w:ascii="宋体" w:hAnsi="宋体" w:eastAsia="宋体" w:cs="宋体"/>
                <w:b w:val="0"/>
                <w:bCs w:val="0"/>
                <w:color w:val="auto"/>
                <w:kern w:val="0"/>
                <w:sz w:val="22"/>
                <w:szCs w:val="22"/>
                <w:highlight w:val="none"/>
                <w:lang w:val="en-US" w:eastAsia="zh-CN"/>
              </w:rPr>
              <w:t>6</w:t>
            </w:r>
            <w:r>
              <w:rPr>
                <w:rFonts w:hint="eastAsia" w:ascii="宋体" w:hAnsi="宋体" w:eastAsia="宋体" w:cs="宋体"/>
                <w:b w:val="0"/>
                <w:bCs w:val="0"/>
                <w:color w:val="auto"/>
                <w:kern w:val="0"/>
                <w:sz w:val="22"/>
                <w:szCs w:val="22"/>
                <w:highlight w:val="none"/>
              </w:rPr>
              <w:t>分；每类证书不重复计分。</w:t>
            </w:r>
            <w:r>
              <w:rPr>
                <w:rFonts w:hint="eastAsia" w:ascii="宋体" w:hAnsi="宋体" w:eastAsia="宋体" w:cs="宋体"/>
                <w:b/>
                <w:bCs/>
                <w:color w:val="auto"/>
                <w:kern w:val="0"/>
                <w:sz w:val="22"/>
                <w:szCs w:val="22"/>
                <w:highlight w:val="none"/>
                <w:lang w:val="zh-CN"/>
              </w:rPr>
              <w:t>（提供证书复印件并加盖公章。）</w:t>
            </w:r>
          </w:p>
        </w:tc>
      </w:tr>
      <w:tr w14:paraId="2CB5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3EF345EB">
            <w:pPr>
              <w:widowControl/>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791" w:type="pct"/>
            <w:noWrap w:val="0"/>
            <w:vAlign w:val="center"/>
          </w:tcPr>
          <w:p w14:paraId="5C9A080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项目理解</w:t>
            </w:r>
          </w:p>
        </w:tc>
        <w:tc>
          <w:tcPr>
            <w:tcW w:w="487" w:type="pct"/>
            <w:noWrap w:val="0"/>
            <w:vAlign w:val="center"/>
          </w:tcPr>
          <w:p w14:paraId="6E3C40F5">
            <w:pPr>
              <w:widowControl/>
              <w:jc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分</w:t>
            </w:r>
          </w:p>
        </w:tc>
        <w:tc>
          <w:tcPr>
            <w:tcW w:w="3409" w:type="pct"/>
            <w:noWrap w:val="0"/>
            <w:vAlign w:val="center"/>
          </w:tcPr>
          <w:p w14:paraId="1503F1F6">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根据服务供应商针对本项目理解，内容包括但不限于服务内容、情况、实施等情况的理解、分析，项目实施过程中的关键点、重点、难点以及相应的控制措施、解决思路、方法等的情况进行综合评分：</w:t>
            </w:r>
          </w:p>
          <w:p w14:paraId="54ABC156">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项目理解深刻、阐述详细合理、实施方案可行性强，关键点、重点、难点把握到位、分析透彻、对应措施切实可行，科学合理的，得</w:t>
            </w:r>
            <w:r>
              <w:rPr>
                <w:rFonts w:hint="eastAsia" w:ascii="宋体" w:hAnsi="宋体" w:cs="宋体"/>
                <w:color w:val="auto"/>
                <w:kern w:val="0"/>
                <w:sz w:val="22"/>
                <w:szCs w:val="22"/>
                <w:highlight w:val="none"/>
                <w:lang w:val="en-US" w:eastAsia="zh-CN"/>
              </w:rPr>
              <w:t>（12，11，10，9，8）</w:t>
            </w:r>
            <w:r>
              <w:rPr>
                <w:rFonts w:hint="eastAsia" w:ascii="宋体" w:hAnsi="宋体" w:eastAsia="宋体" w:cs="宋体"/>
                <w:color w:val="auto"/>
                <w:kern w:val="0"/>
                <w:sz w:val="22"/>
                <w:szCs w:val="22"/>
                <w:highlight w:val="none"/>
                <w:lang w:val="zh-CN"/>
              </w:rPr>
              <w:t>分；</w:t>
            </w:r>
          </w:p>
          <w:p w14:paraId="75068848">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项目理解较深刻、阐述较详细合理、实施方案可行性较强，关键点、重点、难点把握较到位、分析较透彻、对应措施较可行，建议较科学合理的，得</w:t>
            </w:r>
            <w:r>
              <w:rPr>
                <w:rFonts w:hint="eastAsia" w:ascii="宋体" w:hAnsi="宋体" w:cs="宋体"/>
                <w:color w:val="auto"/>
                <w:kern w:val="0"/>
                <w:sz w:val="22"/>
                <w:szCs w:val="22"/>
                <w:highlight w:val="none"/>
                <w:lang w:val="en-US" w:eastAsia="zh-CN"/>
              </w:rPr>
              <w:t>（7，6，5，4）</w:t>
            </w:r>
            <w:r>
              <w:rPr>
                <w:rFonts w:hint="eastAsia" w:ascii="宋体" w:hAnsi="宋体" w:eastAsia="宋体" w:cs="宋体"/>
                <w:color w:val="auto"/>
                <w:kern w:val="0"/>
                <w:sz w:val="22"/>
                <w:szCs w:val="22"/>
                <w:highlight w:val="none"/>
                <w:lang w:val="zh-CN"/>
              </w:rPr>
              <w:t>分；</w:t>
            </w:r>
          </w:p>
          <w:p w14:paraId="64D1DB89">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理解认识不深刻、阐述合理性一般、实施方案可行性一般，关键点、重点、难点未能把握到位、对应措施可行性一般，建议科学性一般的，得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3，2，1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5C3A7689">
            <w:pPr>
              <w:widowControl/>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未提及不得分。</w:t>
            </w:r>
          </w:p>
        </w:tc>
      </w:tr>
      <w:tr w14:paraId="61C5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 w:type="pct"/>
            <w:vMerge w:val="restart"/>
            <w:noWrap w:val="0"/>
            <w:vAlign w:val="center"/>
          </w:tcPr>
          <w:p w14:paraId="0B157F11">
            <w:pPr>
              <w:widowControl/>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791" w:type="pct"/>
            <w:vMerge w:val="restart"/>
            <w:noWrap w:val="0"/>
            <w:vAlign w:val="center"/>
          </w:tcPr>
          <w:p w14:paraId="45AD4D9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技术方案</w:t>
            </w:r>
          </w:p>
          <w:p w14:paraId="719F355D">
            <w:pPr>
              <w:widowControl/>
              <w:jc w:val="center"/>
              <w:rPr>
                <w:rFonts w:hint="eastAsia" w:ascii="宋体" w:hAnsi="宋体" w:eastAsia="宋体" w:cs="宋体"/>
                <w:color w:val="auto"/>
                <w:kern w:val="0"/>
                <w:sz w:val="22"/>
                <w:szCs w:val="22"/>
                <w:highlight w:val="none"/>
              </w:rPr>
            </w:pPr>
          </w:p>
        </w:tc>
        <w:tc>
          <w:tcPr>
            <w:tcW w:w="487" w:type="pct"/>
            <w:noWrap w:val="0"/>
            <w:vAlign w:val="center"/>
          </w:tcPr>
          <w:p w14:paraId="78FBAE4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3409" w:type="pct"/>
            <w:noWrap w:val="0"/>
            <w:vAlign w:val="center"/>
          </w:tcPr>
          <w:p w14:paraId="7B42C4EE">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恶性肿瘤类疾病精细化管理医学路径内容：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等的情况进行综合评分：</w:t>
            </w:r>
          </w:p>
          <w:p w14:paraId="34E49601">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疾病管理路径内容完整，病种相关并发症分析科学，运动、饮食、关键指标干预等应对措施可行，随访表单等内容丰富的，得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345F04B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疾病管理路径内容较完整，病种相关并发症分析较科学，运动、饮食、关键指标干预等应对措施较可行，随访表单等内容较丰富的，得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55130C0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疾病管理路径内容完整性一般，病种相关并发症分析科学性一般，运动、饮食、关键指标干预等应对措施可行性一般，随访表单等内容不全面的，得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73A7C5F7">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42AA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vMerge w:val="continue"/>
            <w:noWrap w:val="0"/>
            <w:vAlign w:val="center"/>
          </w:tcPr>
          <w:p w14:paraId="248DE4E0">
            <w:pPr>
              <w:pStyle w:val="52"/>
              <w:spacing w:after="0"/>
              <w:ind w:left="0" w:leftChars="0" w:firstLine="0" w:firstLineChars="0"/>
              <w:jc w:val="center"/>
              <w:rPr>
                <w:rFonts w:hint="eastAsia" w:ascii="宋体" w:hAnsi="宋体" w:eastAsia="宋体" w:cs="宋体"/>
                <w:color w:val="auto"/>
                <w:sz w:val="22"/>
                <w:szCs w:val="22"/>
                <w:highlight w:val="none"/>
              </w:rPr>
            </w:pPr>
          </w:p>
        </w:tc>
        <w:tc>
          <w:tcPr>
            <w:tcW w:w="791" w:type="pct"/>
            <w:vMerge w:val="continue"/>
            <w:noWrap w:val="0"/>
            <w:vAlign w:val="center"/>
          </w:tcPr>
          <w:p w14:paraId="12301F34">
            <w:pPr>
              <w:pStyle w:val="52"/>
              <w:spacing w:after="0"/>
              <w:ind w:left="0" w:leftChars="0" w:firstLine="0" w:firstLineChars="0"/>
              <w:rPr>
                <w:rFonts w:hint="eastAsia" w:ascii="宋体" w:hAnsi="宋体" w:eastAsia="宋体" w:cs="宋体"/>
                <w:color w:val="auto"/>
                <w:sz w:val="22"/>
                <w:szCs w:val="22"/>
                <w:highlight w:val="none"/>
              </w:rPr>
            </w:pPr>
          </w:p>
        </w:tc>
        <w:tc>
          <w:tcPr>
            <w:tcW w:w="487" w:type="pct"/>
            <w:noWrap w:val="0"/>
            <w:vAlign w:val="center"/>
          </w:tcPr>
          <w:p w14:paraId="0A0CE54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3409" w:type="pct"/>
            <w:noWrap w:val="0"/>
            <w:vAlign w:val="center"/>
          </w:tcPr>
          <w:p w14:paraId="1FEB878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慢性病类疾病精细化管理医学路径内容：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等的情况进行综合评分：</w:t>
            </w:r>
          </w:p>
          <w:p w14:paraId="4191D552">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疾病管理路径内容完整，病种相关并发症分析科学，运动、饮食、关键指标干预等应对措施可行，随访表单等内容丰富的，得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1F5689AE">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疾病管理路径内容较完整，病种相关并发症分析较科学，运动、饮食、关键指标干预等应对措施较可行，随访表单等内容较丰富的，得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5FAEAB78">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疾病管理路径内容完整性一般，病种相关并发症分析科学性一般，运动、饮食、关键指标干预等应对措施可行性一般，随访表单等内容不全面的，得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6D0E3A0F">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4C9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vMerge w:val="continue"/>
            <w:noWrap w:val="0"/>
            <w:vAlign w:val="center"/>
          </w:tcPr>
          <w:p w14:paraId="65FBABA0">
            <w:pPr>
              <w:pStyle w:val="52"/>
              <w:spacing w:after="0"/>
              <w:ind w:left="0" w:leftChars="0" w:firstLine="0" w:firstLineChars="0"/>
              <w:jc w:val="center"/>
              <w:rPr>
                <w:rFonts w:hint="eastAsia" w:ascii="宋体" w:hAnsi="宋体" w:eastAsia="宋体" w:cs="宋体"/>
                <w:color w:val="auto"/>
                <w:sz w:val="22"/>
                <w:szCs w:val="22"/>
                <w:highlight w:val="none"/>
              </w:rPr>
            </w:pPr>
          </w:p>
        </w:tc>
        <w:tc>
          <w:tcPr>
            <w:tcW w:w="791" w:type="pct"/>
            <w:vMerge w:val="continue"/>
            <w:noWrap w:val="0"/>
            <w:vAlign w:val="center"/>
          </w:tcPr>
          <w:p w14:paraId="5F2DADBA">
            <w:pPr>
              <w:pStyle w:val="52"/>
              <w:spacing w:after="0"/>
              <w:ind w:left="0" w:leftChars="0" w:firstLine="0" w:firstLineChars="0"/>
              <w:rPr>
                <w:rFonts w:hint="eastAsia" w:ascii="宋体" w:hAnsi="宋体" w:eastAsia="宋体" w:cs="宋体"/>
                <w:color w:val="auto"/>
                <w:sz w:val="22"/>
                <w:szCs w:val="22"/>
                <w:highlight w:val="none"/>
              </w:rPr>
            </w:pPr>
          </w:p>
        </w:tc>
        <w:tc>
          <w:tcPr>
            <w:tcW w:w="487" w:type="pct"/>
            <w:noWrap w:val="0"/>
            <w:vAlign w:val="center"/>
          </w:tcPr>
          <w:p w14:paraId="2D04AD8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3409" w:type="pct"/>
            <w:noWrap w:val="0"/>
            <w:vAlign w:val="center"/>
          </w:tcPr>
          <w:p w14:paraId="7DC14C43">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日间手术和重大手术后类疾病精细化管理医学路径内容：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等的情况进行综合评分：</w:t>
            </w:r>
          </w:p>
          <w:p w14:paraId="2637CCDC">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疾病管理路径内容完整，病种相关并发症分析科学，运动、饮食、关键指标干预等应对措施可行，随访表单等内容丰富的，得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79E019B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疾病管理路径内容较完整，病种相关并发症分析较科学，运动、饮食、关键指标干预等应对措施较可行，随访表单等内容较丰富的，得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704B361C">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疾病管理路径内容完整性一般，病种相关并发症分析科学性一般，运动、饮食、关键指标干预等应对措施可行性一般，随访表单等内容不全面的，得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312DF4A3">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168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vMerge w:val="continue"/>
            <w:noWrap w:val="0"/>
            <w:vAlign w:val="center"/>
          </w:tcPr>
          <w:p w14:paraId="0B833220">
            <w:pPr>
              <w:pStyle w:val="52"/>
              <w:spacing w:after="0"/>
              <w:ind w:left="0" w:leftChars="0" w:firstLine="0" w:firstLineChars="0"/>
              <w:jc w:val="center"/>
              <w:rPr>
                <w:rFonts w:hint="eastAsia" w:ascii="宋体" w:hAnsi="宋体" w:eastAsia="宋体" w:cs="宋体"/>
                <w:color w:val="auto"/>
                <w:sz w:val="22"/>
                <w:szCs w:val="22"/>
                <w:highlight w:val="none"/>
              </w:rPr>
            </w:pPr>
          </w:p>
        </w:tc>
        <w:tc>
          <w:tcPr>
            <w:tcW w:w="791" w:type="pct"/>
            <w:vMerge w:val="continue"/>
            <w:noWrap w:val="0"/>
            <w:vAlign w:val="center"/>
          </w:tcPr>
          <w:p w14:paraId="34EFF875">
            <w:pPr>
              <w:pStyle w:val="52"/>
              <w:spacing w:after="0"/>
              <w:ind w:left="0" w:leftChars="0" w:firstLine="0" w:firstLineChars="0"/>
              <w:rPr>
                <w:rFonts w:hint="eastAsia" w:ascii="宋体" w:hAnsi="宋体" w:eastAsia="宋体" w:cs="宋体"/>
                <w:color w:val="auto"/>
                <w:sz w:val="22"/>
                <w:szCs w:val="22"/>
                <w:highlight w:val="none"/>
              </w:rPr>
            </w:pPr>
          </w:p>
        </w:tc>
        <w:tc>
          <w:tcPr>
            <w:tcW w:w="487" w:type="pct"/>
            <w:noWrap w:val="0"/>
            <w:vAlign w:val="center"/>
          </w:tcPr>
          <w:p w14:paraId="4EC4589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3409" w:type="pct"/>
            <w:noWrap w:val="0"/>
            <w:vAlign w:val="center"/>
          </w:tcPr>
          <w:p w14:paraId="34C9707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妇女和儿童类疾病精细化管理医学路径内容：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等的情况进行综合评分：</w:t>
            </w:r>
          </w:p>
          <w:p w14:paraId="7D630E76">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疾病管理路径内容完整，病种相关并发症分析科学，运动、饮食、关键指标干预等应对措施可行，随访表单等内容丰富的，得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30D0EC6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疾病管理路径内容较完整，病种相关并发症分析较科学，运动、饮食、关键指标干预等应对措施较可行，随访表单等内容较丰富的，得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2D7D723A">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疾病管理路径内容完整性一般，病种相关并发症分析科学性一般，运动、饮食、关键指标干预等应对措施可行性一般，随访表单等内容不全面的，得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51AAFF46">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32A6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vMerge w:val="continue"/>
            <w:noWrap w:val="0"/>
            <w:vAlign w:val="center"/>
          </w:tcPr>
          <w:p w14:paraId="2FBF03DD">
            <w:pPr>
              <w:widowControl/>
              <w:jc w:val="center"/>
              <w:rPr>
                <w:rFonts w:hint="eastAsia" w:ascii="宋体" w:hAnsi="宋体" w:eastAsia="宋体" w:cs="宋体"/>
                <w:color w:val="auto"/>
                <w:kern w:val="0"/>
                <w:sz w:val="22"/>
                <w:szCs w:val="22"/>
                <w:highlight w:val="none"/>
              </w:rPr>
            </w:pPr>
          </w:p>
        </w:tc>
        <w:tc>
          <w:tcPr>
            <w:tcW w:w="791" w:type="pct"/>
            <w:vMerge w:val="continue"/>
            <w:noWrap w:val="0"/>
            <w:vAlign w:val="center"/>
          </w:tcPr>
          <w:p w14:paraId="4D1564A4">
            <w:pPr>
              <w:widowControl/>
              <w:jc w:val="center"/>
              <w:rPr>
                <w:rFonts w:hint="eastAsia" w:ascii="宋体" w:hAnsi="宋体" w:eastAsia="宋体" w:cs="宋体"/>
                <w:color w:val="auto"/>
                <w:kern w:val="0"/>
                <w:sz w:val="22"/>
                <w:szCs w:val="22"/>
                <w:highlight w:val="none"/>
              </w:rPr>
            </w:pPr>
          </w:p>
        </w:tc>
        <w:tc>
          <w:tcPr>
            <w:tcW w:w="487" w:type="pct"/>
            <w:noWrap w:val="0"/>
            <w:vAlign w:val="center"/>
          </w:tcPr>
          <w:p w14:paraId="668F262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6分</w:t>
            </w:r>
          </w:p>
        </w:tc>
        <w:tc>
          <w:tcPr>
            <w:tcW w:w="3409" w:type="pct"/>
            <w:noWrap w:val="0"/>
            <w:vAlign w:val="center"/>
          </w:tcPr>
          <w:p w14:paraId="19A4B9DC">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减重管理类疾病精细化管理医学路径内容：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等的情况进行综合评分：</w:t>
            </w:r>
          </w:p>
          <w:p w14:paraId="2385D2F5">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疾病管理路径内容完整，病种相关并发症分析科学，运动、饮食、关键指标干预等应对措施可行，随访表单等内容丰富的，得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53DADB0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疾病管理路径内容较完整，病种相关并发症分析较科学，运动、饮食、关键指标干预等应对措施较可行，随访表单等内容较丰富的，得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4，3</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1D85363C">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疾病管理路径内容完整性一般，病种相关并发症分析科学性一般，运动、饮食、关键指标干预等应对措施可行性一般，随访表单等内容不全面的，得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分；</w:t>
            </w:r>
          </w:p>
          <w:p w14:paraId="6449862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58AD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0777EFEB">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791" w:type="pct"/>
            <w:noWrap w:val="0"/>
            <w:vAlign w:val="center"/>
          </w:tcPr>
          <w:p w14:paraId="0BA5424B">
            <w:pPr>
              <w:widowControl/>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工作管理体系及绩效考核方案</w:t>
            </w:r>
          </w:p>
        </w:tc>
        <w:tc>
          <w:tcPr>
            <w:tcW w:w="487" w:type="pct"/>
            <w:noWrap w:val="0"/>
            <w:vAlign w:val="center"/>
          </w:tcPr>
          <w:p w14:paraId="6C0058F5">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3409" w:type="pct"/>
            <w:noWrap w:val="0"/>
            <w:vAlign w:val="center"/>
          </w:tcPr>
          <w:p w14:paraId="3B5B8162">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根据服务供应商为本项目提供的服务工作管理体系及绩效考核方案，内容包括但不限于线上线下工作人员的工作流程、办公场地6S标准管理规范、工作人员绩效考核办法、关键节点SOP操作规范、岗位具体工作职责、岗位分工等的情况进行综合评分：</w:t>
            </w:r>
          </w:p>
          <w:p w14:paraId="56B457C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人员安排合理、工作流程全面完善、绩效考核办法操作性强的，得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0D187C8D">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人员安排较合理、工作流程较全面完善、绩效考核办法操作性较强的，得</w:t>
            </w:r>
            <w:r>
              <w:rPr>
                <w:rFonts w:hint="eastAsia" w:ascii="宋体" w:hAnsi="宋体" w:cs="宋体"/>
                <w:color w:val="auto"/>
                <w:kern w:val="0"/>
                <w:sz w:val="22"/>
                <w:szCs w:val="22"/>
                <w:highlight w:val="none"/>
                <w:lang w:val="en-US" w:eastAsia="zh-CN"/>
              </w:rPr>
              <w:t>（4，3）</w:t>
            </w:r>
            <w:r>
              <w:rPr>
                <w:rFonts w:hint="eastAsia" w:ascii="宋体" w:hAnsi="宋体" w:eastAsia="宋体" w:cs="宋体"/>
                <w:color w:val="auto"/>
                <w:kern w:val="0"/>
                <w:sz w:val="22"/>
                <w:szCs w:val="22"/>
                <w:highlight w:val="none"/>
                <w:lang w:val="zh-CN"/>
              </w:rPr>
              <w:t>分；</w:t>
            </w:r>
          </w:p>
          <w:p w14:paraId="1BDE4DB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人员安排及工作流程合理性一般、绩效考核办法操作性一般的，得</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66E5856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1DA2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1DFC281E">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w:t>
            </w:r>
          </w:p>
        </w:tc>
        <w:tc>
          <w:tcPr>
            <w:tcW w:w="791" w:type="pct"/>
            <w:noWrap w:val="0"/>
            <w:vAlign w:val="center"/>
          </w:tcPr>
          <w:p w14:paraId="309796F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安全保密方案</w:t>
            </w:r>
          </w:p>
        </w:tc>
        <w:tc>
          <w:tcPr>
            <w:tcW w:w="487" w:type="pct"/>
            <w:noWrap w:val="0"/>
            <w:vAlign w:val="center"/>
          </w:tcPr>
          <w:p w14:paraId="44073872">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3409" w:type="pct"/>
            <w:noWrap w:val="0"/>
            <w:vAlign w:val="center"/>
          </w:tcPr>
          <w:p w14:paraId="7EA4851D">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根据服务供应商为本项目提供的安全保密方案，内容包括但不限于安全责任制度、数据资料保密管理措施等的情况进行综合评分：</w:t>
            </w:r>
          </w:p>
          <w:p w14:paraId="002E6593">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安全责任制度内容详细完善可行、数据资料保密制度齐全、措施到位的，得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6，5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31DEA722">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安全责任制度内容较详细完善可行、数据资料保密制度较齐全、措施较到位的，得</w:t>
            </w:r>
            <w:r>
              <w:rPr>
                <w:rFonts w:hint="eastAsia" w:ascii="宋体" w:hAnsi="宋体" w:cs="宋体"/>
                <w:color w:val="auto"/>
                <w:kern w:val="0"/>
                <w:sz w:val="22"/>
                <w:szCs w:val="22"/>
                <w:highlight w:val="none"/>
                <w:lang w:val="en-US" w:eastAsia="zh-CN"/>
              </w:rPr>
              <w:t>（4，3）</w:t>
            </w:r>
            <w:r>
              <w:rPr>
                <w:rFonts w:hint="eastAsia" w:ascii="宋体" w:hAnsi="宋体" w:eastAsia="宋体" w:cs="宋体"/>
                <w:color w:val="auto"/>
                <w:kern w:val="0"/>
                <w:sz w:val="22"/>
                <w:szCs w:val="22"/>
                <w:highlight w:val="none"/>
                <w:lang w:val="zh-CN"/>
              </w:rPr>
              <w:t>分；</w:t>
            </w:r>
          </w:p>
          <w:p w14:paraId="704DDC0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安全责任制度、数据资料保密制度内容简单、措施可行性一般的，得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0881D2F6">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47BD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5A7EEA3C">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9</w:t>
            </w:r>
          </w:p>
        </w:tc>
        <w:tc>
          <w:tcPr>
            <w:tcW w:w="791" w:type="pct"/>
            <w:noWrap w:val="0"/>
            <w:vAlign w:val="center"/>
          </w:tcPr>
          <w:p w14:paraId="7D14C30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1"/>
                <w:szCs w:val="21"/>
                <w:highlight w:val="none"/>
                <w:lang w:val="en-US" w:eastAsia="zh-CN" w:bidi="ar-SA"/>
              </w:rPr>
              <w:t>企微履约质量风控能力</w:t>
            </w:r>
          </w:p>
        </w:tc>
        <w:tc>
          <w:tcPr>
            <w:tcW w:w="487" w:type="pct"/>
            <w:noWrap w:val="0"/>
            <w:vAlign w:val="center"/>
          </w:tcPr>
          <w:p w14:paraId="2A1F1C5B">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2分</w:t>
            </w:r>
          </w:p>
        </w:tc>
        <w:tc>
          <w:tcPr>
            <w:tcW w:w="3409" w:type="pct"/>
            <w:noWrap w:val="0"/>
            <w:vAlign w:val="center"/>
          </w:tcPr>
          <w:p w14:paraId="6CD2AC4A">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根据投标人为本项目提供的企微履约质量风控能力及其功能截图上的完整性打分：</w:t>
            </w:r>
          </w:p>
          <w:p w14:paraId="1E5F0C36">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①个案管理师端集成有企业微信的履约功能且可在发送内容信息前进行质检风控和拦截，截图上对应的软件功能点完备的得2分；</w:t>
            </w:r>
          </w:p>
          <w:p w14:paraId="70987CC9">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②用腾讯官方的企业微信的侧边栏来集成本软件履约功能即无法进行风控拦截的但能通过企业微信进行履约的得1分；</w:t>
            </w:r>
          </w:p>
          <w:p w14:paraId="07D07282">
            <w:pPr>
              <w:widowControl/>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③未见相关阐述的不得分。</w:t>
            </w:r>
          </w:p>
        </w:tc>
      </w:tr>
      <w:tr w14:paraId="68F9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4F9BB531">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791" w:type="pct"/>
            <w:noWrap w:val="0"/>
            <w:vAlign w:val="center"/>
          </w:tcPr>
          <w:p w14:paraId="2CE68CE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软件支持方案</w:t>
            </w:r>
          </w:p>
        </w:tc>
        <w:tc>
          <w:tcPr>
            <w:tcW w:w="487" w:type="pct"/>
            <w:noWrap w:val="0"/>
            <w:vAlign w:val="center"/>
          </w:tcPr>
          <w:p w14:paraId="38077A54">
            <w:pPr>
              <w:widowControl/>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3409" w:type="pct"/>
            <w:noWrap w:val="0"/>
            <w:vAlign w:val="center"/>
          </w:tcPr>
          <w:p w14:paraId="69C14B1B">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根据服务供应商为本项目提供软件支持方案，</w:t>
            </w:r>
            <w:r>
              <w:rPr>
                <w:rFonts w:hint="eastAsia" w:ascii="宋体" w:hAnsi="宋体" w:eastAsia="宋体" w:cs="宋体"/>
                <w:color w:val="auto"/>
                <w:kern w:val="0"/>
                <w:sz w:val="22"/>
                <w:szCs w:val="22"/>
                <w:highlight w:val="none"/>
                <w:lang w:val="en-US" w:eastAsia="zh-CN"/>
              </w:rPr>
              <w:t>根据</w:t>
            </w:r>
            <w:r>
              <w:rPr>
                <w:rFonts w:hint="eastAsia" w:ascii="宋体" w:hAnsi="宋体" w:eastAsia="宋体" w:cs="宋体"/>
                <w:color w:val="auto"/>
                <w:kern w:val="0"/>
                <w:sz w:val="22"/>
                <w:szCs w:val="22"/>
                <w:highlight w:val="none"/>
                <w:lang w:val="zh-CN"/>
              </w:rPr>
              <w:t>投标人为本项目提供的疾病精细化管理软件</w:t>
            </w:r>
            <w:r>
              <w:rPr>
                <w:rFonts w:hint="eastAsia" w:ascii="宋体" w:hAnsi="宋体" w:eastAsia="宋体" w:cs="宋体"/>
                <w:color w:val="auto"/>
                <w:kern w:val="0"/>
                <w:sz w:val="22"/>
                <w:szCs w:val="22"/>
                <w:highlight w:val="none"/>
                <w:lang w:val="en-US" w:eastAsia="zh-CN"/>
              </w:rPr>
              <w:t>功能描述的完整性打分，</w:t>
            </w:r>
            <w:r>
              <w:rPr>
                <w:rFonts w:hint="eastAsia" w:ascii="宋体" w:hAnsi="宋体" w:eastAsia="宋体" w:cs="宋体"/>
                <w:color w:val="auto"/>
                <w:kern w:val="0"/>
                <w:sz w:val="22"/>
                <w:szCs w:val="22"/>
                <w:highlight w:val="none"/>
                <w:lang w:val="zh-CN"/>
              </w:rPr>
              <w:t>包括运营支撑端（支持PC和PAD）、个案管理师端（支持PC和PAD）、院内医护端（支持PC端和小程序端）、患者端（微信小程序端）内容包括但不限于软件研发管理体系，系统软件的功能点及适用场景描述，诊后疾病精细化管理系统与现有系统的对接方案等的情况进行综合评分：</w:t>
            </w:r>
          </w:p>
          <w:p w14:paraId="01920FD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软件研发管理体系支撑能力强，软件功能完善、操作便捷、信息安全保障程度高，与现有系统的对接方案合理可行的，得</w:t>
            </w:r>
            <w:r>
              <w:rPr>
                <w:rFonts w:hint="eastAsia" w:ascii="宋体" w:hAnsi="宋体" w:cs="宋体"/>
                <w:color w:val="auto"/>
                <w:kern w:val="0"/>
                <w:sz w:val="22"/>
                <w:szCs w:val="22"/>
                <w:highlight w:val="none"/>
                <w:lang w:val="en-US" w:eastAsia="zh-CN"/>
              </w:rPr>
              <w:t>（6，5）</w:t>
            </w:r>
            <w:r>
              <w:rPr>
                <w:rFonts w:hint="eastAsia" w:ascii="宋体" w:hAnsi="宋体" w:eastAsia="宋体" w:cs="宋体"/>
                <w:color w:val="auto"/>
                <w:kern w:val="0"/>
                <w:sz w:val="22"/>
                <w:szCs w:val="22"/>
                <w:highlight w:val="none"/>
                <w:lang w:val="zh-CN"/>
              </w:rPr>
              <w:t>分；</w:t>
            </w:r>
          </w:p>
          <w:p w14:paraId="10679060">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软件研发管理体系支撑能力较强，软件功能较完善、操作较便捷、信息安全保障程度较高，与现有系统的对接方案较合理可行的，得</w:t>
            </w:r>
            <w:r>
              <w:rPr>
                <w:rFonts w:hint="eastAsia" w:ascii="宋体" w:hAnsi="宋体" w:cs="宋体"/>
                <w:color w:val="auto"/>
                <w:kern w:val="0"/>
                <w:sz w:val="22"/>
                <w:szCs w:val="22"/>
                <w:highlight w:val="none"/>
                <w:lang w:val="en-US" w:eastAsia="zh-CN"/>
              </w:rPr>
              <w:t>（4，3）</w:t>
            </w:r>
            <w:r>
              <w:rPr>
                <w:rFonts w:hint="eastAsia" w:ascii="宋体" w:hAnsi="宋体" w:eastAsia="宋体" w:cs="宋体"/>
                <w:color w:val="auto"/>
                <w:kern w:val="0"/>
                <w:sz w:val="22"/>
                <w:szCs w:val="22"/>
                <w:highlight w:val="none"/>
                <w:lang w:val="zh-CN"/>
              </w:rPr>
              <w:t>分；</w:t>
            </w:r>
          </w:p>
          <w:p w14:paraId="524DACE5">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软件研发管理体系支撑能力一般，软件功能不够完善、操作不够便捷、信息安全保障程度一般，与现有系统的对接方案可行性一般的，得</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zh-CN"/>
              </w:rPr>
              <w:t>分；</w:t>
            </w:r>
          </w:p>
          <w:p w14:paraId="4103CB6C">
            <w:pPr>
              <w:widowControl/>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未提及不得分。</w:t>
            </w:r>
          </w:p>
        </w:tc>
      </w:tr>
      <w:tr w14:paraId="7BDD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311" w:type="pct"/>
            <w:noWrap w:val="0"/>
            <w:vAlign w:val="center"/>
          </w:tcPr>
          <w:p w14:paraId="5D00DDBA">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91" w:type="pct"/>
            <w:noWrap w:val="0"/>
            <w:vAlign w:val="center"/>
          </w:tcPr>
          <w:p w14:paraId="472E96F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软件</w:t>
            </w:r>
            <w:r>
              <w:rPr>
                <w:rFonts w:hint="eastAsia" w:ascii="宋体" w:hAnsi="宋体" w:eastAsia="宋体" w:cs="宋体"/>
                <w:color w:val="auto"/>
                <w:kern w:val="0"/>
                <w:sz w:val="22"/>
                <w:szCs w:val="22"/>
                <w:highlight w:val="none"/>
              </w:rPr>
              <w:t>服务运维</w:t>
            </w:r>
          </w:p>
        </w:tc>
        <w:tc>
          <w:tcPr>
            <w:tcW w:w="487" w:type="pct"/>
            <w:noWrap w:val="0"/>
            <w:vAlign w:val="center"/>
          </w:tcPr>
          <w:p w14:paraId="0E506AD9">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3分</w:t>
            </w:r>
          </w:p>
        </w:tc>
        <w:tc>
          <w:tcPr>
            <w:tcW w:w="3409" w:type="pct"/>
            <w:noWrap w:val="0"/>
            <w:vAlign w:val="center"/>
          </w:tcPr>
          <w:p w14:paraId="01E3D8B9">
            <w:pPr>
              <w:widowControl/>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根据投标人为本项目制定的服务运维管理规范，通过科学规范的全过程管理，确保安全控制措施落实到位，内容包括“服务体系管理规范”、“服务质量保障及应急机制”、“突发事件应急保障措施”等</w:t>
            </w:r>
            <w:r>
              <w:rPr>
                <w:rFonts w:hint="eastAsia" w:ascii="宋体" w:hAnsi="宋体" w:eastAsia="宋体" w:cs="宋体"/>
                <w:color w:val="auto"/>
                <w:kern w:val="0"/>
                <w:sz w:val="22"/>
                <w:szCs w:val="22"/>
                <w:highlight w:val="none"/>
                <w:lang w:eastAsia="zh-CN"/>
              </w:rPr>
              <w:t>：</w:t>
            </w:r>
          </w:p>
          <w:p w14:paraId="795B6B2A">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①全面、合理，具有可实施性的得3分；</w:t>
            </w:r>
          </w:p>
          <w:p w14:paraId="40110D7B">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②基本全面、合理，具有可实施性的得2分；</w:t>
            </w:r>
          </w:p>
          <w:p w14:paraId="3D345A63">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③存在不合理的得1分；</w:t>
            </w:r>
          </w:p>
          <w:p w14:paraId="4F7F2D82">
            <w:pPr>
              <w:widowControl/>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④未见阐述不得分。</w:t>
            </w:r>
          </w:p>
        </w:tc>
      </w:tr>
    </w:tbl>
    <w:p w14:paraId="779267DF">
      <w:pPr>
        <w:pStyle w:val="23"/>
        <w:spacing w:line="46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0%）：</w:t>
      </w:r>
    </w:p>
    <w:p w14:paraId="093683C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w:t>
      </w: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投标报价最低的投标报价为</w:t>
      </w:r>
      <w:r>
        <w:rPr>
          <w:rFonts w:hint="eastAsia" w:ascii="宋体" w:hAnsi="宋体" w:cs="宋体"/>
          <w:color w:val="auto"/>
          <w:sz w:val="22"/>
          <w:szCs w:val="22"/>
          <w:highlight w:val="none"/>
          <w:lang w:val="en-US" w:eastAsia="zh-CN"/>
        </w:rPr>
        <w:t>各项报价</w:t>
      </w:r>
      <w:r>
        <w:rPr>
          <w:rFonts w:hint="eastAsia" w:ascii="宋体" w:hAnsi="宋体" w:cs="宋体"/>
          <w:color w:val="auto"/>
          <w:sz w:val="22"/>
          <w:szCs w:val="22"/>
          <w:highlight w:val="none"/>
        </w:rPr>
        <w:t>评标基准价，其余投标人</w:t>
      </w: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投标报价与该基准价对比，计算出</w:t>
      </w: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商务报价评分值（保留小数2位）：</w:t>
      </w:r>
    </w:p>
    <w:p w14:paraId="641DA80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1）有效投标人的</w:t>
      </w: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投标报价等于</w:t>
      </w:r>
      <w:r>
        <w:rPr>
          <w:rFonts w:hint="eastAsia" w:ascii="宋体" w:hAnsi="宋体" w:cs="宋体"/>
          <w:color w:val="auto"/>
          <w:sz w:val="22"/>
          <w:szCs w:val="22"/>
          <w:highlight w:val="none"/>
          <w:lang w:val="en-US" w:eastAsia="zh-CN"/>
        </w:rPr>
        <w:t>各项报价</w:t>
      </w:r>
      <w:r>
        <w:rPr>
          <w:rFonts w:hint="eastAsia" w:ascii="宋体" w:hAnsi="宋体" w:cs="宋体"/>
          <w:color w:val="auto"/>
          <w:sz w:val="22"/>
          <w:szCs w:val="22"/>
          <w:highlight w:val="none"/>
        </w:rPr>
        <w:t>评标基准价时其报价分为满分；</w:t>
      </w:r>
    </w:p>
    <w:p w14:paraId="131086C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2）其他投标人的各项投标报价得分按以下公式计算：</w:t>
      </w:r>
    </w:p>
    <w:p w14:paraId="69156391">
      <w:pPr>
        <w:spacing w:line="460" w:lineRule="exact"/>
        <w:ind w:firstLine="539" w:firstLineChars="245"/>
        <w:rPr>
          <w:rFonts w:hint="eastAsia" w:ascii="宋体" w:hAnsi="宋体" w:eastAsia="新宋体" w:cs="宋体"/>
          <w:color w:val="auto"/>
          <w:sz w:val="22"/>
          <w:szCs w:val="22"/>
          <w:highlight w:val="none"/>
          <w:lang w:eastAsia="zh-CN"/>
        </w:rPr>
      </w:pP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投标报价得分=（</w:t>
      </w:r>
      <w:r>
        <w:rPr>
          <w:rFonts w:hint="eastAsia" w:ascii="宋体" w:hAnsi="宋体" w:cs="宋体"/>
          <w:color w:val="auto"/>
          <w:sz w:val="22"/>
          <w:szCs w:val="22"/>
          <w:highlight w:val="none"/>
          <w:lang w:val="en-US" w:eastAsia="zh-CN"/>
        </w:rPr>
        <w:t>各项报价</w:t>
      </w:r>
      <w:r>
        <w:rPr>
          <w:rFonts w:hint="eastAsia" w:ascii="宋体" w:hAnsi="宋体" w:cs="宋体"/>
          <w:color w:val="auto"/>
          <w:sz w:val="22"/>
          <w:szCs w:val="22"/>
          <w:highlight w:val="none"/>
        </w:rPr>
        <w:t>评</w:t>
      </w:r>
      <w:r>
        <w:rPr>
          <w:rFonts w:hint="eastAsia" w:ascii="宋体" w:hAnsi="宋体" w:cs="宋体"/>
          <w:color w:val="auto"/>
          <w:sz w:val="22"/>
          <w:szCs w:val="22"/>
          <w:highlight w:val="none"/>
          <w:lang w:val="en-US" w:eastAsia="zh-CN"/>
        </w:rPr>
        <w:t>标</w:t>
      </w:r>
      <w:r>
        <w:rPr>
          <w:rFonts w:hint="eastAsia" w:ascii="宋体" w:hAnsi="宋体" w:cs="宋体"/>
          <w:color w:val="auto"/>
          <w:sz w:val="22"/>
          <w:szCs w:val="22"/>
          <w:highlight w:val="none"/>
        </w:rPr>
        <w:t>基准价/投标人</w:t>
      </w:r>
      <w:r>
        <w:rPr>
          <w:rFonts w:hint="eastAsia" w:ascii="宋体" w:hAnsi="宋体" w:cs="宋体"/>
          <w:color w:val="auto"/>
          <w:sz w:val="22"/>
          <w:szCs w:val="22"/>
          <w:highlight w:val="none"/>
          <w:lang w:val="en-US" w:eastAsia="zh-CN"/>
        </w:rPr>
        <w:t>各项</w:t>
      </w:r>
      <w:r>
        <w:rPr>
          <w:rFonts w:hint="eastAsia" w:ascii="宋体" w:hAnsi="宋体" w:cs="宋体"/>
          <w:color w:val="auto"/>
          <w:sz w:val="22"/>
          <w:szCs w:val="22"/>
          <w:highlight w:val="none"/>
        </w:rPr>
        <w:t xml:space="preserve">投标报价）× </w:t>
      </w:r>
      <w:r>
        <w:rPr>
          <w:rFonts w:hint="eastAsia" w:ascii="宋体" w:hAnsi="宋体" w:eastAsia="宋体" w:cs="宋体"/>
          <w:color w:val="auto"/>
          <w:sz w:val="22"/>
          <w:szCs w:val="22"/>
          <w:highlight w:val="none"/>
          <w:lang w:val="en-US" w:eastAsia="zh-CN"/>
        </w:rPr>
        <w:t>各项报价</w:t>
      </w:r>
      <w:r>
        <w:rPr>
          <w:rFonts w:hint="eastAsia" w:ascii="宋体" w:hAnsi="宋体" w:cs="宋体"/>
          <w:color w:val="auto"/>
          <w:sz w:val="22"/>
          <w:szCs w:val="22"/>
          <w:highlight w:val="none"/>
        </w:rPr>
        <w:t>价格权值</w:t>
      </w:r>
      <w:r>
        <w:rPr>
          <w:rFonts w:hint="eastAsia" w:ascii="新宋体" w:hAnsi="新宋体" w:eastAsia="新宋体"/>
          <w:color w:val="auto"/>
          <w:sz w:val="22"/>
          <w:szCs w:val="22"/>
          <w:highlight w:val="none"/>
          <w:shd w:val="clear" w:color="auto" w:fill="auto"/>
          <w:lang w:val="en-US" w:eastAsia="zh-CN"/>
        </w:rPr>
        <w:t>（价格权值的分配参照下表）</w:t>
      </w:r>
      <w:r>
        <w:rPr>
          <w:rFonts w:hint="eastAsia" w:ascii="宋体" w:hAnsi="宋体" w:cs="宋体"/>
          <w:color w:val="auto"/>
          <w:sz w:val="22"/>
          <w:szCs w:val="22"/>
          <w:highlight w:val="none"/>
        </w:rPr>
        <w:t xml:space="preserve"> ×100（保留小数2位）</w:t>
      </w:r>
      <w:r>
        <w:rPr>
          <w:rFonts w:hint="eastAsia" w:ascii="宋体" w:hAnsi="宋体" w:cs="宋体"/>
          <w:color w:val="auto"/>
          <w:sz w:val="22"/>
          <w:szCs w:val="22"/>
          <w:highlight w:val="none"/>
          <w:lang w:eastAsia="zh-CN"/>
        </w:rPr>
        <w:t>，</w:t>
      </w:r>
      <w:r>
        <w:rPr>
          <w:rFonts w:hint="eastAsia" w:ascii="新宋体" w:hAnsi="新宋体" w:eastAsia="新宋体"/>
          <w:color w:val="auto"/>
          <w:sz w:val="22"/>
          <w:szCs w:val="22"/>
          <w:highlight w:val="none"/>
          <w:shd w:val="clear" w:color="auto" w:fill="auto"/>
          <w:lang w:val="en-US" w:eastAsia="zh-CN"/>
        </w:rPr>
        <w:t>不为整数部分按直线法插入计算</w:t>
      </w:r>
      <w:r>
        <w:rPr>
          <w:rFonts w:hint="eastAsia" w:ascii="新宋体" w:hAnsi="新宋体" w:eastAsia="新宋体"/>
          <w:color w:val="auto"/>
          <w:sz w:val="22"/>
          <w:szCs w:val="22"/>
          <w:highlight w:val="none"/>
          <w:shd w:val="clear" w:color="auto" w:fill="auto"/>
        </w:rPr>
        <w:t>（保留小数2位）</w:t>
      </w:r>
      <w:r>
        <w:rPr>
          <w:rFonts w:hint="eastAsia" w:ascii="新宋体" w:hAnsi="新宋体" w:eastAsia="新宋体"/>
          <w:color w:val="auto"/>
          <w:sz w:val="22"/>
          <w:szCs w:val="22"/>
          <w:highlight w:val="none"/>
          <w:shd w:val="clear" w:color="auto" w:fill="auto"/>
          <w:lang w:eastAsia="zh-CN"/>
        </w:rPr>
        <w:t>。</w:t>
      </w:r>
    </w:p>
    <w:p w14:paraId="266B73A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各项报价</w:t>
      </w:r>
      <w:r>
        <w:rPr>
          <w:rFonts w:hint="eastAsia" w:ascii="宋体" w:hAnsi="宋体" w:eastAsia="宋体" w:cs="宋体"/>
          <w:color w:val="auto"/>
          <w:sz w:val="22"/>
          <w:szCs w:val="22"/>
          <w:highlight w:val="none"/>
        </w:rPr>
        <w:t>价格权值分配表</w:t>
      </w:r>
    </w:p>
    <w:tbl>
      <w:tblPr>
        <w:tblStyle w:val="5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98"/>
        <w:gridCol w:w="3772"/>
        <w:gridCol w:w="3464"/>
        <w:gridCol w:w="928"/>
      </w:tblGrid>
      <w:tr w14:paraId="27DA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50C6D">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195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60E655">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报价内容</w:t>
            </w:r>
          </w:p>
        </w:tc>
        <w:tc>
          <w:tcPr>
            <w:tcW w:w="1792" w:type="pct"/>
            <w:tcBorders>
              <w:top w:val="single" w:color="000000" w:sz="4" w:space="0"/>
              <w:left w:val="single" w:color="000000" w:sz="4" w:space="0"/>
              <w:bottom w:val="single" w:color="000000" w:sz="4" w:space="0"/>
              <w:right w:val="single" w:color="000000" w:sz="4" w:space="0"/>
            </w:tcBorders>
            <w:noWrap w:val="0"/>
            <w:vAlign w:val="center"/>
          </w:tcPr>
          <w:p w14:paraId="712F9828">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价格权值</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57A4749D">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备注</w:t>
            </w:r>
          </w:p>
        </w:tc>
      </w:tr>
      <w:tr w14:paraId="44BA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3E44">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9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3AF16">
            <w:pPr>
              <w:keepNext w:val="0"/>
              <w:keepLines w:val="0"/>
              <w:widowControl/>
              <w:suppressLineNumbers w:val="0"/>
              <w:jc w:val="center"/>
              <w:textAlignment w:val="center"/>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服务供应商</w:t>
            </w:r>
            <w:r>
              <w:rPr>
                <w:rFonts w:hint="eastAsia" w:ascii="Times New Roman" w:hAnsi="Times New Roman" w:eastAsia="宋体" w:cs="Times New Roman"/>
                <w:color w:val="auto"/>
                <w:highlight w:val="none"/>
                <w:lang w:val="en-US" w:eastAsia="zh-CN"/>
              </w:rPr>
              <w:t>收案及履约综合单价</w:t>
            </w:r>
          </w:p>
        </w:tc>
        <w:tc>
          <w:tcPr>
            <w:tcW w:w="1792" w:type="pct"/>
            <w:tcBorders>
              <w:top w:val="single" w:color="000000" w:sz="4" w:space="0"/>
              <w:left w:val="single" w:color="000000" w:sz="4" w:space="0"/>
              <w:bottom w:val="single" w:color="000000" w:sz="4" w:space="0"/>
              <w:right w:val="single" w:color="000000" w:sz="4" w:space="0"/>
            </w:tcBorders>
            <w:noWrap w:val="0"/>
            <w:vAlign w:val="center"/>
          </w:tcPr>
          <w:p w14:paraId="0D27711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2"/>
                <w:szCs w:val="22"/>
                <w:highlight w:val="none"/>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7204DD8C">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4BAF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1322B">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9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4AE5D">
            <w:pPr>
              <w:keepNext w:val="0"/>
              <w:keepLines w:val="0"/>
              <w:widowControl/>
              <w:suppressLineNumbers w:val="0"/>
              <w:jc w:val="center"/>
              <w:textAlignment w:val="center"/>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医院收案及履约</w:t>
            </w:r>
            <w:r>
              <w:rPr>
                <w:rFonts w:hint="eastAsia" w:ascii="宋体" w:hAnsi="宋体" w:eastAsia="宋体" w:cs="宋体"/>
                <w:color w:val="auto"/>
                <w:kern w:val="0"/>
                <w:sz w:val="22"/>
                <w:szCs w:val="22"/>
                <w:highlight w:val="none"/>
              </w:rPr>
              <w:t>综合单价</w:t>
            </w:r>
          </w:p>
        </w:tc>
        <w:tc>
          <w:tcPr>
            <w:tcW w:w="1792" w:type="pct"/>
            <w:tcBorders>
              <w:top w:val="single" w:color="000000" w:sz="4" w:space="0"/>
              <w:left w:val="single" w:color="000000" w:sz="4" w:space="0"/>
              <w:bottom w:val="single" w:color="000000" w:sz="4" w:space="0"/>
              <w:right w:val="single" w:color="000000" w:sz="4" w:space="0"/>
            </w:tcBorders>
            <w:noWrap w:val="0"/>
            <w:vAlign w:val="center"/>
          </w:tcPr>
          <w:p w14:paraId="23C3FF9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2"/>
                <w:szCs w:val="22"/>
                <w:highlight w:val="none"/>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548F8D9">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宋体" w:hAnsi="宋体" w:eastAsia="宋体" w:cs="宋体"/>
                <w:i w:val="0"/>
                <w:color w:val="auto"/>
                <w:kern w:val="0"/>
                <w:sz w:val="22"/>
                <w:szCs w:val="22"/>
                <w:highlight w:val="none"/>
                <w:u w:val="none"/>
                <w:lang w:val="en-US" w:eastAsia="zh-CN" w:bidi="ar"/>
              </w:rPr>
            </w:pPr>
          </w:p>
        </w:tc>
      </w:tr>
    </w:tbl>
    <w:p w14:paraId="391FF727">
      <w:pPr>
        <w:numPr>
          <w:ilvl w:val="0"/>
          <w:numId w:val="4"/>
        </w:numPr>
        <w:spacing w:line="460" w:lineRule="exact"/>
        <w:ind w:left="0" w:leftChars="0"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各投标人的报价得分=服务供应商收案及履约综合单价</w:t>
      </w:r>
      <w:r>
        <w:rPr>
          <w:rFonts w:hint="eastAsia" w:ascii="宋体" w:hAnsi="宋体" w:cs="宋体"/>
          <w:color w:val="auto"/>
          <w:sz w:val="22"/>
          <w:szCs w:val="22"/>
          <w:highlight w:val="none"/>
        </w:rPr>
        <w:t>投标报价得分</w:t>
      </w:r>
      <w:r>
        <w:rPr>
          <w:rFonts w:hint="eastAsia" w:ascii="宋体" w:hAnsi="宋体" w:cs="宋体"/>
          <w:color w:val="auto"/>
          <w:sz w:val="22"/>
          <w:szCs w:val="22"/>
          <w:highlight w:val="none"/>
          <w:lang w:val="en-US" w:eastAsia="zh-CN"/>
        </w:rPr>
        <w:t>+</w:t>
      </w:r>
      <w:r>
        <w:rPr>
          <w:rFonts w:hint="default" w:ascii="Times New Roman" w:hAnsi="Times New Roman" w:eastAsia="宋体" w:cs="Times New Roman"/>
          <w:color w:val="auto"/>
          <w:highlight w:val="none"/>
          <w:lang w:val="en-US"/>
        </w:rPr>
        <w:t>医院收案及履约</w:t>
      </w:r>
      <w:r>
        <w:rPr>
          <w:rFonts w:hint="eastAsia" w:ascii="宋体" w:hAnsi="宋体" w:eastAsia="宋体" w:cs="宋体"/>
          <w:color w:val="auto"/>
          <w:kern w:val="0"/>
          <w:sz w:val="22"/>
          <w:szCs w:val="22"/>
          <w:highlight w:val="none"/>
        </w:rPr>
        <w:t>综合单价</w:t>
      </w:r>
      <w:r>
        <w:rPr>
          <w:rFonts w:hint="eastAsia" w:ascii="宋体" w:hAnsi="宋体" w:cs="宋体"/>
          <w:color w:val="auto"/>
          <w:sz w:val="22"/>
          <w:szCs w:val="22"/>
          <w:highlight w:val="none"/>
        </w:rPr>
        <w:t>投标报价得分</w:t>
      </w:r>
      <w:r>
        <w:rPr>
          <w:rFonts w:hint="eastAsia" w:ascii="宋体" w:hAnsi="宋体" w:cs="宋体"/>
          <w:color w:val="auto"/>
          <w:sz w:val="22"/>
          <w:szCs w:val="22"/>
          <w:highlight w:val="none"/>
          <w:lang w:eastAsia="zh-CN"/>
        </w:rPr>
        <w:t>。</w:t>
      </w:r>
    </w:p>
    <w:p w14:paraId="0A93997E">
      <w:pPr>
        <w:numPr>
          <w:ilvl w:val="0"/>
          <w:numId w:val="4"/>
        </w:numPr>
        <w:spacing w:line="460" w:lineRule="exact"/>
        <w:ind w:left="0" w:leftChars="0"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有效投标人的综合得分为技术分和商务（报价）分的总和。</w:t>
      </w:r>
    </w:p>
    <w:p w14:paraId="435536B5">
      <w:pPr>
        <w:spacing w:line="460" w:lineRule="exact"/>
        <w:ind w:firstLine="539" w:firstLineChars="245"/>
        <w:rPr>
          <w:rFonts w:ascii="新宋体" w:hAnsi="新宋体" w:eastAsia="新宋体"/>
          <w:color w:val="auto"/>
          <w:sz w:val="22"/>
          <w:szCs w:val="22"/>
          <w:highlight w:val="none"/>
          <w:lang w:val="zh-CN"/>
        </w:rPr>
      </w:pPr>
      <w:r>
        <w:rPr>
          <w:rFonts w:hint="eastAsia" w:ascii="新宋体" w:hAnsi="新宋体" w:eastAsia="新宋体"/>
          <w:color w:val="auto"/>
          <w:sz w:val="22"/>
          <w:szCs w:val="22"/>
          <w:highlight w:val="none"/>
          <w:lang w:val="zh-CN"/>
        </w:rPr>
        <w:t>根据</w:t>
      </w:r>
      <w:r>
        <w:rPr>
          <w:rFonts w:hint="eastAsia" w:ascii="新宋体" w:hAnsi="新宋体" w:eastAsia="新宋体" w:cs="新宋体"/>
          <w:color w:val="auto"/>
          <w:kern w:val="0"/>
          <w:sz w:val="22"/>
          <w:szCs w:val="22"/>
          <w:highlight w:val="none"/>
        </w:rPr>
        <w:t>《政府采购促进中小企业发展管理办法》（财库〔2020〕46号）、《财政部关于进一步加大政府采购支持中小企业力度的通知》（财库〔2022〕19号）、《浙江省财政厅关于进一步加大政府采购支持中小企业力度助力扎实稳住经济的通知》（浙财采监〔2022〕8号）等有关规定</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新宋体" w:hAnsi="新宋体" w:eastAsia="新宋体"/>
          <w:color w:val="auto"/>
          <w:sz w:val="22"/>
          <w:szCs w:val="22"/>
          <w:highlight w:val="none"/>
          <w:lang w:val="zh-CN"/>
        </w:rPr>
        <w:t>，用扣除后的价格参与价格评分。</w:t>
      </w:r>
    </w:p>
    <w:p w14:paraId="6DDC1E3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监狱企业视同小微企业，其产品参加本项目投标的，享受小微企业同等的价格扣除。</w:t>
      </w:r>
    </w:p>
    <w:p w14:paraId="4FA30951">
      <w:pPr>
        <w:spacing w:line="460" w:lineRule="exact"/>
        <w:ind w:firstLine="539" w:firstLineChars="245"/>
        <w:rPr>
          <w:rFonts w:ascii="宋体" w:hAnsi="宋体" w:cs="宋体"/>
          <w:b/>
          <w:bCs/>
          <w:color w:val="auto"/>
          <w:sz w:val="22"/>
          <w:szCs w:val="22"/>
          <w:highlight w:val="none"/>
          <w:u w:val="single"/>
        </w:rPr>
      </w:pPr>
      <w:r>
        <w:rPr>
          <w:rFonts w:hint="eastAsia" w:ascii="宋体" w:hAnsi="宋体" w:cs="宋体"/>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F27AC7">
      <w:pPr>
        <w:spacing w:line="460" w:lineRule="exact"/>
        <w:ind w:firstLine="541" w:firstLineChars="245"/>
        <w:outlineLvl w:val="1"/>
        <w:rPr>
          <w:rFonts w:ascii="宋体" w:hAnsi="宋体" w:cs="宋体"/>
          <w:b/>
          <w:bCs/>
          <w:color w:val="auto"/>
          <w:sz w:val="22"/>
          <w:szCs w:val="22"/>
          <w:highlight w:val="none"/>
        </w:rPr>
      </w:pPr>
      <w:bookmarkStart w:id="64" w:name="_Toc2482"/>
      <w:bookmarkStart w:id="65" w:name="_Toc4727"/>
      <w:r>
        <w:rPr>
          <w:rFonts w:hint="eastAsia" w:ascii="宋体" w:hAnsi="宋体" w:cs="宋体"/>
          <w:b/>
          <w:bCs/>
          <w:color w:val="auto"/>
          <w:sz w:val="22"/>
          <w:szCs w:val="22"/>
          <w:highlight w:val="none"/>
        </w:rPr>
        <w:t>六、定标办法</w:t>
      </w:r>
      <w:bookmarkEnd w:id="64"/>
      <w:bookmarkEnd w:id="65"/>
    </w:p>
    <w:p w14:paraId="4491D69A">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084E591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6AEDE7C2">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1292DB7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2、确定中标人</w:t>
      </w:r>
    </w:p>
    <w:p w14:paraId="6254A92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5FD4D1B4">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依法视情况直接确定排名第二的候选人为中标人或重新组织招标。</w:t>
      </w:r>
    </w:p>
    <w:p w14:paraId="74B4F3F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中标人确定后，招标人将在指定媒体公告中标结果，招标人向中标人发出中标通知书。</w:t>
      </w:r>
    </w:p>
    <w:p w14:paraId="36827840">
      <w:pPr>
        <w:spacing w:line="460" w:lineRule="exact"/>
        <w:ind w:firstLine="541" w:firstLineChars="245"/>
        <w:outlineLvl w:val="1"/>
        <w:rPr>
          <w:rFonts w:ascii="宋体" w:hAnsi="宋体" w:cs="宋体"/>
          <w:b/>
          <w:color w:val="auto"/>
          <w:sz w:val="22"/>
          <w:szCs w:val="22"/>
          <w:highlight w:val="none"/>
        </w:rPr>
      </w:pPr>
      <w:bookmarkStart w:id="66" w:name="_Toc3629"/>
      <w:bookmarkStart w:id="67" w:name="_Toc17587"/>
      <w:r>
        <w:rPr>
          <w:rFonts w:hint="eastAsia" w:ascii="宋体" w:hAnsi="宋体" w:cs="宋体"/>
          <w:b/>
          <w:color w:val="auto"/>
          <w:sz w:val="22"/>
          <w:szCs w:val="22"/>
          <w:highlight w:val="none"/>
        </w:rPr>
        <w:t>七、投标人义务</w:t>
      </w:r>
      <w:bookmarkEnd w:id="66"/>
      <w:bookmarkEnd w:id="67"/>
    </w:p>
    <w:p w14:paraId="5C4DF4C7">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投标人应随时接受评标委员会的询标，解答包括有关的商务、技术问题等。评标结束，所有评标资料存招标机构备查。</w:t>
      </w:r>
    </w:p>
    <w:p w14:paraId="748B2E2A">
      <w:pPr>
        <w:spacing w:line="460" w:lineRule="exact"/>
        <w:jc w:val="center"/>
        <w:rPr>
          <w:rFonts w:ascii="宋体" w:hAnsi="宋体" w:cs="宋体"/>
          <w:b/>
          <w:color w:val="auto"/>
          <w:sz w:val="32"/>
          <w:szCs w:val="3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30A6">
    <w:pPr>
      <w:pStyle w:val="35"/>
      <w:framePr w:wrap="around" w:vAnchor="text" w:hAnchor="margin" w:xAlign="center" w:y="1"/>
      <w:rPr>
        <w:rStyle w:val="57"/>
      </w:rPr>
    </w:pPr>
    <w:r>
      <w:fldChar w:fldCharType="begin"/>
    </w:r>
    <w:r>
      <w:rPr>
        <w:rStyle w:val="57"/>
      </w:rPr>
      <w:instrText xml:space="preserve">PAGE  </w:instrText>
    </w:r>
    <w:r>
      <w:fldChar w:fldCharType="separate"/>
    </w:r>
    <w:r>
      <w:rPr>
        <w:rStyle w:val="57"/>
      </w:rPr>
      <w:t>53</w:t>
    </w:r>
    <w:r>
      <w:fldChar w:fldCharType="end"/>
    </w:r>
  </w:p>
  <w:p w14:paraId="08CC8A5B">
    <w:pPr>
      <w:pStyle w:val="35"/>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DA24">
    <w:pPr>
      <w:pStyle w:val="35"/>
      <w:framePr w:wrap="around" w:vAnchor="text" w:hAnchor="margin" w:xAlign="center" w:y="1"/>
      <w:rPr>
        <w:rStyle w:val="57"/>
      </w:rPr>
    </w:pPr>
    <w:r>
      <w:fldChar w:fldCharType="begin"/>
    </w:r>
    <w:r>
      <w:rPr>
        <w:rStyle w:val="57"/>
      </w:rPr>
      <w:instrText xml:space="preserve">PAGE  </w:instrText>
    </w:r>
    <w:r>
      <w:fldChar w:fldCharType="separate"/>
    </w:r>
    <w:r>
      <w:rPr>
        <w:rStyle w:val="57"/>
      </w:rPr>
      <w:t>59</w:t>
    </w:r>
    <w:r>
      <w:fldChar w:fldCharType="end"/>
    </w:r>
  </w:p>
  <w:p w14:paraId="25CF2000">
    <w:pPr>
      <w:pStyle w:val="35"/>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2577">
    <w:pPr>
      <w:pStyle w:val="37"/>
      <w:pBdr>
        <w:bottom w:val="single" w:color="auto" w:sz="6" w:space="0"/>
      </w:pBdr>
      <w:jc w:val="both"/>
      <w:rPr>
        <w:rFonts w:hint="default"/>
        <w:lang w:val="en-US" w:eastAsia="zh-CN"/>
      </w:rPr>
    </w:pPr>
    <w:r>
      <w:rPr>
        <w:rFonts w:hint="eastAsia"/>
      </w:rPr>
      <w:t>温州市政府（分散）采购招标文件                  项目编号：</w:t>
    </w:r>
    <w:r>
      <w:rPr>
        <w:rFonts w:hint="eastAsia"/>
        <w:lang w:eastAsia="zh-CN"/>
      </w:rPr>
      <w:t>330300261320090000009-WZLCZB（Z）-2026-03055-1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27A8">
    <w:pPr>
      <w:pStyle w:val="37"/>
      <w:pBdr>
        <w:bottom w:val="single" w:color="auto" w:sz="6" w:space="0"/>
      </w:pBdr>
      <w:jc w:val="both"/>
    </w:pPr>
    <w:r>
      <w:rPr>
        <w:rFonts w:hint="eastAsia"/>
      </w:rPr>
      <w:t>温州市政府（分散）采购招标文件                                             项目编号：</w:t>
    </w:r>
    <w:r>
      <w:rPr>
        <w:rFonts w:hint="eastAsia"/>
        <w:lang w:eastAsia="zh-CN"/>
      </w:rPr>
      <w:t>330300261320090000009-WZLCZB（Z）-2026-03055-1</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CE19C"/>
    <w:multiLevelType w:val="singleLevel"/>
    <w:tmpl w:val="971CE19C"/>
    <w:lvl w:ilvl="0" w:tentative="0">
      <w:start w:val="7"/>
      <w:numFmt w:val="decimal"/>
      <w:lvlText w:val="%1."/>
      <w:lvlJc w:val="left"/>
      <w:pPr>
        <w:tabs>
          <w:tab w:val="left" w:pos="312"/>
        </w:tabs>
      </w:p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CD31F181"/>
    <w:multiLevelType w:val="singleLevel"/>
    <w:tmpl w:val="CD31F181"/>
    <w:lvl w:ilvl="0" w:tentative="0">
      <w:start w:val="1"/>
      <w:numFmt w:val="decimal"/>
      <w:suff w:val="nothing"/>
      <w:lvlText w:val="%1、"/>
      <w:lvlJc w:val="left"/>
    </w:lvl>
  </w:abstractNum>
  <w:abstractNum w:abstractNumId="4">
    <w:nsid w:val="00000001"/>
    <w:multiLevelType w:val="multilevel"/>
    <w:tmpl w:val="000000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7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8D1324B"/>
    <w:multiLevelType w:val="multilevel"/>
    <w:tmpl w:val="48D1324B"/>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2D7A3B6"/>
    <w:multiLevelType w:val="singleLevel"/>
    <w:tmpl w:val="52D7A3B6"/>
    <w:lvl w:ilvl="0" w:tentative="0">
      <w:start w:val="1"/>
      <w:numFmt w:val="decimal"/>
      <w:suff w:val="nothing"/>
      <w:lvlText w:val="（%1）"/>
      <w:lvlJc w:val="left"/>
    </w:lvl>
  </w:abstractNum>
  <w:abstractNum w:abstractNumId="7">
    <w:nsid w:val="74676A01"/>
    <w:multiLevelType w:val="multilevel"/>
    <w:tmpl w:val="74676A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7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FCE74C5"/>
    <w:multiLevelType w:val="singleLevel"/>
    <w:tmpl w:val="7FCE74C5"/>
    <w:lvl w:ilvl="0" w:tentative="0">
      <w:start w:val="2"/>
      <w:numFmt w:val="decimal"/>
      <w:lvlText w:val="%1."/>
      <w:lvlJc w:val="left"/>
      <w:pPr>
        <w:tabs>
          <w:tab w:val="left" w:pos="312"/>
        </w:tabs>
      </w:pPr>
    </w:lvl>
  </w:abstractNum>
  <w:num w:numId="1">
    <w:abstractNumId w:val="6"/>
  </w:num>
  <w:num w:numId="2">
    <w:abstractNumId w:val="5"/>
  </w:num>
  <w:num w:numId="3">
    <w:abstractNumId w:val="4"/>
  </w:num>
  <w:num w:numId="4">
    <w:abstractNumId w:val="3"/>
  </w:num>
  <w:num w:numId="5">
    <w:abstractNumId w:val="2"/>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420"/>
  <w:drawingGridHorizontalSpacing w:val="21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DU2YjljNjFkZWFlNzkxZjE4MTdlMTg1NWY3MDkifQ=="/>
  </w:docVars>
  <w:rsids>
    <w:rsidRoot w:val="00172A27"/>
    <w:rsid w:val="000149E3"/>
    <w:rsid w:val="00020693"/>
    <w:rsid w:val="000217C7"/>
    <w:rsid w:val="00026A46"/>
    <w:rsid w:val="00027D0D"/>
    <w:rsid w:val="00031F49"/>
    <w:rsid w:val="00037B6F"/>
    <w:rsid w:val="000474B4"/>
    <w:rsid w:val="00063600"/>
    <w:rsid w:val="000A2BD4"/>
    <w:rsid w:val="000A6326"/>
    <w:rsid w:val="000B2878"/>
    <w:rsid w:val="000E4E4B"/>
    <w:rsid w:val="0010260A"/>
    <w:rsid w:val="00110520"/>
    <w:rsid w:val="0013451B"/>
    <w:rsid w:val="00146E35"/>
    <w:rsid w:val="00162248"/>
    <w:rsid w:val="00172A27"/>
    <w:rsid w:val="00176791"/>
    <w:rsid w:val="0019644F"/>
    <w:rsid w:val="001B013B"/>
    <w:rsid w:val="001B0F17"/>
    <w:rsid w:val="001B1F71"/>
    <w:rsid w:val="001B2275"/>
    <w:rsid w:val="001B2511"/>
    <w:rsid w:val="001D4048"/>
    <w:rsid w:val="001D49A1"/>
    <w:rsid w:val="001E7897"/>
    <w:rsid w:val="001F5D2B"/>
    <w:rsid w:val="002018F6"/>
    <w:rsid w:val="002021C6"/>
    <w:rsid w:val="002044B9"/>
    <w:rsid w:val="00212172"/>
    <w:rsid w:val="00223CC1"/>
    <w:rsid w:val="00227214"/>
    <w:rsid w:val="00230913"/>
    <w:rsid w:val="00243D5B"/>
    <w:rsid w:val="002447E7"/>
    <w:rsid w:val="002472B7"/>
    <w:rsid w:val="00261F3C"/>
    <w:rsid w:val="00270294"/>
    <w:rsid w:val="00271C2D"/>
    <w:rsid w:val="002745EA"/>
    <w:rsid w:val="002843F3"/>
    <w:rsid w:val="00296547"/>
    <w:rsid w:val="002A31D6"/>
    <w:rsid w:val="002B5180"/>
    <w:rsid w:val="002B5782"/>
    <w:rsid w:val="002C08AE"/>
    <w:rsid w:val="002C09AD"/>
    <w:rsid w:val="002C5FB7"/>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84421"/>
    <w:rsid w:val="00392891"/>
    <w:rsid w:val="003B0A15"/>
    <w:rsid w:val="003B1471"/>
    <w:rsid w:val="003B5050"/>
    <w:rsid w:val="003C4E2D"/>
    <w:rsid w:val="003C713C"/>
    <w:rsid w:val="00405F28"/>
    <w:rsid w:val="0041137E"/>
    <w:rsid w:val="00430AB9"/>
    <w:rsid w:val="00441256"/>
    <w:rsid w:val="0045663E"/>
    <w:rsid w:val="00461389"/>
    <w:rsid w:val="0046542D"/>
    <w:rsid w:val="00481BD3"/>
    <w:rsid w:val="004A7F6E"/>
    <w:rsid w:val="004B66F1"/>
    <w:rsid w:val="004C013A"/>
    <w:rsid w:val="004C7034"/>
    <w:rsid w:val="004D48ED"/>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607A59"/>
    <w:rsid w:val="00631E7A"/>
    <w:rsid w:val="0064398C"/>
    <w:rsid w:val="00644CD7"/>
    <w:rsid w:val="00647AB1"/>
    <w:rsid w:val="00654A9F"/>
    <w:rsid w:val="00692D32"/>
    <w:rsid w:val="00696C82"/>
    <w:rsid w:val="006A1CF7"/>
    <w:rsid w:val="006B3E1C"/>
    <w:rsid w:val="006D6C7C"/>
    <w:rsid w:val="006E2672"/>
    <w:rsid w:val="006E6905"/>
    <w:rsid w:val="007068AC"/>
    <w:rsid w:val="00722BB3"/>
    <w:rsid w:val="00740E65"/>
    <w:rsid w:val="00753072"/>
    <w:rsid w:val="007546B0"/>
    <w:rsid w:val="007663AC"/>
    <w:rsid w:val="007671B7"/>
    <w:rsid w:val="00774E3F"/>
    <w:rsid w:val="00776F48"/>
    <w:rsid w:val="00780CBF"/>
    <w:rsid w:val="00781B95"/>
    <w:rsid w:val="007A21E8"/>
    <w:rsid w:val="007A62BD"/>
    <w:rsid w:val="007B564B"/>
    <w:rsid w:val="007B769B"/>
    <w:rsid w:val="007D6FB4"/>
    <w:rsid w:val="007E29D6"/>
    <w:rsid w:val="007F2164"/>
    <w:rsid w:val="00800A72"/>
    <w:rsid w:val="00804ACD"/>
    <w:rsid w:val="0080543D"/>
    <w:rsid w:val="00817CE2"/>
    <w:rsid w:val="00831C7B"/>
    <w:rsid w:val="00832D9C"/>
    <w:rsid w:val="00836E00"/>
    <w:rsid w:val="00843568"/>
    <w:rsid w:val="00846CC5"/>
    <w:rsid w:val="00850622"/>
    <w:rsid w:val="00870DFA"/>
    <w:rsid w:val="00871EBE"/>
    <w:rsid w:val="00873949"/>
    <w:rsid w:val="00875629"/>
    <w:rsid w:val="00877499"/>
    <w:rsid w:val="00892732"/>
    <w:rsid w:val="00893202"/>
    <w:rsid w:val="0089599B"/>
    <w:rsid w:val="008A127E"/>
    <w:rsid w:val="008B2FA9"/>
    <w:rsid w:val="008B54E5"/>
    <w:rsid w:val="008C2D7B"/>
    <w:rsid w:val="008C31BC"/>
    <w:rsid w:val="008D62C9"/>
    <w:rsid w:val="008D75C3"/>
    <w:rsid w:val="008E0B76"/>
    <w:rsid w:val="008E26D5"/>
    <w:rsid w:val="008F4E37"/>
    <w:rsid w:val="008F7BE3"/>
    <w:rsid w:val="008F7D27"/>
    <w:rsid w:val="00901DCC"/>
    <w:rsid w:val="00902AA2"/>
    <w:rsid w:val="009254A6"/>
    <w:rsid w:val="0093089E"/>
    <w:rsid w:val="00933974"/>
    <w:rsid w:val="00936127"/>
    <w:rsid w:val="00945DCB"/>
    <w:rsid w:val="009652E5"/>
    <w:rsid w:val="009734FE"/>
    <w:rsid w:val="00973F7A"/>
    <w:rsid w:val="0097671D"/>
    <w:rsid w:val="00977673"/>
    <w:rsid w:val="00987F54"/>
    <w:rsid w:val="00991B38"/>
    <w:rsid w:val="00996305"/>
    <w:rsid w:val="009C748F"/>
    <w:rsid w:val="009E4D45"/>
    <w:rsid w:val="009F3C86"/>
    <w:rsid w:val="00A24A5C"/>
    <w:rsid w:val="00A42424"/>
    <w:rsid w:val="00A45873"/>
    <w:rsid w:val="00A47A4A"/>
    <w:rsid w:val="00A56219"/>
    <w:rsid w:val="00A61866"/>
    <w:rsid w:val="00A77176"/>
    <w:rsid w:val="00A8079C"/>
    <w:rsid w:val="00A92B83"/>
    <w:rsid w:val="00A957CF"/>
    <w:rsid w:val="00AA3DA6"/>
    <w:rsid w:val="00AA7331"/>
    <w:rsid w:val="00AA7C87"/>
    <w:rsid w:val="00AD66E6"/>
    <w:rsid w:val="00AE4B39"/>
    <w:rsid w:val="00AF7BEB"/>
    <w:rsid w:val="00B06E43"/>
    <w:rsid w:val="00B2584A"/>
    <w:rsid w:val="00B25B71"/>
    <w:rsid w:val="00B41362"/>
    <w:rsid w:val="00B43A9E"/>
    <w:rsid w:val="00B44537"/>
    <w:rsid w:val="00B5466C"/>
    <w:rsid w:val="00B603D8"/>
    <w:rsid w:val="00B74039"/>
    <w:rsid w:val="00B87E26"/>
    <w:rsid w:val="00B9767A"/>
    <w:rsid w:val="00BA78D1"/>
    <w:rsid w:val="00BC0A13"/>
    <w:rsid w:val="00BC2B54"/>
    <w:rsid w:val="00BC4AC5"/>
    <w:rsid w:val="00BC66D1"/>
    <w:rsid w:val="00BF1399"/>
    <w:rsid w:val="00BF32BD"/>
    <w:rsid w:val="00C01076"/>
    <w:rsid w:val="00C12358"/>
    <w:rsid w:val="00C232C8"/>
    <w:rsid w:val="00C468B7"/>
    <w:rsid w:val="00C67C97"/>
    <w:rsid w:val="00C70CE6"/>
    <w:rsid w:val="00C758F7"/>
    <w:rsid w:val="00C816DD"/>
    <w:rsid w:val="00C95163"/>
    <w:rsid w:val="00CB584C"/>
    <w:rsid w:val="00CC06DE"/>
    <w:rsid w:val="00CC3B91"/>
    <w:rsid w:val="00CE590D"/>
    <w:rsid w:val="00CF2C9E"/>
    <w:rsid w:val="00CF5C76"/>
    <w:rsid w:val="00D00FFE"/>
    <w:rsid w:val="00D13A1C"/>
    <w:rsid w:val="00D224FF"/>
    <w:rsid w:val="00D27DB2"/>
    <w:rsid w:val="00D3078D"/>
    <w:rsid w:val="00D30E82"/>
    <w:rsid w:val="00D4757A"/>
    <w:rsid w:val="00D47AC2"/>
    <w:rsid w:val="00D56369"/>
    <w:rsid w:val="00D70EBE"/>
    <w:rsid w:val="00D73718"/>
    <w:rsid w:val="00D7763D"/>
    <w:rsid w:val="00D844F8"/>
    <w:rsid w:val="00DB09B7"/>
    <w:rsid w:val="00DB2DE0"/>
    <w:rsid w:val="00DB41D0"/>
    <w:rsid w:val="00DF073C"/>
    <w:rsid w:val="00DF0B3F"/>
    <w:rsid w:val="00DF0F4B"/>
    <w:rsid w:val="00E02244"/>
    <w:rsid w:val="00E05AD1"/>
    <w:rsid w:val="00E11D98"/>
    <w:rsid w:val="00E15CD1"/>
    <w:rsid w:val="00E22045"/>
    <w:rsid w:val="00E248CD"/>
    <w:rsid w:val="00E36483"/>
    <w:rsid w:val="00E53874"/>
    <w:rsid w:val="00E56BD4"/>
    <w:rsid w:val="00E57D1E"/>
    <w:rsid w:val="00E72ABC"/>
    <w:rsid w:val="00E74DBC"/>
    <w:rsid w:val="00E76E5A"/>
    <w:rsid w:val="00EC1104"/>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67ECB"/>
    <w:rsid w:val="00F80AAA"/>
    <w:rsid w:val="00F93BBA"/>
    <w:rsid w:val="00F95280"/>
    <w:rsid w:val="00FA662A"/>
    <w:rsid w:val="00FB0E0C"/>
    <w:rsid w:val="00FB1229"/>
    <w:rsid w:val="00FC44CE"/>
    <w:rsid w:val="00FD52B1"/>
    <w:rsid w:val="00FF3A66"/>
    <w:rsid w:val="00FF6977"/>
    <w:rsid w:val="0116709E"/>
    <w:rsid w:val="0141372C"/>
    <w:rsid w:val="014954B1"/>
    <w:rsid w:val="01606883"/>
    <w:rsid w:val="020D29B1"/>
    <w:rsid w:val="021F7DAD"/>
    <w:rsid w:val="0224444B"/>
    <w:rsid w:val="022D7429"/>
    <w:rsid w:val="02451328"/>
    <w:rsid w:val="025D7DCF"/>
    <w:rsid w:val="0261659A"/>
    <w:rsid w:val="027D25C0"/>
    <w:rsid w:val="02841565"/>
    <w:rsid w:val="02B3222E"/>
    <w:rsid w:val="02F63BA4"/>
    <w:rsid w:val="031D0871"/>
    <w:rsid w:val="03283281"/>
    <w:rsid w:val="03331487"/>
    <w:rsid w:val="034A64CB"/>
    <w:rsid w:val="039475C1"/>
    <w:rsid w:val="039714E5"/>
    <w:rsid w:val="03BE392F"/>
    <w:rsid w:val="03E13A1E"/>
    <w:rsid w:val="04156ACE"/>
    <w:rsid w:val="042A5AFC"/>
    <w:rsid w:val="043D6DF1"/>
    <w:rsid w:val="043F2279"/>
    <w:rsid w:val="044865A2"/>
    <w:rsid w:val="0482288A"/>
    <w:rsid w:val="048D46D7"/>
    <w:rsid w:val="04A01243"/>
    <w:rsid w:val="04C27070"/>
    <w:rsid w:val="04E23C80"/>
    <w:rsid w:val="04FD6D0A"/>
    <w:rsid w:val="050375E0"/>
    <w:rsid w:val="050751FC"/>
    <w:rsid w:val="05166806"/>
    <w:rsid w:val="0529508C"/>
    <w:rsid w:val="053A30CA"/>
    <w:rsid w:val="057D25F0"/>
    <w:rsid w:val="05936339"/>
    <w:rsid w:val="05C4143E"/>
    <w:rsid w:val="05D76F02"/>
    <w:rsid w:val="062F7E7F"/>
    <w:rsid w:val="063E0A32"/>
    <w:rsid w:val="0650016B"/>
    <w:rsid w:val="06695ADA"/>
    <w:rsid w:val="066E658D"/>
    <w:rsid w:val="067F52AB"/>
    <w:rsid w:val="06870BF0"/>
    <w:rsid w:val="068E5B46"/>
    <w:rsid w:val="06C06107"/>
    <w:rsid w:val="06E14AFA"/>
    <w:rsid w:val="06E17425"/>
    <w:rsid w:val="06E81491"/>
    <w:rsid w:val="07081502"/>
    <w:rsid w:val="072046E3"/>
    <w:rsid w:val="07373C8C"/>
    <w:rsid w:val="074234A9"/>
    <w:rsid w:val="0747552D"/>
    <w:rsid w:val="07592C30"/>
    <w:rsid w:val="07791E20"/>
    <w:rsid w:val="078177D5"/>
    <w:rsid w:val="07924879"/>
    <w:rsid w:val="079C0E64"/>
    <w:rsid w:val="07CA6A21"/>
    <w:rsid w:val="07D37D83"/>
    <w:rsid w:val="07D60F62"/>
    <w:rsid w:val="07EB45B8"/>
    <w:rsid w:val="080B2B96"/>
    <w:rsid w:val="08510EF1"/>
    <w:rsid w:val="08621901"/>
    <w:rsid w:val="088625EA"/>
    <w:rsid w:val="088A4CD3"/>
    <w:rsid w:val="08911C02"/>
    <w:rsid w:val="08913549"/>
    <w:rsid w:val="089A4646"/>
    <w:rsid w:val="08A302D0"/>
    <w:rsid w:val="08B53A61"/>
    <w:rsid w:val="08E76FD5"/>
    <w:rsid w:val="08FD20E7"/>
    <w:rsid w:val="09101BCD"/>
    <w:rsid w:val="09315C91"/>
    <w:rsid w:val="093D09BC"/>
    <w:rsid w:val="09510BFE"/>
    <w:rsid w:val="095678EE"/>
    <w:rsid w:val="097E368B"/>
    <w:rsid w:val="09816EE6"/>
    <w:rsid w:val="099757EE"/>
    <w:rsid w:val="09A34824"/>
    <w:rsid w:val="09B85302"/>
    <w:rsid w:val="09B94936"/>
    <w:rsid w:val="09D26DBF"/>
    <w:rsid w:val="09F65854"/>
    <w:rsid w:val="09FA7544"/>
    <w:rsid w:val="09FC4E02"/>
    <w:rsid w:val="0A07422F"/>
    <w:rsid w:val="0A1B49C1"/>
    <w:rsid w:val="0A22362E"/>
    <w:rsid w:val="0A3554F8"/>
    <w:rsid w:val="0A3D0590"/>
    <w:rsid w:val="0A7416D8"/>
    <w:rsid w:val="0A7705F9"/>
    <w:rsid w:val="0A8945EB"/>
    <w:rsid w:val="0AB701CB"/>
    <w:rsid w:val="0ACF434F"/>
    <w:rsid w:val="0B204BAA"/>
    <w:rsid w:val="0B9F1F73"/>
    <w:rsid w:val="0BAC1F4C"/>
    <w:rsid w:val="0BB9501C"/>
    <w:rsid w:val="0BBE4F63"/>
    <w:rsid w:val="0BDA530A"/>
    <w:rsid w:val="0C0247C0"/>
    <w:rsid w:val="0C08629E"/>
    <w:rsid w:val="0C182D86"/>
    <w:rsid w:val="0C3408BA"/>
    <w:rsid w:val="0C353302"/>
    <w:rsid w:val="0C496297"/>
    <w:rsid w:val="0C660E5E"/>
    <w:rsid w:val="0C6C454B"/>
    <w:rsid w:val="0C9A109E"/>
    <w:rsid w:val="0CA74D09"/>
    <w:rsid w:val="0CA9483B"/>
    <w:rsid w:val="0CC51217"/>
    <w:rsid w:val="0CC57184"/>
    <w:rsid w:val="0CCB1484"/>
    <w:rsid w:val="0CDD691A"/>
    <w:rsid w:val="0D0A01F7"/>
    <w:rsid w:val="0D0B5B12"/>
    <w:rsid w:val="0D1F1C9D"/>
    <w:rsid w:val="0D735BCC"/>
    <w:rsid w:val="0D7C2119"/>
    <w:rsid w:val="0D920730"/>
    <w:rsid w:val="0D935F58"/>
    <w:rsid w:val="0DD56120"/>
    <w:rsid w:val="0DDC6E3D"/>
    <w:rsid w:val="0DE33D9A"/>
    <w:rsid w:val="0E022677"/>
    <w:rsid w:val="0E064CB1"/>
    <w:rsid w:val="0E246B94"/>
    <w:rsid w:val="0E4637C9"/>
    <w:rsid w:val="0E4706D1"/>
    <w:rsid w:val="0E4B6575"/>
    <w:rsid w:val="0E5C2643"/>
    <w:rsid w:val="0E6537C4"/>
    <w:rsid w:val="0E701E1B"/>
    <w:rsid w:val="0E750CB0"/>
    <w:rsid w:val="0E8E6882"/>
    <w:rsid w:val="0EA43025"/>
    <w:rsid w:val="0ECD6DF7"/>
    <w:rsid w:val="0EE50D43"/>
    <w:rsid w:val="0F0377AE"/>
    <w:rsid w:val="0F0E6EE3"/>
    <w:rsid w:val="0F661726"/>
    <w:rsid w:val="0F706416"/>
    <w:rsid w:val="0F931DEF"/>
    <w:rsid w:val="0FCD5779"/>
    <w:rsid w:val="0FD03A0D"/>
    <w:rsid w:val="10381F40"/>
    <w:rsid w:val="104869BA"/>
    <w:rsid w:val="10575CC4"/>
    <w:rsid w:val="10606175"/>
    <w:rsid w:val="10D75E1E"/>
    <w:rsid w:val="10E36DA6"/>
    <w:rsid w:val="10F47168"/>
    <w:rsid w:val="110264F1"/>
    <w:rsid w:val="1104198D"/>
    <w:rsid w:val="1105049E"/>
    <w:rsid w:val="115434FF"/>
    <w:rsid w:val="115D3896"/>
    <w:rsid w:val="11B62E53"/>
    <w:rsid w:val="12103D4D"/>
    <w:rsid w:val="12345EA5"/>
    <w:rsid w:val="12374CB3"/>
    <w:rsid w:val="124027F2"/>
    <w:rsid w:val="12486EC1"/>
    <w:rsid w:val="125A673E"/>
    <w:rsid w:val="12775E6D"/>
    <w:rsid w:val="127F3EF9"/>
    <w:rsid w:val="12A01322"/>
    <w:rsid w:val="12AB0828"/>
    <w:rsid w:val="12E05DF5"/>
    <w:rsid w:val="13307FAC"/>
    <w:rsid w:val="133616DD"/>
    <w:rsid w:val="13582BF6"/>
    <w:rsid w:val="13583E3E"/>
    <w:rsid w:val="138356B4"/>
    <w:rsid w:val="13884680"/>
    <w:rsid w:val="13996DA4"/>
    <w:rsid w:val="13A56966"/>
    <w:rsid w:val="13B56A40"/>
    <w:rsid w:val="13D309B3"/>
    <w:rsid w:val="13EB04F6"/>
    <w:rsid w:val="13EC3F05"/>
    <w:rsid w:val="13F33480"/>
    <w:rsid w:val="13FF0438"/>
    <w:rsid w:val="14077D57"/>
    <w:rsid w:val="141F00F5"/>
    <w:rsid w:val="141F7F15"/>
    <w:rsid w:val="14342819"/>
    <w:rsid w:val="14965811"/>
    <w:rsid w:val="14AE2DAD"/>
    <w:rsid w:val="14B836DE"/>
    <w:rsid w:val="14D92610"/>
    <w:rsid w:val="15001500"/>
    <w:rsid w:val="154A25D7"/>
    <w:rsid w:val="15525604"/>
    <w:rsid w:val="15544C61"/>
    <w:rsid w:val="156E5828"/>
    <w:rsid w:val="15A27346"/>
    <w:rsid w:val="15B36E57"/>
    <w:rsid w:val="15B43A33"/>
    <w:rsid w:val="15BB3E4D"/>
    <w:rsid w:val="15C02CFA"/>
    <w:rsid w:val="15D02588"/>
    <w:rsid w:val="15D612E1"/>
    <w:rsid w:val="163004AD"/>
    <w:rsid w:val="164356BB"/>
    <w:rsid w:val="166F777C"/>
    <w:rsid w:val="167E0A69"/>
    <w:rsid w:val="169C21B8"/>
    <w:rsid w:val="169C6B59"/>
    <w:rsid w:val="169C77DB"/>
    <w:rsid w:val="16A34C4B"/>
    <w:rsid w:val="16BB60A4"/>
    <w:rsid w:val="16D604C4"/>
    <w:rsid w:val="16DC22CD"/>
    <w:rsid w:val="16F05D79"/>
    <w:rsid w:val="16F44547"/>
    <w:rsid w:val="173718C1"/>
    <w:rsid w:val="173A5387"/>
    <w:rsid w:val="17725C57"/>
    <w:rsid w:val="17755246"/>
    <w:rsid w:val="17800AEC"/>
    <w:rsid w:val="17A5710D"/>
    <w:rsid w:val="181A2EB4"/>
    <w:rsid w:val="18245E40"/>
    <w:rsid w:val="186B461D"/>
    <w:rsid w:val="188B4950"/>
    <w:rsid w:val="18B063BE"/>
    <w:rsid w:val="18C50468"/>
    <w:rsid w:val="18C7387D"/>
    <w:rsid w:val="18C76564"/>
    <w:rsid w:val="19087A11"/>
    <w:rsid w:val="19172F6B"/>
    <w:rsid w:val="191B7534"/>
    <w:rsid w:val="194B54E8"/>
    <w:rsid w:val="196C6250"/>
    <w:rsid w:val="196E2C37"/>
    <w:rsid w:val="196F7429"/>
    <w:rsid w:val="1974690A"/>
    <w:rsid w:val="19C072D3"/>
    <w:rsid w:val="1A25720B"/>
    <w:rsid w:val="1A4A5C4F"/>
    <w:rsid w:val="1A510684"/>
    <w:rsid w:val="1A5A5F28"/>
    <w:rsid w:val="1A6171B2"/>
    <w:rsid w:val="1A6B5E42"/>
    <w:rsid w:val="1AA65F2A"/>
    <w:rsid w:val="1AA666F2"/>
    <w:rsid w:val="1ADC340E"/>
    <w:rsid w:val="1AE64EFC"/>
    <w:rsid w:val="1AED2C78"/>
    <w:rsid w:val="1AEF15D5"/>
    <w:rsid w:val="1AFF3930"/>
    <w:rsid w:val="1B1F6B22"/>
    <w:rsid w:val="1B343FD0"/>
    <w:rsid w:val="1B356551"/>
    <w:rsid w:val="1B377F92"/>
    <w:rsid w:val="1B3E4ABA"/>
    <w:rsid w:val="1B49051E"/>
    <w:rsid w:val="1B9A62B3"/>
    <w:rsid w:val="1B9D2D2C"/>
    <w:rsid w:val="1BAB13EA"/>
    <w:rsid w:val="1BE02644"/>
    <w:rsid w:val="1BF27CE6"/>
    <w:rsid w:val="1BF57F17"/>
    <w:rsid w:val="1C13053F"/>
    <w:rsid w:val="1C162BF5"/>
    <w:rsid w:val="1C212DFA"/>
    <w:rsid w:val="1C3065A1"/>
    <w:rsid w:val="1C32514E"/>
    <w:rsid w:val="1C36422E"/>
    <w:rsid w:val="1C8449C2"/>
    <w:rsid w:val="1C8676F7"/>
    <w:rsid w:val="1C8B5EF5"/>
    <w:rsid w:val="1C9B7764"/>
    <w:rsid w:val="1C9C37E6"/>
    <w:rsid w:val="1CA0162A"/>
    <w:rsid w:val="1CA3081A"/>
    <w:rsid w:val="1CB81673"/>
    <w:rsid w:val="1CEB7EC5"/>
    <w:rsid w:val="1D0A50BD"/>
    <w:rsid w:val="1D2A3DAB"/>
    <w:rsid w:val="1D46542E"/>
    <w:rsid w:val="1D6359BB"/>
    <w:rsid w:val="1D664936"/>
    <w:rsid w:val="1D71729C"/>
    <w:rsid w:val="1D781BC7"/>
    <w:rsid w:val="1D9154F9"/>
    <w:rsid w:val="1D981331"/>
    <w:rsid w:val="1DAB3C89"/>
    <w:rsid w:val="1DC06E93"/>
    <w:rsid w:val="1DCC77C2"/>
    <w:rsid w:val="1DCF4890"/>
    <w:rsid w:val="1DFB128B"/>
    <w:rsid w:val="1DFB57EB"/>
    <w:rsid w:val="1E0062C5"/>
    <w:rsid w:val="1E1C7453"/>
    <w:rsid w:val="1E4F15C4"/>
    <w:rsid w:val="1E665E93"/>
    <w:rsid w:val="1E6D0B8E"/>
    <w:rsid w:val="1E740910"/>
    <w:rsid w:val="1E8A1B7B"/>
    <w:rsid w:val="1ED05FDD"/>
    <w:rsid w:val="1EDA4565"/>
    <w:rsid w:val="1EE47F71"/>
    <w:rsid w:val="1F0115E6"/>
    <w:rsid w:val="1F101761"/>
    <w:rsid w:val="1F8B73B9"/>
    <w:rsid w:val="1F8F25D3"/>
    <w:rsid w:val="1FA140B4"/>
    <w:rsid w:val="1FC0508F"/>
    <w:rsid w:val="1FD17519"/>
    <w:rsid w:val="1FDE37FF"/>
    <w:rsid w:val="1FE87CF6"/>
    <w:rsid w:val="20142293"/>
    <w:rsid w:val="20187F57"/>
    <w:rsid w:val="202875D1"/>
    <w:rsid w:val="203B6405"/>
    <w:rsid w:val="204042C4"/>
    <w:rsid w:val="204434A6"/>
    <w:rsid w:val="20766FDC"/>
    <w:rsid w:val="208E2CB0"/>
    <w:rsid w:val="20C7192F"/>
    <w:rsid w:val="20C94ACB"/>
    <w:rsid w:val="20CC6F0F"/>
    <w:rsid w:val="20F3606E"/>
    <w:rsid w:val="2117534C"/>
    <w:rsid w:val="213009EF"/>
    <w:rsid w:val="213D75BE"/>
    <w:rsid w:val="213F7AB1"/>
    <w:rsid w:val="21780E44"/>
    <w:rsid w:val="217A33A1"/>
    <w:rsid w:val="21872636"/>
    <w:rsid w:val="218C51C8"/>
    <w:rsid w:val="218F2648"/>
    <w:rsid w:val="21AB5C9B"/>
    <w:rsid w:val="21B427AB"/>
    <w:rsid w:val="21BD46E0"/>
    <w:rsid w:val="21D16251"/>
    <w:rsid w:val="21D77A0C"/>
    <w:rsid w:val="221101B6"/>
    <w:rsid w:val="227C0C68"/>
    <w:rsid w:val="227D1F07"/>
    <w:rsid w:val="22910410"/>
    <w:rsid w:val="22946A30"/>
    <w:rsid w:val="22AE5DFE"/>
    <w:rsid w:val="22C205C9"/>
    <w:rsid w:val="23025E80"/>
    <w:rsid w:val="23223186"/>
    <w:rsid w:val="23290648"/>
    <w:rsid w:val="235C31B0"/>
    <w:rsid w:val="236C3CD2"/>
    <w:rsid w:val="23C16FD2"/>
    <w:rsid w:val="242C445B"/>
    <w:rsid w:val="247E04BE"/>
    <w:rsid w:val="248B6BF0"/>
    <w:rsid w:val="24975A35"/>
    <w:rsid w:val="24A451C8"/>
    <w:rsid w:val="24B0777F"/>
    <w:rsid w:val="24B80E3D"/>
    <w:rsid w:val="24BA3A6C"/>
    <w:rsid w:val="24C14262"/>
    <w:rsid w:val="24DB11B1"/>
    <w:rsid w:val="24DB1DC1"/>
    <w:rsid w:val="24F16A3F"/>
    <w:rsid w:val="251563CD"/>
    <w:rsid w:val="25203CCD"/>
    <w:rsid w:val="253A2EBB"/>
    <w:rsid w:val="254579AD"/>
    <w:rsid w:val="25482804"/>
    <w:rsid w:val="254E2374"/>
    <w:rsid w:val="25550995"/>
    <w:rsid w:val="256516E0"/>
    <w:rsid w:val="25916749"/>
    <w:rsid w:val="25B15AD3"/>
    <w:rsid w:val="25C603D0"/>
    <w:rsid w:val="25E5097B"/>
    <w:rsid w:val="25ED1CE2"/>
    <w:rsid w:val="260366CA"/>
    <w:rsid w:val="26190B1E"/>
    <w:rsid w:val="261954E5"/>
    <w:rsid w:val="263802CB"/>
    <w:rsid w:val="263D14CC"/>
    <w:rsid w:val="26912A84"/>
    <w:rsid w:val="26B25A04"/>
    <w:rsid w:val="26D97D1E"/>
    <w:rsid w:val="26DB0572"/>
    <w:rsid w:val="26E86A48"/>
    <w:rsid w:val="27101EDB"/>
    <w:rsid w:val="273852A3"/>
    <w:rsid w:val="27450F96"/>
    <w:rsid w:val="27604855"/>
    <w:rsid w:val="27A03254"/>
    <w:rsid w:val="27A230C5"/>
    <w:rsid w:val="27A851CF"/>
    <w:rsid w:val="27F6755B"/>
    <w:rsid w:val="280478D6"/>
    <w:rsid w:val="280D0539"/>
    <w:rsid w:val="2833593F"/>
    <w:rsid w:val="2835156C"/>
    <w:rsid w:val="285E7742"/>
    <w:rsid w:val="285F589C"/>
    <w:rsid w:val="2860075F"/>
    <w:rsid w:val="288E7537"/>
    <w:rsid w:val="28AB4DDA"/>
    <w:rsid w:val="28D51CE9"/>
    <w:rsid w:val="28E0382C"/>
    <w:rsid w:val="28FB2940"/>
    <w:rsid w:val="2935387C"/>
    <w:rsid w:val="295642C7"/>
    <w:rsid w:val="296879F1"/>
    <w:rsid w:val="29923BE6"/>
    <w:rsid w:val="29C74D12"/>
    <w:rsid w:val="29D70027"/>
    <w:rsid w:val="29DA51F1"/>
    <w:rsid w:val="29E4565C"/>
    <w:rsid w:val="29EE6934"/>
    <w:rsid w:val="2A217644"/>
    <w:rsid w:val="2A5522DC"/>
    <w:rsid w:val="2A6D7AE4"/>
    <w:rsid w:val="2A804189"/>
    <w:rsid w:val="2A81126C"/>
    <w:rsid w:val="2A977F38"/>
    <w:rsid w:val="2A9A509F"/>
    <w:rsid w:val="2AB253C7"/>
    <w:rsid w:val="2AB96756"/>
    <w:rsid w:val="2ABE75C5"/>
    <w:rsid w:val="2AC54EDF"/>
    <w:rsid w:val="2ADE1592"/>
    <w:rsid w:val="2AE72478"/>
    <w:rsid w:val="2AFA6CB1"/>
    <w:rsid w:val="2AFE6BB2"/>
    <w:rsid w:val="2AFF547A"/>
    <w:rsid w:val="2B0F5BE3"/>
    <w:rsid w:val="2B194010"/>
    <w:rsid w:val="2B1A0A86"/>
    <w:rsid w:val="2B766889"/>
    <w:rsid w:val="2B7F799F"/>
    <w:rsid w:val="2B8F7412"/>
    <w:rsid w:val="2BB62C14"/>
    <w:rsid w:val="2BB82208"/>
    <w:rsid w:val="2BBA09D7"/>
    <w:rsid w:val="2BC1544C"/>
    <w:rsid w:val="2BE94E44"/>
    <w:rsid w:val="2BF25A55"/>
    <w:rsid w:val="2BF83122"/>
    <w:rsid w:val="2BFB2D9E"/>
    <w:rsid w:val="2C0311AE"/>
    <w:rsid w:val="2C471B3F"/>
    <w:rsid w:val="2C4D4422"/>
    <w:rsid w:val="2C61592A"/>
    <w:rsid w:val="2C8E776E"/>
    <w:rsid w:val="2CF23348"/>
    <w:rsid w:val="2CF6241F"/>
    <w:rsid w:val="2D0212AF"/>
    <w:rsid w:val="2D0721CE"/>
    <w:rsid w:val="2D2D0FB8"/>
    <w:rsid w:val="2D4B38B1"/>
    <w:rsid w:val="2D5369A4"/>
    <w:rsid w:val="2D553E12"/>
    <w:rsid w:val="2D563294"/>
    <w:rsid w:val="2D572DE8"/>
    <w:rsid w:val="2D7657B0"/>
    <w:rsid w:val="2D880661"/>
    <w:rsid w:val="2DA92533"/>
    <w:rsid w:val="2DC542FD"/>
    <w:rsid w:val="2DDB4C35"/>
    <w:rsid w:val="2DE55AB4"/>
    <w:rsid w:val="2E027319"/>
    <w:rsid w:val="2E4F5E24"/>
    <w:rsid w:val="2E5457E2"/>
    <w:rsid w:val="2E653DDC"/>
    <w:rsid w:val="2E706A16"/>
    <w:rsid w:val="2E740C9C"/>
    <w:rsid w:val="2E912614"/>
    <w:rsid w:val="2EB82B9B"/>
    <w:rsid w:val="2EDB211E"/>
    <w:rsid w:val="2EDF0755"/>
    <w:rsid w:val="2EFC30B5"/>
    <w:rsid w:val="2F1129F8"/>
    <w:rsid w:val="2F503997"/>
    <w:rsid w:val="2F827A5E"/>
    <w:rsid w:val="2FAF734F"/>
    <w:rsid w:val="2FB74538"/>
    <w:rsid w:val="2FC85BC4"/>
    <w:rsid w:val="2FF16930"/>
    <w:rsid w:val="30255652"/>
    <w:rsid w:val="302A5959"/>
    <w:rsid w:val="30517430"/>
    <w:rsid w:val="305B0C4B"/>
    <w:rsid w:val="306F34C7"/>
    <w:rsid w:val="309B06AC"/>
    <w:rsid w:val="30F100C1"/>
    <w:rsid w:val="31024AE6"/>
    <w:rsid w:val="31232744"/>
    <w:rsid w:val="313F60CD"/>
    <w:rsid w:val="316C164E"/>
    <w:rsid w:val="318F5689"/>
    <w:rsid w:val="31AC33EA"/>
    <w:rsid w:val="31B469D0"/>
    <w:rsid w:val="31C02740"/>
    <w:rsid w:val="31D64F96"/>
    <w:rsid w:val="31E3055C"/>
    <w:rsid w:val="31EA5447"/>
    <w:rsid w:val="32017181"/>
    <w:rsid w:val="3202578C"/>
    <w:rsid w:val="32432DA9"/>
    <w:rsid w:val="326D3B31"/>
    <w:rsid w:val="327021FA"/>
    <w:rsid w:val="327C69DB"/>
    <w:rsid w:val="329C1DF0"/>
    <w:rsid w:val="329E2BA3"/>
    <w:rsid w:val="32AE7A75"/>
    <w:rsid w:val="32E032B1"/>
    <w:rsid w:val="32EF11A3"/>
    <w:rsid w:val="32EF2028"/>
    <w:rsid w:val="32F347CF"/>
    <w:rsid w:val="33011C41"/>
    <w:rsid w:val="333C6A3D"/>
    <w:rsid w:val="334143DB"/>
    <w:rsid w:val="33644CFD"/>
    <w:rsid w:val="33774568"/>
    <w:rsid w:val="337C317D"/>
    <w:rsid w:val="3386162D"/>
    <w:rsid w:val="33912798"/>
    <w:rsid w:val="33A0028D"/>
    <w:rsid w:val="33A570FA"/>
    <w:rsid w:val="33CC1351"/>
    <w:rsid w:val="33D32C1C"/>
    <w:rsid w:val="33D92429"/>
    <w:rsid w:val="343B3818"/>
    <w:rsid w:val="343C1893"/>
    <w:rsid w:val="358526AE"/>
    <w:rsid w:val="35B43FF1"/>
    <w:rsid w:val="35B54B22"/>
    <w:rsid w:val="35D72186"/>
    <w:rsid w:val="35DC59EE"/>
    <w:rsid w:val="35DF0F8E"/>
    <w:rsid w:val="35E83CBD"/>
    <w:rsid w:val="35EB41E6"/>
    <w:rsid w:val="35EF293B"/>
    <w:rsid w:val="35F13A2A"/>
    <w:rsid w:val="360453EB"/>
    <w:rsid w:val="361633A9"/>
    <w:rsid w:val="362C0965"/>
    <w:rsid w:val="36370E76"/>
    <w:rsid w:val="36495F37"/>
    <w:rsid w:val="36523501"/>
    <w:rsid w:val="366A6E58"/>
    <w:rsid w:val="36EA5A89"/>
    <w:rsid w:val="371511B8"/>
    <w:rsid w:val="37366041"/>
    <w:rsid w:val="373D0F4E"/>
    <w:rsid w:val="375D41E8"/>
    <w:rsid w:val="37625DAE"/>
    <w:rsid w:val="377717B0"/>
    <w:rsid w:val="377D0B0B"/>
    <w:rsid w:val="379D7A74"/>
    <w:rsid w:val="37A03DDA"/>
    <w:rsid w:val="37DC389E"/>
    <w:rsid w:val="37E41DF1"/>
    <w:rsid w:val="37FC364E"/>
    <w:rsid w:val="38463090"/>
    <w:rsid w:val="385A6F1E"/>
    <w:rsid w:val="386470D0"/>
    <w:rsid w:val="3882116E"/>
    <w:rsid w:val="388234B9"/>
    <w:rsid w:val="388C54AA"/>
    <w:rsid w:val="38973473"/>
    <w:rsid w:val="38A56CC9"/>
    <w:rsid w:val="38C05F24"/>
    <w:rsid w:val="38D750B8"/>
    <w:rsid w:val="38F2240C"/>
    <w:rsid w:val="38F34FAE"/>
    <w:rsid w:val="39171CC0"/>
    <w:rsid w:val="393F39C1"/>
    <w:rsid w:val="3941283A"/>
    <w:rsid w:val="395212E1"/>
    <w:rsid w:val="398F0D7E"/>
    <w:rsid w:val="39976574"/>
    <w:rsid w:val="39A165F9"/>
    <w:rsid w:val="39B72706"/>
    <w:rsid w:val="39C84E5A"/>
    <w:rsid w:val="39FA0921"/>
    <w:rsid w:val="3A3457E8"/>
    <w:rsid w:val="3A3F0320"/>
    <w:rsid w:val="3A536E24"/>
    <w:rsid w:val="3A565A98"/>
    <w:rsid w:val="3A776ABF"/>
    <w:rsid w:val="3A810ECA"/>
    <w:rsid w:val="3A871F8A"/>
    <w:rsid w:val="3AA31206"/>
    <w:rsid w:val="3AB57780"/>
    <w:rsid w:val="3AC65AD2"/>
    <w:rsid w:val="3ACF5A26"/>
    <w:rsid w:val="3B1B509F"/>
    <w:rsid w:val="3B2E7A1A"/>
    <w:rsid w:val="3B3575B2"/>
    <w:rsid w:val="3B4764C1"/>
    <w:rsid w:val="3B54731C"/>
    <w:rsid w:val="3B67428D"/>
    <w:rsid w:val="3B713350"/>
    <w:rsid w:val="3B7A26BE"/>
    <w:rsid w:val="3BCF5F32"/>
    <w:rsid w:val="3BE767A5"/>
    <w:rsid w:val="3BF739DA"/>
    <w:rsid w:val="3C02710A"/>
    <w:rsid w:val="3C1701DB"/>
    <w:rsid w:val="3C2E25AC"/>
    <w:rsid w:val="3C33699A"/>
    <w:rsid w:val="3C41291B"/>
    <w:rsid w:val="3C447C27"/>
    <w:rsid w:val="3C4E3440"/>
    <w:rsid w:val="3D3108F8"/>
    <w:rsid w:val="3D9B1A5C"/>
    <w:rsid w:val="3DA25F23"/>
    <w:rsid w:val="3DB34D17"/>
    <w:rsid w:val="3E083824"/>
    <w:rsid w:val="3E225ED0"/>
    <w:rsid w:val="3E29108F"/>
    <w:rsid w:val="3E763568"/>
    <w:rsid w:val="3EA37FA5"/>
    <w:rsid w:val="3EAA315C"/>
    <w:rsid w:val="3EB341AB"/>
    <w:rsid w:val="3EC20226"/>
    <w:rsid w:val="3EC451E1"/>
    <w:rsid w:val="3EC47F80"/>
    <w:rsid w:val="3EE93B81"/>
    <w:rsid w:val="3F1E63B0"/>
    <w:rsid w:val="3F221B50"/>
    <w:rsid w:val="3F2226EC"/>
    <w:rsid w:val="3F601C75"/>
    <w:rsid w:val="3F7E3672"/>
    <w:rsid w:val="3FAC6CE4"/>
    <w:rsid w:val="3FB04B06"/>
    <w:rsid w:val="3FB21838"/>
    <w:rsid w:val="3FDA48AC"/>
    <w:rsid w:val="4004626D"/>
    <w:rsid w:val="401F0023"/>
    <w:rsid w:val="402A3DD6"/>
    <w:rsid w:val="402E363B"/>
    <w:rsid w:val="403A7A13"/>
    <w:rsid w:val="40883F9A"/>
    <w:rsid w:val="40A6403B"/>
    <w:rsid w:val="40C31767"/>
    <w:rsid w:val="40D11C13"/>
    <w:rsid w:val="40D14228"/>
    <w:rsid w:val="40E32648"/>
    <w:rsid w:val="40EA1805"/>
    <w:rsid w:val="410F7B16"/>
    <w:rsid w:val="41123C58"/>
    <w:rsid w:val="41171FD0"/>
    <w:rsid w:val="413F338F"/>
    <w:rsid w:val="41510470"/>
    <w:rsid w:val="415D3A83"/>
    <w:rsid w:val="419659D4"/>
    <w:rsid w:val="41A50FA5"/>
    <w:rsid w:val="41AF222E"/>
    <w:rsid w:val="41CC07BC"/>
    <w:rsid w:val="41DD5AAF"/>
    <w:rsid w:val="41EB3B41"/>
    <w:rsid w:val="41F374E8"/>
    <w:rsid w:val="420569A4"/>
    <w:rsid w:val="4210212C"/>
    <w:rsid w:val="421D674B"/>
    <w:rsid w:val="421F51E1"/>
    <w:rsid w:val="4246080B"/>
    <w:rsid w:val="42CE24FD"/>
    <w:rsid w:val="42F302DD"/>
    <w:rsid w:val="431C1B20"/>
    <w:rsid w:val="43260C43"/>
    <w:rsid w:val="438034F8"/>
    <w:rsid w:val="4388321A"/>
    <w:rsid w:val="43A966D6"/>
    <w:rsid w:val="43B200BF"/>
    <w:rsid w:val="441A31FF"/>
    <w:rsid w:val="443F03D6"/>
    <w:rsid w:val="444E7AB7"/>
    <w:rsid w:val="446A3759"/>
    <w:rsid w:val="446B4961"/>
    <w:rsid w:val="448654A3"/>
    <w:rsid w:val="44867251"/>
    <w:rsid w:val="449428DA"/>
    <w:rsid w:val="44C22253"/>
    <w:rsid w:val="44D97B49"/>
    <w:rsid w:val="45011647"/>
    <w:rsid w:val="45132E7E"/>
    <w:rsid w:val="45202DCD"/>
    <w:rsid w:val="453A74E6"/>
    <w:rsid w:val="4574179F"/>
    <w:rsid w:val="45797DA1"/>
    <w:rsid w:val="458726DB"/>
    <w:rsid w:val="45A046DF"/>
    <w:rsid w:val="45B725A0"/>
    <w:rsid w:val="45D33008"/>
    <w:rsid w:val="45D53422"/>
    <w:rsid w:val="45E216A1"/>
    <w:rsid w:val="45E44D31"/>
    <w:rsid w:val="462301DC"/>
    <w:rsid w:val="462E25CA"/>
    <w:rsid w:val="46303A17"/>
    <w:rsid w:val="465A58CC"/>
    <w:rsid w:val="465B295F"/>
    <w:rsid w:val="4660225A"/>
    <w:rsid w:val="46753A21"/>
    <w:rsid w:val="46931FE6"/>
    <w:rsid w:val="46D637ED"/>
    <w:rsid w:val="46DD3F38"/>
    <w:rsid w:val="46F16F1D"/>
    <w:rsid w:val="46FD2CBF"/>
    <w:rsid w:val="46FF153C"/>
    <w:rsid w:val="472910BD"/>
    <w:rsid w:val="47553E8E"/>
    <w:rsid w:val="477C293C"/>
    <w:rsid w:val="47CA2F97"/>
    <w:rsid w:val="47D84675"/>
    <w:rsid w:val="47E17B3A"/>
    <w:rsid w:val="481379C4"/>
    <w:rsid w:val="481947FE"/>
    <w:rsid w:val="483B043E"/>
    <w:rsid w:val="486B0826"/>
    <w:rsid w:val="486B1D8E"/>
    <w:rsid w:val="48A93D74"/>
    <w:rsid w:val="48D139F6"/>
    <w:rsid w:val="48E24C72"/>
    <w:rsid w:val="48F56DD6"/>
    <w:rsid w:val="491916C6"/>
    <w:rsid w:val="49573AC8"/>
    <w:rsid w:val="495D0823"/>
    <w:rsid w:val="49AA7971"/>
    <w:rsid w:val="49B2152C"/>
    <w:rsid w:val="49BB410F"/>
    <w:rsid w:val="49FE240E"/>
    <w:rsid w:val="4A141151"/>
    <w:rsid w:val="4A316318"/>
    <w:rsid w:val="4A5950C6"/>
    <w:rsid w:val="4A643B84"/>
    <w:rsid w:val="4A777A6A"/>
    <w:rsid w:val="4A7D10F6"/>
    <w:rsid w:val="4AC9062D"/>
    <w:rsid w:val="4AE52C42"/>
    <w:rsid w:val="4AF2187D"/>
    <w:rsid w:val="4AFC3953"/>
    <w:rsid w:val="4B1E385E"/>
    <w:rsid w:val="4B46598C"/>
    <w:rsid w:val="4B6870F9"/>
    <w:rsid w:val="4B6C2969"/>
    <w:rsid w:val="4B7F194D"/>
    <w:rsid w:val="4BA82530"/>
    <w:rsid w:val="4BCC1F4F"/>
    <w:rsid w:val="4BCF6DCB"/>
    <w:rsid w:val="4BD06B38"/>
    <w:rsid w:val="4BDF321A"/>
    <w:rsid w:val="4BFB5105"/>
    <w:rsid w:val="4C0065CE"/>
    <w:rsid w:val="4C18241E"/>
    <w:rsid w:val="4C227943"/>
    <w:rsid w:val="4C3E1EC0"/>
    <w:rsid w:val="4C4373DD"/>
    <w:rsid w:val="4C472142"/>
    <w:rsid w:val="4C5F22C4"/>
    <w:rsid w:val="4CA46E0E"/>
    <w:rsid w:val="4CB00D04"/>
    <w:rsid w:val="4CDD603C"/>
    <w:rsid w:val="4D0C2C77"/>
    <w:rsid w:val="4D3035BD"/>
    <w:rsid w:val="4D5B3038"/>
    <w:rsid w:val="4D9724CF"/>
    <w:rsid w:val="4D9A7BC8"/>
    <w:rsid w:val="4DA81276"/>
    <w:rsid w:val="4DC84563"/>
    <w:rsid w:val="4DC86CD0"/>
    <w:rsid w:val="4DD62C1F"/>
    <w:rsid w:val="4DF46D27"/>
    <w:rsid w:val="4E166804"/>
    <w:rsid w:val="4E255D2C"/>
    <w:rsid w:val="4E367509"/>
    <w:rsid w:val="4E5211BA"/>
    <w:rsid w:val="4E90713C"/>
    <w:rsid w:val="4E9D1D1E"/>
    <w:rsid w:val="4ED35788"/>
    <w:rsid w:val="4EF456FF"/>
    <w:rsid w:val="4F0E0B1D"/>
    <w:rsid w:val="4F1D2EA8"/>
    <w:rsid w:val="4F563CC4"/>
    <w:rsid w:val="4F6D4739"/>
    <w:rsid w:val="4F7604FC"/>
    <w:rsid w:val="4F8A326F"/>
    <w:rsid w:val="4F9A62A6"/>
    <w:rsid w:val="4FB069AC"/>
    <w:rsid w:val="4FB84497"/>
    <w:rsid w:val="4FBD41CA"/>
    <w:rsid w:val="4FD246D2"/>
    <w:rsid w:val="4FDE0348"/>
    <w:rsid w:val="50077D56"/>
    <w:rsid w:val="50131451"/>
    <w:rsid w:val="50831BFE"/>
    <w:rsid w:val="50B52FE4"/>
    <w:rsid w:val="50BF2E54"/>
    <w:rsid w:val="50C06536"/>
    <w:rsid w:val="51390BE4"/>
    <w:rsid w:val="513B13C3"/>
    <w:rsid w:val="515661FD"/>
    <w:rsid w:val="51600E2A"/>
    <w:rsid w:val="519B176B"/>
    <w:rsid w:val="51B86EB8"/>
    <w:rsid w:val="51C804DE"/>
    <w:rsid w:val="51CF0D4C"/>
    <w:rsid w:val="51DA6E2E"/>
    <w:rsid w:val="51E12FF8"/>
    <w:rsid w:val="51E33826"/>
    <w:rsid w:val="51E71C22"/>
    <w:rsid w:val="520C6B50"/>
    <w:rsid w:val="521E31BF"/>
    <w:rsid w:val="522E62F3"/>
    <w:rsid w:val="52354F1B"/>
    <w:rsid w:val="5240116C"/>
    <w:rsid w:val="524B3888"/>
    <w:rsid w:val="52554706"/>
    <w:rsid w:val="52A33960"/>
    <w:rsid w:val="52B476CE"/>
    <w:rsid w:val="52F47A95"/>
    <w:rsid w:val="531645CA"/>
    <w:rsid w:val="531F2A96"/>
    <w:rsid w:val="53262EC9"/>
    <w:rsid w:val="53394442"/>
    <w:rsid w:val="53734149"/>
    <w:rsid w:val="53735D8F"/>
    <w:rsid w:val="53932760"/>
    <w:rsid w:val="539873E7"/>
    <w:rsid w:val="539C016C"/>
    <w:rsid w:val="53B46D0C"/>
    <w:rsid w:val="54087353"/>
    <w:rsid w:val="54375044"/>
    <w:rsid w:val="544232E7"/>
    <w:rsid w:val="54557110"/>
    <w:rsid w:val="549459BA"/>
    <w:rsid w:val="549661B6"/>
    <w:rsid w:val="54D24E79"/>
    <w:rsid w:val="54D253EC"/>
    <w:rsid w:val="54E93F91"/>
    <w:rsid w:val="5503429F"/>
    <w:rsid w:val="551027C6"/>
    <w:rsid w:val="552F7315"/>
    <w:rsid w:val="554B0FDD"/>
    <w:rsid w:val="55631D2D"/>
    <w:rsid w:val="55703D01"/>
    <w:rsid w:val="55992B5C"/>
    <w:rsid w:val="55BB1E97"/>
    <w:rsid w:val="55C027DF"/>
    <w:rsid w:val="55C8709D"/>
    <w:rsid w:val="55D911AB"/>
    <w:rsid w:val="55F27B95"/>
    <w:rsid w:val="560509A3"/>
    <w:rsid w:val="56050C0A"/>
    <w:rsid w:val="560721BC"/>
    <w:rsid w:val="56250237"/>
    <w:rsid w:val="564569EB"/>
    <w:rsid w:val="568A7075"/>
    <w:rsid w:val="56AB5944"/>
    <w:rsid w:val="56CD0D0F"/>
    <w:rsid w:val="56F645A2"/>
    <w:rsid w:val="57214861"/>
    <w:rsid w:val="572B4616"/>
    <w:rsid w:val="57541EAD"/>
    <w:rsid w:val="576D2C98"/>
    <w:rsid w:val="577465D8"/>
    <w:rsid w:val="57AE5029"/>
    <w:rsid w:val="57C23486"/>
    <w:rsid w:val="57D123D3"/>
    <w:rsid w:val="5807247D"/>
    <w:rsid w:val="58117CC1"/>
    <w:rsid w:val="582C3384"/>
    <w:rsid w:val="58302015"/>
    <w:rsid w:val="58321596"/>
    <w:rsid w:val="58624A55"/>
    <w:rsid w:val="5874716B"/>
    <w:rsid w:val="58BA1767"/>
    <w:rsid w:val="58BC728D"/>
    <w:rsid w:val="58C70C0A"/>
    <w:rsid w:val="58F702C5"/>
    <w:rsid w:val="59162EF2"/>
    <w:rsid w:val="59216A89"/>
    <w:rsid w:val="597E01B2"/>
    <w:rsid w:val="59A175DF"/>
    <w:rsid w:val="59B819C2"/>
    <w:rsid w:val="59C7668D"/>
    <w:rsid w:val="59D900FD"/>
    <w:rsid w:val="59FC4729"/>
    <w:rsid w:val="59FF697B"/>
    <w:rsid w:val="5A0044B0"/>
    <w:rsid w:val="5A0B75E4"/>
    <w:rsid w:val="5A3457E5"/>
    <w:rsid w:val="5A432C28"/>
    <w:rsid w:val="5A575BFF"/>
    <w:rsid w:val="5A77586F"/>
    <w:rsid w:val="5A8B76AC"/>
    <w:rsid w:val="5AA12CBD"/>
    <w:rsid w:val="5AAE0E58"/>
    <w:rsid w:val="5ACA65CD"/>
    <w:rsid w:val="5ACC7A53"/>
    <w:rsid w:val="5ACD39D4"/>
    <w:rsid w:val="5AE26D53"/>
    <w:rsid w:val="5AE51758"/>
    <w:rsid w:val="5B2531A4"/>
    <w:rsid w:val="5B581F93"/>
    <w:rsid w:val="5B6B529B"/>
    <w:rsid w:val="5BB250E2"/>
    <w:rsid w:val="5BB3320D"/>
    <w:rsid w:val="5BBC30C5"/>
    <w:rsid w:val="5BC31A45"/>
    <w:rsid w:val="5BC772C9"/>
    <w:rsid w:val="5BCA3A6F"/>
    <w:rsid w:val="5BF50377"/>
    <w:rsid w:val="5C465FA2"/>
    <w:rsid w:val="5C544090"/>
    <w:rsid w:val="5C726BB6"/>
    <w:rsid w:val="5C7322D1"/>
    <w:rsid w:val="5CC51ECB"/>
    <w:rsid w:val="5CEF4070"/>
    <w:rsid w:val="5CF1327E"/>
    <w:rsid w:val="5CFC28A8"/>
    <w:rsid w:val="5D1D7697"/>
    <w:rsid w:val="5D246FFC"/>
    <w:rsid w:val="5D2D23B6"/>
    <w:rsid w:val="5D36426B"/>
    <w:rsid w:val="5D845E19"/>
    <w:rsid w:val="5DAD2281"/>
    <w:rsid w:val="5DDA696A"/>
    <w:rsid w:val="5DE132F2"/>
    <w:rsid w:val="5DEE219A"/>
    <w:rsid w:val="5E332A25"/>
    <w:rsid w:val="5E3E0745"/>
    <w:rsid w:val="5E3E084F"/>
    <w:rsid w:val="5E410FFD"/>
    <w:rsid w:val="5E4D3C63"/>
    <w:rsid w:val="5E543AC4"/>
    <w:rsid w:val="5E544606"/>
    <w:rsid w:val="5E8E05EA"/>
    <w:rsid w:val="5EC92704"/>
    <w:rsid w:val="5ECF75EF"/>
    <w:rsid w:val="5EFB61FA"/>
    <w:rsid w:val="5F2C7D02"/>
    <w:rsid w:val="5F31206E"/>
    <w:rsid w:val="5F7663E9"/>
    <w:rsid w:val="5FB656F9"/>
    <w:rsid w:val="5FBC2CFA"/>
    <w:rsid w:val="5FC53466"/>
    <w:rsid w:val="5FD13015"/>
    <w:rsid w:val="5FDD3ECE"/>
    <w:rsid w:val="5FF56DB4"/>
    <w:rsid w:val="60190EE3"/>
    <w:rsid w:val="601D48F2"/>
    <w:rsid w:val="601E31F8"/>
    <w:rsid w:val="602832C7"/>
    <w:rsid w:val="603D1F50"/>
    <w:rsid w:val="603F673E"/>
    <w:rsid w:val="605467C6"/>
    <w:rsid w:val="606D5A42"/>
    <w:rsid w:val="609603C4"/>
    <w:rsid w:val="60D605A1"/>
    <w:rsid w:val="612C537D"/>
    <w:rsid w:val="614527C5"/>
    <w:rsid w:val="61464F6C"/>
    <w:rsid w:val="61515A7F"/>
    <w:rsid w:val="61633E93"/>
    <w:rsid w:val="617F7EBB"/>
    <w:rsid w:val="61811A0C"/>
    <w:rsid w:val="61A4558D"/>
    <w:rsid w:val="61AE19EB"/>
    <w:rsid w:val="61C242AC"/>
    <w:rsid w:val="61C32B70"/>
    <w:rsid w:val="61C84EF5"/>
    <w:rsid w:val="61D54EA8"/>
    <w:rsid w:val="61E045CD"/>
    <w:rsid w:val="61E23930"/>
    <w:rsid w:val="62016875"/>
    <w:rsid w:val="623E052A"/>
    <w:rsid w:val="62835929"/>
    <w:rsid w:val="628A75D3"/>
    <w:rsid w:val="628B7263"/>
    <w:rsid w:val="62902D58"/>
    <w:rsid w:val="62AE4BDA"/>
    <w:rsid w:val="62C97640"/>
    <w:rsid w:val="62D27C48"/>
    <w:rsid w:val="62EE476E"/>
    <w:rsid w:val="62FE5BAA"/>
    <w:rsid w:val="6307315E"/>
    <w:rsid w:val="63184211"/>
    <w:rsid w:val="631B5AD9"/>
    <w:rsid w:val="635514AC"/>
    <w:rsid w:val="635C575B"/>
    <w:rsid w:val="635E65B7"/>
    <w:rsid w:val="63672302"/>
    <w:rsid w:val="636863CF"/>
    <w:rsid w:val="63715219"/>
    <w:rsid w:val="63752C12"/>
    <w:rsid w:val="638C1080"/>
    <w:rsid w:val="63B413CF"/>
    <w:rsid w:val="63D4721A"/>
    <w:rsid w:val="63FF6C27"/>
    <w:rsid w:val="6405263C"/>
    <w:rsid w:val="642454D9"/>
    <w:rsid w:val="645805EB"/>
    <w:rsid w:val="64634A61"/>
    <w:rsid w:val="6464336B"/>
    <w:rsid w:val="64BB664B"/>
    <w:rsid w:val="653C5193"/>
    <w:rsid w:val="655A40B6"/>
    <w:rsid w:val="655C7828"/>
    <w:rsid w:val="656A50F4"/>
    <w:rsid w:val="658B4967"/>
    <w:rsid w:val="65BA555D"/>
    <w:rsid w:val="65CB1350"/>
    <w:rsid w:val="65E95B42"/>
    <w:rsid w:val="66056C42"/>
    <w:rsid w:val="66330E7B"/>
    <w:rsid w:val="66351622"/>
    <w:rsid w:val="665136C4"/>
    <w:rsid w:val="665A2304"/>
    <w:rsid w:val="669C6349"/>
    <w:rsid w:val="66A4055E"/>
    <w:rsid w:val="66A80AC6"/>
    <w:rsid w:val="66BB6A04"/>
    <w:rsid w:val="66D02156"/>
    <w:rsid w:val="67144976"/>
    <w:rsid w:val="67202357"/>
    <w:rsid w:val="67566AFF"/>
    <w:rsid w:val="67603F26"/>
    <w:rsid w:val="679F3227"/>
    <w:rsid w:val="67D3264E"/>
    <w:rsid w:val="67D63720"/>
    <w:rsid w:val="67DA328C"/>
    <w:rsid w:val="67EC027D"/>
    <w:rsid w:val="68024DD3"/>
    <w:rsid w:val="6803691C"/>
    <w:rsid w:val="680F332B"/>
    <w:rsid w:val="6832253F"/>
    <w:rsid w:val="685C3C4D"/>
    <w:rsid w:val="685E5C6B"/>
    <w:rsid w:val="687102AD"/>
    <w:rsid w:val="68724B40"/>
    <w:rsid w:val="687C07E7"/>
    <w:rsid w:val="6886257F"/>
    <w:rsid w:val="688B4586"/>
    <w:rsid w:val="68902798"/>
    <w:rsid w:val="68D81383"/>
    <w:rsid w:val="68E52467"/>
    <w:rsid w:val="690C7142"/>
    <w:rsid w:val="690D0F74"/>
    <w:rsid w:val="693A5240"/>
    <w:rsid w:val="693B5FD8"/>
    <w:rsid w:val="69412846"/>
    <w:rsid w:val="695907E9"/>
    <w:rsid w:val="6964290E"/>
    <w:rsid w:val="698304CD"/>
    <w:rsid w:val="69932BAE"/>
    <w:rsid w:val="69A16FDB"/>
    <w:rsid w:val="69BA6060"/>
    <w:rsid w:val="69ED5B2B"/>
    <w:rsid w:val="6A1D696C"/>
    <w:rsid w:val="6A223F21"/>
    <w:rsid w:val="6A3A1973"/>
    <w:rsid w:val="6A4771F0"/>
    <w:rsid w:val="6A641277"/>
    <w:rsid w:val="6A643087"/>
    <w:rsid w:val="6A985E45"/>
    <w:rsid w:val="6AAD0001"/>
    <w:rsid w:val="6ACC3B62"/>
    <w:rsid w:val="6ADD726A"/>
    <w:rsid w:val="6AE30427"/>
    <w:rsid w:val="6AF14EBD"/>
    <w:rsid w:val="6AF162E4"/>
    <w:rsid w:val="6AFF5433"/>
    <w:rsid w:val="6B1B05C6"/>
    <w:rsid w:val="6B270A03"/>
    <w:rsid w:val="6B35684E"/>
    <w:rsid w:val="6B5775BA"/>
    <w:rsid w:val="6B6C1D6A"/>
    <w:rsid w:val="6B706DFD"/>
    <w:rsid w:val="6B735145"/>
    <w:rsid w:val="6B76701F"/>
    <w:rsid w:val="6BAA63F6"/>
    <w:rsid w:val="6BB64940"/>
    <w:rsid w:val="6BB94FE8"/>
    <w:rsid w:val="6BBA5ABD"/>
    <w:rsid w:val="6BC04151"/>
    <w:rsid w:val="6BFF6B53"/>
    <w:rsid w:val="6C161EDD"/>
    <w:rsid w:val="6C17534B"/>
    <w:rsid w:val="6C52384A"/>
    <w:rsid w:val="6C5F577B"/>
    <w:rsid w:val="6C5F6B13"/>
    <w:rsid w:val="6C831486"/>
    <w:rsid w:val="6C8C7141"/>
    <w:rsid w:val="6C903E5F"/>
    <w:rsid w:val="6C92595F"/>
    <w:rsid w:val="6CA31D11"/>
    <w:rsid w:val="6CA34594"/>
    <w:rsid w:val="6CA83959"/>
    <w:rsid w:val="6CE513BE"/>
    <w:rsid w:val="6CE8644B"/>
    <w:rsid w:val="6CEE595E"/>
    <w:rsid w:val="6CF82160"/>
    <w:rsid w:val="6D094BFA"/>
    <w:rsid w:val="6D1D7324"/>
    <w:rsid w:val="6D283EB3"/>
    <w:rsid w:val="6D476F5C"/>
    <w:rsid w:val="6D524D35"/>
    <w:rsid w:val="6D631E8B"/>
    <w:rsid w:val="6D7E3936"/>
    <w:rsid w:val="6D9D7841"/>
    <w:rsid w:val="6DA45721"/>
    <w:rsid w:val="6DEF5724"/>
    <w:rsid w:val="6E2D7396"/>
    <w:rsid w:val="6E396833"/>
    <w:rsid w:val="6E72437F"/>
    <w:rsid w:val="6E977E1E"/>
    <w:rsid w:val="6E9A083E"/>
    <w:rsid w:val="6F1013D6"/>
    <w:rsid w:val="6F1830F3"/>
    <w:rsid w:val="6F2C4E6B"/>
    <w:rsid w:val="6F7502BE"/>
    <w:rsid w:val="6F8E346E"/>
    <w:rsid w:val="6F922D77"/>
    <w:rsid w:val="6F953A54"/>
    <w:rsid w:val="6FA85985"/>
    <w:rsid w:val="6FB90E41"/>
    <w:rsid w:val="6FCD36D6"/>
    <w:rsid w:val="6FD7718C"/>
    <w:rsid w:val="6FDD39E3"/>
    <w:rsid w:val="6FEA2DEF"/>
    <w:rsid w:val="70231C9D"/>
    <w:rsid w:val="70411BFE"/>
    <w:rsid w:val="704768DE"/>
    <w:rsid w:val="707B5C7D"/>
    <w:rsid w:val="708C386D"/>
    <w:rsid w:val="7093353E"/>
    <w:rsid w:val="70A25D2A"/>
    <w:rsid w:val="70BF70C6"/>
    <w:rsid w:val="70EC15F1"/>
    <w:rsid w:val="70F43959"/>
    <w:rsid w:val="70F606D1"/>
    <w:rsid w:val="70F73101"/>
    <w:rsid w:val="710C3141"/>
    <w:rsid w:val="71104E62"/>
    <w:rsid w:val="713927A1"/>
    <w:rsid w:val="71426CAF"/>
    <w:rsid w:val="719525E5"/>
    <w:rsid w:val="719D433E"/>
    <w:rsid w:val="71C43EDF"/>
    <w:rsid w:val="71D12B7B"/>
    <w:rsid w:val="71D6119C"/>
    <w:rsid w:val="72047D57"/>
    <w:rsid w:val="722665EA"/>
    <w:rsid w:val="7254510E"/>
    <w:rsid w:val="72563FB1"/>
    <w:rsid w:val="726E28BC"/>
    <w:rsid w:val="727F3AD8"/>
    <w:rsid w:val="729701F7"/>
    <w:rsid w:val="72C13435"/>
    <w:rsid w:val="7332304C"/>
    <w:rsid w:val="73460DCF"/>
    <w:rsid w:val="736F51CC"/>
    <w:rsid w:val="73765DF7"/>
    <w:rsid w:val="739C093C"/>
    <w:rsid w:val="739D0315"/>
    <w:rsid w:val="73B34D70"/>
    <w:rsid w:val="73CE4F10"/>
    <w:rsid w:val="73DE0BF4"/>
    <w:rsid w:val="73EF72A5"/>
    <w:rsid w:val="740166CA"/>
    <w:rsid w:val="740F42BD"/>
    <w:rsid w:val="741606DE"/>
    <w:rsid w:val="741E7270"/>
    <w:rsid w:val="74367A9C"/>
    <w:rsid w:val="746B4618"/>
    <w:rsid w:val="746C1523"/>
    <w:rsid w:val="746F2FAE"/>
    <w:rsid w:val="748D524B"/>
    <w:rsid w:val="748E187D"/>
    <w:rsid w:val="74945161"/>
    <w:rsid w:val="74A40EAA"/>
    <w:rsid w:val="74F727ED"/>
    <w:rsid w:val="75395A4F"/>
    <w:rsid w:val="75825591"/>
    <w:rsid w:val="758C04C5"/>
    <w:rsid w:val="75A62599"/>
    <w:rsid w:val="75B0387E"/>
    <w:rsid w:val="75C718AC"/>
    <w:rsid w:val="75D5414A"/>
    <w:rsid w:val="75E5168E"/>
    <w:rsid w:val="75E65018"/>
    <w:rsid w:val="75FD7923"/>
    <w:rsid w:val="760963E5"/>
    <w:rsid w:val="764536B8"/>
    <w:rsid w:val="764C1E95"/>
    <w:rsid w:val="765340BE"/>
    <w:rsid w:val="76600B0B"/>
    <w:rsid w:val="769D4729"/>
    <w:rsid w:val="76EC025F"/>
    <w:rsid w:val="76FB321F"/>
    <w:rsid w:val="77104195"/>
    <w:rsid w:val="772C162A"/>
    <w:rsid w:val="773C7ABF"/>
    <w:rsid w:val="77532B5B"/>
    <w:rsid w:val="77A72B49"/>
    <w:rsid w:val="77B07528"/>
    <w:rsid w:val="77BA48A1"/>
    <w:rsid w:val="77CD238C"/>
    <w:rsid w:val="77CF596F"/>
    <w:rsid w:val="77EA45C3"/>
    <w:rsid w:val="77F02658"/>
    <w:rsid w:val="77F3515D"/>
    <w:rsid w:val="77F537AF"/>
    <w:rsid w:val="78427D95"/>
    <w:rsid w:val="78840865"/>
    <w:rsid w:val="789B3619"/>
    <w:rsid w:val="78B13E9E"/>
    <w:rsid w:val="78CE3373"/>
    <w:rsid w:val="78EA06B1"/>
    <w:rsid w:val="79303653"/>
    <w:rsid w:val="79332894"/>
    <w:rsid w:val="79432FDA"/>
    <w:rsid w:val="794E031B"/>
    <w:rsid w:val="795310F0"/>
    <w:rsid w:val="796340FE"/>
    <w:rsid w:val="7975092C"/>
    <w:rsid w:val="79B60BAD"/>
    <w:rsid w:val="79C33D0A"/>
    <w:rsid w:val="79F651E3"/>
    <w:rsid w:val="7A4A0DFD"/>
    <w:rsid w:val="7A4D3D91"/>
    <w:rsid w:val="7A552236"/>
    <w:rsid w:val="7A735659"/>
    <w:rsid w:val="7A7E0068"/>
    <w:rsid w:val="7A85352B"/>
    <w:rsid w:val="7AB60141"/>
    <w:rsid w:val="7AB7745D"/>
    <w:rsid w:val="7AC17447"/>
    <w:rsid w:val="7AD70C9B"/>
    <w:rsid w:val="7ADA5B3C"/>
    <w:rsid w:val="7AFA2663"/>
    <w:rsid w:val="7B12749D"/>
    <w:rsid w:val="7B4531F1"/>
    <w:rsid w:val="7B4D07FD"/>
    <w:rsid w:val="7B4E2738"/>
    <w:rsid w:val="7B551150"/>
    <w:rsid w:val="7B65510B"/>
    <w:rsid w:val="7B787C13"/>
    <w:rsid w:val="7BA74673"/>
    <w:rsid w:val="7BAB3DF5"/>
    <w:rsid w:val="7BD26364"/>
    <w:rsid w:val="7BDB29F1"/>
    <w:rsid w:val="7C2152B3"/>
    <w:rsid w:val="7C2F53CB"/>
    <w:rsid w:val="7C3A3603"/>
    <w:rsid w:val="7C461D0D"/>
    <w:rsid w:val="7C485C63"/>
    <w:rsid w:val="7C8C3EAE"/>
    <w:rsid w:val="7CA834CE"/>
    <w:rsid w:val="7CB9036C"/>
    <w:rsid w:val="7D047631"/>
    <w:rsid w:val="7D2E52F0"/>
    <w:rsid w:val="7D3475DB"/>
    <w:rsid w:val="7D5E0064"/>
    <w:rsid w:val="7D6D4E1C"/>
    <w:rsid w:val="7D771F95"/>
    <w:rsid w:val="7D7F6713"/>
    <w:rsid w:val="7D942460"/>
    <w:rsid w:val="7DC30767"/>
    <w:rsid w:val="7DDD5D1F"/>
    <w:rsid w:val="7E0B3754"/>
    <w:rsid w:val="7E3C4D54"/>
    <w:rsid w:val="7E563F68"/>
    <w:rsid w:val="7EC40A24"/>
    <w:rsid w:val="7EC61A85"/>
    <w:rsid w:val="7ED40246"/>
    <w:rsid w:val="7F231565"/>
    <w:rsid w:val="7F5F072D"/>
    <w:rsid w:val="7F6000C3"/>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2"/>
    <w:qFormat/>
    <w:uiPriority w:val="0"/>
    <w:pPr>
      <w:keepNext/>
      <w:jc w:val="center"/>
      <w:outlineLvl w:val="0"/>
    </w:pPr>
    <w:rPr>
      <w:rFonts w:eastAsia="黑体"/>
      <w:b/>
      <w:sz w:val="32"/>
      <w:szCs w:val="20"/>
    </w:rPr>
  </w:style>
  <w:style w:type="paragraph" w:styleId="6">
    <w:name w:val="heading 2"/>
    <w:basedOn w:val="1"/>
    <w:next w:val="1"/>
    <w:link w:val="70"/>
    <w:qFormat/>
    <w:uiPriority w:val="0"/>
    <w:pPr>
      <w:keepNext/>
      <w:outlineLvl w:val="1"/>
    </w:pPr>
    <w:rPr>
      <w:rFonts w:ascii="仿宋_GB2312"/>
      <w:b/>
      <w:sz w:val="28"/>
      <w:szCs w:val="32"/>
    </w:rPr>
  </w:style>
  <w:style w:type="paragraph" w:styleId="7">
    <w:name w:val="heading 3"/>
    <w:basedOn w:val="1"/>
    <w:next w:val="1"/>
    <w:link w:val="155"/>
    <w:qFormat/>
    <w:uiPriority w:val="0"/>
    <w:pPr>
      <w:keepNext/>
      <w:keepLines/>
      <w:spacing w:line="540" w:lineRule="atLeast"/>
      <w:outlineLvl w:val="2"/>
    </w:pPr>
    <w:rPr>
      <w:rFonts w:eastAsia="黑体"/>
      <w:b/>
      <w:sz w:val="28"/>
      <w:szCs w:val="20"/>
    </w:rPr>
  </w:style>
  <w:style w:type="paragraph" w:styleId="8">
    <w:name w:val="heading 4"/>
    <w:basedOn w:val="1"/>
    <w:next w:val="1"/>
    <w:link w:val="152"/>
    <w:autoRedefine/>
    <w:qFormat/>
    <w:uiPriority w:val="0"/>
    <w:pPr>
      <w:keepNext/>
      <w:keepLines/>
      <w:spacing w:line="540" w:lineRule="atLeast"/>
      <w:outlineLvl w:val="3"/>
    </w:pPr>
    <w:rPr>
      <w:sz w:val="28"/>
      <w:szCs w:val="28"/>
    </w:rPr>
  </w:style>
  <w:style w:type="paragraph" w:styleId="9">
    <w:name w:val="heading 5"/>
    <w:basedOn w:val="1"/>
    <w:next w:val="1"/>
    <w:link w:val="135"/>
    <w:autoRedefine/>
    <w:qFormat/>
    <w:uiPriority w:val="0"/>
    <w:pPr>
      <w:keepNext/>
      <w:keepLines/>
      <w:spacing w:before="280" w:after="290" w:line="372" w:lineRule="auto"/>
      <w:outlineLvl w:val="4"/>
    </w:pPr>
    <w:rPr>
      <w:b/>
      <w:bCs/>
      <w:kern w:val="0"/>
      <w:sz w:val="28"/>
      <w:szCs w:val="28"/>
    </w:rPr>
  </w:style>
  <w:style w:type="paragraph" w:styleId="10">
    <w:name w:val="heading 6"/>
    <w:basedOn w:val="1"/>
    <w:next w:val="11"/>
    <w:link w:val="176"/>
    <w:qFormat/>
    <w:uiPriority w:val="0"/>
    <w:pPr>
      <w:keepNext/>
      <w:keepLines/>
      <w:spacing w:before="240" w:after="64" w:line="317" w:lineRule="auto"/>
      <w:outlineLvl w:val="5"/>
    </w:pPr>
    <w:rPr>
      <w:rFonts w:ascii="Arial" w:hAnsi="Arial" w:eastAsia="黑体"/>
      <w:b/>
      <w:sz w:val="24"/>
      <w:szCs w:val="20"/>
    </w:rPr>
  </w:style>
  <w:style w:type="paragraph" w:styleId="12">
    <w:name w:val="heading 7"/>
    <w:basedOn w:val="1"/>
    <w:next w:val="11"/>
    <w:link w:val="73"/>
    <w:autoRedefine/>
    <w:qFormat/>
    <w:uiPriority w:val="0"/>
    <w:pPr>
      <w:keepNext/>
      <w:keepLines/>
      <w:spacing w:before="240" w:after="64" w:line="317" w:lineRule="auto"/>
      <w:outlineLvl w:val="6"/>
    </w:pPr>
    <w:rPr>
      <w:b/>
      <w:sz w:val="24"/>
      <w:szCs w:val="20"/>
    </w:rPr>
  </w:style>
  <w:style w:type="paragraph" w:styleId="13">
    <w:name w:val="heading 8"/>
    <w:basedOn w:val="1"/>
    <w:next w:val="11"/>
    <w:link w:val="179"/>
    <w:autoRedefine/>
    <w:qFormat/>
    <w:uiPriority w:val="0"/>
    <w:pPr>
      <w:keepNext/>
      <w:keepLines/>
      <w:spacing w:before="240" w:after="64" w:line="317" w:lineRule="auto"/>
      <w:outlineLvl w:val="7"/>
    </w:pPr>
    <w:rPr>
      <w:rFonts w:ascii="Arial" w:hAnsi="Arial" w:eastAsia="黑体"/>
      <w:sz w:val="24"/>
      <w:szCs w:val="20"/>
    </w:rPr>
  </w:style>
  <w:style w:type="paragraph" w:styleId="14">
    <w:name w:val="heading 9"/>
    <w:basedOn w:val="1"/>
    <w:next w:val="11"/>
    <w:link w:val="166"/>
    <w:autoRedefine/>
    <w:qFormat/>
    <w:uiPriority w:val="0"/>
    <w:pPr>
      <w:keepNext/>
      <w:keepLines/>
      <w:spacing w:before="240" w:after="64" w:line="317" w:lineRule="auto"/>
      <w:outlineLvl w:val="8"/>
    </w:pPr>
    <w:rPr>
      <w:rFonts w:ascii="Arial" w:hAnsi="Arial" w:eastAsia="黑体"/>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99"/>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3">
    <w:name w:val="Body Text"/>
    <w:basedOn w:val="1"/>
    <w:link w:val="167"/>
    <w:autoRedefine/>
    <w:qFormat/>
    <w:uiPriority w:val="0"/>
    <w:pPr>
      <w:spacing w:after="120"/>
    </w:pPr>
    <w:rPr>
      <w:rFonts w:ascii="仿宋_GB2312"/>
      <w:b/>
    </w:rPr>
  </w:style>
  <w:style w:type="paragraph" w:styleId="4">
    <w:name w:val="macro"/>
    <w:link w:val="12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11">
    <w:name w:val="Normal Indent"/>
    <w:basedOn w:val="1"/>
    <w:next w:val="1"/>
    <w:link w:val="108"/>
    <w:autoRedefine/>
    <w:qFormat/>
    <w:uiPriority w:val="0"/>
    <w:pPr>
      <w:adjustRightInd w:val="0"/>
      <w:spacing w:line="312" w:lineRule="atLeast"/>
      <w:ind w:firstLine="442" w:firstLineChars="200"/>
      <w:textAlignment w:val="baseline"/>
    </w:pPr>
    <w:rPr>
      <w:rFonts w:ascii="宋体" w:hAnsi="宋体" w:cs="宋体"/>
      <w:b/>
      <w:bCs/>
      <w:sz w:val="22"/>
      <w:szCs w:val="22"/>
    </w:rPr>
  </w:style>
  <w:style w:type="paragraph" w:styleId="15">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6">
    <w:name w:val="List Number"/>
    <w:basedOn w:val="1"/>
    <w:autoRedefine/>
    <w:qFormat/>
    <w:uiPriority w:val="0"/>
    <w:pPr>
      <w:tabs>
        <w:tab w:val="left" w:pos="360"/>
      </w:tabs>
      <w:ind w:left="360" w:hanging="360" w:hangingChars="200"/>
    </w:pPr>
  </w:style>
  <w:style w:type="paragraph" w:styleId="17">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8">
    <w:name w:val="List Bullet"/>
    <w:basedOn w:val="1"/>
    <w:autoRedefine/>
    <w:qFormat/>
    <w:uiPriority w:val="0"/>
    <w:pPr>
      <w:tabs>
        <w:tab w:val="left" w:pos="360"/>
      </w:tabs>
    </w:pPr>
    <w:rPr>
      <w:rFonts w:ascii="Calibri" w:hAnsi="Calibri"/>
      <w:szCs w:val="22"/>
    </w:rPr>
  </w:style>
  <w:style w:type="paragraph" w:styleId="19">
    <w:name w:val="Document Map"/>
    <w:basedOn w:val="1"/>
    <w:link w:val="134"/>
    <w:autoRedefine/>
    <w:qFormat/>
    <w:uiPriority w:val="0"/>
    <w:pPr>
      <w:shd w:val="clear" w:color="auto" w:fill="000080"/>
    </w:pPr>
  </w:style>
  <w:style w:type="paragraph" w:styleId="20">
    <w:name w:val="annotation text"/>
    <w:basedOn w:val="1"/>
    <w:link w:val="94"/>
    <w:autoRedefine/>
    <w:qFormat/>
    <w:uiPriority w:val="0"/>
    <w:pPr>
      <w:jc w:val="left"/>
    </w:pPr>
  </w:style>
  <w:style w:type="paragraph" w:styleId="21">
    <w:name w:val="Salutation"/>
    <w:basedOn w:val="1"/>
    <w:next w:val="1"/>
    <w:link w:val="82"/>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2">
    <w:name w:val="Body Text 3"/>
    <w:basedOn w:val="1"/>
    <w:link w:val="98"/>
    <w:autoRedefine/>
    <w:qFormat/>
    <w:uiPriority w:val="0"/>
    <w:pPr>
      <w:autoSpaceDE w:val="0"/>
      <w:autoSpaceDN w:val="0"/>
      <w:adjustRightInd w:val="0"/>
      <w:jc w:val="center"/>
    </w:pPr>
  </w:style>
  <w:style w:type="paragraph" w:styleId="23">
    <w:name w:val="Body Text Indent"/>
    <w:basedOn w:val="1"/>
    <w:link w:val="147"/>
    <w:autoRedefine/>
    <w:qFormat/>
    <w:uiPriority w:val="0"/>
    <w:pPr>
      <w:ind w:left="480" w:hanging="480" w:hangingChars="200"/>
    </w:pPr>
    <w:rPr>
      <w:sz w:val="24"/>
    </w:rPr>
  </w:style>
  <w:style w:type="paragraph" w:styleId="24">
    <w:name w:val="List Number 3"/>
    <w:basedOn w:val="1"/>
    <w:autoRedefine/>
    <w:qFormat/>
    <w:uiPriority w:val="0"/>
    <w:pPr>
      <w:tabs>
        <w:tab w:val="left" w:pos="1200"/>
      </w:tabs>
      <w:ind w:left="1200" w:leftChars="400" w:hanging="360" w:hangingChars="200"/>
    </w:pPr>
  </w:style>
  <w:style w:type="paragraph" w:styleId="25">
    <w:name w:val="Block Text"/>
    <w:basedOn w:val="1"/>
    <w:autoRedefine/>
    <w:qFormat/>
    <w:uiPriority w:val="0"/>
    <w:pPr>
      <w:spacing w:line="520" w:lineRule="exact"/>
      <w:ind w:left="540" w:leftChars="257" w:right="-514"/>
    </w:pPr>
    <w:rPr>
      <w:rFonts w:ascii="宋体" w:hAnsi="宋体"/>
      <w:sz w:val="24"/>
    </w:rPr>
  </w:style>
  <w:style w:type="paragraph" w:styleId="26">
    <w:name w:val="List Bullet 2"/>
    <w:basedOn w:val="1"/>
    <w:autoRedefine/>
    <w:qFormat/>
    <w:uiPriority w:val="0"/>
    <w:pPr>
      <w:tabs>
        <w:tab w:val="left" w:pos="780"/>
      </w:tabs>
      <w:spacing w:line="360" w:lineRule="auto"/>
      <w:ind w:left="780" w:leftChars="200" w:hanging="360" w:hangingChars="200"/>
    </w:pPr>
  </w:style>
  <w:style w:type="paragraph" w:styleId="27">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8">
    <w:name w:val="toc 3"/>
    <w:basedOn w:val="1"/>
    <w:next w:val="1"/>
    <w:autoRedefine/>
    <w:qFormat/>
    <w:uiPriority w:val="0"/>
    <w:pPr>
      <w:ind w:left="840" w:leftChars="400"/>
    </w:pPr>
  </w:style>
  <w:style w:type="paragraph" w:styleId="29">
    <w:name w:val="Plain Text"/>
    <w:basedOn w:val="1"/>
    <w:next w:val="1"/>
    <w:link w:val="19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2">
    <w:name w:val="Date"/>
    <w:basedOn w:val="1"/>
    <w:next w:val="1"/>
    <w:link w:val="136"/>
    <w:autoRedefine/>
    <w:qFormat/>
    <w:uiPriority w:val="0"/>
    <w:pPr>
      <w:ind w:left="100" w:leftChars="2500"/>
    </w:pPr>
  </w:style>
  <w:style w:type="paragraph" w:styleId="33">
    <w:name w:val="Body Text Indent 2"/>
    <w:basedOn w:val="1"/>
    <w:link w:val="181"/>
    <w:autoRedefine/>
    <w:qFormat/>
    <w:uiPriority w:val="0"/>
    <w:pPr>
      <w:spacing w:line="500" w:lineRule="exact"/>
      <w:ind w:firstLine="511" w:firstLineChars="213"/>
    </w:pPr>
    <w:rPr>
      <w:sz w:val="24"/>
    </w:rPr>
  </w:style>
  <w:style w:type="paragraph" w:styleId="34">
    <w:name w:val="Balloon Text"/>
    <w:basedOn w:val="1"/>
    <w:link w:val="154"/>
    <w:qFormat/>
    <w:uiPriority w:val="0"/>
    <w:rPr>
      <w:sz w:val="18"/>
      <w:szCs w:val="18"/>
    </w:rPr>
  </w:style>
  <w:style w:type="paragraph" w:styleId="35">
    <w:name w:val="footer"/>
    <w:basedOn w:val="1"/>
    <w:link w:val="123"/>
    <w:autoRedefine/>
    <w:qFormat/>
    <w:uiPriority w:val="0"/>
    <w:pPr>
      <w:tabs>
        <w:tab w:val="center" w:pos="4153"/>
        <w:tab w:val="right" w:pos="8306"/>
      </w:tabs>
      <w:snapToGrid w:val="0"/>
      <w:jc w:val="left"/>
    </w:pPr>
    <w:rPr>
      <w:sz w:val="18"/>
      <w:szCs w:val="18"/>
    </w:rPr>
  </w:style>
  <w:style w:type="paragraph" w:styleId="36">
    <w:name w:val="envelope return"/>
    <w:basedOn w:val="1"/>
    <w:qFormat/>
    <w:uiPriority w:val="0"/>
    <w:pPr>
      <w:snapToGrid w:val="0"/>
    </w:pPr>
    <w:rPr>
      <w:rFonts w:ascii="Arial" w:hAnsi="Arial"/>
    </w:rPr>
  </w:style>
  <w:style w:type="paragraph" w:styleId="37">
    <w:name w:val="header"/>
    <w:basedOn w:val="1"/>
    <w:link w:val="138"/>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7"/>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1">
    <w:name w:val="Subtitle"/>
    <w:basedOn w:val="1"/>
    <w:next w:val="1"/>
    <w:link w:val="137"/>
    <w:autoRedefine/>
    <w:qFormat/>
    <w:uiPriority w:val="0"/>
    <w:pPr>
      <w:spacing w:before="240" w:after="60" w:line="312" w:lineRule="auto"/>
      <w:jc w:val="center"/>
      <w:outlineLvl w:val="1"/>
    </w:pPr>
    <w:rPr>
      <w:rFonts w:ascii="Cambria" w:hAnsi="Cambria"/>
      <w:b/>
      <w:bCs/>
      <w:kern w:val="28"/>
      <w:sz w:val="32"/>
      <w:szCs w:val="32"/>
    </w:rPr>
  </w:style>
  <w:style w:type="paragraph" w:styleId="42">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3">
    <w:name w:val="List"/>
    <w:basedOn w:val="1"/>
    <w:autoRedefine/>
    <w:qFormat/>
    <w:uiPriority w:val="0"/>
    <w:pPr>
      <w:ind w:left="200" w:hanging="200" w:hangingChars="200"/>
    </w:pPr>
  </w:style>
  <w:style w:type="paragraph" w:styleId="44">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5">
    <w:name w:val="Body Text Indent 3"/>
    <w:basedOn w:val="1"/>
    <w:link w:val="149"/>
    <w:autoRedefine/>
    <w:qFormat/>
    <w:uiPriority w:val="0"/>
    <w:pPr>
      <w:spacing w:line="500" w:lineRule="exact"/>
      <w:ind w:left="511" w:hanging="511" w:hangingChars="213"/>
    </w:pPr>
    <w:rPr>
      <w:sz w:val="24"/>
    </w:rPr>
  </w:style>
  <w:style w:type="paragraph" w:styleId="46">
    <w:name w:val="toc 2"/>
    <w:basedOn w:val="1"/>
    <w:next w:val="1"/>
    <w:autoRedefine/>
    <w:qFormat/>
    <w:uiPriority w:val="0"/>
    <w:pPr>
      <w:ind w:left="420" w:leftChars="200"/>
    </w:pPr>
  </w:style>
  <w:style w:type="paragraph" w:styleId="47">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8">
    <w:name w:val="Body Text 2"/>
    <w:basedOn w:val="1"/>
    <w:link w:val="201"/>
    <w:autoRedefine/>
    <w:qFormat/>
    <w:uiPriority w:val="0"/>
    <w:pPr>
      <w:autoSpaceDE w:val="0"/>
      <w:autoSpaceDN w:val="0"/>
      <w:adjustRightInd w:val="0"/>
      <w:spacing w:after="120" w:line="480" w:lineRule="auto"/>
      <w:jc w:val="left"/>
    </w:pPr>
  </w:style>
  <w:style w:type="paragraph" w:styleId="4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0">
    <w:name w:val="Title"/>
    <w:basedOn w:val="1"/>
    <w:next w:val="1"/>
    <w:link w:val="114"/>
    <w:autoRedefine/>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99"/>
    <w:autoRedefine/>
    <w:qFormat/>
    <w:uiPriority w:val="0"/>
    <w:rPr>
      <w:b/>
      <w:bCs/>
    </w:rPr>
  </w:style>
  <w:style w:type="paragraph" w:styleId="52">
    <w:name w:val="Body Text First Indent 2"/>
    <w:basedOn w:val="23"/>
    <w:autoRedefine/>
    <w:qFormat/>
    <w:uiPriority w:val="0"/>
    <w:pPr>
      <w:spacing w:after="120"/>
      <w:ind w:left="840" w:leftChars="200" w:hanging="420"/>
    </w:pPr>
    <w:rPr>
      <w:rFonts w:cs="宋体"/>
      <w:color w:val="FF0000"/>
      <w:sz w:val="21"/>
      <w:szCs w:val="21"/>
    </w:rPr>
  </w:style>
  <w:style w:type="table" w:styleId="54">
    <w:name w:val="Table Grid"/>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autoRedefine/>
    <w:qFormat/>
    <w:uiPriority w:val="0"/>
    <w:rPr>
      <w:rFonts w:ascii="仿宋_GB2312" w:eastAsia="仿宋_GB2312"/>
      <w:bCs/>
      <w:sz w:val="32"/>
      <w:szCs w:val="32"/>
    </w:rPr>
  </w:style>
  <w:style w:type="character" w:styleId="57">
    <w:name w:val="page number"/>
    <w:basedOn w:val="55"/>
    <w:autoRedefine/>
    <w:qFormat/>
    <w:uiPriority w:val="0"/>
  </w:style>
  <w:style w:type="character" w:styleId="58">
    <w:name w:val="FollowedHyperlink"/>
    <w:autoRedefine/>
    <w:qFormat/>
    <w:uiPriority w:val="0"/>
    <w:rPr>
      <w:rFonts w:ascii="仿宋_GB2312" w:eastAsia="仿宋_GB2312"/>
      <w:b/>
      <w:color w:val="800080"/>
      <w:sz w:val="32"/>
      <w:szCs w:val="32"/>
      <w:u w:val="none"/>
    </w:rPr>
  </w:style>
  <w:style w:type="character" w:styleId="59">
    <w:name w:val="Emphasis"/>
    <w:autoRedefine/>
    <w:qFormat/>
    <w:uiPriority w:val="0"/>
    <w:rPr>
      <w:i/>
      <w:iCs/>
    </w:rPr>
  </w:style>
  <w:style w:type="character" w:styleId="60">
    <w:name w:val="line number"/>
    <w:basedOn w:val="55"/>
    <w:autoRedefine/>
    <w:qFormat/>
    <w:uiPriority w:val="0"/>
  </w:style>
  <w:style w:type="character" w:styleId="61">
    <w:name w:val="Hyperlink"/>
    <w:autoRedefine/>
    <w:qFormat/>
    <w:uiPriority w:val="0"/>
    <w:rPr>
      <w:rFonts w:ascii="仿宋_GB2312" w:eastAsia="仿宋_GB2312"/>
      <w:b/>
      <w:color w:val="0000FF"/>
      <w:sz w:val="32"/>
      <w:szCs w:val="32"/>
      <w:u w:val="none"/>
    </w:rPr>
  </w:style>
  <w:style w:type="character" w:styleId="62">
    <w:name w:val="annotation reference"/>
    <w:autoRedefine/>
    <w:qFormat/>
    <w:uiPriority w:val="0"/>
    <w:rPr>
      <w:sz w:val="21"/>
      <w:szCs w:val="21"/>
    </w:rPr>
  </w:style>
  <w:style w:type="character" w:styleId="63">
    <w:name w:val="HTML Cite"/>
    <w:autoRedefine/>
    <w:qFormat/>
    <w:uiPriority w:val="0"/>
    <w:rPr>
      <w:color w:val="008000"/>
    </w:rPr>
  </w:style>
  <w:style w:type="character" w:styleId="64">
    <w:name w:val="HTML Sample"/>
    <w:basedOn w:val="55"/>
    <w:qFormat/>
    <w:uiPriority w:val="0"/>
    <w:rPr>
      <w:rFonts w:ascii="Courier New" w:hAnsi="Courier New"/>
    </w:rPr>
  </w:style>
  <w:style w:type="paragraph" w:customStyle="1" w:styleId="6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67">
    <w:name w:val="Char3 Char Char Char"/>
    <w:basedOn w:val="1"/>
    <w:autoRedefine/>
    <w:qFormat/>
    <w:uiPriority w:val="0"/>
  </w:style>
  <w:style w:type="character" w:customStyle="1" w:styleId="68">
    <w:name w:val="不明显参考1"/>
    <w:autoRedefine/>
    <w:qFormat/>
    <w:uiPriority w:val="0"/>
    <w:rPr>
      <w:smallCaps/>
      <w:color w:val="C0504D"/>
      <w:u w:val="single"/>
    </w:rPr>
  </w:style>
  <w:style w:type="character" w:customStyle="1" w:styleId="69">
    <w:name w:val="PI Char1"/>
    <w:autoRedefine/>
    <w:qFormat/>
    <w:uiPriority w:val="0"/>
    <w:rPr>
      <w:rFonts w:eastAsia="宋体"/>
      <w:kern w:val="2"/>
      <w:sz w:val="24"/>
      <w:szCs w:val="24"/>
      <w:lang w:val="en-US" w:eastAsia="zh-CN" w:bidi="ar-SA"/>
    </w:rPr>
  </w:style>
  <w:style w:type="character" w:customStyle="1" w:styleId="70">
    <w:name w:val="标题 2 Char"/>
    <w:link w:val="6"/>
    <w:qFormat/>
    <w:uiPriority w:val="0"/>
    <w:rPr>
      <w:rFonts w:ascii="仿宋_GB2312" w:eastAsia="宋体"/>
      <w:b/>
      <w:kern w:val="2"/>
      <w:sz w:val="28"/>
      <w:szCs w:val="32"/>
      <w:lang w:val="en-US" w:eastAsia="zh-CN" w:bidi="ar-SA"/>
    </w:rPr>
  </w:style>
  <w:style w:type="character" w:customStyle="1" w:styleId="71">
    <w:name w:val="pt141"/>
    <w:autoRedefine/>
    <w:qFormat/>
    <w:uiPriority w:val="0"/>
    <w:rPr>
      <w:color w:val="330066"/>
      <w:spacing w:val="450"/>
      <w:sz w:val="22"/>
      <w:szCs w:val="22"/>
    </w:rPr>
  </w:style>
  <w:style w:type="character" w:customStyle="1" w:styleId="72">
    <w:name w:val="Char Char27"/>
    <w:autoRedefine/>
    <w:qFormat/>
    <w:uiPriority w:val="0"/>
    <w:rPr>
      <w:rFonts w:eastAsia="宋体"/>
      <w:kern w:val="2"/>
      <w:sz w:val="28"/>
      <w:lang w:val="en-US" w:eastAsia="zh-CN" w:bidi="ar-SA"/>
    </w:rPr>
  </w:style>
  <w:style w:type="character" w:customStyle="1" w:styleId="73">
    <w:name w:val="标题 7 Char"/>
    <w:link w:val="12"/>
    <w:qFormat/>
    <w:uiPriority w:val="0"/>
    <w:rPr>
      <w:rFonts w:eastAsia="宋体"/>
      <w:b/>
      <w:kern w:val="2"/>
      <w:sz w:val="24"/>
      <w:lang w:val="en-US" w:eastAsia="zh-CN" w:bidi="ar-SA"/>
    </w:rPr>
  </w:style>
  <w:style w:type="character" w:customStyle="1" w:styleId="74">
    <w:name w:val="明显参考1"/>
    <w:qFormat/>
    <w:uiPriority w:val="0"/>
    <w:rPr>
      <w:b/>
      <w:bCs/>
      <w:smallCaps/>
      <w:color w:val="C0504D"/>
      <w:spacing w:val="5"/>
      <w:u w:val="single"/>
    </w:rPr>
  </w:style>
  <w:style w:type="character" w:customStyle="1" w:styleId="75">
    <w:name w:val="书籍标题1"/>
    <w:autoRedefine/>
    <w:qFormat/>
    <w:uiPriority w:val="0"/>
    <w:rPr>
      <w:b/>
      <w:bCs/>
      <w:smallCaps/>
      <w:spacing w:val="5"/>
    </w:rPr>
  </w:style>
  <w:style w:type="character" w:customStyle="1" w:styleId="76">
    <w:name w:val="Char Char61"/>
    <w:autoRedefine/>
    <w:qFormat/>
    <w:uiPriority w:val="0"/>
    <w:rPr>
      <w:rFonts w:ascii="Times New Roman" w:hAnsi="Times New Roman" w:eastAsia="宋体" w:cs="Times New Roman"/>
      <w:szCs w:val="24"/>
    </w:rPr>
  </w:style>
  <w:style w:type="character" w:customStyle="1" w:styleId="77">
    <w:name w:val="Char Char24"/>
    <w:autoRedefine/>
    <w:qFormat/>
    <w:uiPriority w:val="0"/>
    <w:rPr>
      <w:rFonts w:eastAsia="宋体"/>
      <w:b/>
      <w:kern w:val="2"/>
      <w:sz w:val="28"/>
      <w:lang w:val="en-US" w:eastAsia="zh-CN" w:bidi="ar-SA"/>
    </w:rPr>
  </w:style>
  <w:style w:type="character" w:customStyle="1" w:styleId="78">
    <w:name w:val="Style4"/>
    <w:autoRedefine/>
    <w:qFormat/>
    <w:uiPriority w:val="0"/>
    <w:rPr>
      <w:rFonts w:ascii="Calibri" w:hAnsi="宋体" w:eastAsia="宋体" w:cs="Times New Roman"/>
      <w:szCs w:val="22"/>
      <w:lang w:eastAsia="zh-CN"/>
    </w:rPr>
  </w:style>
  <w:style w:type="character" w:customStyle="1" w:styleId="79">
    <w:name w:val="Style1"/>
    <w:autoRedefine/>
    <w:qFormat/>
    <w:uiPriority w:val="0"/>
    <w:rPr>
      <w:rFonts w:ascii="Calibri" w:hAnsi="宋体" w:eastAsia="宋体" w:cs="Times New Roman"/>
      <w:sz w:val="22"/>
      <w:szCs w:val="22"/>
      <w:lang w:eastAsia="zh-CN"/>
    </w:rPr>
  </w:style>
  <w:style w:type="character" w:customStyle="1" w:styleId="80">
    <w:name w:val="heading 1 Char1"/>
    <w:autoRedefine/>
    <w:qFormat/>
    <w:uiPriority w:val="0"/>
    <w:rPr>
      <w:rFonts w:eastAsia="宋体"/>
      <w:b/>
      <w:bCs/>
      <w:kern w:val="44"/>
      <w:sz w:val="44"/>
      <w:szCs w:val="44"/>
      <w:lang w:val="en-US" w:eastAsia="zh-CN" w:bidi="ar-SA"/>
    </w:rPr>
  </w:style>
  <w:style w:type="character" w:customStyle="1" w:styleId="81">
    <w:name w:val="Style5"/>
    <w:qFormat/>
    <w:uiPriority w:val="0"/>
    <w:rPr>
      <w:rFonts w:ascii="Calibri" w:hAnsi="宋体" w:eastAsia="宋体" w:cs="Times New Roman"/>
      <w:sz w:val="22"/>
      <w:szCs w:val="22"/>
      <w:lang w:eastAsia="zh-CN"/>
    </w:rPr>
  </w:style>
  <w:style w:type="character" w:customStyle="1" w:styleId="82">
    <w:name w:val="称呼 Char"/>
    <w:link w:val="21"/>
    <w:autoRedefine/>
    <w:qFormat/>
    <w:uiPriority w:val="0"/>
    <w:rPr>
      <w:rFonts w:ascii="仿宋_GB2312" w:eastAsia="仿宋_GB2312"/>
      <w:b/>
      <w:sz w:val="24"/>
      <w:szCs w:val="32"/>
    </w:rPr>
  </w:style>
  <w:style w:type="character" w:customStyle="1" w:styleId="83">
    <w:name w:val="Ò³Ã¼ Char Char2"/>
    <w:autoRedefine/>
    <w:qFormat/>
    <w:uiPriority w:val="0"/>
    <w:rPr>
      <w:kern w:val="2"/>
      <w:sz w:val="18"/>
      <w:szCs w:val="18"/>
    </w:rPr>
  </w:style>
  <w:style w:type="character" w:customStyle="1" w:styleId="84">
    <w:name w:val="明显强调1"/>
    <w:autoRedefine/>
    <w:qFormat/>
    <w:uiPriority w:val="0"/>
    <w:rPr>
      <w:b/>
      <w:bCs/>
      <w:i/>
      <w:iCs/>
      <w:color w:val="4F81BD"/>
    </w:rPr>
  </w:style>
  <w:style w:type="character" w:customStyle="1" w:styleId="85">
    <w:name w:val="样式 标题 3 + 黑体 小四 Char Char"/>
    <w:link w:val="86"/>
    <w:autoRedefine/>
    <w:qFormat/>
    <w:uiPriority w:val="0"/>
    <w:rPr>
      <w:rFonts w:ascii="黑体" w:hAnsi="Arial" w:eastAsia="黑体"/>
      <w:bCs/>
      <w:sz w:val="24"/>
      <w:szCs w:val="24"/>
      <w:lang w:bidi="ar-SA"/>
    </w:rPr>
  </w:style>
  <w:style w:type="paragraph" w:customStyle="1" w:styleId="86">
    <w:name w:val="样式 标题 3 + 黑体 小四"/>
    <w:basedOn w:val="7"/>
    <w:link w:val="85"/>
    <w:autoRedefine/>
    <w:qFormat/>
    <w:uiPriority w:val="0"/>
    <w:pPr>
      <w:spacing w:before="260" w:after="260" w:line="413" w:lineRule="auto"/>
    </w:pPr>
    <w:rPr>
      <w:rFonts w:ascii="黑体" w:hAnsi="Arial"/>
      <w:b w:val="0"/>
      <w:bCs/>
      <w:kern w:val="0"/>
      <w:sz w:val="24"/>
      <w:szCs w:val="24"/>
    </w:rPr>
  </w:style>
  <w:style w:type="character" w:customStyle="1" w:styleId="87">
    <w:name w:val="heading 7 Char1"/>
    <w:autoRedefine/>
    <w:qFormat/>
    <w:uiPriority w:val="0"/>
    <w:rPr>
      <w:rFonts w:ascii="Arial" w:hAnsi="Arial" w:eastAsia="黑体"/>
      <w:sz w:val="21"/>
      <w:szCs w:val="21"/>
      <w:lang w:val="en-US" w:eastAsia="zh-CN" w:bidi="ar-SA"/>
    </w:rPr>
  </w:style>
  <w:style w:type="character" w:customStyle="1" w:styleId="88">
    <w:name w:val="Char Char1"/>
    <w:autoRedefine/>
    <w:qFormat/>
    <w:uiPriority w:val="0"/>
    <w:rPr>
      <w:rFonts w:eastAsia="宋体"/>
      <w:sz w:val="21"/>
      <w:lang w:val="en-US" w:eastAsia="zh-CN" w:bidi="ar-SA"/>
    </w:rPr>
  </w:style>
  <w:style w:type="character" w:customStyle="1" w:styleId="89">
    <w:name w:val="Char Char12"/>
    <w:autoRedefine/>
    <w:qFormat/>
    <w:uiPriority w:val="0"/>
    <w:rPr>
      <w:rFonts w:eastAsia="宋体"/>
      <w:kern w:val="2"/>
      <w:sz w:val="21"/>
      <w:szCs w:val="24"/>
      <w:lang w:val="en-US" w:eastAsia="zh-CN" w:bidi="ar-SA"/>
    </w:rPr>
  </w:style>
  <w:style w:type="character" w:customStyle="1" w:styleId="90">
    <w:name w:val="Char Char18"/>
    <w:autoRedefine/>
    <w:qFormat/>
    <w:uiPriority w:val="0"/>
    <w:rPr>
      <w:b/>
      <w:bCs/>
      <w:kern w:val="2"/>
      <w:sz w:val="32"/>
      <w:szCs w:val="32"/>
    </w:rPr>
  </w:style>
  <w:style w:type="character" w:customStyle="1" w:styleId="91">
    <w:name w:val="Char Char4"/>
    <w:autoRedefine/>
    <w:qFormat/>
    <w:uiPriority w:val="0"/>
    <w:rPr>
      <w:rFonts w:ascii="Cambria" w:hAnsi="Cambria" w:eastAsia="宋体"/>
      <w:b/>
      <w:bCs/>
      <w:sz w:val="32"/>
      <w:szCs w:val="32"/>
      <w:lang w:bidi="ar-SA"/>
    </w:rPr>
  </w:style>
  <w:style w:type="character" w:customStyle="1" w:styleId="92">
    <w:name w:val="PI Char"/>
    <w:qFormat/>
    <w:uiPriority w:val="0"/>
    <w:rPr>
      <w:rFonts w:ascii="宋体" w:hAnsi="宋体"/>
      <w:sz w:val="24"/>
    </w:rPr>
  </w:style>
  <w:style w:type="character" w:customStyle="1" w:styleId="93">
    <w:name w:val="明显参考2"/>
    <w:autoRedefine/>
    <w:qFormat/>
    <w:uiPriority w:val="0"/>
    <w:rPr>
      <w:b/>
      <w:bCs/>
      <w:smallCaps/>
      <w:color w:val="C0504D"/>
      <w:spacing w:val="5"/>
      <w:u w:val="single"/>
    </w:rPr>
  </w:style>
  <w:style w:type="character" w:customStyle="1" w:styleId="94">
    <w:name w:val="批注文字 Char"/>
    <w:link w:val="20"/>
    <w:autoRedefine/>
    <w:qFormat/>
    <w:uiPriority w:val="0"/>
    <w:rPr>
      <w:rFonts w:eastAsia="宋体"/>
      <w:kern w:val="2"/>
      <w:sz w:val="21"/>
      <w:szCs w:val="24"/>
      <w:lang w:val="en-US" w:eastAsia="zh-CN" w:bidi="ar-SA"/>
    </w:rPr>
  </w:style>
  <w:style w:type="character" w:customStyle="1" w:styleId="95">
    <w:name w:val="Style2"/>
    <w:qFormat/>
    <w:uiPriority w:val="0"/>
    <w:rPr>
      <w:rFonts w:ascii="Calibri" w:hAnsi="宋体" w:eastAsia="宋体" w:cs="Times New Roman"/>
      <w:sz w:val="22"/>
      <w:szCs w:val="22"/>
      <w:lang w:eastAsia="zh-CN"/>
    </w:rPr>
  </w:style>
  <w:style w:type="character" w:customStyle="1" w:styleId="96">
    <w:name w:val="Footer-Even Char1"/>
    <w:autoRedefine/>
    <w:qFormat/>
    <w:uiPriority w:val="0"/>
    <w:rPr>
      <w:rFonts w:eastAsia="宋体"/>
      <w:kern w:val="2"/>
      <w:sz w:val="18"/>
      <w:szCs w:val="18"/>
      <w:lang w:val="en-US" w:eastAsia="zh-CN" w:bidi="ar-SA"/>
    </w:rPr>
  </w:style>
  <w:style w:type="character" w:customStyle="1" w:styleId="97">
    <w:name w:val="heading 4 Char1"/>
    <w:autoRedefine/>
    <w:qFormat/>
    <w:uiPriority w:val="0"/>
    <w:rPr>
      <w:rFonts w:ascii="Cambria" w:hAnsi="Cambria" w:eastAsia="宋体"/>
      <w:b/>
      <w:bCs/>
      <w:kern w:val="2"/>
      <w:sz w:val="28"/>
      <w:szCs w:val="28"/>
      <w:lang w:val="en-US" w:eastAsia="zh-CN" w:bidi="ar-SA"/>
    </w:rPr>
  </w:style>
  <w:style w:type="character" w:customStyle="1" w:styleId="98">
    <w:name w:val="正文文本 3 Char"/>
    <w:basedOn w:val="55"/>
    <w:link w:val="22"/>
    <w:autoRedefine/>
    <w:qFormat/>
    <w:uiPriority w:val="0"/>
  </w:style>
  <w:style w:type="character" w:customStyle="1" w:styleId="99">
    <w:name w:val="批注主题 Char"/>
    <w:link w:val="51"/>
    <w:autoRedefine/>
    <w:qFormat/>
    <w:uiPriority w:val="0"/>
    <w:rPr>
      <w:rFonts w:eastAsia="宋体"/>
      <w:b/>
      <w:bCs/>
      <w:kern w:val="2"/>
      <w:sz w:val="21"/>
      <w:szCs w:val="24"/>
      <w:lang w:val="en-US" w:eastAsia="zh-CN" w:bidi="ar-SA"/>
    </w:rPr>
  </w:style>
  <w:style w:type="character" w:customStyle="1" w:styleId="100">
    <w:name w:val="不明显参考11"/>
    <w:qFormat/>
    <w:uiPriority w:val="0"/>
    <w:rPr>
      <w:smallCaps/>
      <w:color w:val="C0504D"/>
      <w:u w:val="single"/>
    </w:rPr>
  </w:style>
  <w:style w:type="character" w:customStyle="1" w:styleId="101">
    <w:name w:val="Plain Text Char"/>
    <w:autoRedefine/>
    <w:qFormat/>
    <w:uiPriority w:val="0"/>
    <w:rPr>
      <w:rFonts w:ascii="宋体" w:hAnsi="Courier New" w:eastAsia="宋体" w:cs="Times New Roman"/>
      <w:sz w:val="21"/>
      <w:szCs w:val="21"/>
    </w:rPr>
  </w:style>
  <w:style w:type="character" w:customStyle="1" w:styleId="102">
    <w:name w:val="Char Char111"/>
    <w:autoRedefine/>
    <w:qFormat/>
    <w:uiPriority w:val="0"/>
    <w:rPr>
      <w:rFonts w:ascii="Times New Roman" w:hAnsi="Times New Roman" w:eastAsia="宋体" w:cs="Times New Roman"/>
      <w:sz w:val="18"/>
      <w:szCs w:val="18"/>
    </w:rPr>
  </w:style>
  <w:style w:type="character" w:customStyle="1" w:styleId="103">
    <w:name w:val="无间距字符"/>
    <w:link w:val="104"/>
    <w:qFormat/>
    <w:uiPriority w:val="0"/>
    <w:rPr>
      <w:rFonts w:eastAsia="Times New Roman"/>
      <w:sz w:val="22"/>
      <w:szCs w:val="22"/>
      <w:lang w:val="en-US" w:eastAsia="zh-CN" w:bidi="ar-SA"/>
    </w:rPr>
  </w:style>
  <w:style w:type="paragraph" w:customStyle="1" w:styleId="104">
    <w:name w:val="无间距"/>
    <w:link w:val="103"/>
    <w:autoRedefine/>
    <w:qFormat/>
    <w:uiPriority w:val="0"/>
    <w:rPr>
      <w:rFonts w:ascii="Times New Roman" w:hAnsi="Times New Roman" w:eastAsia="Times New Roman" w:cs="Times New Roman"/>
      <w:sz w:val="22"/>
      <w:szCs w:val="22"/>
      <w:lang w:val="en-US" w:eastAsia="zh-CN" w:bidi="ar-SA"/>
    </w:rPr>
  </w:style>
  <w:style w:type="character" w:customStyle="1" w:styleId="105">
    <w:name w:val="heading 5 Char2"/>
    <w:autoRedefine/>
    <w:qFormat/>
    <w:uiPriority w:val="0"/>
    <w:rPr>
      <w:b/>
      <w:bCs/>
      <w:kern w:val="2"/>
      <w:sz w:val="28"/>
      <w:szCs w:val="28"/>
    </w:rPr>
  </w:style>
  <w:style w:type="character" w:customStyle="1" w:styleId="106">
    <w:name w:val="样式2 Char Char"/>
    <w:link w:val="107"/>
    <w:autoRedefine/>
    <w:qFormat/>
    <w:uiPriority w:val="0"/>
    <w:rPr>
      <w:rFonts w:ascii="宋体" w:hAnsi="宋体" w:eastAsia="宋体"/>
      <w:bCs/>
      <w:kern w:val="2"/>
      <w:sz w:val="28"/>
      <w:szCs w:val="28"/>
      <w:lang w:val="en-US" w:eastAsia="zh-CN" w:bidi="ar-SA"/>
    </w:rPr>
  </w:style>
  <w:style w:type="paragraph" w:customStyle="1" w:styleId="107">
    <w:name w:val="样式2"/>
    <w:basedOn w:val="6"/>
    <w:link w:val="106"/>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8">
    <w:name w:val="正文缩进 Char"/>
    <w:link w:val="11"/>
    <w:autoRedefine/>
    <w:qFormat/>
    <w:uiPriority w:val="0"/>
    <w:rPr>
      <w:rFonts w:ascii="宋体" w:hAnsi="宋体" w:cs="宋体"/>
      <w:b/>
      <w:bCs/>
      <w:kern w:val="2"/>
      <w:sz w:val="22"/>
      <w:szCs w:val="22"/>
    </w:rPr>
  </w:style>
  <w:style w:type="character" w:customStyle="1" w:styleId="109">
    <w:name w:val="heading 2 Char1"/>
    <w:autoRedefine/>
    <w:qFormat/>
    <w:uiPriority w:val="0"/>
    <w:rPr>
      <w:rFonts w:ascii="Cambria" w:hAnsi="Cambria" w:eastAsia="宋体"/>
      <w:b/>
      <w:bCs/>
      <w:kern w:val="2"/>
      <w:sz w:val="32"/>
      <w:szCs w:val="32"/>
      <w:lang w:val="en-US" w:eastAsia="zh-CN" w:bidi="ar-SA"/>
    </w:rPr>
  </w:style>
  <w:style w:type="character" w:customStyle="1" w:styleId="110">
    <w:name w:val="heading 3 Char1"/>
    <w:autoRedefine/>
    <w:qFormat/>
    <w:uiPriority w:val="0"/>
    <w:rPr>
      <w:rFonts w:eastAsia="宋体"/>
      <w:b/>
      <w:bCs/>
      <w:kern w:val="2"/>
      <w:sz w:val="32"/>
      <w:szCs w:val="32"/>
      <w:lang w:val="en-US" w:eastAsia="zh-CN" w:bidi="ar-SA"/>
    </w:rPr>
  </w:style>
  <w:style w:type="character" w:customStyle="1" w:styleId="111">
    <w:name w:val="Char Char15"/>
    <w:autoRedefine/>
    <w:qFormat/>
    <w:uiPriority w:val="0"/>
    <w:rPr>
      <w:rFonts w:ascii="Arial" w:hAnsi="Arial" w:eastAsia="黑体"/>
      <w:sz w:val="24"/>
      <w:szCs w:val="24"/>
    </w:rPr>
  </w:style>
  <w:style w:type="character" w:customStyle="1" w:styleId="112">
    <w:name w:val="heading 1 Char"/>
    <w:autoRedefine/>
    <w:qFormat/>
    <w:uiPriority w:val="0"/>
    <w:rPr>
      <w:rFonts w:ascii="Arial" w:hAnsi="Arial" w:eastAsia="黑体"/>
      <w:b/>
      <w:sz w:val="36"/>
      <w:szCs w:val="36"/>
    </w:rPr>
  </w:style>
  <w:style w:type="character" w:customStyle="1" w:styleId="113">
    <w:name w:val="ändrad Char"/>
    <w:autoRedefine/>
    <w:qFormat/>
    <w:uiPriority w:val="0"/>
    <w:rPr>
      <w:rFonts w:eastAsia="宋体"/>
      <w:kern w:val="2"/>
      <w:sz w:val="21"/>
      <w:szCs w:val="24"/>
      <w:lang w:val="en-US" w:eastAsia="zh-CN" w:bidi="ar-SA"/>
    </w:rPr>
  </w:style>
  <w:style w:type="character" w:customStyle="1" w:styleId="114">
    <w:name w:val="标题 Char"/>
    <w:link w:val="50"/>
    <w:autoRedefine/>
    <w:qFormat/>
    <w:uiPriority w:val="0"/>
    <w:rPr>
      <w:rFonts w:ascii="Cambria" w:hAnsi="Cambria" w:eastAsia="宋体"/>
      <w:b/>
      <w:bCs/>
      <w:kern w:val="2"/>
      <w:sz w:val="32"/>
      <w:szCs w:val="32"/>
      <w:lang w:val="en-US" w:eastAsia="zh-CN" w:bidi="ar-SA"/>
    </w:rPr>
  </w:style>
  <w:style w:type="character" w:customStyle="1" w:styleId="115">
    <w:name w:val="Char Char22"/>
    <w:autoRedefine/>
    <w:qFormat/>
    <w:uiPriority w:val="0"/>
    <w:rPr>
      <w:rFonts w:ascii="Arial" w:hAnsi="Arial" w:eastAsia="黑体"/>
      <w:b/>
      <w:bCs/>
      <w:kern w:val="44"/>
      <w:sz w:val="30"/>
      <w:szCs w:val="44"/>
      <w:lang w:val="en-US" w:eastAsia="zh-CN" w:bidi="ar-SA"/>
    </w:rPr>
  </w:style>
  <w:style w:type="character" w:customStyle="1" w:styleId="116">
    <w:name w:val="blue1"/>
    <w:basedOn w:val="55"/>
    <w:autoRedefine/>
    <w:qFormat/>
    <w:uiPriority w:val="0"/>
  </w:style>
  <w:style w:type="character" w:customStyle="1" w:styleId="117">
    <w:name w:val="样式 宋体"/>
    <w:autoRedefine/>
    <w:qFormat/>
    <w:uiPriority w:val="0"/>
    <w:rPr>
      <w:rFonts w:ascii="宋体" w:hAnsi="宋体" w:eastAsia="宋体"/>
      <w:sz w:val="24"/>
      <w:szCs w:val="24"/>
    </w:rPr>
  </w:style>
  <w:style w:type="character" w:customStyle="1" w:styleId="118">
    <w:name w:val="dandyren_title1"/>
    <w:autoRedefine/>
    <w:qFormat/>
    <w:uiPriority w:val="0"/>
    <w:rPr>
      <w:b/>
      <w:bCs/>
      <w:color w:val="FF6633"/>
      <w:sz w:val="18"/>
      <w:szCs w:val="18"/>
    </w:rPr>
  </w:style>
  <w:style w:type="character" w:customStyle="1" w:styleId="119">
    <w:name w:val="font21"/>
    <w:basedOn w:val="55"/>
    <w:autoRedefine/>
    <w:qFormat/>
    <w:uiPriority w:val="0"/>
    <w:rPr>
      <w:rFonts w:ascii="Wingdings 2" w:hAnsi="Wingdings 2" w:eastAsia="Wingdings 2" w:cs="Wingdings 2"/>
      <w:b/>
      <w:color w:val="000000"/>
      <w:sz w:val="20"/>
      <w:szCs w:val="20"/>
      <w:u w:val="none"/>
    </w:rPr>
  </w:style>
  <w:style w:type="character" w:customStyle="1" w:styleId="120">
    <w:name w:val="Ò³Ã¼ Char Char1"/>
    <w:autoRedefine/>
    <w:qFormat/>
    <w:uiPriority w:val="0"/>
    <w:rPr>
      <w:rFonts w:eastAsia="宋体"/>
      <w:kern w:val="2"/>
      <w:sz w:val="18"/>
      <w:szCs w:val="18"/>
      <w:lang w:val="en-US" w:eastAsia="zh-CN" w:bidi="ar-SA"/>
    </w:rPr>
  </w:style>
  <w:style w:type="character" w:customStyle="1" w:styleId="121">
    <w:name w:val="宏文本 Char"/>
    <w:link w:val="4"/>
    <w:autoRedefine/>
    <w:qFormat/>
    <w:uiPriority w:val="0"/>
    <w:rPr>
      <w:rFonts w:ascii="Courier New" w:hAnsi="Courier New" w:eastAsia="Times New Roman"/>
      <w:kern w:val="2"/>
      <w:sz w:val="24"/>
      <w:szCs w:val="24"/>
      <w:lang w:val="en-US" w:eastAsia="zh-CN" w:bidi="ar-SA"/>
    </w:rPr>
  </w:style>
  <w:style w:type="character" w:customStyle="1" w:styleId="122">
    <w:name w:val="Footer-Even Char"/>
    <w:autoRedefine/>
    <w:qFormat/>
    <w:uiPriority w:val="0"/>
    <w:rPr>
      <w:sz w:val="18"/>
      <w:szCs w:val="18"/>
    </w:rPr>
  </w:style>
  <w:style w:type="character" w:customStyle="1" w:styleId="123">
    <w:name w:val="页脚 Char"/>
    <w:link w:val="35"/>
    <w:autoRedefine/>
    <w:qFormat/>
    <w:uiPriority w:val="0"/>
    <w:rPr>
      <w:rFonts w:eastAsia="宋体"/>
      <w:kern w:val="2"/>
      <w:sz w:val="18"/>
      <w:szCs w:val="18"/>
      <w:lang w:val="en-US" w:eastAsia="zh-CN" w:bidi="ar-SA"/>
    </w:rPr>
  </w:style>
  <w:style w:type="character" w:customStyle="1" w:styleId="124">
    <w:name w:val="style111"/>
    <w:autoRedefine/>
    <w:qFormat/>
    <w:uiPriority w:val="0"/>
    <w:rPr>
      <w:sz w:val="27"/>
      <w:szCs w:val="27"/>
    </w:rPr>
  </w:style>
  <w:style w:type="character" w:customStyle="1" w:styleId="125">
    <w:name w:val="PI Char2"/>
    <w:autoRedefine/>
    <w:qFormat/>
    <w:uiPriority w:val="0"/>
    <w:rPr>
      <w:kern w:val="2"/>
      <w:sz w:val="24"/>
      <w:szCs w:val="24"/>
    </w:rPr>
  </w:style>
  <w:style w:type="character" w:customStyle="1" w:styleId="126">
    <w:name w:val="gray6"/>
    <w:basedOn w:val="55"/>
    <w:autoRedefine/>
    <w:qFormat/>
    <w:uiPriority w:val="0"/>
  </w:style>
  <w:style w:type="character" w:customStyle="1" w:styleId="127">
    <w:name w:val="Char Char Char1"/>
    <w:autoRedefine/>
    <w:qFormat/>
    <w:uiPriority w:val="0"/>
    <w:rPr>
      <w:rFonts w:ascii="宋体" w:hAnsi="Courier New"/>
      <w:sz w:val="21"/>
      <w:szCs w:val="21"/>
    </w:rPr>
  </w:style>
  <w:style w:type="character" w:customStyle="1" w:styleId="128">
    <w:name w:val="Char Char121"/>
    <w:autoRedefine/>
    <w:qFormat/>
    <w:uiPriority w:val="0"/>
    <w:rPr>
      <w:rFonts w:eastAsia="宋体"/>
      <w:kern w:val="2"/>
      <w:sz w:val="21"/>
      <w:szCs w:val="24"/>
      <w:lang w:val="en-US" w:eastAsia="zh-CN" w:bidi="ar-SA"/>
    </w:rPr>
  </w:style>
  <w:style w:type="character" w:customStyle="1" w:styleId="129">
    <w:name w:val="Char Char Char Char Char Char Char Char Char"/>
    <w:autoRedefine/>
    <w:qFormat/>
    <w:uiPriority w:val="0"/>
    <w:rPr>
      <w:rFonts w:ascii="宋体" w:hAnsi="Courier New" w:eastAsia="宋体"/>
      <w:sz w:val="21"/>
      <w:szCs w:val="21"/>
      <w:lang w:val="en-US" w:eastAsia="zh-CN" w:bidi="ar-SA"/>
    </w:rPr>
  </w:style>
  <w:style w:type="character" w:customStyle="1" w:styleId="130">
    <w:name w:val="heading 4 Char2"/>
    <w:autoRedefine/>
    <w:qFormat/>
    <w:uiPriority w:val="0"/>
    <w:rPr>
      <w:rFonts w:ascii="Cambria" w:hAnsi="Cambria"/>
      <w:b/>
      <w:bCs/>
      <w:kern w:val="2"/>
      <w:sz w:val="28"/>
      <w:szCs w:val="28"/>
    </w:rPr>
  </w:style>
  <w:style w:type="character" w:customStyle="1" w:styleId="131">
    <w:name w:val="heading 3 Char"/>
    <w:autoRedefine/>
    <w:qFormat/>
    <w:uiPriority w:val="0"/>
    <w:rPr>
      <w:rFonts w:ascii="Arial" w:hAnsi="Arial" w:eastAsia="黑体"/>
      <w:sz w:val="28"/>
      <w:szCs w:val="24"/>
    </w:rPr>
  </w:style>
  <w:style w:type="character" w:customStyle="1" w:styleId="132">
    <w:name w:val="标题 1 Char"/>
    <w:link w:val="5"/>
    <w:autoRedefine/>
    <w:qFormat/>
    <w:uiPriority w:val="0"/>
    <w:rPr>
      <w:rFonts w:eastAsia="黑体"/>
      <w:b/>
      <w:kern w:val="2"/>
      <w:sz w:val="32"/>
      <w:lang w:val="en-US" w:eastAsia="zh-CN" w:bidi="ar-SA"/>
    </w:rPr>
  </w:style>
  <w:style w:type="character" w:customStyle="1" w:styleId="133">
    <w:name w:val="Char Char16"/>
    <w:autoRedefine/>
    <w:qFormat/>
    <w:uiPriority w:val="0"/>
    <w:rPr>
      <w:b/>
      <w:bCs/>
      <w:kern w:val="2"/>
      <w:sz w:val="28"/>
      <w:szCs w:val="28"/>
    </w:rPr>
  </w:style>
  <w:style w:type="character" w:customStyle="1" w:styleId="134">
    <w:name w:val="文档结构图 Char"/>
    <w:link w:val="19"/>
    <w:autoRedefine/>
    <w:qFormat/>
    <w:uiPriority w:val="0"/>
    <w:rPr>
      <w:rFonts w:eastAsia="宋体"/>
      <w:kern w:val="2"/>
      <w:sz w:val="21"/>
      <w:szCs w:val="24"/>
      <w:lang w:val="en-US" w:eastAsia="zh-CN" w:bidi="ar-SA"/>
    </w:rPr>
  </w:style>
  <w:style w:type="character" w:customStyle="1" w:styleId="135">
    <w:name w:val="标题 5 Char"/>
    <w:link w:val="9"/>
    <w:autoRedefine/>
    <w:qFormat/>
    <w:uiPriority w:val="0"/>
    <w:rPr>
      <w:rFonts w:eastAsia="宋体"/>
      <w:b/>
      <w:bCs/>
      <w:sz w:val="28"/>
      <w:szCs w:val="28"/>
      <w:lang w:bidi="ar-SA"/>
    </w:rPr>
  </w:style>
  <w:style w:type="character" w:customStyle="1" w:styleId="136">
    <w:name w:val="日期 Char"/>
    <w:link w:val="32"/>
    <w:autoRedefine/>
    <w:qFormat/>
    <w:uiPriority w:val="0"/>
    <w:rPr>
      <w:rFonts w:eastAsia="宋体"/>
      <w:kern w:val="2"/>
      <w:sz w:val="21"/>
      <w:szCs w:val="24"/>
      <w:lang w:val="en-US" w:eastAsia="zh-CN" w:bidi="ar-SA"/>
    </w:rPr>
  </w:style>
  <w:style w:type="character" w:customStyle="1" w:styleId="137">
    <w:name w:val="副标题 Char"/>
    <w:link w:val="41"/>
    <w:qFormat/>
    <w:uiPriority w:val="0"/>
    <w:rPr>
      <w:rFonts w:ascii="Cambria" w:hAnsi="Cambria" w:eastAsia="宋体"/>
      <w:b/>
      <w:bCs/>
      <w:kern w:val="28"/>
      <w:sz w:val="32"/>
      <w:szCs w:val="32"/>
      <w:lang w:val="en-US" w:eastAsia="zh-CN" w:bidi="ar-SA"/>
    </w:rPr>
  </w:style>
  <w:style w:type="character" w:customStyle="1" w:styleId="138">
    <w:name w:val="页眉 Char"/>
    <w:link w:val="37"/>
    <w:qFormat/>
    <w:uiPriority w:val="0"/>
    <w:rPr>
      <w:rFonts w:eastAsia="宋体"/>
      <w:kern w:val="2"/>
      <w:sz w:val="18"/>
      <w:szCs w:val="18"/>
      <w:lang w:val="en-US" w:eastAsia="zh-CN" w:bidi="ar-SA"/>
    </w:rPr>
  </w:style>
  <w:style w:type="character" w:customStyle="1" w:styleId="139">
    <w:name w:val="style13"/>
    <w:basedOn w:val="55"/>
    <w:autoRedefine/>
    <w:qFormat/>
    <w:uiPriority w:val="0"/>
  </w:style>
  <w:style w:type="character" w:customStyle="1" w:styleId="140">
    <w:name w:val="textcolor1"/>
    <w:autoRedefine/>
    <w:qFormat/>
    <w:uiPriority w:val="0"/>
    <w:rPr>
      <w:rFonts w:ascii="仿宋_GB2312" w:eastAsia="仿宋_GB2312"/>
      <w:b/>
      <w:color w:val="FF6600"/>
      <w:sz w:val="32"/>
      <w:szCs w:val="32"/>
    </w:rPr>
  </w:style>
  <w:style w:type="character" w:customStyle="1" w:styleId="141">
    <w:name w:val="Table Text Char Char"/>
    <w:link w:val="142"/>
    <w:autoRedefine/>
    <w:qFormat/>
    <w:uiPriority w:val="0"/>
    <w:rPr>
      <w:sz w:val="21"/>
      <w:lang w:val="en-US" w:eastAsia="en-US" w:bidi="ar-SA"/>
    </w:rPr>
  </w:style>
  <w:style w:type="paragraph" w:customStyle="1" w:styleId="142">
    <w:name w:val="Table Text"/>
    <w:basedOn w:val="1"/>
    <w:link w:val="14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3">
    <w:name w:val="Ò³Ã¼ Char Char"/>
    <w:autoRedefine/>
    <w:qFormat/>
    <w:uiPriority w:val="0"/>
    <w:rPr>
      <w:sz w:val="18"/>
      <w:szCs w:val="18"/>
    </w:rPr>
  </w:style>
  <w:style w:type="character" w:customStyle="1" w:styleId="144">
    <w:name w:val="heading 2 Char2"/>
    <w:autoRedefine/>
    <w:qFormat/>
    <w:uiPriority w:val="0"/>
    <w:rPr>
      <w:rFonts w:ascii="Cambria" w:hAnsi="Cambria"/>
      <w:b/>
      <w:bCs/>
      <w:kern w:val="2"/>
      <w:sz w:val="32"/>
      <w:szCs w:val="32"/>
    </w:rPr>
  </w:style>
  <w:style w:type="character" w:customStyle="1" w:styleId="145">
    <w:name w:val="书籍标题11"/>
    <w:autoRedefine/>
    <w:qFormat/>
    <w:uiPriority w:val="0"/>
    <w:rPr>
      <w:b/>
      <w:bCs/>
      <w:smallCaps/>
      <w:spacing w:val="5"/>
    </w:rPr>
  </w:style>
  <w:style w:type="character" w:customStyle="1" w:styleId="146">
    <w:name w:val="Char Char21"/>
    <w:autoRedefine/>
    <w:qFormat/>
    <w:uiPriority w:val="0"/>
    <w:rPr>
      <w:rFonts w:ascii="Times New Roman" w:hAnsi="Times New Roman" w:eastAsia="宋体" w:cs="Times New Roman"/>
      <w:b/>
      <w:bCs/>
      <w:kern w:val="44"/>
      <w:sz w:val="44"/>
      <w:szCs w:val="44"/>
    </w:rPr>
  </w:style>
  <w:style w:type="character" w:customStyle="1" w:styleId="147">
    <w:name w:val="正文文本缩进 Char"/>
    <w:link w:val="23"/>
    <w:autoRedefine/>
    <w:qFormat/>
    <w:uiPriority w:val="0"/>
    <w:rPr>
      <w:rFonts w:eastAsia="宋体"/>
      <w:kern w:val="2"/>
      <w:sz w:val="24"/>
      <w:szCs w:val="24"/>
      <w:lang w:val="en-US" w:eastAsia="zh-CN" w:bidi="ar-SA"/>
    </w:rPr>
  </w:style>
  <w:style w:type="character" w:customStyle="1" w:styleId="148">
    <w:name w:val="不明显强调1"/>
    <w:autoRedefine/>
    <w:qFormat/>
    <w:uiPriority w:val="0"/>
    <w:rPr>
      <w:i/>
      <w:iCs/>
      <w:color w:val="808080"/>
    </w:rPr>
  </w:style>
  <w:style w:type="character" w:customStyle="1" w:styleId="149">
    <w:name w:val="正文文本缩进 3 Char"/>
    <w:link w:val="45"/>
    <w:autoRedefine/>
    <w:qFormat/>
    <w:uiPriority w:val="0"/>
    <w:rPr>
      <w:rFonts w:eastAsia="宋体"/>
      <w:kern w:val="2"/>
      <w:sz w:val="24"/>
      <w:szCs w:val="24"/>
      <w:lang w:val="en-US" w:eastAsia="zh-CN" w:bidi="ar-SA"/>
    </w:rPr>
  </w:style>
  <w:style w:type="character" w:customStyle="1" w:styleId="150">
    <w:name w:val="heading 5 Char"/>
    <w:autoRedefine/>
    <w:qFormat/>
    <w:uiPriority w:val="0"/>
    <w:rPr>
      <w:rFonts w:ascii="Arial" w:hAnsi="Arial" w:eastAsia="黑体"/>
      <w:sz w:val="21"/>
      <w:szCs w:val="21"/>
    </w:rPr>
  </w:style>
  <w:style w:type="character" w:customStyle="1" w:styleId="151">
    <w:name w:val="Style3"/>
    <w:autoRedefine/>
    <w:qFormat/>
    <w:uiPriority w:val="0"/>
    <w:rPr>
      <w:rFonts w:ascii="Calibri" w:hAnsi="宋体" w:eastAsia="宋体" w:cs="Times New Roman"/>
      <w:szCs w:val="22"/>
      <w:lang w:eastAsia="zh-CN"/>
    </w:rPr>
  </w:style>
  <w:style w:type="character" w:customStyle="1" w:styleId="152">
    <w:name w:val="标题 4 Char"/>
    <w:link w:val="8"/>
    <w:autoRedefine/>
    <w:qFormat/>
    <w:uiPriority w:val="0"/>
    <w:rPr>
      <w:rFonts w:eastAsia="宋体"/>
      <w:kern w:val="2"/>
      <w:sz w:val="28"/>
      <w:szCs w:val="28"/>
      <w:lang w:val="en-US" w:eastAsia="zh-CN" w:bidi="ar-SA"/>
    </w:rPr>
  </w:style>
  <w:style w:type="character" w:customStyle="1" w:styleId="153">
    <w:name w:val="Char Char241"/>
    <w:autoRedefine/>
    <w:qFormat/>
    <w:uiPriority w:val="0"/>
    <w:rPr>
      <w:rFonts w:eastAsia="宋体"/>
      <w:b/>
      <w:kern w:val="2"/>
      <w:sz w:val="28"/>
      <w:lang w:val="en-US" w:eastAsia="zh-CN" w:bidi="ar-SA"/>
    </w:rPr>
  </w:style>
  <w:style w:type="character" w:customStyle="1" w:styleId="154">
    <w:name w:val="批注框文本 Char"/>
    <w:link w:val="34"/>
    <w:autoRedefine/>
    <w:qFormat/>
    <w:uiPriority w:val="0"/>
    <w:rPr>
      <w:rFonts w:eastAsia="宋体"/>
      <w:kern w:val="2"/>
      <w:sz w:val="18"/>
      <w:szCs w:val="18"/>
      <w:lang w:val="en-US" w:eastAsia="zh-CN" w:bidi="ar-SA"/>
    </w:rPr>
  </w:style>
  <w:style w:type="character" w:customStyle="1" w:styleId="155">
    <w:name w:val="标题 3 Char"/>
    <w:link w:val="7"/>
    <w:autoRedefine/>
    <w:qFormat/>
    <w:uiPriority w:val="0"/>
    <w:rPr>
      <w:rFonts w:eastAsia="黑体"/>
      <w:b/>
      <w:kern w:val="2"/>
      <w:sz w:val="28"/>
      <w:lang w:val="en-US" w:eastAsia="zh-CN" w:bidi="ar-SA"/>
    </w:rPr>
  </w:style>
  <w:style w:type="character" w:customStyle="1" w:styleId="156">
    <w:name w:val="明显强调11"/>
    <w:autoRedefine/>
    <w:qFormat/>
    <w:uiPriority w:val="0"/>
    <w:rPr>
      <w:b/>
      <w:bCs/>
      <w:i/>
      <w:iCs/>
      <w:color w:val="4F81BD"/>
    </w:rPr>
  </w:style>
  <w:style w:type="character" w:customStyle="1" w:styleId="157">
    <w:name w:val="签名 Char"/>
    <w:link w:val="38"/>
    <w:autoRedefine/>
    <w:qFormat/>
    <w:uiPriority w:val="0"/>
    <w:rPr>
      <w:rFonts w:ascii="仿宋_GB2312" w:eastAsia="仿宋_GB2312"/>
      <w:b/>
      <w:sz w:val="24"/>
      <w:szCs w:val="32"/>
    </w:rPr>
  </w:style>
  <w:style w:type="character" w:customStyle="1" w:styleId="158">
    <w:name w:val="heading 3 Char2"/>
    <w:autoRedefine/>
    <w:qFormat/>
    <w:uiPriority w:val="0"/>
    <w:rPr>
      <w:b/>
      <w:bCs/>
      <w:kern w:val="2"/>
      <w:sz w:val="32"/>
      <w:szCs w:val="32"/>
    </w:rPr>
  </w:style>
  <w:style w:type="character" w:customStyle="1" w:styleId="159">
    <w:name w:val="style21"/>
    <w:autoRedefine/>
    <w:qFormat/>
    <w:uiPriority w:val="0"/>
    <w:rPr>
      <w:sz w:val="15"/>
      <w:szCs w:val="15"/>
    </w:rPr>
  </w:style>
  <w:style w:type="character" w:customStyle="1" w:styleId="160">
    <w:name w:val="Char Char271"/>
    <w:autoRedefine/>
    <w:qFormat/>
    <w:uiPriority w:val="0"/>
    <w:rPr>
      <w:rFonts w:eastAsia="宋体"/>
      <w:kern w:val="2"/>
      <w:sz w:val="28"/>
      <w:lang w:val="en-US" w:eastAsia="zh-CN" w:bidi="ar-SA"/>
    </w:rPr>
  </w:style>
  <w:style w:type="character" w:customStyle="1" w:styleId="161">
    <w:name w:val="表格 Char Char"/>
    <w:link w:val="162"/>
    <w:autoRedefine/>
    <w:qFormat/>
    <w:uiPriority w:val="0"/>
    <w:rPr>
      <w:rFonts w:ascii="宋体" w:hAnsi="宋体" w:eastAsia="宋体"/>
      <w:lang w:val="en-US" w:eastAsia="zh-CN" w:bidi="ar-SA"/>
    </w:rPr>
  </w:style>
  <w:style w:type="paragraph" w:customStyle="1" w:styleId="162">
    <w:name w:val="表格"/>
    <w:basedOn w:val="1"/>
    <w:link w:val="161"/>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3">
    <w:name w:val="heading 6 Char1"/>
    <w:autoRedefine/>
    <w:qFormat/>
    <w:uiPriority w:val="0"/>
    <w:rPr>
      <w:rFonts w:ascii="Arial" w:hAnsi="Arial" w:eastAsia="黑体"/>
      <w:kern w:val="2"/>
      <w:sz w:val="24"/>
      <w:szCs w:val="24"/>
      <w:lang w:val="en-US" w:eastAsia="zh-CN" w:bidi="ar-SA"/>
    </w:rPr>
  </w:style>
  <w:style w:type="character" w:customStyle="1" w:styleId="164">
    <w:name w:val="Char Char211"/>
    <w:autoRedefine/>
    <w:qFormat/>
    <w:uiPriority w:val="0"/>
    <w:rPr>
      <w:rFonts w:ascii="Times New Roman" w:hAnsi="Times New Roman" w:eastAsia="宋体" w:cs="Times New Roman"/>
      <w:b/>
      <w:bCs/>
      <w:kern w:val="44"/>
      <w:sz w:val="44"/>
      <w:szCs w:val="44"/>
    </w:rPr>
  </w:style>
  <w:style w:type="character" w:customStyle="1" w:styleId="165">
    <w:name w:val="不明显强调11"/>
    <w:autoRedefine/>
    <w:qFormat/>
    <w:uiPriority w:val="0"/>
    <w:rPr>
      <w:i/>
      <w:iCs/>
      <w:color w:val="808080"/>
    </w:rPr>
  </w:style>
  <w:style w:type="character" w:customStyle="1" w:styleId="166">
    <w:name w:val="标题 9 Char"/>
    <w:link w:val="14"/>
    <w:autoRedefine/>
    <w:qFormat/>
    <w:uiPriority w:val="0"/>
    <w:rPr>
      <w:rFonts w:ascii="Arial" w:hAnsi="Arial" w:eastAsia="黑体"/>
      <w:kern w:val="2"/>
      <w:sz w:val="21"/>
      <w:lang w:val="en-US" w:eastAsia="zh-CN" w:bidi="ar-SA"/>
    </w:rPr>
  </w:style>
  <w:style w:type="character" w:customStyle="1" w:styleId="167">
    <w:name w:val="正文文本 Char"/>
    <w:link w:val="3"/>
    <w:autoRedefine/>
    <w:qFormat/>
    <w:uiPriority w:val="0"/>
    <w:rPr>
      <w:rFonts w:ascii="仿宋_GB2312" w:eastAsia="宋体"/>
      <w:b/>
      <w:kern w:val="2"/>
      <w:sz w:val="21"/>
      <w:szCs w:val="24"/>
      <w:lang w:val="en-US" w:eastAsia="zh-CN" w:bidi="ar-SA"/>
    </w:rPr>
  </w:style>
  <w:style w:type="character" w:customStyle="1" w:styleId="168">
    <w:name w:val="明显引用 Char"/>
    <w:link w:val="169"/>
    <w:autoRedefine/>
    <w:qFormat/>
    <w:uiPriority w:val="0"/>
    <w:rPr>
      <w:rFonts w:ascii="Calibri" w:hAnsi="Calibri" w:eastAsia="宋体"/>
      <w:b/>
      <w:bCs/>
      <w:i/>
      <w:iCs/>
      <w:color w:val="4F81BD"/>
      <w:lang w:val="en-US" w:eastAsia="zh-CN" w:bidi="ar-SA"/>
    </w:rPr>
  </w:style>
  <w:style w:type="paragraph" w:styleId="169">
    <w:name w:val="Intense Quote"/>
    <w:basedOn w:val="1"/>
    <w:next w:val="1"/>
    <w:link w:val="168"/>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70">
    <w:name w:val="heading 5 Char1"/>
    <w:autoRedefine/>
    <w:qFormat/>
    <w:uiPriority w:val="0"/>
    <w:rPr>
      <w:rFonts w:eastAsia="宋体"/>
      <w:b/>
      <w:bCs/>
      <w:kern w:val="2"/>
      <w:sz w:val="28"/>
      <w:szCs w:val="28"/>
      <w:lang w:val="en-US" w:eastAsia="zh-CN" w:bidi="ar-SA"/>
    </w:rPr>
  </w:style>
  <w:style w:type="character" w:customStyle="1" w:styleId="171">
    <w:name w:val="Texte Char Char"/>
    <w:autoRedefine/>
    <w:qFormat/>
    <w:uiPriority w:val="0"/>
    <w:rPr>
      <w:rFonts w:ascii="宋体" w:hAnsi="Courier New" w:eastAsia="宋体"/>
      <w:sz w:val="21"/>
      <w:szCs w:val="21"/>
      <w:lang w:val="en-US" w:eastAsia="zh-CN" w:bidi="ar-SA"/>
    </w:rPr>
  </w:style>
  <w:style w:type="character" w:customStyle="1" w:styleId="172">
    <w:name w:val="正文1 Char Char"/>
    <w:link w:val="173"/>
    <w:autoRedefine/>
    <w:qFormat/>
    <w:uiPriority w:val="0"/>
    <w:rPr>
      <w:rFonts w:ascii="宋体" w:hAnsi="宋体" w:eastAsia="宋体" w:cs="宋体"/>
      <w:sz w:val="21"/>
      <w:lang w:val="en-US" w:eastAsia="zh-CN" w:bidi="ar-SA"/>
    </w:rPr>
  </w:style>
  <w:style w:type="paragraph" w:customStyle="1" w:styleId="173">
    <w:name w:val="正文1"/>
    <w:basedOn w:val="1"/>
    <w:link w:val="172"/>
    <w:autoRedefine/>
    <w:qFormat/>
    <w:uiPriority w:val="0"/>
    <w:pPr>
      <w:widowControl/>
      <w:spacing w:line="360" w:lineRule="auto"/>
      <w:ind w:left="360" w:firstLine="420"/>
      <w:jc w:val="left"/>
    </w:pPr>
    <w:rPr>
      <w:rFonts w:ascii="宋体" w:hAnsi="宋体" w:cs="宋体"/>
      <w:kern w:val="0"/>
      <w:szCs w:val="20"/>
    </w:rPr>
  </w:style>
  <w:style w:type="character" w:customStyle="1" w:styleId="174">
    <w:name w:val="heading 8 Char1"/>
    <w:autoRedefine/>
    <w:qFormat/>
    <w:uiPriority w:val="0"/>
    <w:rPr>
      <w:rFonts w:ascii="Arial" w:hAnsi="Arial" w:eastAsia="黑体"/>
      <w:sz w:val="24"/>
      <w:lang w:val="en-US" w:eastAsia="zh-CN" w:bidi="ar-SA"/>
    </w:rPr>
  </w:style>
  <w:style w:type="character" w:customStyle="1" w:styleId="175">
    <w:name w:val="heading 9 Char1"/>
    <w:autoRedefine/>
    <w:qFormat/>
    <w:uiPriority w:val="0"/>
    <w:rPr>
      <w:rFonts w:ascii="Arial" w:hAnsi="Arial" w:eastAsia="黑体"/>
      <w:sz w:val="21"/>
      <w:lang w:val="en-US" w:eastAsia="zh-CN" w:bidi="ar-SA"/>
    </w:rPr>
  </w:style>
  <w:style w:type="character" w:customStyle="1" w:styleId="176">
    <w:name w:val="标题 6 Char"/>
    <w:link w:val="10"/>
    <w:autoRedefine/>
    <w:qFormat/>
    <w:uiPriority w:val="0"/>
    <w:rPr>
      <w:rFonts w:ascii="Arial" w:hAnsi="Arial" w:eastAsia="黑体"/>
      <w:b/>
      <w:kern w:val="2"/>
      <w:sz w:val="24"/>
      <w:lang w:val="en-US" w:eastAsia="zh-CN" w:bidi="ar-SA"/>
    </w:rPr>
  </w:style>
  <w:style w:type="character" w:customStyle="1" w:styleId="177">
    <w:name w:val="ändrad Char1"/>
    <w:autoRedefine/>
    <w:qFormat/>
    <w:uiPriority w:val="0"/>
    <w:rPr>
      <w:rFonts w:ascii="仿宋_GB2312" w:eastAsia="宋体"/>
      <w:b/>
      <w:kern w:val="2"/>
      <w:sz w:val="21"/>
      <w:szCs w:val="24"/>
      <w:lang w:val="en-US" w:eastAsia="zh-CN" w:bidi="ar-SA"/>
    </w:rPr>
  </w:style>
  <w:style w:type="character" w:customStyle="1" w:styleId="178">
    <w:name w:val="Char Char41"/>
    <w:autoRedefine/>
    <w:qFormat/>
    <w:uiPriority w:val="0"/>
    <w:rPr>
      <w:rFonts w:ascii="Cambria" w:hAnsi="Cambria" w:eastAsia="宋体"/>
      <w:b/>
      <w:bCs/>
      <w:sz w:val="32"/>
      <w:szCs w:val="32"/>
      <w:lang w:bidi="ar-SA"/>
    </w:rPr>
  </w:style>
  <w:style w:type="character" w:customStyle="1" w:styleId="179">
    <w:name w:val="标题 8 Char"/>
    <w:link w:val="13"/>
    <w:autoRedefine/>
    <w:qFormat/>
    <w:uiPriority w:val="0"/>
    <w:rPr>
      <w:rFonts w:ascii="Arial" w:hAnsi="Arial" w:eastAsia="黑体"/>
      <w:kern w:val="2"/>
      <w:sz w:val="24"/>
      <w:lang w:val="en-US" w:eastAsia="zh-CN" w:bidi="ar-SA"/>
    </w:rPr>
  </w:style>
  <w:style w:type="character" w:customStyle="1" w:styleId="180">
    <w:name w:val="Char Char11"/>
    <w:autoRedefine/>
    <w:qFormat/>
    <w:uiPriority w:val="0"/>
    <w:rPr>
      <w:rFonts w:ascii="Times New Roman" w:hAnsi="Times New Roman" w:eastAsia="宋体" w:cs="Times New Roman"/>
      <w:sz w:val="18"/>
      <w:szCs w:val="18"/>
    </w:rPr>
  </w:style>
  <w:style w:type="character" w:customStyle="1" w:styleId="181">
    <w:name w:val="正文文本缩进 2 Char"/>
    <w:link w:val="33"/>
    <w:autoRedefine/>
    <w:qFormat/>
    <w:uiPriority w:val="0"/>
    <w:rPr>
      <w:rFonts w:eastAsia="宋体"/>
      <w:kern w:val="2"/>
      <w:sz w:val="24"/>
      <w:szCs w:val="24"/>
      <w:lang w:val="en-US" w:eastAsia="zh-CN" w:bidi="ar-SA"/>
    </w:rPr>
  </w:style>
  <w:style w:type="character" w:customStyle="1" w:styleId="182">
    <w:name w:val="Char Char6"/>
    <w:autoRedefine/>
    <w:qFormat/>
    <w:uiPriority w:val="0"/>
    <w:rPr>
      <w:rFonts w:ascii="Times New Roman" w:hAnsi="Times New Roman" w:eastAsia="宋体" w:cs="Times New Roman"/>
      <w:szCs w:val="24"/>
    </w:rPr>
  </w:style>
  <w:style w:type="character" w:customStyle="1" w:styleId="183">
    <w:name w:val="Char Char Char"/>
    <w:autoRedefine/>
    <w:qFormat/>
    <w:uiPriority w:val="0"/>
    <w:rPr>
      <w:rFonts w:ascii="宋体" w:hAnsi="Courier New" w:eastAsia="宋体"/>
      <w:b/>
      <w:sz w:val="21"/>
      <w:szCs w:val="21"/>
      <w:lang w:val="en-US" w:eastAsia="zh-CN" w:bidi="ar-SA"/>
    </w:rPr>
  </w:style>
  <w:style w:type="character" w:customStyle="1" w:styleId="184">
    <w:name w:val="heading 2 Char"/>
    <w:autoRedefine/>
    <w:qFormat/>
    <w:uiPriority w:val="0"/>
    <w:rPr>
      <w:rFonts w:ascii="Arial" w:hAnsi="Arial" w:eastAsia="黑体" w:cs="Times New Roman"/>
      <w:sz w:val="30"/>
      <w:szCs w:val="24"/>
    </w:rPr>
  </w:style>
  <w:style w:type="character" w:customStyle="1" w:styleId="185">
    <w:name w:val="Char Char2"/>
    <w:autoRedefine/>
    <w:qFormat/>
    <w:uiPriority w:val="0"/>
    <w:rPr>
      <w:rFonts w:ascii="Arial" w:hAnsi="Arial" w:eastAsia="黑体"/>
      <w:b/>
      <w:bCs/>
      <w:kern w:val="44"/>
      <w:sz w:val="30"/>
      <w:szCs w:val="44"/>
      <w:lang w:val="en-US" w:eastAsia="zh-CN" w:bidi="ar-SA"/>
    </w:rPr>
  </w:style>
  <w:style w:type="character" w:customStyle="1" w:styleId="186">
    <w:name w:val="Footer-Even Char2"/>
    <w:autoRedefine/>
    <w:qFormat/>
    <w:uiPriority w:val="0"/>
    <w:rPr>
      <w:kern w:val="2"/>
      <w:sz w:val="18"/>
      <w:szCs w:val="18"/>
    </w:rPr>
  </w:style>
  <w:style w:type="character" w:customStyle="1" w:styleId="187">
    <w:name w:val="Char Char17"/>
    <w:autoRedefine/>
    <w:qFormat/>
    <w:uiPriority w:val="0"/>
    <w:rPr>
      <w:rFonts w:ascii="Cambria" w:hAnsi="Cambria"/>
      <w:b/>
      <w:bCs/>
      <w:kern w:val="2"/>
      <w:sz w:val="28"/>
      <w:szCs w:val="28"/>
    </w:rPr>
  </w:style>
  <w:style w:type="character" w:customStyle="1" w:styleId="188">
    <w:name w:val="heading 4 Char"/>
    <w:autoRedefine/>
    <w:qFormat/>
    <w:uiPriority w:val="0"/>
    <w:rPr>
      <w:rFonts w:ascii="Arial" w:hAnsi="Arial" w:eastAsia="黑体" w:cs="Times New Roman"/>
      <w:sz w:val="21"/>
      <w:szCs w:val="21"/>
    </w:rPr>
  </w:style>
  <w:style w:type="character" w:customStyle="1" w:styleId="189">
    <w:name w:val="Char Char20"/>
    <w:autoRedefine/>
    <w:qFormat/>
    <w:uiPriority w:val="0"/>
    <w:rPr>
      <w:b/>
      <w:bCs/>
      <w:kern w:val="44"/>
      <w:sz w:val="44"/>
      <w:szCs w:val="44"/>
    </w:rPr>
  </w:style>
  <w:style w:type="character" w:customStyle="1" w:styleId="190">
    <w:name w:val="heading 1 Char2"/>
    <w:autoRedefine/>
    <w:qFormat/>
    <w:uiPriority w:val="0"/>
    <w:rPr>
      <w:b/>
      <w:bCs/>
      <w:kern w:val="44"/>
      <w:sz w:val="44"/>
      <w:szCs w:val="44"/>
    </w:rPr>
  </w:style>
  <w:style w:type="character" w:customStyle="1" w:styleId="191">
    <w:name w:val="font11"/>
    <w:autoRedefine/>
    <w:qFormat/>
    <w:uiPriority w:val="0"/>
    <w:rPr>
      <w:rFonts w:hint="eastAsia" w:ascii="宋体" w:hAnsi="宋体" w:eastAsia="宋体" w:cs="宋体"/>
      <w:b/>
      <w:color w:val="000000"/>
      <w:sz w:val="20"/>
      <w:szCs w:val="20"/>
      <w:u w:val="none"/>
    </w:rPr>
  </w:style>
  <w:style w:type="character" w:customStyle="1" w:styleId="192">
    <w:name w:val="表正文 Char2"/>
    <w:autoRedefine/>
    <w:qFormat/>
    <w:uiPriority w:val="0"/>
    <w:rPr>
      <w:rFonts w:ascii="Times New Roman" w:hAnsi="Times New Roman" w:eastAsia="宋体" w:cs="Times New Roman"/>
      <w:szCs w:val="24"/>
    </w:rPr>
  </w:style>
  <w:style w:type="character" w:customStyle="1" w:styleId="193">
    <w:name w:val="引用 Char"/>
    <w:link w:val="194"/>
    <w:autoRedefine/>
    <w:qFormat/>
    <w:uiPriority w:val="0"/>
    <w:rPr>
      <w:rFonts w:ascii="Calibri" w:hAnsi="Calibri" w:eastAsia="宋体"/>
      <w:i/>
      <w:iCs/>
      <w:color w:val="000000"/>
      <w:lang w:val="en-US" w:eastAsia="zh-CN" w:bidi="ar-SA"/>
    </w:rPr>
  </w:style>
  <w:style w:type="paragraph" w:styleId="194">
    <w:name w:val="Quote"/>
    <w:basedOn w:val="1"/>
    <w:next w:val="1"/>
    <w:link w:val="193"/>
    <w:autoRedefine/>
    <w:qFormat/>
    <w:uiPriority w:val="0"/>
    <w:rPr>
      <w:rFonts w:ascii="Calibri" w:hAnsi="Calibri"/>
      <w:i/>
      <w:iCs/>
      <w:color w:val="000000"/>
      <w:kern w:val="0"/>
      <w:sz w:val="20"/>
      <w:szCs w:val="20"/>
    </w:rPr>
  </w:style>
  <w:style w:type="character" w:customStyle="1" w:styleId="195">
    <w:name w:val="纯文本 Char"/>
    <w:link w:val="29"/>
    <w:autoRedefine/>
    <w:qFormat/>
    <w:uiPriority w:val="0"/>
    <w:rPr>
      <w:rFonts w:ascii="宋体" w:hAnsi="Courier New" w:eastAsia="宋体"/>
      <w:b/>
      <w:sz w:val="21"/>
      <w:szCs w:val="21"/>
      <w:lang w:val="en-US" w:eastAsia="zh-CN" w:bidi="ar-SA"/>
    </w:rPr>
  </w:style>
  <w:style w:type="character" w:customStyle="1" w:styleId="196">
    <w:name w:val="Char Char19"/>
    <w:autoRedefine/>
    <w:qFormat/>
    <w:uiPriority w:val="0"/>
    <w:rPr>
      <w:rFonts w:ascii="Cambria" w:hAnsi="Cambria"/>
      <w:b/>
      <w:bCs/>
      <w:kern w:val="2"/>
      <w:sz w:val="32"/>
      <w:szCs w:val="32"/>
    </w:rPr>
  </w:style>
  <w:style w:type="character" w:customStyle="1" w:styleId="197">
    <w:name w:val="style41"/>
    <w:autoRedefine/>
    <w:qFormat/>
    <w:uiPriority w:val="0"/>
    <w:rPr>
      <w:color w:val="auto"/>
    </w:rPr>
  </w:style>
  <w:style w:type="character" w:customStyle="1" w:styleId="198">
    <w:name w:val="Char Char201"/>
    <w:autoRedefine/>
    <w:qFormat/>
    <w:uiPriority w:val="0"/>
    <w:rPr>
      <w:rFonts w:ascii="Cambria" w:hAnsi="Cambria" w:eastAsia="宋体" w:cs="Times New Roman"/>
      <w:b/>
      <w:bCs/>
      <w:sz w:val="32"/>
      <w:szCs w:val="32"/>
    </w:rPr>
  </w:style>
  <w:style w:type="character" w:customStyle="1" w:styleId="199">
    <w:name w:val="正文首行缩进 Char"/>
    <w:link w:val="2"/>
    <w:autoRedefine/>
    <w:qFormat/>
    <w:uiPriority w:val="0"/>
    <w:rPr>
      <w:rFonts w:eastAsia="宋体"/>
      <w:lang w:val="en-US" w:eastAsia="zh-CN" w:bidi="ar-SA"/>
    </w:rPr>
  </w:style>
  <w:style w:type="character" w:customStyle="1" w:styleId="200">
    <w:name w:val="smalltxt1"/>
    <w:autoRedefine/>
    <w:qFormat/>
    <w:uiPriority w:val="0"/>
    <w:rPr>
      <w:rFonts w:hint="default" w:ascii="ˎ̥" w:hAnsi="ˎ̥"/>
      <w:sz w:val="24"/>
      <w:szCs w:val="24"/>
    </w:rPr>
  </w:style>
  <w:style w:type="character" w:customStyle="1" w:styleId="201">
    <w:name w:val="正文文本 2 Char"/>
    <w:basedOn w:val="55"/>
    <w:link w:val="48"/>
    <w:autoRedefine/>
    <w:qFormat/>
    <w:uiPriority w:val="0"/>
  </w:style>
  <w:style w:type="paragraph" w:customStyle="1" w:styleId="20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3">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4">
    <w:name w:val="表内文字"/>
    <w:basedOn w:val="1"/>
    <w:autoRedefine/>
    <w:qFormat/>
    <w:uiPriority w:val="0"/>
    <w:pPr>
      <w:spacing w:line="240" w:lineRule="atLeast"/>
      <w:jc w:val="center"/>
    </w:pPr>
    <w:rPr>
      <w:rFonts w:ascii="Arial" w:hAnsi="Arial" w:cs="Arial"/>
      <w:b/>
      <w:bCs/>
    </w:rPr>
  </w:style>
  <w:style w:type="paragraph" w:customStyle="1" w:styleId="205">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6">
    <w:name w:val="Char Char Char Char Char Char Char"/>
    <w:basedOn w:val="1"/>
    <w:autoRedefine/>
    <w:qFormat/>
    <w:uiPriority w:val="0"/>
    <w:rPr>
      <w:rFonts w:ascii="仿宋_GB2312" w:eastAsia="仿宋_GB2312"/>
      <w:b/>
      <w:sz w:val="32"/>
      <w:szCs w:val="32"/>
    </w:rPr>
  </w:style>
  <w:style w:type="paragraph" w:customStyle="1" w:styleId="207">
    <w:name w:val="列出段落1"/>
    <w:basedOn w:val="1"/>
    <w:autoRedefine/>
    <w:qFormat/>
    <w:uiPriority w:val="0"/>
    <w:pPr>
      <w:ind w:firstLine="420" w:firstLineChars="200"/>
    </w:pPr>
    <w:rPr>
      <w:szCs w:val="20"/>
    </w:rPr>
  </w:style>
  <w:style w:type="paragraph" w:customStyle="1" w:styleId="208">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0">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1">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4">
    <w:name w:val="NICMAN Body Text"/>
    <w:basedOn w:val="1"/>
    <w:next w:val="3"/>
    <w:autoRedefine/>
    <w:qFormat/>
    <w:uiPriority w:val="0"/>
    <w:pPr>
      <w:autoSpaceDE w:val="0"/>
      <w:autoSpaceDN w:val="0"/>
      <w:adjustRightInd w:val="0"/>
      <w:spacing w:after="120"/>
      <w:jc w:val="left"/>
    </w:pPr>
    <w:rPr>
      <w:kern w:val="0"/>
      <w:sz w:val="20"/>
      <w:szCs w:val="20"/>
    </w:rPr>
  </w:style>
  <w:style w:type="paragraph" w:customStyle="1" w:styleId="215">
    <w:name w:val="Char Char Char Char Char Char Char Char Char Char Char Char Char"/>
    <w:basedOn w:val="1"/>
    <w:autoRedefine/>
    <w:qFormat/>
    <w:uiPriority w:val="0"/>
    <w:rPr>
      <w:rFonts w:ascii="Tahoma" w:hAnsi="Tahoma"/>
      <w:sz w:val="24"/>
      <w:szCs w:val="20"/>
    </w:rPr>
  </w:style>
  <w:style w:type="paragraph" w:customStyle="1" w:styleId="216">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7">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8">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9">
    <w:name w:val="Char Char Char Char1"/>
    <w:basedOn w:val="19"/>
    <w:autoRedefine/>
    <w:qFormat/>
    <w:uiPriority w:val="0"/>
    <w:rPr>
      <w:rFonts w:ascii="Tahoma" w:hAnsi="Tahoma"/>
      <w:sz w:val="24"/>
    </w:rPr>
  </w:style>
  <w:style w:type="paragraph" w:customStyle="1" w:styleId="220">
    <w:name w:val="正文 首行缩进:  2 字符 Char"/>
    <w:basedOn w:val="1"/>
    <w:autoRedefine/>
    <w:qFormat/>
    <w:uiPriority w:val="0"/>
    <w:pPr>
      <w:spacing w:line="360" w:lineRule="auto"/>
      <w:ind w:firstLine="480"/>
    </w:pPr>
    <w:rPr>
      <w:rFonts w:cs="宋体"/>
      <w:sz w:val="24"/>
      <w:szCs w:val="20"/>
    </w:rPr>
  </w:style>
  <w:style w:type="paragraph" w:customStyle="1" w:styleId="221">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5">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6">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7">
    <w:name w:val="二级条标题"/>
    <w:basedOn w:val="208"/>
    <w:next w:val="1"/>
    <w:autoRedefine/>
    <w:qFormat/>
    <w:uiPriority w:val="0"/>
    <w:pPr>
      <w:tabs>
        <w:tab w:val="left" w:pos="4309"/>
        <w:tab w:val="clear" w:pos="3889"/>
      </w:tabs>
      <w:ind w:left="4309"/>
      <w:outlineLvl w:val="3"/>
    </w:pPr>
  </w:style>
  <w:style w:type="paragraph" w:customStyle="1" w:styleId="228">
    <w:name w:val="正文－恩普"/>
    <w:basedOn w:val="11"/>
    <w:autoRedefine/>
    <w:qFormat/>
    <w:uiPriority w:val="0"/>
    <w:pPr>
      <w:adjustRightInd/>
      <w:spacing w:line="360" w:lineRule="auto"/>
      <w:ind w:firstLine="200"/>
      <w:textAlignment w:val="auto"/>
    </w:pPr>
    <w:rPr>
      <w:sz w:val="24"/>
      <w:szCs w:val="24"/>
    </w:rPr>
  </w:style>
  <w:style w:type="paragraph" w:customStyle="1" w:styleId="229">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0">
    <w:name w:val="正文（首行缩进）"/>
    <w:basedOn w:val="2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1">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2">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4">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5">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6">
    <w:name w:val="三级条标题"/>
    <w:basedOn w:val="227"/>
    <w:next w:val="1"/>
    <w:autoRedefine/>
    <w:qFormat/>
    <w:uiPriority w:val="0"/>
    <w:pPr>
      <w:tabs>
        <w:tab w:val="left" w:pos="4729"/>
        <w:tab w:val="clear" w:pos="4309"/>
      </w:tabs>
      <w:ind w:left="4729"/>
      <w:outlineLvl w:val="4"/>
    </w:pPr>
  </w:style>
  <w:style w:type="paragraph" w:customStyle="1" w:styleId="237">
    <w:name w:val="Test2"/>
    <w:basedOn w:val="6"/>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8">
    <w:name w:val="默认段落字体 Para Char Char Char Char Char Char Char"/>
    <w:basedOn w:val="1"/>
    <w:autoRedefine/>
    <w:qFormat/>
    <w:uiPriority w:val="0"/>
  </w:style>
  <w:style w:type="paragraph" w:customStyle="1" w:styleId="239">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1">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2">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3">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4">
    <w:name w:val="列表段落"/>
    <w:basedOn w:val="1"/>
    <w:autoRedefine/>
    <w:qFormat/>
    <w:uiPriority w:val="0"/>
    <w:pPr>
      <w:ind w:firstLine="420" w:firstLineChars="200"/>
    </w:pPr>
    <w:rPr>
      <w:rFonts w:ascii="Calibri" w:hAnsi="Calibri"/>
      <w:szCs w:val="22"/>
    </w:rPr>
  </w:style>
  <w:style w:type="paragraph" w:customStyle="1" w:styleId="245">
    <w:name w:val="五级条标题"/>
    <w:basedOn w:val="246"/>
    <w:next w:val="1"/>
    <w:autoRedefine/>
    <w:qFormat/>
    <w:uiPriority w:val="0"/>
    <w:pPr>
      <w:tabs>
        <w:tab w:val="left" w:pos="5149"/>
        <w:tab w:val="left" w:pos="5569"/>
      </w:tabs>
      <w:ind w:left="5569"/>
      <w:outlineLvl w:val="6"/>
    </w:pPr>
  </w:style>
  <w:style w:type="paragraph" w:customStyle="1" w:styleId="246">
    <w:name w:val="四级条标题"/>
    <w:basedOn w:val="236"/>
    <w:next w:val="1"/>
    <w:autoRedefine/>
    <w:qFormat/>
    <w:uiPriority w:val="0"/>
    <w:pPr>
      <w:tabs>
        <w:tab w:val="left" w:pos="5149"/>
        <w:tab w:val="clear" w:pos="4729"/>
      </w:tabs>
      <w:ind w:left="5149"/>
      <w:outlineLvl w:val="5"/>
    </w:pPr>
  </w:style>
  <w:style w:type="paragraph" w:customStyle="1" w:styleId="247">
    <w:name w:val="正文-宋体四号"/>
    <w:basedOn w:val="1"/>
    <w:autoRedefine/>
    <w:qFormat/>
    <w:uiPriority w:val="0"/>
    <w:pPr>
      <w:spacing w:line="360" w:lineRule="auto"/>
      <w:ind w:firstLine="560" w:firstLineChars="200"/>
    </w:pPr>
    <w:rPr>
      <w:rFonts w:cs="宋体"/>
      <w:sz w:val="28"/>
      <w:szCs w:val="20"/>
    </w:rPr>
  </w:style>
  <w:style w:type="paragraph" w:customStyle="1" w:styleId="24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9">
    <w:name w:val="Char2"/>
    <w:basedOn w:val="1"/>
    <w:autoRedefine/>
    <w:qFormat/>
    <w:uiPriority w:val="0"/>
  </w:style>
  <w:style w:type="paragraph" w:customStyle="1" w:styleId="250">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1">
    <w:name w:val="样式5"/>
    <w:basedOn w:val="11"/>
    <w:autoRedefine/>
    <w:qFormat/>
    <w:uiPriority w:val="0"/>
    <w:pPr>
      <w:adjustRightInd/>
      <w:spacing w:line="360" w:lineRule="auto"/>
      <w:ind w:firstLine="200"/>
      <w:textAlignment w:val="auto"/>
    </w:pPr>
    <w:rPr>
      <w:sz w:val="28"/>
      <w:szCs w:val="21"/>
    </w:rPr>
  </w:style>
  <w:style w:type="paragraph" w:customStyle="1" w:styleId="252">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3">
    <w:name w:val="Char Char Char Char Char Char Char Char Char Char Char Char Char1"/>
    <w:basedOn w:val="1"/>
    <w:autoRedefine/>
    <w:qFormat/>
    <w:uiPriority w:val="0"/>
  </w:style>
  <w:style w:type="paragraph" w:customStyle="1" w:styleId="254">
    <w:name w:val="样式 标题 1Level 1Level 11h1II+IHeading1H1-Heading 1Header 1..."/>
    <w:basedOn w:val="5"/>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5">
    <w:name w:val="样式 标题 3 + 黑色 段前: 5 磅 段后: 5 磅 行距: 1.5 倍行距"/>
    <w:basedOn w:val="1"/>
    <w:autoRedefine/>
    <w:qFormat/>
    <w:uiPriority w:val="0"/>
    <w:pPr>
      <w:ind w:left="855" w:hanging="855"/>
    </w:pPr>
    <w:rPr>
      <w:sz w:val="24"/>
      <w:szCs w:val="20"/>
    </w:rPr>
  </w:style>
  <w:style w:type="paragraph" w:customStyle="1" w:styleId="256">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7">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9">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0">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1">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2">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3">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7">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8">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9">
    <w:name w:val="TOC 标题1"/>
    <w:basedOn w:val="5"/>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0">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1">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2">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3">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4">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5">
    <w:name w:val="简单回函地址"/>
    <w:basedOn w:val="1"/>
    <w:autoRedefine/>
    <w:qFormat/>
    <w:uiPriority w:val="0"/>
  </w:style>
  <w:style w:type="paragraph" w:customStyle="1" w:styleId="276">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7">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8">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9">
    <w:name w:val="1 Char"/>
    <w:basedOn w:val="11"/>
    <w:autoRedefine/>
    <w:qFormat/>
    <w:uiPriority w:val="0"/>
    <w:pPr>
      <w:adjustRightInd/>
      <w:spacing w:line="360" w:lineRule="auto"/>
      <w:ind w:firstLine="200"/>
      <w:textAlignment w:val="auto"/>
    </w:pPr>
  </w:style>
  <w:style w:type="paragraph" w:customStyle="1" w:styleId="280">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1">
    <w:name w:val="TOC 标题2"/>
    <w:basedOn w:val="5"/>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2">
    <w:name w:val="Char Char"/>
    <w:basedOn w:val="1"/>
    <w:autoRedefine/>
    <w:qFormat/>
    <w:uiPriority w:val="0"/>
    <w:rPr>
      <w:rFonts w:ascii="仿宋_GB2312" w:eastAsia="仿宋_GB2312"/>
      <w:b/>
      <w:sz w:val="32"/>
      <w:szCs w:val="32"/>
    </w:rPr>
  </w:style>
  <w:style w:type="paragraph" w:customStyle="1" w:styleId="283">
    <w:name w:val="l正文"/>
    <w:basedOn w:val="1"/>
    <w:autoRedefine/>
    <w:qFormat/>
    <w:uiPriority w:val="0"/>
    <w:pPr>
      <w:spacing w:line="360" w:lineRule="auto"/>
      <w:ind w:firstLine="200" w:firstLineChars="200"/>
    </w:pPr>
    <w:rPr>
      <w:rFonts w:ascii="宋体" w:hAnsi="宋体"/>
      <w:sz w:val="24"/>
    </w:rPr>
  </w:style>
  <w:style w:type="paragraph" w:customStyle="1" w:styleId="284">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6">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7">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8">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9">
    <w:name w:val="Char Char Char Char Char Char Char1"/>
    <w:basedOn w:val="1"/>
    <w:autoRedefine/>
    <w:qFormat/>
    <w:uiPriority w:val="0"/>
    <w:rPr>
      <w:rFonts w:ascii="仿宋_GB2312" w:eastAsia="仿宋_GB2312"/>
      <w:b/>
      <w:sz w:val="32"/>
      <w:szCs w:val="32"/>
    </w:rPr>
  </w:style>
  <w:style w:type="paragraph" w:customStyle="1" w:styleId="290">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1">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2">
    <w:name w:val="标题2"/>
    <w:basedOn w:val="6"/>
    <w:autoRedefine/>
    <w:qFormat/>
    <w:uiPriority w:val="0"/>
    <w:pPr>
      <w:tabs>
        <w:tab w:val="left" w:pos="709"/>
      </w:tabs>
    </w:pPr>
    <w:rPr>
      <w:rFonts w:ascii="宋体" w:hAnsi="宋体"/>
      <w:sz w:val="36"/>
      <w:szCs w:val="36"/>
    </w:rPr>
  </w:style>
  <w:style w:type="paragraph" w:customStyle="1" w:styleId="293">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5">
    <w:name w:val="Char1"/>
    <w:basedOn w:val="1"/>
    <w:autoRedefine/>
    <w:qFormat/>
    <w:uiPriority w:val="0"/>
    <w:rPr>
      <w:rFonts w:ascii="仿宋_GB2312" w:eastAsia="仿宋_GB2312"/>
      <w:b/>
      <w:sz w:val="32"/>
      <w:szCs w:val="32"/>
    </w:rPr>
  </w:style>
  <w:style w:type="paragraph" w:customStyle="1" w:styleId="296">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7">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8">
    <w:name w:val="保留正文"/>
    <w:basedOn w:val="3"/>
    <w:autoRedefine/>
    <w:qFormat/>
    <w:uiPriority w:val="0"/>
    <w:pPr>
      <w:keepNext/>
      <w:spacing w:after="160"/>
    </w:pPr>
    <w:rPr>
      <w:szCs w:val="20"/>
    </w:rPr>
  </w:style>
  <w:style w:type="paragraph" w:customStyle="1" w:styleId="299">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Char"/>
    <w:basedOn w:val="1"/>
    <w:autoRedefine/>
    <w:qFormat/>
    <w:uiPriority w:val="0"/>
    <w:rPr>
      <w:rFonts w:ascii="仿宋_GB2312" w:eastAsia="仿宋_GB2312"/>
      <w:b/>
      <w:sz w:val="32"/>
      <w:szCs w:val="32"/>
    </w:rPr>
  </w:style>
  <w:style w:type="paragraph" w:customStyle="1" w:styleId="303">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4">
    <w:name w:val="正文文字表格居中"/>
    <w:basedOn w:val="1"/>
    <w:next w:val="48"/>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5">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6">
    <w:name w:val="Char1 Char Char Char Char Char Char"/>
    <w:basedOn w:val="1"/>
    <w:autoRedefine/>
    <w:qFormat/>
    <w:uiPriority w:val="0"/>
    <w:rPr>
      <w:rFonts w:ascii="宋体" w:hAnsi="宋体"/>
      <w:color w:val="000000"/>
      <w:sz w:val="24"/>
    </w:rPr>
  </w:style>
  <w:style w:type="paragraph" w:customStyle="1" w:styleId="307">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8">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0">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2">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3">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4">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5">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6">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7">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8">
    <w:name w:val="样式 标题 3 + 黑体 小四 非加粗"/>
    <w:basedOn w:val="7"/>
    <w:autoRedefine/>
    <w:qFormat/>
    <w:uiPriority w:val="0"/>
    <w:pPr>
      <w:spacing w:before="260" w:after="260" w:line="413" w:lineRule="auto"/>
    </w:pPr>
    <w:rPr>
      <w:rFonts w:ascii="黑体" w:hAnsi="黑体"/>
      <w:b w:val="0"/>
      <w:kern w:val="0"/>
      <w:sz w:val="24"/>
      <w:szCs w:val="32"/>
    </w:rPr>
  </w:style>
  <w:style w:type="paragraph" w:customStyle="1" w:styleId="319">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1">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3">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4">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5">
    <w:name w:val="列出段落2"/>
    <w:basedOn w:val="1"/>
    <w:autoRedefine/>
    <w:qFormat/>
    <w:uiPriority w:val="0"/>
    <w:pPr>
      <w:ind w:firstLine="420" w:firstLineChars="200"/>
    </w:pPr>
  </w:style>
  <w:style w:type="paragraph" w:customStyle="1" w:styleId="326">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7">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8">
    <w:name w:val="p0"/>
    <w:basedOn w:val="1"/>
    <w:autoRedefine/>
    <w:qFormat/>
    <w:uiPriority w:val="0"/>
    <w:pPr>
      <w:widowControl/>
    </w:pPr>
    <w:rPr>
      <w:kern w:val="0"/>
      <w:szCs w:val="21"/>
    </w:rPr>
  </w:style>
  <w:style w:type="paragraph" w:customStyle="1" w:styleId="329">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0">
    <w:name w:val="TableGrid"/>
    <w:autoRedefine/>
    <w:qFormat/>
    <w:uiPriority w:val="0"/>
    <w:tblPr>
      <w:tblCellMar>
        <w:top w:w="0" w:type="dxa"/>
        <w:left w:w="0" w:type="dxa"/>
        <w:bottom w:w="0" w:type="dxa"/>
        <w:right w:w="0" w:type="dxa"/>
      </w:tblCellMar>
    </w:tblPr>
  </w:style>
  <w:style w:type="paragraph" w:styleId="331">
    <w:name w:val="List Paragraph"/>
    <w:basedOn w:val="1"/>
    <w:autoRedefine/>
    <w:qFormat/>
    <w:uiPriority w:val="99"/>
    <w:pPr>
      <w:ind w:firstLine="420" w:firstLineChars="200"/>
    </w:pPr>
  </w:style>
  <w:style w:type="paragraph" w:customStyle="1" w:styleId="332">
    <w:name w:val="正文段"/>
    <w:basedOn w:val="1"/>
    <w:autoRedefine/>
    <w:qFormat/>
    <w:uiPriority w:val="0"/>
    <w:pPr>
      <w:widowControl/>
      <w:snapToGrid w:val="0"/>
      <w:spacing w:afterLines="50"/>
      <w:ind w:firstLine="200" w:firstLineChars="200"/>
    </w:pPr>
    <w:rPr>
      <w:sz w:val="24"/>
      <w:szCs w:val="20"/>
    </w:rPr>
  </w:style>
  <w:style w:type="paragraph" w:customStyle="1" w:styleId="333">
    <w:name w:val="_Style 3"/>
    <w:basedOn w:val="1"/>
    <w:next w:val="1"/>
    <w:autoRedefine/>
    <w:qFormat/>
    <w:uiPriority w:val="34"/>
    <w:pPr>
      <w:spacing w:line="360" w:lineRule="auto"/>
      <w:ind w:firstLine="420" w:firstLineChars="200"/>
    </w:pPr>
  </w:style>
  <w:style w:type="paragraph" w:customStyle="1" w:styleId="334">
    <w:name w:val="_Style 2"/>
    <w:basedOn w:val="1"/>
    <w:next w:val="1"/>
    <w:autoRedefine/>
    <w:qFormat/>
    <w:uiPriority w:val="0"/>
    <w:pPr>
      <w:pBdr>
        <w:bottom w:val="single" w:color="auto" w:sz="6" w:space="1"/>
      </w:pBdr>
      <w:jc w:val="center"/>
    </w:pPr>
    <w:rPr>
      <w:rFonts w:ascii="Arial"/>
      <w:vanish/>
      <w:sz w:val="16"/>
    </w:rPr>
  </w:style>
  <w:style w:type="character" w:customStyle="1" w:styleId="335">
    <w:name w:val="font31"/>
    <w:basedOn w:val="55"/>
    <w:autoRedefine/>
    <w:qFormat/>
    <w:uiPriority w:val="0"/>
    <w:rPr>
      <w:rFonts w:hint="eastAsia" w:ascii="宋体" w:hAnsi="宋体" w:eastAsia="宋体" w:cs="宋体"/>
      <w:color w:val="000000"/>
      <w:sz w:val="24"/>
      <w:szCs w:val="24"/>
      <w:u w:val="single"/>
    </w:rPr>
  </w:style>
  <w:style w:type="paragraph" w:customStyle="1" w:styleId="336">
    <w:name w:val="表格文字"/>
    <w:basedOn w:val="1"/>
    <w:next w:val="3"/>
    <w:autoRedefine/>
    <w:qFormat/>
    <w:uiPriority w:val="0"/>
    <w:pPr>
      <w:adjustRightInd w:val="0"/>
      <w:spacing w:line="420" w:lineRule="atLeast"/>
      <w:jc w:val="left"/>
      <w:textAlignment w:val="baseline"/>
    </w:pPr>
    <w:rPr>
      <w:kern w:val="0"/>
    </w:rPr>
  </w:style>
  <w:style w:type="character" w:customStyle="1" w:styleId="337">
    <w:name w:val="font01"/>
    <w:basedOn w:val="55"/>
    <w:autoRedefine/>
    <w:qFormat/>
    <w:uiPriority w:val="0"/>
    <w:rPr>
      <w:rFonts w:ascii="Arial" w:hAnsi="Arial" w:cs="Arial"/>
      <w:color w:val="000000"/>
      <w:sz w:val="18"/>
      <w:szCs w:val="18"/>
      <w:u w:val="none"/>
    </w:rPr>
  </w:style>
  <w:style w:type="paragraph" w:customStyle="1" w:styleId="338">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9">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40">
    <w:name w:val="font61"/>
    <w:basedOn w:val="55"/>
    <w:autoRedefine/>
    <w:qFormat/>
    <w:uiPriority w:val="0"/>
    <w:rPr>
      <w:rFonts w:hint="eastAsia" w:ascii="宋体" w:hAnsi="宋体" w:eastAsia="宋体" w:cs="宋体"/>
      <w:color w:val="000000"/>
      <w:sz w:val="20"/>
      <w:szCs w:val="20"/>
      <w:u w:val="none"/>
    </w:rPr>
  </w:style>
  <w:style w:type="character" w:customStyle="1" w:styleId="341">
    <w:name w:val="font81"/>
    <w:basedOn w:val="55"/>
    <w:autoRedefine/>
    <w:qFormat/>
    <w:uiPriority w:val="0"/>
    <w:rPr>
      <w:rFonts w:ascii="Calibri" w:hAnsi="Calibri" w:cs="Calibri"/>
      <w:color w:val="000000"/>
      <w:sz w:val="20"/>
      <w:szCs w:val="20"/>
      <w:u w:val="none"/>
    </w:rPr>
  </w:style>
  <w:style w:type="character" w:customStyle="1" w:styleId="342">
    <w:name w:val="font71"/>
    <w:basedOn w:val="55"/>
    <w:autoRedefine/>
    <w:qFormat/>
    <w:uiPriority w:val="0"/>
    <w:rPr>
      <w:rFonts w:hint="eastAsia" w:ascii="宋体" w:hAnsi="宋体" w:eastAsia="宋体" w:cs="宋体"/>
      <w:color w:val="000000"/>
      <w:sz w:val="22"/>
      <w:szCs w:val="22"/>
      <w:u w:val="none"/>
    </w:rPr>
  </w:style>
  <w:style w:type="paragraph" w:customStyle="1" w:styleId="343">
    <w:name w:val="01 正文-首行缩进2字符"/>
    <w:basedOn w:val="1"/>
    <w:autoRedefine/>
    <w:qFormat/>
    <w:uiPriority w:val="0"/>
    <w:pPr>
      <w:spacing w:beforeLines="50" w:afterLines="50"/>
      <w:ind w:firstLine="200" w:firstLineChars="200"/>
    </w:pPr>
    <w:rPr>
      <w:rFonts w:ascii="Arial" w:hAnsi="Arial"/>
      <w:color w:val="000000"/>
    </w:rPr>
  </w:style>
  <w:style w:type="character" w:customStyle="1" w:styleId="344">
    <w:name w:val="无"/>
    <w:qFormat/>
    <w:uiPriority w:val="0"/>
  </w:style>
  <w:style w:type="paragraph" w:customStyle="1" w:styleId="34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46">
    <w:name w:val="Heading 3"/>
    <w:basedOn w:val="1"/>
    <w:qFormat/>
    <w:uiPriority w:val="0"/>
    <w:pPr>
      <w:ind w:left="901" w:hanging="538"/>
      <w:jc w:val="left"/>
      <w:outlineLvl w:val="3"/>
    </w:pPr>
    <w:rPr>
      <w:rFonts w:hint="eastAsia" w:ascii="宋体" w:hAnsi="宋体"/>
      <w:b/>
      <w:kern w:val="0"/>
      <w:sz w:val="24"/>
    </w:rPr>
  </w:style>
  <w:style w:type="paragraph" w:customStyle="1" w:styleId="347">
    <w:name w:val="列出段落12"/>
    <w:basedOn w:val="1"/>
    <w:qFormat/>
    <w:uiPriority w:val="0"/>
    <w:pPr>
      <w:ind w:firstLine="420"/>
    </w:pPr>
    <w:rPr>
      <w:rFonts w:cs="Times New Roman"/>
      <w:kern w:val="0"/>
      <w:sz w:val="20"/>
      <w:szCs w:val="20"/>
      <w:lang w:val="zh-CN"/>
    </w:rPr>
  </w:style>
  <w:style w:type="paragraph" w:customStyle="1" w:styleId="348">
    <w:name w:val="2级标题"/>
    <w:basedOn w:val="1"/>
    <w:qFormat/>
    <w:uiPriority w:val="0"/>
    <w:pPr>
      <w:spacing w:beforeLines="10" w:afterLines="10" w:line="360" w:lineRule="auto"/>
      <w:jc w:val="left"/>
      <w:outlineLvl w:val="1"/>
    </w:pPr>
    <w:rPr>
      <w:rFonts w:ascii="Times New Roman" w:hAnsi="Times New Roman" w:eastAsia="仿宋"/>
      <w:b/>
      <w:sz w:val="30"/>
      <w:szCs w:val="22"/>
    </w:rPr>
  </w:style>
  <w:style w:type="paragraph" w:customStyle="1" w:styleId="349">
    <w:name w:val="3级"/>
    <w:basedOn w:val="1"/>
    <w:qFormat/>
    <w:uiPriority w:val="0"/>
    <w:pPr>
      <w:keepNext/>
      <w:widowControl/>
      <w:spacing w:before="240" w:after="240" w:line="360" w:lineRule="auto"/>
      <w:ind w:right="466" w:rightChars="194" w:firstLine="288"/>
      <w:jc w:val="left"/>
      <w:outlineLvl w:val="2"/>
    </w:pPr>
    <w:rPr>
      <w:rFonts w:ascii="宋体" w:hAnsi="宋体"/>
      <w:b/>
      <w:bCs/>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81</Pages>
  <Words>15071</Words>
  <Characters>15959</Characters>
  <Lines>239</Lines>
  <Paragraphs>67</Paragraphs>
  <TotalTime>13</TotalTime>
  <ScaleCrop>false</ScaleCrop>
  <LinksUpToDate>false</LinksUpToDate>
  <CharactersWithSpaces>16284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2025-10-24T01:19:00Z</dcterms:created>
  <dc:creator>zyq</dc:creator>
  <cp:lastModifiedBy>乐圣天</cp:lastModifiedBy>
  <cp:lastPrinted>2025-05-12T01:03:00Z</cp:lastPrinted>
  <dcterms:modified xsi:type="dcterms:W3CDTF">2026-04-24T08:38:26Z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CF8314AEFDB24EC9B765EEF0497B58BD_13</vt:lpwstr>
  </property>
  <property fmtid="{D5CDD505-2E9C-101B-9397-08002B2CF9AE}" pid="4" name="KSOTemplateDocerSaveRecord">
    <vt:lpwstr>eyJoZGlkIjoiY2Q1ZmI2YzBjMWJhZDRkNzFiNjAxYTNmMmIzOWQxZGIiLCJ1c2VySWQiOiIxMzg0MTA1MjE1In0=</vt:lpwstr>
  </property>
</Properties>
</file>