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6A8A5">
      <w:pPr>
        <w:rPr>
          <w:rFonts w:hint="eastAsia" w:ascii="仿宋" w:hAnsi="仿宋" w:eastAsia="仿宋" w:cs="仿宋"/>
          <w:color w:val="auto"/>
          <w:sz w:val="22"/>
          <w:highlight w:val="none"/>
        </w:rPr>
      </w:pPr>
      <w:r>
        <w:rPr>
          <w:rFonts w:hint="eastAsia" w:ascii="仿宋" w:hAnsi="仿宋" w:eastAsia="仿宋" w:cs="仿宋"/>
          <w:color w:val="auto"/>
          <w:sz w:val="22"/>
          <w:highlight w:val="none"/>
        </w:rPr>
        <w:drawing>
          <wp:inline distT="0" distB="0" distL="0" distR="0">
            <wp:extent cx="2320290" cy="934720"/>
            <wp:effectExtent l="0" t="0" r="3810" b="17780"/>
            <wp:docPr id="1026" name="图片 2" descr="logo"/>
            <wp:cNvGraphicFramePr/>
            <a:graphic xmlns:a="http://schemas.openxmlformats.org/drawingml/2006/main">
              <a:graphicData uri="http://schemas.openxmlformats.org/drawingml/2006/picture">
                <pic:pic xmlns:pic="http://schemas.openxmlformats.org/drawingml/2006/picture">
                  <pic:nvPicPr>
                    <pic:cNvPr id="1026" name="图片 2" descr="logo"/>
                    <pic:cNvPicPr/>
                  </pic:nvPicPr>
                  <pic:blipFill>
                    <a:blip r:embed="rId11" cstate="print"/>
                    <a:srcRect/>
                    <a:stretch>
                      <a:fillRect/>
                    </a:stretch>
                  </pic:blipFill>
                  <pic:spPr>
                    <a:xfrm>
                      <a:off x="0" y="0"/>
                      <a:ext cx="2320290" cy="934720"/>
                    </a:xfrm>
                    <a:prstGeom prst="rect">
                      <a:avLst/>
                    </a:prstGeom>
                    <a:ln>
                      <a:noFill/>
                    </a:ln>
                  </pic:spPr>
                </pic:pic>
              </a:graphicData>
            </a:graphic>
          </wp:inline>
        </w:drawing>
      </w:r>
    </w:p>
    <w:p w14:paraId="4CE09DB8">
      <w:pPr>
        <w:rPr>
          <w:rFonts w:hint="eastAsia" w:ascii="仿宋" w:hAnsi="仿宋" w:eastAsia="仿宋" w:cs="仿宋"/>
          <w:color w:val="auto"/>
          <w:sz w:val="22"/>
          <w:highlight w:val="none"/>
        </w:rPr>
      </w:pPr>
    </w:p>
    <w:p w14:paraId="5A169DC0">
      <w:pPr>
        <w:rPr>
          <w:rFonts w:hint="eastAsia" w:ascii="仿宋" w:hAnsi="仿宋" w:eastAsia="仿宋" w:cs="仿宋"/>
          <w:color w:val="auto"/>
          <w:sz w:val="22"/>
          <w:highlight w:val="none"/>
        </w:rPr>
      </w:pPr>
    </w:p>
    <w:p w14:paraId="212F64A2">
      <w:pPr>
        <w:pStyle w:val="2"/>
        <w:rPr>
          <w:rFonts w:hint="eastAsia" w:ascii="仿宋" w:hAnsi="仿宋" w:eastAsia="仿宋" w:cs="仿宋"/>
          <w:color w:val="auto"/>
          <w:highlight w:val="none"/>
        </w:rPr>
      </w:pPr>
    </w:p>
    <w:p w14:paraId="5E47774E">
      <w:pPr>
        <w:jc w:val="center"/>
        <w:rPr>
          <w:rFonts w:hint="eastAsia" w:ascii="仿宋" w:hAnsi="仿宋" w:eastAsia="仿宋" w:cs="仿宋"/>
          <w:b/>
          <w:bCs/>
          <w:color w:val="auto"/>
          <w:sz w:val="72"/>
          <w:szCs w:val="28"/>
          <w:highlight w:val="none"/>
        </w:rPr>
      </w:pPr>
      <w:r>
        <w:rPr>
          <w:rFonts w:hint="eastAsia" w:ascii="仿宋" w:hAnsi="仿宋" w:eastAsia="仿宋" w:cs="仿宋"/>
          <w:b/>
          <w:bCs/>
          <w:color w:val="auto"/>
          <w:sz w:val="72"/>
          <w:szCs w:val="28"/>
          <w:highlight w:val="none"/>
        </w:rPr>
        <w:t>竞争性磋商文件</w:t>
      </w:r>
    </w:p>
    <w:p w14:paraId="5F2CC022">
      <w:pPr>
        <w:pStyle w:val="43"/>
        <w:spacing w:line="360" w:lineRule="auto"/>
        <w:ind w:firstLine="0" w:firstLineChars="0"/>
        <w:rPr>
          <w:rFonts w:hint="eastAsia" w:ascii="仿宋" w:hAnsi="仿宋" w:eastAsia="仿宋" w:cs="仿宋"/>
          <w:color w:val="auto"/>
          <w:sz w:val="32"/>
          <w:szCs w:val="32"/>
          <w:highlight w:val="none"/>
        </w:rPr>
      </w:pPr>
    </w:p>
    <w:p w14:paraId="71E36384">
      <w:pPr>
        <w:pStyle w:val="43"/>
        <w:spacing w:line="360" w:lineRule="auto"/>
        <w:ind w:firstLine="0" w:firstLineChars="0"/>
        <w:rPr>
          <w:rFonts w:hint="eastAsia" w:ascii="仿宋" w:hAnsi="仿宋" w:eastAsia="仿宋" w:cs="仿宋"/>
          <w:color w:val="auto"/>
          <w:sz w:val="32"/>
          <w:szCs w:val="32"/>
          <w:highlight w:val="none"/>
        </w:rPr>
      </w:pPr>
    </w:p>
    <w:p w14:paraId="5642DA3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XZJ26S-027-ZC</w:t>
      </w:r>
    </w:p>
    <w:p w14:paraId="444054A8">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"https://pay.zcygov.cn/budget-quota-index/" \l "/purchase/plan/details/2199375" \t "https://pay.zcygov.cn/purchaseplan_front/" \l "/plan/list/_blank"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2026年自治区危险化学品风险监测预警系统运维服务项目</w:t>
      </w:r>
      <w:r>
        <w:rPr>
          <w:rFonts w:hint="eastAsia" w:ascii="仿宋" w:hAnsi="仿宋" w:eastAsia="仿宋" w:cs="仿宋"/>
          <w:color w:val="auto"/>
          <w:sz w:val="32"/>
          <w:szCs w:val="32"/>
          <w:highlight w:val="none"/>
        </w:rPr>
        <w:fldChar w:fldCharType="end"/>
      </w:r>
    </w:p>
    <w:p w14:paraId="57C6DCF5">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盖章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新疆维吾尔自治区应急管理厅</w:t>
      </w:r>
    </w:p>
    <w:p w14:paraId="70D98E17">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乌鲁木齐市水磨沟区六道湾路59号</w:t>
      </w:r>
    </w:p>
    <w:p w14:paraId="5D75305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禅冲</w:t>
      </w:r>
    </w:p>
    <w:p w14:paraId="7008E510">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val="en-US" w:eastAsia="zh-CN"/>
        </w:rPr>
        <w:t xml:space="preserve"> 0991-5093145</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p>
    <w:p w14:paraId="60300491">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盖章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：新疆新之建工程咨询有限公司</w:t>
      </w:r>
    </w:p>
    <w:p w14:paraId="317DBD66">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地址：新疆乌鲁木齐市沙依巴克区克拉玛依西路618号亚欣国际酒店5楼</w:t>
      </w:r>
    </w:p>
    <w:p w14:paraId="70A81CE2">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联系人：李家成、王涛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曹晓云、杨海波</w:t>
      </w:r>
    </w:p>
    <w:p w14:paraId="71FD162B">
      <w:pPr>
        <w:pStyle w:val="4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32"/>
          <w:szCs w:val="32"/>
          <w:highlight w:val="none"/>
          <w:lang w:val="en-US" w:eastAsia="zh-CN"/>
        </w:rPr>
        <w:sectPr>
          <w:headerReference r:id="rId6" w:type="first"/>
          <w:headerReference r:id="rId5" w:type="default"/>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color w:val="auto"/>
          <w:sz w:val="32"/>
          <w:szCs w:val="32"/>
          <w:highlight w:val="none"/>
        </w:rPr>
        <w:t>联系电话：0991-</w:t>
      </w:r>
      <w:r>
        <w:rPr>
          <w:rFonts w:hint="eastAsia" w:ascii="仿宋" w:hAnsi="仿宋" w:eastAsia="仿宋" w:cs="仿宋"/>
          <w:color w:val="auto"/>
          <w:sz w:val="32"/>
          <w:szCs w:val="32"/>
          <w:highlight w:val="none"/>
          <w:lang w:val="en-US" w:eastAsia="zh-CN"/>
        </w:rPr>
        <w:t>4321218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15292642002</w:t>
      </w:r>
    </w:p>
    <w:p w14:paraId="33C88E24">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2DD47200">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C805B9D">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8492DB5">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0D56FAD7">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239000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CD8D2BC">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6751890">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6B4AC9F2">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C602020">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BB38927">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8BCBC2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73199DF">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2A9C593">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6F28DBE1">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69B853B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CF1A3E0">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7E7FA523">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7124704">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F20DC88">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640DA216">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660DDCB">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1714B45">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58592046">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444FC61">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116717A">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238FEA3">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0CE2289B">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1477E1A9">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14:paraId="63FEE75A">
      <w:pPr>
        <w:shd w:val="clear" w:color="auto" w:fill="FFFFFF"/>
        <w:autoSpaceDE w:val="0"/>
        <w:autoSpaceDN w:val="0"/>
        <w:adjustRightInd w:val="0"/>
        <w:spacing w:line="360" w:lineRule="exact"/>
        <w:rPr>
          <w:rFonts w:hint="eastAsia" w:ascii="仿宋" w:hAnsi="仿宋" w:eastAsia="仿宋" w:cs="仿宋"/>
          <w:color w:val="auto"/>
          <w:kern w:val="0"/>
          <w:sz w:val="28"/>
          <w:szCs w:val="28"/>
          <w:highlight w:val="none"/>
        </w:rPr>
      </w:pPr>
    </w:p>
    <w:p w14:paraId="60C6B341">
      <w:pPr>
        <w:pStyle w:val="16"/>
        <w:tabs>
          <w:tab w:val="right" w:leader="dot" w:pos="9628"/>
        </w:tabs>
        <w:rPr>
          <w:rStyle w:val="22"/>
          <w:rFonts w:hint="eastAsia" w:ascii="仿宋" w:hAnsi="仿宋" w:eastAsia="仿宋" w:cs="仿宋"/>
          <w:color w:val="auto"/>
          <w:sz w:val="28"/>
          <w:szCs w:val="28"/>
          <w:highlight w:val="none"/>
        </w:rPr>
      </w:pPr>
      <w:r>
        <w:rPr>
          <w:rStyle w:val="22"/>
          <w:rFonts w:hint="eastAsia" w:ascii="仿宋" w:hAnsi="仿宋" w:eastAsia="仿宋" w:cs="仿宋"/>
          <w:color w:val="auto"/>
          <w:sz w:val="30"/>
          <w:szCs w:val="30"/>
          <w:highlight w:val="none"/>
        </w:rPr>
        <w:fldChar w:fldCharType="begin"/>
      </w:r>
      <w:r>
        <w:rPr>
          <w:rStyle w:val="22"/>
          <w:rFonts w:hint="eastAsia" w:ascii="仿宋" w:hAnsi="仿宋" w:eastAsia="仿宋" w:cs="仿宋"/>
          <w:color w:val="auto"/>
          <w:sz w:val="30"/>
          <w:szCs w:val="30"/>
          <w:highlight w:val="none"/>
        </w:rPr>
        <w:instrText xml:space="preserve"> TOC \o "1-1" \h \z \u </w:instrText>
      </w:r>
      <w:r>
        <w:rPr>
          <w:rStyle w:val="22"/>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"_Toc127462390"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第一部分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磋商公告</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1</w:t>
      </w:r>
      <w:r>
        <w:rPr>
          <w:rStyle w:val="22"/>
          <w:rFonts w:hint="eastAsia" w:ascii="仿宋" w:hAnsi="仿宋" w:eastAsia="仿宋" w:cs="仿宋"/>
          <w:color w:val="auto"/>
          <w:sz w:val="28"/>
          <w:szCs w:val="28"/>
          <w:highlight w:val="none"/>
        </w:rPr>
        <w:fldChar w:fldCharType="end"/>
      </w:r>
    </w:p>
    <w:p w14:paraId="05456309">
      <w:pPr>
        <w:pStyle w:val="16"/>
        <w:tabs>
          <w:tab w:val="right" w:leader="dot" w:pos="9628"/>
        </w:tabs>
        <w:rPr>
          <w:rStyle w:val="22"/>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"_Toc127462391"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第二部分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供应商须知前附表</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4</w:t>
      </w:r>
      <w:r>
        <w:rPr>
          <w:rStyle w:val="22"/>
          <w:rFonts w:hint="eastAsia" w:ascii="仿宋" w:hAnsi="仿宋" w:eastAsia="仿宋" w:cs="仿宋"/>
          <w:color w:val="auto"/>
          <w:sz w:val="28"/>
          <w:szCs w:val="28"/>
          <w:highlight w:val="none"/>
        </w:rPr>
        <w:fldChar w:fldCharType="end"/>
      </w:r>
    </w:p>
    <w:p w14:paraId="2E97FF02">
      <w:pPr>
        <w:pStyle w:val="16"/>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"_Toc127462392"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第三部分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供应商须知</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1</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1</w:t>
      </w:r>
    </w:p>
    <w:p w14:paraId="466508A2">
      <w:pPr>
        <w:pStyle w:val="16"/>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"_Toc127462393"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第四部分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评审办法和评审标准</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2</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6</w:t>
      </w:r>
    </w:p>
    <w:p w14:paraId="05537D94">
      <w:pPr>
        <w:pStyle w:val="16"/>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"_Toc127462394"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第五部分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采购需求</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3</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4</w:t>
      </w:r>
    </w:p>
    <w:p w14:paraId="38AE6DFC">
      <w:pPr>
        <w:pStyle w:val="16"/>
        <w:tabs>
          <w:tab w:val="right" w:leader="dot" w:pos="9628"/>
        </w:tabs>
        <w:rPr>
          <w:rStyle w:val="22"/>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"_Toc127462395"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第六部分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合同条款</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3</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5</w:t>
      </w:r>
    </w:p>
    <w:p w14:paraId="48252549">
      <w:pPr>
        <w:pStyle w:val="16"/>
        <w:tabs>
          <w:tab w:val="right" w:leader="dot" w:pos="9628"/>
        </w:tabs>
        <w:rPr>
          <w:rStyle w:val="22"/>
          <w:rFonts w:hint="eastAsia"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"_Toc127462396" </w:instrText>
      </w:r>
      <w:r>
        <w:rPr>
          <w:rFonts w:hint="eastAsia" w:ascii="仿宋" w:hAnsi="仿宋" w:eastAsia="仿宋" w:cs="仿宋"/>
          <w:color w:val="auto"/>
          <w:highlight w:val="none"/>
        </w:rPr>
        <w:fldChar w:fldCharType="separate"/>
      </w:r>
      <w:r>
        <w:rPr>
          <w:rStyle w:val="22"/>
          <w:rFonts w:hint="eastAsia" w:ascii="仿宋" w:hAnsi="仿宋" w:eastAsia="仿宋" w:cs="仿宋"/>
          <w:b w:val="0"/>
          <w:color w:val="auto"/>
          <w:sz w:val="28"/>
          <w:szCs w:val="28"/>
          <w:highlight w:val="none"/>
        </w:rPr>
        <w:t>第七部分</w:t>
      </w:r>
      <w:r>
        <w:rPr>
          <w:rStyle w:val="22"/>
          <w:rFonts w:hint="eastAsia" w:ascii="仿宋" w:hAnsi="仿宋" w:eastAsia="仿宋" w:cs="仿宋"/>
          <w:b w:val="0"/>
          <w:color w:val="auto"/>
          <w:sz w:val="28"/>
          <w:szCs w:val="28"/>
          <w:highlight w:val="none"/>
          <w:lang w:val="en-US" w:eastAsia="zh-CN"/>
        </w:rPr>
        <w:t xml:space="preserve"> </w:t>
      </w:r>
      <w:r>
        <w:rPr>
          <w:rStyle w:val="22"/>
          <w:rFonts w:hint="eastAsia" w:ascii="仿宋" w:hAnsi="仿宋" w:eastAsia="仿宋" w:cs="仿宋"/>
          <w:b w:val="0"/>
          <w:color w:val="auto"/>
          <w:sz w:val="28"/>
          <w:szCs w:val="28"/>
          <w:highlight w:val="none"/>
        </w:rPr>
        <w:t>响应文件格式</w:t>
      </w:r>
      <w:r>
        <w:rPr>
          <w:rStyle w:val="22"/>
          <w:rFonts w:hint="eastAsia" w:ascii="仿宋" w:hAnsi="仿宋" w:eastAsia="仿宋" w:cs="仿宋"/>
          <w:color w:val="auto"/>
          <w:sz w:val="28"/>
          <w:szCs w:val="28"/>
          <w:highlight w:val="none"/>
        </w:rPr>
        <w:tab/>
      </w:r>
      <w:r>
        <w:rPr>
          <w:rStyle w:val="22"/>
          <w:rFonts w:hint="eastAsia" w:ascii="仿宋" w:hAnsi="仿宋" w:eastAsia="仿宋" w:cs="仿宋"/>
          <w:color w:val="auto"/>
          <w:sz w:val="28"/>
          <w:szCs w:val="28"/>
          <w:highlight w:val="none"/>
          <w:lang w:val="en-US" w:eastAsia="zh-CN"/>
        </w:rPr>
        <w:t>3</w:t>
      </w:r>
      <w:r>
        <w:rPr>
          <w:rStyle w:val="22"/>
          <w:rFonts w:hint="eastAsia" w:ascii="仿宋" w:hAnsi="仿宋" w:eastAsia="仿宋" w:cs="仿宋"/>
          <w:color w:val="auto"/>
          <w:sz w:val="28"/>
          <w:szCs w:val="28"/>
          <w:highlight w:val="none"/>
        </w:rPr>
        <w:fldChar w:fldCharType="end"/>
      </w:r>
      <w:r>
        <w:rPr>
          <w:rStyle w:val="22"/>
          <w:rFonts w:hint="eastAsia" w:ascii="仿宋" w:hAnsi="仿宋" w:eastAsia="仿宋" w:cs="仿宋"/>
          <w:color w:val="auto"/>
          <w:sz w:val="28"/>
          <w:szCs w:val="28"/>
          <w:highlight w:val="none"/>
          <w:lang w:val="en-US" w:eastAsia="zh-CN"/>
        </w:rPr>
        <w:t>9</w:t>
      </w:r>
    </w:p>
    <w:p w14:paraId="5135793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Style w:val="22"/>
          <w:rFonts w:hint="eastAsia" w:ascii="仿宋" w:hAnsi="仿宋" w:eastAsia="仿宋" w:cs="仿宋"/>
          <w:color w:val="auto"/>
          <w:sz w:val="30"/>
          <w:szCs w:val="30"/>
          <w:highlight w:val="none"/>
        </w:rPr>
        <w:fldChar w:fldCharType="end"/>
      </w:r>
      <w:bookmarkStart w:id="56" w:name="_GoBack"/>
      <w:bookmarkEnd w:id="56"/>
    </w:p>
    <w:p w14:paraId="10751D7E">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37964B62">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6F874FF5">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7D542DAC">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42B6B2B1">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5FE82A60">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3182D67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188E1EB7">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56C1D956">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08FE13E1">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4C5E2352">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78239D24">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6753E003">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sectPr>
          <w:headerReference r:id="rId7" w:type="default"/>
          <w:footerReference r:id="rId8" w:type="default"/>
          <w:pgSz w:w="11907" w:h="16840"/>
          <w:pgMar w:top="1134" w:right="1134" w:bottom="1134" w:left="1423" w:header="0" w:footer="1134" w:gutter="0"/>
          <w:pgNumType w:start="1"/>
          <w:cols w:space="720" w:num="1"/>
        </w:sectPr>
      </w:pPr>
    </w:p>
    <w:p w14:paraId="23B3D9F8">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磋商公告</w:t>
      </w:r>
    </w:p>
    <w:p w14:paraId="60F9722F">
      <w:pPr>
        <w:pStyle w:val="26"/>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sz w:val="24"/>
          <w:highlight w:val="none"/>
        </w:rPr>
      </w:pPr>
      <w:bookmarkStart w:id="0" w:name="EBbcab609e0bf6445cb7952b8c7da88b0a"/>
      <w:r>
        <w:rPr>
          <w:rFonts w:hint="eastAsia" w:ascii="仿宋" w:hAnsi="仿宋" w:eastAsia="仿宋" w:cs="仿宋"/>
          <w:color w:val="auto"/>
          <w:sz w:val="24"/>
          <w:highlight w:val="none"/>
        </w:rPr>
        <w:t>项目概况</w:t>
      </w:r>
    </w:p>
    <w:p w14:paraId="52328BD1">
      <w:pPr>
        <w:pStyle w:val="26"/>
        <w:pBdr>
          <w:top w:val="single" w:color="auto" w:sz="4" w:space="0"/>
          <w:left w:val="single" w:color="auto" w:sz="4" w:space="0"/>
          <w:bottom w:val="single" w:color="auto" w:sz="4" w:space="0"/>
          <w:right w:val="single" w:color="auto" w:sz="4" w:space="0"/>
        </w:pBdr>
        <w:snapToGrid w:val="0"/>
        <w:spacing w:line="312" w:lineRule="auto"/>
        <w:ind w:firstLine="720" w:firstLineChars="300"/>
        <w:jc w:val="left"/>
        <w:rPr>
          <w:rFonts w:hint="eastAsia" w:ascii="仿宋" w:hAnsi="仿宋" w:eastAsia="仿宋" w:cs="仿宋"/>
          <w:color w:val="auto"/>
          <w:highlight w:val="none"/>
        </w:rPr>
      </w:pPr>
      <w:r>
        <w:rPr>
          <w:rFonts w:hint="eastAsia" w:ascii="仿宋" w:hAnsi="仿宋" w:eastAsia="仿宋" w:cs="仿宋"/>
          <w:color w:val="auto"/>
          <w:sz w:val="24"/>
          <w:highlight w:val="none"/>
          <w:u w:val="single"/>
          <w:lang w:eastAsia="zh-CN"/>
        </w:rPr>
        <w:t>2026年自治区危险化学品风险监测预警系统运维服务项目</w:t>
      </w:r>
      <w:r>
        <w:rPr>
          <w:rFonts w:hint="eastAsia" w:ascii="仿宋" w:hAnsi="仿宋" w:eastAsia="仿宋" w:cs="仿宋"/>
          <w:color w:val="auto"/>
          <w:sz w:val="24"/>
          <w:highlight w:val="none"/>
        </w:rPr>
        <w:t>的潜在供应商应在政采云平台获取采购文件，并于202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时00分（北京时间）前提交响应文件。</w:t>
      </w:r>
    </w:p>
    <w:bookmarkEnd w:id="0"/>
    <w:p w14:paraId="0D9A9693">
      <w:pPr>
        <w:keepNext w:val="0"/>
        <w:keepLines w:val="0"/>
        <w:pageBreakBefore w:val="0"/>
        <w:kinsoku/>
        <w:wordWrap/>
        <w:overflowPunct/>
        <w:topLinePunct w:val="0"/>
        <w:autoSpaceDE/>
        <w:autoSpaceDN/>
        <w:bidi w:val="0"/>
        <w:spacing w:after="0" w:line="360" w:lineRule="auto"/>
        <w:ind w:left="0" w:leftChars="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1BAFE562">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XZJ26S-027-ZC</w:t>
      </w:r>
    </w:p>
    <w:p w14:paraId="5566A8BF">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2026年自治区危险化学品风险监测预警系统运维服务项目</w:t>
      </w:r>
    </w:p>
    <w:p w14:paraId="0B494FFE">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075AD3F1">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lang w:val="en-US" w:eastAsia="zh-CN"/>
        </w:rPr>
        <w:t>81.40</w:t>
      </w:r>
    </w:p>
    <w:p w14:paraId="3D68849F">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最高限价（万元）：</w:t>
      </w:r>
      <w:r>
        <w:rPr>
          <w:rFonts w:hint="eastAsia" w:ascii="仿宋" w:hAnsi="仿宋" w:eastAsia="仿宋" w:cs="仿宋"/>
          <w:color w:val="auto"/>
          <w:sz w:val="24"/>
          <w:highlight w:val="none"/>
          <w:lang w:val="en-US" w:eastAsia="zh-CN"/>
        </w:rPr>
        <w:t>81.40</w:t>
      </w:r>
    </w:p>
    <w:p w14:paraId="56632C1D">
      <w:pPr>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705AA089">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14:paraId="7E4E93EC">
      <w:pPr>
        <w:keepNext w:val="0"/>
        <w:keepLines w:val="0"/>
        <w:pageBreakBefore w:val="0"/>
        <w:widowControl/>
        <w:shd w:val="clear" w:color="auto" w:fill="FFFFFF"/>
        <w:kinsoku/>
        <w:wordWrap/>
        <w:overflowPunct/>
        <w:topLinePunct w:val="0"/>
        <w:autoSpaceDE/>
        <w:autoSpaceDN/>
        <w:bidi w:val="0"/>
        <w:spacing w:after="0" w:line="360" w:lineRule="auto"/>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预算金额（万元）：</w:t>
      </w:r>
      <w:r>
        <w:rPr>
          <w:rFonts w:hint="eastAsia" w:ascii="仿宋" w:hAnsi="仿宋" w:eastAsia="仿宋" w:cs="仿宋"/>
          <w:color w:val="auto"/>
          <w:sz w:val="24"/>
          <w:highlight w:val="none"/>
          <w:lang w:val="en-US" w:eastAsia="zh-CN"/>
        </w:rPr>
        <w:t>81.40</w:t>
      </w:r>
    </w:p>
    <w:p w14:paraId="16399D4A">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w:t>
      </w:r>
      <w:bookmarkStart w:id="1" w:name="_Hlk195958596"/>
      <w:r>
        <w:rPr>
          <w:rFonts w:hint="eastAsia" w:ascii="仿宋" w:hAnsi="仿宋" w:eastAsia="仿宋" w:cs="仿宋"/>
          <w:color w:val="auto"/>
          <w:sz w:val="24"/>
          <w:highlight w:val="none"/>
          <w:lang w:val="en-US" w:eastAsia="zh-CN"/>
        </w:rPr>
        <w:t>针对已经建设的自治区危险化学品安全生产风险监测预警系统及其各功能模块开展运维服务</w:t>
      </w:r>
      <w:r>
        <w:rPr>
          <w:rFonts w:hint="eastAsia" w:ascii="仿宋" w:hAnsi="仿宋" w:eastAsia="仿宋" w:cs="仿宋"/>
          <w:color w:val="auto"/>
          <w:sz w:val="24"/>
          <w:highlight w:val="none"/>
        </w:rPr>
        <w:t>，</w:t>
      </w:r>
      <w:bookmarkEnd w:id="1"/>
      <w:r>
        <w:rPr>
          <w:rFonts w:hint="eastAsia" w:ascii="仿宋" w:hAnsi="仿宋" w:eastAsia="仿宋" w:cs="仿宋"/>
          <w:color w:val="auto"/>
          <w:sz w:val="24"/>
          <w:highlight w:val="none"/>
        </w:rPr>
        <w:t>具体内容详见本项目磋商文件第五部分《采购需求》。</w:t>
      </w:r>
    </w:p>
    <w:p w14:paraId="4D328E1B">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1D1CA54">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合同履约期限：自合同签订起12个月</w:t>
      </w:r>
      <w:r>
        <w:rPr>
          <w:rFonts w:hint="eastAsia" w:ascii="仿宋" w:hAnsi="仿宋" w:eastAsia="仿宋" w:cs="仿宋"/>
          <w:color w:val="auto"/>
          <w:sz w:val="24"/>
          <w:highlight w:val="none"/>
          <w:lang w:val="en-US" w:eastAsia="zh-CN"/>
        </w:rPr>
        <w:t xml:space="preserve">。 </w:t>
      </w:r>
    </w:p>
    <w:p w14:paraId="34A687AE">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14:paraId="4FD2E985">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3E33E9F4">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2BC9C6A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bookmarkStart w:id="2" w:name="_Toc28359081"/>
      <w:bookmarkStart w:id="3" w:name="_Toc28359004"/>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rPr>
        <w:t>《政府采购促进中小企业发展管理办法》（财库[2020]46号文）、《关于进一步加大政府采购支持中小企业力度的通知》（财库〔2022〕19号）、《关于落实好政府采购支持中小企业发展的通知》（新财购〔2022〕22号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规定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highlight w:val="none"/>
        </w:rPr>
        <w:t>本项目专门面向中小企业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含：中型企业、小型企业、微型企业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w:t>
      </w:r>
    </w:p>
    <w:p w14:paraId="5B222DAA">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bookmarkEnd w:id="2"/>
      <w:bookmarkEnd w:id="3"/>
      <w:r>
        <w:rPr>
          <w:rFonts w:hint="eastAsia" w:ascii="仿宋" w:hAnsi="仿宋" w:eastAsia="仿宋" w:cs="仿宋"/>
          <w:color w:val="auto"/>
          <w:sz w:val="24"/>
          <w:highlight w:val="none"/>
          <w:lang w:eastAsia="zh-CN"/>
        </w:rPr>
        <w:t>无</w:t>
      </w:r>
    </w:p>
    <w:p w14:paraId="1E7059A3">
      <w:pPr>
        <w:keepNext w:val="0"/>
        <w:keepLines w:val="0"/>
        <w:pageBreakBefore w:val="0"/>
        <w:widowControl/>
        <w:shd w:val="clear" w:color="auto" w:fill="FFFFFF"/>
        <w:kinsoku/>
        <w:wordWrap/>
        <w:overflowPunct/>
        <w:topLinePunct w:val="0"/>
        <w:autoSpaceDE/>
        <w:autoSpaceDN/>
        <w:bidi w:val="0"/>
        <w:spacing w:after="0" w:line="360" w:lineRule="auto"/>
        <w:ind w:left="0" w:leftChars="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三、获取采购文件</w:t>
      </w:r>
    </w:p>
    <w:p w14:paraId="1BDFF0C9">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日每天上午00:00至</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:00，下午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:00至23:59（北京时间，法定节假日除外）</w:t>
      </w:r>
    </w:p>
    <w:p w14:paraId="2B82A75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bookmarkStart w:id="4" w:name="_Toc28359005"/>
      <w:bookmarkStart w:id="5" w:name="_Toc28359082"/>
      <w:bookmarkStart w:id="6" w:name="_Toc35393624"/>
      <w:bookmarkStart w:id="7" w:name="_Toc35393793"/>
      <w:r>
        <w:rPr>
          <w:rFonts w:hint="eastAsia" w:ascii="仿宋" w:hAnsi="仿宋" w:eastAsia="仿宋" w:cs="仿宋"/>
          <w:color w:val="auto"/>
          <w:sz w:val="24"/>
          <w:highlight w:val="none"/>
        </w:rPr>
        <w:t>政采云平台</w:t>
      </w:r>
    </w:p>
    <w:p w14:paraId="77641A75">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方式：供应商登陆政采云平台https://www.zcygov.cn/进入“项目采购”栏目，在获取招标文件菜单中选择所要投标的项目，申请获取招标文件。线下获取无效。</w:t>
      </w:r>
    </w:p>
    <w:p w14:paraId="7FD9BF26">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w:t>
      </w:r>
    </w:p>
    <w:p w14:paraId="4E0FBF42">
      <w:pPr>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4"/>
      <w:bookmarkEnd w:id="5"/>
      <w:r>
        <w:rPr>
          <w:rFonts w:hint="eastAsia" w:ascii="仿宋" w:hAnsi="仿宋" w:eastAsia="仿宋" w:cs="仿宋"/>
          <w:b/>
          <w:bCs/>
          <w:color w:val="auto"/>
          <w:sz w:val="24"/>
          <w:highlight w:val="none"/>
        </w:rPr>
        <w:t>截止时间、开标时间和地点</w:t>
      </w:r>
      <w:bookmarkEnd w:id="6"/>
      <w:bookmarkEnd w:id="7"/>
    </w:p>
    <w:p w14:paraId="7D9885F1">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点00分（北京时间）</w:t>
      </w:r>
    </w:p>
    <w:p w14:paraId="0D95E3C4">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投标地点：政采云平台（https://www.zcygov.cn/），本项目采用不见面开标，加密的电子投标文件在投标截止时间前通过CA在政采云平台上传。</w:t>
      </w:r>
    </w:p>
    <w:p w14:paraId="36208BFC">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点00分（北京时间）</w:t>
      </w:r>
    </w:p>
    <w:p w14:paraId="43AE4DE1">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8" w:name="_Toc28359084"/>
      <w:bookmarkStart w:id="9" w:name="_Toc35393625"/>
      <w:bookmarkStart w:id="10" w:name="_Toc35393794"/>
      <w:bookmarkStart w:id="11" w:name="_Toc28359007"/>
      <w:r>
        <w:rPr>
          <w:rFonts w:hint="eastAsia" w:ascii="仿宋" w:hAnsi="仿宋" w:eastAsia="仿宋" w:cs="仿宋"/>
          <w:color w:val="auto"/>
          <w:sz w:val="24"/>
          <w:highlight w:val="none"/>
        </w:rPr>
        <w:t>政采云平台（https://www.zcygov.cn/）</w:t>
      </w:r>
    </w:p>
    <w:p w14:paraId="1B5E64A7">
      <w:pPr>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8"/>
      <w:bookmarkEnd w:id="9"/>
      <w:bookmarkEnd w:id="10"/>
      <w:bookmarkEnd w:id="11"/>
    </w:p>
    <w:p w14:paraId="73BD4E5A">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5FB4D153">
      <w:pPr>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仿宋" w:hAnsi="仿宋" w:eastAsia="仿宋" w:cs="仿宋"/>
          <w:b/>
          <w:bCs/>
          <w:color w:val="auto"/>
          <w:sz w:val="24"/>
          <w:highlight w:val="none"/>
        </w:rPr>
      </w:pPr>
      <w:bookmarkStart w:id="12" w:name="_Toc35393626"/>
      <w:bookmarkStart w:id="13" w:name="_Toc35393795"/>
      <w:r>
        <w:rPr>
          <w:rFonts w:hint="eastAsia" w:ascii="仿宋" w:hAnsi="仿宋" w:eastAsia="仿宋" w:cs="仿宋"/>
          <w:b/>
          <w:bCs/>
          <w:color w:val="auto"/>
          <w:sz w:val="24"/>
          <w:highlight w:val="none"/>
        </w:rPr>
        <w:t>六、其他补充事宜</w:t>
      </w:r>
      <w:bookmarkEnd w:id="12"/>
      <w:bookmarkEnd w:id="13"/>
    </w:p>
    <w:p w14:paraId="78592CA0">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bookmarkStart w:id="14" w:name="_Toc28359085"/>
      <w:bookmarkStart w:id="15" w:name="_Toc35393627"/>
      <w:bookmarkStart w:id="16" w:name="_Toc28359008"/>
      <w:bookmarkStart w:id="17" w:name="_Toc35393796"/>
      <w:r>
        <w:rPr>
          <w:rFonts w:hint="eastAsia" w:ascii="仿宋" w:hAnsi="仿宋" w:eastAsia="仿宋" w:cs="仿宋"/>
          <w:color w:val="auto"/>
          <w:sz w:val="24"/>
          <w:highlight w:val="none"/>
        </w:rPr>
        <w:t>1.供应商不得存在下列情形：</w:t>
      </w:r>
    </w:p>
    <w:p w14:paraId="6BE91200">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与其他供应商的法定代表人（或者负责人）为同一人；或者与其他供应商存在控股、管理关系；为采购项目提供整体设计、规范编制或者项目管理、监理、检测等服务的供应商，不得再参加本项目的采购活动。</w:t>
      </w:r>
    </w:p>
    <w:p w14:paraId="19102FF1">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616D4D0E">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3.本项目实行电子招投标，供应商须登录政采云平台申请获取招标文件，并通过政采云电子投标客户端制作投标文件，同时自行承担与投标有关的一切费用。</w:t>
      </w:r>
    </w:p>
    <w:p w14:paraId="77C6DA2D">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4.各供应商应在开标前确保成为政采云平台供应商，并完成CA数字证书申领。因未注册入库、未办理CA数字证书等原因造成无法投标或投标失败等后果由供应商自行承担。</w:t>
      </w:r>
    </w:p>
    <w:p w14:paraId="687BF482">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w:t>
      </w:r>
      <w:r>
        <w:rPr>
          <w:rFonts w:hint="eastAsia" w:ascii="仿宋" w:hAnsi="仿宋" w:eastAsia="仿宋" w:cs="仿宋"/>
          <w:color w:val="auto"/>
          <w:sz w:val="24"/>
          <w:highlight w:val="none"/>
          <w:lang w:val="en-US" w:eastAsia="zh-CN"/>
        </w:rPr>
        <w:t>4000-921-999</w:t>
      </w:r>
      <w:r>
        <w:rPr>
          <w:rFonts w:hint="eastAsia" w:ascii="仿宋" w:hAnsi="仿宋" w:eastAsia="仿宋" w:cs="仿宋"/>
          <w:color w:val="auto"/>
          <w:sz w:val="24"/>
          <w:highlight w:val="none"/>
        </w:rPr>
        <w:t>。</w:t>
      </w:r>
    </w:p>
    <w:p w14:paraId="0708F7D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CAB86A8">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7.供应商在开标时须使用制作加密电子投标文件所使用的CA锁解密。供应商须提前配置好电脑浏览器，开标时使用制作加密电子投标文件的CA锁进行远程解密及报价确认，本项目投标文件解密时间定为</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分钟，如因供应商自身原因导致无法正常解密或确认，一切后果由供应商自行承担。</w:t>
      </w:r>
    </w:p>
    <w:p w14:paraId="27D31948">
      <w:pPr>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14"/>
      <w:bookmarkEnd w:id="15"/>
      <w:bookmarkEnd w:id="16"/>
      <w:bookmarkEnd w:id="17"/>
    </w:p>
    <w:p w14:paraId="3090D030">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1B0BB0E2">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称：新疆维吾尔自治区应急管理厅</w:t>
      </w:r>
    </w:p>
    <w:p w14:paraId="2BB8B413">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地址：乌鲁木齐市水磨沟区六道湾路59号</w:t>
      </w:r>
    </w:p>
    <w:p w14:paraId="5D4A0171">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联系人及联系方式：</w:t>
      </w:r>
      <w:bookmarkStart w:id="18" w:name="_Toc28359086"/>
      <w:bookmarkStart w:id="19" w:name="_Toc28359009"/>
      <w:r>
        <w:rPr>
          <w:rFonts w:hint="eastAsia" w:ascii="仿宋" w:hAnsi="仿宋" w:eastAsia="仿宋" w:cs="仿宋"/>
          <w:color w:val="auto"/>
          <w:sz w:val="24"/>
          <w:highlight w:val="none"/>
          <w:lang w:val="en-US" w:eastAsia="zh-CN"/>
        </w:rPr>
        <w:t>禅冲，0991-5093145</w:t>
      </w:r>
    </w:p>
    <w:p w14:paraId="37D1EDD3">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18"/>
      <w:bookmarkEnd w:id="19"/>
    </w:p>
    <w:p w14:paraId="7CEE48CC">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称：新疆新之建工程咨询有限公司</w:t>
      </w:r>
    </w:p>
    <w:p w14:paraId="3D50D483">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地址：新疆乌鲁木齐市沙依巴克区克拉玛依西路618号亚欣国际酒店5楼</w:t>
      </w:r>
    </w:p>
    <w:p w14:paraId="753962E7">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20" w:name="_Toc28359010"/>
      <w:bookmarkStart w:id="21" w:name="_Toc28359087"/>
      <w:r>
        <w:rPr>
          <w:rFonts w:hint="eastAsia" w:ascii="仿宋" w:hAnsi="仿宋" w:eastAsia="仿宋" w:cs="仿宋"/>
          <w:color w:val="auto"/>
          <w:sz w:val="24"/>
          <w:highlight w:val="none"/>
        </w:rPr>
        <w:t>0991-4321218</w:t>
      </w:r>
    </w:p>
    <w:p w14:paraId="065FD2EC">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20"/>
      <w:bookmarkEnd w:id="21"/>
    </w:p>
    <w:p w14:paraId="37C30ED3">
      <w:pPr>
        <w:pStyle w:val="11"/>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项目联系人：李家成、王涛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曹晓云、杨海波</w:t>
      </w:r>
    </w:p>
    <w:p w14:paraId="418A8F1D">
      <w:pPr>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话：0991-4321218、15292642002</w:t>
      </w:r>
    </w:p>
    <w:p w14:paraId="5534D015">
      <w:pPr>
        <w:widowControl/>
        <w:shd w:val="clear" w:color="auto" w:fill="FFFFFF"/>
        <w:tabs>
          <w:tab w:val="center" w:pos="4819"/>
        </w:tabs>
        <w:spacing w:line="400" w:lineRule="exact"/>
        <w:ind w:firstLine="480" w:firstLineChars="200"/>
        <w:rPr>
          <w:rFonts w:hint="eastAsia" w:ascii="仿宋" w:hAnsi="仿宋" w:eastAsia="仿宋" w:cs="仿宋"/>
          <w:color w:val="auto"/>
          <w:sz w:val="28"/>
          <w:highlight w:val="none"/>
        </w:rPr>
      </w:pPr>
      <w:r>
        <w:rPr>
          <w:rFonts w:hint="eastAsia" w:ascii="仿宋" w:hAnsi="仿宋" w:eastAsia="仿宋" w:cs="仿宋"/>
          <w:color w:val="auto"/>
          <w:sz w:val="24"/>
          <w:highlight w:val="none"/>
        </w:rPr>
        <w:tab/>
      </w:r>
    </w:p>
    <w:p w14:paraId="0E0851CB">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22" w:name="_Toc127462391"/>
      <w:r>
        <w:rPr>
          <w:rFonts w:hint="eastAsia" w:ascii="仿宋" w:hAnsi="仿宋" w:eastAsia="仿宋" w:cs="仿宋"/>
          <w:b/>
          <w:color w:val="auto"/>
          <w:sz w:val="32"/>
          <w:szCs w:val="32"/>
          <w:highlight w:val="none"/>
        </w:rPr>
        <w:t>第二部分  供应商须知前附表</w:t>
      </w:r>
      <w:bookmarkEnd w:id="22"/>
    </w:p>
    <w:tbl>
      <w:tblPr>
        <w:tblStyle w:val="19"/>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14:paraId="52632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651953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项号</w:t>
            </w:r>
          </w:p>
        </w:tc>
        <w:tc>
          <w:tcPr>
            <w:tcW w:w="1993" w:type="dxa"/>
            <w:vAlign w:val="center"/>
          </w:tcPr>
          <w:p w14:paraId="07D0C6DF">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内  容</w:t>
            </w:r>
          </w:p>
        </w:tc>
        <w:tc>
          <w:tcPr>
            <w:tcW w:w="7218" w:type="dxa"/>
            <w:vAlign w:val="center"/>
          </w:tcPr>
          <w:p w14:paraId="3258F0CF">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说明及要求</w:t>
            </w:r>
          </w:p>
        </w:tc>
      </w:tr>
      <w:tr w14:paraId="4CC03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vAlign w:val="center"/>
          </w:tcPr>
          <w:p w14:paraId="1E73787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１</w:t>
            </w:r>
          </w:p>
        </w:tc>
        <w:tc>
          <w:tcPr>
            <w:tcW w:w="1993" w:type="dxa"/>
            <w:vAlign w:val="center"/>
          </w:tcPr>
          <w:p w14:paraId="2B098903">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项目名称</w:t>
            </w:r>
          </w:p>
        </w:tc>
        <w:tc>
          <w:tcPr>
            <w:tcW w:w="7218" w:type="dxa"/>
            <w:vAlign w:val="center"/>
          </w:tcPr>
          <w:p w14:paraId="61784B9A">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spacing w:val="-4"/>
                <w:kern w:val="0"/>
                <w:sz w:val="24"/>
                <w:szCs w:val="24"/>
                <w:highlight w:val="none"/>
                <w:lang w:eastAsia="zh-CN"/>
              </w:rPr>
            </w:pPr>
            <w:r>
              <w:rPr>
                <w:rFonts w:hint="eastAsia" w:ascii="仿宋" w:hAnsi="仿宋" w:eastAsia="仿宋" w:cs="仿宋"/>
                <w:bCs/>
                <w:color w:val="auto"/>
                <w:spacing w:val="-4"/>
                <w:kern w:val="0"/>
                <w:sz w:val="24"/>
                <w:szCs w:val="24"/>
                <w:highlight w:val="none"/>
                <w:lang w:eastAsia="zh-CN"/>
              </w:rPr>
              <w:t>2026年自治区危险化学品风险监测预警系统运维服务项目</w:t>
            </w:r>
          </w:p>
        </w:tc>
      </w:tr>
      <w:tr w14:paraId="74E9A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27B1BE4">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3E4FB5B3">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项目编号</w:t>
            </w:r>
          </w:p>
        </w:tc>
        <w:tc>
          <w:tcPr>
            <w:tcW w:w="7218" w:type="dxa"/>
            <w:vAlign w:val="center"/>
          </w:tcPr>
          <w:p w14:paraId="472E841D">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XZJ26S-027-ZC</w:t>
            </w:r>
          </w:p>
        </w:tc>
      </w:tr>
      <w:tr w14:paraId="09F0C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B7D2FA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092FCE0A">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218" w:type="dxa"/>
            <w:vAlign w:val="center"/>
          </w:tcPr>
          <w:p w14:paraId="1B7118CD">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新疆维吾尔自治区应急管理厅 </w:t>
            </w:r>
          </w:p>
        </w:tc>
      </w:tr>
      <w:tr w14:paraId="5A62E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C28DAC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528405AF">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采购方式</w:t>
            </w:r>
          </w:p>
        </w:tc>
        <w:tc>
          <w:tcPr>
            <w:tcW w:w="7218" w:type="dxa"/>
            <w:vAlign w:val="center"/>
          </w:tcPr>
          <w:p w14:paraId="5042036A">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竞争性磋商</w:t>
            </w:r>
          </w:p>
        </w:tc>
      </w:tr>
      <w:tr w14:paraId="7AE42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33D41D5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2A9D6673">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资金来源</w:t>
            </w:r>
          </w:p>
        </w:tc>
        <w:tc>
          <w:tcPr>
            <w:tcW w:w="7218" w:type="dxa"/>
            <w:vAlign w:val="center"/>
          </w:tcPr>
          <w:p w14:paraId="046251E0">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财政资金</w:t>
            </w:r>
          </w:p>
        </w:tc>
      </w:tr>
      <w:tr w14:paraId="4BCFA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41B5BAC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4DCC7E57">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资格审查方式</w:t>
            </w:r>
          </w:p>
        </w:tc>
        <w:tc>
          <w:tcPr>
            <w:tcW w:w="7218" w:type="dxa"/>
            <w:vAlign w:val="center"/>
          </w:tcPr>
          <w:p w14:paraId="7176BC9B">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资格后审</w:t>
            </w:r>
          </w:p>
        </w:tc>
      </w:tr>
      <w:tr w14:paraId="44892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6DC9C2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993" w:type="dxa"/>
            <w:vAlign w:val="center"/>
          </w:tcPr>
          <w:p w14:paraId="425565EA">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磋商内容</w:t>
            </w:r>
          </w:p>
        </w:tc>
        <w:tc>
          <w:tcPr>
            <w:tcW w:w="7218" w:type="dxa"/>
            <w:vAlign w:val="center"/>
          </w:tcPr>
          <w:p w14:paraId="1C4672DC">
            <w:pPr>
              <w:keepNext w:val="0"/>
              <w:keepLines w:val="0"/>
              <w:pageBreakBefore w:val="0"/>
              <w:widowControl/>
              <w:shd w:val="clear" w:color="auto" w:fill="FFFFFF"/>
              <w:kinsoku/>
              <w:wordWrap/>
              <w:overflowPunct/>
              <w:topLinePunct w:val="0"/>
              <w:autoSpaceDE/>
              <w:autoSpaceDN/>
              <w:bidi w:val="0"/>
              <w:adjustRightInd/>
              <w:snapToGrid/>
              <w:spacing w:after="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针对已经建设的自治区危险化学品安全生产风险监测预警系统及其各功能模块开展运维服务</w:t>
            </w:r>
            <w:r>
              <w:rPr>
                <w:rFonts w:hint="eastAsia" w:ascii="仿宋" w:hAnsi="仿宋" w:eastAsia="仿宋" w:cs="仿宋"/>
                <w:color w:val="auto"/>
                <w:sz w:val="24"/>
                <w:szCs w:val="24"/>
                <w:highlight w:val="none"/>
              </w:rPr>
              <w:t>，具体内容详见本项目磋商文件第五部分《采购需求》。</w:t>
            </w:r>
          </w:p>
        </w:tc>
      </w:tr>
      <w:tr w14:paraId="49015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712" w:type="dxa"/>
            <w:vAlign w:val="center"/>
          </w:tcPr>
          <w:p w14:paraId="52C8AE1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93" w:type="dxa"/>
            <w:vAlign w:val="center"/>
          </w:tcPr>
          <w:p w14:paraId="0B1DFDE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预算</w:t>
            </w:r>
            <w:r>
              <w:rPr>
                <w:rFonts w:hint="eastAsia" w:ascii="仿宋" w:hAnsi="仿宋" w:eastAsia="仿宋" w:cs="仿宋"/>
                <w:color w:val="auto"/>
                <w:sz w:val="24"/>
                <w:szCs w:val="24"/>
                <w:highlight w:val="none"/>
              </w:rPr>
              <w:t>及最高限价</w:t>
            </w:r>
            <w:r>
              <w:rPr>
                <w:rFonts w:hint="eastAsia" w:ascii="仿宋" w:hAnsi="仿宋" w:eastAsia="仿宋" w:cs="仿宋"/>
                <w:b/>
                <w:bCs/>
                <w:color w:val="auto"/>
                <w:sz w:val="24"/>
                <w:szCs w:val="24"/>
                <w:highlight w:val="none"/>
              </w:rPr>
              <w:t>（实质性条款）</w:t>
            </w:r>
          </w:p>
        </w:tc>
        <w:tc>
          <w:tcPr>
            <w:tcW w:w="7218" w:type="dxa"/>
            <w:vAlign w:val="center"/>
          </w:tcPr>
          <w:p w14:paraId="4FC49580">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预算（同最高限价）：</w:t>
            </w:r>
            <w:r>
              <w:rPr>
                <w:rFonts w:hint="eastAsia" w:ascii="仿宋" w:hAnsi="仿宋" w:eastAsia="仿宋" w:cs="仿宋"/>
                <w:bCs/>
                <w:color w:val="auto"/>
                <w:sz w:val="24"/>
                <w:szCs w:val="24"/>
                <w:highlight w:val="none"/>
                <w:lang w:val="en-US" w:eastAsia="zh-CN"/>
              </w:rPr>
              <w:t>81.40</w:t>
            </w:r>
            <w:r>
              <w:rPr>
                <w:rFonts w:hint="eastAsia" w:ascii="仿宋" w:hAnsi="仿宋" w:eastAsia="仿宋" w:cs="仿宋"/>
                <w:bCs/>
                <w:color w:val="auto"/>
                <w:sz w:val="24"/>
                <w:szCs w:val="24"/>
                <w:highlight w:val="none"/>
                <w:lang w:val="zh-CN"/>
              </w:rPr>
              <w:t>万元；</w:t>
            </w:r>
          </w:p>
          <w:p w14:paraId="24598FD5">
            <w:pPr>
              <w:pStyle w:val="11"/>
              <w:keepNext w:val="0"/>
              <w:keepLines w:val="0"/>
              <w:pageBreakBefore w:val="0"/>
              <w:widowControl w:val="0"/>
              <w:kinsoku/>
              <w:wordWrap/>
              <w:overflowPunct/>
              <w:topLinePunct w:val="0"/>
              <w:bidi w:val="0"/>
              <w:spacing w:after="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注1：投标供应商的投标报价不得</w:t>
            </w:r>
            <w:r>
              <w:rPr>
                <w:rFonts w:hint="eastAsia" w:ascii="仿宋" w:hAnsi="仿宋" w:eastAsia="仿宋" w:cs="仿宋"/>
                <w:b/>
                <w:color w:val="auto"/>
                <w:sz w:val="24"/>
                <w:szCs w:val="24"/>
                <w:highlight w:val="none"/>
              </w:rPr>
              <w:t>超出最高投标限价；且分项报价也不得超出各项目分项的限价（如有），否则其响应文件将被否决。</w:t>
            </w:r>
          </w:p>
          <w:p w14:paraId="1F5F1EAA">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注2：各位投标供应商须确保电子响应文件中的报价和政采云平台上填报的报价一致，否则将被视为有选择的报价，其投标将被否决。</w:t>
            </w:r>
          </w:p>
        </w:tc>
      </w:tr>
      <w:tr w14:paraId="00EB9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2" w:type="dxa"/>
            <w:vAlign w:val="center"/>
          </w:tcPr>
          <w:p w14:paraId="0683B0D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p>
        </w:tc>
        <w:tc>
          <w:tcPr>
            <w:tcW w:w="1993" w:type="dxa"/>
            <w:vAlign w:val="center"/>
          </w:tcPr>
          <w:p w14:paraId="04B2E556">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供应商资格</w:t>
            </w:r>
          </w:p>
        </w:tc>
        <w:tc>
          <w:tcPr>
            <w:tcW w:w="7218" w:type="dxa"/>
            <w:vAlign w:val="center"/>
          </w:tcPr>
          <w:p w14:paraId="56D19CF1">
            <w:pPr>
              <w:pStyle w:val="28"/>
              <w:keepNext w:val="0"/>
              <w:keepLines w:val="0"/>
              <w:pageBreakBefore w:val="0"/>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val="zh-CN"/>
              </w:rPr>
              <w:t>1.满足《中华人民共和国政府采购法》第二十二条规定；</w:t>
            </w:r>
          </w:p>
          <w:p w14:paraId="2108CC44">
            <w:pPr>
              <w:pStyle w:val="28"/>
              <w:keepNext w:val="0"/>
              <w:keepLines w:val="0"/>
              <w:pageBreakBefore w:val="0"/>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snapToGrid w:val="0"/>
                <w:color w:val="auto"/>
                <w:kern w:val="0"/>
                <w:sz w:val="24"/>
                <w:szCs w:val="24"/>
                <w:highlight w:val="none"/>
                <w:lang w:val="zh-CN" w:eastAsia="zh-CN"/>
              </w:rPr>
            </w:pPr>
            <w:r>
              <w:rPr>
                <w:rFonts w:hint="eastAsia" w:ascii="仿宋" w:hAnsi="仿宋" w:eastAsia="仿宋" w:cs="仿宋"/>
                <w:snapToGrid w:val="0"/>
                <w:color w:val="auto"/>
                <w:kern w:val="0"/>
                <w:sz w:val="24"/>
                <w:szCs w:val="24"/>
                <w:highlight w:val="none"/>
                <w:lang w:val="zh-CN"/>
              </w:rPr>
              <w:t>2.落实政府采购政策需满足的资格要求：</w:t>
            </w: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rPr>
              <w:t>《政府采购促进中小企业发展管理办法》（财库[2020]46号文）、《关于进一步加大政府采购支持中小企业力度的通知》（财库〔2022〕19号）、《关于落实好政府采购支持中小企业发展的通知》（新财购〔2022〕22号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规定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highlight w:val="none"/>
              </w:rPr>
              <w:t>本项目专门面向中小企业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含：中型企业、小型企业、微型企业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w:t>
            </w:r>
          </w:p>
          <w:p w14:paraId="5B0B9B30">
            <w:pPr>
              <w:pStyle w:val="28"/>
              <w:keepNext w:val="0"/>
              <w:keepLines w:val="0"/>
              <w:pageBreakBefore w:val="0"/>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zh-CN"/>
              </w:rPr>
              <w:t>3.本项目的特定资格要求：无</w:t>
            </w:r>
          </w:p>
          <w:p w14:paraId="1887AA99">
            <w:pPr>
              <w:pStyle w:val="28"/>
              <w:keepNext w:val="0"/>
              <w:keepLines w:val="0"/>
              <w:pageBreakBefore w:val="0"/>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val="zh-CN"/>
              </w:rPr>
              <w:t>4.供应商不得存在下列情形：</w:t>
            </w:r>
          </w:p>
          <w:p w14:paraId="76F81B08">
            <w:pPr>
              <w:pStyle w:val="28"/>
              <w:keepNext w:val="0"/>
              <w:keepLines w:val="0"/>
              <w:pageBreakBefore w:val="0"/>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snapToGrid w:val="0"/>
                <w:color w:val="auto"/>
                <w:kern w:val="0"/>
                <w:sz w:val="24"/>
                <w:szCs w:val="24"/>
                <w:highlight w:val="none"/>
                <w:lang w:val="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zh-CN"/>
              </w:rPr>
              <w:t>与其他供应商的法定代表人（或者负责人）为同一人；或者与其他供应商存在直接控股、管理关系的；</w:t>
            </w:r>
          </w:p>
          <w:p w14:paraId="0F516E3A">
            <w:pPr>
              <w:pStyle w:val="35"/>
              <w:keepNext w:val="0"/>
              <w:keepLines w:val="0"/>
              <w:pageBreakBefore w:val="0"/>
              <w:kinsoku/>
              <w:wordWrap/>
              <w:overflowPunct/>
              <w:topLinePunct w:val="0"/>
              <w:bidi w:val="0"/>
              <w:spacing w:after="0" w:line="400" w:lineRule="exact"/>
              <w:ind w:firstLine="0" w:firstLineChars="0"/>
              <w:textAlignment w:val="auto"/>
              <w:rPr>
                <w:rFonts w:hint="eastAsia"/>
                <w:highlight w:val="none"/>
                <w:lang w:val="zh-CN"/>
              </w:rPr>
            </w:pPr>
            <w:r>
              <w:rPr>
                <w:rFonts w:hint="eastAsia" w:ascii="仿宋" w:hAnsi="仿宋" w:eastAsia="仿宋" w:cs="仿宋"/>
                <w:snapToGrid w:val="0"/>
                <w:color w:val="auto"/>
                <w:kern w:val="0"/>
                <w:sz w:val="24"/>
                <w:szCs w:val="24"/>
                <w:highlight w:val="none"/>
                <w:lang w:val="zh-CN"/>
              </w:rPr>
              <w:t>（</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val="zh-CN"/>
              </w:rPr>
              <w:t>）</w:t>
            </w:r>
            <w:r>
              <w:rPr>
                <w:rFonts w:hint="eastAsia" w:ascii="仿宋" w:hAnsi="仿宋" w:eastAsia="仿宋" w:cs="仿宋"/>
                <w:snapToGrid w:val="0"/>
                <w:color w:val="auto"/>
                <w:kern w:val="0"/>
                <w:sz w:val="24"/>
                <w:szCs w:val="24"/>
                <w:highlight w:val="none"/>
                <w:lang w:val="zh-CN" w:eastAsia="zh-CN"/>
              </w:rPr>
              <w:t>供应商如在“信用中国”网站（www.creditchina.gov.cn）、中国政府采购网（www.ccgp.gov.cn）等渠道被列入重大税收违法失信主体、政府采购严重违法失信行为记录名单及其它不符合《中华人民共和国政府采购法》第二十二条规定条件的供应商，尚在处罚期内的将被拒绝参加本次磋商活动。</w:t>
            </w:r>
          </w:p>
          <w:p w14:paraId="0253F0E1">
            <w:pPr>
              <w:keepNext w:val="0"/>
              <w:keepLines w:val="0"/>
              <w:pageBreakBefore w:val="0"/>
              <w:widowControl/>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zh-CN"/>
              </w:rPr>
              <w:t>5.本项目不接受联合体投标、</w:t>
            </w:r>
            <w:r>
              <w:rPr>
                <w:rFonts w:hint="eastAsia" w:ascii="仿宋" w:hAnsi="仿宋" w:eastAsia="仿宋" w:cs="仿宋"/>
                <w:snapToGrid w:val="0"/>
                <w:color w:val="auto"/>
                <w:kern w:val="0"/>
                <w:sz w:val="24"/>
                <w:szCs w:val="24"/>
                <w:highlight w:val="none"/>
                <w:lang w:val="en-US" w:eastAsia="zh-CN"/>
              </w:rPr>
              <w:t>不得分包</w:t>
            </w:r>
            <w:r>
              <w:rPr>
                <w:rFonts w:hint="eastAsia" w:ascii="仿宋" w:hAnsi="仿宋" w:eastAsia="仿宋" w:cs="仿宋"/>
                <w:snapToGrid w:val="0"/>
                <w:color w:val="auto"/>
                <w:kern w:val="0"/>
                <w:sz w:val="24"/>
                <w:szCs w:val="24"/>
                <w:highlight w:val="none"/>
                <w:lang w:val="zh-CN"/>
              </w:rPr>
              <w:t>。</w:t>
            </w:r>
          </w:p>
        </w:tc>
      </w:tr>
      <w:tr w14:paraId="5EAB0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3D3DE22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993" w:type="dxa"/>
            <w:vAlign w:val="center"/>
          </w:tcPr>
          <w:p w14:paraId="0CBF11F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w:t>
            </w:r>
            <w:r>
              <w:rPr>
                <w:rFonts w:hint="eastAsia" w:ascii="仿宋" w:hAnsi="仿宋" w:eastAsia="仿宋" w:cs="仿宋"/>
                <w:bCs/>
                <w:color w:val="auto"/>
                <w:kern w:val="0"/>
                <w:sz w:val="24"/>
                <w:szCs w:val="24"/>
                <w:highlight w:val="none"/>
                <w:lang w:val="en-US" w:eastAsia="zh-CN"/>
              </w:rPr>
              <w:t>递交</w:t>
            </w:r>
            <w:r>
              <w:rPr>
                <w:rFonts w:hint="eastAsia" w:ascii="仿宋" w:hAnsi="仿宋" w:eastAsia="仿宋" w:cs="仿宋"/>
                <w:bCs/>
                <w:color w:val="auto"/>
                <w:kern w:val="0"/>
                <w:sz w:val="24"/>
                <w:szCs w:val="24"/>
                <w:highlight w:val="none"/>
              </w:rPr>
              <w:t>及组成</w:t>
            </w:r>
          </w:p>
        </w:tc>
        <w:tc>
          <w:tcPr>
            <w:tcW w:w="7218" w:type="dxa"/>
            <w:vAlign w:val="center"/>
          </w:tcPr>
          <w:p w14:paraId="27BF60F2">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5.1响应文件</w:t>
            </w:r>
            <w:r>
              <w:rPr>
                <w:rFonts w:hint="eastAsia" w:ascii="仿宋" w:hAnsi="仿宋" w:eastAsia="仿宋" w:cs="仿宋"/>
                <w:color w:val="auto"/>
                <w:kern w:val="0"/>
                <w:sz w:val="24"/>
                <w:szCs w:val="24"/>
                <w:highlight w:val="none"/>
                <w:lang w:val="en-US" w:eastAsia="zh-CN"/>
              </w:rPr>
              <w:t>递交</w:t>
            </w:r>
          </w:p>
          <w:p w14:paraId="79A11C41">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4CF7ECA9">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5.2响应文件组成</w:t>
            </w:r>
          </w:p>
          <w:p w14:paraId="1803C990">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5.2.1资格审查文件</w:t>
            </w:r>
          </w:p>
          <w:p w14:paraId="33A35CCC">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5.2.2商务技术响应文件</w:t>
            </w:r>
          </w:p>
        </w:tc>
      </w:tr>
      <w:tr w14:paraId="20134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1F3B05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993" w:type="dxa"/>
            <w:vAlign w:val="center"/>
          </w:tcPr>
          <w:p w14:paraId="739BAC2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响应文件递交截止时间</w:t>
            </w:r>
          </w:p>
        </w:tc>
        <w:tc>
          <w:tcPr>
            <w:tcW w:w="7218" w:type="dxa"/>
            <w:vAlign w:val="center"/>
          </w:tcPr>
          <w:p w14:paraId="196F05BB">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时00分（北京时间）</w:t>
            </w:r>
          </w:p>
        </w:tc>
      </w:tr>
      <w:tr w14:paraId="0CC4A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6292B3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1993" w:type="dxa"/>
            <w:vAlign w:val="center"/>
          </w:tcPr>
          <w:p w14:paraId="24A6DAC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磋商有效期限</w:t>
            </w:r>
            <w:r>
              <w:rPr>
                <w:rFonts w:hint="eastAsia" w:ascii="仿宋" w:hAnsi="仿宋" w:eastAsia="仿宋" w:cs="仿宋"/>
                <w:b/>
                <w:bCs/>
                <w:color w:val="auto"/>
                <w:sz w:val="24"/>
                <w:szCs w:val="24"/>
                <w:highlight w:val="none"/>
              </w:rPr>
              <w:t>（实质性条款）</w:t>
            </w:r>
          </w:p>
        </w:tc>
        <w:tc>
          <w:tcPr>
            <w:tcW w:w="7218" w:type="dxa"/>
            <w:vAlign w:val="center"/>
          </w:tcPr>
          <w:p w14:paraId="4919D127">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ind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磋商时间截止后</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90</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rPr>
              <w:t>天（日历日）</w:t>
            </w:r>
          </w:p>
        </w:tc>
      </w:tr>
      <w:tr w14:paraId="2E5D4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A79EDC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1993" w:type="dxa"/>
            <w:vAlign w:val="center"/>
          </w:tcPr>
          <w:p w14:paraId="113CF60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响应文件递交地点</w:t>
            </w:r>
          </w:p>
        </w:tc>
        <w:tc>
          <w:tcPr>
            <w:tcW w:w="7218" w:type="dxa"/>
            <w:vAlign w:val="center"/>
          </w:tcPr>
          <w:p w14:paraId="23E66776">
            <w:pPr>
              <w:keepNext w:val="0"/>
              <w:keepLines w:val="0"/>
              <w:pageBreakBefore w:val="0"/>
              <w:widowControl/>
              <w:shd w:val="clear" w:color="auto" w:fill="FFFFFF"/>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b w:val="0"/>
                <w:bCs w:val="0"/>
                <w:color w:val="auto"/>
                <w:spacing w:val="-10"/>
                <w:kern w:val="0"/>
                <w:sz w:val="24"/>
                <w:szCs w:val="24"/>
                <w:highlight w:val="none"/>
              </w:rPr>
            </w:pPr>
            <w:r>
              <w:rPr>
                <w:rFonts w:hint="eastAsia" w:ascii="仿宋" w:hAnsi="仿宋" w:eastAsia="仿宋" w:cs="仿宋"/>
                <w:b w:val="0"/>
                <w:bCs w:val="0"/>
                <w:color w:val="auto"/>
                <w:spacing w:val="-10"/>
                <w:kern w:val="0"/>
                <w:sz w:val="24"/>
                <w:szCs w:val="24"/>
                <w:highlight w:val="none"/>
              </w:rPr>
              <w:t>本项目采用不见面磋商，加密的电子响应文件在响应文件递交截止时间前通过CA在政采云平台上传。</w:t>
            </w:r>
          </w:p>
          <w:p w14:paraId="1C7BF319">
            <w:pPr>
              <w:keepNext w:val="0"/>
              <w:keepLines w:val="0"/>
              <w:pageBreakBefore w:val="0"/>
              <w:widowControl/>
              <w:shd w:val="clear" w:color="auto" w:fill="FFFFFF"/>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bCs/>
                <w:color w:val="auto"/>
                <w:spacing w:val="-10"/>
                <w:kern w:val="0"/>
                <w:sz w:val="24"/>
                <w:szCs w:val="24"/>
                <w:highlight w:val="none"/>
              </w:rPr>
            </w:pPr>
            <w:r>
              <w:rPr>
                <w:rFonts w:hint="eastAsia" w:ascii="仿宋" w:hAnsi="仿宋" w:eastAsia="仿宋" w:cs="仿宋"/>
                <w:bCs/>
                <w:color w:val="auto"/>
                <w:spacing w:val="-10"/>
                <w:kern w:val="0"/>
                <w:sz w:val="24"/>
                <w:szCs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1C337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487693E">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1993" w:type="dxa"/>
            <w:vAlign w:val="center"/>
          </w:tcPr>
          <w:p w14:paraId="233FE3C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磋商时间、磋商地点</w:t>
            </w:r>
          </w:p>
        </w:tc>
        <w:tc>
          <w:tcPr>
            <w:tcW w:w="7218" w:type="dxa"/>
            <w:vAlign w:val="center"/>
          </w:tcPr>
          <w:p w14:paraId="0E5FA3AA">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时00分（北京时间）</w:t>
            </w:r>
          </w:p>
          <w:p w14:paraId="5235ACA2">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磋商地点：</w:t>
            </w:r>
            <w:r>
              <w:rPr>
                <w:rFonts w:hint="eastAsia" w:ascii="仿宋" w:hAnsi="仿宋" w:eastAsia="仿宋" w:cs="仿宋"/>
                <w:color w:val="auto"/>
                <w:sz w:val="24"/>
                <w:szCs w:val="24"/>
                <w:highlight w:val="none"/>
              </w:rPr>
              <w:t>政采云开标大厅（</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Style w:val="22"/>
                <w:rFonts w:hint="eastAsia" w:ascii="仿宋" w:hAnsi="仿宋" w:eastAsia="仿宋" w:cs="仿宋"/>
                <w:color w:val="auto"/>
                <w:sz w:val="24"/>
                <w:szCs w:val="24"/>
                <w:highlight w:val="none"/>
              </w:rPr>
              <w:t>https://www.zcygov.cn</w:t>
            </w:r>
            <w:r>
              <w:rPr>
                <w:rStyle w:val="22"/>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7630A25F">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rPr>
              <w:t>本项目采用</w:t>
            </w:r>
            <w:r>
              <w:rPr>
                <w:rFonts w:hint="eastAsia" w:ascii="仿宋" w:hAnsi="仿宋" w:eastAsia="仿宋" w:cs="仿宋"/>
                <w:b/>
                <w:bCs/>
                <w:color w:val="auto"/>
                <w:kern w:val="0"/>
                <w:sz w:val="24"/>
                <w:szCs w:val="24"/>
                <w:highlight w:val="none"/>
                <w:u w:val="single"/>
              </w:rPr>
              <w:t xml:space="preserve">  不见面开标  </w:t>
            </w:r>
            <w:r>
              <w:rPr>
                <w:rFonts w:hint="eastAsia" w:ascii="仿宋" w:hAnsi="仿宋" w:eastAsia="仿宋" w:cs="仿宋"/>
                <w:b/>
                <w:bCs/>
                <w:color w:val="auto"/>
                <w:kern w:val="0"/>
                <w:sz w:val="24"/>
                <w:szCs w:val="24"/>
                <w:highlight w:val="none"/>
              </w:rPr>
              <w:t>，供应商解密时长：</w:t>
            </w:r>
            <w:r>
              <w:rPr>
                <w:rFonts w:hint="eastAsia" w:ascii="仿宋" w:hAnsi="仿宋" w:eastAsia="仿宋" w:cs="仿宋"/>
                <w:b/>
                <w:bCs/>
                <w:color w:val="auto"/>
                <w:kern w:val="0"/>
                <w:sz w:val="24"/>
                <w:szCs w:val="24"/>
                <w:highlight w:val="none"/>
                <w:u w:val="single"/>
                <w:lang w:val="en-US" w:eastAsia="zh-CN"/>
              </w:rPr>
              <w:t>35</w:t>
            </w:r>
            <w:r>
              <w:rPr>
                <w:rFonts w:hint="eastAsia" w:ascii="仿宋" w:hAnsi="仿宋" w:eastAsia="仿宋" w:cs="仿宋"/>
                <w:b/>
                <w:bCs/>
                <w:color w:val="auto"/>
                <w:kern w:val="0"/>
                <w:sz w:val="24"/>
                <w:szCs w:val="24"/>
                <w:highlight w:val="none"/>
                <w:u w:val="single"/>
              </w:rPr>
              <w:t>分钟</w:t>
            </w:r>
          </w:p>
          <w:p w14:paraId="211A784D">
            <w:pPr>
              <w:keepNext w:val="0"/>
              <w:keepLines w:val="0"/>
              <w:pageBreakBefore w:val="0"/>
              <w:widowControl/>
              <w:shd w:val="clear" w:color="auto" w:fill="FFFFFF"/>
              <w:kinsoku/>
              <w:wordWrap/>
              <w:overflowPunct/>
              <w:topLinePunct w:val="0"/>
              <w:bidi w:val="0"/>
              <w:adjustRightInd w:val="0"/>
              <w:snapToGrid w:val="0"/>
              <w:spacing w:after="0" w:line="400" w:lineRule="exact"/>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Cs/>
                <w:color w:val="auto"/>
                <w:kern w:val="0"/>
                <w:sz w:val="24"/>
                <w:szCs w:val="24"/>
                <w:highlight w:val="none"/>
              </w:rPr>
              <w:t>备注：</w:t>
            </w:r>
          </w:p>
          <w:p w14:paraId="2AA5EBC3">
            <w:pPr>
              <w:keepNext w:val="0"/>
              <w:keepLines w:val="0"/>
              <w:pageBreakBefore w:val="0"/>
              <w:widowControl/>
              <w:shd w:val="clear" w:color="auto" w:fill="FFFFFF"/>
              <w:kinsoku/>
              <w:wordWrap/>
              <w:overflowPunct/>
              <w:topLinePunct w:val="0"/>
              <w:bidi w:val="0"/>
              <w:adjustRightInd w:val="0"/>
              <w:snapToGrid w:val="0"/>
              <w:spacing w:after="0" w:line="400" w:lineRule="exact"/>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 w:val="0"/>
                <w:bCs/>
                <w:color w:val="auto"/>
                <w:kern w:val="0"/>
                <w:sz w:val="24"/>
                <w:szCs w:val="24"/>
                <w:highlight w:val="none"/>
              </w:rPr>
              <w:t>①供应商开标时须使用制作加密电子响应文件所用的CA锁并在</w:t>
            </w:r>
            <w:r>
              <w:rPr>
                <w:rFonts w:hint="eastAsia" w:ascii="仿宋" w:hAnsi="仿宋" w:eastAsia="仿宋" w:cs="仿宋"/>
                <w:bCs/>
                <w:color w:val="auto"/>
                <w:kern w:val="0"/>
                <w:sz w:val="24"/>
                <w:szCs w:val="24"/>
                <w:highlight w:val="none"/>
              </w:rPr>
              <w:t>规定的时间内完成远程解密，因供应商自身原因未能解密、解密失败或解密超时，将导致其投标被拒绝且响应文件被退回；</w:t>
            </w:r>
          </w:p>
          <w:p w14:paraId="1339E571">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②因网上招标系统故障导致所有供应商均解密失败，由采购人或采购代理机构现场请示项目主管部门处理。</w:t>
            </w:r>
          </w:p>
          <w:p w14:paraId="5A365B19">
            <w:pPr>
              <w:pStyle w:val="38"/>
              <w:keepNext w:val="0"/>
              <w:keepLines w:val="0"/>
              <w:pageBreakBefore w:val="0"/>
              <w:kinsoku/>
              <w:wordWrap/>
              <w:overflowPunct/>
              <w:topLinePunct w:val="0"/>
              <w:bidi w:val="0"/>
              <w:adjustRightInd w:val="0"/>
              <w:snapToGrid w:val="0"/>
              <w:spacing w:after="0" w:line="4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③关于能否延长解密时间的约定：开标现场若发现默认解密时长不足，由采购人决定是否延长解密时长。</w:t>
            </w:r>
          </w:p>
          <w:p w14:paraId="58BC6F11">
            <w:pPr>
              <w:keepNext w:val="0"/>
              <w:keepLines w:val="0"/>
              <w:pageBreakBefore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④磋商结束后，所有参加磋商的供应商按照磋商小组的要求做最后报价。（注：第二轮报价时限</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分钟，具体时限以系统默认时长为准，若供应商在规定时间内未进行第二轮报价，系统将视为按第一轮报价为准）。</w:t>
            </w:r>
          </w:p>
        </w:tc>
      </w:tr>
      <w:tr w14:paraId="014D2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84E6FF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1993" w:type="dxa"/>
            <w:vAlign w:val="center"/>
          </w:tcPr>
          <w:p w14:paraId="27B230A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评标办法</w:t>
            </w:r>
          </w:p>
        </w:tc>
        <w:tc>
          <w:tcPr>
            <w:tcW w:w="7218" w:type="dxa"/>
            <w:vAlign w:val="center"/>
          </w:tcPr>
          <w:p w14:paraId="1C56C81F">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综合评分法</w:t>
            </w:r>
          </w:p>
        </w:tc>
      </w:tr>
      <w:tr w14:paraId="72D87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703618E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1993" w:type="dxa"/>
            <w:vAlign w:val="center"/>
          </w:tcPr>
          <w:p w14:paraId="06AF3AE6">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磋商保证金</w:t>
            </w:r>
          </w:p>
        </w:tc>
        <w:tc>
          <w:tcPr>
            <w:tcW w:w="7218" w:type="dxa"/>
            <w:vAlign w:val="center"/>
          </w:tcPr>
          <w:p w14:paraId="3DC031C9">
            <w:pPr>
              <w:keepNext w:val="0"/>
              <w:keepLines w:val="0"/>
              <w:pageBreakBefore w:val="0"/>
              <w:widowControl w:val="0"/>
              <w:shd w:val="clear" w:color="auto" w:fill="FFFFFF"/>
              <w:kinsoku/>
              <w:wordWrap/>
              <w:overflowPunct/>
              <w:topLinePunct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保证金金额：</w:t>
            </w:r>
            <w:r>
              <w:rPr>
                <w:rFonts w:hint="eastAsia" w:ascii="仿宋" w:hAnsi="仿宋" w:eastAsia="仿宋" w:cs="仿宋"/>
                <w:bCs/>
                <w:color w:val="auto"/>
                <w:kern w:val="0"/>
                <w:sz w:val="24"/>
                <w:szCs w:val="24"/>
                <w:highlight w:val="none"/>
                <w:lang w:val="en-US" w:eastAsia="zh-CN"/>
              </w:rPr>
              <w:t>8100</w:t>
            </w:r>
            <w:r>
              <w:rPr>
                <w:rFonts w:hint="eastAsia" w:ascii="仿宋" w:hAnsi="仿宋" w:eastAsia="仿宋" w:cs="仿宋"/>
                <w:bCs/>
                <w:color w:val="auto"/>
                <w:kern w:val="0"/>
                <w:sz w:val="24"/>
                <w:szCs w:val="24"/>
                <w:highlight w:val="none"/>
              </w:rPr>
              <w:t>.00元</w:t>
            </w:r>
          </w:p>
          <w:p w14:paraId="4944FE99">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供应商应于</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时00分</w:t>
            </w:r>
            <w:r>
              <w:rPr>
                <w:rFonts w:hint="eastAsia" w:ascii="仿宋" w:hAnsi="仿宋" w:eastAsia="仿宋" w:cs="仿宋"/>
                <w:bCs/>
                <w:color w:val="auto"/>
                <w:kern w:val="0"/>
                <w:sz w:val="24"/>
                <w:szCs w:val="24"/>
                <w:highlight w:val="none"/>
              </w:rPr>
              <w:t>（北京时间）前，</w:t>
            </w:r>
            <w:r>
              <w:rPr>
                <w:rFonts w:hint="eastAsia" w:ascii="仿宋" w:hAnsi="仿宋" w:eastAsia="仿宋" w:cs="仿宋"/>
                <w:color w:val="auto"/>
                <w:kern w:val="0"/>
                <w:sz w:val="24"/>
                <w:szCs w:val="24"/>
                <w:highlight w:val="none"/>
              </w:rPr>
              <w:t>磋商保证金以非现金形式的</w:t>
            </w:r>
            <w:r>
              <w:rPr>
                <w:rFonts w:hint="eastAsia" w:ascii="仿宋" w:hAnsi="仿宋" w:eastAsia="仿宋" w:cs="仿宋"/>
                <w:snapToGrid w:val="0"/>
                <w:color w:val="auto"/>
                <w:sz w:val="24"/>
                <w:szCs w:val="24"/>
                <w:highlight w:val="none"/>
              </w:rPr>
              <w:t>电汇、网银转账、支票、汇票、本票、</w:t>
            </w:r>
            <w:r>
              <w:rPr>
                <w:rFonts w:hint="eastAsia" w:ascii="仿宋" w:hAnsi="仿宋" w:eastAsia="仿宋" w:cs="仿宋"/>
                <w:color w:val="auto"/>
                <w:kern w:val="0"/>
                <w:sz w:val="24"/>
                <w:szCs w:val="24"/>
                <w:highlight w:val="none"/>
              </w:rPr>
              <w:t>电子保函</w:t>
            </w:r>
            <w:r>
              <w:rPr>
                <w:rFonts w:hint="eastAsia" w:ascii="仿宋" w:hAnsi="仿宋" w:eastAsia="仿宋" w:cs="仿宋"/>
                <w:snapToGrid w:val="0"/>
                <w:color w:val="auto"/>
                <w:sz w:val="24"/>
                <w:szCs w:val="24"/>
                <w:highlight w:val="none"/>
              </w:rPr>
              <w:t>等</w:t>
            </w:r>
            <w:r>
              <w:rPr>
                <w:rFonts w:hint="eastAsia" w:ascii="仿宋" w:hAnsi="仿宋" w:eastAsia="仿宋" w:cs="仿宋"/>
                <w:color w:val="auto"/>
                <w:kern w:val="0"/>
                <w:sz w:val="24"/>
                <w:szCs w:val="24"/>
                <w:highlight w:val="none"/>
              </w:rPr>
              <w:t>方式提交。</w:t>
            </w:r>
          </w:p>
          <w:p w14:paraId="73DE30F0">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开户名称：新疆新之建工程咨询有限公司</w:t>
            </w:r>
          </w:p>
          <w:p w14:paraId="04EAA390">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开户银行：交通银行乌鲁木齐光明路支行</w:t>
            </w:r>
          </w:p>
          <w:p w14:paraId="3AB4A4C7">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账号：651651034013001779607</w:t>
            </w:r>
          </w:p>
          <w:p w14:paraId="250A6F8E">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行号：301881000286</w:t>
            </w:r>
          </w:p>
          <w:p w14:paraId="244EF742">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注：1、如果发现供应商有围标、串标行为，其投标无效，且磋商保证金将被没收，不予退还；</w:t>
            </w:r>
          </w:p>
          <w:p w14:paraId="311DF7D5">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2、磋商保证金未按规定时间缴纳或提交金额不足的，其响应将被否决，供应商应充分考虑资金在途时间；</w:t>
            </w:r>
          </w:p>
          <w:p w14:paraId="28D46484">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3、磋商保证金以电汇或网银转账形式递交的必须由投标供应商的账户汇出（个体工商户、自然人除外），缴纳至采购代理机构指定账户。</w:t>
            </w:r>
          </w:p>
          <w:p w14:paraId="3305FB4E">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37A446FB">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5、供应商缴纳磋商保证金时，须备注项目简称或编号。</w:t>
            </w:r>
          </w:p>
        </w:tc>
      </w:tr>
      <w:tr w14:paraId="2ACD6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A50B063">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1993" w:type="dxa"/>
            <w:vAlign w:val="center"/>
          </w:tcPr>
          <w:p w14:paraId="5485B390">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磋商文件售价</w:t>
            </w:r>
          </w:p>
        </w:tc>
        <w:tc>
          <w:tcPr>
            <w:tcW w:w="7218" w:type="dxa"/>
            <w:vAlign w:val="center"/>
          </w:tcPr>
          <w:p w14:paraId="7F98EB48">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政采云平台免费下载。</w:t>
            </w:r>
          </w:p>
        </w:tc>
      </w:tr>
      <w:tr w14:paraId="2BDC8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E2F61C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1993" w:type="dxa"/>
            <w:vAlign w:val="center"/>
          </w:tcPr>
          <w:p w14:paraId="1651DE91">
            <w:pPr>
              <w:pStyle w:val="3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对磋商文件的质疑</w:t>
            </w:r>
          </w:p>
        </w:tc>
        <w:tc>
          <w:tcPr>
            <w:tcW w:w="7218" w:type="dxa"/>
            <w:vAlign w:val="center"/>
          </w:tcPr>
          <w:p w14:paraId="2AFEC442">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14:paraId="00F8B4E0">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①供应商应在法定质疑期内一次性提出所有质疑内容。</w:t>
            </w:r>
          </w:p>
          <w:p w14:paraId="474BDE9F">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②质疑函应以书面形式（按照财政部94号令要求）通知采购代理机构。采购代理机构将在收到质疑函后7个工作日内作出答复，并以书面形式通知质疑供应商和其他有关供应商。</w:t>
            </w:r>
          </w:p>
          <w:p w14:paraId="3E78CD8C">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③联系部门：新疆新之建工程咨询有限公司 </w:t>
            </w:r>
          </w:p>
          <w:p w14:paraId="57B4A975">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④联系电话：</w:t>
            </w:r>
            <w:r>
              <w:rPr>
                <w:rFonts w:hint="eastAsia" w:ascii="仿宋" w:hAnsi="仿宋" w:eastAsia="仿宋" w:cs="仿宋"/>
                <w:color w:val="auto"/>
                <w:sz w:val="24"/>
                <w:szCs w:val="24"/>
                <w:highlight w:val="none"/>
              </w:rPr>
              <w:t>0991-4321218、15292642002</w:t>
            </w:r>
          </w:p>
          <w:p w14:paraId="27851C89">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⑤通讯地址：</w:t>
            </w:r>
            <w:r>
              <w:rPr>
                <w:rFonts w:hint="eastAsia" w:ascii="仿宋" w:hAnsi="仿宋" w:eastAsia="仿宋" w:cs="仿宋"/>
                <w:color w:val="auto"/>
                <w:sz w:val="24"/>
                <w:szCs w:val="24"/>
                <w:highlight w:val="none"/>
              </w:rPr>
              <w:t xml:space="preserve">乌鲁木齐市沙依巴克区克拉玛依西路618号亚欣国际酒店五楼 </w:t>
            </w:r>
          </w:p>
        </w:tc>
      </w:tr>
      <w:tr w14:paraId="16A24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vAlign w:val="center"/>
          </w:tcPr>
          <w:p w14:paraId="207FE28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1993" w:type="dxa"/>
            <w:vAlign w:val="center"/>
          </w:tcPr>
          <w:p w14:paraId="1659D835">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服务期</w:t>
            </w:r>
          </w:p>
          <w:p w14:paraId="08135FDD">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7218" w:type="dxa"/>
            <w:vAlign w:val="center"/>
          </w:tcPr>
          <w:p w14:paraId="1E12B52F">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自合同签订起12个月</w:t>
            </w:r>
            <w:r>
              <w:rPr>
                <w:rFonts w:hint="eastAsia" w:ascii="仿宋" w:hAnsi="仿宋" w:eastAsia="仿宋" w:cs="仿宋"/>
                <w:color w:val="auto"/>
                <w:sz w:val="24"/>
                <w:highlight w:val="none"/>
                <w:lang w:eastAsia="zh-CN"/>
              </w:rPr>
              <w:t>。</w:t>
            </w:r>
          </w:p>
        </w:tc>
      </w:tr>
      <w:tr w14:paraId="4FCB7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2" w:type="dxa"/>
            <w:vMerge w:val="continue"/>
            <w:vAlign w:val="center"/>
          </w:tcPr>
          <w:p w14:paraId="1EC88AC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p>
        </w:tc>
        <w:tc>
          <w:tcPr>
            <w:tcW w:w="1993" w:type="dxa"/>
            <w:vAlign w:val="center"/>
          </w:tcPr>
          <w:p w14:paraId="22C162BD">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交付或实施的地点</w:t>
            </w:r>
            <w:r>
              <w:rPr>
                <w:rFonts w:hint="eastAsia" w:ascii="仿宋" w:hAnsi="仿宋" w:eastAsia="仿宋" w:cs="仿宋"/>
                <w:b/>
                <w:bCs/>
                <w:color w:val="auto"/>
                <w:sz w:val="24"/>
                <w:szCs w:val="24"/>
                <w:highlight w:val="none"/>
              </w:rPr>
              <w:t>（实质性条款）</w:t>
            </w:r>
          </w:p>
        </w:tc>
        <w:tc>
          <w:tcPr>
            <w:tcW w:w="7218" w:type="dxa"/>
            <w:vAlign w:val="center"/>
          </w:tcPr>
          <w:p w14:paraId="23688EEE">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新疆维吾尔自治区应急管理厅（采购人指定地点）</w:t>
            </w:r>
          </w:p>
        </w:tc>
      </w:tr>
      <w:tr w14:paraId="052B2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12" w:type="dxa"/>
            <w:vAlign w:val="center"/>
          </w:tcPr>
          <w:p w14:paraId="45C237D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1993" w:type="dxa"/>
            <w:vAlign w:val="center"/>
          </w:tcPr>
          <w:p w14:paraId="4C0B955D">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付款方式</w:t>
            </w:r>
          </w:p>
          <w:p w14:paraId="627B12AA">
            <w:pPr>
              <w:pStyle w:val="39"/>
              <w:keepNext w:val="0"/>
              <w:keepLines w:val="0"/>
              <w:pageBreakBefore w:val="0"/>
              <w:widowControl w:val="0"/>
              <w:shd w:val="clear" w:color="auto" w:fill="FFFFFF"/>
              <w:kinsoku/>
              <w:wordWrap/>
              <w:overflowPunct/>
              <w:topLinePunct w:val="0"/>
              <w:bidi w:val="0"/>
              <w:adjustRightInd w:val="0"/>
              <w:snapToGrid w:val="0"/>
              <w:spacing w:after="0" w:line="400" w:lineRule="exact"/>
              <w:ind w:firstLine="0" w:firstLineChars="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7218" w:type="dxa"/>
            <w:vAlign w:val="center"/>
          </w:tcPr>
          <w:p w14:paraId="63961F0A">
            <w:pPr>
              <w:keepNext w:val="0"/>
              <w:keepLines w:val="0"/>
              <w:pageBreakBefore w:val="0"/>
              <w:widowControl w:val="0"/>
              <w:shd w:val="clear" w:color="auto" w:fill="FFFFFF"/>
              <w:kinsoku/>
              <w:wordWrap/>
              <w:overflowPunct/>
              <w:topLinePunct w:val="0"/>
              <w:bidi w:val="0"/>
              <w:adjustRightInd w:val="0"/>
              <w:snapToGrid w:val="0"/>
              <w:spacing w:after="0" w:line="40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以合同签订为准</w:t>
            </w:r>
          </w:p>
        </w:tc>
      </w:tr>
      <w:tr w14:paraId="2C804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12" w:type="dxa"/>
            <w:vAlign w:val="center"/>
          </w:tcPr>
          <w:p w14:paraId="67D47EC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1993" w:type="dxa"/>
            <w:vAlign w:val="center"/>
          </w:tcPr>
          <w:p w14:paraId="334E2D76">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1"/>
                <w:sz w:val="24"/>
                <w:szCs w:val="24"/>
                <w:highlight w:val="none"/>
              </w:rPr>
              <w:t>政府采购政策</w:t>
            </w:r>
          </w:p>
        </w:tc>
        <w:tc>
          <w:tcPr>
            <w:tcW w:w="7218" w:type="dxa"/>
            <w:vAlign w:val="center"/>
          </w:tcPr>
          <w:p w14:paraId="3FECCBD2">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16</w:t>
            </w:r>
            <w:r>
              <w:rPr>
                <w:rFonts w:hint="eastAsia" w:ascii="仿宋" w:hAnsi="仿宋" w:eastAsia="仿宋" w:cs="仿宋"/>
                <w:b/>
                <w:color w:val="auto"/>
                <w:kern w:val="0"/>
                <w:sz w:val="24"/>
                <w:szCs w:val="24"/>
                <w:highlight w:val="none"/>
              </w:rPr>
              <w:t>.1本项目专门面向中小企业</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包含中型企业、小型企业、微型企业</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采购。</w:t>
            </w:r>
          </w:p>
          <w:p w14:paraId="46676BBB">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szCs w:val="24"/>
                <w:highlight w:val="none"/>
              </w:rPr>
              <w:t>本次采购标的所属行业为</w:t>
            </w:r>
            <w:r>
              <w:rPr>
                <w:rFonts w:hint="eastAsia" w:ascii="仿宋" w:hAnsi="仿宋" w:eastAsia="仿宋" w:cs="仿宋"/>
                <w:b/>
                <w:color w:val="auto"/>
                <w:kern w:val="0"/>
                <w:sz w:val="24"/>
                <w:szCs w:val="24"/>
                <w:highlight w:val="none"/>
                <w:u w:val="single"/>
              </w:rPr>
              <w:t>软件和信息技术服务业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符合以下条件的中小微型企业应按照磋商文件格式要求提供《中小企业声明函》。</w:t>
            </w:r>
          </w:p>
          <w:p w14:paraId="1CAB7F30">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215CDCD">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（2）在服务采购项目中，服务由中小企业承接，即提供服务的人员为中小企业依照《中华人民共和国劳动合同法》订立劳动合同的从业人员。</w:t>
            </w:r>
          </w:p>
          <w:p w14:paraId="69E4E2DE">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（3）依据本办法规定享受扶持政策获得政府采购合同的，小微企业不得将合同分包给大中型企业，中型企业不得将合同分包给大型企业。</w:t>
            </w:r>
          </w:p>
          <w:p w14:paraId="2725E0F7">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6089D3AA">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（5）根据财政部、司法部《关于政府采购支持监狱企业发展有关问题的通知》(财库【2014】68号)文件的规定：在政府采购活动中，监狱企业视同小型、微型企业。</w:t>
            </w:r>
          </w:p>
          <w:p w14:paraId="638B259A">
            <w:pPr>
              <w:keepNext w:val="0"/>
              <w:keepLines w:val="0"/>
              <w:pageBreakBefore w:val="0"/>
              <w:widowControl w:val="0"/>
              <w:shd w:val="clear" w:color="auto" w:fill="FFFFFF"/>
              <w:kinsoku/>
              <w:wordWrap/>
              <w:overflowPunct/>
              <w:topLinePunct w:val="0"/>
              <w:autoSpaceDE/>
              <w:autoSpaceDN/>
              <w:bidi w:val="0"/>
              <w:adjustRightInd w:val="0"/>
              <w:snapToGrid w:val="0"/>
              <w:spacing w:after="0" w:line="400" w:lineRule="exact"/>
              <w:textAlignment w:val="auto"/>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5A1E4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660CEFB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1993" w:type="dxa"/>
            <w:vAlign w:val="center"/>
          </w:tcPr>
          <w:p w14:paraId="04B433B5">
            <w:pPr>
              <w:pStyle w:val="41"/>
              <w:snapToGrid w:val="0"/>
              <w:spacing w:line="3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spacing w:val="-16"/>
                <w:kern w:val="24"/>
                <w:sz w:val="24"/>
                <w:szCs w:val="24"/>
                <w:highlight w:val="none"/>
              </w:rPr>
              <w:t>代理服务费</w:t>
            </w:r>
          </w:p>
        </w:tc>
        <w:tc>
          <w:tcPr>
            <w:tcW w:w="7218" w:type="dxa"/>
            <w:vAlign w:val="center"/>
          </w:tcPr>
          <w:p w14:paraId="31C839A5">
            <w:pPr>
              <w:pStyle w:val="42"/>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23" w:name="EB38aee35c8bb7443381a66f9cccb3a2a3"/>
            <w:bookmarkEnd w:id="23"/>
            <w:r>
              <w:rPr>
                <w:rFonts w:hint="eastAsia" w:ascii="仿宋" w:hAnsi="仿宋" w:eastAsia="仿宋" w:cs="仿宋"/>
                <w:color w:val="auto"/>
                <w:kern w:val="0"/>
                <w:sz w:val="24"/>
                <w:szCs w:val="24"/>
                <w:highlight w:val="none"/>
              </w:rPr>
              <w:t>成交供应商在《成交通知书》核发前一次性交纳。</w:t>
            </w:r>
          </w:p>
          <w:p w14:paraId="52D5F9BE">
            <w:pPr>
              <w:pStyle w:val="42"/>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支付方式：由中标人支付。</w:t>
            </w:r>
          </w:p>
          <w:p w14:paraId="7A9C8A3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交纳金额：</w:t>
            </w:r>
            <w:r>
              <w:rPr>
                <w:rFonts w:hint="eastAsia" w:ascii="仿宋" w:hAnsi="仿宋" w:eastAsia="仿宋" w:cs="仿宋"/>
                <w:color w:val="auto"/>
                <w:kern w:val="0"/>
                <w:sz w:val="24"/>
                <w:szCs w:val="24"/>
                <w:highlight w:val="none"/>
                <w:lang w:val="en-US" w:eastAsia="zh-CN" w:bidi="ar-SA"/>
              </w:rPr>
              <w:t>本项目代理服务费依据以下标准计取，若不足3000元按3000元每标项收取。</w:t>
            </w:r>
          </w:p>
          <w:p w14:paraId="2D2CC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0"/>
                <w:sz w:val="24"/>
                <w:szCs w:val="24"/>
                <w:highlight w:val="none"/>
                <w:lang w:val="en-US" w:eastAsia="zh-CN" w:bidi="ar-SA"/>
              </w:rPr>
            </w:pPr>
            <w:r>
              <w:rPr>
                <w:rFonts w:hint="default" w:ascii="Calibri" w:hAnsi="Calibri" w:eastAsia="宋体" w:cs="Times New Roman"/>
                <w:kern w:val="2"/>
                <w:sz w:val="21"/>
                <w:szCs w:val="22"/>
                <w:highlight w:val="none"/>
                <w:lang w:val="en-US" w:eastAsia="zh-CN" w:bidi="ar-SA"/>
              </w:rPr>
              <w:drawing>
                <wp:inline distT="0" distB="0" distL="114300" distR="114300">
                  <wp:extent cx="4483735" cy="2172970"/>
                  <wp:effectExtent l="0" t="0" r="1206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483735" cy="2172970"/>
                          </a:xfrm>
                          <a:prstGeom prst="rect">
                            <a:avLst/>
                          </a:prstGeom>
                          <a:noFill/>
                          <a:ln>
                            <a:noFill/>
                          </a:ln>
                        </pic:spPr>
                      </pic:pic>
                    </a:graphicData>
                  </a:graphic>
                </wp:inline>
              </w:drawing>
            </w:r>
          </w:p>
          <w:p w14:paraId="420F68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招标代理服务收费按差额定率累进法计算。例如:某货物招标代理业务中标金额为3100万元，计算招标代理服务收费额如下:</w:t>
            </w:r>
          </w:p>
          <w:p w14:paraId="2320E2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100万元X1.5%=1.5万元</w:t>
            </w:r>
          </w:p>
          <w:p w14:paraId="6C66CF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(500-100)万元X1.1%=4.4万元</w:t>
            </w:r>
          </w:p>
          <w:p w14:paraId="2888CE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(1000-500) X0.8%=4万元</w:t>
            </w:r>
          </w:p>
          <w:p w14:paraId="62AD17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(3100-1000)X0.5%=10.5万元</w:t>
            </w:r>
          </w:p>
          <w:p w14:paraId="0D6409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合计收费=1.5+4.4+4+10.5=20.4(万元)</w:t>
            </w:r>
          </w:p>
          <w:p w14:paraId="36805A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开户名称：新疆新之建工程咨询有限公司</w:t>
            </w:r>
          </w:p>
          <w:p w14:paraId="1A70F5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开户银行：交通银行乌鲁木齐光明路支行</w:t>
            </w:r>
          </w:p>
          <w:p w14:paraId="0BD937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账号：651651034013001779607</w:t>
            </w:r>
          </w:p>
          <w:p w14:paraId="155B08E9">
            <w:pPr>
              <w:pStyle w:val="41"/>
              <w:keepNext w:val="0"/>
              <w:keepLines w:val="0"/>
              <w:pageBreakBefore w:val="0"/>
              <w:widowControl w:val="0"/>
              <w:kinsoku/>
              <w:wordWrap/>
              <w:overflowPunct/>
              <w:topLinePunct w:val="0"/>
              <w:bidi w:val="0"/>
              <w:adjustRightInd w:val="0"/>
              <w:snapToGrid w:val="0"/>
              <w:spacing w:after="0" w:line="400" w:lineRule="exact"/>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SA"/>
              </w:rPr>
              <w:t>行号：301881000286</w:t>
            </w:r>
          </w:p>
        </w:tc>
      </w:tr>
      <w:tr w14:paraId="3FC41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5AC32F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1993" w:type="dxa"/>
            <w:vAlign w:val="center"/>
          </w:tcPr>
          <w:p w14:paraId="250A5293">
            <w:pPr>
              <w:pStyle w:val="41"/>
              <w:snapToGrid w:val="0"/>
              <w:spacing w:line="3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其他说明</w:t>
            </w:r>
          </w:p>
        </w:tc>
        <w:tc>
          <w:tcPr>
            <w:tcW w:w="7218" w:type="dxa"/>
            <w:vAlign w:val="center"/>
          </w:tcPr>
          <w:p w14:paraId="17DC73E3">
            <w:pPr>
              <w:pStyle w:val="41"/>
              <w:keepNext w:val="0"/>
              <w:keepLines w:val="0"/>
              <w:pageBreakBefore w:val="0"/>
              <w:kinsoku/>
              <w:wordWrap/>
              <w:overflowPunct/>
              <w:topLinePunct w:val="0"/>
              <w:bidi w:val="0"/>
              <w:snapToGrid w:val="0"/>
              <w:spacing w:line="400" w:lineRule="exact"/>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1"/>
                <w:sz w:val="24"/>
                <w:szCs w:val="24"/>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14:paraId="2DB1D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43A267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1993" w:type="dxa"/>
            <w:vAlign w:val="center"/>
          </w:tcPr>
          <w:p w14:paraId="2AC10721">
            <w:pPr>
              <w:pStyle w:val="41"/>
              <w:snapToGrid w:val="0"/>
              <w:spacing w:line="360" w:lineRule="exact"/>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报价次数</w:t>
            </w:r>
          </w:p>
        </w:tc>
        <w:tc>
          <w:tcPr>
            <w:tcW w:w="7218" w:type="dxa"/>
            <w:vAlign w:val="center"/>
          </w:tcPr>
          <w:p w14:paraId="4CDFA0FA">
            <w:pPr>
              <w:pStyle w:val="41"/>
              <w:keepNext w:val="0"/>
              <w:keepLines w:val="0"/>
              <w:pageBreakBefore w:val="0"/>
              <w:kinsoku/>
              <w:wordWrap/>
              <w:overflowPunct/>
              <w:topLinePunct w:val="0"/>
              <w:bidi w:val="0"/>
              <w:snapToGrid w:val="0"/>
              <w:spacing w:line="400" w:lineRule="exact"/>
              <w:textAlignment w:val="auto"/>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本项目进行两轮报价，首次报价为第一轮报价，磋商小组对其进行评审并提出答疑问题；第二轮（即最终报价）是在答疑完毕后，按原次序进行最终报价。最终报价单填写好线上提交后，磋商小组在同一时间开启最终报价单。</w:t>
            </w:r>
          </w:p>
        </w:tc>
      </w:tr>
      <w:tr w14:paraId="42E61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2" w:type="dxa"/>
            <w:vAlign w:val="center"/>
          </w:tcPr>
          <w:p w14:paraId="416F4654">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1993" w:type="dxa"/>
            <w:vAlign w:val="center"/>
          </w:tcPr>
          <w:p w14:paraId="7C527088">
            <w:pPr>
              <w:pStyle w:val="41"/>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w:t>
            </w:r>
            <w:r>
              <w:rPr>
                <w:rFonts w:hint="eastAsia" w:ascii="仿宋" w:hAnsi="仿宋" w:eastAsia="仿宋" w:cs="仿宋"/>
                <w:color w:val="auto"/>
                <w:kern w:val="1"/>
                <w:sz w:val="24"/>
                <w:szCs w:val="24"/>
                <w:highlight w:val="none"/>
                <w:lang w:val="en-US" w:eastAsia="zh-CN"/>
              </w:rPr>
              <w:t>保证函</w:t>
            </w:r>
          </w:p>
        </w:tc>
        <w:tc>
          <w:tcPr>
            <w:tcW w:w="7218" w:type="dxa"/>
            <w:vAlign w:val="center"/>
          </w:tcPr>
          <w:p w14:paraId="2740E761">
            <w:pPr>
              <w:pStyle w:val="41"/>
              <w:keepNext w:val="0"/>
              <w:keepLines w:val="0"/>
              <w:pageBreakBefore w:val="0"/>
              <w:widowControl w:val="0"/>
              <w:kinsoku/>
              <w:wordWrap/>
              <w:overflowPunct/>
              <w:topLinePunct w:val="0"/>
              <w:autoSpaceDE w:val="0"/>
              <w:autoSpaceDN w:val="0"/>
              <w:bidi w:val="0"/>
              <w:adjustRightInd w:val="0"/>
              <w:snapToGrid w:val="0"/>
              <w:spacing w:after="0" w:line="240" w:lineRule="auto"/>
              <w:jc w:val="both"/>
              <w:textAlignment w:val="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本项目无需缴纳</w:t>
            </w:r>
            <w:r>
              <w:rPr>
                <w:rFonts w:hint="eastAsia" w:ascii="仿宋" w:hAnsi="仿宋" w:eastAsia="仿宋" w:cs="仿宋"/>
                <w:color w:val="auto"/>
                <w:kern w:val="1"/>
                <w:sz w:val="24"/>
                <w:szCs w:val="24"/>
                <w:highlight w:val="none"/>
                <w:lang w:val="en-US" w:eastAsia="zh-CN"/>
              </w:rPr>
              <w:t>履约保证函</w:t>
            </w:r>
            <w:r>
              <w:rPr>
                <w:rFonts w:hint="eastAsia" w:ascii="仿宋" w:hAnsi="仿宋" w:eastAsia="仿宋" w:cs="仿宋"/>
                <w:color w:val="auto"/>
                <w:kern w:val="1"/>
                <w:sz w:val="24"/>
                <w:szCs w:val="24"/>
                <w:highlight w:val="none"/>
              </w:rPr>
              <w:t>。</w:t>
            </w:r>
          </w:p>
        </w:tc>
      </w:tr>
      <w:tr w14:paraId="04C7D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AB12954">
            <w:pPr>
              <w:keepNext w:val="0"/>
              <w:keepLines w:val="0"/>
              <w:pageBreakBefore w:val="0"/>
              <w:widowControl w:val="0"/>
              <w:shd w:val="clear" w:color="auto" w:fill="FFFFFF"/>
              <w:kinsoku/>
              <w:wordWrap/>
              <w:overflowPunct/>
              <w:topLinePunct w:val="0"/>
              <w:autoSpaceDE w:val="0"/>
              <w:autoSpaceDN w:val="0"/>
              <w:bidi w:val="0"/>
              <w:adjustRightInd w:val="0"/>
              <w:snapToGrid w:val="0"/>
              <w:spacing w:after="0"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1993" w:type="dxa"/>
            <w:vAlign w:val="center"/>
          </w:tcPr>
          <w:p w14:paraId="1BD3E363">
            <w:pPr>
              <w:pStyle w:val="44"/>
              <w:keepNext w:val="0"/>
              <w:keepLines w:val="0"/>
              <w:pageBreakBefore w:val="0"/>
              <w:widowControl w:val="0"/>
              <w:kinsoku/>
              <w:wordWrap/>
              <w:overflowPunct/>
              <w:topLinePunct w:val="0"/>
              <w:bidi w:val="0"/>
              <w:spacing w:after="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磋商小组的组成</w:t>
            </w:r>
          </w:p>
        </w:tc>
        <w:tc>
          <w:tcPr>
            <w:tcW w:w="7218" w:type="dxa"/>
            <w:vAlign w:val="center"/>
          </w:tcPr>
          <w:p w14:paraId="0E599AF7">
            <w:pPr>
              <w:pStyle w:val="44"/>
              <w:keepNext w:val="0"/>
              <w:keepLines w:val="0"/>
              <w:pageBreakBefore w:val="0"/>
              <w:widowControl w:val="0"/>
              <w:kinsoku/>
              <w:wordWrap/>
              <w:overflowPunct/>
              <w:topLinePunct w:val="0"/>
              <w:bidi w:val="0"/>
              <w:spacing w:after="0" w:line="4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磋商小组构成：3人，其中采购人代表1人</w:t>
            </w:r>
          </w:p>
          <w:p w14:paraId="51067E0B">
            <w:pPr>
              <w:pStyle w:val="44"/>
              <w:keepNext w:val="0"/>
              <w:keepLines w:val="0"/>
              <w:pageBreakBefore w:val="0"/>
              <w:widowControl w:val="0"/>
              <w:kinsoku/>
              <w:wordWrap/>
              <w:overflowPunct/>
              <w:topLinePunct w:val="0"/>
              <w:bidi w:val="0"/>
              <w:spacing w:after="0" w:line="4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磋商小组确定方式：政采云系统随机抽取2人相关专业的专家。</w:t>
            </w:r>
          </w:p>
        </w:tc>
      </w:tr>
      <w:tr w14:paraId="083CD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712FEB1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1993" w:type="dxa"/>
            <w:vAlign w:val="center"/>
          </w:tcPr>
          <w:p w14:paraId="696DD99F">
            <w:pPr>
              <w:pStyle w:val="44"/>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是否需要提交样品</w:t>
            </w:r>
          </w:p>
        </w:tc>
        <w:tc>
          <w:tcPr>
            <w:tcW w:w="7218" w:type="dxa"/>
            <w:vAlign w:val="center"/>
          </w:tcPr>
          <w:p w14:paraId="2390E4E9">
            <w:pPr>
              <w:pStyle w:val="28"/>
              <w:keepNext w:val="0"/>
              <w:keepLines w:val="0"/>
              <w:pageBreakBefore w:val="0"/>
              <w:kinsoku/>
              <w:wordWrap/>
              <w:overflowPunct/>
              <w:topLinePunct w:val="0"/>
              <w:bidi w:val="0"/>
              <w:adjustRightInd w:val="0"/>
              <w:snapToGrid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☑不需要</w:t>
            </w:r>
          </w:p>
          <w:p w14:paraId="5C240316">
            <w:pPr>
              <w:pStyle w:val="28"/>
              <w:keepNext w:val="0"/>
              <w:keepLines w:val="0"/>
              <w:pageBreakBefore w:val="0"/>
              <w:kinsoku/>
              <w:wordWrap/>
              <w:overflowPunct/>
              <w:topLinePunct w:val="0"/>
              <w:bidi w:val="0"/>
              <w:adjustRightInd w:val="0"/>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□需要 </w:t>
            </w:r>
          </w:p>
        </w:tc>
      </w:tr>
      <w:tr w14:paraId="379BC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331F36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1993" w:type="dxa"/>
            <w:vAlign w:val="center"/>
          </w:tcPr>
          <w:p w14:paraId="4E884AD9">
            <w:pPr>
              <w:pStyle w:val="44"/>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是否接受联合体投标</w:t>
            </w:r>
          </w:p>
        </w:tc>
        <w:tc>
          <w:tcPr>
            <w:tcW w:w="7218" w:type="dxa"/>
            <w:vAlign w:val="center"/>
          </w:tcPr>
          <w:p w14:paraId="2A5734FB">
            <w:pPr>
              <w:pStyle w:val="28"/>
              <w:keepNext w:val="0"/>
              <w:keepLines w:val="0"/>
              <w:pageBreakBefore w:val="0"/>
              <w:kinsoku/>
              <w:wordWrap/>
              <w:overflowPunct/>
              <w:topLinePunct w:val="0"/>
              <w:bidi w:val="0"/>
              <w:adjustRightInd w:val="0"/>
              <w:snapToGrid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接受</w:t>
            </w:r>
          </w:p>
          <w:p w14:paraId="095484F1">
            <w:pPr>
              <w:pStyle w:val="44"/>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不接受</w:t>
            </w:r>
          </w:p>
        </w:tc>
      </w:tr>
      <w:tr w14:paraId="0368B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25AE45B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1993" w:type="dxa"/>
            <w:vAlign w:val="center"/>
          </w:tcPr>
          <w:p w14:paraId="74FFDA20">
            <w:pPr>
              <w:pStyle w:val="44"/>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组织现场踏勘或召开标前答疑会</w:t>
            </w:r>
          </w:p>
        </w:tc>
        <w:tc>
          <w:tcPr>
            <w:tcW w:w="7218" w:type="dxa"/>
            <w:vAlign w:val="center"/>
          </w:tcPr>
          <w:p w14:paraId="23156AEC">
            <w:pPr>
              <w:pStyle w:val="28"/>
              <w:keepNext w:val="0"/>
              <w:keepLines w:val="0"/>
              <w:pageBreakBefore w:val="0"/>
              <w:kinsoku/>
              <w:wordWrap/>
              <w:overflowPunct/>
              <w:topLinePunct w:val="0"/>
              <w:bidi w:val="0"/>
              <w:adjustRightInd w:val="0"/>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否（自行联系前往）</w:t>
            </w:r>
          </w:p>
          <w:p w14:paraId="3FE258E8">
            <w:pPr>
              <w:pStyle w:val="35"/>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rPr>
              <w:t>注：投标人自行承担踏勘现场发生的责任、风险和自身费用。</w:t>
            </w:r>
          </w:p>
          <w:p w14:paraId="3D278F33">
            <w:pPr>
              <w:pStyle w:val="44"/>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rPr>
              <w:t>标前答疑会：</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否</w:t>
            </w:r>
          </w:p>
        </w:tc>
      </w:tr>
      <w:tr w14:paraId="25906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8526F2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993" w:type="dxa"/>
            <w:vAlign w:val="center"/>
          </w:tcPr>
          <w:p w14:paraId="47EC8638">
            <w:pPr>
              <w:pStyle w:val="44"/>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知识产权要求</w:t>
            </w:r>
          </w:p>
        </w:tc>
        <w:tc>
          <w:tcPr>
            <w:tcW w:w="7218" w:type="dxa"/>
            <w:vAlign w:val="center"/>
          </w:tcPr>
          <w:p w14:paraId="00E59792">
            <w:pPr>
              <w:pStyle w:val="44"/>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1、投标人保证所投作品为首次发表且没有侵犯他人知识产权（著作权、商标权、专利权等）。若发生由此造成的任何纠纷，一切法律责任及给招标单位造成的损失由投标人承担。</w:t>
            </w:r>
          </w:p>
          <w:p w14:paraId="438B63A6">
            <w:pPr>
              <w:pStyle w:val="44"/>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2、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tc>
      </w:tr>
      <w:tr w14:paraId="642E3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F6E966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1993" w:type="dxa"/>
            <w:vAlign w:val="center"/>
          </w:tcPr>
          <w:p w14:paraId="191C423B">
            <w:pPr>
              <w:pStyle w:val="41"/>
              <w:snapToGrid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tc>
        <w:tc>
          <w:tcPr>
            <w:tcW w:w="7218" w:type="dxa"/>
            <w:vAlign w:val="center"/>
          </w:tcPr>
          <w:p w14:paraId="4BEC3884">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E7E7686">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p w14:paraId="4BBC1C4C">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解释权:构成磋商文件的各个组成文件应互为解释，互为说明；除磋商文件中有特别规定外，按招标公告、供应商须知前附表、供应商须知、采购需求、合同条款、响应文件格式的先后顺序解释；如磋商文件出现前后不一致的内容以供应商须知前附表为准。</w:t>
            </w:r>
          </w:p>
          <w:p w14:paraId="2AF22328">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3、本表中“</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”标示选择使用该项，“□”标示不选择使用该项。</w:t>
            </w:r>
            <w:bookmarkStart w:id="24" w:name="EB61dc4c9ac9c04154b29a6c247670320a"/>
            <w:bookmarkEnd w:id="24"/>
          </w:p>
          <w:p w14:paraId="319E8855">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14:paraId="72BFDC1D">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5、“磋商须知前附表”用于进一步明确“磋商须知”中未尽事宜，如“磋商须知前附”中的内容存在与“磋商须知”中内容相抵触的，抵触内容无效。</w:t>
            </w:r>
          </w:p>
          <w:p w14:paraId="5E463592">
            <w:pPr>
              <w:pStyle w:val="4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6、对于“磋商须知”未阐述清楚或完全明确的事宜，一律以“磋商须知前附”中的内容为准。</w:t>
            </w:r>
          </w:p>
        </w:tc>
      </w:tr>
    </w:tbl>
    <w:p w14:paraId="4A6647FB">
      <w:pPr>
        <w:widowControl/>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br w:type="page"/>
      </w:r>
    </w:p>
    <w:p w14:paraId="6963FDC8">
      <w:pPr>
        <w:pStyle w:val="25"/>
        <w:spacing w:before="120" w:beforeLines="50" w:after="120" w:afterLines="50" w:line="360" w:lineRule="auto"/>
        <w:jc w:val="center"/>
        <w:outlineLvl w:val="0"/>
        <w:rPr>
          <w:rFonts w:hint="eastAsia" w:ascii="仿宋" w:hAnsi="仿宋" w:eastAsia="仿宋" w:cs="仿宋"/>
          <w:b/>
          <w:bCs/>
          <w:color w:val="auto"/>
          <w:kern w:val="0"/>
          <w:sz w:val="28"/>
          <w:szCs w:val="28"/>
          <w:highlight w:val="none"/>
        </w:rPr>
      </w:pPr>
      <w:bookmarkStart w:id="25" w:name="_Toc127462392"/>
      <w:r>
        <w:rPr>
          <w:rFonts w:hint="eastAsia" w:ascii="仿宋" w:hAnsi="仿宋" w:eastAsia="仿宋" w:cs="仿宋"/>
          <w:b/>
          <w:color w:val="auto"/>
          <w:sz w:val="32"/>
          <w:szCs w:val="32"/>
          <w:highlight w:val="none"/>
        </w:rPr>
        <w:t>第三部分  供应商须知</w:t>
      </w:r>
      <w:bookmarkEnd w:id="25"/>
    </w:p>
    <w:p w14:paraId="07E28C1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一、总则</w:t>
      </w:r>
    </w:p>
    <w:p w14:paraId="3CE2F1B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1.本磋商文件适用于本文件中所述相关货物及服务的磋商响应。</w:t>
      </w:r>
    </w:p>
    <w:p w14:paraId="3E6429B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2.定义：</w:t>
      </w:r>
    </w:p>
    <w:p w14:paraId="5B36123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2.1“采购人”名称详见供应商须知前附表</w:t>
      </w:r>
      <w:r>
        <w:rPr>
          <w:rFonts w:hint="eastAsia" w:ascii="仿宋" w:hAnsi="仿宋" w:eastAsia="仿宋" w:cs="仿宋"/>
          <w:color w:val="auto"/>
          <w:kern w:val="0"/>
          <w:sz w:val="24"/>
          <w:szCs w:val="24"/>
          <w:highlight w:val="none"/>
          <w:u w:val="single"/>
        </w:rPr>
        <w:t>第1条</w:t>
      </w:r>
      <w:r>
        <w:rPr>
          <w:rFonts w:hint="eastAsia" w:ascii="仿宋" w:hAnsi="仿宋" w:eastAsia="仿宋" w:cs="仿宋"/>
          <w:color w:val="auto"/>
          <w:kern w:val="0"/>
          <w:sz w:val="24"/>
          <w:szCs w:val="24"/>
          <w:highlight w:val="none"/>
        </w:rPr>
        <w:t>。</w:t>
      </w:r>
    </w:p>
    <w:p w14:paraId="50A1151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2.2“货物及服务”指本磋商文件所述供应商应该为本项目提供的货物、服务以及应当履行的承诺和义务。</w:t>
      </w:r>
    </w:p>
    <w:p w14:paraId="74DB853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2.3“供应商”指向采购人提供服务的法人（或负责人）、其他组织或者自然人。</w:t>
      </w:r>
    </w:p>
    <w:p w14:paraId="2690BB6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3.合格供应商的条件</w:t>
      </w:r>
    </w:p>
    <w:p w14:paraId="6C8D609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3.1具有本项目生产、制造、供应及/或实施能力，符合、承认并承诺履行本磋商文件各项规定的国内供应商均可参加磋商。</w:t>
      </w:r>
    </w:p>
    <w:p w14:paraId="5E6C651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供应商必须是已在中国境内依法登记注册并仍有效存续的供应商，并且其所持有的由工商行政管理局所核发的有效的营业执照或事业法人证书上所载明的营业期限余额应当不少于本次采购的相关合同基本义务履行所需期限。否则，磋商小组有权视情况决定是否拒绝其本次响应。</w:t>
      </w:r>
    </w:p>
    <w:p w14:paraId="2E4D5AA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3.3供应商应遵守有关的国家法律、法规和条例，具备《中华人民共和国政府采购法》和本磋商文件中规定的条件：</w:t>
      </w:r>
    </w:p>
    <w:p w14:paraId="134C82B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（1）具有独立承担民事责任的能力；</w:t>
      </w:r>
    </w:p>
    <w:p w14:paraId="3263C1F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（2）具有良好的商业信誉和健全的财务会计制度；</w:t>
      </w:r>
    </w:p>
    <w:p w14:paraId="27C6D72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（3）具有履行合同所必需的设备和专业技术能力；</w:t>
      </w:r>
    </w:p>
    <w:p w14:paraId="290CD9C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（4）具有依法缴纳税收和社会保障资金的良好记录；</w:t>
      </w:r>
    </w:p>
    <w:p w14:paraId="79951CD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（5）参加此项采购活动前三年内，在经营活动中没有重大违法记录；</w:t>
      </w:r>
    </w:p>
    <w:p w14:paraId="3E249D3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（6）具有供应商须知前附表</w:t>
      </w:r>
      <w:r>
        <w:rPr>
          <w:rFonts w:hint="eastAsia" w:ascii="仿宋" w:hAnsi="仿宋" w:eastAsia="仿宋" w:cs="仿宋"/>
          <w:color w:val="auto"/>
          <w:kern w:val="0"/>
          <w:sz w:val="24"/>
          <w:szCs w:val="24"/>
          <w:highlight w:val="none"/>
          <w:u w:val="single"/>
        </w:rPr>
        <w:t>第4条</w:t>
      </w:r>
      <w:r>
        <w:rPr>
          <w:rFonts w:hint="eastAsia" w:ascii="仿宋" w:hAnsi="仿宋" w:eastAsia="仿宋" w:cs="仿宋"/>
          <w:color w:val="auto"/>
          <w:kern w:val="0"/>
          <w:sz w:val="24"/>
          <w:szCs w:val="24"/>
          <w:highlight w:val="none"/>
        </w:rPr>
        <w:t>规定的资质条件。</w:t>
      </w:r>
    </w:p>
    <w:p w14:paraId="15851FE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3.4本次磋商不允许联合体响应。</w:t>
      </w:r>
    </w:p>
    <w:p w14:paraId="20D421F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3.5如供应商代表不是法定代表人（或负责人），须持有《法定代表人授权委托书》(按磋商文件格式填写)。</w:t>
      </w:r>
    </w:p>
    <w:p w14:paraId="4A0F09C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4.费用</w:t>
      </w:r>
    </w:p>
    <w:p w14:paraId="5045D9C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4.1供应商应承担所有与准备和参加响应有关的费用，采购代理机构和采购人在任何情况下均无义务和责任承担这些费用。</w:t>
      </w:r>
    </w:p>
    <w:p w14:paraId="15DC0BD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5.通知</w:t>
      </w:r>
    </w:p>
    <w:p w14:paraId="77E83D3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2F459A7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二、磋商文件</w:t>
      </w:r>
    </w:p>
    <w:p w14:paraId="0B33D2C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6.磋商文件</w:t>
      </w:r>
    </w:p>
    <w:p w14:paraId="06AAD51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6.1磋商文件由下列七部分内容组成：</w:t>
      </w:r>
    </w:p>
    <w:p w14:paraId="0C091C7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第一部分 磋商公告</w:t>
      </w:r>
    </w:p>
    <w:p w14:paraId="414F88F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第二部分 供应商须知前附表</w:t>
      </w:r>
    </w:p>
    <w:p w14:paraId="2C76698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第三部分 供应商须知</w:t>
      </w:r>
    </w:p>
    <w:p w14:paraId="1B46818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第四部分 评审办法和评审标准</w:t>
      </w:r>
    </w:p>
    <w:p w14:paraId="189D303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第五部分 采购需求</w:t>
      </w:r>
    </w:p>
    <w:p w14:paraId="4573334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第六部分 成交合同</w:t>
      </w:r>
    </w:p>
    <w:p w14:paraId="5B297CF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第七部分 响应文件格式</w:t>
      </w:r>
    </w:p>
    <w:p w14:paraId="0919F93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7.磋商文件的澄清和修改</w:t>
      </w:r>
    </w:p>
    <w:p w14:paraId="16AF265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14:paraId="06492CC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14:paraId="5B2564A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14:paraId="1A0D1AD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14:paraId="4A61218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14:paraId="034CF35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7.6采购代理机构主动进行的澄清、修改：采购代理机构无论出于何种原因，均可主动对磋商文件中的相关事项，用补充文件的方式进行澄清和修改。</w:t>
      </w:r>
    </w:p>
    <w:p w14:paraId="0473620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14:paraId="55B21C2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14:paraId="31B6BF8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三、响应文件</w:t>
      </w:r>
    </w:p>
    <w:p w14:paraId="0395E9E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8.响应文件的语言和计量单位</w:t>
      </w:r>
    </w:p>
    <w:p w14:paraId="512E7A5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8.1供应商提交的响应文件以及供应商与采购代理机构就有关响应的所有来往函电应使用中文简体字。</w:t>
      </w:r>
    </w:p>
    <w:p w14:paraId="5956265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154530F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8.3响应文件所使用的计量单位，应使用国家法定计量单位。</w:t>
      </w:r>
    </w:p>
    <w:p w14:paraId="60361BC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8.4对违反上述规定情形的，磋商小组有权要求供应商限期提供相应文件或决定对其响应予以拒绝。</w:t>
      </w:r>
    </w:p>
    <w:p w14:paraId="1B3A82D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9.响应文件的组成及相关要求</w:t>
      </w:r>
    </w:p>
    <w:p w14:paraId="2278EE8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9.1响应文件分为资格审查文件、商务技术响应文件。</w:t>
      </w:r>
    </w:p>
    <w:p w14:paraId="26A8DC7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14:paraId="350C2E5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9.2响应文件递交截止时间（见供应商须知前附表）</w:t>
      </w:r>
    </w:p>
    <w:p w14:paraId="64DCF8A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9.3磋商保证金（见供应商须知前附表）</w:t>
      </w:r>
    </w:p>
    <w:p w14:paraId="14F7C77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9.4履约保证金（见供应商须知前附表）</w:t>
      </w:r>
    </w:p>
    <w:p w14:paraId="43C8CA9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9.5响应报价</w:t>
      </w:r>
    </w:p>
    <w:p w14:paraId="645DA08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14:paraId="5D1F58D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（2）本次磋商不接受可选择或可调整的响应方案和报价，任何选择性方案或报价将被视为非实质性响应而被拒绝。</w:t>
      </w:r>
    </w:p>
    <w:p w14:paraId="3E1A53E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（3）供应商应按照磋商文件要求填报《磋商一览表》及《报价明细表》，不接受任何超出磋商文件要求而额外赠送的货物或者服务等内容。</w:t>
      </w:r>
    </w:p>
    <w:p w14:paraId="2D36A4D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9.6本项目不允许供应商将项目的非主体、非关键性工作交由他人完成。</w:t>
      </w:r>
    </w:p>
    <w:p w14:paraId="07DFD0B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10.响应内容填写说明</w:t>
      </w:r>
    </w:p>
    <w:p w14:paraId="72A9483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14E3F82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10.2响应文件应严格按照磋商文件规定的顺序装订成册并编制目录，由于编排混乱导致响应文件被误读或查找不到，供应商自行承担责任。</w:t>
      </w:r>
    </w:p>
    <w:p w14:paraId="6B7296E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14:paraId="2D6B727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10.4磋商一览表要求按格式统一填写，不得自行删减内容。</w:t>
      </w:r>
    </w:p>
    <w:p w14:paraId="6D34332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10.5供应商必须保证响应文件所提供的全部资料真实可靠，并接受采购代理机构或磋商小组对其中任何资料进一步审查的要求。</w:t>
      </w:r>
    </w:p>
    <w:p w14:paraId="31BA25D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11.响应文件的有效期</w:t>
      </w:r>
    </w:p>
    <w:p w14:paraId="31545CB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11.1本项目响应文件的有效期详见供应商须知前附表第7条。</w:t>
      </w:r>
      <w:r>
        <w:rPr>
          <w:rFonts w:hint="eastAsia" w:ascii="仿宋" w:hAnsi="仿宋" w:eastAsia="仿宋" w:cs="仿宋"/>
          <w:b/>
          <w:color w:val="auto"/>
          <w:kern w:val="0"/>
          <w:sz w:val="24"/>
          <w:szCs w:val="24"/>
          <w:highlight w:val="none"/>
        </w:rPr>
        <w:t>有效期短于该规定期限的磋商将被拒绝。</w:t>
      </w:r>
    </w:p>
    <w:p w14:paraId="21AA212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4E751B4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12.响应文件的签署及其他规定</w:t>
      </w:r>
    </w:p>
    <w:p w14:paraId="59CE6FF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12.1组成响应文件的各项文件均应遵守本项规定。</w:t>
      </w:r>
    </w:p>
    <w:p w14:paraId="6BDE1B5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12.2响应文件及相关文件的签订、履行、通知等事项的书面文件中的单位盖章、印章、公章等处均仅指与当事人名称全称相一致的标准印章，不得使用其它形式（如带有“专用章”等字样的印章）。</w:t>
      </w:r>
    </w:p>
    <w:p w14:paraId="218C661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响应文件应按照磋商文件要求，格式文件需在签章和签字的位置填写供应商全称并加盖印章，同时在该处签署法定代表人或供应商代表的全名或加盖本人签名章。响应文件中授权书等非格式文件需签章的加盖与当事人名称相一致的标准印章，注明签署人姓名的须签署人签署全名或加盖本人签名章。</w:t>
      </w:r>
    </w:p>
    <w:p w14:paraId="0F50310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4C86E05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12.5供应商应按供应商须知前附表第5条规定的份数提交响应文件。</w:t>
      </w:r>
    </w:p>
    <w:p w14:paraId="0BA8B35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12.6响应文件的正本和副本必须打印并与加密的电子响应文件内容一致。响应文件封面注明“正本”和“副本”字样。</w:t>
      </w:r>
    </w:p>
    <w:p w14:paraId="7EFE7AE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12.7响应文件应字迹清楚、内容齐全、不得涂改或增删。如有修改和增删，必须有供应商印章及法定代表人或其授权的供应商代表签字或签章。</w:t>
      </w:r>
    </w:p>
    <w:p w14:paraId="6296006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12.8因响应文件字迹潦草或表达不清所引起的不利后果由供应商承担。</w:t>
      </w:r>
    </w:p>
    <w:p w14:paraId="628972D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四、响应文件的递交</w:t>
      </w:r>
    </w:p>
    <w:p w14:paraId="7EE4628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本项目使用政采云平台采用全流程电子招投标。供应商根据招标文件及政采云电子招投标供应商操作手册要求编制、生成并提交（上传）电子响应文件。采购人及采购代理机构拒绝接受通过电子交易平台以外的任何形式提交（上传）的响应文件。</w:t>
      </w:r>
    </w:p>
    <w:p w14:paraId="1460CD4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响应文件上传的截止日期</w:t>
      </w:r>
    </w:p>
    <w:p w14:paraId="72B886A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14.1.1 供应商必须在《投标须知前附表》中规定的时间之前将响应文件上传到规定的地点。</w:t>
      </w:r>
    </w:p>
    <w:p w14:paraId="23F3E98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14.1.2超过招标文件规定的投标截止时间上传的响应文件将不予接受。</w:t>
      </w:r>
    </w:p>
    <w:p w14:paraId="3058682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响应文件，采购代理机构不对其后果负责。</w:t>
      </w:r>
    </w:p>
    <w:p w14:paraId="21F2711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响应文件的修改、撤回和撤销</w:t>
      </w:r>
    </w:p>
    <w:p w14:paraId="661FAE0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14.2.1提交响应文件截止时间前，供应商可以通过电子交易平台对所提交（上传）的响应文件进行补充、修改或者撤回。</w:t>
      </w:r>
    </w:p>
    <w:p w14:paraId="7C43E3F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14.2.2 供应商不得在投标截止时间起至响应文件有效期满前撤销响应文件，否则其投标保证金将被没收。</w:t>
      </w:r>
    </w:p>
    <w:p w14:paraId="688562D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有下列情形之一的，视为供应商串通投标，其投标无效：</w:t>
      </w:r>
    </w:p>
    <w:p w14:paraId="3349A1A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⑴ 不同供应商的响应文件由同一单位或者个人编制;</w:t>
      </w:r>
    </w:p>
    <w:p w14:paraId="3439499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⑵ 不同供应商委托同一单位或者个人办理投标事宜;</w:t>
      </w:r>
    </w:p>
    <w:p w14:paraId="34A461D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⑶ 不同供应商的响应文件载明的项目管理成员或者联系人员为同一人;</w:t>
      </w:r>
    </w:p>
    <w:p w14:paraId="2C3ACFF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⑷ 不同供应商的响应文件异常一致或者报价呈规律性差异;</w:t>
      </w:r>
    </w:p>
    <w:p w14:paraId="35EDDD7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⑸ 不同供应商的响应文件相互混装;</w:t>
      </w:r>
    </w:p>
    <w:p w14:paraId="7FDB3D0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⑹ 不同供应商的保证金从同一单位或者个人的账户转出。</w:t>
      </w:r>
    </w:p>
    <w:p w14:paraId="6B285F5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五、评审步骤和要求</w:t>
      </w:r>
    </w:p>
    <w:p w14:paraId="19AD901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16.组建磋商小组</w:t>
      </w:r>
    </w:p>
    <w:p w14:paraId="6FB4090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14:paraId="26D3E67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A98475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17.资格审查、符合性审查</w:t>
      </w:r>
    </w:p>
    <w:p w14:paraId="721DD90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17.1磋商时间后，采购方代表或采购代理机构将按照磋商文件规定对供应商进行资格审查，资格审查不合格的，磋商无效。</w:t>
      </w:r>
    </w:p>
    <w:p w14:paraId="075173D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17.2磋商小组将对通过资格审查的供应商提交的响应文件进行符合性审查，符合性审查不合格的，磋商无效。</w:t>
      </w:r>
    </w:p>
    <w:p w14:paraId="121A13C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17.3在详细评审之前，磋商小组要审查每份响应文件是否实质上响应了磋商文件的要求</w:t>
      </w:r>
    </w:p>
    <w:p w14:paraId="66FAECD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（1）实质上响应的响应是指与磋商文件的主要条款、条件和规格相符，没有重大偏离或保留。</w:t>
      </w:r>
    </w:p>
    <w:p w14:paraId="7DBC3B3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7ADE605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（3）重大偏离不允许在响应截止时间后修正，但磋商小组将允许修正响应中不构成重大偏离的地方，这些修正不会对其他实质上响应磋商文件要求的供应商的竞争地位产生不公正的影响。</w:t>
      </w:r>
    </w:p>
    <w:p w14:paraId="14AF7CE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（4）如果响应文件实质上没有响应磋商文件的要求，磋商小组将予以拒绝，供应商不得再对响应文件进行任何修正从而使其响应成为实质上响应的响应。</w:t>
      </w:r>
    </w:p>
    <w:p w14:paraId="62BF738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0BD7406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17.5初审中，对明显的文字和计算错误按下述原则处理，若出现相互矛盾之处，应以排列在先的原则为准优先处理：</w:t>
      </w:r>
    </w:p>
    <w:p w14:paraId="78045CA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如果磋商一览表响应价格与响应文件中磋商一览表不一致的，以磋商一览表响应价格为准；磋商一览表内容与响应文件中明细表内容不一致的,以磋商一览表为准。</w:t>
      </w:r>
    </w:p>
    <w:p w14:paraId="74BE455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如果以文字表示的数据与数字表示的有差别，以文字为准修正数字。如果大小写金额不一致的，以大写金额为准。</w:t>
      </w:r>
    </w:p>
    <w:p w14:paraId="1C058A5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如果金额乘以数量不等于总价，以单价为准修正总价，但单价金额小数点有明显错误的，应以总价为准，并修改单价。如果明细价格相加不等于汇总价格，以明细价格为准。</w:t>
      </w:r>
    </w:p>
    <w:p w14:paraId="6D1572E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调整后的数据应对供应商具有约束力，供应商不同意以上修正，其响应将被拒绝。</w:t>
      </w:r>
    </w:p>
    <w:p w14:paraId="07AC8CB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17.6磋商小组所有成员应当集中与单一供应商分别进行磋商，并给予所有通过资格及符合性审查的供应商平等的磋商机会。</w:t>
      </w:r>
    </w:p>
    <w:p w14:paraId="27F9E84A">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 w:hAnsi="仿宋" w:eastAsia="仿宋" w:cs="仿宋"/>
          <w:b/>
          <w:bCs w:val="0"/>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17.7</w:t>
      </w:r>
      <w:r>
        <w:rPr>
          <w:rFonts w:hint="eastAsia" w:ascii="仿宋" w:hAnsi="仿宋" w:eastAsia="仿宋" w:cs="仿宋"/>
          <w:b/>
          <w:bCs w:val="0"/>
          <w:color w:val="auto"/>
          <w:kern w:val="0"/>
          <w:sz w:val="24"/>
          <w:szCs w:val="24"/>
          <w:highlight w:val="none"/>
          <w:lang w:val="en-US" w:eastAsia="zh-CN" w:bidi="zh-CN"/>
        </w:rPr>
        <w:t>异常低价投标（响应）审查程序</w:t>
      </w:r>
    </w:p>
    <w:p w14:paraId="3A2F55BA">
      <w:pPr>
        <w:keepNext w:val="0"/>
        <w:keepLines w:val="0"/>
        <w:pageBreakBefore w:val="0"/>
        <w:shd w:val="clear" w:color="auto" w:fill="auto"/>
        <w:kinsoku/>
        <w:wordWrap/>
        <w:overflowPunct/>
        <w:topLinePunct w:val="0"/>
        <w:autoSpaceDE/>
        <w:autoSpaceDN/>
        <w:bidi w:val="0"/>
        <w:adjustRightInd/>
        <w:snapToGrid/>
        <w:spacing w:after="0" w:line="460" w:lineRule="exact"/>
        <w:ind w:firstLine="482" w:firstLineChars="200"/>
        <w:jc w:val="both"/>
        <w:textAlignment w:val="auto"/>
        <w:outlineLvl w:val="9"/>
        <w:rPr>
          <w:rFonts w:hint="eastAsia" w:ascii="仿宋" w:hAnsi="仿宋" w:eastAsia="仿宋" w:cs="仿宋"/>
          <w:b/>
          <w:bCs w:val="0"/>
          <w:color w:val="auto"/>
          <w:kern w:val="0"/>
          <w:sz w:val="24"/>
          <w:szCs w:val="24"/>
          <w:highlight w:val="none"/>
          <w:lang w:val="en-US" w:eastAsia="zh-CN" w:bidi="zh-CN"/>
        </w:rPr>
      </w:pPr>
      <w:r>
        <w:rPr>
          <w:rFonts w:hint="eastAsia" w:ascii="仿宋" w:hAnsi="仿宋" w:eastAsia="仿宋" w:cs="仿宋"/>
          <w:b/>
          <w:bCs w:val="0"/>
          <w:color w:val="auto"/>
          <w:kern w:val="0"/>
          <w:sz w:val="24"/>
          <w:szCs w:val="24"/>
          <w:highlight w:val="none"/>
          <w:lang w:val="en-US" w:eastAsia="zh-CN" w:bidi="zh-CN"/>
        </w:rPr>
        <w:t>根据财政部《关于推动解决政府采购异常低价问题的通知》财库〔2026〕2号的规定。</w:t>
      </w:r>
    </w:p>
    <w:p w14:paraId="0E7B693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（一）政府采购评审中出现下列情形之一的，评审委员会应当启动异常低价投标（响应）审查程序： </w:t>
      </w:r>
    </w:p>
    <w:p w14:paraId="522CC7A5">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1.投标（响应）报价低于全部通过符合性审查供应商投标（响应）报价平均值50%的，即投标（响应）报价&lt;全部通过符合性审查供应商投标（响应）报价平均值×50%； </w:t>
      </w:r>
    </w:p>
    <w:p w14:paraId="4A27F084">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2.投标（响应）报价低于通过符合性审查的次低报价供应商投标（响应）报价50%的，即投标（响应）报价&lt;通过符合性审查的次低报价供应商投标（响应）报价×50%； </w:t>
      </w:r>
    </w:p>
    <w:p w14:paraId="1D45E9B4">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3.投标（响应）报价低于采购项目最高限价45%的，即投标（响应）报价&lt;采购项目最高限价×45%；</w:t>
      </w:r>
    </w:p>
    <w:p w14:paraId="7C47DF1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4.评审委员会基于专业判断，认为供应商报价过低，有可能影响产品质量或者不能诚信履约的其他情形。  </w:t>
      </w:r>
    </w:p>
    <w:p w14:paraId="76B3AADA">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（二）评审委员会启动异常低价投标（响应）审查后，属于前述第1项至第4项情形的，应当要求相关供应商在评审现场合理的时间内对投标（响应）价格作出解释，提供项目具体成本测算等与报价 合理性相关的书面说明及必要的证明材料，包括但不限于原材料成本、人工成本、制造费用等，给予相关供应商的合理时间为35分钟。其中，属于第3项情形，供应商已随投标（响应）文件一并提交相关书面说明及必要的证明材料的，在评审现场可不再重复提交。 </w:t>
      </w:r>
    </w:p>
    <w:p w14:paraId="7880457F">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BC06DB0">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6CC911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异常低价投标（响应）审查的启动原因、审查意见和审查结果应当在评审报告中记录，并随供应商提供的相关书面说明及证明材料，以及评审委员会有关互联网浏览、查询历史一并归档。</w:t>
      </w:r>
    </w:p>
    <w:p w14:paraId="2096492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18.响应的澄清</w:t>
      </w:r>
    </w:p>
    <w:p w14:paraId="08928E2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印章。由授权代表签字的，应当附法定代表人授权书。供应商为自然人的，应当由本人签字并附身份证明。</w:t>
      </w:r>
    </w:p>
    <w:p w14:paraId="123AEDB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供应商必须按照磋商小组询标函通知的内容，在规定时间内做出答复，该答复须由其法定代表人或授权代表签字或者加盖印章，并作为响应文件内容的一部分。澄清、说明或者补正不得超出响应文件的范围或者改变响应文件的实质性内容。供应商拒不按照要求对响应文件进行澄清、说明或者补正的，磋商小组可拒绝该响应。</w:t>
      </w:r>
    </w:p>
    <w:p w14:paraId="0B0ADD9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14:paraId="230C00A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19.对响应文件的详细评审</w:t>
      </w:r>
    </w:p>
    <w:p w14:paraId="77AC6A7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印章。由授权代表签字的，应当附法定代表人授权书。供应商为自然人的，应当由本人签字并附身份证明。</w:t>
      </w:r>
    </w:p>
    <w:p w14:paraId="0FCA371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19.2磋商文件能够详细列明采购标的的技术、服务要求的，磋商结束后，磋商小组应当要求所有实质性响应的供应商在规定时间内提交最后报价，提交最后报价的供应商不得少于3家。</w:t>
      </w:r>
    </w:p>
    <w:p w14:paraId="36FFF04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062374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符合《政府采购竞争性磋商采购方式管理暂行办法》的通知(财库〔2014〕214号)第三条第四项情形的，提交最后报价的供应商可以为2家。</w:t>
      </w:r>
    </w:p>
    <w:p w14:paraId="40C33CF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19.3已提交响应文件的供应商，在提交最后报价之前，可以根据磋商情况退出磋商。采购人、采购代理机构应当退还退出磋商的供应商的磋商保证金。</w:t>
      </w:r>
    </w:p>
    <w:p w14:paraId="1CCE24F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19.4经磋商确定最终采购需求和提交最后报价的供应商后，由磋商小组采用综合评分法对提交最终报价的供应商的响应文件和最终报价进行综合评分。</w:t>
      </w:r>
    </w:p>
    <w:p w14:paraId="7970D8A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46415A1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19.6评审时，磋商小组各成员应当独立对每个有效响应的文件进行评价、打分，然后汇总每个供应商每项评分因素的得分。</w:t>
      </w:r>
    </w:p>
    <w:p w14:paraId="76F585F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0297F21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19.8项目评审过程中，不得去掉最后报价中的最高报价和最低报价。</w:t>
      </w:r>
    </w:p>
    <w:p w14:paraId="26BF51F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19.9磋商小组只对实质上响应磋商文件的响应进行评价和比较；评审应严格按照磋商文件的要求和条件进行；具体评审原则、方法和成交条件详见磋商文件第四部分“评审办法和评审标准”。</w:t>
      </w:r>
    </w:p>
    <w:p w14:paraId="5DC44BB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20.确定成交供应商</w:t>
      </w:r>
    </w:p>
    <w:p w14:paraId="125B870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336AB79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F33F0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60C639C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20.4采购人也可以授权磋商小组按本条规定直接确定成交供应商。</w:t>
      </w:r>
    </w:p>
    <w:p w14:paraId="5138168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43FB06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20.6采购人或者采购代理机构不得通过对样品进行检测、对供应商进行考察等方式改变评审结果。</w:t>
      </w:r>
    </w:p>
    <w:p w14:paraId="1DE5201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21.评审过程保密</w:t>
      </w:r>
    </w:p>
    <w:p w14:paraId="629020B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21.1响应截止时间之后，直到授予供应商合同止，凡是属于审查、澄清、评价和比较响应的有关资料以及授标意向等，均不向供应商或其他与评审无关的人员透露。</w:t>
      </w:r>
    </w:p>
    <w:p w14:paraId="1D686B9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21.2在评审期间，供应商企图影响采购代理机构或磋商小组的任何活动，将导致响应被拒绝，并由其承担相应的法律责任。</w:t>
      </w:r>
    </w:p>
    <w:p w14:paraId="3AF7B77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2D3B239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22.关于供应商瑕疵滞后发现的处理规则：</w:t>
      </w:r>
    </w:p>
    <w:p w14:paraId="0778966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14:paraId="1B97E7A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23.采购项目终止</w:t>
      </w:r>
    </w:p>
    <w:p w14:paraId="3E2E975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23.1在磋商过程中，磋商小组发现有下列情形之一的，应当终止竞争性磋商采购活动：</w:t>
      </w:r>
    </w:p>
    <w:p w14:paraId="00D5AA0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1)因情况变化，不再符合规定的竞争性磋商采购方式适用情形的；</w:t>
      </w:r>
    </w:p>
    <w:p w14:paraId="5F5BF8D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76D5665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竞争性磋商采购活动终止后，磋商小组应作出书面报告。</w:t>
      </w:r>
    </w:p>
    <w:p w14:paraId="151D86EF">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10387AB2">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23.3终止后，采购代理机构应当将终止原因通知所有供应商。</w:t>
      </w:r>
    </w:p>
    <w:p w14:paraId="40FC4F2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六、签订合同</w:t>
      </w:r>
    </w:p>
    <w:p w14:paraId="098A5C4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24.成交通知</w:t>
      </w:r>
    </w:p>
    <w:p w14:paraId="7E98CDB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14:paraId="534AA6A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24.2成交通知书是合同的组成部分。</w:t>
      </w:r>
    </w:p>
    <w:p w14:paraId="17A9C30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25.签订合同</w:t>
      </w:r>
    </w:p>
    <w:p w14:paraId="2269C173">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177BFC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25.2采购人如需追加与合同标的相同的货物或服务，在不改变合同其他条款的前提下，成交供应商可与采购人协商签订补充合同，但所有补充合同的采购金额不得超过原合同金额的10%。</w:t>
      </w:r>
    </w:p>
    <w:p w14:paraId="24B3E68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1CBF5C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14:paraId="2947BEA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个工作日内退还。</w:t>
      </w:r>
    </w:p>
    <w:p w14:paraId="4972869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七、磋商代理服务费</w:t>
      </w:r>
    </w:p>
    <w:p w14:paraId="67A8056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 磋商代理服务费：见前附表第17项要求。</w:t>
      </w:r>
    </w:p>
    <w:p w14:paraId="23F9566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八、处罚、询问和质疑</w:t>
      </w:r>
    </w:p>
    <w:p w14:paraId="7EE136C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27.发生下列情况之一，供应商的磋商保证金将被没收，并被列入不良记录名单，供应商今后参与同类政府采购项目的机会可能会受到影响：</w:t>
      </w:r>
    </w:p>
    <w:p w14:paraId="3C3CAD4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27.1供应商在提交响应文件截止时间后撤回响应文件的；</w:t>
      </w:r>
    </w:p>
    <w:p w14:paraId="42312DC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27.2供应商在响应文件中提供虚假材料的；</w:t>
      </w:r>
    </w:p>
    <w:p w14:paraId="677DC38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27.3除因不可抗力或磋商文件认可的情形以外，成交供应商不与采购人签订合同的；</w:t>
      </w:r>
    </w:p>
    <w:p w14:paraId="27434A6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27.4供应商与采购人、其他供应商或者采购代理机构恶意串通的；</w:t>
      </w:r>
    </w:p>
    <w:p w14:paraId="4ED6D605">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27.5磋商文件规定的其他情形。</w:t>
      </w:r>
    </w:p>
    <w:p w14:paraId="3CA4E03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28.供应商有权就磋商事宜提出质疑</w:t>
      </w:r>
    </w:p>
    <w:p w14:paraId="0270529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28.1供应商对采购事项有疑问的，可以按照《政府采购质疑和投诉办法》（财政部令第94号）向采购人或采购代理机构提出询问。</w:t>
      </w:r>
    </w:p>
    <w:p w14:paraId="2168AE01">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28.2磋商程序受《中华人民共和国政府采购法》和相关法律法规的约束，并受到严格的内部监察，以确保授予合同过程的公平公正。</w:t>
      </w:r>
    </w:p>
    <w:p w14:paraId="62726B7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14:paraId="7DD1581A">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28.4若供应商认为其响应未获公平评审或采购过程和成交结果使自己的合法权益受到损害的，可以在知道或者应知其权益受到损害之日起7个工作日内提出质疑。 </w:t>
      </w:r>
    </w:p>
    <w:p w14:paraId="31FA8D7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28.5质疑应当按照《政府采购质疑和投诉办法》（财政部令第94号）规定，以书面形式向采购人或采购代理机构提出。</w:t>
      </w:r>
    </w:p>
    <w:p w14:paraId="139828A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28.6供应商提出质疑应当提交质疑函和必要的证明材料。质疑函应当包括下列内容：</w:t>
      </w:r>
    </w:p>
    <w:p w14:paraId="1EC1CA40">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28.6.1供应商的姓名或者名称、地址、邮编、联系人及联系电话；</w:t>
      </w:r>
    </w:p>
    <w:p w14:paraId="5573F2CD">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28.6.2质疑项目的名称、编号；</w:t>
      </w:r>
    </w:p>
    <w:p w14:paraId="1B84805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28.6.3具体、明确的质疑事项和与质疑事项相关的请求；</w:t>
      </w:r>
    </w:p>
    <w:p w14:paraId="077E484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28.6.4事实依据；</w:t>
      </w:r>
    </w:p>
    <w:p w14:paraId="206DCBE4">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28.6.5必要的法律依据；</w:t>
      </w:r>
    </w:p>
    <w:p w14:paraId="08EBE12E">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28.6.6提出质疑的日期。</w:t>
      </w:r>
    </w:p>
    <w:p w14:paraId="2720D6A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28.6.7供应商为自然人的，应当由本人签字；供应商为法人或者其他组织的，应当由法定代表人、主要负责人，或者其授权代表签字或者盖章，并加盖印章。</w:t>
      </w:r>
    </w:p>
    <w:p w14:paraId="039DD99C">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068D8B39">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28.8供应商进行虚假和恶意质疑的，采购代理机构可以提请有关部门将其列入不良记录名单，在一至三年内禁止参加政府采购活动，并将处理决定在相关政府采购媒体上公布。</w:t>
      </w:r>
    </w:p>
    <w:p w14:paraId="5FD4596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28.9质疑供应商对采购人或采购代理机构的答复不满意以及采购人或采购代理机构未在规定的时间内做出答复的，可以在答复期满后15个工作日内向财政部投诉。</w:t>
      </w:r>
    </w:p>
    <w:p w14:paraId="720E1378">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九、保密和披露</w:t>
      </w:r>
    </w:p>
    <w:p w14:paraId="3E177077">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29.保密和披露</w:t>
      </w:r>
    </w:p>
    <w:p w14:paraId="2C913CC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29.1供应商自领取磋商文件之日起，须承诺承担本磋商项目下保密义务，不得将因本次磋商获得的信息向第三人外传。</w:t>
      </w:r>
    </w:p>
    <w:p w14:paraId="5A546B7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29.2采购代理机构有权将供应商提供的所有资料向有关政府部门或评审响应文件的有关人员披露。</w:t>
      </w:r>
    </w:p>
    <w:p w14:paraId="21473DD6">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60D1CCDB">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ind w:firstLine="482"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
          <w:color w:val="auto"/>
          <w:kern w:val="0"/>
          <w:sz w:val="24"/>
          <w:szCs w:val="24"/>
          <w:highlight w:val="none"/>
        </w:rPr>
        <w:t>十、其他</w:t>
      </w:r>
    </w:p>
    <w:p w14:paraId="7CA19432">
      <w:pPr>
        <w:keepNext w:val="0"/>
        <w:keepLines w:val="0"/>
        <w:pageBreakBefore w:val="0"/>
        <w:widowControl w:val="0"/>
        <w:shd w:val="clear" w:color="auto" w:fill="FFFFFF"/>
        <w:kinsoku/>
        <w:wordWrap/>
        <w:overflowPunct/>
        <w:topLinePunct w:val="0"/>
        <w:autoSpaceDE/>
        <w:autoSpaceDN/>
        <w:bidi w:val="0"/>
        <w:adjustRightInd/>
        <w:snapToGrid/>
        <w:spacing w:after="0"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30.本磋商文件是根据《中华人民共和国政府采购法》及其实施条例（658号令）及</w:t>
      </w:r>
      <w:r>
        <w:rPr>
          <w:rFonts w:hint="eastAsia" w:ascii="仿宋" w:hAnsi="仿宋" w:eastAsia="仿宋" w:cs="仿宋"/>
          <w:color w:val="auto"/>
          <w:kern w:val="0"/>
          <w:sz w:val="24"/>
          <w:szCs w:val="24"/>
          <w:highlight w:val="none"/>
        </w:rPr>
        <w:t>《政府采购竞争性磋商采购方式管理暂行办法》</w:t>
      </w:r>
      <w:r>
        <w:rPr>
          <w:rFonts w:hint="eastAsia" w:ascii="仿宋" w:hAnsi="仿宋" w:eastAsia="仿宋" w:cs="仿宋"/>
          <w:bCs/>
          <w:color w:val="auto"/>
          <w:kern w:val="0"/>
          <w:sz w:val="24"/>
          <w:szCs w:val="24"/>
          <w:highlight w:val="none"/>
        </w:rPr>
        <w:t>（财库【2014】214号）规定编制的，解释权属新疆新之建工程咨询有限公司。</w:t>
      </w:r>
    </w:p>
    <w:p w14:paraId="37BDEA1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03ADF4A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326E1012">
      <w:pPr>
        <w:widowControl/>
        <w:jc w:val="left"/>
        <w:rPr>
          <w:rFonts w:hint="eastAsia" w:ascii="仿宋" w:hAnsi="仿宋" w:eastAsia="仿宋" w:cs="仿宋"/>
          <w:b/>
          <w:color w:val="auto"/>
          <w:sz w:val="28"/>
          <w:szCs w:val="28"/>
          <w:highlight w:val="none"/>
        </w:rPr>
      </w:pPr>
      <w:bookmarkStart w:id="26" w:name="_Toc90425106"/>
      <w:r>
        <w:rPr>
          <w:rFonts w:hint="eastAsia" w:ascii="仿宋" w:hAnsi="仿宋" w:eastAsia="仿宋" w:cs="仿宋"/>
          <w:b/>
          <w:color w:val="auto"/>
          <w:sz w:val="28"/>
          <w:szCs w:val="28"/>
          <w:highlight w:val="none"/>
        </w:rPr>
        <w:br w:type="page"/>
      </w:r>
    </w:p>
    <w:p w14:paraId="3E9ACD4B">
      <w:pPr>
        <w:pStyle w:val="25"/>
        <w:spacing w:before="120" w:beforeLines="50" w:after="120" w:afterLines="50" w:line="360" w:lineRule="auto"/>
        <w:jc w:val="center"/>
        <w:outlineLvl w:val="0"/>
        <w:rPr>
          <w:rFonts w:hint="eastAsia" w:ascii="仿宋" w:hAnsi="仿宋" w:eastAsia="仿宋" w:cs="仿宋"/>
          <w:b/>
          <w:color w:val="auto"/>
          <w:highlight w:val="none"/>
        </w:rPr>
      </w:pPr>
      <w:bookmarkStart w:id="27" w:name="_Toc127462393"/>
      <w:r>
        <w:rPr>
          <w:rFonts w:hint="eastAsia" w:ascii="仿宋" w:hAnsi="仿宋" w:eastAsia="仿宋" w:cs="仿宋"/>
          <w:b/>
          <w:color w:val="auto"/>
          <w:sz w:val="32"/>
          <w:szCs w:val="32"/>
          <w:highlight w:val="none"/>
        </w:rPr>
        <w:t>第四部分  评审办法和评审标准</w:t>
      </w:r>
      <w:bookmarkEnd w:id="26"/>
      <w:bookmarkEnd w:id="27"/>
    </w:p>
    <w:p w14:paraId="2F54F9F1">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1.资格审查</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90"/>
        <w:gridCol w:w="3432"/>
        <w:gridCol w:w="5184"/>
      </w:tblGrid>
      <w:tr w14:paraId="619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75" w:type="dxa"/>
            <w:tcBorders>
              <w:bottom w:val="single" w:color="auto" w:sz="4" w:space="0"/>
            </w:tcBorders>
            <w:vAlign w:val="center"/>
          </w:tcPr>
          <w:p w14:paraId="5E4D8286">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390" w:type="dxa"/>
            <w:tcBorders>
              <w:bottom w:val="single" w:color="auto" w:sz="4" w:space="0"/>
            </w:tcBorders>
            <w:vAlign w:val="center"/>
          </w:tcPr>
          <w:p w14:paraId="68ADEF4F">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432" w:type="dxa"/>
            <w:tcBorders>
              <w:bottom w:val="single" w:color="auto" w:sz="4" w:space="0"/>
            </w:tcBorders>
            <w:vAlign w:val="center"/>
          </w:tcPr>
          <w:p w14:paraId="17D1063B">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审查要求</w:t>
            </w:r>
          </w:p>
        </w:tc>
        <w:tc>
          <w:tcPr>
            <w:tcW w:w="5184" w:type="dxa"/>
            <w:tcBorders>
              <w:bottom w:val="single" w:color="auto" w:sz="4" w:space="0"/>
            </w:tcBorders>
            <w:vAlign w:val="center"/>
          </w:tcPr>
          <w:p w14:paraId="40B9516F">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审查内容和审查标准</w:t>
            </w:r>
          </w:p>
        </w:tc>
      </w:tr>
      <w:tr w14:paraId="7D41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75" w:type="dxa"/>
            <w:vMerge w:val="restart"/>
            <w:vAlign w:val="center"/>
          </w:tcPr>
          <w:p w14:paraId="10804A49">
            <w:pPr>
              <w:spacing w:line="360" w:lineRule="exact"/>
              <w:jc w:val="center"/>
              <w:rPr>
                <w:rFonts w:hint="eastAsia" w:ascii="仿宋" w:hAnsi="仿宋" w:eastAsia="仿宋" w:cs="仿宋"/>
                <w:b/>
                <w:snapToGrid w:val="0"/>
                <w:color w:val="auto"/>
                <w:kern w:val="0"/>
                <w:sz w:val="24"/>
                <w:szCs w:val="24"/>
                <w:highlight w:val="none"/>
              </w:rPr>
            </w:pPr>
          </w:p>
          <w:p w14:paraId="3A026393">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w:t>
            </w:r>
          </w:p>
          <w:p w14:paraId="2C2B679F">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格</w:t>
            </w:r>
          </w:p>
          <w:p w14:paraId="787F876A">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6372C2C9">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27458C65">
            <w:pPr>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6488A3D4">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23E684FC">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432" w:type="dxa"/>
            <w:vAlign w:val="center"/>
          </w:tcPr>
          <w:p w14:paraId="3379569F">
            <w:pPr>
              <w:pStyle w:val="44"/>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具有独立承担民事责任的能力</w:t>
            </w:r>
          </w:p>
        </w:tc>
        <w:tc>
          <w:tcPr>
            <w:tcW w:w="5184" w:type="dxa"/>
            <w:vAlign w:val="center"/>
          </w:tcPr>
          <w:p w14:paraId="0DA0DAFC">
            <w:pPr>
              <w:spacing w:line="360" w:lineRule="exact"/>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71495D01">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339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75" w:type="dxa"/>
            <w:vMerge w:val="continue"/>
            <w:vAlign w:val="center"/>
          </w:tcPr>
          <w:p w14:paraId="2FB9D3C9">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6B347011">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432" w:type="dxa"/>
            <w:vAlign w:val="center"/>
          </w:tcPr>
          <w:p w14:paraId="2591309D">
            <w:pPr>
              <w:pStyle w:val="44"/>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具有良好的商业信誉和健全的财务会计制度</w:t>
            </w:r>
          </w:p>
        </w:tc>
        <w:tc>
          <w:tcPr>
            <w:tcW w:w="5184" w:type="dxa"/>
            <w:vAlign w:val="center"/>
          </w:tcPr>
          <w:p w14:paraId="29CDCF7A">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highlight w:val="none"/>
              </w:rPr>
              <w:t>2024年度</w:t>
            </w:r>
            <w:r>
              <w:rPr>
                <w:rFonts w:hint="eastAsia" w:ascii="仿宋" w:hAnsi="仿宋" w:eastAsia="仿宋" w:cs="仿宋"/>
                <w:snapToGrid w:val="0"/>
                <w:color w:val="auto"/>
                <w:kern w:val="0"/>
                <w:sz w:val="24"/>
                <w:highlight w:val="none"/>
                <w:lang w:val="en-US" w:eastAsia="zh-CN"/>
              </w:rPr>
              <w:t>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（投标人成立不足一年的提供截止开标前近3个月的财务报表和截止开标前近1个月基本开户银行出具的资信证明；另：部分其他组织或自然人，没有经审计的财务报告，应当提供截止开标前近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tc>
      </w:tr>
      <w:tr w14:paraId="5B5F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75" w:type="dxa"/>
            <w:vMerge w:val="continue"/>
            <w:vAlign w:val="center"/>
          </w:tcPr>
          <w:p w14:paraId="1CB5906C">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42C3212D">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432" w:type="dxa"/>
            <w:vAlign w:val="center"/>
          </w:tcPr>
          <w:p w14:paraId="1FF40D26">
            <w:pPr>
              <w:pStyle w:val="44"/>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具有履行合同所必需的设备和专业技术能力</w:t>
            </w:r>
          </w:p>
        </w:tc>
        <w:tc>
          <w:tcPr>
            <w:tcW w:w="5184" w:type="dxa"/>
            <w:vAlign w:val="center"/>
          </w:tcPr>
          <w:p w14:paraId="28F64C5F">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须提供具备履行合同所必需的设备和专业技术能力的证明材料或承诺书；</w:t>
            </w:r>
          </w:p>
        </w:tc>
      </w:tr>
      <w:tr w14:paraId="58F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75" w:type="dxa"/>
            <w:vMerge w:val="continue"/>
            <w:vAlign w:val="center"/>
          </w:tcPr>
          <w:p w14:paraId="5555C58C">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1BC3BD7F">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432" w:type="dxa"/>
            <w:vAlign w:val="center"/>
          </w:tcPr>
          <w:p w14:paraId="6ED4322C">
            <w:pPr>
              <w:adjustRightInd w:val="0"/>
              <w:snapToGrid w:val="0"/>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有依法缴纳税收和依法缴纳社会保障资金的记录</w:t>
            </w:r>
          </w:p>
        </w:tc>
        <w:tc>
          <w:tcPr>
            <w:tcW w:w="5184" w:type="dxa"/>
            <w:vAlign w:val="center"/>
          </w:tcPr>
          <w:p w14:paraId="1D1510D0">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须提供响应文件递交截止日期之前6个月内任何一期的纳税记录或证明文件（依法免税的应提供相应文件说明）；</w:t>
            </w:r>
          </w:p>
          <w:p w14:paraId="0AC25D28">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须提供投标文件递交截止日期之前六个月内为员工缴纳社会保障资金的证明材料原件或扫描件投标人加盖电子印章（任意一个月即可）（依法不需要缴纳社会保障资金的应提供相应文件说明）；</w:t>
            </w:r>
          </w:p>
        </w:tc>
      </w:tr>
      <w:tr w14:paraId="037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0CE4045E">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21E11B91">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432" w:type="dxa"/>
            <w:vAlign w:val="center"/>
          </w:tcPr>
          <w:p w14:paraId="0DA24734">
            <w:pPr>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参加政府采购活动前三年内，在经营活动中没有重大违法记录</w:t>
            </w:r>
          </w:p>
        </w:tc>
        <w:tc>
          <w:tcPr>
            <w:tcW w:w="5184" w:type="dxa"/>
            <w:vAlign w:val="center"/>
          </w:tcPr>
          <w:p w14:paraId="48A1B81F">
            <w:pPr>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须提供声明函；</w:t>
            </w:r>
          </w:p>
        </w:tc>
      </w:tr>
      <w:tr w14:paraId="3D2A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16B58A90">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719E02A4">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432" w:type="dxa"/>
            <w:vAlign w:val="center"/>
          </w:tcPr>
          <w:p w14:paraId="0BF8D315">
            <w:pPr>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法律、行政法规规定的其他条件。</w:t>
            </w:r>
          </w:p>
        </w:tc>
        <w:tc>
          <w:tcPr>
            <w:tcW w:w="5184" w:type="dxa"/>
            <w:vAlign w:val="center"/>
          </w:tcPr>
          <w:p w14:paraId="11FBF561">
            <w:pPr>
              <w:adjustRightInd w:val="0"/>
              <w:snapToGrid w:val="0"/>
              <w:jc w:val="left"/>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须提供承诺函；</w:t>
            </w:r>
          </w:p>
        </w:tc>
      </w:tr>
      <w:tr w14:paraId="0D05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61504763">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564A5E95">
            <w:pPr>
              <w:spacing w:line="36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p>
        </w:tc>
        <w:tc>
          <w:tcPr>
            <w:tcW w:w="3432" w:type="dxa"/>
            <w:vAlign w:val="center"/>
          </w:tcPr>
          <w:p w14:paraId="789CDF48">
            <w:pPr>
              <w:keepNext w:val="0"/>
              <w:keepLines w:val="0"/>
              <w:pageBreakBefore w:val="0"/>
              <w:widowControl w:val="0"/>
              <w:kinsoku/>
              <w:wordWrap/>
              <w:overflowPunct/>
              <w:topLinePunct w:val="0"/>
              <w:autoSpaceDE/>
              <w:autoSpaceDN/>
              <w:bidi w:val="0"/>
              <w:adjustRightInd w:val="0"/>
              <w:snapToGrid w:val="0"/>
              <w:spacing w:after="0" w:line="279" w:lineRule="auto"/>
              <w:jc w:val="center"/>
              <w:textAlignment w:val="auto"/>
              <w:rPr>
                <w:rFonts w:hint="eastAsia" w:ascii="仿宋" w:hAnsi="仿宋" w:eastAsia="仿宋" w:cs="仿宋"/>
                <w:bCs/>
                <w:snapToGrid w:val="0"/>
                <w:color w:val="auto"/>
                <w:sz w:val="24"/>
                <w:szCs w:val="24"/>
                <w:highlight w:val="none"/>
              </w:rPr>
            </w:pPr>
            <w:r>
              <w:rPr>
                <w:rFonts w:hint="eastAsia" w:ascii="仿宋" w:hAnsi="仿宋" w:eastAsia="仿宋" w:cs="仿宋"/>
                <w:snapToGrid w:val="0"/>
                <w:color w:val="auto"/>
                <w:kern w:val="0"/>
                <w:sz w:val="24"/>
                <w:szCs w:val="24"/>
                <w:highlight w:val="none"/>
                <w:lang w:val="zh-CN" w:eastAsia="zh-CN"/>
              </w:rPr>
              <w:t>供应商如在“信用中国”网站（www.creditchina.gov.cn）、中国政府采购网（www.ccgp.gov.cn）等渠道被列入重大税收违法失信主体、政府采购严重违法失信行为记录名单及其它不符合《中华人民共和国政府采购法》第二十二条规定条件的供应商，尚在处罚期内的将被拒绝参加本次磋商活动。</w:t>
            </w:r>
          </w:p>
        </w:tc>
        <w:tc>
          <w:tcPr>
            <w:tcW w:w="5184" w:type="dxa"/>
            <w:vAlign w:val="center"/>
          </w:tcPr>
          <w:p w14:paraId="192D68EA">
            <w:pPr>
              <w:adjustRightInd w:val="0"/>
              <w:snapToGrid w:val="0"/>
              <w:jc w:val="left"/>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以采购人或采购代理机构现场查询记录为准。</w:t>
            </w:r>
          </w:p>
        </w:tc>
      </w:tr>
      <w:tr w14:paraId="37E6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5" w:type="dxa"/>
            <w:vMerge w:val="continue"/>
            <w:vAlign w:val="center"/>
          </w:tcPr>
          <w:p w14:paraId="71583542">
            <w:pPr>
              <w:spacing w:line="360" w:lineRule="exact"/>
              <w:jc w:val="center"/>
              <w:rPr>
                <w:rFonts w:hint="eastAsia" w:ascii="仿宋" w:hAnsi="仿宋" w:eastAsia="仿宋" w:cs="仿宋"/>
                <w:snapToGrid w:val="0"/>
                <w:color w:val="auto"/>
                <w:kern w:val="0"/>
                <w:sz w:val="24"/>
                <w:szCs w:val="24"/>
                <w:highlight w:val="none"/>
              </w:rPr>
            </w:pPr>
          </w:p>
        </w:tc>
        <w:tc>
          <w:tcPr>
            <w:tcW w:w="390" w:type="dxa"/>
            <w:vAlign w:val="center"/>
          </w:tcPr>
          <w:p w14:paraId="22750484">
            <w:pPr>
              <w:spacing w:line="360" w:lineRule="exact"/>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w:t>
            </w:r>
          </w:p>
        </w:tc>
        <w:tc>
          <w:tcPr>
            <w:tcW w:w="3432" w:type="dxa"/>
            <w:vAlign w:val="center"/>
          </w:tcPr>
          <w:p w14:paraId="2C493914">
            <w:pPr>
              <w:keepNext w:val="0"/>
              <w:keepLines w:val="0"/>
              <w:pageBreakBefore w:val="0"/>
              <w:widowControl w:val="0"/>
              <w:kinsoku/>
              <w:wordWrap/>
              <w:overflowPunct/>
              <w:topLinePunct w:val="0"/>
              <w:autoSpaceDE w:val="0"/>
              <w:autoSpaceDN w:val="0"/>
              <w:bidi w:val="0"/>
              <w:adjustRightInd w:val="0"/>
              <w:snapToGrid/>
              <w:spacing w:after="0" w:line="400" w:lineRule="exact"/>
              <w:jc w:val="left"/>
              <w:textAlignment w:val="auto"/>
              <w:rPr>
                <w:rFonts w:hint="eastAsia" w:ascii="仿宋" w:hAnsi="仿宋" w:eastAsia="仿宋" w:cs="仿宋"/>
                <w:bCs/>
                <w:snapToGrid w:val="0"/>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根据《政府采购促进中小企业发展管理办法》（财库[2020]46号文）、《关于进一步加大政府采购支持中小企业力度的通知》（财库〔2022〕19号）、《关于落实好政府采购支持中小企业发展的通知》（新财购〔2022〕22号文）的规定，本项目专门面向中小企业（含：中型企业、小型企业、微型企业）采购。</w:t>
            </w:r>
          </w:p>
        </w:tc>
        <w:tc>
          <w:tcPr>
            <w:tcW w:w="5184" w:type="dxa"/>
            <w:vAlign w:val="center"/>
          </w:tcPr>
          <w:p w14:paraId="4AAC469D">
            <w:pPr>
              <w:adjustRightInd w:val="0"/>
              <w:snapToGrid w:val="0"/>
              <w:jc w:val="left"/>
              <w:rPr>
                <w:rFonts w:hint="eastAsia" w:ascii="仿宋" w:hAnsi="仿宋" w:eastAsia="仿宋" w:cs="仿宋"/>
                <w:bCs/>
                <w:snapToGrid w:val="0"/>
                <w:color w:val="auto"/>
                <w:sz w:val="24"/>
                <w:szCs w:val="24"/>
                <w:highlight w:val="none"/>
              </w:rPr>
            </w:pPr>
            <w:r>
              <w:rPr>
                <w:rFonts w:hint="default" w:ascii="仿宋" w:hAnsi="仿宋" w:eastAsia="仿宋" w:cs="仿宋"/>
                <w:bCs/>
                <w:snapToGrid w:val="0"/>
                <w:color w:val="auto"/>
                <w:sz w:val="24"/>
                <w:szCs w:val="24"/>
                <w:highlight w:val="none"/>
                <w:lang w:val="en-US" w:eastAsia="zh-CN"/>
              </w:rPr>
              <w:t>请根据要求单独上传《中小企业声明函》。格式以采购文件要求为准。</w:t>
            </w:r>
          </w:p>
        </w:tc>
      </w:tr>
      <w:tr w14:paraId="106C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597" w:type="dxa"/>
            <w:gridSpan w:val="3"/>
            <w:vAlign w:val="center"/>
          </w:tcPr>
          <w:p w14:paraId="186D3571">
            <w:pPr>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5184" w:type="dxa"/>
            <w:vAlign w:val="center"/>
          </w:tcPr>
          <w:p w14:paraId="6F474171">
            <w:pPr>
              <w:spacing w:line="360" w:lineRule="exact"/>
              <w:rPr>
                <w:rFonts w:hint="eastAsia" w:ascii="仿宋" w:hAnsi="仿宋" w:eastAsia="仿宋" w:cs="仿宋"/>
                <w:snapToGrid w:val="0"/>
                <w:color w:val="auto"/>
                <w:kern w:val="0"/>
                <w:sz w:val="24"/>
                <w:szCs w:val="24"/>
                <w:highlight w:val="none"/>
              </w:rPr>
            </w:pPr>
          </w:p>
        </w:tc>
      </w:tr>
      <w:tr w14:paraId="59E4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81" w:type="dxa"/>
            <w:gridSpan w:val="4"/>
            <w:vAlign w:val="center"/>
          </w:tcPr>
          <w:p w14:paraId="2ABEBA75">
            <w:pPr>
              <w:spacing w:line="44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资格审查人员签名：</w:t>
            </w:r>
          </w:p>
          <w:p w14:paraId="11DC8449">
            <w:pPr>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年    月    日</w:t>
            </w:r>
          </w:p>
        </w:tc>
      </w:tr>
      <w:tr w14:paraId="7C7A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9781" w:type="dxa"/>
            <w:gridSpan w:val="4"/>
            <w:vAlign w:val="center"/>
          </w:tcPr>
          <w:p w14:paraId="421957A7">
            <w:pPr>
              <w:spacing w:line="36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投标人通过的，以“√”标记；否则，以“×”标记。如果投标人有一项未通过上述审查，其结论请注明“不合格”，全部通过的，其结论请注明“合格”。资格审查不合格的投标人，投标无效。</w:t>
            </w:r>
          </w:p>
        </w:tc>
      </w:tr>
    </w:tbl>
    <w:p w14:paraId="7A259F64">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2.符合性审查</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88"/>
        <w:gridCol w:w="1425"/>
        <w:gridCol w:w="6756"/>
      </w:tblGrid>
      <w:tr w14:paraId="77D2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12" w:type="dxa"/>
            <w:tcBorders>
              <w:bottom w:val="single" w:color="auto" w:sz="4" w:space="0"/>
            </w:tcBorders>
            <w:vAlign w:val="center"/>
          </w:tcPr>
          <w:p w14:paraId="420556B8">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788" w:type="dxa"/>
            <w:tcBorders>
              <w:bottom w:val="single" w:color="auto" w:sz="4" w:space="0"/>
            </w:tcBorders>
            <w:vAlign w:val="center"/>
          </w:tcPr>
          <w:p w14:paraId="5A85B56E">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1425" w:type="dxa"/>
            <w:tcBorders>
              <w:bottom w:val="single" w:color="auto" w:sz="4" w:space="0"/>
            </w:tcBorders>
            <w:vAlign w:val="center"/>
          </w:tcPr>
          <w:p w14:paraId="32BD9F50">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审查因素</w:t>
            </w:r>
          </w:p>
        </w:tc>
        <w:tc>
          <w:tcPr>
            <w:tcW w:w="6756" w:type="dxa"/>
            <w:tcBorders>
              <w:bottom w:val="single" w:color="auto" w:sz="4" w:space="0"/>
            </w:tcBorders>
            <w:vAlign w:val="center"/>
          </w:tcPr>
          <w:p w14:paraId="1A85DB55">
            <w:pPr>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审查内容和审查标准</w:t>
            </w:r>
          </w:p>
        </w:tc>
      </w:tr>
      <w:tr w14:paraId="062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2" w:type="dxa"/>
            <w:vMerge w:val="restart"/>
            <w:vAlign w:val="center"/>
          </w:tcPr>
          <w:p w14:paraId="15034360">
            <w:pPr>
              <w:spacing w:line="300" w:lineRule="exact"/>
              <w:jc w:val="center"/>
              <w:rPr>
                <w:rFonts w:hint="eastAsia" w:ascii="仿宋" w:hAnsi="仿宋" w:eastAsia="仿宋" w:cs="仿宋"/>
                <w:b/>
                <w:snapToGrid w:val="0"/>
                <w:color w:val="auto"/>
                <w:kern w:val="0"/>
                <w:sz w:val="24"/>
                <w:szCs w:val="24"/>
                <w:highlight w:val="none"/>
              </w:rPr>
            </w:pPr>
          </w:p>
          <w:p w14:paraId="34EDA533">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符</w:t>
            </w:r>
          </w:p>
          <w:p w14:paraId="762D5632">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合</w:t>
            </w:r>
          </w:p>
          <w:p w14:paraId="785359E4">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性</w:t>
            </w:r>
          </w:p>
          <w:p w14:paraId="2D9B085F">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3D129ADF">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6F7443DD">
            <w:pPr>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4D60689B">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5AE1AF0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1425" w:type="dxa"/>
            <w:vAlign w:val="center"/>
          </w:tcPr>
          <w:p w14:paraId="00BA41E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授权委托书</w:t>
            </w:r>
          </w:p>
        </w:tc>
        <w:tc>
          <w:tcPr>
            <w:tcW w:w="6756" w:type="dxa"/>
            <w:vAlign w:val="center"/>
          </w:tcPr>
          <w:p w14:paraId="54A1237D">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投标文件中由法定代表人签字或盖签名章的，须提供法定代表人身份证明书；投标文件中由授权委托人签字的，须提供法定代表人授权委托书及法定代表人身份证明书。</w:t>
            </w:r>
          </w:p>
        </w:tc>
      </w:tr>
      <w:tr w14:paraId="6F63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12" w:type="dxa"/>
            <w:vMerge w:val="continue"/>
            <w:vAlign w:val="center"/>
          </w:tcPr>
          <w:p w14:paraId="08BC7340">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0A71F4B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1425" w:type="dxa"/>
            <w:vAlign w:val="center"/>
          </w:tcPr>
          <w:p w14:paraId="79F8260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投标完整性</w:t>
            </w:r>
          </w:p>
        </w:tc>
        <w:tc>
          <w:tcPr>
            <w:tcW w:w="6756" w:type="dxa"/>
            <w:vAlign w:val="center"/>
          </w:tcPr>
          <w:p w14:paraId="02C6894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未将一个采购包/标项中的内容拆开投标</w:t>
            </w:r>
            <w:r>
              <w:rPr>
                <w:rFonts w:hint="eastAsia" w:ascii="仿宋" w:hAnsi="仿宋" w:eastAsia="仿宋" w:cs="仿宋"/>
                <w:color w:val="auto"/>
                <w:sz w:val="24"/>
                <w:szCs w:val="24"/>
                <w:highlight w:val="none"/>
                <w:lang w:eastAsia="zh-CN"/>
              </w:rPr>
              <w:t>。</w:t>
            </w:r>
          </w:p>
        </w:tc>
      </w:tr>
      <w:tr w14:paraId="6128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812" w:type="dxa"/>
            <w:vMerge w:val="continue"/>
            <w:vAlign w:val="center"/>
          </w:tcPr>
          <w:p w14:paraId="18763326">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38E6844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1425" w:type="dxa"/>
            <w:vAlign w:val="center"/>
          </w:tcPr>
          <w:p w14:paraId="0C8353B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6756" w:type="dxa"/>
            <w:vAlign w:val="center"/>
          </w:tcPr>
          <w:p w14:paraId="62B11A9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投标报价未超过招标文件中规定的项目/采购包预算金额或者项目/采购包最高限价</w:t>
            </w:r>
            <w:r>
              <w:rPr>
                <w:rFonts w:hint="eastAsia" w:ascii="仿宋" w:hAnsi="仿宋" w:eastAsia="仿宋" w:cs="仿宋"/>
                <w:color w:val="auto"/>
                <w:sz w:val="24"/>
                <w:szCs w:val="24"/>
                <w:highlight w:val="none"/>
                <w:lang w:eastAsia="zh-CN"/>
              </w:rPr>
              <w:t>。</w:t>
            </w:r>
          </w:p>
        </w:tc>
      </w:tr>
      <w:tr w14:paraId="2BD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12" w:type="dxa"/>
            <w:vMerge w:val="continue"/>
            <w:vAlign w:val="center"/>
          </w:tcPr>
          <w:p w14:paraId="5FED9E43">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65F39F6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1425" w:type="dxa"/>
            <w:vAlign w:val="center"/>
          </w:tcPr>
          <w:p w14:paraId="1FFCA26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报价唯一性</w:t>
            </w:r>
          </w:p>
        </w:tc>
        <w:tc>
          <w:tcPr>
            <w:tcW w:w="6756" w:type="dxa"/>
            <w:vAlign w:val="center"/>
          </w:tcPr>
          <w:p w14:paraId="63F843B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投标文件未出现可选择性或可调整的报价（招标文件另有规定的除外）</w:t>
            </w:r>
            <w:r>
              <w:rPr>
                <w:rFonts w:hint="eastAsia" w:ascii="仿宋" w:hAnsi="仿宋" w:eastAsia="仿宋" w:cs="仿宋"/>
                <w:color w:val="auto"/>
                <w:sz w:val="24"/>
                <w:szCs w:val="24"/>
                <w:highlight w:val="none"/>
                <w:lang w:eastAsia="zh-CN"/>
              </w:rPr>
              <w:t>。</w:t>
            </w:r>
          </w:p>
        </w:tc>
      </w:tr>
      <w:tr w14:paraId="4F9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2" w:type="dxa"/>
            <w:vMerge w:val="continue"/>
            <w:vAlign w:val="center"/>
          </w:tcPr>
          <w:p w14:paraId="5AA3125D">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69121DA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1425" w:type="dxa"/>
            <w:vAlign w:val="center"/>
          </w:tcPr>
          <w:p w14:paraId="494FBAA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投标有效期</w:t>
            </w:r>
          </w:p>
        </w:tc>
        <w:tc>
          <w:tcPr>
            <w:tcW w:w="6756" w:type="dxa"/>
            <w:vAlign w:val="center"/>
          </w:tcPr>
          <w:p w14:paraId="2067F3F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投标文件中承诺的投标有效期满足招标文件中载明的投标有效期的</w:t>
            </w:r>
            <w:r>
              <w:rPr>
                <w:rFonts w:hint="eastAsia" w:ascii="仿宋" w:hAnsi="仿宋" w:eastAsia="仿宋" w:cs="仿宋"/>
                <w:color w:val="auto"/>
                <w:sz w:val="24"/>
                <w:szCs w:val="24"/>
                <w:highlight w:val="none"/>
                <w:lang w:eastAsia="zh-CN"/>
              </w:rPr>
              <w:t>。</w:t>
            </w:r>
          </w:p>
        </w:tc>
      </w:tr>
      <w:tr w14:paraId="1760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2" w:type="dxa"/>
            <w:vMerge w:val="continue"/>
            <w:vAlign w:val="center"/>
          </w:tcPr>
          <w:p w14:paraId="370E74F3">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56B4021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1425" w:type="dxa"/>
            <w:vAlign w:val="center"/>
          </w:tcPr>
          <w:p w14:paraId="7C968652">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6756" w:type="dxa"/>
            <w:vAlign w:val="center"/>
          </w:tcPr>
          <w:p w14:paraId="4A9EF3C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rPr>
              <w:t>按照磋商文件的规定提交磋商保证金</w:t>
            </w:r>
            <w:r>
              <w:rPr>
                <w:rFonts w:hint="eastAsia" w:ascii="仿宋" w:hAnsi="仿宋" w:eastAsia="仿宋" w:cs="仿宋"/>
                <w:snapToGrid w:val="0"/>
                <w:color w:val="auto"/>
                <w:kern w:val="0"/>
                <w:sz w:val="24"/>
                <w:szCs w:val="24"/>
                <w:highlight w:val="none"/>
                <w:lang w:eastAsia="zh-CN"/>
              </w:rPr>
              <w:t>。</w:t>
            </w:r>
          </w:p>
        </w:tc>
      </w:tr>
      <w:tr w14:paraId="2CCE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12" w:type="dxa"/>
            <w:vMerge w:val="continue"/>
            <w:vAlign w:val="center"/>
          </w:tcPr>
          <w:p w14:paraId="3DA28F4A">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3477692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7</w:t>
            </w:r>
          </w:p>
        </w:tc>
        <w:tc>
          <w:tcPr>
            <w:tcW w:w="1425" w:type="dxa"/>
            <w:vAlign w:val="center"/>
          </w:tcPr>
          <w:p w14:paraId="3B77C8B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签署、盖章</w:t>
            </w:r>
          </w:p>
        </w:tc>
        <w:tc>
          <w:tcPr>
            <w:tcW w:w="6756" w:type="dxa"/>
            <w:vAlign w:val="center"/>
          </w:tcPr>
          <w:p w14:paraId="46BE5BC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按照招标文件要求签署、盖章的</w:t>
            </w:r>
            <w:r>
              <w:rPr>
                <w:rFonts w:hint="eastAsia" w:ascii="仿宋" w:hAnsi="仿宋" w:eastAsia="仿宋" w:cs="仿宋"/>
                <w:color w:val="auto"/>
                <w:sz w:val="24"/>
                <w:szCs w:val="24"/>
                <w:highlight w:val="none"/>
                <w:lang w:eastAsia="zh-CN"/>
              </w:rPr>
              <w:t>。</w:t>
            </w:r>
          </w:p>
        </w:tc>
      </w:tr>
      <w:tr w14:paraId="6270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12" w:type="dxa"/>
            <w:vMerge w:val="continue"/>
            <w:vAlign w:val="center"/>
          </w:tcPr>
          <w:p w14:paraId="1ACA4B50">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59E4ECB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w:t>
            </w:r>
          </w:p>
        </w:tc>
        <w:tc>
          <w:tcPr>
            <w:tcW w:w="1425" w:type="dxa"/>
            <w:vAlign w:val="center"/>
          </w:tcPr>
          <w:p w14:paraId="2B95810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异常低价审查</w:t>
            </w:r>
          </w:p>
        </w:tc>
        <w:tc>
          <w:tcPr>
            <w:tcW w:w="6756" w:type="dxa"/>
            <w:vAlign w:val="center"/>
          </w:tcPr>
          <w:p w14:paraId="460B666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投标报价不存在下列情形之一： </w:t>
            </w:r>
          </w:p>
          <w:p w14:paraId="7084ED4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1.投标报价低于全部通过符合性审查供应商投标报价平均值50%的，即投标报价&lt;全部通过符合性审查供应商投标报价平均值×50%； </w:t>
            </w:r>
          </w:p>
          <w:p w14:paraId="7FFDA49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2.投标报价低于通过符合性审查的次低报价供应商投标报价50%的，即投标报价&lt;通过符合性审查的次低报价供应商投标报价×50%； </w:t>
            </w:r>
          </w:p>
          <w:p w14:paraId="1505CEDB">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3.投标报价低于采购项目最高限价45%的，即投标报价&lt;采购项目最高限价×45%； </w:t>
            </w:r>
          </w:p>
          <w:p w14:paraId="5330818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2DF7C03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注：如有上述情形，评标委员会应当根据招标文件第二章 （二）投标人须知17.7条要求，启动异常低价投标（响应）审查程序。</w:t>
            </w:r>
          </w:p>
        </w:tc>
      </w:tr>
      <w:tr w14:paraId="7076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12" w:type="dxa"/>
            <w:vMerge w:val="continue"/>
            <w:vAlign w:val="center"/>
          </w:tcPr>
          <w:p w14:paraId="10F510E6">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405047D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9</w:t>
            </w:r>
          </w:p>
        </w:tc>
        <w:tc>
          <w:tcPr>
            <w:tcW w:w="1425" w:type="dxa"/>
            <w:vAlign w:val="center"/>
          </w:tcPr>
          <w:p w14:paraId="1A53C64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附加条件</w:t>
            </w:r>
          </w:p>
        </w:tc>
        <w:tc>
          <w:tcPr>
            <w:tcW w:w="6756" w:type="dxa"/>
            <w:vAlign w:val="center"/>
          </w:tcPr>
          <w:p w14:paraId="00D7376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投标文件未含有采购人不能接受的附加条件的</w:t>
            </w:r>
            <w:r>
              <w:rPr>
                <w:rFonts w:hint="eastAsia" w:ascii="仿宋" w:hAnsi="仿宋" w:eastAsia="仿宋" w:cs="仿宋"/>
                <w:color w:val="auto"/>
                <w:sz w:val="24"/>
                <w:szCs w:val="24"/>
                <w:highlight w:val="none"/>
                <w:lang w:eastAsia="zh-CN"/>
              </w:rPr>
              <w:t>。</w:t>
            </w:r>
          </w:p>
        </w:tc>
      </w:tr>
      <w:tr w14:paraId="1CAF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812" w:type="dxa"/>
            <w:vMerge w:val="continue"/>
            <w:vAlign w:val="center"/>
          </w:tcPr>
          <w:p w14:paraId="7F2F85D4">
            <w:pPr>
              <w:spacing w:line="300" w:lineRule="exact"/>
              <w:jc w:val="center"/>
              <w:rPr>
                <w:rFonts w:hint="eastAsia" w:ascii="仿宋" w:hAnsi="仿宋" w:eastAsia="仿宋" w:cs="仿宋"/>
                <w:snapToGrid w:val="0"/>
                <w:color w:val="auto"/>
                <w:kern w:val="0"/>
                <w:sz w:val="24"/>
                <w:szCs w:val="24"/>
                <w:highlight w:val="none"/>
              </w:rPr>
            </w:pPr>
          </w:p>
        </w:tc>
        <w:tc>
          <w:tcPr>
            <w:tcW w:w="788" w:type="dxa"/>
            <w:vAlign w:val="center"/>
          </w:tcPr>
          <w:p w14:paraId="02B6451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w:t>
            </w:r>
          </w:p>
        </w:tc>
        <w:tc>
          <w:tcPr>
            <w:tcW w:w="1425" w:type="dxa"/>
            <w:vAlign w:val="center"/>
          </w:tcPr>
          <w:p w14:paraId="69EE702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756" w:type="dxa"/>
            <w:vAlign w:val="center"/>
          </w:tcPr>
          <w:p w14:paraId="5362E36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投标文件中不存在违反国家法律、法规和招标文件规定的其他无效情形</w:t>
            </w:r>
            <w:r>
              <w:rPr>
                <w:rFonts w:hint="eastAsia" w:ascii="仿宋" w:hAnsi="仿宋" w:eastAsia="仿宋" w:cs="仿宋"/>
                <w:color w:val="auto"/>
                <w:sz w:val="24"/>
                <w:szCs w:val="24"/>
                <w:highlight w:val="none"/>
                <w:lang w:eastAsia="zh-CN"/>
              </w:rPr>
              <w:t>。</w:t>
            </w:r>
          </w:p>
        </w:tc>
      </w:tr>
      <w:tr w14:paraId="6D90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3025" w:type="dxa"/>
            <w:gridSpan w:val="3"/>
            <w:vAlign w:val="center"/>
          </w:tcPr>
          <w:p w14:paraId="2AC6F6C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6756" w:type="dxa"/>
            <w:vAlign w:val="center"/>
          </w:tcPr>
          <w:p w14:paraId="7E737150">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 w:hAnsi="仿宋" w:eastAsia="仿宋" w:cs="仿宋"/>
                <w:snapToGrid w:val="0"/>
                <w:color w:val="auto"/>
                <w:kern w:val="0"/>
                <w:sz w:val="24"/>
                <w:szCs w:val="24"/>
                <w:highlight w:val="none"/>
              </w:rPr>
            </w:pPr>
          </w:p>
        </w:tc>
      </w:tr>
      <w:tr w14:paraId="1B73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781" w:type="dxa"/>
            <w:gridSpan w:val="4"/>
            <w:vAlign w:val="center"/>
          </w:tcPr>
          <w:p w14:paraId="5AEF6A45">
            <w:pPr>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lang w:val="en-US" w:eastAsia="zh-CN"/>
              </w:rPr>
              <w:t>磋商小组</w:t>
            </w:r>
            <w:r>
              <w:rPr>
                <w:rFonts w:hint="eastAsia" w:ascii="仿宋" w:hAnsi="仿宋" w:eastAsia="仿宋" w:cs="仿宋"/>
                <w:b/>
                <w:snapToGrid w:val="0"/>
                <w:color w:val="auto"/>
                <w:kern w:val="0"/>
                <w:sz w:val="24"/>
                <w:szCs w:val="24"/>
                <w:highlight w:val="none"/>
              </w:rPr>
              <w:t>成员签名：</w:t>
            </w:r>
          </w:p>
          <w:p w14:paraId="4BD0C8AB">
            <w:pPr>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                                                              年    月    日</w:t>
            </w:r>
          </w:p>
        </w:tc>
      </w:tr>
      <w:tr w14:paraId="3FB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781" w:type="dxa"/>
            <w:gridSpan w:val="4"/>
            <w:vAlign w:val="center"/>
          </w:tcPr>
          <w:p w14:paraId="77516E15">
            <w:pPr>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投标人通过的，以“√”标记；否则，以“×”标记。如果投标人有一项未通过上述审查，其结论请注明“不合格”，全部通过的，其结论请注明“合格”。资格审查不合格的投标人，投标无效。</w:t>
            </w:r>
          </w:p>
        </w:tc>
      </w:tr>
    </w:tbl>
    <w:p w14:paraId="311BBBDA">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highlight w:val="none"/>
        </w:rPr>
        <w:t>3.详细评审</w:t>
      </w:r>
    </w:p>
    <w:p w14:paraId="52865699">
      <w:pPr>
        <w:pStyle w:val="45"/>
        <w:shd w:val="clear" w:color="auto" w:fill="FFFFFF"/>
        <w:adjustRightInd w:val="0"/>
        <w:snapToGrid w:val="0"/>
        <w:spacing w:line="312" w:lineRule="auto"/>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符合性评审合格的供应商方可进入详细评审阶段。详细评审分为响应文件商务、技术部分评审和投标报价评审。其中，报价部分10分，商务部分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分，技术部分</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分，合计满分100分。</w:t>
      </w:r>
    </w:p>
    <w:p w14:paraId="60271D9E">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3.1报价评审 </w:t>
      </w:r>
    </w:p>
    <w:tbl>
      <w:tblPr>
        <w:tblStyle w:val="1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210"/>
        <w:gridCol w:w="6657"/>
      </w:tblGrid>
      <w:tr w14:paraId="0BEE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21" w:type="dxa"/>
          </w:tcPr>
          <w:p w14:paraId="70F94CB7">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1210" w:type="dxa"/>
            <w:vAlign w:val="center"/>
          </w:tcPr>
          <w:p w14:paraId="1DF5698A">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6657" w:type="dxa"/>
            <w:vAlign w:val="center"/>
          </w:tcPr>
          <w:p w14:paraId="2993436A">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141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1" w:type="dxa"/>
            <w:vAlign w:val="center"/>
          </w:tcPr>
          <w:p w14:paraId="44512ED1">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价格部分（10分）</w:t>
            </w:r>
          </w:p>
        </w:tc>
        <w:tc>
          <w:tcPr>
            <w:tcW w:w="1210" w:type="dxa"/>
            <w:vAlign w:val="center"/>
          </w:tcPr>
          <w:p w14:paraId="45EA4F61">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6657" w:type="dxa"/>
            <w:vAlign w:val="center"/>
          </w:tcPr>
          <w:p w14:paraId="30F97B4C">
            <w:pPr>
              <w:keepNext w:val="0"/>
              <w:keepLines w:val="0"/>
              <w:pageBreakBefore w:val="0"/>
              <w:widowControl w:val="0"/>
              <w:shd w:val="clear" w:color="auto" w:fill="FFFFFF"/>
              <w:kinsoku/>
              <w:wordWrap/>
              <w:overflowPunct/>
              <w:topLinePunct w:val="0"/>
              <w:autoSpaceDE/>
              <w:autoSpaceDN/>
              <w:bidi w:val="0"/>
              <w:adjustRightInd w:val="0"/>
              <w:snapToGrid w:val="0"/>
              <w:spacing w:after="0" w:line="279"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采用低价优先法计算，即满足磋商文件要求且最终磋商报价最低的报价为磋商基准价，其价格分为满分。</w:t>
            </w:r>
          </w:p>
          <w:p w14:paraId="756B32EC">
            <w:pPr>
              <w:keepNext w:val="0"/>
              <w:keepLines w:val="0"/>
              <w:pageBreakBefore w:val="0"/>
              <w:widowControl w:val="0"/>
              <w:shd w:val="clear" w:color="auto" w:fill="FFFFFF"/>
              <w:kinsoku/>
              <w:wordWrap/>
              <w:overflowPunct/>
              <w:topLinePunct w:val="0"/>
              <w:autoSpaceDE/>
              <w:autoSpaceDN/>
              <w:bidi w:val="0"/>
              <w:adjustRightInd w:val="0"/>
              <w:snapToGrid w:val="0"/>
              <w:spacing w:after="0" w:line="279"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其他供应商的价格分统一按照下列公式计算:</w:t>
            </w:r>
          </w:p>
          <w:p w14:paraId="6C9FA955">
            <w:pPr>
              <w:keepNext w:val="0"/>
              <w:keepLines w:val="0"/>
              <w:pageBreakBefore w:val="0"/>
              <w:widowControl w:val="0"/>
              <w:shd w:val="clear" w:color="auto" w:fill="FFFFFF"/>
              <w:kinsoku/>
              <w:wordWrap/>
              <w:overflowPunct/>
              <w:topLinePunct w:val="0"/>
              <w:autoSpaceDE/>
              <w:autoSpaceDN/>
              <w:bidi w:val="0"/>
              <w:adjustRightInd w:val="0"/>
              <w:snapToGrid w:val="0"/>
              <w:spacing w:after="0" w:line="279"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磋商报价得分=(磋商基准价/最终磋商报价)×10%×100（小数点保留两位）</w:t>
            </w:r>
          </w:p>
        </w:tc>
      </w:tr>
    </w:tbl>
    <w:p w14:paraId="6C5BC4E4">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3.2商务技术评审  </w:t>
      </w:r>
    </w:p>
    <w:tbl>
      <w:tblPr>
        <w:tblStyle w:val="1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1"/>
        <w:gridCol w:w="1332"/>
        <w:gridCol w:w="5970"/>
        <w:gridCol w:w="703"/>
      </w:tblGrid>
      <w:tr w14:paraId="4D1C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vAlign w:val="center"/>
          </w:tcPr>
          <w:p w14:paraId="00051C4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bookmarkStart w:id="28" w:name="_Toc127462394"/>
            <w:r>
              <w:rPr>
                <w:rFonts w:hint="eastAsia" w:ascii="仿宋" w:hAnsi="仿宋" w:eastAsia="仿宋" w:cs="仿宋"/>
                <w:color w:val="auto"/>
                <w:sz w:val="24"/>
                <w:szCs w:val="24"/>
                <w:highlight w:val="none"/>
              </w:rPr>
              <w:t>序号</w:t>
            </w:r>
          </w:p>
        </w:tc>
        <w:tc>
          <w:tcPr>
            <w:tcW w:w="1181" w:type="dxa"/>
            <w:vAlign w:val="center"/>
          </w:tcPr>
          <w:p w14:paraId="5FBD137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bookmarkStart w:id="29" w:name="_Hlk4407085"/>
            <w:bookmarkStart w:id="30" w:name="_Toc447265562"/>
            <w:bookmarkStart w:id="31" w:name="_Toc447265276"/>
            <w:bookmarkStart w:id="32" w:name="_Toc226969316"/>
            <w:bookmarkStart w:id="33" w:name="_Toc227057922"/>
            <w:bookmarkStart w:id="34" w:name="_Toc107822520"/>
            <w:r>
              <w:rPr>
                <w:rFonts w:hint="eastAsia" w:ascii="仿宋" w:hAnsi="仿宋" w:eastAsia="仿宋" w:cs="仿宋"/>
                <w:color w:val="auto"/>
                <w:sz w:val="24"/>
                <w:szCs w:val="24"/>
                <w:highlight w:val="none"/>
              </w:rPr>
              <w:t>类型</w:t>
            </w:r>
          </w:p>
        </w:tc>
        <w:tc>
          <w:tcPr>
            <w:tcW w:w="1332" w:type="dxa"/>
            <w:vAlign w:val="center"/>
          </w:tcPr>
          <w:p w14:paraId="7CEC4AA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5970" w:type="dxa"/>
            <w:vAlign w:val="center"/>
          </w:tcPr>
          <w:p w14:paraId="66D2B65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评审规则</w:t>
            </w:r>
          </w:p>
        </w:tc>
        <w:tc>
          <w:tcPr>
            <w:tcW w:w="703" w:type="dxa"/>
            <w:vAlign w:val="center"/>
          </w:tcPr>
          <w:p w14:paraId="5C544CD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1704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vMerge w:val="restart"/>
            <w:vAlign w:val="center"/>
          </w:tcPr>
          <w:p w14:paraId="7CFE374B">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1" w:type="dxa"/>
            <w:vMerge w:val="restart"/>
            <w:vAlign w:val="center"/>
          </w:tcPr>
          <w:p w14:paraId="7592EE55">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商务部分（30分）</w:t>
            </w:r>
          </w:p>
        </w:tc>
        <w:tc>
          <w:tcPr>
            <w:tcW w:w="1332" w:type="dxa"/>
            <w:shd w:val="clear" w:color="auto" w:fill="auto"/>
            <w:vAlign w:val="center"/>
          </w:tcPr>
          <w:p w14:paraId="79EA438A">
            <w:pPr>
              <w:pStyle w:val="46"/>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zh-TW" w:eastAsia="zh-CN"/>
              </w:rPr>
            </w:pPr>
            <w:r>
              <w:rPr>
                <w:rFonts w:hint="eastAsia" w:ascii="仿宋" w:hAnsi="仿宋" w:eastAsia="仿宋" w:cs="仿宋"/>
                <w:snapToGrid w:val="0"/>
                <w:color w:val="auto"/>
                <w:kern w:val="0"/>
                <w:sz w:val="24"/>
                <w:szCs w:val="24"/>
                <w:highlight w:val="none"/>
                <w:lang w:val="zh-TW" w:eastAsia="zh-CN"/>
              </w:rPr>
              <w:t>供应商业绩</w:t>
            </w:r>
            <w:r>
              <w:rPr>
                <w:rFonts w:hint="eastAsia" w:ascii="仿宋" w:hAnsi="仿宋" w:eastAsia="仿宋" w:cs="仿宋"/>
                <w:snapToGrid w:val="0"/>
                <w:color w:val="auto"/>
                <w:kern w:val="0"/>
                <w:sz w:val="24"/>
                <w:szCs w:val="24"/>
                <w:highlight w:val="none"/>
                <w:lang w:val="en-US" w:eastAsia="zh-CN"/>
              </w:rPr>
              <w:t>（12分）</w:t>
            </w:r>
          </w:p>
          <w:p w14:paraId="713467B1">
            <w:pPr>
              <w:pStyle w:val="46"/>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bidi="ar-SA"/>
              </w:rPr>
            </w:pPr>
          </w:p>
        </w:tc>
        <w:tc>
          <w:tcPr>
            <w:tcW w:w="5970" w:type="dxa"/>
            <w:shd w:val="clear" w:color="auto" w:fill="auto"/>
            <w:vAlign w:val="center"/>
          </w:tcPr>
          <w:p w14:paraId="56D8DFC7">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供应商在2023年1月1日至今承接过类似业绩的，每提供一个有效业绩得4分，满分12分。</w:t>
            </w:r>
          </w:p>
          <w:p w14:paraId="62A91FAD">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注：以合同签订时间为准，须提供合同关键页扫描件（包括项目名称页、金额页、签章页等）。扫描件并加盖公章，否则不得分。</w:t>
            </w:r>
          </w:p>
        </w:tc>
        <w:tc>
          <w:tcPr>
            <w:tcW w:w="703" w:type="dxa"/>
            <w:shd w:val="clear" w:color="auto" w:fill="auto"/>
            <w:vAlign w:val="center"/>
          </w:tcPr>
          <w:p w14:paraId="2D472491">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rPr>
              <w:t>12</w:t>
            </w:r>
          </w:p>
        </w:tc>
      </w:tr>
      <w:tr w14:paraId="17CC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28" w:type="dxa"/>
            <w:vMerge w:val="continue"/>
            <w:vAlign w:val="center"/>
          </w:tcPr>
          <w:p w14:paraId="181F99B9">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lang w:val="en-US" w:eastAsia="zh-CN"/>
              </w:rPr>
            </w:pPr>
          </w:p>
        </w:tc>
        <w:tc>
          <w:tcPr>
            <w:tcW w:w="1181" w:type="dxa"/>
            <w:vMerge w:val="continue"/>
            <w:vAlign w:val="center"/>
          </w:tcPr>
          <w:p w14:paraId="45D12EE8">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p>
        </w:tc>
        <w:tc>
          <w:tcPr>
            <w:tcW w:w="1332" w:type="dxa"/>
            <w:shd w:val="clear" w:color="auto" w:fill="auto"/>
            <w:vAlign w:val="center"/>
          </w:tcPr>
          <w:p w14:paraId="1E534C1B">
            <w:pPr>
              <w:pStyle w:val="46"/>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软件著作权</w:t>
            </w:r>
          </w:p>
          <w:p w14:paraId="59CBA0E5">
            <w:pPr>
              <w:pStyle w:val="46"/>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rPr>
              <w:t>（6分）</w:t>
            </w:r>
          </w:p>
        </w:tc>
        <w:tc>
          <w:tcPr>
            <w:tcW w:w="5970" w:type="dxa"/>
            <w:shd w:val="clear" w:color="auto" w:fill="auto"/>
            <w:vAlign w:val="center"/>
          </w:tcPr>
          <w:p w14:paraId="7DA2EA43">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供应商具有安全生产或监测预警类相关的软件著作权证书，具备1个得3分，最高得6分。</w:t>
            </w:r>
          </w:p>
          <w:p w14:paraId="62BC8FB6">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7746F7B3">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1.以投标截止之日前取得的计算机软件著作权证书为准，否则对应的证书不得分。</w:t>
            </w:r>
          </w:p>
          <w:p w14:paraId="497C5D01">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2.须提供清晰且有效期内的证明文件复印件或扫描件，软件著作权证书须包含上述对应类别关键词，著作权人须与供应商名称一致，否则不得分。</w:t>
            </w:r>
          </w:p>
        </w:tc>
        <w:tc>
          <w:tcPr>
            <w:tcW w:w="703" w:type="dxa"/>
            <w:shd w:val="clear" w:color="auto" w:fill="auto"/>
            <w:vAlign w:val="center"/>
          </w:tcPr>
          <w:p w14:paraId="639B90F5">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rPr>
              <w:t>6</w:t>
            </w:r>
          </w:p>
        </w:tc>
      </w:tr>
      <w:tr w14:paraId="024F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28" w:type="dxa"/>
            <w:vMerge w:val="continue"/>
            <w:vAlign w:val="center"/>
          </w:tcPr>
          <w:p w14:paraId="22387483">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2CE177A3">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vAlign w:val="center"/>
          </w:tcPr>
          <w:p w14:paraId="4135CF97">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rPr>
              <w:t>项目负责人</w:t>
            </w:r>
          </w:p>
          <w:p w14:paraId="05019742">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（4分）</w:t>
            </w:r>
          </w:p>
        </w:tc>
        <w:tc>
          <w:tcPr>
            <w:tcW w:w="5970" w:type="dxa"/>
            <w:vAlign w:val="center"/>
          </w:tcPr>
          <w:p w14:paraId="0E3A3EB4">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拟投入本项目的负责人：</w:t>
            </w:r>
          </w:p>
          <w:p w14:paraId="4BABB13E">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1.项目负责人具备全国计算机技术与软件专业技术资格（水平）证书（高级），得 3 分；项目负责人具备全国计算机技术与软件技术资格(水平)证书（中级），得1分，其余不得分。（高、中级不重复计分，按所持最高等级计分。）</w:t>
            </w:r>
          </w:p>
          <w:p w14:paraId="3631E69C">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2.项目负责人具有3 年及以上信息化系统或监测预警系统运维相关工作经验，得 1 分。</w:t>
            </w:r>
          </w:p>
          <w:p w14:paraId="12C0A8CA">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本项累计最高得4分。</w:t>
            </w:r>
          </w:p>
          <w:p w14:paraId="0D11B51D">
            <w:pPr>
              <w:pStyle w:val="47"/>
              <w:keepNext w:val="0"/>
              <w:keepLines w:val="0"/>
              <w:pageBreakBefore w:val="0"/>
              <w:kinsoku/>
              <w:wordWrap/>
              <w:overflowPunct/>
              <w:topLinePunct w:val="0"/>
              <w:autoSpaceDE/>
              <w:autoSpaceDN/>
              <w:bidi w:val="0"/>
              <w:spacing w:after="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40348455">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1.提供供应商在本项目投标截止之日前六个月内任意一期为其缴纳社保的证明材料扫描件，加盖投标人公章。</w:t>
            </w:r>
          </w:p>
          <w:p w14:paraId="6A320422">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2.提供有效证书的复印件,加盖投标人公章。</w:t>
            </w:r>
          </w:p>
          <w:p w14:paraId="74702558">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3.相关工作经验年限证明材料满足以下其中之一即可：</w:t>
            </w:r>
          </w:p>
          <w:p w14:paraId="301D7C75">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（1）原单位出具的工作任职证明（加盖公章）；</w:t>
            </w:r>
          </w:p>
          <w:p w14:paraId="7C27F827">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（2）证书获取时间；</w:t>
            </w:r>
          </w:p>
          <w:p w14:paraId="0240365C">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（3）同类项目中合同或验收报告中明确列出该人员为项目负责人或运维工程师；</w:t>
            </w:r>
          </w:p>
          <w:p w14:paraId="1C5210EF">
            <w:pPr>
              <w:pStyle w:val="47"/>
              <w:keepNext w:val="0"/>
              <w:keepLines w:val="0"/>
              <w:pageBreakBefore w:val="0"/>
              <w:kinsoku/>
              <w:wordWrap/>
              <w:overflowPunct/>
              <w:topLinePunct w:val="0"/>
              <w:autoSpaceDE/>
              <w:autoSpaceDN/>
              <w:bidi w:val="0"/>
              <w:spacing w:after="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（4）劳动合同岗位明确为：信息化运维、系统运维、平台运维、监测预警系统运维、技术支持等相关岗位。</w:t>
            </w:r>
          </w:p>
        </w:tc>
        <w:tc>
          <w:tcPr>
            <w:tcW w:w="703" w:type="dxa"/>
            <w:vAlign w:val="center"/>
          </w:tcPr>
          <w:p w14:paraId="3FBA990D">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1DCF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28" w:type="dxa"/>
            <w:vMerge w:val="continue"/>
            <w:vAlign w:val="center"/>
          </w:tcPr>
          <w:p w14:paraId="578D12E8">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65C86559">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vAlign w:val="center"/>
          </w:tcPr>
          <w:p w14:paraId="024042A2">
            <w:pPr>
              <w:keepNext w:val="0"/>
              <w:keepLines w:val="0"/>
              <w:pageBreakBefore w:val="0"/>
              <w:tabs>
                <w:tab w:val="left" w:pos="270"/>
              </w:tabs>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服务团队（8分）</w:t>
            </w:r>
          </w:p>
        </w:tc>
        <w:tc>
          <w:tcPr>
            <w:tcW w:w="5970" w:type="dxa"/>
            <w:vAlign w:val="center"/>
          </w:tcPr>
          <w:p w14:paraId="2B2F2CC9">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1.供应商拟为本项目配备的</w:t>
            </w:r>
            <w:r>
              <w:rPr>
                <w:rFonts w:hint="eastAsia" w:ascii="仿宋" w:hAnsi="仿宋" w:eastAsia="仿宋" w:cs="仿宋"/>
                <w:color w:val="auto"/>
                <w:sz w:val="24"/>
                <w:szCs w:val="24"/>
                <w:highlight w:val="none"/>
                <w:lang w:val="en-US" w:eastAsia="zh-Hans"/>
              </w:rPr>
              <w:t>团队成员</w:t>
            </w:r>
            <w:r>
              <w:rPr>
                <w:rFonts w:hint="eastAsia" w:ascii="仿宋" w:hAnsi="仿宋" w:eastAsia="仿宋" w:cs="仿宋"/>
                <w:color w:val="auto"/>
                <w:sz w:val="24"/>
                <w:szCs w:val="24"/>
                <w:highlight w:val="none"/>
                <w:lang w:val="en-US" w:eastAsia="zh-CN"/>
              </w:rPr>
              <w:t>（不含项目负责人）为5</w:t>
            </w:r>
            <w:r>
              <w:rPr>
                <w:rFonts w:hint="eastAsia" w:ascii="仿宋" w:hAnsi="仿宋" w:eastAsia="仿宋" w:cs="仿宋"/>
                <w:color w:val="auto"/>
                <w:sz w:val="24"/>
                <w:szCs w:val="24"/>
                <w:highlight w:val="none"/>
                <w:lang w:val="en-US" w:eastAsia="zh-Hans"/>
              </w:rPr>
              <w:t>人及以上</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Hans"/>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Hans"/>
              </w:rPr>
              <w:t>分</w:t>
            </w:r>
            <w:r>
              <w:rPr>
                <w:rFonts w:hint="eastAsia" w:ascii="仿宋" w:hAnsi="仿宋" w:eastAsia="仿宋" w:cs="仿宋"/>
                <w:color w:val="auto"/>
                <w:sz w:val="24"/>
                <w:szCs w:val="24"/>
                <w:highlight w:val="none"/>
                <w:lang w:val="en-US" w:eastAsia="zh-CN"/>
              </w:rPr>
              <w:t>，不足5人的，不得分；</w:t>
            </w:r>
          </w:p>
          <w:p w14:paraId="2BDEF512">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2.供应商拟为本项目配备团队人员（不含项目负责人）具有：全国计算机技术与软件技术资格(水平)考试中级及以上资格证书的，每提供1人得2分，最高得4分（同一人员仅按最高等级证书计分1次，不重复累加）；</w:t>
            </w:r>
          </w:p>
          <w:p w14:paraId="2E46B824">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3.拟投入团队人员（不含项目负责人）具备信息化系统、应急监测预警系统相关运维工作经验，每提供1人相关从业佐证得1分，最高2分。</w:t>
            </w:r>
          </w:p>
          <w:p w14:paraId="52E7318C">
            <w:pPr>
              <w:pStyle w:val="47"/>
              <w:keepNext w:val="0"/>
              <w:keepLines w:val="0"/>
              <w:pageBreakBefore w:val="0"/>
              <w:kinsoku/>
              <w:wordWrap/>
              <w:overflowPunct/>
              <w:topLinePunct w:val="0"/>
              <w:autoSpaceDE/>
              <w:autoSpaceDN/>
              <w:bidi w:val="0"/>
              <w:spacing w:after="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52EFBC4E">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1.提供供应商在本项目投标截止之日前六个月内任意一期为缴纳社保的证明材料扫描件，加盖投标人公章。</w:t>
            </w:r>
          </w:p>
          <w:p w14:paraId="63B7B823">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2.提供有效证书的复印件,加盖投标人公章。（资格证书、从业经验佐证材料须清晰可辨）</w:t>
            </w:r>
          </w:p>
          <w:p w14:paraId="0260BD66">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3.本项从业佐证材料满足以下其中之一即可：</w:t>
            </w:r>
          </w:p>
          <w:p w14:paraId="1B6C15D6">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（1）劳动合同岗位明确为：信息化运维、系统运维、平台运维、监测预警系统运维、技术支持等相关岗位；</w:t>
            </w:r>
          </w:p>
          <w:p w14:paraId="0ECB9150">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（2）所在单位出具的相关工作任职证明（加盖公章）；</w:t>
            </w:r>
          </w:p>
          <w:p w14:paraId="216585F9">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（3）同类信息化/监测预警系统运维项目合同（含人员任职页，需体现人员姓名）</w:t>
            </w:r>
          </w:p>
          <w:p w14:paraId="2146CBDF">
            <w:pPr>
              <w:pStyle w:val="47"/>
              <w:keepNext w:val="0"/>
              <w:keepLines w:val="0"/>
              <w:pageBreakBefore w:val="0"/>
              <w:kinsoku/>
              <w:wordWrap/>
              <w:overflowPunct/>
              <w:topLinePunct w:val="0"/>
              <w:autoSpaceDE/>
              <w:autoSpaceDN/>
              <w:bidi w:val="0"/>
              <w:spacing w:after="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（4）项目验收报告人员参与页，需体现人员姓名。</w:t>
            </w:r>
          </w:p>
        </w:tc>
        <w:tc>
          <w:tcPr>
            <w:tcW w:w="703" w:type="dxa"/>
            <w:vAlign w:val="center"/>
          </w:tcPr>
          <w:p w14:paraId="50F0CD46">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3AB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restart"/>
            <w:shd w:val="clear" w:color="auto" w:fill="auto"/>
            <w:vAlign w:val="center"/>
          </w:tcPr>
          <w:p w14:paraId="28F85FD1">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181" w:type="dxa"/>
            <w:vMerge w:val="restart"/>
            <w:shd w:val="clear" w:color="auto" w:fill="auto"/>
            <w:vAlign w:val="center"/>
          </w:tcPr>
          <w:p w14:paraId="2E3CB5AA">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tc>
        <w:tc>
          <w:tcPr>
            <w:tcW w:w="1332" w:type="dxa"/>
            <w:vAlign w:val="center"/>
          </w:tcPr>
          <w:p w14:paraId="7C51C7D0">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对服务系统现状的理解</w:t>
            </w:r>
          </w:p>
          <w:p w14:paraId="589C2ECF">
            <w:pPr>
              <w:keepNext w:val="0"/>
              <w:keepLines w:val="0"/>
              <w:pageBreakBefore w:val="0"/>
              <w:kinsoku/>
              <w:wordWrap/>
              <w:overflowPunct/>
              <w:topLinePunct w:val="0"/>
              <w:autoSpaceDE/>
              <w:autoSpaceDN/>
              <w:bidi w:val="0"/>
              <w:spacing w:after="0"/>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（12分）</w:t>
            </w:r>
          </w:p>
        </w:tc>
        <w:tc>
          <w:tcPr>
            <w:tcW w:w="5970" w:type="dxa"/>
            <w:vAlign w:val="center"/>
          </w:tcPr>
          <w:p w14:paraId="61E26AE8">
            <w:pPr>
              <w:pStyle w:val="47"/>
              <w:spacing w:after="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需对项目需求进行深入分析和理解，包括结合项目概况进行整体现状分析、项目背景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项目目标</w:t>
            </w:r>
            <w:r>
              <w:rPr>
                <w:rFonts w:hint="eastAsia" w:ascii="仿宋" w:hAnsi="仿宋" w:eastAsia="仿宋" w:cs="仿宋"/>
                <w:color w:val="auto"/>
                <w:sz w:val="24"/>
                <w:szCs w:val="24"/>
                <w:highlight w:val="none"/>
              </w:rPr>
              <w:t>内容说明，详细包括：</w:t>
            </w:r>
          </w:p>
          <w:p w14:paraId="69E8C69F">
            <w:pPr>
              <w:pStyle w:val="47"/>
              <w:spacing w:after="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1.在现状分析方面，对项目现状的了解和分析进行详细描述；</w:t>
            </w:r>
          </w:p>
          <w:p w14:paraId="62F6B366">
            <w:pPr>
              <w:pStyle w:val="47"/>
              <w:spacing w:after="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2.在项目背景方面，需对本期项目背景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意义与</w:t>
            </w:r>
            <w:r>
              <w:rPr>
                <w:rFonts w:hint="eastAsia" w:ascii="仿宋" w:hAnsi="仿宋" w:eastAsia="仿宋" w:cs="仿宋"/>
                <w:color w:val="auto"/>
                <w:sz w:val="24"/>
                <w:szCs w:val="24"/>
                <w:highlight w:val="none"/>
              </w:rPr>
              <w:t>必要性进行详细描述；</w:t>
            </w:r>
          </w:p>
          <w:p w14:paraId="461F94C8">
            <w:pPr>
              <w:pStyle w:val="47"/>
              <w:spacing w:after="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3.在项目目标方面，需对本期项目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目标、项目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内容进行详细描述。</w:t>
            </w:r>
          </w:p>
          <w:p w14:paraId="11D5B8DD">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GB" w:eastAsia="en-US" w:bidi="ar-SA"/>
              </w:rPr>
              <w:t>上述</w:t>
            </w:r>
            <w:r>
              <w:rPr>
                <w:rFonts w:hint="eastAsia" w:ascii="仿宋" w:hAnsi="仿宋" w:eastAsia="仿宋" w:cs="仿宋"/>
                <w:snapToGrid w:val="0"/>
                <w:color w:val="000000"/>
                <w:spacing w:val="-8"/>
                <w:kern w:val="0"/>
                <w:sz w:val="24"/>
                <w:szCs w:val="24"/>
                <w:highlight w:val="none"/>
                <w:lang w:val="en-US" w:eastAsia="zh-CN" w:bidi="ar-SA"/>
              </w:rPr>
              <w:t>3</w:t>
            </w:r>
            <w:r>
              <w:rPr>
                <w:rFonts w:hint="eastAsia" w:ascii="仿宋" w:hAnsi="仿宋" w:eastAsia="仿宋" w:cs="仿宋"/>
                <w:snapToGrid w:val="0"/>
                <w:color w:val="000000"/>
                <w:spacing w:val="-8"/>
                <w:kern w:val="0"/>
                <w:sz w:val="24"/>
                <w:szCs w:val="24"/>
                <w:highlight w:val="none"/>
                <w:lang w:val="en-GB" w:eastAsia="en-US" w:bidi="ar-SA"/>
              </w:rPr>
              <w:t>项</w:t>
            </w:r>
            <w:r>
              <w:rPr>
                <w:rFonts w:hint="eastAsia" w:ascii="仿宋" w:hAnsi="仿宋" w:eastAsia="仿宋" w:cs="仿宋"/>
                <w:snapToGrid w:val="0"/>
                <w:color w:val="000000"/>
                <w:spacing w:val="-8"/>
                <w:kern w:val="0"/>
                <w:sz w:val="24"/>
                <w:szCs w:val="24"/>
                <w:highlight w:val="none"/>
                <w:lang w:val="en-GB" w:eastAsia="zh-CN" w:bidi="ar-SA"/>
              </w:rPr>
              <w:t>全部提供且无缺陷</w:t>
            </w:r>
            <w:r>
              <w:rPr>
                <w:rFonts w:hint="eastAsia" w:ascii="仿宋" w:hAnsi="仿宋" w:eastAsia="仿宋" w:cs="仿宋"/>
                <w:snapToGrid w:val="0"/>
                <w:color w:val="000000"/>
                <w:spacing w:val="-8"/>
                <w:kern w:val="0"/>
                <w:sz w:val="24"/>
                <w:szCs w:val="24"/>
                <w:highlight w:val="none"/>
                <w:lang w:val="en-GB" w:eastAsia="en-US" w:bidi="ar-SA"/>
              </w:rPr>
              <w:t>得</w:t>
            </w:r>
            <w:r>
              <w:rPr>
                <w:rFonts w:hint="eastAsia" w:ascii="仿宋" w:hAnsi="仿宋" w:eastAsia="仿宋" w:cs="仿宋"/>
                <w:snapToGrid w:val="0"/>
                <w:color w:val="000000"/>
                <w:spacing w:val="-8"/>
                <w:kern w:val="0"/>
                <w:sz w:val="24"/>
                <w:szCs w:val="24"/>
                <w:highlight w:val="none"/>
                <w:lang w:val="en-US" w:eastAsia="zh-CN" w:bidi="ar-SA"/>
              </w:rPr>
              <w:t>12</w:t>
            </w:r>
            <w:r>
              <w:rPr>
                <w:rFonts w:hint="eastAsia" w:ascii="仿宋" w:hAnsi="仿宋" w:eastAsia="仿宋" w:cs="仿宋"/>
                <w:snapToGrid w:val="0"/>
                <w:color w:val="000000"/>
                <w:spacing w:val="-8"/>
                <w:kern w:val="0"/>
                <w:sz w:val="24"/>
                <w:szCs w:val="24"/>
                <w:highlight w:val="none"/>
                <w:lang w:val="en-GB" w:eastAsia="en-US" w:bidi="ar-SA"/>
              </w:rPr>
              <w:t>分；每缺一项内容，扣</w:t>
            </w:r>
            <w:r>
              <w:rPr>
                <w:rFonts w:hint="eastAsia" w:ascii="仿宋" w:hAnsi="仿宋" w:eastAsia="仿宋" w:cs="仿宋"/>
                <w:snapToGrid w:val="0"/>
                <w:color w:val="000000"/>
                <w:spacing w:val="-8"/>
                <w:kern w:val="0"/>
                <w:sz w:val="24"/>
                <w:szCs w:val="24"/>
                <w:highlight w:val="none"/>
                <w:lang w:val="en-US" w:eastAsia="zh-CN" w:bidi="ar-SA"/>
              </w:rPr>
              <w:t>4</w:t>
            </w:r>
            <w:r>
              <w:rPr>
                <w:rFonts w:hint="eastAsia" w:ascii="仿宋" w:hAnsi="仿宋" w:eastAsia="仿宋" w:cs="仿宋"/>
                <w:snapToGrid w:val="0"/>
                <w:color w:val="000000"/>
                <w:spacing w:val="-8"/>
                <w:kern w:val="0"/>
                <w:sz w:val="24"/>
                <w:szCs w:val="24"/>
                <w:highlight w:val="none"/>
                <w:lang w:val="en-GB" w:eastAsia="en-US" w:bidi="ar-SA"/>
              </w:rPr>
              <w:t>分；每项内容中每有一处缺陷扣</w:t>
            </w:r>
            <w:r>
              <w:rPr>
                <w:rFonts w:hint="eastAsia" w:ascii="仿宋" w:hAnsi="仿宋" w:eastAsia="仿宋" w:cs="仿宋"/>
                <w:snapToGrid w:val="0"/>
                <w:color w:val="000000"/>
                <w:spacing w:val="-8"/>
                <w:kern w:val="0"/>
                <w:sz w:val="24"/>
                <w:szCs w:val="24"/>
                <w:highlight w:val="none"/>
                <w:lang w:val="en-US" w:eastAsia="zh-CN" w:bidi="ar-SA"/>
              </w:rPr>
              <w:t>2</w:t>
            </w:r>
            <w:r>
              <w:rPr>
                <w:rFonts w:hint="eastAsia" w:ascii="仿宋" w:hAnsi="仿宋" w:eastAsia="仿宋" w:cs="仿宋"/>
                <w:snapToGrid w:val="0"/>
                <w:color w:val="000000"/>
                <w:spacing w:val="-8"/>
                <w:kern w:val="0"/>
                <w:sz w:val="24"/>
                <w:szCs w:val="24"/>
                <w:highlight w:val="none"/>
                <w:lang w:val="en-GB" w:eastAsia="en-US" w:bidi="ar-SA"/>
              </w:rPr>
              <w:t>分，每项</w:t>
            </w:r>
            <w:r>
              <w:rPr>
                <w:rFonts w:hint="eastAsia" w:ascii="仿宋" w:hAnsi="仿宋" w:eastAsia="仿宋" w:cs="仿宋"/>
                <w:snapToGrid w:val="0"/>
                <w:color w:val="000000"/>
                <w:spacing w:val="-8"/>
                <w:kern w:val="0"/>
                <w:sz w:val="24"/>
                <w:szCs w:val="24"/>
                <w:highlight w:val="none"/>
                <w:lang w:val="en-GB" w:eastAsia="zh-CN" w:bidi="ar-SA"/>
              </w:rPr>
              <w:t>扣完为止</w:t>
            </w:r>
            <w:r>
              <w:rPr>
                <w:rFonts w:hint="eastAsia" w:ascii="仿宋" w:hAnsi="仿宋" w:eastAsia="仿宋" w:cs="仿宋"/>
                <w:snapToGrid w:val="0"/>
                <w:color w:val="000000"/>
                <w:spacing w:val="-8"/>
                <w:kern w:val="0"/>
                <w:sz w:val="24"/>
                <w:szCs w:val="24"/>
                <w:highlight w:val="none"/>
                <w:lang w:val="en-GB" w:eastAsia="en-US" w:bidi="ar-SA"/>
              </w:rPr>
              <w:t>。</w:t>
            </w:r>
          </w:p>
          <w:p w14:paraId="15C878FB">
            <w:pPr>
              <w:pStyle w:val="47"/>
              <w:spacing w:after="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5F14D0EF">
            <w:pPr>
              <w:keepNext w:val="0"/>
              <w:keepLines w:val="0"/>
              <w:pageBreakBefore w:val="0"/>
              <w:kinsoku/>
              <w:wordWrap/>
              <w:overflowPunct/>
              <w:topLinePunct w:val="0"/>
              <w:autoSpaceDE/>
              <w:autoSpaceDN/>
              <w:bidi w:val="0"/>
              <w:adjustRightInd w:val="0"/>
              <w:snapToGrid w:val="0"/>
              <w:spacing w:after="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1E47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vAlign w:val="center"/>
          </w:tcPr>
          <w:p w14:paraId="5DB9DB16">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lang w:val="en-US" w:eastAsia="zh-CN"/>
              </w:rPr>
            </w:pPr>
          </w:p>
        </w:tc>
        <w:tc>
          <w:tcPr>
            <w:tcW w:w="1181" w:type="dxa"/>
            <w:vMerge w:val="continue"/>
            <w:vAlign w:val="center"/>
          </w:tcPr>
          <w:p w14:paraId="31A8908F">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vAlign w:val="center"/>
          </w:tcPr>
          <w:p w14:paraId="7AA64D19">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系统运行维护实施</w:t>
            </w:r>
            <w:r>
              <w:rPr>
                <w:rFonts w:hint="eastAsia" w:ascii="仿宋" w:hAnsi="仿宋" w:eastAsia="仿宋" w:cs="仿宋"/>
                <w:snapToGrid w:val="0"/>
                <w:color w:val="auto"/>
                <w:kern w:val="0"/>
                <w:sz w:val="24"/>
                <w:szCs w:val="24"/>
                <w:highlight w:val="none"/>
              </w:rPr>
              <w:t>方案</w:t>
            </w:r>
          </w:p>
          <w:p w14:paraId="67071EB3">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20</w:t>
            </w:r>
            <w:r>
              <w:rPr>
                <w:rFonts w:hint="eastAsia" w:ascii="仿宋" w:hAnsi="仿宋" w:eastAsia="仿宋" w:cs="仿宋"/>
                <w:snapToGrid w:val="0"/>
                <w:color w:val="auto"/>
                <w:kern w:val="0"/>
                <w:sz w:val="24"/>
                <w:szCs w:val="24"/>
                <w:highlight w:val="none"/>
              </w:rPr>
              <w:t>分）</w:t>
            </w:r>
          </w:p>
        </w:tc>
        <w:tc>
          <w:tcPr>
            <w:tcW w:w="5970" w:type="dxa"/>
            <w:vAlign w:val="center"/>
          </w:tcPr>
          <w:p w14:paraId="1C45F40D">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根据相关业务平台运行情况提供详细、符合实际需求的运维实施方案，从日常巡检、系统维护、故障处理、技术支持、网络安全方面说明：</w:t>
            </w:r>
          </w:p>
          <w:p w14:paraId="0C465CE6">
            <w:pPr>
              <w:pStyle w:val="47"/>
              <w:keepNext w:val="0"/>
              <w:keepLines w:val="0"/>
              <w:pageBreakBefore w:val="0"/>
              <w:numPr>
                <w:ilvl w:val="-1"/>
                <w:numId w:val="0"/>
              </w:numPr>
              <w:kinsoku/>
              <w:wordWrap/>
              <w:overflowPunct/>
              <w:topLinePunct w:val="0"/>
              <w:autoSpaceDE/>
              <w:autoSpaceDN/>
              <w:bidi w:val="0"/>
              <w:spacing w:after="0"/>
              <w:ind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日常巡检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对巡检频次、内容、方法、处理方式进行说明；</w:t>
            </w:r>
          </w:p>
          <w:p w14:paraId="56660421">
            <w:pPr>
              <w:pStyle w:val="47"/>
              <w:keepNext w:val="0"/>
              <w:keepLines w:val="0"/>
              <w:pageBreakBefore w:val="0"/>
              <w:numPr>
                <w:ilvl w:val="-1"/>
                <w:numId w:val="0"/>
              </w:numPr>
              <w:kinsoku/>
              <w:wordWrap/>
              <w:overflowPunct/>
              <w:topLinePunct w:val="0"/>
              <w:autoSpaceDE/>
              <w:autoSpaceDN/>
              <w:bidi w:val="0"/>
              <w:spacing w:after="0"/>
              <w:ind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2.系统</w:t>
            </w:r>
            <w:r>
              <w:rPr>
                <w:rFonts w:hint="eastAsia" w:ascii="仿宋" w:hAnsi="仿宋" w:eastAsia="仿宋" w:cs="仿宋"/>
                <w:color w:val="auto"/>
                <w:sz w:val="24"/>
                <w:szCs w:val="24"/>
                <w:highlight w:val="none"/>
              </w:rPr>
              <w:t>维护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对系统维护与优化、系统运行情况分析进行描述；</w:t>
            </w:r>
          </w:p>
          <w:p w14:paraId="1367F56A">
            <w:pPr>
              <w:pStyle w:val="47"/>
              <w:keepNext w:val="0"/>
              <w:keepLines w:val="0"/>
              <w:pageBreakBefore w:val="0"/>
              <w:numPr>
                <w:ilvl w:val="-1"/>
                <w:numId w:val="0"/>
              </w:numPr>
              <w:kinsoku/>
              <w:wordWrap/>
              <w:overflowPunct/>
              <w:topLinePunct w:val="0"/>
              <w:autoSpaceDE/>
              <w:autoSpaceDN/>
              <w:bidi w:val="0"/>
              <w:spacing w:after="0"/>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故障处理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描述日常问题处理、系统故障应急处理方法；</w:t>
            </w:r>
          </w:p>
          <w:p w14:paraId="312B5125">
            <w:pPr>
              <w:pStyle w:val="47"/>
              <w:keepNext w:val="0"/>
              <w:keepLines w:val="0"/>
              <w:pageBreakBefore w:val="0"/>
              <w:numPr>
                <w:ilvl w:val="-1"/>
                <w:numId w:val="0"/>
              </w:numPr>
              <w:kinsoku/>
              <w:wordWrap/>
              <w:overflowPunct/>
              <w:topLinePunct w:val="0"/>
              <w:autoSpaceDE/>
              <w:autoSpaceDN/>
              <w:bidi w:val="0"/>
              <w:spacing w:after="0"/>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4.技术支持：描述技术支持服务体系；</w:t>
            </w:r>
          </w:p>
          <w:p w14:paraId="43CCB6EF">
            <w:pPr>
              <w:pStyle w:val="47"/>
              <w:keepNext w:val="0"/>
              <w:keepLines w:val="0"/>
              <w:pageBreakBefore w:val="0"/>
              <w:numPr>
                <w:ilvl w:val="-1"/>
                <w:numId w:val="0"/>
              </w:numPr>
              <w:kinsoku/>
              <w:wordWrap/>
              <w:overflowPunct/>
              <w:topLinePunct w:val="0"/>
              <w:autoSpaceDE/>
              <w:autoSpaceDN/>
              <w:bidi w:val="0"/>
              <w:spacing w:after="0"/>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5.安全保障：从网络安全、数据安全方面进行说明。</w:t>
            </w:r>
          </w:p>
          <w:p w14:paraId="351A85C5">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GB" w:eastAsia="en-US" w:bidi="ar-SA"/>
              </w:rPr>
              <w:t>上述</w:t>
            </w:r>
            <w:r>
              <w:rPr>
                <w:rFonts w:hint="eastAsia" w:ascii="仿宋" w:hAnsi="仿宋" w:eastAsia="仿宋" w:cs="仿宋"/>
                <w:snapToGrid w:val="0"/>
                <w:color w:val="000000"/>
                <w:spacing w:val="-8"/>
                <w:kern w:val="0"/>
                <w:sz w:val="24"/>
                <w:szCs w:val="24"/>
                <w:highlight w:val="none"/>
                <w:lang w:val="en-US" w:eastAsia="zh-CN" w:bidi="ar-SA"/>
              </w:rPr>
              <w:t>5</w:t>
            </w:r>
            <w:r>
              <w:rPr>
                <w:rFonts w:hint="eastAsia" w:ascii="仿宋" w:hAnsi="仿宋" w:eastAsia="仿宋" w:cs="仿宋"/>
                <w:snapToGrid w:val="0"/>
                <w:color w:val="000000"/>
                <w:spacing w:val="-8"/>
                <w:kern w:val="0"/>
                <w:sz w:val="24"/>
                <w:szCs w:val="24"/>
                <w:highlight w:val="none"/>
                <w:lang w:val="en-GB" w:eastAsia="en-US" w:bidi="ar-SA"/>
              </w:rPr>
              <w:t>项</w:t>
            </w:r>
            <w:r>
              <w:rPr>
                <w:rFonts w:hint="eastAsia" w:ascii="仿宋" w:hAnsi="仿宋" w:eastAsia="仿宋" w:cs="仿宋"/>
                <w:snapToGrid w:val="0"/>
                <w:color w:val="000000"/>
                <w:spacing w:val="-8"/>
                <w:kern w:val="0"/>
                <w:sz w:val="24"/>
                <w:szCs w:val="24"/>
                <w:highlight w:val="none"/>
                <w:lang w:val="en-GB" w:eastAsia="zh-CN" w:bidi="ar-SA"/>
              </w:rPr>
              <w:t>全部提供且无缺陷</w:t>
            </w:r>
            <w:r>
              <w:rPr>
                <w:rFonts w:hint="eastAsia" w:ascii="仿宋" w:hAnsi="仿宋" w:eastAsia="仿宋" w:cs="仿宋"/>
                <w:snapToGrid w:val="0"/>
                <w:color w:val="000000"/>
                <w:spacing w:val="-8"/>
                <w:kern w:val="0"/>
                <w:sz w:val="24"/>
                <w:szCs w:val="24"/>
                <w:highlight w:val="none"/>
                <w:lang w:val="en-GB" w:eastAsia="en-US" w:bidi="ar-SA"/>
              </w:rPr>
              <w:t>得</w:t>
            </w:r>
            <w:r>
              <w:rPr>
                <w:rFonts w:hint="eastAsia" w:ascii="仿宋" w:hAnsi="仿宋" w:eastAsia="仿宋" w:cs="仿宋"/>
                <w:snapToGrid w:val="0"/>
                <w:color w:val="000000"/>
                <w:spacing w:val="-8"/>
                <w:kern w:val="0"/>
                <w:sz w:val="24"/>
                <w:szCs w:val="24"/>
                <w:highlight w:val="none"/>
                <w:lang w:val="en-US" w:eastAsia="zh-CN" w:bidi="ar-SA"/>
              </w:rPr>
              <w:t>20</w:t>
            </w:r>
            <w:r>
              <w:rPr>
                <w:rFonts w:hint="eastAsia" w:ascii="仿宋" w:hAnsi="仿宋" w:eastAsia="仿宋" w:cs="仿宋"/>
                <w:snapToGrid w:val="0"/>
                <w:color w:val="000000"/>
                <w:spacing w:val="-8"/>
                <w:kern w:val="0"/>
                <w:sz w:val="24"/>
                <w:szCs w:val="24"/>
                <w:highlight w:val="none"/>
                <w:lang w:val="en-GB" w:eastAsia="en-US" w:bidi="ar-SA"/>
              </w:rPr>
              <w:t>分；每缺一项内容，扣</w:t>
            </w:r>
            <w:r>
              <w:rPr>
                <w:rFonts w:hint="eastAsia" w:ascii="仿宋" w:hAnsi="仿宋" w:eastAsia="仿宋" w:cs="仿宋"/>
                <w:snapToGrid w:val="0"/>
                <w:color w:val="000000"/>
                <w:spacing w:val="-8"/>
                <w:kern w:val="0"/>
                <w:sz w:val="24"/>
                <w:szCs w:val="24"/>
                <w:highlight w:val="none"/>
                <w:lang w:val="en-US" w:eastAsia="zh-CN" w:bidi="ar-SA"/>
              </w:rPr>
              <w:t>4</w:t>
            </w:r>
            <w:r>
              <w:rPr>
                <w:rFonts w:hint="eastAsia" w:ascii="仿宋" w:hAnsi="仿宋" w:eastAsia="仿宋" w:cs="仿宋"/>
                <w:snapToGrid w:val="0"/>
                <w:color w:val="000000"/>
                <w:spacing w:val="-8"/>
                <w:kern w:val="0"/>
                <w:sz w:val="24"/>
                <w:szCs w:val="24"/>
                <w:highlight w:val="none"/>
                <w:lang w:val="en-GB" w:eastAsia="en-US" w:bidi="ar-SA"/>
              </w:rPr>
              <w:t>分；每项内容中每有一处缺陷扣</w:t>
            </w:r>
            <w:r>
              <w:rPr>
                <w:rFonts w:hint="eastAsia" w:ascii="仿宋" w:hAnsi="仿宋" w:eastAsia="仿宋" w:cs="仿宋"/>
                <w:snapToGrid w:val="0"/>
                <w:color w:val="000000"/>
                <w:spacing w:val="-8"/>
                <w:kern w:val="0"/>
                <w:sz w:val="24"/>
                <w:szCs w:val="24"/>
                <w:highlight w:val="none"/>
                <w:lang w:val="en-US" w:eastAsia="zh-CN" w:bidi="ar-SA"/>
              </w:rPr>
              <w:t>2</w:t>
            </w:r>
            <w:r>
              <w:rPr>
                <w:rFonts w:hint="eastAsia" w:ascii="仿宋" w:hAnsi="仿宋" w:eastAsia="仿宋" w:cs="仿宋"/>
                <w:snapToGrid w:val="0"/>
                <w:color w:val="000000"/>
                <w:spacing w:val="-8"/>
                <w:kern w:val="0"/>
                <w:sz w:val="24"/>
                <w:szCs w:val="24"/>
                <w:highlight w:val="none"/>
                <w:lang w:val="en-GB" w:eastAsia="en-US" w:bidi="ar-SA"/>
              </w:rPr>
              <w:t>分，每项</w:t>
            </w:r>
            <w:r>
              <w:rPr>
                <w:rFonts w:hint="eastAsia" w:ascii="仿宋" w:hAnsi="仿宋" w:eastAsia="仿宋" w:cs="仿宋"/>
                <w:snapToGrid w:val="0"/>
                <w:color w:val="000000"/>
                <w:spacing w:val="-8"/>
                <w:kern w:val="0"/>
                <w:sz w:val="24"/>
                <w:szCs w:val="24"/>
                <w:highlight w:val="none"/>
                <w:lang w:val="en-GB" w:eastAsia="zh-CN" w:bidi="ar-SA"/>
              </w:rPr>
              <w:t>扣完为止</w:t>
            </w:r>
            <w:r>
              <w:rPr>
                <w:rFonts w:hint="eastAsia" w:ascii="仿宋" w:hAnsi="仿宋" w:eastAsia="仿宋" w:cs="仿宋"/>
                <w:snapToGrid w:val="0"/>
                <w:color w:val="000000"/>
                <w:spacing w:val="-8"/>
                <w:kern w:val="0"/>
                <w:sz w:val="24"/>
                <w:szCs w:val="24"/>
                <w:highlight w:val="none"/>
                <w:lang w:val="en-GB" w:eastAsia="en-US" w:bidi="ar-SA"/>
              </w:rPr>
              <w:t>。</w:t>
            </w:r>
          </w:p>
          <w:p w14:paraId="2D228283">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3ED00A31">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14:paraId="2F96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vAlign w:val="center"/>
          </w:tcPr>
          <w:p w14:paraId="50CD63B0">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lang w:val="en-US" w:eastAsia="zh-CN"/>
              </w:rPr>
            </w:pPr>
          </w:p>
        </w:tc>
        <w:tc>
          <w:tcPr>
            <w:tcW w:w="1181" w:type="dxa"/>
            <w:vMerge w:val="continue"/>
            <w:vAlign w:val="center"/>
          </w:tcPr>
          <w:p w14:paraId="34F47DE6">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vAlign w:val="center"/>
          </w:tcPr>
          <w:p w14:paraId="0C3B71F7">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数据汇聚及处理服务实施方案</w:t>
            </w:r>
          </w:p>
          <w:p w14:paraId="76C4692F">
            <w:pPr>
              <w:keepNext w:val="0"/>
              <w:keepLines w:val="0"/>
              <w:pageBreakBefore w:val="0"/>
              <w:kinsoku/>
              <w:wordWrap/>
              <w:overflowPunct/>
              <w:topLinePunct w:val="0"/>
              <w:autoSpaceDE/>
              <w:autoSpaceDN/>
              <w:bidi w:val="0"/>
              <w:spacing w:after="0"/>
              <w:jc w:val="center"/>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（18分）</w:t>
            </w:r>
          </w:p>
        </w:tc>
        <w:tc>
          <w:tcPr>
            <w:tcW w:w="5970" w:type="dxa"/>
            <w:vAlign w:val="center"/>
          </w:tcPr>
          <w:p w14:paraId="6E9357BB">
            <w:pPr>
              <w:pStyle w:val="47"/>
              <w:keepNext w:val="0"/>
              <w:keepLines w:val="0"/>
              <w:pageBreakBefore w:val="0"/>
              <w:numPr>
                <w:ilvl w:val="-1"/>
                <w:numId w:val="0"/>
              </w:numPr>
              <w:kinsoku/>
              <w:wordWrap/>
              <w:overflowPunct/>
              <w:topLinePunct w:val="0"/>
              <w:autoSpaceDE/>
              <w:autoSpaceDN/>
              <w:bidi w:val="0"/>
              <w:spacing w:after="0"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根据项目实际，提供化工园区专项监控数据、烟花爆竹企业风险监测数据、危险物品车辆监测数据的</w:t>
            </w:r>
            <w:r>
              <w:rPr>
                <w:rFonts w:hint="eastAsia" w:ascii="仿宋" w:hAnsi="仿宋" w:eastAsia="仿宋" w:cs="仿宋"/>
                <w:snapToGrid w:val="0"/>
                <w:color w:val="auto"/>
                <w:kern w:val="0"/>
                <w:sz w:val="24"/>
                <w:szCs w:val="24"/>
                <w:highlight w:val="none"/>
                <w:lang w:val="en-US" w:eastAsia="zh-CN"/>
              </w:rPr>
              <w:t>汇聚及处理</w:t>
            </w:r>
            <w:r>
              <w:rPr>
                <w:rFonts w:hint="eastAsia" w:ascii="仿宋" w:hAnsi="仿宋" w:eastAsia="仿宋" w:cs="仿宋"/>
                <w:color w:val="auto"/>
                <w:sz w:val="24"/>
                <w:szCs w:val="24"/>
                <w:highlight w:val="none"/>
                <w:lang w:val="en-US" w:eastAsia="zh-CN"/>
              </w:rPr>
              <w:t>方案：</w:t>
            </w:r>
          </w:p>
          <w:p w14:paraId="0E46DBE0">
            <w:pPr>
              <w:pStyle w:val="47"/>
              <w:keepNext w:val="0"/>
              <w:keepLines w:val="0"/>
              <w:pageBreakBefore w:val="0"/>
              <w:numPr>
                <w:ilvl w:val="-1"/>
                <w:numId w:val="0"/>
              </w:numPr>
              <w:kinsoku/>
              <w:wordWrap/>
              <w:overflowPunct/>
              <w:topLinePunct w:val="0"/>
              <w:autoSpaceDE/>
              <w:autoSpaceDN/>
              <w:bidi w:val="0"/>
              <w:spacing w:after="0"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1.化工园区专项监控数据汇聚及处理方案：描述数据接入内容、数据接入方案、数据接入规范、数据治理与应用方案；</w:t>
            </w:r>
          </w:p>
          <w:p w14:paraId="28531AFC">
            <w:pPr>
              <w:pStyle w:val="47"/>
              <w:keepNext w:val="0"/>
              <w:keepLines w:val="0"/>
              <w:pageBreakBefore w:val="0"/>
              <w:numPr>
                <w:ilvl w:val="-1"/>
                <w:numId w:val="0"/>
              </w:numPr>
              <w:kinsoku/>
              <w:wordWrap/>
              <w:overflowPunct/>
              <w:topLinePunct w:val="0"/>
              <w:autoSpaceDE/>
              <w:autoSpaceDN/>
              <w:bidi w:val="0"/>
              <w:spacing w:after="0"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2.烟花爆竹企业监测预警数据汇聚及处理方案：描述数据接入内容、数据接入方案、数据接入规范、数据治理与应用方案；</w:t>
            </w:r>
          </w:p>
          <w:p w14:paraId="77921B87">
            <w:pPr>
              <w:pStyle w:val="47"/>
              <w:keepNext w:val="0"/>
              <w:keepLines w:val="0"/>
              <w:pageBreakBefore w:val="0"/>
              <w:numPr>
                <w:ilvl w:val="-1"/>
                <w:numId w:val="0"/>
              </w:numPr>
              <w:kinsoku/>
              <w:wordWrap/>
              <w:overflowPunct/>
              <w:topLinePunct w:val="0"/>
              <w:autoSpaceDE/>
              <w:autoSpaceDN/>
              <w:bidi w:val="0"/>
              <w:spacing w:after="0"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3.危险物品车辆监测数据汇聚及处理方案：分析数据接入内容、数据治理与应用方案。</w:t>
            </w:r>
          </w:p>
          <w:p w14:paraId="29CF3E21">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GB" w:eastAsia="en-US" w:bidi="ar-SA"/>
              </w:rPr>
              <w:t>上述</w:t>
            </w:r>
            <w:r>
              <w:rPr>
                <w:rFonts w:hint="eastAsia" w:ascii="仿宋" w:hAnsi="仿宋" w:eastAsia="仿宋" w:cs="仿宋"/>
                <w:snapToGrid w:val="0"/>
                <w:color w:val="000000"/>
                <w:spacing w:val="-8"/>
                <w:kern w:val="0"/>
                <w:sz w:val="24"/>
                <w:szCs w:val="24"/>
                <w:highlight w:val="none"/>
                <w:lang w:val="en-US" w:eastAsia="zh-CN" w:bidi="ar-SA"/>
              </w:rPr>
              <w:t>3</w:t>
            </w:r>
            <w:r>
              <w:rPr>
                <w:rFonts w:hint="eastAsia" w:ascii="仿宋" w:hAnsi="仿宋" w:eastAsia="仿宋" w:cs="仿宋"/>
                <w:snapToGrid w:val="0"/>
                <w:color w:val="000000"/>
                <w:spacing w:val="-8"/>
                <w:kern w:val="0"/>
                <w:sz w:val="24"/>
                <w:szCs w:val="24"/>
                <w:highlight w:val="none"/>
                <w:lang w:val="en-GB" w:eastAsia="en-US" w:bidi="ar-SA"/>
              </w:rPr>
              <w:t>项</w:t>
            </w:r>
            <w:r>
              <w:rPr>
                <w:rFonts w:hint="eastAsia" w:ascii="仿宋" w:hAnsi="仿宋" w:eastAsia="仿宋" w:cs="仿宋"/>
                <w:snapToGrid w:val="0"/>
                <w:color w:val="000000"/>
                <w:spacing w:val="-8"/>
                <w:kern w:val="0"/>
                <w:sz w:val="24"/>
                <w:szCs w:val="24"/>
                <w:highlight w:val="none"/>
                <w:lang w:val="en-GB" w:eastAsia="zh-CN" w:bidi="ar-SA"/>
              </w:rPr>
              <w:t>全部提供且无缺陷</w:t>
            </w:r>
            <w:r>
              <w:rPr>
                <w:rFonts w:hint="eastAsia" w:ascii="仿宋" w:hAnsi="仿宋" w:eastAsia="仿宋" w:cs="仿宋"/>
                <w:snapToGrid w:val="0"/>
                <w:color w:val="000000"/>
                <w:spacing w:val="-8"/>
                <w:kern w:val="0"/>
                <w:sz w:val="24"/>
                <w:szCs w:val="24"/>
                <w:highlight w:val="none"/>
                <w:lang w:val="en-GB" w:eastAsia="en-US" w:bidi="ar-SA"/>
              </w:rPr>
              <w:t>得</w:t>
            </w:r>
            <w:r>
              <w:rPr>
                <w:rFonts w:hint="eastAsia" w:ascii="仿宋" w:hAnsi="仿宋" w:eastAsia="仿宋" w:cs="仿宋"/>
                <w:snapToGrid w:val="0"/>
                <w:color w:val="000000"/>
                <w:spacing w:val="-8"/>
                <w:kern w:val="0"/>
                <w:sz w:val="24"/>
                <w:szCs w:val="24"/>
                <w:highlight w:val="none"/>
                <w:lang w:val="en-US" w:eastAsia="zh-CN" w:bidi="ar-SA"/>
              </w:rPr>
              <w:t>18</w:t>
            </w:r>
            <w:r>
              <w:rPr>
                <w:rFonts w:hint="eastAsia" w:ascii="仿宋" w:hAnsi="仿宋" w:eastAsia="仿宋" w:cs="仿宋"/>
                <w:snapToGrid w:val="0"/>
                <w:color w:val="000000"/>
                <w:spacing w:val="-8"/>
                <w:kern w:val="0"/>
                <w:sz w:val="24"/>
                <w:szCs w:val="24"/>
                <w:highlight w:val="none"/>
                <w:lang w:val="en-GB" w:eastAsia="en-US" w:bidi="ar-SA"/>
              </w:rPr>
              <w:t>分；每缺一项内容，扣</w:t>
            </w:r>
            <w:r>
              <w:rPr>
                <w:rFonts w:hint="eastAsia" w:ascii="仿宋" w:hAnsi="仿宋" w:eastAsia="仿宋" w:cs="仿宋"/>
                <w:snapToGrid w:val="0"/>
                <w:color w:val="000000"/>
                <w:spacing w:val="-8"/>
                <w:kern w:val="0"/>
                <w:sz w:val="24"/>
                <w:szCs w:val="24"/>
                <w:highlight w:val="none"/>
                <w:lang w:val="en-US" w:eastAsia="zh-CN" w:bidi="ar-SA"/>
              </w:rPr>
              <w:t>6</w:t>
            </w:r>
            <w:r>
              <w:rPr>
                <w:rFonts w:hint="eastAsia" w:ascii="仿宋" w:hAnsi="仿宋" w:eastAsia="仿宋" w:cs="仿宋"/>
                <w:snapToGrid w:val="0"/>
                <w:color w:val="000000"/>
                <w:spacing w:val="-8"/>
                <w:kern w:val="0"/>
                <w:sz w:val="24"/>
                <w:szCs w:val="24"/>
                <w:highlight w:val="none"/>
                <w:lang w:val="en-GB" w:eastAsia="en-US" w:bidi="ar-SA"/>
              </w:rPr>
              <w:t>分；每项内容中每有一处缺陷扣</w:t>
            </w:r>
            <w:r>
              <w:rPr>
                <w:rFonts w:hint="eastAsia" w:ascii="仿宋" w:hAnsi="仿宋" w:eastAsia="仿宋" w:cs="仿宋"/>
                <w:snapToGrid w:val="0"/>
                <w:color w:val="000000"/>
                <w:spacing w:val="-8"/>
                <w:kern w:val="0"/>
                <w:sz w:val="24"/>
                <w:szCs w:val="24"/>
                <w:highlight w:val="none"/>
                <w:lang w:val="en-US" w:eastAsia="zh-CN" w:bidi="ar-SA"/>
              </w:rPr>
              <w:t>3</w:t>
            </w:r>
            <w:r>
              <w:rPr>
                <w:rFonts w:hint="eastAsia" w:ascii="仿宋" w:hAnsi="仿宋" w:eastAsia="仿宋" w:cs="仿宋"/>
                <w:snapToGrid w:val="0"/>
                <w:color w:val="000000"/>
                <w:spacing w:val="-8"/>
                <w:kern w:val="0"/>
                <w:sz w:val="24"/>
                <w:szCs w:val="24"/>
                <w:highlight w:val="none"/>
                <w:lang w:val="en-GB" w:eastAsia="en-US" w:bidi="ar-SA"/>
              </w:rPr>
              <w:t>分，每项</w:t>
            </w:r>
            <w:r>
              <w:rPr>
                <w:rFonts w:hint="eastAsia" w:ascii="仿宋" w:hAnsi="仿宋" w:eastAsia="仿宋" w:cs="仿宋"/>
                <w:snapToGrid w:val="0"/>
                <w:color w:val="000000"/>
                <w:spacing w:val="-8"/>
                <w:kern w:val="0"/>
                <w:sz w:val="24"/>
                <w:szCs w:val="24"/>
                <w:highlight w:val="none"/>
                <w:lang w:val="en-GB" w:eastAsia="zh-CN" w:bidi="ar-SA"/>
              </w:rPr>
              <w:t>扣完为止</w:t>
            </w:r>
            <w:r>
              <w:rPr>
                <w:rFonts w:hint="eastAsia" w:ascii="仿宋" w:hAnsi="仿宋" w:eastAsia="仿宋" w:cs="仿宋"/>
                <w:snapToGrid w:val="0"/>
                <w:color w:val="000000"/>
                <w:spacing w:val="-8"/>
                <w:kern w:val="0"/>
                <w:sz w:val="24"/>
                <w:szCs w:val="24"/>
                <w:highlight w:val="none"/>
                <w:lang w:val="en-GB" w:eastAsia="en-US" w:bidi="ar-SA"/>
              </w:rPr>
              <w:t>。</w:t>
            </w:r>
          </w:p>
          <w:p w14:paraId="7B60BFE8">
            <w:pPr>
              <w:keepNext w:val="0"/>
              <w:keepLines w:val="0"/>
              <w:pageBreakBefore w:val="0"/>
              <w:kinsoku/>
              <w:wordWrap/>
              <w:overflowPunct/>
              <w:topLinePunct w:val="0"/>
              <w:autoSpaceDE/>
              <w:autoSpaceDN/>
              <w:bidi w:val="0"/>
              <w:spacing w:after="0" w:line="240" w:lineRule="auto"/>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538391F7">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2685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28" w:type="dxa"/>
            <w:vMerge w:val="continue"/>
          </w:tcPr>
          <w:p w14:paraId="73725C3A">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73D0C77F">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vAlign w:val="center"/>
          </w:tcPr>
          <w:p w14:paraId="242C60E3">
            <w:pPr>
              <w:keepNext w:val="0"/>
              <w:keepLines w:val="0"/>
              <w:pageBreakBefore w:val="0"/>
              <w:kinsoku/>
              <w:wordWrap/>
              <w:overflowPunct/>
              <w:topLinePunct w:val="0"/>
              <w:autoSpaceDE/>
              <w:autoSpaceDN/>
              <w:bidi w:val="0"/>
              <w:spacing w:after="0"/>
              <w:jc w:val="center"/>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服务保障（8分）</w:t>
            </w:r>
          </w:p>
        </w:tc>
        <w:tc>
          <w:tcPr>
            <w:tcW w:w="5970" w:type="dxa"/>
            <w:vAlign w:val="center"/>
          </w:tcPr>
          <w:p w14:paraId="156943E5">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服务保障内容包括</w:t>
            </w:r>
            <w:r>
              <w:rPr>
                <w:rFonts w:hint="eastAsia" w:ascii="仿宋" w:hAnsi="仿宋" w:eastAsia="仿宋" w:cs="仿宋"/>
                <w:color w:val="auto"/>
                <w:sz w:val="24"/>
                <w:szCs w:val="24"/>
                <w:highlight w:val="none"/>
                <w:lang w:val="en-US" w:eastAsia="zh-CN" w:bidi="ar-SA"/>
              </w:rPr>
              <w:t xml:space="preserve">：  </w:t>
            </w:r>
          </w:p>
          <w:p w14:paraId="40FB958B">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1.应急处置：对故障处理原则、处理流程、处理时限和问题分析进行描述； </w:t>
            </w:r>
          </w:p>
          <w:p w14:paraId="379834F1">
            <w:pPr>
              <w:pStyle w:val="47"/>
              <w:keepNext w:val="0"/>
              <w:keepLines w:val="0"/>
              <w:pageBreakBefore w:val="0"/>
              <w:kinsoku/>
              <w:wordWrap/>
              <w:overflowPunct/>
              <w:topLinePunct w:val="0"/>
              <w:autoSpaceDE/>
              <w:autoSpaceDN/>
              <w:bidi w:val="0"/>
              <w:spacing w:after="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2.保障措施：描述项目的人员保障、技术保障、安全保障措施；</w:t>
            </w:r>
          </w:p>
          <w:p w14:paraId="1DA05DFF">
            <w:pPr>
              <w:pStyle w:val="47"/>
              <w:spacing w:after="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3.项目团队管理：对项目组织架构、项目沟通和协调管理角度进行描述；</w:t>
            </w:r>
          </w:p>
          <w:p w14:paraId="5D60C7B6">
            <w:pPr>
              <w:pStyle w:val="47"/>
              <w:spacing w:after="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 xml:space="preserve">4.解决问题的措施：对项目的问题处理、以及有效的预防措施进行描述。 </w:t>
            </w:r>
          </w:p>
          <w:p w14:paraId="0BE763AC">
            <w:pPr>
              <w:pStyle w:val="47"/>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GB" w:eastAsia="en-US" w:bidi="ar-SA"/>
              </w:rPr>
              <w:t>上述</w:t>
            </w:r>
            <w:r>
              <w:rPr>
                <w:rFonts w:hint="eastAsia" w:ascii="仿宋" w:hAnsi="仿宋" w:eastAsia="仿宋" w:cs="仿宋"/>
                <w:snapToGrid w:val="0"/>
                <w:color w:val="000000"/>
                <w:spacing w:val="-8"/>
                <w:kern w:val="0"/>
                <w:sz w:val="24"/>
                <w:szCs w:val="24"/>
                <w:highlight w:val="none"/>
                <w:lang w:val="en-US" w:eastAsia="zh-CN" w:bidi="ar-SA"/>
              </w:rPr>
              <w:t>4</w:t>
            </w:r>
            <w:r>
              <w:rPr>
                <w:rFonts w:hint="eastAsia" w:ascii="仿宋" w:hAnsi="仿宋" w:eastAsia="仿宋" w:cs="仿宋"/>
                <w:snapToGrid w:val="0"/>
                <w:color w:val="000000"/>
                <w:spacing w:val="-8"/>
                <w:kern w:val="0"/>
                <w:sz w:val="24"/>
                <w:szCs w:val="24"/>
                <w:highlight w:val="none"/>
                <w:lang w:val="en-GB" w:eastAsia="en-US" w:bidi="ar-SA"/>
              </w:rPr>
              <w:t>项</w:t>
            </w:r>
            <w:r>
              <w:rPr>
                <w:rFonts w:hint="eastAsia" w:ascii="仿宋" w:hAnsi="仿宋" w:eastAsia="仿宋" w:cs="仿宋"/>
                <w:snapToGrid w:val="0"/>
                <w:color w:val="000000"/>
                <w:spacing w:val="-8"/>
                <w:kern w:val="0"/>
                <w:sz w:val="24"/>
                <w:szCs w:val="24"/>
                <w:highlight w:val="none"/>
                <w:lang w:val="en-GB" w:eastAsia="zh-CN" w:bidi="ar-SA"/>
              </w:rPr>
              <w:t>全部提供且无缺陷</w:t>
            </w:r>
            <w:r>
              <w:rPr>
                <w:rFonts w:hint="eastAsia" w:ascii="仿宋" w:hAnsi="仿宋" w:eastAsia="仿宋" w:cs="仿宋"/>
                <w:snapToGrid w:val="0"/>
                <w:color w:val="000000"/>
                <w:spacing w:val="-8"/>
                <w:kern w:val="0"/>
                <w:sz w:val="24"/>
                <w:szCs w:val="24"/>
                <w:highlight w:val="none"/>
                <w:lang w:val="en-GB" w:eastAsia="en-US" w:bidi="ar-SA"/>
              </w:rPr>
              <w:t>得</w:t>
            </w:r>
            <w:r>
              <w:rPr>
                <w:rFonts w:hint="eastAsia" w:ascii="仿宋" w:hAnsi="仿宋" w:eastAsia="仿宋" w:cs="仿宋"/>
                <w:snapToGrid w:val="0"/>
                <w:color w:val="000000"/>
                <w:spacing w:val="-8"/>
                <w:kern w:val="0"/>
                <w:sz w:val="24"/>
                <w:szCs w:val="24"/>
                <w:highlight w:val="none"/>
                <w:lang w:val="en-US" w:eastAsia="zh-CN" w:bidi="ar-SA"/>
              </w:rPr>
              <w:t>8</w:t>
            </w:r>
            <w:r>
              <w:rPr>
                <w:rFonts w:hint="eastAsia" w:ascii="仿宋" w:hAnsi="仿宋" w:eastAsia="仿宋" w:cs="仿宋"/>
                <w:snapToGrid w:val="0"/>
                <w:color w:val="000000"/>
                <w:spacing w:val="-8"/>
                <w:kern w:val="0"/>
                <w:sz w:val="24"/>
                <w:szCs w:val="24"/>
                <w:highlight w:val="none"/>
                <w:lang w:val="en-GB" w:eastAsia="en-US" w:bidi="ar-SA"/>
              </w:rPr>
              <w:t>分；每缺一项内容，扣</w:t>
            </w:r>
            <w:r>
              <w:rPr>
                <w:rFonts w:hint="eastAsia" w:ascii="仿宋" w:hAnsi="仿宋" w:eastAsia="仿宋" w:cs="仿宋"/>
                <w:snapToGrid w:val="0"/>
                <w:color w:val="000000"/>
                <w:spacing w:val="-8"/>
                <w:kern w:val="0"/>
                <w:sz w:val="24"/>
                <w:szCs w:val="24"/>
                <w:highlight w:val="none"/>
                <w:lang w:val="en-US" w:eastAsia="zh-CN" w:bidi="ar-SA"/>
              </w:rPr>
              <w:t>2</w:t>
            </w:r>
            <w:r>
              <w:rPr>
                <w:rFonts w:hint="eastAsia" w:ascii="仿宋" w:hAnsi="仿宋" w:eastAsia="仿宋" w:cs="仿宋"/>
                <w:snapToGrid w:val="0"/>
                <w:color w:val="000000"/>
                <w:spacing w:val="-8"/>
                <w:kern w:val="0"/>
                <w:sz w:val="24"/>
                <w:szCs w:val="24"/>
                <w:highlight w:val="none"/>
                <w:lang w:val="en-GB" w:eastAsia="en-US" w:bidi="ar-SA"/>
              </w:rPr>
              <w:t>分；每项内容中每有一处缺陷扣</w:t>
            </w:r>
            <w:r>
              <w:rPr>
                <w:rFonts w:hint="eastAsia" w:ascii="仿宋" w:hAnsi="仿宋" w:eastAsia="仿宋" w:cs="仿宋"/>
                <w:snapToGrid w:val="0"/>
                <w:color w:val="000000"/>
                <w:spacing w:val="-8"/>
                <w:kern w:val="0"/>
                <w:sz w:val="24"/>
                <w:szCs w:val="24"/>
                <w:highlight w:val="none"/>
                <w:lang w:val="en-US" w:eastAsia="zh-CN" w:bidi="ar-SA"/>
              </w:rPr>
              <w:t>1</w:t>
            </w:r>
            <w:r>
              <w:rPr>
                <w:rFonts w:hint="eastAsia" w:ascii="仿宋" w:hAnsi="仿宋" w:eastAsia="仿宋" w:cs="仿宋"/>
                <w:snapToGrid w:val="0"/>
                <w:color w:val="000000"/>
                <w:spacing w:val="-8"/>
                <w:kern w:val="0"/>
                <w:sz w:val="24"/>
                <w:szCs w:val="24"/>
                <w:highlight w:val="none"/>
                <w:lang w:val="en-GB" w:eastAsia="en-US" w:bidi="ar-SA"/>
              </w:rPr>
              <w:t>分，每项</w:t>
            </w:r>
            <w:r>
              <w:rPr>
                <w:rFonts w:hint="eastAsia" w:ascii="仿宋" w:hAnsi="仿宋" w:eastAsia="仿宋" w:cs="仿宋"/>
                <w:snapToGrid w:val="0"/>
                <w:color w:val="000000"/>
                <w:spacing w:val="-8"/>
                <w:kern w:val="0"/>
                <w:sz w:val="24"/>
                <w:szCs w:val="24"/>
                <w:highlight w:val="none"/>
                <w:lang w:val="en-GB" w:eastAsia="zh-CN" w:bidi="ar-SA"/>
              </w:rPr>
              <w:t>扣完为止</w:t>
            </w:r>
            <w:r>
              <w:rPr>
                <w:rFonts w:hint="eastAsia" w:ascii="仿宋" w:hAnsi="仿宋" w:eastAsia="仿宋" w:cs="仿宋"/>
                <w:snapToGrid w:val="0"/>
                <w:color w:val="000000"/>
                <w:spacing w:val="-8"/>
                <w:kern w:val="0"/>
                <w:sz w:val="24"/>
                <w:szCs w:val="24"/>
                <w:highlight w:val="none"/>
                <w:lang w:val="en-GB" w:eastAsia="en-US" w:bidi="ar-SA"/>
              </w:rPr>
              <w:t>。</w:t>
            </w:r>
          </w:p>
          <w:p w14:paraId="79DF38E1">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GB" w:eastAsia="zh-CN" w:bidi="ar-SA"/>
              </w:rPr>
              <w:t>缺陷是指：</w:t>
            </w:r>
            <w:r>
              <w:rPr>
                <w:rFonts w:hint="eastAsia" w:ascii="仿宋" w:hAnsi="仿宋" w:eastAsia="仿宋" w:cs="仿宋"/>
                <w:color w:val="auto"/>
                <w:sz w:val="24"/>
                <w:szCs w:val="24"/>
                <w:highlight w:val="none"/>
                <w:lang w:val="en-US" w:eastAsia="zh-CN" w:bidi="ar-SA"/>
              </w:rPr>
              <w:t>1.方案内所填项目名称错误；2.方案适用错误（如内容中夹杂含有与本项目无关的：①其他单位名称、②其他标的物内容、③其他标的物方案）；3.方案内容针对同一事项前后表述不一致；4.提供的方案内容与本项对应的评审内容完全不相关；5.</w:t>
            </w:r>
            <w:r>
              <w:rPr>
                <w:rFonts w:hint="eastAsia" w:ascii="仿宋" w:hAnsi="仿宋" w:eastAsia="仿宋" w:cs="仿宋"/>
                <w:color w:val="auto"/>
                <w:sz w:val="24"/>
                <w:szCs w:val="24"/>
                <w:highlight w:val="none"/>
                <w:lang w:val="en-GB" w:eastAsia="zh-CN" w:bidi="ar-SA"/>
              </w:rPr>
              <w:t>方案响应中含有不符合本项目明确的采购需求内容。</w:t>
            </w:r>
          </w:p>
        </w:tc>
        <w:tc>
          <w:tcPr>
            <w:tcW w:w="703" w:type="dxa"/>
            <w:vAlign w:val="center"/>
          </w:tcPr>
          <w:p w14:paraId="3B1AE44A">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586E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28" w:type="dxa"/>
            <w:vMerge w:val="continue"/>
          </w:tcPr>
          <w:p w14:paraId="26D77D1E">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181" w:type="dxa"/>
            <w:vMerge w:val="continue"/>
            <w:vAlign w:val="center"/>
          </w:tcPr>
          <w:p w14:paraId="613D19AD">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sz w:val="24"/>
                <w:szCs w:val="24"/>
                <w:highlight w:val="none"/>
              </w:rPr>
            </w:pPr>
          </w:p>
        </w:tc>
        <w:tc>
          <w:tcPr>
            <w:tcW w:w="1332" w:type="dxa"/>
            <w:shd w:val="clear" w:color="auto" w:fill="auto"/>
            <w:vAlign w:val="center"/>
          </w:tcPr>
          <w:p w14:paraId="73CB8438">
            <w:pPr>
              <w:keepNext w:val="0"/>
              <w:keepLines w:val="0"/>
              <w:pageBreakBefore w:val="0"/>
              <w:kinsoku/>
              <w:wordWrap/>
              <w:overflowPunct/>
              <w:topLinePunct w:val="0"/>
              <w:autoSpaceDE/>
              <w:autoSpaceDN/>
              <w:bidi w:val="0"/>
              <w:spacing w:after="0" w:line="28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售后服务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5970" w:type="dxa"/>
            <w:shd w:val="clear" w:color="auto" w:fill="auto"/>
            <w:vAlign w:val="center"/>
          </w:tcPr>
          <w:p w14:paraId="5E94FAB7">
            <w:pPr>
              <w:pStyle w:val="47"/>
              <w:keepNext w:val="0"/>
              <w:keepLines w:val="0"/>
              <w:pageBreakBefore w:val="0"/>
              <w:kinsoku/>
              <w:wordWrap/>
              <w:overflowPunct/>
              <w:topLinePunct w:val="0"/>
              <w:autoSpaceDE/>
              <w:autoSpaceDN/>
              <w:bidi w:val="0"/>
              <w:spacing w:after="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根据供应商提供针对本项目的书面售后服务承诺函，承诺内容全面覆盖本项目运维服务需求，且满足以下全部要求的得 2 分；每有一项不满足扣1分，扣完为止</w:t>
            </w:r>
          </w:p>
          <w:p w14:paraId="5906ADDC">
            <w:pPr>
              <w:keepNext w:val="0"/>
              <w:keepLines w:val="0"/>
              <w:pageBreakBefore w:val="0"/>
              <w:widowControl/>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US" w:eastAsia="zh-CN" w:bidi="ar-SA"/>
              </w:rPr>
              <w:t>1.承诺免费为采购人及相关业务人员提供系统操作、数据查看、预警处置、日常管理等技术培训及日常咨询答疑服务，随时提供线上技术指导与业务支撑。</w:t>
            </w:r>
          </w:p>
          <w:p w14:paraId="39B15FBF">
            <w:pPr>
              <w:keepNext w:val="0"/>
              <w:keepLines w:val="0"/>
              <w:pageBreakBefore w:val="0"/>
              <w:widowControl/>
              <w:suppressLineNumbers w:val="0"/>
              <w:kinsoku/>
              <w:wordWrap/>
              <w:overflowPunct/>
              <w:topLinePunct w:val="0"/>
              <w:autoSpaceDE/>
              <w:autoSpaceDN/>
              <w:bidi w:val="0"/>
              <w:spacing w:before="0" w:beforeAutospacing="0" w:after="0" w:afterAutospacing="0" w:line="278" w:lineRule="auto"/>
              <w:ind w:left="0" w:right="0"/>
              <w:textAlignment w:val="auto"/>
              <w:rPr>
                <w:rFonts w:hint="eastAsia" w:ascii="仿宋" w:hAnsi="仿宋" w:eastAsia="仿宋" w:cs="仿宋"/>
                <w:snapToGrid w:val="0"/>
                <w:color w:val="000000"/>
                <w:spacing w:val="-8"/>
                <w:kern w:val="0"/>
                <w:sz w:val="24"/>
                <w:szCs w:val="24"/>
                <w:highlight w:val="none"/>
                <w:lang w:val="en-GB" w:eastAsia="en-US" w:bidi="ar-SA"/>
              </w:rPr>
            </w:pPr>
            <w:r>
              <w:rPr>
                <w:rFonts w:hint="eastAsia" w:ascii="仿宋" w:hAnsi="仿宋" w:eastAsia="仿宋" w:cs="仿宋"/>
                <w:snapToGrid w:val="0"/>
                <w:color w:val="000000"/>
                <w:spacing w:val="-8"/>
                <w:kern w:val="0"/>
                <w:sz w:val="24"/>
                <w:szCs w:val="24"/>
                <w:highlight w:val="none"/>
                <w:lang w:val="en-US" w:eastAsia="zh-CN" w:bidi="ar-SA"/>
              </w:rPr>
              <w:t>2.</w:t>
            </w:r>
            <w:r>
              <w:rPr>
                <w:rFonts w:hint="eastAsia" w:ascii="仿宋" w:hAnsi="仿宋" w:eastAsia="仿宋" w:cs="仿宋"/>
                <w:snapToGrid w:val="0"/>
                <w:color w:val="000000"/>
                <w:spacing w:val="-8"/>
                <w:kern w:val="0"/>
                <w:sz w:val="24"/>
                <w:szCs w:val="24"/>
                <w:highlight w:val="none"/>
                <w:lang w:val="en-GB" w:eastAsia="en-US" w:bidi="ar-SA"/>
              </w:rPr>
              <w:t>承诺服务期内运维团队核心成员保持稳定，未经采购人书面同意不得擅自更换，确需更换的人员资质不低于原人员水平。</w:t>
            </w:r>
          </w:p>
          <w:p w14:paraId="401135FA">
            <w:pPr>
              <w:keepNext w:val="0"/>
              <w:keepLines w:val="0"/>
              <w:pageBreakBefore w:val="0"/>
              <w:widowControl/>
              <w:suppressLineNumbers w:val="0"/>
              <w:kinsoku/>
              <w:wordWrap/>
              <w:overflowPunct/>
              <w:topLinePunct w:val="0"/>
              <w:autoSpaceDE/>
              <w:autoSpaceDN/>
              <w:bidi w:val="0"/>
              <w:spacing w:before="0" w:beforeAutospacing="0" w:after="0" w:afterAutospacing="0" w:line="278" w:lineRule="auto"/>
              <w:ind w:left="0" w:right="0"/>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注：须提供承诺函并加盖公章，未提供承诺函不得分。</w:t>
            </w:r>
          </w:p>
        </w:tc>
        <w:tc>
          <w:tcPr>
            <w:tcW w:w="703" w:type="dxa"/>
            <w:vAlign w:val="center"/>
          </w:tcPr>
          <w:p w14:paraId="6B621349">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bookmarkEnd w:id="29"/>
      <w:bookmarkEnd w:id="30"/>
      <w:bookmarkEnd w:id="31"/>
      <w:bookmarkEnd w:id="32"/>
      <w:bookmarkEnd w:id="33"/>
      <w:bookmarkEnd w:id="34"/>
    </w:tbl>
    <w:p w14:paraId="0AEFF6F2">
      <w:pPr>
        <w:pStyle w:val="25"/>
        <w:spacing w:before="120" w:beforeLines="50" w:after="120" w:afterLines="50" w:line="360" w:lineRule="auto"/>
        <w:jc w:val="center"/>
        <w:outlineLvl w:val="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第五部分  采购需求</w:t>
      </w:r>
      <w:bookmarkEnd w:id="28"/>
    </w:p>
    <w:p w14:paraId="3AE81A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w w:val="100"/>
          <w:sz w:val="24"/>
          <w:szCs w:val="24"/>
          <w:highlight w:val="none"/>
          <w:lang w:val="en-US"/>
        </w:rPr>
      </w:pPr>
      <w:bookmarkStart w:id="35" w:name="bookmark1"/>
      <w:bookmarkEnd w:id="35"/>
      <w:bookmarkStart w:id="36" w:name="_Hlk519787567"/>
      <w:bookmarkStart w:id="37" w:name="_Toc127462395"/>
      <w:r>
        <w:rPr>
          <w:rFonts w:hint="eastAsia" w:ascii="仿宋" w:hAnsi="仿宋" w:eastAsia="仿宋" w:cs="仿宋"/>
          <w:b/>
          <w:bCs/>
          <w:color w:val="auto"/>
          <w:w w:val="100"/>
          <w:sz w:val="24"/>
          <w:szCs w:val="24"/>
          <w:highlight w:val="none"/>
          <w:lang w:val="en-US" w:eastAsia="zh-CN"/>
        </w:rPr>
        <w:t>项目名称：</w:t>
      </w:r>
      <w:r>
        <w:rPr>
          <w:rFonts w:hint="eastAsia" w:ascii="仿宋" w:hAnsi="仿宋" w:eastAsia="仿宋" w:cs="仿宋"/>
          <w:color w:val="auto"/>
          <w:w w:val="100"/>
          <w:sz w:val="24"/>
          <w:szCs w:val="24"/>
          <w:highlight w:val="none"/>
          <w:lang w:val="en-US" w:eastAsia="zh-CN"/>
        </w:rPr>
        <w:t>2026年自治区危险化学品风险监测预警系统运维服务项目</w:t>
      </w:r>
    </w:p>
    <w:p w14:paraId="11BFB7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b/>
          <w:bCs/>
          <w:color w:val="auto"/>
          <w:w w:val="100"/>
          <w:sz w:val="24"/>
          <w:szCs w:val="24"/>
          <w:highlight w:val="none"/>
          <w:lang w:val="en-US" w:eastAsia="zh-CN"/>
        </w:rPr>
      </w:pPr>
      <w:r>
        <w:rPr>
          <w:rFonts w:hint="eastAsia" w:ascii="仿宋" w:hAnsi="仿宋" w:eastAsia="仿宋" w:cs="仿宋"/>
          <w:b/>
          <w:bCs/>
          <w:color w:val="auto"/>
          <w:w w:val="100"/>
          <w:sz w:val="24"/>
          <w:szCs w:val="24"/>
          <w:highlight w:val="none"/>
        </w:rPr>
        <w:t>采购内容</w:t>
      </w:r>
      <w:r>
        <w:rPr>
          <w:rFonts w:hint="eastAsia" w:ascii="仿宋" w:hAnsi="仿宋" w:eastAsia="仿宋" w:cs="仿宋"/>
          <w:b/>
          <w:bCs/>
          <w:color w:val="auto"/>
          <w:w w:val="100"/>
          <w:sz w:val="24"/>
          <w:szCs w:val="24"/>
          <w:highlight w:val="none"/>
          <w:lang w:eastAsia="zh-CN"/>
        </w:rPr>
        <w:t>：</w:t>
      </w:r>
    </w:p>
    <w:p w14:paraId="238620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w w:val="100"/>
          <w:kern w:val="2"/>
          <w:sz w:val="24"/>
          <w:szCs w:val="24"/>
          <w:highlight w:val="none"/>
          <w:lang w:val="en-US" w:eastAsia="zh-CN" w:bidi="ar-SA"/>
        </w:rPr>
      </w:pPr>
      <w:r>
        <w:rPr>
          <w:rFonts w:hint="eastAsia" w:ascii="仿宋" w:hAnsi="仿宋" w:eastAsia="仿宋" w:cs="仿宋"/>
          <w:color w:val="auto"/>
          <w:w w:val="100"/>
          <w:kern w:val="2"/>
          <w:sz w:val="24"/>
          <w:szCs w:val="24"/>
          <w:highlight w:val="none"/>
          <w:lang w:val="en-US" w:eastAsia="zh-CN" w:bidi="ar-SA"/>
        </w:rPr>
        <w:t>针对已经建设的自治区危险化学品安全生产风险监测预警系统及其各功能模块开展运维服务，服务内容包括：</w:t>
      </w:r>
    </w:p>
    <w:p w14:paraId="380951C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w w:val="100"/>
          <w:sz w:val="24"/>
          <w:szCs w:val="24"/>
          <w:highlight w:val="none"/>
          <w:lang w:eastAsia="zh-CN"/>
        </w:rPr>
      </w:pPr>
      <w:r>
        <w:rPr>
          <w:rFonts w:hint="eastAsia" w:ascii="仿宋" w:hAnsi="仿宋" w:eastAsia="仿宋" w:cs="仿宋"/>
          <w:color w:val="auto"/>
          <w:w w:val="100"/>
          <w:kern w:val="2"/>
          <w:sz w:val="24"/>
          <w:szCs w:val="24"/>
          <w:highlight w:val="none"/>
          <w:lang w:val="en-US" w:eastAsia="zh-CN" w:bidi="ar-SA"/>
        </w:rPr>
        <w:t>（1）自治区危险化学品安全生产风险监测预警系统基础运维保障服务。（2）平台值守服务。（3）化工园区专项监控数据汇聚及处理服务。（4）危险物品车辆监测数据汇聚及处理服务。（5）烟花爆竹企业监测预警数据汇聚及处理服务。（6）网络及安全保障服务。</w:t>
      </w:r>
    </w:p>
    <w:p w14:paraId="2C8E652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w w:val="100"/>
          <w:kern w:val="2"/>
          <w:sz w:val="24"/>
          <w:szCs w:val="24"/>
          <w:highlight w:val="none"/>
          <w:lang w:val="en-US" w:eastAsia="zh-CN" w:bidi="ar-SA"/>
        </w:rPr>
      </w:pPr>
      <w:r>
        <w:rPr>
          <w:rFonts w:hint="eastAsia" w:ascii="仿宋" w:hAnsi="仿宋" w:eastAsia="仿宋" w:cs="仿宋"/>
          <w:b/>
          <w:bCs/>
          <w:color w:val="auto"/>
          <w:w w:val="100"/>
          <w:sz w:val="24"/>
          <w:szCs w:val="24"/>
          <w:highlight w:val="none"/>
        </w:rPr>
        <w:t>规格技术参数</w:t>
      </w:r>
      <w:r>
        <w:rPr>
          <w:rFonts w:hint="eastAsia" w:ascii="仿宋" w:hAnsi="仿宋" w:eastAsia="仿宋" w:cs="仿宋"/>
          <w:b/>
          <w:bCs/>
          <w:color w:val="auto"/>
          <w:w w:val="100"/>
          <w:sz w:val="24"/>
          <w:szCs w:val="24"/>
          <w:highlight w:val="none"/>
          <w:lang w:eastAsia="zh-CN"/>
        </w:rPr>
        <w:t>：</w:t>
      </w:r>
      <w:r>
        <w:rPr>
          <w:rFonts w:hint="eastAsia" w:ascii="仿宋" w:hAnsi="仿宋" w:eastAsia="仿宋" w:cs="仿宋"/>
          <w:color w:val="auto"/>
          <w:w w:val="100"/>
          <w:kern w:val="2"/>
          <w:sz w:val="24"/>
          <w:szCs w:val="24"/>
          <w:highlight w:val="none"/>
          <w:lang w:val="en-US" w:eastAsia="zh-CN" w:bidi="ar-SA"/>
        </w:rPr>
        <w:t>提供自治区危险化学品安全生产风险监测预警系统的全面运维保障服务，确保系统稳定、高效运行。具体包括但不限于以下内容：（1）系统基础保障，对现有服务器等硬件设备进行定期巡检，出具巡检报告，发现问题及时报告并督促处理；（2）平台监测值守服务，按照《危险化学品安全生产风险监测预警系统数据质量管理办法（试行）》要求，开展数据质量监测、异常问题跟踪等工作，指导新增化工园区、烟花爆竹企业完成数据接入，配合全国危险化学品值守日报，跟踪处理辖区内企业离线、数据异常等问题；（3）网络及安全保障服务，配合采购人开展系统安全检查、等保测评等工作，按要求及时整改问题，并提交整改报告；（4）服务团队与支持，组建专业运维团队，确保团队成员具备丰富的系统运维、数据监测、应急处置经验，在服务期内提供技术支持和问题解答服务，确保系统稳定运行，承诺对系统运行中的各类问题提供及时响应和优化建议。</w:t>
      </w:r>
    </w:p>
    <w:p w14:paraId="577433EF">
      <w:pPr>
        <w:pStyle w:val="2"/>
        <w:rPr>
          <w:rFonts w:hint="default"/>
          <w:b/>
          <w:bCs/>
          <w:highlight w:val="none"/>
          <w:lang w:val="en-US" w:eastAsia="zh-CN"/>
        </w:rPr>
      </w:pPr>
      <w:r>
        <w:rPr>
          <w:rFonts w:hint="eastAsia" w:ascii="仿宋" w:hAnsi="仿宋" w:eastAsia="仿宋" w:cs="仿宋"/>
          <w:b/>
          <w:bCs/>
          <w:color w:val="auto"/>
          <w:w w:val="100"/>
          <w:kern w:val="2"/>
          <w:sz w:val="24"/>
          <w:szCs w:val="24"/>
          <w:highlight w:val="none"/>
          <w:lang w:val="en-US" w:eastAsia="zh-CN" w:bidi="ar-SA"/>
        </w:rPr>
        <w:t>驻场服务：</w:t>
      </w:r>
      <w:r>
        <w:rPr>
          <w:rFonts w:hint="eastAsia" w:ascii="仿宋" w:hAnsi="仿宋" w:eastAsia="仿宋" w:cs="仿宋"/>
          <w:b w:val="0"/>
          <w:bCs w:val="0"/>
          <w:color w:val="auto"/>
          <w:w w:val="100"/>
          <w:kern w:val="2"/>
          <w:sz w:val="24"/>
          <w:szCs w:val="24"/>
          <w:highlight w:val="none"/>
          <w:lang w:val="en-US" w:eastAsia="zh-CN" w:bidi="ar-SA"/>
        </w:rPr>
        <w:t>供应商须提供 7×24 小时不间断线上技术支持+常态化线下驻场运维服务，全程保障自治区危险化学品安全生产风险监测预警系统、各功能模块、数据汇聚及处理、网络安全及平台值守等业务正常稳定运行，随时响应系统故障、数据异常、应急处置、日常咨询及现场技术支撑需求。</w:t>
      </w:r>
    </w:p>
    <w:p w14:paraId="23C63842">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7BBBECA9">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p>
    <w:p w14:paraId="5CE8C415">
      <w:pPr>
        <w:pStyle w:val="25"/>
        <w:spacing w:before="120" w:beforeLines="50" w:after="12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合同</w:t>
      </w:r>
      <w:bookmarkEnd w:id="36"/>
      <w:r>
        <w:rPr>
          <w:rFonts w:hint="eastAsia" w:ascii="仿宋" w:hAnsi="仿宋" w:eastAsia="仿宋" w:cs="仿宋"/>
          <w:b/>
          <w:color w:val="auto"/>
          <w:sz w:val="32"/>
          <w:szCs w:val="32"/>
          <w:highlight w:val="none"/>
        </w:rPr>
        <w:t>条款</w:t>
      </w:r>
      <w:bookmarkEnd w:id="37"/>
    </w:p>
    <w:p w14:paraId="7A18FE7D">
      <w:pPr>
        <w:widowControl/>
        <w:shd w:val="clear" w:color="auto" w:fill="FFFFFF"/>
        <w:spacing w:after="0" w:line="440" w:lineRule="exact"/>
        <w:ind w:firstLine="1205" w:firstLineChars="500"/>
        <w:rPr>
          <w:rFonts w:hint="eastAsia" w:ascii="仿宋" w:hAnsi="仿宋" w:eastAsia="仿宋" w:cs="仿宋"/>
          <w:sz w:val="24"/>
          <w:szCs w:val="24"/>
          <w:highlight w:val="none"/>
        </w:rPr>
      </w:pPr>
      <w:bookmarkStart w:id="38" w:name="_Hlk519793124"/>
      <w:r>
        <w:rPr>
          <w:rFonts w:hint="eastAsia" w:ascii="仿宋" w:hAnsi="仿宋" w:eastAsia="仿宋" w:cs="仿宋"/>
          <w:b/>
          <w:bCs/>
          <w:kern w:val="0"/>
          <w:sz w:val="24"/>
          <w:szCs w:val="24"/>
          <w:highlight w:val="none"/>
          <w:u w:val="single"/>
          <w:shd w:val="clear" w:color="auto" w:fill="FFFFFF"/>
          <w:lang w:bidi="ar"/>
        </w:rPr>
        <w:t>(此合同样本仅供参考,合同具体条款以双方最终签订的为准。)</w:t>
      </w:r>
    </w:p>
    <w:p w14:paraId="19CBD921">
      <w:pPr>
        <w:widowControl w:val="0"/>
        <w:spacing w:line="420" w:lineRule="exact"/>
        <w:ind w:firstLine="482" w:firstLineChars="200"/>
        <w:jc w:val="both"/>
        <w:rPr>
          <w:rFonts w:hint="eastAsia" w:ascii="仿宋" w:hAnsi="仿宋" w:eastAsia="仿宋" w:cs="仿宋"/>
          <w:b/>
          <w:kern w:val="2"/>
          <w:sz w:val="24"/>
          <w:szCs w:val="20"/>
          <w:highlight w:val="none"/>
          <w:lang w:val="en-US" w:eastAsia="zh-CN" w:bidi="ar-SA"/>
        </w:rPr>
      </w:pPr>
    </w:p>
    <w:p w14:paraId="1D7EFD3D">
      <w:pPr>
        <w:widowControl w:val="0"/>
        <w:spacing w:line="420" w:lineRule="exact"/>
        <w:ind w:firstLine="482" w:firstLineChars="200"/>
        <w:jc w:val="both"/>
        <w:rPr>
          <w:rFonts w:hint="eastAsia" w:ascii="仿宋" w:hAnsi="仿宋" w:eastAsia="仿宋" w:cs="仿宋"/>
          <w:b/>
          <w:kern w:val="2"/>
          <w:sz w:val="24"/>
          <w:szCs w:val="20"/>
          <w:highlight w:val="none"/>
          <w:lang w:val="en-US" w:eastAsia="zh-CN" w:bidi="ar-SA"/>
        </w:rPr>
      </w:pPr>
      <w:r>
        <w:rPr>
          <w:rFonts w:hint="eastAsia" w:ascii="仿宋" w:hAnsi="仿宋" w:eastAsia="仿宋" w:cs="仿宋"/>
          <w:b/>
          <w:kern w:val="2"/>
          <w:sz w:val="24"/>
          <w:szCs w:val="20"/>
          <w:highlight w:val="none"/>
          <w:lang w:val="en-US" w:eastAsia="zh-CN" w:bidi="ar-SA"/>
        </w:rPr>
        <w:t>重要说明：采购人在签订合同前有权依据竞争性磋商文件（采购文件）要求和项目实际情况对以下合同内容进行删改或补充。</w:t>
      </w:r>
    </w:p>
    <w:p w14:paraId="0EEE2E5C">
      <w:pPr>
        <w:widowControl w:val="0"/>
        <w:jc w:val="both"/>
        <w:rPr>
          <w:rFonts w:hint="eastAsia" w:ascii="Calibri" w:hAnsi="Calibri" w:eastAsia="宋体" w:cs="Times New Roman"/>
          <w:kern w:val="2"/>
          <w:sz w:val="21"/>
          <w:szCs w:val="24"/>
          <w:highlight w:val="none"/>
          <w:lang w:val="en-US" w:eastAsia="zh-CN" w:bidi="ar-SA"/>
        </w:rPr>
      </w:pPr>
    </w:p>
    <w:bookmarkEnd w:id="38"/>
    <w:p w14:paraId="4AD3D7CF">
      <w:pPr>
        <w:adjustRightInd w:val="0"/>
        <w:snapToGrid w:val="0"/>
        <w:spacing w:after="0" w:line="360" w:lineRule="auto"/>
        <w:rPr>
          <w:rFonts w:hint="eastAsia" w:ascii="仿宋" w:hAnsi="仿宋" w:eastAsia="仿宋" w:cs="仿宋"/>
          <w:color w:val="auto"/>
          <w:sz w:val="24"/>
          <w:szCs w:val="24"/>
          <w:highlight w:val="none"/>
        </w:rPr>
      </w:pPr>
      <w:bookmarkStart w:id="39" w:name="_Toc127462396"/>
      <w:r>
        <w:rPr>
          <w:rFonts w:hint="eastAsia" w:ascii="仿宋" w:hAnsi="仿宋" w:eastAsia="仿宋" w:cs="仿宋"/>
          <w:color w:val="auto"/>
          <w:sz w:val="24"/>
          <w:szCs w:val="24"/>
          <w:highlight w:val="none"/>
        </w:rPr>
        <w:t>合同编号：</w:t>
      </w:r>
    </w:p>
    <w:p w14:paraId="6F9D1D1F">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14AFDE77">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5EA6E7BB">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1F85B4EF">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34B03F7C">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甲乙双方根据《中华人民共和国政府采购法》《中华人民共和国政府采购法实施条例》《中华人民共和国民法典》等相关法律法规、规范性文件以及项目（填写项目名称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项目编号）的成交结果、磋商文件、响应文件等文件的相关内容，经平等自愿协商一致，就如下合同条款达成一致意见。</w:t>
      </w:r>
    </w:p>
    <w:p w14:paraId="7887295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一、乙方向甲方提供的服务内容</w:t>
      </w:r>
    </w:p>
    <w:p w14:paraId="19EFC3A3">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（一）根据磋商文件及成交结果公告，乙方向甲方提供的服务、货物（如有）内容如下：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C5AA5FF">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（二）服务项目名称、服务具体内容、服务方式、服务要求、服务成果及与之相关的货物等详细内容，见合同附件—服务清单。</w:t>
      </w:r>
    </w:p>
    <w:p w14:paraId="6F0AAAE8">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二、乙方服务成果的交付时间、地点</w:t>
      </w:r>
    </w:p>
    <w:p w14:paraId="7D19EA9E">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（一）服务期限：</w:t>
      </w:r>
    </w:p>
    <w:p w14:paraId="65299D6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（二）服务地点：</w:t>
      </w:r>
    </w:p>
    <w:p w14:paraId="63999C0F">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）乙方代表及联系电话：</w:t>
      </w:r>
    </w:p>
    <w:p w14:paraId="290AF386">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）甲方代表及联系电话：</w:t>
      </w:r>
    </w:p>
    <w:p w14:paraId="65053CD4">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三、乙方提供服务质量</w:t>
      </w:r>
    </w:p>
    <w:p w14:paraId="5FAA2C8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（一）乙方提供的服务应同时满足：</w:t>
      </w:r>
    </w:p>
    <w:p w14:paraId="3755ADD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1.符合国家法律法规和规范性文件对服务质量的要求；</w:t>
      </w:r>
    </w:p>
    <w:p w14:paraId="6C9E05F9">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2.符合甲方磋商文件对服务的质量要求；</w:t>
      </w:r>
    </w:p>
    <w:p w14:paraId="54523785">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3.符合乙方在响应文件中或磋商、谈判过程中对服务质量作出的书面承诺、声明或保证。上述质量要求作为甲方对乙方服务质量的验收依据。</w:t>
      </w:r>
    </w:p>
    <w:p w14:paraId="3A543A63">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（二）乙方应根据国家法律法规和规范性文件的规定、磋商文件的相关要求、响应文件及乙方承诺、声明或保证，向甲方提供相应的服务质量证明文件。</w:t>
      </w:r>
    </w:p>
    <w:p w14:paraId="626F4357">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、甲方对乙方服务的监督</w:t>
      </w:r>
    </w:p>
    <w:p w14:paraId="2DF061DF">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1736537E">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六、合同金额</w:t>
      </w:r>
    </w:p>
    <w:p w14:paraId="5DB89B0A">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在乙方提供完全符合合同要求的服务的前提下，本合同总金额为元（小写）（大写）。</w:t>
      </w:r>
    </w:p>
    <w:p w14:paraId="458E25C6">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七、付款时间及条件</w:t>
      </w:r>
    </w:p>
    <w:p w14:paraId="2D7C5651">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（一）付款时间：</w:t>
      </w:r>
    </w:p>
    <w:p w14:paraId="5327EE1D">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（二）付款条件：</w:t>
      </w:r>
    </w:p>
    <w:p w14:paraId="57B31CA6">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（三）乙方账户信息</w:t>
      </w:r>
    </w:p>
    <w:p w14:paraId="7D9D6E73">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乙方名称：</w:t>
      </w:r>
    </w:p>
    <w:p w14:paraId="125FDBBB">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28F6272D">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p w14:paraId="1F9334C2">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八、知识产权</w:t>
      </w:r>
    </w:p>
    <w:p w14:paraId="64D8E721">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70C40CA0">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九、违约条款</w:t>
      </w:r>
    </w:p>
    <w:p w14:paraId="3338EB67">
      <w:pPr>
        <w:adjustRightInd w:val="0"/>
        <w:snapToGrid w:val="0"/>
        <w:spacing w:after="0" w:line="360" w:lineRule="auto"/>
        <w:ind w:left="927" w:leftChars="213"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（一）甲方没有正当理由逾期支付合同款项的，每延期一日，甲方应按照逾期支付金额</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承担违约责任。延期达到日，乙方有权解除合同，并要求甲方赔偿由此造成的经济损失。</w:t>
      </w:r>
    </w:p>
    <w:p w14:paraId="04ECA20D">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（二）甲方存在其他违反本合同的行为，应承担相应的违约责任（注：可以根据情况进行细化）；违约金不足以赔偿乙方损失的，乙方有权要求甲方赔偿由此造成的经济损失。</w:t>
      </w:r>
    </w:p>
    <w:p w14:paraId="2863449A">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（三）乙方逾期提供服务的，每延期一日，乙方应按照合同总金额的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承担违约责任。延期达到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日，甲方有权解除合同，拒付延期部分的相应服务款项，并要求乙方赔偿甲方的经济损失。</w:t>
      </w:r>
    </w:p>
    <w:p w14:paraId="61CE8ECE">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（四）乙方交付的服务不符合质量要求，或其服务</w:t>
      </w:r>
      <w:r>
        <w:rPr>
          <w:rFonts w:hint="eastAsia" w:ascii="仿宋" w:hAnsi="仿宋" w:eastAsia="仿宋" w:cs="仿宋"/>
          <w:color w:val="auto"/>
          <w:sz w:val="24"/>
          <w:szCs w:val="24"/>
          <w:highlight w:val="none"/>
          <w:lang w:val="en-US" w:eastAsia="zh-CN"/>
        </w:rPr>
        <w:t>导致侵害或损害</w:t>
      </w:r>
      <w:r>
        <w:rPr>
          <w:rFonts w:hint="eastAsia" w:ascii="仿宋" w:hAnsi="仿宋" w:eastAsia="仿宋" w:cs="仿宋"/>
          <w:color w:val="auto"/>
          <w:sz w:val="24"/>
          <w:szCs w:val="24"/>
          <w:highlight w:val="none"/>
        </w:rPr>
        <w:t>行为的，甲方有权解除合同，并要求乙方支付合同总金额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%的违约金，违约金不足以赔偿甲方损失的，甲方有权要求乙方赔偿经济损失。</w:t>
      </w:r>
    </w:p>
    <w:p w14:paraId="5ECF1772">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%的违约金，违约金不足以赔偿甲方损失的，甲方有权要求乙方赔偿经济损失。</w:t>
      </w:r>
    </w:p>
    <w:p w14:paraId="2C3576F1">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（六）乙方存在其他违反本合同的行为，应承担相应的违约责任（注：可以根据情况进行细化）；违约金不足以赔偿甲方损失的，甲方有权要求乙方赔偿经济损失。</w:t>
      </w:r>
    </w:p>
    <w:p w14:paraId="4A0CA833">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十、不可抗力</w:t>
      </w:r>
    </w:p>
    <w:p w14:paraId="7D4EFEE2">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因不可抗力致使一方不能及时或完全履行合同的，应及时通知另一方，双方互不承担责任，并在天内提供有关不可抗力的相关证明。合同未履行部分是否继续履行、如何履行等问题，由双方协商解决。</w:t>
      </w:r>
    </w:p>
    <w:p w14:paraId="29DB2B44">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十一、争议的解决方式</w:t>
      </w:r>
    </w:p>
    <w:p w14:paraId="4611E34A">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合同发生纠纷时，双方应协商解决，协商不成，可以采用下列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方式解决：</w:t>
      </w:r>
    </w:p>
    <w:p w14:paraId="7331DDAE">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（一）提交仲裁委员会仲裁。</w:t>
      </w:r>
    </w:p>
    <w:p w14:paraId="73C250F7">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（二）向人民法院起诉。</w:t>
      </w:r>
    </w:p>
    <w:p w14:paraId="20A5FAB2">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十二、合同保存</w:t>
      </w:r>
    </w:p>
    <w:p w14:paraId="6E51554B">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合同文本一式</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份，采购单位、成交供应商各执</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份。合同文本保存期限为从采购结束之日起至少保存十五年。</w:t>
      </w:r>
    </w:p>
    <w:p w14:paraId="203F30EA">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十三、合同附件</w:t>
      </w:r>
    </w:p>
    <w:p w14:paraId="3EACA972">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本合同所附下列文件是构成本合同不可分割的部分，与本合同具有同等法律效力：</w:t>
      </w:r>
    </w:p>
    <w:p w14:paraId="696540F7">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1、服务清单（双方应盖章确认）</w:t>
      </w:r>
    </w:p>
    <w:p w14:paraId="332D4993">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2、乙方出具的报价单（函）</w:t>
      </w:r>
    </w:p>
    <w:p w14:paraId="72AC5654">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3、中标（成交）结果公告及中标（成交）通知书</w:t>
      </w:r>
    </w:p>
    <w:p w14:paraId="41A57B21">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4、甲方招标（磋商、谈判）文件</w:t>
      </w:r>
    </w:p>
    <w:p w14:paraId="608E3381">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5、乙方投标（响应）文件</w:t>
      </w:r>
    </w:p>
    <w:p w14:paraId="6A2CFC7C">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6、甲乙双方商定的其他文件</w:t>
      </w:r>
    </w:p>
    <w:p w14:paraId="4506A98B">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十四、双方约定的其他事宜</w:t>
      </w:r>
    </w:p>
    <w:p w14:paraId="6AD2B986">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十五、合同未尽事宜，双方另行签订补充协议，补充协议是合同的组成</w:t>
      </w:r>
    </w:p>
    <w:p w14:paraId="34CAEC0F">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p w14:paraId="51B2B81E">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十六、本合同由甲乙双方盖章生效。</w:t>
      </w:r>
    </w:p>
    <w:p w14:paraId="6DECB716">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甲方名称：（章）                         乙方名称：（章）</w:t>
      </w:r>
    </w:p>
    <w:p w14:paraId="44ECFDCD">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甲方法定代表人或负责人：（签字）         乙方法定代表人或负责人：（签字）</w:t>
      </w:r>
    </w:p>
    <w:p w14:paraId="1CD9B70B">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年月日                                   年月日</w:t>
      </w:r>
      <w:r>
        <w:rPr>
          <w:rFonts w:hint="eastAsia" w:ascii="仿宋" w:hAnsi="仿宋" w:eastAsia="仿宋" w:cs="仿宋"/>
          <w:color w:val="000000"/>
          <w:kern w:val="0"/>
          <w:sz w:val="24"/>
          <w:szCs w:val="24"/>
          <w:highlight w:val="none"/>
          <w:lang w:val="en-US" w:eastAsia="zh-CN" w:bidi="ar"/>
        </w:rPr>
        <w:t xml:space="preserve">            </w:t>
      </w:r>
    </w:p>
    <w:p w14:paraId="2621866A">
      <w:pPr>
        <w:keepNext w:val="0"/>
        <w:keepLines w:val="0"/>
        <w:widowControl/>
        <w:suppressLineNumbers w:val="0"/>
        <w:jc w:val="left"/>
        <w:rPr>
          <w:rFonts w:hint="eastAsia" w:ascii="仿宋" w:hAnsi="仿宋" w:eastAsia="仿宋" w:cs="仿宋"/>
          <w:sz w:val="24"/>
          <w:szCs w:val="24"/>
          <w:highlight w:val="none"/>
        </w:rPr>
      </w:pPr>
    </w:p>
    <w:p w14:paraId="4332F3A1">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43E608C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default" w:ascii="仿宋" w:hAnsi="仿宋" w:eastAsia="仿宋" w:cs="仿宋"/>
          <w:b/>
          <w:bCs/>
          <w:sz w:val="28"/>
          <w:szCs w:val="28"/>
          <w:highlight w:val="none"/>
          <w:lang w:val="en-US" w:eastAsia="zh-CN"/>
        </w:rPr>
      </w:pPr>
    </w:p>
    <w:p w14:paraId="6EFC0DF3">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7B60F265">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517577ED">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528D5113">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1BA9B09E">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076B9696">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02FC2557">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4451A544">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371C52AE">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p>
    <w:p w14:paraId="16C0A11D">
      <w:pPr>
        <w:pStyle w:val="25"/>
        <w:spacing w:before="156" w:beforeLines="50" w:after="156"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第七部分  响应文件格式</w:t>
      </w:r>
      <w:bookmarkEnd w:id="39"/>
    </w:p>
    <w:p w14:paraId="2F7CC70D">
      <w:pPr>
        <w:pStyle w:val="25"/>
        <w:spacing w:line="360" w:lineRule="auto"/>
        <w:jc w:val="center"/>
        <w:rPr>
          <w:rFonts w:hint="eastAsia" w:ascii="仿宋" w:hAnsi="仿宋" w:eastAsia="仿宋" w:cs="仿宋"/>
          <w:b/>
          <w:color w:val="auto"/>
          <w:szCs w:val="24"/>
          <w:highlight w:val="none"/>
        </w:rPr>
      </w:pPr>
    </w:p>
    <w:p w14:paraId="00DF6D0F">
      <w:pPr>
        <w:keepNext/>
        <w:keepLines/>
        <w:adjustRightInd w:val="0"/>
        <w:spacing w:before="200" w:after="200"/>
        <w:jc w:val="center"/>
        <w:textAlignment w:val="baseline"/>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14:paraId="0C597E6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1.本部分仅提供了《供应商须知前附表》第5项要求供应商提供资料的部分文件格式，供应商须严格按照提供的格式制作响应文件，其他资料严格按照《供应商须知前附表》第5项要求的内容提供。</w:t>
      </w:r>
    </w:p>
    <w:p w14:paraId="30E120C9">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2.供应商应严格按照以下顺序填写和提交下述规定的全部格式文件以及其他有关资料，混乱的编排导致响应文件被误读或查找不到，后果由供应商承担。</w:t>
      </w:r>
    </w:p>
    <w:p w14:paraId="0CBC39FE">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3.所附表格中要求回答的全部问题和信息都必须正面回答。</w:t>
      </w:r>
    </w:p>
    <w:p w14:paraId="1CFDE244">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4.本资格声明的签字人应保证全部声明和问题的回答是真实的和准确的。</w:t>
      </w:r>
    </w:p>
    <w:p w14:paraId="44A70E4B">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5.供应商提交的材料将被保密保存，但不退还。</w:t>
      </w:r>
    </w:p>
    <w:p w14:paraId="79D9B5CE">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6.全部文件应按供应商须知中规定的语言和份数提交。</w:t>
      </w:r>
    </w:p>
    <w:p w14:paraId="5610D6B7">
      <w:pPr>
        <w:pStyle w:val="25"/>
        <w:spacing w:line="360" w:lineRule="auto"/>
        <w:jc w:val="center"/>
        <w:rPr>
          <w:rFonts w:hint="eastAsia" w:ascii="仿宋" w:hAnsi="仿宋" w:eastAsia="仿宋" w:cs="仿宋"/>
          <w:b/>
          <w:color w:val="auto"/>
          <w:sz w:val="72"/>
          <w:highlight w:val="none"/>
        </w:rPr>
      </w:pPr>
    </w:p>
    <w:p w14:paraId="3B0D2F86">
      <w:pPr>
        <w:ind w:firstLine="560"/>
        <w:rPr>
          <w:rFonts w:hint="eastAsia" w:ascii="仿宋" w:hAnsi="仿宋" w:eastAsia="仿宋" w:cs="仿宋"/>
          <w:color w:val="auto"/>
          <w:sz w:val="28"/>
          <w:highlight w:val="none"/>
        </w:rPr>
      </w:pPr>
    </w:p>
    <w:p w14:paraId="56ADA746">
      <w:pPr>
        <w:spacing w:line="480" w:lineRule="auto"/>
        <w:jc w:val="right"/>
        <w:rPr>
          <w:rFonts w:hint="eastAsia" w:ascii="仿宋" w:hAnsi="仿宋" w:eastAsia="仿宋" w:cs="仿宋"/>
          <w:b/>
          <w:bCs/>
          <w:color w:val="auto"/>
          <w:sz w:val="32"/>
          <w:szCs w:val="32"/>
          <w:highlight w:val="none"/>
        </w:rPr>
      </w:pPr>
      <w:r>
        <w:rPr>
          <w:rFonts w:hint="eastAsia" w:ascii="仿宋" w:hAnsi="仿宋" w:eastAsia="仿宋" w:cs="仿宋"/>
          <w:b/>
          <w:color w:val="auto"/>
          <w:sz w:val="28"/>
          <w:szCs w:val="28"/>
          <w:highlight w:val="none"/>
        </w:rPr>
        <w:br w:type="page"/>
      </w:r>
      <w:bookmarkStart w:id="40" w:name="_Toc100833524"/>
      <w:bookmarkStart w:id="41" w:name="_Toc68020523"/>
      <w:bookmarkStart w:id="42" w:name="_Toc101715650"/>
      <w:bookmarkStart w:id="43" w:name="_Toc89269572"/>
      <w:bookmarkStart w:id="44" w:name="_Toc89103234"/>
      <w:bookmarkStart w:id="45" w:name="_Toc69395261"/>
      <w:bookmarkStart w:id="46" w:name="_Toc101922787"/>
      <w:bookmarkStart w:id="47" w:name="_Toc18494734"/>
      <w:r>
        <w:rPr>
          <w:rFonts w:hint="eastAsia" w:ascii="仿宋" w:hAnsi="仿宋" w:eastAsia="仿宋" w:cs="仿宋"/>
          <w:b/>
          <w:bCs/>
          <w:color w:val="auto"/>
          <w:sz w:val="32"/>
          <w:szCs w:val="32"/>
          <w:highlight w:val="none"/>
        </w:rPr>
        <w:t>正本/或副本</w:t>
      </w:r>
    </w:p>
    <w:p w14:paraId="693831E5">
      <w:pPr>
        <w:spacing w:line="700" w:lineRule="exact"/>
        <w:jc w:val="center"/>
        <w:rPr>
          <w:rFonts w:hint="eastAsia" w:ascii="仿宋" w:hAnsi="仿宋" w:eastAsia="仿宋" w:cs="仿宋"/>
          <w:b/>
          <w:bCs/>
          <w:color w:val="auto"/>
          <w:spacing w:val="20"/>
          <w:sz w:val="40"/>
          <w:szCs w:val="40"/>
          <w:highlight w:val="none"/>
        </w:rPr>
      </w:pPr>
      <w:r>
        <w:rPr>
          <w:rFonts w:hint="eastAsia" w:ascii="仿宋" w:hAnsi="仿宋" w:eastAsia="仿宋" w:cs="仿宋"/>
          <w:b/>
          <w:bCs/>
          <w:color w:val="auto"/>
          <w:spacing w:val="20"/>
          <w:sz w:val="40"/>
          <w:szCs w:val="40"/>
          <w:highlight w:val="none"/>
        </w:rPr>
        <w:t>***（项目名称）</w:t>
      </w:r>
    </w:p>
    <w:p w14:paraId="1BB2DD5E">
      <w:pPr>
        <w:pStyle w:val="4"/>
        <w:rPr>
          <w:rFonts w:hint="eastAsia" w:ascii="仿宋" w:hAnsi="仿宋" w:eastAsia="仿宋" w:cs="仿宋"/>
          <w:color w:val="auto"/>
          <w:highlight w:val="none"/>
        </w:rPr>
      </w:pPr>
    </w:p>
    <w:p w14:paraId="1D3B4EEE">
      <w:pPr>
        <w:spacing w:line="700" w:lineRule="exact"/>
        <w:jc w:val="center"/>
        <w:rPr>
          <w:rFonts w:hint="eastAsia" w:ascii="仿宋" w:hAnsi="仿宋" w:eastAsia="仿宋" w:cs="仿宋"/>
          <w:b/>
          <w:bCs/>
          <w:color w:val="auto"/>
          <w:spacing w:val="20"/>
          <w:sz w:val="32"/>
          <w:szCs w:val="32"/>
          <w:highlight w:val="none"/>
        </w:rPr>
      </w:pPr>
    </w:p>
    <w:p w14:paraId="38D0A2E5">
      <w:pPr>
        <w:spacing w:line="700" w:lineRule="exact"/>
        <w:jc w:val="center"/>
        <w:rPr>
          <w:rFonts w:hint="eastAsia" w:ascii="仿宋" w:hAnsi="仿宋" w:eastAsia="仿宋" w:cs="仿宋"/>
          <w:b/>
          <w:bCs/>
          <w:color w:val="auto"/>
          <w:spacing w:val="20"/>
          <w:sz w:val="32"/>
          <w:szCs w:val="32"/>
          <w:highlight w:val="none"/>
        </w:rPr>
      </w:pPr>
      <w:r>
        <w:rPr>
          <w:rFonts w:hint="eastAsia" w:ascii="仿宋" w:hAnsi="仿宋" w:eastAsia="仿宋" w:cs="仿宋"/>
          <w:b/>
          <w:bCs/>
          <w:color w:val="auto"/>
          <w:spacing w:val="20"/>
          <w:sz w:val="32"/>
          <w:szCs w:val="32"/>
          <w:highlight w:val="none"/>
        </w:rPr>
        <w:t>项目编号：***</w:t>
      </w:r>
    </w:p>
    <w:p w14:paraId="437134C0">
      <w:pPr>
        <w:spacing w:line="700" w:lineRule="exact"/>
        <w:rPr>
          <w:rFonts w:hint="eastAsia" w:ascii="仿宋" w:hAnsi="仿宋" w:eastAsia="仿宋" w:cs="仿宋"/>
          <w:b/>
          <w:bCs/>
          <w:color w:val="auto"/>
          <w:spacing w:val="20"/>
          <w:sz w:val="32"/>
          <w:szCs w:val="32"/>
          <w:highlight w:val="none"/>
        </w:rPr>
      </w:pPr>
    </w:p>
    <w:p w14:paraId="2C70DAEC">
      <w:pPr>
        <w:pStyle w:val="5"/>
        <w:ind w:left="0" w:leftChars="0" w:firstLine="3534" w:firstLineChars="1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 应 文 件</w:t>
      </w:r>
    </w:p>
    <w:p w14:paraId="4E7302E2">
      <w:pPr>
        <w:pStyle w:val="5"/>
        <w:ind w:left="0" w:leftChars="0"/>
        <w:rPr>
          <w:rFonts w:hint="eastAsia" w:ascii="仿宋" w:hAnsi="仿宋" w:eastAsia="仿宋" w:cs="仿宋"/>
          <w:color w:val="auto"/>
          <w:szCs w:val="24"/>
          <w:highlight w:val="none"/>
        </w:rPr>
      </w:pPr>
    </w:p>
    <w:p w14:paraId="0D13AD62">
      <w:pPr>
        <w:rPr>
          <w:rFonts w:hint="eastAsia" w:ascii="仿宋" w:hAnsi="仿宋" w:eastAsia="仿宋" w:cs="仿宋"/>
          <w:color w:val="auto"/>
          <w:sz w:val="24"/>
          <w:highlight w:val="none"/>
        </w:rPr>
      </w:pPr>
    </w:p>
    <w:p w14:paraId="11984EB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采购人：</w:t>
      </w:r>
    </w:p>
    <w:p w14:paraId="4034608C">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供应商（盖章）： </w:t>
      </w:r>
    </w:p>
    <w:p w14:paraId="504536AD">
      <w:pPr>
        <w:spacing w:line="480" w:lineRule="auto"/>
        <w:ind w:firstLine="843" w:firstLineChars="35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法定代表人（签字或盖章）：</w:t>
      </w:r>
    </w:p>
    <w:p w14:paraId="239921FC">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供应商地址：</w:t>
      </w:r>
    </w:p>
    <w:p w14:paraId="5A9BB7E0">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联系人及电话：</w:t>
      </w:r>
    </w:p>
    <w:p w14:paraId="5FF491F7">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p>
    <w:p w14:paraId="5492AB17">
      <w:pPr>
        <w:pStyle w:val="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rPr>
      </w:pPr>
    </w:p>
    <w:p w14:paraId="556A52EA">
      <w:pPr>
        <w:pStyle w:val="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rPr>
      </w:pPr>
    </w:p>
    <w:p w14:paraId="5E7E8E74">
      <w:pPr>
        <w:pStyle w:val="9"/>
        <w:keepNext w:val="0"/>
        <w:keepLines w:val="0"/>
        <w:pageBreakBefore w:val="0"/>
        <w:widowControl w:val="0"/>
        <w:tabs>
          <w:tab w:val="left" w:pos="0"/>
          <w:tab w:val="left" w:pos="3239"/>
          <w:tab w:val="center" w:pos="4144"/>
        </w:tabs>
        <w:kinsoku/>
        <w:wordWrap/>
        <w:overflowPunct/>
        <w:topLinePunct w:val="0"/>
        <w:autoSpaceDE w:val="0"/>
        <w:autoSpaceDN w:val="0"/>
        <w:bidi w:val="0"/>
        <w:adjustRightInd w:val="0"/>
        <w:snapToGrid/>
        <w:spacing w:after="0" w:line="240" w:lineRule="auto"/>
        <w:ind w:left="0" w:leftChars="0" w:right="0"/>
        <w:jc w:val="center"/>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目录</w:t>
      </w:r>
    </w:p>
    <w:p w14:paraId="115CD07A">
      <w:pPr>
        <w:pStyle w:val="1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注：请供应商按照响应文件格式自行编制目录</w:t>
      </w:r>
    </w:p>
    <w:bookmarkEnd w:id="40"/>
    <w:bookmarkEnd w:id="41"/>
    <w:bookmarkEnd w:id="42"/>
    <w:bookmarkEnd w:id="43"/>
    <w:bookmarkEnd w:id="44"/>
    <w:bookmarkEnd w:id="45"/>
    <w:bookmarkEnd w:id="46"/>
    <w:bookmarkEnd w:id="47"/>
    <w:p w14:paraId="7E60D91A">
      <w:pPr>
        <w:widowControl/>
        <w:jc w:val="left"/>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64ADA7F8">
      <w:pPr>
        <w:widowControl/>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附件一  具有独立承担民事责任的能力；</w:t>
      </w:r>
    </w:p>
    <w:p w14:paraId="1B4D625B">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4357EFB3">
      <w:pPr>
        <w:spacing w:line="360" w:lineRule="exact"/>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7921D0B6">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bCs/>
          <w:snapToGrid w:val="0"/>
          <w:color w:val="auto"/>
          <w:kern w:val="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附件二  法定代表人（或负责人）资格证明书及法定代表人（或负责人）授权委托书</w:t>
      </w:r>
    </w:p>
    <w:p w14:paraId="3C12F597">
      <w:pPr>
        <w:shd w:val="clear" w:color="auto" w:fill="FFFFFF"/>
        <w:spacing w:before="312" w:beforeLines="100" w:after="312" w:afterLines="100"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法定代表人（或负责人）资格证明书</w:t>
      </w:r>
    </w:p>
    <w:p w14:paraId="3EF2F595">
      <w:pPr>
        <w:shd w:val="clear" w:color="auto" w:fill="FFFFFF"/>
        <w:spacing w:line="440" w:lineRule="exact"/>
        <w:rPr>
          <w:rFonts w:hint="eastAsia" w:ascii="仿宋" w:hAnsi="仿宋" w:eastAsia="仿宋" w:cs="仿宋"/>
          <w:color w:val="auto"/>
          <w:sz w:val="24"/>
          <w:highlight w:val="none"/>
        </w:rPr>
      </w:pPr>
    </w:p>
    <w:p w14:paraId="26F3216A">
      <w:pPr>
        <w:pStyle w:val="51"/>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14:paraId="7ECD13BB">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兹有同志为公司法定代表人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，代表我公司办理一切社会公务事宜，具有法律效力。 </w:t>
      </w:r>
    </w:p>
    <w:p w14:paraId="7EB055C7">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基本情况： </w:t>
      </w:r>
    </w:p>
    <w:p w14:paraId="034C3B23">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姓名：性别：年龄：职务：</w:t>
      </w:r>
    </w:p>
    <w:p w14:paraId="5B569D22">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p w14:paraId="1E9C7B73">
      <w:pPr>
        <w:pStyle w:val="51"/>
        <w:keepNext w:val="0"/>
        <w:keepLines w:val="0"/>
        <w:pageBreakBefore w:val="0"/>
        <w:widowControl w:val="0"/>
        <w:kinsoku/>
        <w:wordWrap/>
        <w:overflowPunct/>
        <w:topLinePunct w:val="0"/>
        <w:autoSpaceDE/>
        <w:autoSpaceDN/>
        <w:bidi w:val="0"/>
        <w:adjustRightInd w:val="0"/>
        <w:snapToGrid w:val="0"/>
        <w:spacing w:after="0"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p w14:paraId="3522C2B5">
      <w:pPr>
        <w:keepNext w:val="0"/>
        <w:keepLines w:val="0"/>
        <w:pageBreakBefore w:val="0"/>
        <w:widowControl w:val="0"/>
        <w:shd w:val="clear" w:color="auto" w:fill="FFFFFF"/>
        <w:kinsoku/>
        <w:wordWrap/>
        <w:overflowPunct/>
        <w:topLinePunct w:val="0"/>
        <w:autoSpaceDE/>
        <w:autoSpaceDN/>
        <w:bidi w:val="0"/>
        <w:spacing w:after="0"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电话号码：</w:t>
      </w:r>
    </w:p>
    <w:p w14:paraId="59589ECE">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2614930</wp:posOffset>
                </wp:positionH>
                <wp:positionV relativeFrom="paragraph">
                  <wp:posOffset>174625</wp:posOffset>
                </wp:positionV>
                <wp:extent cx="2772410" cy="1649095"/>
                <wp:effectExtent l="4445" t="5080" r="23495" b="22225"/>
                <wp:wrapNone/>
                <wp:docPr id="1027" name="文本框 3"/>
                <wp:cNvGraphicFramePr/>
                <a:graphic xmlns:a="http://schemas.openxmlformats.org/drawingml/2006/main">
                  <a:graphicData uri="http://schemas.microsoft.com/office/word/2010/wordprocessingShape">
                    <wps:wsp>
                      <wps:cNvSpPr/>
                      <wps:spPr>
                        <a:xfrm>
                          <a:off x="0" y="0"/>
                          <a:ext cx="2772410" cy="1649095"/>
                        </a:xfrm>
                        <a:prstGeom prst="rect">
                          <a:avLst/>
                        </a:prstGeom>
                        <a:solidFill>
                          <a:srgbClr val="FFFFFF"/>
                        </a:solidFill>
                        <a:ln w="9525" cap="flat" cmpd="sng">
                          <a:solidFill>
                            <a:srgbClr val="000000"/>
                          </a:solidFill>
                          <a:prstDash val="solid"/>
                          <a:miter/>
                        </a:ln>
                      </wps:spPr>
                      <wps:txbx>
                        <w:txbxContent>
                          <w:p w14:paraId="08B08308">
                            <w:pPr>
                              <w:jc w:val="center"/>
                              <w:rPr>
                                <w:rFonts w:hint="eastAsia" w:ascii="仿宋" w:hAnsi="仿宋" w:eastAsia="仿宋"/>
                                <w:sz w:val="24"/>
                                <w:szCs w:val="24"/>
                              </w:rPr>
                            </w:pPr>
                            <w:r>
                              <w:rPr>
                                <w:rFonts w:hint="eastAsia" w:ascii="仿宋" w:hAnsi="仿宋" w:eastAsia="仿宋"/>
                                <w:sz w:val="24"/>
                                <w:szCs w:val="24"/>
                              </w:rPr>
                              <w:t>法定代表人（或负责人）</w:t>
                            </w:r>
                          </w:p>
                          <w:p w14:paraId="7B407D45">
                            <w:pPr>
                              <w:jc w:val="center"/>
                              <w:rPr>
                                <w:rFonts w:hint="eastAsia" w:ascii="仿宋" w:hAnsi="仿宋" w:eastAsia="仿宋"/>
                                <w:sz w:val="24"/>
                                <w:szCs w:val="24"/>
                              </w:rPr>
                            </w:pPr>
                            <w:r>
                              <w:rPr>
                                <w:rFonts w:hint="eastAsia" w:ascii="仿宋" w:hAnsi="仿宋" w:eastAsia="仿宋"/>
                                <w:sz w:val="24"/>
                                <w:szCs w:val="24"/>
                              </w:rPr>
                              <w:t>身份证扫描件</w:t>
                            </w:r>
                          </w:p>
                          <w:p w14:paraId="4E666C9A">
                            <w:pPr>
                              <w:jc w:val="center"/>
                              <w:rPr>
                                <w:rFonts w:hint="eastAsia" w:ascii="仿宋" w:hAnsi="仿宋" w:eastAsia="仿宋"/>
                                <w:sz w:val="24"/>
                                <w:szCs w:val="24"/>
                              </w:rPr>
                            </w:pPr>
                            <w:r>
                              <w:rPr>
                                <w:rFonts w:hint="eastAsia" w:ascii="仿宋" w:hAnsi="仿宋" w:eastAsia="仿宋"/>
                                <w:sz w:val="24"/>
                                <w:szCs w:val="24"/>
                              </w:rPr>
                              <w:t>（国徽面）</w:t>
                            </w:r>
                          </w:p>
                          <w:p w14:paraId="4346AA89"/>
                          <w:p w14:paraId="31B88573"/>
                          <w:p w14:paraId="795D581F"/>
                          <w:p w14:paraId="5AAD1418"/>
                          <w:p w14:paraId="75099B09"/>
                          <w:p w14:paraId="01D7BF5F"/>
                          <w:p w14:paraId="6699062D">
                            <w:pPr>
                              <w:rPr>
                                <w:sz w:val="32"/>
                                <w:szCs w:val="32"/>
                              </w:rPr>
                            </w:pP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05.9pt;margin-top:13.75pt;height:129.85pt;width:218.3pt;z-index:251660288;mso-width-relative:page;mso-height-relative:page;" fillcolor="#FFFFFF" filled="t" stroked="t" coordsize="21600,21600" o:gfxdata="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rRuqdkAAAAKAQAADwAAAAAAAAABACAAAAAiAAAAZHJzL2Rvd25yZXYueG1sUEsBAhQAFAAAAAgA&#10;h07iQPM05rgkAgAATwQAAA4AAAAAAAAAAQAgAAAAKAEAAGRycy9lMm9Eb2MueG1sUEsFBgAAAAAG&#10;AAYAWQEAAL4FAAAAAA==&#10;">
                <v:fill on="t" focussize="0,0"/>
                <v:stroke color="#000000" joinstyle="miter"/>
                <v:imagedata o:title=""/>
                <o:lock v:ext="edit" aspectratio="f"/>
                <v:textbox>
                  <w:txbxContent>
                    <w:p w14:paraId="08B08308">
                      <w:pPr>
                        <w:jc w:val="center"/>
                        <w:rPr>
                          <w:rFonts w:hint="eastAsia" w:ascii="仿宋" w:hAnsi="仿宋" w:eastAsia="仿宋"/>
                          <w:sz w:val="24"/>
                          <w:szCs w:val="24"/>
                        </w:rPr>
                      </w:pPr>
                      <w:r>
                        <w:rPr>
                          <w:rFonts w:hint="eastAsia" w:ascii="仿宋" w:hAnsi="仿宋" w:eastAsia="仿宋"/>
                          <w:sz w:val="24"/>
                          <w:szCs w:val="24"/>
                        </w:rPr>
                        <w:t>法定代表人（或负责人）</w:t>
                      </w:r>
                    </w:p>
                    <w:p w14:paraId="7B407D45">
                      <w:pPr>
                        <w:jc w:val="center"/>
                        <w:rPr>
                          <w:rFonts w:hint="eastAsia" w:ascii="仿宋" w:hAnsi="仿宋" w:eastAsia="仿宋"/>
                          <w:sz w:val="24"/>
                          <w:szCs w:val="24"/>
                        </w:rPr>
                      </w:pPr>
                      <w:r>
                        <w:rPr>
                          <w:rFonts w:hint="eastAsia" w:ascii="仿宋" w:hAnsi="仿宋" w:eastAsia="仿宋"/>
                          <w:sz w:val="24"/>
                          <w:szCs w:val="24"/>
                        </w:rPr>
                        <w:t>身份证扫描件</w:t>
                      </w:r>
                    </w:p>
                    <w:p w14:paraId="4E666C9A">
                      <w:pPr>
                        <w:jc w:val="center"/>
                        <w:rPr>
                          <w:rFonts w:hint="eastAsia" w:ascii="仿宋" w:hAnsi="仿宋" w:eastAsia="仿宋"/>
                          <w:sz w:val="24"/>
                          <w:szCs w:val="24"/>
                        </w:rPr>
                      </w:pPr>
                      <w:r>
                        <w:rPr>
                          <w:rFonts w:hint="eastAsia" w:ascii="仿宋" w:hAnsi="仿宋" w:eastAsia="仿宋"/>
                          <w:sz w:val="24"/>
                          <w:szCs w:val="24"/>
                        </w:rPr>
                        <w:t>（国徽面）</w:t>
                      </w:r>
                    </w:p>
                    <w:p w14:paraId="4346AA89"/>
                    <w:p w14:paraId="31B88573"/>
                    <w:p w14:paraId="795D581F"/>
                    <w:p w14:paraId="5AAD1418"/>
                    <w:p w14:paraId="75099B09"/>
                    <w:p w14:paraId="01D7BF5F"/>
                    <w:p w14:paraId="6699062D">
                      <w:pPr>
                        <w:rPr>
                          <w:sz w:val="32"/>
                          <w:szCs w:val="32"/>
                        </w:rPr>
                      </w:pP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-248920</wp:posOffset>
                </wp:positionH>
                <wp:positionV relativeFrom="paragraph">
                  <wp:posOffset>162560</wp:posOffset>
                </wp:positionV>
                <wp:extent cx="2740025" cy="1642745"/>
                <wp:effectExtent l="5080" t="4445" r="17145" b="10160"/>
                <wp:wrapNone/>
                <wp:docPr id="1028" name="文本框 4"/>
                <wp:cNvGraphicFramePr/>
                <a:graphic xmlns:a="http://schemas.openxmlformats.org/drawingml/2006/main">
                  <a:graphicData uri="http://schemas.microsoft.com/office/word/2010/wordprocessingShape">
                    <wps:wsp>
                      <wps:cNvSpPr/>
                      <wps:spPr>
                        <a:xfrm>
                          <a:off x="0" y="0"/>
                          <a:ext cx="2740025" cy="1642744"/>
                        </a:xfrm>
                        <a:prstGeom prst="rect">
                          <a:avLst/>
                        </a:prstGeom>
                        <a:solidFill>
                          <a:srgbClr val="FFFFFF"/>
                        </a:solidFill>
                        <a:ln w="9525" cap="flat" cmpd="sng">
                          <a:solidFill>
                            <a:srgbClr val="000000"/>
                          </a:solidFill>
                          <a:prstDash val="solid"/>
                          <a:miter/>
                        </a:ln>
                      </wps:spPr>
                      <wps:txbx>
                        <w:txbxContent>
                          <w:p w14:paraId="744A6100">
                            <w:pPr>
                              <w:jc w:val="center"/>
                              <w:rPr>
                                <w:rFonts w:hint="eastAsia" w:ascii="仿宋" w:hAnsi="仿宋" w:eastAsia="仿宋"/>
                                <w:sz w:val="24"/>
                                <w:szCs w:val="24"/>
                              </w:rPr>
                            </w:pPr>
                            <w:r>
                              <w:rPr>
                                <w:rFonts w:hint="eastAsia" w:ascii="仿宋" w:hAnsi="仿宋" w:eastAsia="仿宋"/>
                                <w:sz w:val="24"/>
                                <w:szCs w:val="24"/>
                              </w:rPr>
                              <w:t>法定代表人（或负责人）</w:t>
                            </w:r>
                          </w:p>
                          <w:p w14:paraId="1BA9ACC6">
                            <w:pPr>
                              <w:jc w:val="center"/>
                              <w:rPr>
                                <w:rFonts w:hint="eastAsia" w:ascii="仿宋" w:hAnsi="仿宋" w:eastAsia="仿宋"/>
                                <w:sz w:val="24"/>
                                <w:szCs w:val="24"/>
                              </w:rPr>
                            </w:pPr>
                            <w:r>
                              <w:rPr>
                                <w:rFonts w:hint="eastAsia" w:ascii="仿宋" w:hAnsi="仿宋" w:eastAsia="仿宋"/>
                                <w:sz w:val="24"/>
                                <w:szCs w:val="24"/>
                              </w:rPr>
                              <w:t>身份证扫描件</w:t>
                            </w:r>
                          </w:p>
                          <w:p w14:paraId="781A3CD7">
                            <w:pPr>
                              <w:jc w:val="center"/>
                              <w:rPr>
                                <w:rFonts w:hint="eastAsia" w:ascii="仿宋" w:hAnsi="仿宋" w:eastAsia="仿宋"/>
                                <w:sz w:val="24"/>
                                <w:szCs w:val="24"/>
                              </w:rPr>
                            </w:pPr>
                            <w:r>
                              <w:rPr>
                                <w:rFonts w:hint="eastAsia" w:ascii="仿宋" w:hAnsi="仿宋" w:eastAsia="仿宋"/>
                                <w:sz w:val="24"/>
                                <w:szCs w:val="24"/>
                              </w:rPr>
                              <w:t>（人像面）</w:t>
                            </w:r>
                          </w:p>
                          <w:p w14:paraId="1AA232BD"/>
                          <w:p w14:paraId="121679D4"/>
                          <w:p w14:paraId="3554290A"/>
                          <w:p w14:paraId="70E7A290"/>
                          <w:p w14:paraId="71FED0EE"/>
                          <w:p w14:paraId="4569CC01"/>
                          <w:p w14:paraId="135C68C9">
                            <w:pPr>
                              <w:rPr>
                                <w:sz w:val="32"/>
                                <w:szCs w:val="32"/>
                              </w:rPr>
                            </w:pP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19.6pt;margin-top:12.8pt;height:129.35pt;width:215.75pt;z-index:251660288;mso-width-relative:page;mso-height-relative:page;" fillcolor="#FFFFFF" filled="t" stroked="t" coordsize="21600,21600" o:gfxdata="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70o&#10;ytcAAAAKAQAADwAAAAAAAAABACAAAAAiAAAAZHJzL2Rvd25yZXYueG1sUEsBAhQAFAAAAAgAh07i&#10;QAkSLR8jAgAATwQAAA4AAAAAAAAAAQAgAAAAJgEAAGRycy9lMm9Eb2MueG1sUEsFBgAAAAAGAAYA&#10;WQEAALsFAAAAAA==&#10;">
                <v:fill on="t" focussize="0,0"/>
                <v:stroke color="#000000" joinstyle="miter"/>
                <v:imagedata o:title=""/>
                <o:lock v:ext="edit" aspectratio="f"/>
                <v:textbox>
                  <w:txbxContent>
                    <w:p w14:paraId="744A6100">
                      <w:pPr>
                        <w:jc w:val="center"/>
                        <w:rPr>
                          <w:rFonts w:hint="eastAsia" w:ascii="仿宋" w:hAnsi="仿宋" w:eastAsia="仿宋"/>
                          <w:sz w:val="24"/>
                          <w:szCs w:val="24"/>
                        </w:rPr>
                      </w:pPr>
                      <w:r>
                        <w:rPr>
                          <w:rFonts w:hint="eastAsia" w:ascii="仿宋" w:hAnsi="仿宋" w:eastAsia="仿宋"/>
                          <w:sz w:val="24"/>
                          <w:szCs w:val="24"/>
                        </w:rPr>
                        <w:t>法定代表人（或负责人）</w:t>
                      </w:r>
                    </w:p>
                    <w:p w14:paraId="1BA9ACC6">
                      <w:pPr>
                        <w:jc w:val="center"/>
                        <w:rPr>
                          <w:rFonts w:hint="eastAsia" w:ascii="仿宋" w:hAnsi="仿宋" w:eastAsia="仿宋"/>
                          <w:sz w:val="24"/>
                          <w:szCs w:val="24"/>
                        </w:rPr>
                      </w:pPr>
                      <w:r>
                        <w:rPr>
                          <w:rFonts w:hint="eastAsia" w:ascii="仿宋" w:hAnsi="仿宋" w:eastAsia="仿宋"/>
                          <w:sz w:val="24"/>
                          <w:szCs w:val="24"/>
                        </w:rPr>
                        <w:t>身份证扫描件</w:t>
                      </w:r>
                    </w:p>
                    <w:p w14:paraId="781A3CD7">
                      <w:pPr>
                        <w:jc w:val="center"/>
                        <w:rPr>
                          <w:rFonts w:hint="eastAsia" w:ascii="仿宋" w:hAnsi="仿宋" w:eastAsia="仿宋"/>
                          <w:sz w:val="24"/>
                          <w:szCs w:val="24"/>
                        </w:rPr>
                      </w:pPr>
                      <w:r>
                        <w:rPr>
                          <w:rFonts w:hint="eastAsia" w:ascii="仿宋" w:hAnsi="仿宋" w:eastAsia="仿宋"/>
                          <w:sz w:val="24"/>
                          <w:szCs w:val="24"/>
                        </w:rPr>
                        <w:t>（人像面）</w:t>
                      </w:r>
                    </w:p>
                    <w:p w14:paraId="1AA232BD"/>
                    <w:p w14:paraId="121679D4"/>
                    <w:p w14:paraId="3554290A"/>
                    <w:p w14:paraId="70E7A290"/>
                    <w:p w14:paraId="71FED0EE"/>
                    <w:p w14:paraId="4569CC01"/>
                    <w:p w14:paraId="135C68C9">
                      <w:pPr>
                        <w:rPr>
                          <w:sz w:val="32"/>
                          <w:szCs w:val="32"/>
                        </w:rPr>
                      </w:pPr>
                    </w:p>
                  </w:txbxContent>
                </v:textbox>
              </v:rect>
            </w:pict>
          </mc:Fallback>
        </mc:AlternateContent>
      </w:r>
    </w:p>
    <w:p w14:paraId="66C7D758">
      <w:pPr>
        <w:shd w:val="clear" w:color="auto" w:fill="FFFFFF"/>
        <w:spacing w:line="440" w:lineRule="exact"/>
        <w:rPr>
          <w:rFonts w:hint="eastAsia" w:ascii="仿宋" w:hAnsi="仿宋" w:eastAsia="仿宋" w:cs="仿宋"/>
          <w:color w:val="auto"/>
          <w:szCs w:val="21"/>
          <w:highlight w:val="none"/>
        </w:rPr>
      </w:pPr>
    </w:p>
    <w:p w14:paraId="5BB1CA73">
      <w:pPr>
        <w:shd w:val="clear" w:color="auto" w:fill="FFFFFF"/>
        <w:spacing w:line="440" w:lineRule="exact"/>
        <w:rPr>
          <w:rFonts w:hint="eastAsia" w:ascii="仿宋" w:hAnsi="仿宋" w:eastAsia="仿宋" w:cs="仿宋"/>
          <w:color w:val="auto"/>
          <w:szCs w:val="21"/>
          <w:highlight w:val="none"/>
        </w:rPr>
      </w:pPr>
    </w:p>
    <w:p w14:paraId="32F20D77">
      <w:pPr>
        <w:shd w:val="clear" w:color="auto" w:fill="FFFFFF"/>
        <w:spacing w:line="440" w:lineRule="exact"/>
        <w:rPr>
          <w:rFonts w:hint="eastAsia" w:ascii="仿宋" w:hAnsi="仿宋" w:eastAsia="仿宋" w:cs="仿宋"/>
          <w:color w:val="auto"/>
          <w:szCs w:val="21"/>
          <w:highlight w:val="none"/>
        </w:rPr>
      </w:pPr>
    </w:p>
    <w:p w14:paraId="725A773C">
      <w:pPr>
        <w:shd w:val="clear" w:color="auto" w:fill="FFFFFF"/>
        <w:spacing w:line="440" w:lineRule="exact"/>
        <w:rPr>
          <w:rFonts w:hint="eastAsia" w:ascii="仿宋" w:hAnsi="仿宋" w:eastAsia="仿宋" w:cs="仿宋"/>
          <w:color w:val="auto"/>
          <w:szCs w:val="21"/>
          <w:highlight w:val="none"/>
        </w:rPr>
      </w:pPr>
    </w:p>
    <w:p w14:paraId="392BF894">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5AEF5C0F">
      <w:pPr>
        <w:shd w:val="clear" w:color="auto" w:fill="FFFFFF"/>
        <w:spacing w:line="440" w:lineRule="exact"/>
        <w:rPr>
          <w:rFonts w:hint="eastAsia" w:ascii="仿宋" w:hAnsi="仿宋" w:eastAsia="仿宋" w:cs="仿宋"/>
          <w:color w:val="auto"/>
          <w:sz w:val="24"/>
          <w:highlight w:val="none"/>
        </w:rPr>
      </w:pPr>
    </w:p>
    <w:p w14:paraId="6F493DF6">
      <w:pPr>
        <w:shd w:val="clear" w:color="auto" w:fill="FFFFFF"/>
        <w:spacing w:line="440" w:lineRule="exact"/>
        <w:rPr>
          <w:rFonts w:hint="eastAsia" w:ascii="仿宋" w:hAnsi="仿宋" w:eastAsia="仿宋" w:cs="仿宋"/>
          <w:color w:val="auto"/>
          <w:sz w:val="24"/>
          <w:highlight w:val="none"/>
        </w:rPr>
      </w:pPr>
    </w:p>
    <w:p w14:paraId="0DF5276C">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348ED91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3E239AFF">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B9F0208">
      <w:pPr>
        <w:shd w:val="clear" w:color="auto" w:fill="FFFFFF"/>
        <w:spacing w:line="500" w:lineRule="exact"/>
        <w:rPr>
          <w:rFonts w:hint="eastAsia" w:ascii="仿宋" w:hAnsi="仿宋" w:eastAsia="仿宋" w:cs="仿宋"/>
          <w:b/>
          <w:bCs/>
          <w:color w:val="auto"/>
          <w:szCs w:val="21"/>
          <w:highlight w:val="none"/>
        </w:rPr>
      </w:pPr>
    </w:p>
    <w:p w14:paraId="6E8D0933">
      <w:pPr>
        <w:shd w:val="clear" w:color="auto" w:fill="FFFFFF"/>
        <w:spacing w:line="440" w:lineRule="exact"/>
        <w:rPr>
          <w:rFonts w:hint="eastAsia" w:ascii="仿宋" w:hAnsi="仿宋" w:eastAsia="仿宋" w:cs="仿宋"/>
          <w:bCs/>
          <w:color w:val="auto"/>
          <w:sz w:val="24"/>
          <w:highlight w:val="none"/>
        </w:rPr>
      </w:pPr>
      <w:r>
        <w:rPr>
          <w:rFonts w:hint="eastAsia" w:ascii="仿宋" w:hAnsi="仿宋" w:eastAsia="仿宋" w:cs="仿宋"/>
          <w:b/>
          <w:bCs/>
          <w:color w:val="auto"/>
          <w:sz w:val="18"/>
          <w:szCs w:val="18"/>
          <w:highlight w:val="none"/>
        </w:rPr>
        <w:br w:type="page"/>
      </w:r>
    </w:p>
    <w:p w14:paraId="4F313F2C">
      <w:pPr>
        <w:shd w:val="clear" w:color="auto" w:fill="FFFFFF"/>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rPr>
        <w:t>法定代表人（或负责人）授权委托书</w:t>
      </w:r>
    </w:p>
    <w:p w14:paraId="3BB9BDD5">
      <w:pPr>
        <w:shd w:val="clear" w:color="auto" w:fill="FFFFFF"/>
        <w:spacing w:line="440" w:lineRule="exact"/>
        <w:jc w:val="center"/>
        <w:rPr>
          <w:rFonts w:hint="eastAsia" w:ascii="仿宋" w:hAnsi="仿宋" w:eastAsia="仿宋" w:cs="仿宋"/>
          <w:b/>
          <w:bCs/>
          <w:color w:val="auto"/>
          <w:sz w:val="24"/>
          <w:highlight w:val="none"/>
        </w:rPr>
      </w:pPr>
    </w:p>
    <w:p w14:paraId="63EE7BA6">
      <w:pPr>
        <w:shd w:val="clear" w:color="auto" w:fill="FFFFFF"/>
        <w:spacing w:line="440" w:lineRule="exact"/>
        <w:ind w:firstLine="453" w:firstLineChars="189"/>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本授权委托书声明：我系</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bCs/>
          <w:color w:val="auto"/>
          <w:sz w:val="24"/>
          <w:highlight w:val="none"/>
        </w:rPr>
        <w:t>，现授权委托</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 xml:space="preserve"> （授权代表姓名） </w:t>
      </w:r>
      <w:r>
        <w:rPr>
          <w:rFonts w:hint="eastAsia" w:ascii="仿宋" w:hAnsi="仿宋" w:eastAsia="仿宋" w:cs="仿宋"/>
          <w:bCs/>
          <w:color w:val="auto"/>
          <w:sz w:val="24"/>
          <w:highlight w:val="none"/>
        </w:rPr>
        <w:t xml:space="preserve"> 为我的代理人，以</w:t>
      </w:r>
      <w:r>
        <w:rPr>
          <w:rFonts w:hint="eastAsia" w:ascii="仿宋" w:hAnsi="仿宋" w:eastAsia="仿宋" w:cs="仿宋"/>
          <w:bCs/>
          <w:color w:val="auto"/>
          <w:sz w:val="24"/>
          <w:highlight w:val="none"/>
          <w:u w:val="single"/>
        </w:rPr>
        <w:t>（供应商名称）</w:t>
      </w:r>
      <w:r>
        <w:rPr>
          <w:rFonts w:hint="eastAsia" w:ascii="仿宋" w:hAnsi="仿宋" w:eastAsia="仿宋" w:cs="仿宋"/>
          <w:bCs/>
          <w:color w:val="auto"/>
          <w:sz w:val="24"/>
          <w:highlight w:val="none"/>
        </w:rPr>
        <w:t>的名义参加</w:t>
      </w:r>
      <w:r>
        <w:rPr>
          <w:rFonts w:hint="eastAsia" w:ascii="仿宋" w:hAnsi="仿宋" w:eastAsia="仿宋" w:cs="仿宋"/>
          <w:bCs/>
          <w:color w:val="auto"/>
          <w:sz w:val="24"/>
          <w:highlight w:val="none"/>
          <w:u w:val="single"/>
        </w:rPr>
        <w:t>（标项名称和项目编号）</w:t>
      </w:r>
      <w:r>
        <w:rPr>
          <w:rFonts w:hint="eastAsia" w:ascii="仿宋" w:hAnsi="仿宋" w:eastAsia="仿宋" w:cs="仿宋"/>
          <w:bCs/>
          <w:color w:val="auto"/>
          <w:sz w:val="24"/>
          <w:highlight w:val="none"/>
        </w:rPr>
        <w:t>招标项目的投标活动。代理人在参加整个招标投标活动所签署的一切文件和处理与之相关的一切事物，我均予承认。</w:t>
      </w:r>
    </w:p>
    <w:p w14:paraId="1BCCF5F2">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14:paraId="5C98DFEA">
      <w:pPr>
        <w:shd w:val="clear" w:color="auto" w:fill="FFFFFF"/>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部  门：   职务：  </w:t>
      </w:r>
      <w:r>
        <w:rPr>
          <w:rFonts w:hint="eastAsia" w:ascii="仿宋" w:hAnsi="仿宋" w:eastAsia="仿宋" w:cs="仿宋"/>
          <w:color w:val="auto"/>
          <w:sz w:val="24"/>
          <w:highlight w:val="none"/>
        </w:rPr>
        <w:t>电话号码：</w:t>
      </w:r>
    </w:p>
    <w:p w14:paraId="203DBF1C">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代理期限：</w:t>
      </w:r>
    </w:p>
    <w:p w14:paraId="776269AA">
      <w:pPr>
        <w:shd w:val="clear" w:color="auto" w:fill="FFFFFF"/>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2679700</wp:posOffset>
                </wp:positionH>
                <wp:positionV relativeFrom="paragraph">
                  <wp:posOffset>134620</wp:posOffset>
                </wp:positionV>
                <wp:extent cx="2806700" cy="1790700"/>
                <wp:effectExtent l="4445" t="4445" r="8255" b="14605"/>
                <wp:wrapNone/>
                <wp:docPr id="1029" name="文本框 4"/>
                <wp:cNvGraphicFramePr/>
                <a:graphic xmlns:a="http://schemas.openxmlformats.org/drawingml/2006/main">
                  <a:graphicData uri="http://schemas.microsoft.com/office/word/2010/wordprocessingShape">
                    <wps:wsp>
                      <wps:cNvSpPr/>
                      <wps:spPr>
                        <a:xfrm>
                          <a:off x="0" y="0"/>
                          <a:ext cx="2806700" cy="1790700"/>
                        </a:xfrm>
                        <a:prstGeom prst="rect">
                          <a:avLst/>
                        </a:prstGeom>
                        <a:solidFill>
                          <a:srgbClr val="FFFFFF"/>
                        </a:solidFill>
                        <a:ln w="9525" cap="flat" cmpd="sng">
                          <a:solidFill>
                            <a:srgbClr val="000000"/>
                          </a:solidFill>
                          <a:prstDash val="solid"/>
                          <a:miter/>
                        </a:ln>
                      </wps:spPr>
                      <wps:txbx>
                        <w:txbxContent>
                          <w:p w14:paraId="6AAB9067">
                            <w:pPr>
                              <w:jc w:val="center"/>
                              <w:rPr>
                                <w:rFonts w:hint="eastAsia" w:ascii="仿宋" w:hAnsi="仿宋" w:eastAsia="仿宋"/>
                                <w:sz w:val="24"/>
                                <w:szCs w:val="24"/>
                              </w:rPr>
                            </w:pPr>
                            <w:r>
                              <w:rPr>
                                <w:rFonts w:hint="eastAsia" w:ascii="仿宋" w:hAnsi="仿宋" w:eastAsia="仿宋"/>
                                <w:sz w:val="24"/>
                                <w:szCs w:val="24"/>
                              </w:rPr>
                              <w:t>代理人身份证扫描件</w:t>
                            </w:r>
                          </w:p>
                          <w:p w14:paraId="5A067F03">
                            <w:pPr>
                              <w:jc w:val="center"/>
                              <w:rPr>
                                <w:rFonts w:hint="eastAsia" w:ascii="仿宋" w:hAnsi="仿宋" w:eastAsia="仿宋"/>
                                <w:sz w:val="24"/>
                                <w:szCs w:val="24"/>
                              </w:rPr>
                            </w:pPr>
                            <w:r>
                              <w:rPr>
                                <w:rFonts w:hint="eastAsia" w:ascii="仿宋" w:hAnsi="仿宋" w:eastAsia="仿宋"/>
                                <w:sz w:val="24"/>
                                <w:szCs w:val="24"/>
                              </w:rPr>
                              <w:t>（国徽面）</w:t>
                            </w:r>
                          </w:p>
                          <w:p w14:paraId="033C3BD0"/>
                          <w:p w14:paraId="0528E618"/>
                          <w:p w14:paraId="5952F5DE"/>
                          <w:p w14:paraId="4B9EE121"/>
                          <w:p w14:paraId="157F815C"/>
                          <w:p w14:paraId="5BBAF134"/>
                          <w:p w14:paraId="2B1C0B59">
                            <w:pPr>
                              <w:rPr>
                                <w:sz w:val="32"/>
                                <w:szCs w:val="32"/>
                              </w:rPr>
                            </w:pP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211pt;margin-top:10.6pt;height:141pt;width:221pt;z-index:251660288;mso-width-relative:page;mso-height-relative:page;" fillcolor="#FFFFFF" filled="t" stroked="t" coordsize="21600,21600" o:gfxdata="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i4o&#10;2tgAAAAKAQAADwAAAAAAAAABACAAAAAiAAAAZHJzL2Rvd25yZXYueG1sUEsBAhQAFAAAAAgAh07i&#10;QJc+gogiAgAATwQAAA4AAAAAAAAAAQAgAAAAJwEAAGRycy9lMm9Eb2MueG1sUEsFBgAAAAAGAAYA&#10;WQEAALsFAAAAAA==&#10;">
                <v:fill on="t" focussize="0,0"/>
                <v:stroke color="#000000" joinstyle="miter"/>
                <v:imagedata o:title=""/>
                <o:lock v:ext="edit" aspectratio="f"/>
                <v:textbox>
                  <w:txbxContent>
                    <w:p w14:paraId="6AAB9067">
                      <w:pPr>
                        <w:jc w:val="center"/>
                        <w:rPr>
                          <w:rFonts w:hint="eastAsia" w:ascii="仿宋" w:hAnsi="仿宋" w:eastAsia="仿宋"/>
                          <w:sz w:val="24"/>
                          <w:szCs w:val="24"/>
                        </w:rPr>
                      </w:pPr>
                      <w:r>
                        <w:rPr>
                          <w:rFonts w:hint="eastAsia" w:ascii="仿宋" w:hAnsi="仿宋" w:eastAsia="仿宋"/>
                          <w:sz w:val="24"/>
                          <w:szCs w:val="24"/>
                        </w:rPr>
                        <w:t>代理人身份证扫描件</w:t>
                      </w:r>
                    </w:p>
                    <w:p w14:paraId="5A067F03">
                      <w:pPr>
                        <w:jc w:val="center"/>
                        <w:rPr>
                          <w:rFonts w:hint="eastAsia" w:ascii="仿宋" w:hAnsi="仿宋" w:eastAsia="仿宋"/>
                          <w:sz w:val="24"/>
                          <w:szCs w:val="24"/>
                        </w:rPr>
                      </w:pPr>
                      <w:r>
                        <w:rPr>
                          <w:rFonts w:hint="eastAsia" w:ascii="仿宋" w:hAnsi="仿宋" w:eastAsia="仿宋"/>
                          <w:sz w:val="24"/>
                          <w:szCs w:val="24"/>
                        </w:rPr>
                        <w:t>（国徽面）</w:t>
                      </w:r>
                    </w:p>
                    <w:p w14:paraId="033C3BD0"/>
                    <w:p w14:paraId="0528E618"/>
                    <w:p w14:paraId="5952F5DE"/>
                    <w:p w14:paraId="4B9EE121"/>
                    <w:p w14:paraId="157F815C"/>
                    <w:p w14:paraId="5BBAF134"/>
                    <w:p w14:paraId="2B1C0B59">
                      <w:pPr>
                        <w:rPr>
                          <w:sz w:val="32"/>
                          <w:szCs w:val="32"/>
                        </w:rPr>
                      </w:pPr>
                    </w:p>
                  </w:txbxContent>
                </v:textbox>
              </v:rect>
            </w:pict>
          </mc:Fallback>
        </mc:AlternateContent>
      </w:r>
      <w:r>
        <w:rPr>
          <w:rFonts w:hint="eastAsia" w:ascii="仿宋" w:hAnsi="仿宋" w:eastAsia="仿宋" w:cs="仿宋"/>
          <w:bCs/>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-175895</wp:posOffset>
                </wp:positionH>
                <wp:positionV relativeFrom="paragraph">
                  <wp:posOffset>134620</wp:posOffset>
                </wp:positionV>
                <wp:extent cx="2807335" cy="1790700"/>
                <wp:effectExtent l="4445" t="4445" r="7620" b="14605"/>
                <wp:wrapNone/>
                <wp:docPr id="1030" name="文本框 2"/>
                <wp:cNvGraphicFramePr/>
                <a:graphic xmlns:a="http://schemas.openxmlformats.org/drawingml/2006/main">
                  <a:graphicData uri="http://schemas.microsoft.com/office/word/2010/wordprocessingShape">
                    <wps:wsp>
                      <wps:cNvSpPr/>
                      <wps:spPr>
                        <a:xfrm>
                          <a:off x="0" y="0"/>
                          <a:ext cx="2807335" cy="1790700"/>
                        </a:xfrm>
                        <a:prstGeom prst="rect">
                          <a:avLst/>
                        </a:prstGeom>
                        <a:solidFill>
                          <a:srgbClr val="FFFFFF"/>
                        </a:solidFill>
                        <a:ln w="9525" cap="flat" cmpd="sng">
                          <a:solidFill>
                            <a:srgbClr val="000000"/>
                          </a:solidFill>
                          <a:prstDash val="solid"/>
                          <a:miter/>
                        </a:ln>
                      </wps:spPr>
                      <wps:txbx>
                        <w:txbxContent>
                          <w:p w14:paraId="3662E1C7">
                            <w:pPr>
                              <w:jc w:val="center"/>
                              <w:rPr>
                                <w:rFonts w:hint="eastAsia" w:ascii="仿宋" w:hAnsi="仿宋" w:eastAsia="仿宋"/>
                                <w:sz w:val="24"/>
                                <w:szCs w:val="24"/>
                              </w:rPr>
                            </w:pPr>
                            <w:r>
                              <w:rPr>
                                <w:rFonts w:hint="eastAsia" w:ascii="仿宋" w:hAnsi="仿宋" w:eastAsia="仿宋"/>
                                <w:sz w:val="24"/>
                                <w:szCs w:val="24"/>
                              </w:rPr>
                              <w:t>代理人身份证扫描件</w:t>
                            </w:r>
                          </w:p>
                          <w:p w14:paraId="7E5A8502">
                            <w:pPr>
                              <w:jc w:val="center"/>
                              <w:rPr>
                                <w:rFonts w:hint="eastAsia" w:ascii="仿宋" w:hAnsi="仿宋" w:eastAsia="仿宋"/>
                                <w:sz w:val="24"/>
                                <w:szCs w:val="24"/>
                              </w:rPr>
                            </w:pPr>
                            <w:r>
                              <w:rPr>
                                <w:rFonts w:hint="eastAsia" w:ascii="仿宋" w:hAnsi="仿宋" w:eastAsia="仿宋"/>
                                <w:sz w:val="24"/>
                                <w:szCs w:val="24"/>
                              </w:rPr>
                              <w:t>（人像面）</w:t>
                            </w:r>
                          </w:p>
                          <w:p w14:paraId="3DDD552B"/>
                          <w:p w14:paraId="45284E36"/>
                          <w:p w14:paraId="73632A5E"/>
                          <w:p w14:paraId="018B4B59"/>
                          <w:p w14:paraId="1455CE74"/>
                          <w:p w14:paraId="0EAD7AB7"/>
                          <w:p w14:paraId="4779BBC0">
                            <w:pPr>
                              <w:rPr>
                                <w:sz w:val="32"/>
                                <w:szCs w:val="32"/>
                              </w:rPr>
                            </w:pP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13.85pt;margin-top:10.6pt;height:141pt;width:221.05pt;z-index:251660288;mso-width-relative:page;mso-height-relative:page;" fillcolor="#FFFFFF" filled="t" stroked="t" coordsize="21600,21600" o:gfxdata="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H9UMTYAAAACgEAAA8AAAAAAAAAAQAgAAAAIgAAAGRycy9kb3ducmV2LnhtbFBLAQIUABQAAAAI&#10;AIdO4kCXhshFJgIAAE8EAAAOAAAAAAAAAAEAIAAAACcBAABkcnMvZTJvRG9jLnhtbFBLBQYAAAAA&#10;BgAGAFkBAAC/BQAAAAA=&#10;">
                <v:fill on="t" focussize="0,0"/>
                <v:stroke color="#000000" joinstyle="miter"/>
                <v:imagedata o:title=""/>
                <o:lock v:ext="edit" aspectratio="f"/>
                <v:textbox>
                  <w:txbxContent>
                    <w:p w14:paraId="3662E1C7">
                      <w:pPr>
                        <w:jc w:val="center"/>
                        <w:rPr>
                          <w:rFonts w:hint="eastAsia" w:ascii="仿宋" w:hAnsi="仿宋" w:eastAsia="仿宋"/>
                          <w:sz w:val="24"/>
                          <w:szCs w:val="24"/>
                        </w:rPr>
                      </w:pPr>
                      <w:r>
                        <w:rPr>
                          <w:rFonts w:hint="eastAsia" w:ascii="仿宋" w:hAnsi="仿宋" w:eastAsia="仿宋"/>
                          <w:sz w:val="24"/>
                          <w:szCs w:val="24"/>
                        </w:rPr>
                        <w:t>代理人身份证扫描件</w:t>
                      </w:r>
                    </w:p>
                    <w:p w14:paraId="7E5A8502">
                      <w:pPr>
                        <w:jc w:val="center"/>
                        <w:rPr>
                          <w:rFonts w:hint="eastAsia" w:ascii="仿宋" w:hAnsi="仿宋" w:eastAsia="仿宋"/>
                          <w:sz w:val="24"/>
                          <w:szCs w:val="24"/>
                        </w:rPr>
                      </w:pPr>
                      <w:r>
                        <w:rPr>
                          <w:rFonts w:hint="eastAsia" w:ascii="仿宋" w:hAnsi="仿宋" w:eastAsia="仿宋"/>
                          <w:sz w:val="24"/>
                          <w:szCs w:val="24"/>
                        </w:rPr>
                        <w:t>（人像面）</w:t>
                      </w:r>
                    </w:p>
                    <w:p w14:paraId="3DDD552B"/>
                    <w:p w14:paraId="45284E36"/>
                    <w:p w14:paraId="73632A5E"/>
                    <w:p w14:paraId="018B4B59"/>
                    <w:p w14:paraId="1455CE74"/>
                    <w:p w14:paraId="0EAD7AB7"/>
                    <w:p w14:paraId="4779BBC0">
                      <w:pPr>
                        <w:rPr>
                          <w:sz w:val="32"/>
                          <w:szCs w:val="32"/>
                        </w:rPr>
                      </w:pPr>
                    </w:p>
                  </w:txbxContent>
                </v:textbox>
              </v:rect>
            </w:pict>
          </mc:Fallback>
        </mc:AlternateContent>
      </w:r>
    </w:p>
    <w:p w14:paraId="738E396C">
      <w:pPr>
        <w:shd w:val="clear" w:color="auto" w:fill="FFFFFF"/>
        <w:spacing w:line="440" w:lineRule="exact"/>
        <w:rPr>
          <w:rFonts w:hint="eastAsia" w:ascii="仿宋" w:hAnsi="仿宋" w:eastAsia="仿宋" w:cs="仿宋"/>
          <w:bCs/>
          <w:color w:val="auto"/>
          <w:szCs w:val="21"/>
          <w:highlight w:val="none"/>
        </w:rPr>
      </w:pPr>
    </w:p>
    <w:p w14:paraId="25A5572F">
      <w:pPr>
        <w:shd w:val="clear" w:color="auto" w:fill="FFFFFF"/>
        <w:spacing w:line="440" w:lineRule="exact"/>
        <w:rPr>
          <w:rFonts w:hint="eastAsia" w:ascii="仿宋" w:hAnsi="仿宋" w:eastAsia="仿宋" w:cs="仿宋"/>
          <w:bCs/>
          <w:color w:val="auto"/>
          <w:szCs w:val="21"/>
          <w:highlight w:val="none"/>
        </w:rPr>
      </w:pPr>
    </w:p>
    <w:p w14:paraId="7E01BB34">
      <w:pPr>
        <w:shd w:val="clear" w:color="auto" w:fill="FFFFFF"/>
        <w:spacing w:line="440" w:lineRule="exact"/>
        <w:rPr>
          <w:rFonts w:hint="eastAsia" w:ascii="仿宋" w:hAnsi="仿宋" w:eastAsia="仿宋" w:cs="仿宋"/>
          <w:bCs/>
          <w:color w:val="auto"/>
          <w:szCs w:val="21"/>
          <w:highlight w:val="none"/>
        </w:rPr>
      </w:pPr>
    </w:p>
    <w:p w14:paraId="1F8DE1BB">
      <w:pPr>
        <w:shd w:val="clear" w:color="auto" w:fill="FFFFFF"/>
        <w:spacing w:line="440" w:lineRule="exact"/>
        <w:rPr>
          <w:rFonts w:hint="eastAsia" w:ascii="仿宋" w:hAnsi="仿宋" w:eastAsia="仿宋" w:cs="仿宋"/>
          <w:bCs/>
          <w:color w:val="auto"/>
          <w:szCs w:val="21"/>
          <w:highlight w:val="none"/>
        </w:rPr>
      </w:pPr>
    </w:p>
    <w:p w14:paraId="20322306">
      <w:pPr>
        <w:shd w:val="clear" w:color="auto" w:fill="FFFFFF"/>
        <w:spacing w:line="440" w:lineRule="exact"/>
        <w:rPr>
          <w:rFonts w:hint="eastAsia" w:ascii="仿宋" w:hAnsi="仿宋" w:eastAsia="仿宋" w:cs="仿宋"/>
          <w:bCs/>
          <w:color w:val="auto"/>
          <w:szCs w:val="21"/>
          <w:highlight w:val="none"/>
        </w:rPr>
      </w:pPr>
    </w:p>
    <w:p w14:paraId="1026931A">
      <w:pPr>
        <w:pStyle w:val="40"/>
        <w:shd w:val="clear" w:color="auto" w:fill="FFFFFF"/>
        <w:snapToGrid w:val="0"/>
        <w:spacing w:line="440" w:lineRule="exact"/>
        <w:ind w:firstLine="210"/>
        <w:rPr>
          <w:rFonts w:hint="eastAsia" w:ascii="仿宋" w:hAnsi="仿宋" w:eastAsia="仿宋" w:cs="仿宋"/>
          <w:color w:val="auto"/>
          <w:szCs w:val="21"/>
          <w:highlight w:val="none"/>
        </w:rPr>
      </w:pPr>
    </w:p>
    <w:p w14:paraId="3B2AA3F5">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6054880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0E2ED922">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0676090">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E4A2FB7">
      <w:pPr>
        <w:widowControl/>
        <w:spacing w:line="440" w:lineRule="exact"/>
        <w:jc w:val="left"/>
        <w:rPr>
          <w:rFonts w:hint="eastAsia" w:ascii="仿宋" w:hAnsi="仿宋" w:eastAsia="仿宋" w:cs="仿宋"/>
          <w:color w:val="auto"/>
          <w:sz w:val="24"/>
          <w:highlight w:val="none"/>
        </w:rPr>
      </w:pPr>
    </w:p>
    <w:p w14:paraId="47DA5268">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F07417C">
      <w:pPr>
        <w:pStyle w:val="7"/>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附件三</w:t>
      </w:r>
    </w:p>
    <w:p w14:paraId="66D04429">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中小企业声明函</w:t>
      </w:r>
    </w:p>
    <w:p w14:paraId="24596BD9">
      <w:pPr>
        <w:widowControl/>
        <w:jc w:val="left"/>
        <w:rPr>
          <w:rFonts w:hint="eastAsia" w:ascii="仿宋" w:hAnsi="仿宋" w:eastAsia="仿宋" w:cs="仿宋"/>
          <w:color w:val="auto"/>
          <w:sz w:val="24"/>
          <w:highlight w:val="none"/>
        </w:rPr>
      </w:pPr>
    </w:p>
    <w:p w14:paraId="6A9C7C57">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标项名称）采购活动，服务全部由符合政策要求的中小企业承接。相关企业（含联合体中的中小企业、签订分包意向协议的中小企业）的具体情况如下：</w:t>
      </w:r>
    </w:p>
    <w:p w14:paraId="60947CB3">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 ，属于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5C963C57">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6014425C">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2A1DE49">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A5F8B22">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9A3F38A">
      <w:pPr>
        <w:widowControl/>
        <w:spacing w:line="360" w:lineRule="exact"/>
        <w:jc w:val="left"/>
        <w:rPr>
          <w:rFonts w:hint="eastAsia" w:ascii="仿宋" w:hAnsi="仿宋" w:eastAsia="仿宋" w:cs="仿宋"/>
          <w:color w:val="auto"/>
          <w:sz w:val="24"/>
          <w:highlight w:val="none"/>
        </w:rPr>
      </w:pPr>
    </w:p>
    <w:p w14:paraId="03929764">
      <w:pPr>
        <w:widowControl/>
        <w:spacing w:line="360" w:lineRule="exact"/>
        <w:jc w:val="left"/>
        <w:rPr>
          <w:rFonts w:hint="eastAsia" w:ascii="仿宋" w:hAnsi="仿宋" w:eastAsia="仿宋" w:cs="仿宋"/>
          <w:color w:val="auto"/>
          <w:sz w:val="24"/>
          <w:highlight w:val="none"/>
        </w:rPr>
      </w:pPr>
    </w:p>
    <w:p w14:paraId="182A0595">
      <w:pPr>
        <w:widowControl/>
        <w:spacing w:line="360" w:lineRule="exact"/>
        <w:jc w:val="left"/>
        <w:rPr>
          <w:rFonts w:hint="eastAsia" w:ascii="仿宋" w:hAnsi="仿宋" w:eastAsia="仿宋" w:cs="仿宋"/>
          <w:color w:val="auto"/>
          <w:sz w:val="24"/>
          <w:highlight w:val="none"/>
        </w:rPr>
      </w:pPr>
    </w:p>
    <w:p w14:paraId="68FDACFA">
      <w:pPr>
        <w:widowControl/>
        <w:spacing w:line="360" w:lineRule="exact"/>
        <w:jc w:val="left"/>
        <w:rPr>
          <w:rFonts w:hint="eastAsia" w:ascii="仿宋" w:hAnsi="仿宋" w:eastAsia="仿宋" w:cs="仿宋"/>
          <w:color w:val="auto"/>
          <w:sz w:val="24"/>
          <w:highlight w:val="none"/>
        </w:rPr>
      </w:pPr>
    </w:p>
    <w:p w14:paraId="31A6A20A">
      <w:pPr>
        <w:widowControl/>
        <w:spacing w:line="440" w:lineRule="exact"/>
        <w:ind w:right="480"/>
        <w:jc w:val="center"/>
        <w:rPr>
          <w:rFonts w:hint="eastAsia" w:ascii="仿宋" w:hAnsi="仿宋" w:eastAsia="仿宋" w:cs="仿宋"/>
          <w:color w:val="auto"/>
          <w:sz w:val="24"/>
          <w:highlight w:val="none"/>
        </w:rPr>
      </w:pPr>
      <w:r>
        <w:rPr>
          <w:rFonts w:hint="eastAsia" w:ascii="仿宋" w:hAnsi="仿宋" w:eastAsia="仿宋" w:cs="仿宋"/>
          <w:color w:val="auto"/>
          <w:kern w:val="1"/>
          <w:sz w:val="24"/>
          <w:highlight w:val="none"/>
        </w:rPr>
        <w:t xml:space="preserve">                                               投标供应商</w:t>
      </w:r>
      <w:r>
        <w:rPr>
          <w:rFonts w:hint="eastAsia" w:ascii="仿宋" w:hAnsi="仿宋" w:eastAsia="仿宋" w:cs="仿宋"/>
          <w:color w:val="auto"/>
          <w:sz w:val="24"/>
          <w:highlight w:val="none"/>
        </w:rPr>
        <w:t xml:space="preserve">（盖印章）：  </w:t>
      </w:r>
    </w:p>
    <w:p w14:paraId="0E04A5BE">
      <w:pPr>
        <w:widowControl/>
        <w:spacing w:line="440" w:lineRule="exact"/>
        <w:ind w:right="36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70F5B97A">
      <w:pPr>
        <w:widowControl/>
        <w:spacing w:line="360" w:lineRule="exact"/>
        <w:jc w:val="left"/>
        <w:rPr>
          <w:rFonts w:hint="eastAsia" w:ascii="仿宋" w:hAnsi="仿宋" w:eastAsia="仿宋" w:cs="仿宋"/>
          <w:color w:val="auto"/>
          <w:sz w:val="24"/>
          <w:highlight w:val="none"/>
        </w:rPr>
      </w:pPr>
    </w:p>
    <w:p w14:paraId="7B6D17F7">
      <w:pPr>
        <w:widowControl/>
        <w:spacing w:line="360" w:lineRule="exact"/>
        <w:jc w:val="left"/>
        <w:rPr>
          <w:rFonts w:hint="eastAsia" w:ascii="仿宋" w:hAnsi="仿宋" w:eastAsia="仿宋" w:cs="仿宋"/>
          <w:color w:val="auto"/>
          <w:sz w:val="24"/>
          <w:highlight w:val="none"/>
        </w:rPr>
      </w:pPr>
    </w:p>
    <w:p w14:paraId="129AB6DE">
      <w:pPr>
        <w:widowControl/>
        <w:spacing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注：1.从业人员、营业收入、资产总额填报上一年度数据，无上一年度数据的新成立企业可不填报。</w:t>
      </w:r>
    </w:p>
    <w:p w14:paraId="35654FB2">
      <w:pPr>
        <w:widowControl/>
        <w:spacing w:line="36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2.供应商提供由省级以上监狱管理局、戒毒管理局（含新疆生产建设兵团）出具的属于监狱企业证明文件的，视同为小型和微型企业。</w:t>
      </w:r>
    </w:p>
    <w:p w14:paraId="37D024AD">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监狱企业证明</w:t>
      </w:r>
    </w:p>
    <w:p w14:paraId="183A8553">
      <w:pPr>
        <w:widowControl/>
        <w:spacing w:line="440" w:lineRule="exact"/>
        <w:ind w:firstLine="480" w:firstLineChars="200"/>
        <w:jc w:val="center"/>
        <w:rPr>
          <w:rFonts w:hint="eastAsia" w:ascii="仿宋" w:hAnsi="仿宋" w:eastAsia="仿宋" w:cs="仿宋"/>
          <w:color w:val="auto"/>
          <w:sz w:val="24"/>
          <w:highlight w:val="none"/>
        </w:rPr>
      </w:pPr>
    </w:p>
    <w:p w14:paraId="1CD99A3A">
      <w:pPr>
        <w:widowControl/>
        <w:spacing w:line="44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（注：符合条件的监狱企业请提供本函，不符合的不提供本函）</w:t>
      </w:r>
    </w:p>
    <w:p w14:paraId="5852864A">
      <w:pPr>
        <w:widowControl/>
        <w:spacing w:line="440" w:lineRule="exact"/>
        <w:ind w:firstLine="480" w:firstLineChars="200"/>
        <w:jc w:val="left"/>
        <w:rPr>
          <w:rFonts w:hint="eastAsia" w:ascii="仿宋" w:hAnsi="仿宋" w:eastAsia="仿宋" w:cs="仿宋"/>
          <w:color w:val="auto"/>
          <w:sz w:val="24"/>
          <w:szCs w:val="24"/>
          <w:highlight w:val="none"/>
        </w:rPr>
      </w:pPr>
    </w:p>
    <w:p w14:paraId="48FC54E2">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省级以上监狱管理局、戒毒管理局（含新疆生产建设兵团）出具的属于监狱企业的证明文件。</w:t>
      </w:r>
    </w:p>
    <w:p w14:paraId="6AB7ACFC">
      <w:pPr>
        <w:widowControl/>
        <w:jc w:val="left"/>
        <w:rPr>
          <w:rFonts w:hint="eastAsia" w:ascii="仿宋" w:hAnsi="仿宋" w:eastAsia="仿宋" w:cs="仿宋"/>
          <w:b/>
          <w:bCs/>
          <w:color w:val="auto"/>
          <w:sz w:val="24"/>
          <w:szCs w:val="24"/>
          <w:highlight w:val="none"/>
        </w:rPr>
      </w:pPr>
    </w:p>
    <w:p w14:paraId="61433927">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供应商（盖印章）：</w:t>
      </w:r>
    </w:p>
    <w:p w14:paraId="2A1FB664">
      <w:pPr>
        <w:widowControl/>
        <w:spacing w:line="440" w:lineRule="exact"/>
        <w:ind w:right="48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日期：   年  月   日</w:t>
      </w:r>
    </w:p>
    <w:p w14:paraId="46334C2E">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4"/>
          <w:szCs w:val="24"/>
          <w:highlight w:val="none"/>
        </w:rPr>
        <w:t>残疾人福利性单位声明函</w:t>
      </w:r>
    </w:p>
    <w:p w14:paraId="0B92067C">
      <w:pPr>
        <w:widowControl/>
        <w:jc w:val="left"/>
        <w:rPr>
          <w:rFonts w:hint="eastAsia" w:ascii="仿宋" w:hAnsi="仿宋" w:eastAsia="仿宋" w:cs="仿宋"/>
          <w:b/>
          <w:bCs/>
          <w:color w:val="auto"/>
          <w:sz w:val="28"/>
          <w:szCs w:val="28"/>
          <w:highlight w:val="none"/>
        </w:rPr>
      </w:pPr>
    </w:p>
    <w:p w14:paraId="103D79F5">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（注：符合条件的残疾人福利性单位请提供本函，不符合的不提供本函）</w:t>
      </w:r>
    </w:p>
    <w:p w14:paraId="7A18470D">
      <w:pPr>
        <w:rPr>
          <w:rFonts w:hint="eastAsia" w:ascii="仿宋" w:hAnsi="仿宋" w:eastAsia="仿宋" w:cs="仿宋"/>
          <w:color w:val="auto"/>
          <w:sz w:val="24"/>
          <w:szCs w:val="24"/>
          <w:highlight w:val="none"/>
        </w:rPr>
      </w:pPr>
    </w:p>
    <w:p w14:paraId="12E26746">
      <w:pPr>
        <w:rPr>
          <w:rFonts w:hint="eastAsia" w:ascii="仿宋" w:hAnsi="仿宋" w:eastAsia="仿宋" w:cs="仿宋"/>
          <w:color w:val="auto"/>
          <w:sz w:val="24"/>
          <w:szCs w:val="24"/>
          <w:highlight w:val="none"/>
        </w:rPr>
      </w:pPr>
    </w:p>
    <w:p w14:paraId="6E6122F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标项名称）项目采购活动提供本单位制造的货物（由本单位承担工程/提供服务），或者提供其他残疾人福利性单位制造的货物（不包括使用非残疾人福利性单位注册商标的货物）。</w:t>
      </w:r>
    </w:p>
    <w:p w14:paraId="48A15BA2">
      <w:pPr>
        <w:spacing w:line="360" w:lineRule="auto"/>
        <w:rPr>
          <w:rFonts w:hint="eastAsia" w:ascii="仿宋" w:hAnsi="仿宋" w:eastAsia="仿宋" w:cs="仿宋"/>
          <w:color w:val="auto"/>
          <w:sz w:val="24"/>
          <w:szCs w:val="24"/>
          <w:highlight w:val="none"/>
        </w:rPr>
      </w:pPr>
    </w:p>
    <w:p w14:paraId="5D4476F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7D57CD41">
      <w:pPr>
        <w:spacing w:line="360" w:lineRule="auto"/>
        <w:rPr>
          <w:rFonts w:hint="eastAsia" w:ascii="仿宋" w:hAnsi="仿宋" w:eastAsia="仿宋" w:cs="仿宋"/>
          <w:color w:val="auto"/>
          <w:sz w:val="24"/>
          <w:szCs w:val="24"/>
          <w:highlight w:val="none"/>
        </w:rPr>
      </w:pPr>
    </w:p>
    <w:p w14:paraId="5A82280F">
      <w:pPr>
        <w:spacing w:line="360" w:lineRule="auto"/>
        <w:rPr>
          <w:rFonts w:hint="eastAsia" w:ascii="仿宋" w:hAnsi="仿宋" w:eastAsia="仿宋" w:cs="仿宋"/>
          <w:color w:val="auto"/>
          <w:sz w:val="24"/>
          <w:szCs w:val="24"/>
          <w:highlight w:val="none"/>
        </w:rPr>
      </w:pPr>
    </w:p>
    <w:p w14:paraId="30E74B9E">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供应商（盖印章）：</w:t>
      </w:r>
    </w:p>
    <w:p w14:paraId="41F42FE6">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 xml:space="preserve">                                  日期：   年  月   日</w:t>
      </w:r>
    </w:p>
    <w:p w14:paraId="1BE379D0">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585A9C30">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附：中小企业划型标准（工信部联企业〔2011〕300号）</w:t>
      </w:r>
    </w:p>
    <w:p w14:paraId="193FFB35">
      <w:pPr>
        <w:keepNext w:val="0"/>
        <w:keepLines w:val="0"/>
        <w:pageBreakBefore w:val="0"/>
        <w:kinsoku/>
        <w:wordWrap/>
        <w:overflowPunct/>
        <w:topLinePunct w:val="0"/>
        <w:bidi w:val="0"/>
        <w:adjustRightInd w:val="0"/>
        <w:snapToGrid w:val="0"/>
        <w:spacing w:after="0" w:line="440" w:lineRule="exact"/>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35C90E">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0BA08B93">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DEC5BB">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5E658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CE1859B">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DCFDA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6435A9">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BA60FCD">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C5804B">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FF7897">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194176">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453351">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E6E0A5">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EC8A608">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BB8C42">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1F99AE">
      <w:pPr>
        <w:keepNext w:val="0"/>
        <w:keepLines w:val="0"/>
        <w:pageBreakBefore w:val="0"/>
        <w:kinsoku/>
        <w:wordWrap/>
        <w:overflowPunct/>
        <w:topLinePunct w:val="0"/>
        <w:bidi w:val="0"/>
        <w:spacing w:after="0" w:line="5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473BCEFB">
      <w:pPr>
        <w:pStyle w:val="2"/>
        <w:keepNext w:val="0"/>
        <w:keepLines w:val="0"/>
        <w:pageBreakBefore w:val="0"/>
        <w:kinsoku/>
        <w:wordWrap/>
        <w:overflowPunct/>
        <w:topLinePunct w:val="0"/>
        <w:bidi w:val="0"/>
        <w:spacing w:after="0"/>
        <w:textAlignment w:val="auto"/>
        <w:rPr>
          <w:rFonts w:hint="eastAsia" w:ascii="仿宋" w:hAnsi="仿宋" w:eastAsia="仿宋" w:cs="仿宋"/>
          <w:color w:val="auto"/>
          <w:highlight w:val="none"/>
        </w:rPr>
      </w:pPr>
    </w:p>
    <w:p w14:paraId="06587A42">
      <w:pPr>
        <w:keepNext w:val="0"/>
        <w:keepLines w:val="0"/>
        <w:pageBreakBefore w:val="0"/>
        <w:widowControl/>
        <w:kinsoku/>
        <w:wordWrap/>
        <w:overflowPunct/>
        <w:topLinePunct w:val="0"/>
        <w:bidi w:val="0"/>
        <w:spacing w:after="0"/>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2608EF34">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附件四  有依法缴纳税收和依法缴纳社会保障资金的记录；</w:t>
      </w:r>
    </w:p>
    <w:p w14:paraId="2E31E74E">
      <w:pPr>
        <w:keepNext w:val="0"/>
        <w:keepLines w:val="0"/>
        <w:pageBreakBefore w:val="0"/>
        <w:widowControl/>
        <w:kinsoku/>
        <w:wordWrap/>
        <w:overflowPunct/>
        <w:topLinePunct w:val="0"/>
        <w:bidi w:val="0"/>
        <w:spacing w:after="0" w:line="440" w:lineRule="exact"/>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此处请附：须提供响应文件递交截止日期之前6个月内任何一期的纳税记录或证明文件（依法免税的应提供相应文件说明）；</w:t>
      </w:r>
    </w:p>
    <w:p w14:paraId="405AFAC6">
      <w:pPr>
        <w:keepNext w:val="0"/>
        <w:keepLines w:val="0"/>
        <w:pageBreakBefore w:val="0"/>
        <w:widowControl/>
        <w:kinsoku/>
        <w:wordWrap/>
        <w:overflowPunct/>
        <w:topLinePunct w:val="0"/>
        <w:bidi w:val="0"/>
        <w:spacing w:after="0" w:line="440" w:lineRule="exact"/>
        <w:jc w:val="left"/>
        <w:textAlignment w:val="auto"/>
        <w:rPr>
          <w:rFonts w:hint="eastAsia" w:ascii="仿宋" w:hAnsi="仿宋" w:eastAsia="仿宋" w:cs="仿宋"/>
          <w:b/>
          <w:color w:val="auto"/>
          <w:kern w:val="0"/>
          <w:sz w:val="24"/>
          <w:szCs w:val="22"/>
          <w:highlight w:val="none"/>
        </w:rPr>
      </w:pPr>
      <w:r>
        <w:rPr>
          <w:rFonts w:hint="eastAsia" w:ascii="仿宋" w:hAnsi="仿宋" w:eastAsia="仿宋" w:cs="仿宋"/>
          <w:bCs/>
          <w:color w:val="auto"/>
          <w:sz w:val="24"/>
          <w:highlight w:val="none"/>
        </w:rPr>
        <w:t>须提供投标文件递交截止日期之前六个月内为员工缴纳社会保障资金的证明材料原件或扫描件投标人加盖电子印章（任意一个月即可）（依法不需要缴纳社会保障资金的应提供相应文件说明）；</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附件五  具有良好的商业信誉和健全的财务会计制度</w:t>
      </w:r>
    </w:p>
    <w:p w14:paraId="28330FF4">
      <w:pPr>
        <w:widowControl/>
        <w:spacing w:line="440" w:lineRule="exact"/>
        <w:jc w:val="left"/>
        <w:rPr>
          <w:rFonts w:hint="eastAsia" w:ascii="仿宋" w:hAnsi="仿宋" w:eastAsia="仿宋" w:cs="仿宋"/>
          <w:b/>
          <w:color w:val="auto"/>
          <w:kern w:val="0"/>
          <w:sz w:val="24"/>
          <w:szCs w:val="22"/>
          <w:highlight w:val="none"/>
        </w:rPr>
      </w:pPr>
    </w:p>
    <w:p w14:paraId="3C23DC4C">
      <w:pPr>
        <w:widowControl/>
        <w:spacing w:line="44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w:t>
      </w:r>
    </w:p>
    <w:p w14:paraId="67889492">
      <w:pPr>
        <w:widowControl/>
        <w:spacing w:line="440" w:lineRule="exact"/>
        <w:ind w:firstLine="480" w:firstLineChars="200"/>
        <w:jc w:val="left"/>
        <w:rPr>
          <w:rFonts w:hint="eastAsia" w:ascii="仿宋" w:hAnsi="仿宋" w:eastAsia="仿宋" w:cs="仿宋"/>
          <w:b/>
          <w:bCs/>
          <w:color w:val="auto"/>
          <w:kern w:val="0"/>
          <w:sz w:val="24"/>
          <w:highlight w:val="none"/>
        </w:rPr>
      </w:pPr>
      <w:r>
        <w:rPr>
          <w:rFonts w:hint="eastAsia" w:ascii="仿宋" w:hAnsi="仿宋" w:eastAsia="仿宋" w:cs="仿宋"/>
          <w:snapToGrid w:val="0"/>
          <w:color w:val="auto"/>
          <w:kern w:val="0"/>
          <w:sz w:val="24"/>
          <w:highlight w:val="none"/>
        </w:rPr>
        <w:t>须提供本单位上一年度（2024年度</w:t>
      </w:r>
      <w:r>
        <w:rPr>
          <w:rFonts w:hint="eastAsia" w:ascii="仿宋" w:hAnsi="仿宋" w:eastAsia="仿宋" w:cs="仿宋"/>
          <w:snapToGrid w:val="0"/>
          <w:color w:val="auto"/>
          <w:kern w:val="0"/>
          <w:sz w:val="24"/>
          <w:highlight w:val="none"/>
          <w:lang w:val="en-US" w:eastAsia="zh-CN"/>
        </w:rPr>
        <w:t>或2025年度</w:t>
      </w:r>
      <w:r>
        <w:rPr>
          <w:rFonts w:hint="eastAsia" w:ascii="仿宋" w:hAnsi="仿宋" w:eastAsia="仿宋" w:cs="仿宋"/>
          <w:snapToGrid w:val="0"/>
          <w:color w:val="auto"/>
          <w:kern w:val="0"/>
          <w:sz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highlight w:val="none"/>
          <w:lang w:val="zh-CN"/>
        </w:rPr>
        <w:t>（投标人成立不足一年的提供截止开标前近3个月的财务报表和截止开标前近1个月基本开户银行出具的资信证明；另：部分其他组织或自然人，没有经审计的财务报告，应当提供截止开标前近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highlight w:val="none"/>
        </w:rPr>
        <w:t>3</w:t>
      </w:r>
      <w:r>
        <w:rPr>
          <w:rFonts w:hint="eastAsia" w:ascii="仿宋" w:hAnsi="仿宋" w:eastAsia="仿宋" w:cs="仿宋"/>
          <w:snapToGrid w:val="0"/>
          <w:color w:val="auto"/>
          <w:sz w:val="24"/>
          <w:highlight w:val="none"/>
          <w:lang w:val="zh-CN"/>
        </w:rPr>
        <w:t>个月的银行出具的资信证明。）；</w:t>
      </w:r>
    </w:p>
    <w:p w14:paraId="31F8F0E0">
      <w:pPr>
        <w:widowControl/>
        <w:spacing w:line="440" w:lineRule="exact"/>
        <w:jc w:val="left"/>
        <w:rPr>
          <w:rFonts w:hint="eastAsia" w:ascii="仿宋" w:hAnsi="仿宋" w:eastAsia="仿宋" w:cs="仿宋"/>
          <w:b/>
          <w:bCs/>
          <w:color w:val="auto"/>
          <w:kern w:val="0"/>
          <w:sz w:val="24"/>
          <w:highlight w:val="none"/>
        </w:rPr>
      </w:pPr>
    </w:p>
    <w:p w14:paraId="13584AB6">
      <w:pPr>
        <w:widowControl/>
        <w:spacing w:line="440" w:lineRule="exact"/>
        <w:jc w:val="left"/>
        <w:rPr>
          <w:rFonts w:hint="eastAsia" w:ascii="仿宋" w:hAnsi="仿宋" w:eastAsia="仿宋" w:cs="仿宋"/>
          <w:b/>
          <w:bCs/>
          <w:color w:val="auto"/>
          <w:kern w:val="0"/>
          <w:sz w:val="24"/>
          <w:highlight w:val="none"/>
        </w:rPr>
      </w:pPr>
    </w:p>
    <w:p w14:paraId="18063EB7">
      <w:pPr>
        <w:widowControl/>
        <w:spacing w:line="440" w:lineRule="exact"/>
        <w:jc w:val="left"/>
        <w:rPr>
          <w:rFonts w:hint="eastAsia" w:ascii="仿宋" w:hAnsi="仿宋" w:eastAsia="仿宋" w:cs="仿宋"/>
          <w:b/>
          <w:bCs/>
          <w:color w:val="auto"/>
          <w:kern w:val="0"/>
          <w:sz w:val="24"/>
          <w:highlight w:val="none"/>
        </w:rPr>
      </w:pPr>
    </w:p>
    <w:p w14:paraId="1BEBA496">
      <w:pPr>
        <w:widowControl/>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附件六  </w:t>
      </w:r>
      <w:r>
        <w:rPr>
          <w:rFonts w:hint="eastAsia" w:ascii="仿宋" w:hAnsi="仿宋" w:eastAsia="仿宋" w:cs="仿宋"/>
          <w:b/>
          <w:bCs/>
          <w:color w:val="auto"/>
          <w:kern w:val="0"/>
          <w:sz w:val="24"/>
          <w:highlight w:val="none"/>
          <w:lang w:val="zh-CN"/>
        </w:rPr>
        <w:t>具有履行合同所必需的设备和专业技术能力</w:t>
      </w:r>
    </w:p>
    <w:p w14:paraId="60A0EC78">
      <w:pPr>
        <w:shd w:val="clear" w:color="auto" w:fill="FFFFFF"/>
        <w:spacing w:line="440" w:lineRule="exact"/>
        <w:rPr>
          <w:rFonts w:hint="eastAsia" w:ascii="仿宋" w:hAnsi="仿宋" w:eastAsia="仿宋" w:cs="仿宋"/>
          <w:bCs/>
          <w:snapToGrid w:val="0"/>
          <w:color w:val="auto"/>
          <w:kern w:val="0"/>
          <w:sz w:val="24"/>
          <w:highlight w:val="none"/>
        </w:rPr>
      </w:pPr>
    </w:p>
    <w:p w14:paraId="5CA54DFF">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350CE526">
      <w:pPr>
        <w:shd w:val="clear" w:color="auto" w:fill="FFFFFF"/>
        <w:spacing w:line="440" w:lineRule="exact"/>
        <w:rPr>
          <w:rFonts w:hint="eastAsia" w:ascii="仿宋" w:hAnsi="仿宋" w:eastAsia="仿宋" w:cs="仿宋"/>
          <w:bCs/>
          <w:snapToGrid w:val="0"/>
          <w:color w:val="auto"/>
          <w:kern w:val="0"/>
          <w:sz w:val="24"/>
          <w:highlight w:val="none"/>
        </w:rPr>
      </w:pPr>
    </w:p>
    <w:p w14:paraId="1BB537DD">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2470C304">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5D7473EC">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1E5B1E0A">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22A2BF58">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3F9A152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751330E">
      <w:pPr>
        <w:widowControl/>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日期：年月日</w:t>
      </w:r>
      <w:r>
        <w:rPr>
          <w:rFonts w:hint="eastAsia" w:ascii="仿宋" w:hAnsi="仿宋" w:eastAsia="仿宋" w:cs="仿宋"/>
          <w:bCs/>
          <w:color w:val="auto"/>
          <w:sz w:val="24"/>
          <w:highlight w:val="none"/>
        </w:rPr>
        <w:br w:type="page"/>
      </w:r>
    </w:p>
    <w:p w14:paraId="649751BE">
      <w:pPr>
        <w:widowControl/>
        <w:spacing w:line="44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附件七  参加政府采购活动前三年内，在经营活动中没有重大违法记录</w:t>
      </w:r>
    </w:p>
    <w:p w14:paraId="00B9E041">
      <w:pPr>
        <w:shd w:val="clear" w:color="auto" w:fill="FFFFFF"/>
        <w:spacing w:before="312" w:beforeLines="100" w:after="312" w:afterLines="100"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无重大违法记录声明书</w:t>
      </w:r>
    </w:p>
    <w:p w14:paraId="1F64F12E">
      <w:pPr>
        <w:shd w:val="clear" w:color="auto" w:fill="FFFFFF"/>
        <w:tabs>
          <w:tab w:val="left" w:pos="996"/>
        </w:tabs>
        <w:spacing w:line="440" w:lineRule="exact"/>
        <w:rPr>
          <w:rFonts w:hint="eastAsia" w:ascii="仿宋" w:hAnsi="仿宋" w:eastAsia="仿宋" w:cs="仿宋"/>
          <w:color w:val="auto"/>
          <w:sz w:val="24"/>
          <w:highlight w:val="none"/>
        </w:rPr>
      </w:pPr>
    </w:p>
    <w:p w14:paraId="4257257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0B0242DB">
      <w:pPr>
        <w:shd w:val="clear" w:color="auto" w:fill="FFFFFF"/>
        <w:tabs>
          <w:tab w:val="left" w:pos="996"/>
        </w:tabs>
        <w:spacing w:line="440" w:lineRule="exact"/>
        <w:rPr>
          <w:rFonts w:hint="eastAsia" w:ascii="仿宋" w:hAnsi="仿宋" w:eastAsia="仿宋" w:cs="仿宋"/>
          <w:color w:val="auto"/>
          <w:sz w:val="24"/>
          <w:highlight w:val="none"/>
        </w:rPr>
      </w:pPr>
    </w:p>
    <w:p w14:paraId="238E12ED">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047487B4">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4303EE03">
      <w:pPr>
        <w:shd w:val="clear" w:color="auto" w:fill="FFFFFF"/>
        <w:tabs>
          <w:tab w:val="left" w:pos="996"/>
        </w:tabs>
        <w:spacing w:line="440" w:lineRule="exact"/>
        <w:rPr>
          <w:rFonts w:hint="eastAsia" w:ascii="仿宋" w:hAnsi="仿宋" w:eastAsia="仿宋" w:cs="仿宋"/>
          <w:color w:val="auto"/>
          <w:sz w:val="24"/>
          <w:highlight w:val="none"/>
        </w:rPr>
      </w:pPr>
    </w:p>
    <w:p w14:paraId="131979A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400D465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E70355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A85353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449915D7">
      <w:pPr>
        <w:shd w:val="clear" w:color="auto" w:fill="FFFFFF"/>
        <w:tabs>
          <w:tab w:val="left" w:pos="996"/>
        </w:tabs>
        <w:spacing w:line="440" w:lineRule="exact"/>
        <w:rPr>
          <w:rFonts w:hint="eastAsia" w:ascii="仿宋" w:hAnsi="仿宋" w:eastAsia="仿宋" w:cs="仿宋"/>
          <w:color w:val="auto"/>
          <w:sz w:val="24"/>
          <w:highlight w:val="none"/>
        </w:rPr>
      </w:pPr>
    </w:p>
    <w:p w14:paraId="5E05F14C">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0F387A19">
      <w:pPr>
        <w:widowControl/>
        <w:spacing w:line="440" w:lineRule="exact"/>
        <w:jc w:val="left"/>
        <w:rPr>
          <w:rFonts w:hint="eastAsia" w:ascii="仿宋" w:hAnsi="仿宋" w:eastAsia="仿宋" w:cs="仿宋"/>
          <w:color w:val="auto"/>
          <w:sz w:val="24"/>
          <w:highlight w:val="none"/>
        </w:rPr>
      </w:pPr>
    </w:p>
    <w:p w14:paraId="762C467E">
      <w:pPr>
        <w:shd w:val="clear" w:color="auto" w:fill="FFFFFF"/>
        <w:spacing w:line="440" w:lineRule="exact"/>
        <w:jc w:val="left"/>
        <w:rPr>
          <w:rFonts w:hint="eastAsia" w:ascii="仿宋" w:hAnsi="仿宋" w:eastAsia="仿宋" w:cs="仿宋"/>
          <w:b/>
          <w:bCs/>
          <w:color w:val="auto"/>
          <w:kern w:val="0"/>
          <w:sz w:val="24"/>
          <w:highlight w:val="none"/>
        </w:rPr>
      </w:pPr>
    </w:p>
    <w:p w14:paraId="1660F325">
      <w:pPr>
        <w:shd w:val="clear" w:color="auto" w:fill="FFFFFF"/>
        <w:spacing w:line="440" w:lineRule="exact"/>
        <w:jc w:val="left"/>
        <w:rPr>
          <w:rFonts w:hint="eastAsia" w:ascii="仿宋" w:hAnsi="仿宋" w:eastAsia="仿宋" w:cs="仿宋"/>
          <w:b/>
          <w:bCs/>
          <w:color w:val="auto"/>
          <w:kern w:val="0"/>
          <w:sz w:val="24"/>
          <w:highlight w:val="none"/>
        </w:rPr>
      </w:pPr>
    </w:p>
    <w:p w14:paraId="6172730E">
      <w:pPr>
        <w:shd w:val="clear" w:color="auto" w:fill="FFFFFF"/>
        <w:spacing w:line="440" w:lineRule="exact"/>
        <w:jc w:val="left"/>
        <w:rPr>
          <w:rFonts w:hint="eastAsia" w:ascii="仿宋" w:hAnsi="仿宋" w:eastAsia="仿宋" w:cs="仿宋"/>
          <w:b/>
          <w:bCs/>
          <w:color w:val="auto"/>
          <w:kern w:val="0"/>
          <w:sz w:val="24"/>
          <w:highlight w:val="none"/>
        </w:rPr>
      </w:pPr>
    </w:p>
    <w:p w14:paraId="4255BD4D">
      <w:pPr>
        <w:shd w:val="clear" w:color="auto" w:fill="FFFFFF"/>
        <w:spacing w:line="440" w:lineRule="exact"/>
        <w:jc w:val="left"/>
        <w:rPr>
          <w:rFonts w:hint="eastAsia" w:ascii="仿宋" w:hAnsi="仿宋" w:eastAsia="仿宋" w:cs="仿宋"/>
          <w:b/>
          <w:bCs/>
          <w:color w:val="auto"/>
          <w:kern w:val="0"/>
          <w:sz w:val="24"/>
          <w:highlight w:val="none"/>
        </w:rPr>
      </w:pPr>
    </w:p>
    <w:p w14:paraId="6E3C511B">
      <w:pPr>
        <w:shd w:val="clear" w:color="auto" w:fill="FFFFFF"/>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附件八 法律、行政法规规定的其他条件。</w:t>
      </w:r>
    </w:p>
    <w:p w14:paraId="2C5C913E">
      <w:pPr>
        <w:shd w:val="clear" w:color="auto" w:fill="FFFFFF"/>
        <w:tabs>
          <w:tab w:val="left" w:pos="996"/>
        </w:tabs>
        <w:spacing w:line="440" w:lineRule="exact"/>
        <w:rPr>
          <w:rFonts w:hint="eastAsia" w:ascii="仿宋" w:hAnsi="仿宋" w:eastAsia="仿宋" w:cs="仿宋"/>
          <w:color w:val="auto"/>
          <w:sz w:val="24"/>
          <w:highlight w:val="none"/>
        </w:rPr>
      </w:pPr>
    </w:p>
    <w:p w14:paraId="3E4B1F03">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4318DEBB">
      <w:pPr>
        <w:shd w:val="clear" w:color="auto" w:fill="FFFFFF"/>
        <w:tabs>
          <w:tab w:val="left" w:pos="996"/>
        </w:tabs>
        <w:spacing w:line="440" w:lineRule="exact"/>
        <w:rPr>
          <w:rFonts w:hint="eastAsia" w:ascii="仿宋" w:hAnsi="仿宋" w:eastAsia="仿宋" w:cs="仿宋"/>
          <w:color w:val="auto"/>
          <w:sz w:val="24"/>
          <w:highlight w:val="none"/>
        </w:rPr>
      </w:pPr>
    </w:p>
    <w:p w14:paraId="5B754C97">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招标投标活动，本公司郑重声明，我方参加本项目政府采购活动符合法律、行政法规规定的其他条件，符合《政府采购法》规定的供应商条件。若贵方在本项目招标过程中发现我方在政府采购活动中不</w:t>
      </w:r>
      <w:r>
        <w:rPr>
          <w:rFonts w:hint="eastAsia" w:ascii="仿宋" w:hAnsi="仿宋" w:eastAsia="仿宋" w:cs="仿宋"/>
          <w:color w:val="auto"/>
          <w:sz w:val="24"/>
          <w:highlight w:val="none"/>
          <w:lang w:val="en-US" w:eastAsia="zh-CN"/>
        </w:rPr>
        <w:t>符合</w:t>
      </w:r>
      <w:r>
        <w:rPr>
          <w:rFonts w:hint="eastAsia" w:ascii="仿宋" w:hAnsi="仿宋" w:eastAsia="仿宋" w:cs="仿宋"/>
          <w:color w:val="auto"/>
          <w:sz w:val="24"/>
          <w:highlight w:val="none"/>
        </w:rPr>
        <w:t>法律、行政法规规定的其他条件，我公司将无条件退出本项目的响应，并承担因此引起的一切后果。我方对此声明负全部法律责任。</w:t>
      </w:r>
    </w:p>
    <w:p w14:paraId="5ADDB28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2F5E34D0">
      <w:pPr>
        <w:shd w:val="clear" w:color="auto" w:fill="FFFFFF"/>
        <w:tabs>
          <w:tab w:val="left" w:pos="996"/>
        </w:tabs>
        <w:spacing w:line="440" w:lineRule="exact"/>
        <w:rPr>
          <w:rFonts w:hint="eastAsia" w:ascii="仿宋" w:hAnsi="仿宋" w:eastAsia="仿宋" w:cs="仿宋"/>
          <w:color w:val="auto"/>
          <w:sz w:val="24"/>
          <w:highlight w:val="none"/>
        </w:rPr>
      </w:pPr>
    </w:p>
    <w:p w14:paraId="56167EEF">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384CF95A">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60C89EC6">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3A0FEB6">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1A60743D">
      <w:pPr>
        <w:shd w:val="clear" w:color="auto" w:fill="FFFFFF"/>
        <w:tabs>
          <w:tab w:val="left" w:pos="996"/>
        </w:tabs>
        <w:spacing w:line="440" w:lineRule="exact"/>
        <w:rPr>
          <w:rFonts w:hint="eastAsia" w:ascii="仿宋" w:hAnsi="仿宋" w:eastAsia="仿宋" w:cs="仿宋"/>
          <w:color w:val="auto"/>
          <w:sz w:val="24"/>
          <w:highlight w:val="none"/>
        </w:rPr>
      </w:pPr>
    </w:p>
    <w:p w14:paraId="6F049F37">
      <w:pPr>
        <w:pStyle w:val="4"/>
        <w:rPr>
          <w:rFonts w:hint="eastAsia" w:ascii="仿宋" w:hAnsi="仿宋" w:eastAsia="仿宋" w:cs="仿宋"/>
          <w:color w:val="auto"/>
          <w:highlight w:val="none"/>
        </w:rPr>
      </w:pPr>
    </w:p>
    <w:p w14:paraId="561529CD">
      <w:pPr>
        <w:shd w:val="clear" w:color="auto" w:fill="FFFFFF"/>
        <w:spacing w:line="440" w:lineRule="exact"/>
        <w:jc w:val="left"/>
        <w:rPr>
          <w:rFonts w:hint="eastAsia" w:ascii="仿宋" w:hAnsi="仿宋" w:eastAsia="仿宋" w:cs="仿宋"/>
          <w:b/>
          <w:bCs/>
          <w:color w:val="auto"/>
          <w:kern w:val="0"/>
          <w:sz w:val="24"/>
          <w:highlight w:val="none"/>
        </w:rPr>
      </w:pPr>
    </w:p>
    <w:p w14:paraId="3E60C98F">
      <w:pPr>
        <w:shd w:val="clear" w:color="auto" w:fill="FFFFFF"/>
        <w:spacing w:line="440" w:lineRule="exact"/>
        <w:jc w:val="left"/>
        <w:rPr>
          <w:rFonts w:hint="eastAsia" w:ascii="仿宋" w:hAnsi="仿宋" w:eastAsia="仿宋" w:cs="仿宋"/>
          <w:b/>
          <w:bCs/>
          <w:color w:val="auto"/>
          <w:kern w:val="0"/>
          <w:sz w:val="24"/>
          <w:highlight w:val="none"/>
        </w:rPr>
      </w:pPr>
    </w:p>
    <w:p w14:paraId="7AE73657">
      <w:pPr>
        <w:shd w:val="clear" w:color="auto" w:fill="FFFFFF"/>
        <w:spacing w:line="440" w:lineRule="exact"/>
        <w:jc w:val="left"/>
        <w:rPr>
          <w:rFonts w:hint="eastAsia" w:ascii="仿宋" w:hAnsi="仿宋" w:eastAsia="仿宋" w:cs="仿宋"/>
          <w:b/>
          <w:bCs/>
          <w:color w:val="auto"/>
          <w:kern w:val="0"/>
          <w:sz w:val="24"/>
          <w:highlight w:val="none"/>
        </w:rPr>
      </w:pPr>
    </w:p>
    <w:p w14:paraId="563F7964">
      <w:pPr>
        <w:shd w:val="clear" w:color="auto" w:fill="FFFFFF"/>
        <w:spacing w:line="440" w:lineRule="exact"/>
        <w:jc w:val="left"/>
        <w:rPr>
          <w:rFonts w:hint="eastAsia" w:ascii="仿宋" w:hAnsi="仿宋" w:eastAsia="仿宋" w:cs="仿宋"/>
          <w:b/>
          <w:bCs/>
          <w:color w:val="auto"/>
          <w:kern w:val="0"/>
          <w:sz w:val="24"/>
          <w:highlight w:val="none"/>
        </w:rPr>
      </w:pPr>
    </w:p>
    <w:p w14:paraId="42EBDE0B">
      <w:pPr>
        <w:shd w:val="clear" w:color="auto" w:fill="FFFFFF"/>
        <w:spacing w:line="440" w:lineRule="exact"/>
        <w:jc w:val="left"/>
        <w:rPr>
          <w:rFonts w:hint="eastAsia" w:ascii="仿宋" w:hAnsi="仿宋" w:eastAsia="仿宋" w:cs="仿宋"/>
          <w:b/>
          <w:bCs/>
          <w:color w:val="auto"/>
          <w:kern w:val="0"/>
          <w:sz w:val="24"/>
          <w:highlight w:val="none"/>
        </w:rPr>
      </w:pPr>
    </w:p>
    <w:p w14:paraId="20BD39CA">
      <w:pPr>
        <w:shd w:val="clear" w:color="auto" w:fill="FFFFFF"/>
        <w:spacing w:line="440" w:lineRule="exact"/>
        <w:jc w:val="left"/>
        <w:rPr>
          <w:rFonts w:hint="eastAsia" w:ascii="仿宋" w:hAnsi="仿宋" w:eastAsia="仿宋" w:cs="仿宋"/>
          <w:b/>
          <w:bCs/>
          <w:color w:val="auto"/>
          <w:kern w:val="0"/>
          <w:sz w:val="24"/>
          <w:highlight w:val="none"/>
        </w:rPr>
      </w:pPr>
    </w:p>
    <w:p w14:paraId="4181BEE9">
      <w:pPr>
        <w:shd w:val="clear" w:color="auto" w:fill="FFFFFF"/>
        <w:spacing w:line="44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九</w:t>
      </w:r>
      <w:r>
        <w:rPr>
          <w:rFonts w:hint="eastAsia" w:ascii="仿宋" w:hAnsi="仿宋" w:eastAsia="仿宋" w:cs="仿宋"/>
          <w:b/>
          <w:bCs/>
          <w:color w:val="auto"/>
          <w:kern w:val="0"/>
          <w:sz w:val="24"/>
          <w:highlight w:val="none"/>
        </w:rPr>
        <w:t xml:space="preserve"> 磋商保证金缴纳凭证</w:t>
      </w:r>
    </w:p>
    <w:p w14:paraId="384B2DC1">
      <w:pPr>
        <w:spacing w:line="4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此处请附： ①磋商保证金打款凭证（打印件或复印件）</w:t>
      </w:r>
    </w:p>
    <w:p w14:paraId="323B6CA5">
      <w:pPr>
        <w:spacing w:line="460" w:lineRule="exact"/>
        <w:ind w:firstLine="1320" w:firstLineChars="550"/>
        <w:rPr>
          <w:rFonts w:hint="eastAsia" w:ascii="仿宋" w:hAnsi="仿宋" w:eastAsia="仿宋" w:cs="仿宋"/>
          <w:color w:val="auto"/>
          <w:kern w:val="0"/>
          <w:sz w:val="24"/>
          <w:highlight w:val="none"/>
        </w:rPr>
      </w:pPr>
    </w:p>
    <w:p w14:paraId="760ACB8D">
      <w:pPr>
        <w:spacing w:line="460" w:lineRule="exact"/>
        <w:ind w:firstLine="1320" w:firstLineChars="550"/>
        <w:rPr>
          <w:rFonts w:hint="eastAsia" w:ascii="仿宋" w:hAnsi="仿宋" w:eastAsia="仿宋" w:cs="仿宋"/>
          <w:color w:val="auto"/>
          <w:kern w:val="0"/>
          <w:sz w:val="24"/>
          <w:highlight w:val="none"/>
        </w:rPr>
      </w:pPr>
    </w:p>
    <w:p w14:paraId="671AB50F">
      <w:pPr>
        <w:spacing w:line="460" w:lineRule="exact"/>
        <w:ind w:firstLine="1320" w:firstLineChars="550"/>
        <w:rPr>
          <w:rFonts w:hint="eastAsia" w:ascii="仿宋" w:hAnsi="仿宋" w:eastAsia="仿宋" w:cs="仿宋"/>
          <w:color w:val="auto"/>
          <w:kern w:val="0"/>
          <w:sz w:val="24"/>
          <w:highlight w:val="none"/>
        </w:rPr>
      </w:pPr>
    </w:p>
    <w:p w14:paraId="21BAFDD1">
      <w:pPr>
        <w:pStyle w:val="7"/>
        <w:ind w:firstLine="241"/>
        <w:rPr>
          <w:rFonts w:hint="eastAsia" w:ascii="仿宋" w:hAnsi="仿宋" w:eastAsia="仿宋" w:cs="仿宋"/>
          <w:b/>
          <w:bCs/>
          <w:color w:val="auto"/>
          <w:kern w:val="0"/>
          <w:sz w:val="24"/>
          <w:highlight w:val="none"/>
        </w:rPr>
      </w:pPr>
    </w:p>
    <w:p w14:paraId="59483CC9">
      <w:pPr>
        <w:spacing w:line="460" w:lineRule="exact"/>
        <w:ind w:firstLine="1320" w:firstLineChars="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②若采用电子保函，须提供已缴纳电子保函的相关资料。</w:t>
      </w:r>
    </w:p>
    <w:p w14:paraId="310CEDC5">
      <w:pPr>
        <w:pStyle w:val="7"/>
        <w:ind w:firstLine="241"/>
        <w:rPr>
          <w:rFonts w:hint="eastAsia" w:ascii="仿宋" w:hAnsi="仿宋" w:eastAsia="仿宋" w:cs="仿宋"/>
          <w:b/>
          <w:bCs/>
          <w:color w:val="auto"/>
          <w:kern w:val="0"/>
          <w:sz w:val="24"/>
          <w:highlight w:val="none"/>
        </w:rPr>
      </w:pPr>
    </w:p>
    <w:p w14:paraId="73F6F053">
      <w:pPr>
        <w:pStyle w:val="7"/>
        <w:ind w:firstLine="241"/>
        <w:rPr>
          <w:rFonts w:hint="eastAsia" w:ascii="仿宋" w:hAnsi="仿宋" w:eastAsia="仿宋" w:cs="仿宋"/>
          <w:b/>
          <w:bCs/>
          <w:color w:val="auto"/>
          <w:kern w:val="0"/>
          <w:sz w:val="24"/>
          <w:highlight w:val="none"/>
        </w:rPr>
      </w:pPr>
    </w:p>
    <w:p w14:paraId="268A1BA8">
      <w:pPr>
        <w:shd w:val="clear" w:color="auto" w:fill="FFFFFF"/>
        <w:spacing w:line="440" w:lineRule="exact"/>
        <w:rPr>
          <w:rFonts w:hint="eastAsia" w:ascii="仿宋" w:hAnsi="仿宋" w:eastAsia="仿宋" w:cs="仿宋"/>
          <w:b/>
          <w:bCs/>
          <w:color w:val="auto"/>
          <w:kern w:val="0"/>
          <w:sz w:val="24"/>
          <w:szCs w:val="32"/>
          <w:highlight w:val="none"/>
        </w:rPr>
      </w:pPr>
      <w:r>
        <w:rPr>
          <w:rFonts w:hint="eastAsia" w:ascii="仿宋" w:hAnsi="仿宋" w:eastAsia="仿宋" w:cs="仿宋"/>
          <w:b/>
          <w:bCs/>
          <w:color w:val="auto"/>
          <w:kern w:val="0"/>
          <w:sz w:val="24"/>
          <w:szCs w:val="32"/>
          <w:highlight w:val="none"/>
        </w:rPr>
        <w:br w:type="page"/>
      </w:r>
    </w:p>
    <w:p w14:paraId="43AE4487">
      <w:pPr>
        <w:shd w:val="clear" w:color="auto" w:fill="FFFFFF"/>
        <w:spacing w:line="440" w:lineRule="exact"/>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4"/>
          <w:highlight w:val="none"/>
        </w:rPr>
        <w:t>附件十</w:t>
      </w:r>
    </w:p>
    <w:p w14:paraId="4CA0E287">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磋商承诺书</w:t>
      </w:r>
    </w:p>
    <w:p w14:paraId="5A3D7B70">
      <w:pPr>
        <w:keepNext w:val="0"/>
        <w:keepLines w:val="0"/>
        <w:pageBreakBefore w:val="0"/>
        <w:widowControl w:val="0"/>
        <w:shd w:val="clear" w:color="auto" w:fill="FFFFFF"/>
        <w:kinsoku/>
        <w:wordWrap/>
        <w:overflowPunct/>
        <w:topLinePunct w:val="0"/>
        <w:autoSpaceDE/>
        <w:autoSpaceDN/>
        <w:bidi w:val="0"/>
        <w:snapToGrid/>
        <w:spacing w:after="0" w:line="44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14:paraId="36389797">
      <w:pPr>
        <w:keepNext w:val="0"/>
        <w:keepLines w:val="0"/>
        <w:pageBreakBefore w:val="0"/>
        <w:widowControl w:val="0"/>
        <w:shd w:val="clear" w:color="auto" w:fill="FFFFFF"/>
        <w:kinsoku/>
        <w:wordWrap/>
        <w:overflowPunct/>
        <w:topLinePunct w:val="0"/>
        <w:autoSpaceDE/>
        <w:autoSpaceDN/>
        <w:bidi w:val="0"/>
        <w:snapToGrid/>
        <w:spacing w:after="0"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（标项名称、项目编号）</w:t>
      </w:r>
      <w:r>
        <w:rPr>
          <w:rFonts w:hint="eastAsia" w:ascii="仿宋" w:hAnsi="仿宋" w:eastAsia="仿宋" w:cs="仿宋"/>
          <w:color w:val="auto"/>
          <w:sz w:val="24"/>
          <w:highlight w:val="none"/>
        </w:rPr>
        <w:t>项目的磋商文件，愿意按照磋商文件规定的内容承担该项目的投标任务，严格执行我方所承诺的责任和义务。为此，我方郑重声明以下诸点，并负法律责任。</w:t>
      </w:r>
    </w:p>
    <w:p w14:paraId="5D59B40B">
      <w:pPr>
        <w:keepNext w:val="0"/>
        <w:keepLines w:val="0"/>
        <w:pageBreakBefore w:val="0"/>
        <w:widowControl w:val="0"/>
        <w:shd w:val="clear" w:color="auto" w:fill="FFFFFF"/>
        <w:kinsoku/>
        <w:wordWrap/>
        <w:overflowPunct/>
        <w:topLinePunct w:val="0"/>
        <w:autoSpaceDE/>
        <w:autoSpaceDN/>
        <w:bidi w:val="0"/>
        <w:snapToGrid/>
        <w:spacing w:after="0"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1、我方提交响应文件：加密的电子响应文件1份，并在磋商时间前上传至磋商文件规定的指定地点。如我方中标，在领取成交通知书时向招标代理机构提供纸质版响应文件正本1份、副本3份</w:t>
      </w:r>
      <w:r>
        <w:rPr>
          <w:rFonts w:hint="eastAsia" w:ascii="仿宋" w:hAnsi="仿宋" w:eastAsia="仿宋" w:cs="仿宋"/>
          <w:bCs/>
          <w:color w:val="auto"/>
          <w:kern w:val="0"/>
          <w:sz w:val="24"/>
          <w:highlight w:val="none"/>
        </w:rPr>
        <w:t>。</w:t>
      </w:r>
      <w:r>
        <w:rPr>
          <w:rFonts w:hint="eastAsia" w:ascii="仿宋" w:hAnsi="仿宋" w:eastAsia="仿宋" w:cs="仿宋"/>
          <w:color w:val="auto"/>
          <w:sz w:val="24"/>
          <w:highlight w:val="none"/>
        </w:rPr>
        <w:t>我方愿按《中华人民共和国政府采购法》及其他有关法律、法规的规定及磋商文件的规定，自觉履行自己的全部责任。</w:t>
      </w:r>
    </w:p>
    <w:p w14:paraId="02D0AA48">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2、我方同意在磋商有效期内遵守本响应文件，在此期限期满前的任何时间，本响应文件一直对我们具有约束力；</w:t>
      </w:r>
    </w:p>
    <w:p w14:paraId="6D169680">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3、如果我方响应文件被接受，我方将按照磋商文件及响应文件（被采纳或接受的部分）中的承诺，按期、按质、按量交付使用方；如不满足任一项，贵方有权终止我方中标并选择其它成交人。</w:t>
      </w:r>
    </w:p>
    <w:p w14:paraId="4A143FAB">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4、如果我方中标，我方将在磋商文件规定的时间内签订委托合同并按磋商文件要求提供履约保证金。如果我方违约，除磋商保证金不予退还外，贵方有权终止我方中标并选择其它成交人。</w:t>
      </w:r>
    </w:p>
    <w:p w14:paraId="06447431">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6、一旦我方中标，我方愿意按磋商文件要求承担成交服务费。</w:t>
      </w:r>
    </w:p>
    <w:p w14:paraId="71746BC6">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7、贵方的成交通知书和本磋商文件将构成约束双方的合同。</w:t>
      </w:r>
    </w:p>
    <w:p w14:paraId="45768F7A">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8、如果我方未中标，贵方无义务对我方做出任何解释和说明，我方将充分尊重和理解贵方的选择。</w:t>
      </w:r>
    </w:p>
    <w:p w14:paraId="01164328">
      <w:pPr>
        <w:keepNext w:val="0"/>
        <w:keepLines w:val="0"/>
        <w:pageBreakBefore w:val="0"/>
        <w:widowControl w:val="0"/>
        <w:shd w:val="clear" w:color="auto" w:fill="FFFFFF"/>
        <w:kinsoku/>
        <w:wordWrap/>
        <w:overflowPunct/>
        <w:topLinePunct w:val="0"/>
        <w:autoSpaceDE/>
        <w:autoSpaceDN/>
        <w:bidi w:val="0"/>
        <w:adjustRightInd w:val="0"/>
        <w:snapToGrid/>
        <w:spacing w:after="0"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9、我方的响应文件自提交响应文件截止之日起有效期为天。</w:t>
      </w:r>
    </w:p>
    <w:p w14:paraId="04C7216B">
      <w:pPr>
        <w:pStyle w:val="40"/>
        <w:shd w:val="clear" w:color="auto" w:fill="FFFFFF"/>
        <w:snapToGrid w:val="0"/>
        <w:spacing w:line="440" w:lineRule="exact"/>
        <w:rPr>
          <w:rFonts w:hint="eastAsia" w:ascii="仿宋" w:hAnsi="仿宋" w:eastAsia="仿宋" w:cs="仿宋"/>
          <w:color w:val="auto"/>
          <w:sz w:val="24"/>
          <w:highlight w:val="none"/>
        </w:rPr>
      </w:pPr>
    </w:p>
    <w:p w14:paraId="3A2D0D64">
      <w:pPr>
        <w:pStyle w:val="40"/>
        <w:keepNext w:val="0"/>
        <w:keepLines w:val="0"/>
        <w:pageBreakBefore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68264BC1">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7CA2893D">
      <w:pPr>
        <w:keepNext w:val="0"/>
        <w:keepLines w:val="0"/>
        <w:pageBreakBefore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69B9FFB3">
      <w:pPr>
        <w:keepNext w:val="0"/>
        <w:keepLines w:val="0"/>
        <w:pageBreakBefore w:val="0"/>
        <w:widowControl/>
        <w:kinsoku/>
        <w:wordWrap/>
        <w:overflowPunct/>
        <w:topLinePunct w:val="0"/>
        <w:bidi w:val="0"/>
        <w:spacing w:after="0" w:line="400" w:lineRule="exact"/>
        <w:jc w:val="left"/>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18"/>
          <w:szCs w:val="18"/>
          <w:highlight w:val="none"/>
        </w:rPr>
        <w:br w:type="page"/>
      </w:r>
    </w:p>
    <w:p w14:paraId="107B6B69">
      <w:pPr>
        <w:tabs>
          <w:tab w:val="center" w:pos="7115"/>
          <w:tab w:val="right" w:pos="14230"/>
        </w:tabs>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附件十</w:t>
      </w:r>
      <w:r>
        <w:rPr>
          <w:rFonts w:hint="eastAsia" w:ascii="仿宋" w:hAnsi="仿宋" w:eastAsia="仿宋" w:cs="仿宋"/>
          <w:b/>
          <w:bCs/>
          <w:color w:val="auto"/>
          <w:sz w:val="24"/>
          <w:highlight w:val="none"/>
          <w:lang w:val="en-US" w:eastAsia="zh-CN"/>
        </w:rPr>
        <w:t>一</w:t>
      </w:r>
    </w:p>
    <w:p w14:paraId="1AC548B4">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磋商一览表</w:t>
      </w:r>
    </w:p>
    <w:p w14:paraId="6E8504F2">
      <w:pPr>
        <w:tabs>
          <w:tab w:val="center" w:pos="7115"/>
          <w:tab w:val="right" w:pos="14230"/>
        </w:tabs>
        <w:ind w:firstLine="723"/>
        <w:jc w:val="center"/>
        <w:rPr>
          <w:rFonts w:hint="eastAsia" w:ascii="仿宋" w:hAnsi="仿宋" w:eastAsia="仿宋" w:cs="仿宋"/>
          <w:color w:val="auto"/>
          <w:sz w:val="24"/>
          <w:highlight w:val="none"/>
        </w:rPr>
      </w:pPr>
    </w:p>
    <w:p w14:paraId="07857F07">
      <w:pPr>
        <w:tabs>
          <w:tab w:val="center" w:pos="7115"/>
          <w:tab w:val="right" w:pos="14230"/>
        </w:tabs>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14:paraId="495BE579">
      <w:pPr>
        <w:spacing w:line="36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7939596F">
      <w:pPr>
        <w:spacing w:line="360" w:lineRule="exact"/>
        <w:ind w:firstLine="110" w:firstLineChars="50"/>
        <w:rPr>
          <w:rFonts w:hint="eastAsia" w:ascii="仿宋" w:hAnsi="仿宋" w:eastAsia="仿宋" w:cs="仿宋"/>
          <w:color w:val="auto"/>
          <w:spacing w:val="-10"/>
          <w:kern w:val="0"/>
          <w:sz w:val="24"/>
          <w:highlight w:val="none"/>
          <w:lang w:eastAsia="zh-CN"/>
        </w:rPr>
      </w:pPr>
      <w:r>
        <w:rPr>
          <w:rFonts w:hint="eastAsia" w:ascii="仿宋" w:hAnsi="仿宋" w:eastAsia="仿宋" w:cs="仿宋"/>
          <w:color w:val="auto"/>
          <w:spacing w:val="-10"/>
          <w:kern w:val="0"/>
          <w:sz w:val="24"/>
          <w:highlight w:val="none"/>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p>
    <w:tbl>
      <w:tblPr>
        <w:tblStyle w:val="1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13"/>
        <w:gridCol w:w="3364"/>
        <w:gridCol w:w="1352"/>
        <w:gridCol w:w="989"/>
      </w:tblGrid>
      <w:tr w14:paraId="2EC3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3" w:hRule="exact"/>
          <w:jc w:val="center"/>
        </w:trPr>
        <w:tc>
          <w:tcPr>
            <w:tcW w:w="3513" w:type="dxa"/>
            <w:tcBorders>
              <w:bottom w:val="single" w:color="auto" w:sz="4" w:space="0"/>
            </w:tcBorders>
            <w:vAlign w:val="center"/>
          </w:tcPr>
          <w:p w14:paraId="43AC4D5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p>
        </w:tc>
        <w:tc>
          <w:tcPr>
            <w:tcW w:w="3364" w:type="dxa"/>
            <w:tcBorders>
              <w:bottom w:val="single" w:color="auto" w:sz="4" w:space="0"/>
            </w:tcBorders>
            <w:vAlign w:val="center"/>
          </w:tcPr>
          <w:p w14:paraId="1F0C0106">
            <w:pPr>
              <w:pStyle w:val="43"/>
              <w:spacing w:line="420" w:lineRule="exact"/>
              <w:ind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磋商报价（元）</w:t>
            </w:r>
          </w:p>
        </w:tc>
        <w:tc>
          <w:tcPr>
            <w:tcW w:w="1352" w:type="dxa"/>
            <w:tcBorders>
              <w:bottom w:val="single" w:color="auto" w:sz="4" w:space="0"/>
            </w:tcBorders>
            <w:vAlign w:val="center"/>
          </w:tcPr>
          <w:p w14:paraId="08316A09">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或合同履约期限</w:t>
            </w:r>
            <w:r>
              <w:rPr>
                <w:rFonts w:hint="eastAsia" w:ascii="仿宋" w:hAnsi="仿宋" w:eastAsia="仿宋" w:cs="仿宋"/>
                <w:color w:val="auto"/>
                <w:sz w:val="24"/>
                <w:highlight w:val="none"/>
                <w:lang w:eastAsia="zh-CN"/>
              </w:rPr>
              <w:t>）</w:t>
            </w:r>
          </w:p>
        </w:tc>
        <w:tc>
          <w:tcPr>
            <w:tcW w:w="989" w:type="dxa"/>
            <w:tcBorders>
              <w:bottom w:val="single" w:color="auto" w:sz="4" w:space="0"/>
            </w:tcBorders>
            <w:vAlign w:val="center"/>
          </w:tcPr>
          <w:p w14:paraId="7305C8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0DA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3513" w:type="dxa"/>
            <w:tcBorders>
              <w:bottom w:val="single" w:color="auto" w:sz="4" w:space="0"/>
            </w:tcBorders>
            <w:vAlign w:val="center"/>
          </w:tcPr>
          <w:p w14:paraId="01711FE6">
            <w:pPr>
              <w:pStyle w:val="43"/>
              <w:spacing w:line="420" w:lineRule="exact"/>
              <w:ind w:firstLine="0" w:firstLineChars="0"/>
              <w:rPr>
                <w:rFonts w:hint="eastAsia" w:ascii="仿宋" w:hAnsi="仿宋" w:eastAsia="仿宋" w:cs="仿宋"/>
                <w:color w:val="auto"/>
                <w:spacing w:val="-20"/>
                <w:sz w:val="24"/>
                <w:szCs w:val="24"/>
                <w:highlight w:val="none"/>
              </w:rPr>
            </w:pPr>
          </w:p>
        </w:tc>
        <w:tc>
          <w:tcPr>
            <w:tcW w:w="3364" w:type="dxa"/>
            <w:tcBorders>
              <w:bottom w:val="single" w:color="auto" w:sz="4" w:space="0"/>
            </w:tcBorders>
            <w:vAlign w:val="center"/>
          </w:tcPr>
          <w:p w14:paraId="371492E9">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6F05FC68">
            <w:pPr>
              <w:pStyle w:val="2"/>
              <w:jc w:val="both"/>
              <w:rPr>
                <w:rFonts w:hint="eastAsia" w:ascii="仿宋" w:hAnsi="仿宋" w:eastAsia="仿宋" w:cs="仿宋"/>
                <w:color w:val="auto"/>
                <w:highlight w:val="none"/>
              </w:rPr>
            </w:pPr>
            <w:r>
              <w:rPr>
                <w:rFonts w:hint="eastAsia" w:ascii="仿宋" w:hAnsi="仿宋" w:eastAsia="仿宋" w:cs="仿宋"/>
                <w:color w:val="auto"/>
                <w:sz w:val="24"/>
                <w:highlight w:val="none"/>
              </w:rPr>
              <w:t>小写：</w:t>
            </w:r>
          </w:p>
        </w:tc>
        <w:tc>
          <w:tcPr>
            <w:tcW w:w="1352" w:type="dxa"/>
            <w:tcBorders>
              <w:bottom w:val="single" w:color="auto" w:sz="4" w:space="0"/>
            </w:tcBorders>
            <w:vAlign w:val="center"/>
          </w:tcPr>
          <w:p w14:paraId="6FA4F827">
            <w:pPr>
              <w:jc w:val="center"/>
              <w:rPr>
                <w:rFonts w:hint="eastAsia" w:ascii="仿宋" w:hAnsi="仿宋" w:eastAsia="仿宋" w:cs="仿宋"/>
                <w:color w:val="auto"/>
                <w:sz w:val="24"/>
                <w:highlight w:val="none"/>
              </w:rPr>
            </w:pPr>
          </w:p>
        </w:tc>
        <w:tc>
          <w:tcPr>
            <w:tcW w:w="989" w:type="dxa"/>
            <w:tcBorders>
              <w:bottom w:val="single" w:color="auto" w:sz="4" w:space="0"/>
            </w:tcBorders>
            <w:vAlign w:val="center"/>
          </w:tcPr>
          <w:p w14:paraId="10B484FA">
            <w:pPr>
              <w:jc w:val="center"/>
              <w:rPr>
                <w:rFonts w:hint="eastAsia" w:ascii="仿宋" w:hAnsi="仿宋" w:eastAsia="仿宋" w:cs="仿宋"/>
                <w:color w:val="auto"/>
                <w:sz w:val="24"/>
                <w:highlight w:val="none"/>
              </w:rPr>
            </w:pPr>
          </w:p>
        </w:tc>
      </w:tr>
    </w:tbl>
    <w:p w14:paraId="29080B1E">
      <w:pPr>
        <w:rPr>
          <w:rFonts w:hint="eastAsia" w:ascii="仿宋" w:hAnsi="仿宋" w:eastAsia="仿宋" w:cs="仿宋"/>
          <w:color w:val="auto"/>
          <w:sz w:val="24"/>
          <w:highlight w:val="none"/>
        </w:rPr>
      </w:pPr>
    </w:p>
    <w:p w14:paraId="47CA5301">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09409CF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E1C80D4">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206EBB6F">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51ACD7D9">
      <w:pPr>
        <w:widowControl/>
        <w:jc w:val="left"/>
        <w:rPr>
          <w:rFonts w:hint="eastAsia" w:ascii="仿宋" w:hAnsi="仿宋" w:eastAsia="仿宋" w:cs="仿宋"/>
          <w:b/>
          <w:bCs/>
          <w:color w:val="auto"/>
          <w:sz w:val="24"/>
          <w:highlight w:val="none"/>
        </w:rPr>
      </w:pPr>
    </w:p>
    <w:p w14:paraId="2EB2AB13">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38146035">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报价明细表（如有）</w:t>
      </w:r>
    </w:p>
    <w:p w14:paraId="4EAC2282">
      <w:pPr>
        <w:shd w:val="clear" w:color="auto" w:fill="FFFFFF"/>
        <w:spacing w:line="440" w:lineRule="exact"/>
        <w:rPr>
          <w:rFonts w:hint="eastAsia" w:ascii="仿宋" w:hAnsi="仿宋" w:eastAsia="仿宋" w:cs="仿宋"/>
          <w:b/>
          <w:color w:val="auto"/>
          <w:sz w:val="24"/>
          <w:highlight w:val="none"/>
        </w:rPr>
      </w:pPr>
    </w:p>
    <w:tbl>
      <w:tblPr>
        <w:tblStyle w:val="1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67"/>
        <w:gridCol w:w="1116"/>
        <w:gridCol w:w="1116"/>
        <w:gridCol w:w="1116"/>
        <w:gridCol w:w="1116"/>
        <w:gridCol w:w="1117"/>
      </w:tblGrid>
      <w:tr w14:paraId="1D8B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82" w:type="dxa"/>
            <w:vAlign w:val="center"/>
          </w:tcPr>
          <w:p w14:paraId="2D78E7F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667" w:type="dxa"/>
            <w:vAlign w:val="center"/>
          </w:tcPr>
          <w:p w14:paraId="15D118C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1116" w:type="dxa"/>
            <w:vAlign w:val="center"/>
          </w:tcPr>
          <w:p w14:paraId="3B8FA9F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16" w:type="dxa"/>
            <w:vAlign w:val="center"/>
          </w:tcPr>
          <w:p w14:paraId="339A60C6">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16" w:type="dxa"/>
            <w:vAlign w:val="center"/>
          </w:tcPr>
          <w:p w14:paraId="0BA21AD4">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合价（元）</w:t>
            </w:r>
          </w:p>
        </w:tc>
        <w:tc>
          <w:tcPr>
            <w:tcW w:w="1116" w:type="dxa"/>
            <w:vAlign w:val="center"/>
          </w:tcPr>
          <w:p w14:paraId="13A371AA">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1117" w:type="dxa"/>
            <w:vAlign w:val="center"/>
          </w:tcPr>
          <w:p w14:paraId="274DBEF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r>
      <w:tr w14:paraId="7724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3AA99B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67" w:type="dxa"/>
            <w:vAlign w:val="center"/>
          </w:tcPr>
          <w:p w14:paraId="2A89BEDB">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（所投的全部货物或服务内容）</w:t>
            </w:r>
          </w:p>
        </w:tc>
        <w:tc>
          <w:tcPr>
            <w:tcW w:w="1116" w:type="dxa"/>
            <w:vAlign w:val="center"/>
          </w:tcPr>
          <w:p w14:paraId="2F5675F2">
            <w:pPr>
              <w:spacing w:line="320" w:lineRule="exact"/>
              <w:jc w:val="center"/>
              <w:rPr>
                <w:rFonts w:hint="eastAsia" w:ascii="仿宋" w:hAnsi="仿宋" w:eastAsia="仿宋" w:cs="仿宋"/>
                <w:color w:val="auto"/>
                <w:sz w:val="24"/>
                <w:highlight w:val="none"/>
              </w:rPr>
            </w:pPr>
          </w:p>
        </w:tc>
        <w:tc>
          <w:tcPr>
            <w:tcW w:w="1116" w:type="dxa"/>
            <w:vAlign w:val="center"/>
          </w:tcPr>
          <w:p w14:paraId="65A1DC6E">
            <w:pPr>
              <w:spacing w:line="420" w:lineRule="exact"/>
              <w:ind w:firstLine="480"/>
              <w:rPr>
                <w:rFonts w:hint="eastAsia" w:ascii="仿宋" w:hAnsi="仿宋" w:eastAsia="仿宋" w:cs="仿宋"/>
                <w:color w:val="auto"/>
                <w:sz w:val="24"/>
                <w:highlight w:val="none"/>
              </w:rPr>
            </w:pPr>
          </w:p>
        </w:tc>
        <w:tc>
          <w:tcPr>
            <w:tcW w:w="1116" w:type="dxa"/>
            <w:vAlign w:val="center"/>
          </w:tcPr>
          <w:p w14:paraId="004BDF6D">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47C365B0">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367B8B0A">
            <w:pPr>
              <w:spacing w:line="420" w:lineRule="exact"/>
              <w:ind w:firstLine="480"/>
              <w:jc w:val="center"/>
              <w:rPr>
                <w:rFonts w:hint="eastAsia" w:ascii="仿宋" w:hAnsi="仿宋" w:eastAsia="仿宋" w:cs="仿宋"/>
                <w:color w:val="auto"/>
                <w:sz w:val="24"/>
                <w:highlight w:val="none"/>
              </w:rPr>
            </w:pPr>
          </w:p>
        </w:tc>
      </w:tr>
      <w:tr w14:paraId="0F0F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2532FD0B">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67" w:type="dxa"/>
            <w:vAlign w:val="center"/>
          </w:tcPr>
          <w:p w14:paraId="3615BB23">
            <w:pPr>
              <w:spacing w:line="320" w:lineRule="exact"/>
              <w:jc w:val="center"/>
              <w:rPr>
                <w:rFonts w:hint="eastAsia" w:ascii="仿宋" w:hAnsi="仿宋" w:eastAsia="仿宋" w:cs="仿宋"/>
                <w:color w:val="auto"/>
                <w:spacing w:val="-20"/>
                <w:sz w:val="24"/>
                <w:highlight w:val="none"/>
              </w:rPr>
            </w:pPr>
          </w:p>
        </w:tc>
        <w:tc>
          <w:tcPr>
            <w:tcW w:w="1116" w:type="dxa"/>
            <w:vAlign w:val="center"/>
          </w:tcPr>
          <w:p w14:paraId="363BF77E">
            <w:pPr>
              <w:spacing w:line="320" w:lineRule="exact"/>
              <w:jc w:val="center"/>
              <w:rPr>
                <w:rFonts w:hint="eastAsia" w:ascii="仿宋" w:hAnsi="仿宋" w:eastAsia="仿宋" w:cs="仿宋"/>
                <w:color w:val="auto"/>
                <w:sz w:val="24"/>
                <w:highlight w:val="none"/>
              </w:rPr>
            </w:pPr>
          </w:p>
        </w:tc>
        <w:tc>
          <w:tcPr>
            <w:tcW w:w="1116" w:type="dxa"/>
            <w:vAlign w:val="center"/>
          </w:tcPr>
          <w:p w14:paraId="4DE4C31E">
            <w:pPr>
              <w:spacing w:line="420" w:lineRule="exact"/>
              <w:ind w:firstLine="480"/>
              <w:rPr>
                <w:rFonts w:hint="eastAsia" w:ascii="仿宋" w:hAnsi="仿宋" w:eastAsia="仿宋" w:cs="仿宋"/>
                <w:color w:val="auto"/>
                <w:sz w:val="24"/>
                <w:highlight w:val="none"/>
              </w:rPr>
            </w:pPr>
          </w:p>
        </w:tc>
        <w:tc>
          <w:tcPr>
            <w:tcW w:w="1116" w:type="dxa"/>
            <w:vAlign w:val="center"/>
          </w:tcPr>
          <w:p w14:paraId="0FA5B71B">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733250FC">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1C8D6D0D">
            <w:pPr>
              <w:spacing w:line="420" w:lineRule="exact"/>
              <w:ind w:firstLine="480"/>
              <w:jc w:val="center"/>
              <w:rPr>
                <w:rFonts w:hint="eastAsia" w:ascii="仿宋" w:hAnsi="仿宋" w:eastAsia="仿宋" w:cs="仿宋"/>
                <w:color w:val="auto"/>
                <w:sz w:val="24"/>
                <w:highlight w:val="none"/>
              </w:rPr>
            </w:pPr>
          </w:p>
        </w:tc>
      </w:tr>
      <w:tr w14:paraId="25BC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8F2D04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667" w:type="dxa"/>
            <w:vAlign w:val="center"/>
          </w:tcPr>
          <w:p w14:paraId="4B1F2694">
            <w:pPr>
              <w:spacing w:line="320" w:lineRule="exact"/>
              <w:jc w:val="center"/>
              <w:rPr>
                <w:rFonts w:hint="eastAsia" w:ascii="仿宋" w:hAnsi="仿宋" w:eastAsia="仿宋" w:cs="仿宋"/>
                <w:color w:val="auto"/>
                <w:sz w:val="24"/>
                <w:highlight w:val="none"/>
              </w:rPr>
            </w:pPr>
          </w:p>
        </w:tc>
        <w:tc>
          <w:tcPr>
            <w:tcW w:w="1116" w:type="dxa"/>
            <w:vAlign w:val="center"/>
          </w:tcPr>
          <w:p w14:paraId="5CCE69B6">
            <w:pPr>
              <w:spacing w:line="320" w:lineRule="exact"/>
              <w:jc w:val="center"/>
              <w:rPr>
                <w:rFonts w:hint="eastAsia" w:ascii="仿宋" w:hAnsi="仿宋" w:eastAsia="仿宋" w:cs="仿宋"/>
                <w:color w:val="auto"/>
                <w:sz w:val="24"/>
                <w:highlight w:val="none"/>
              </w:rPr>
            </w:pPr>
          </w:p>
        </w:tc>
        <w:tc>
          <w:tcPr>
            <w:tcW w:w="1116" w:type="dxa"/>
            <w:vAlign w:val="center"/>
          </w:tcPr>
          <w:p w14:paraId="4906417A">
            <w:pPr>
              <w:spacing w:line="420" w:lineRule="exact"/>
              <w:ind w:firstLine="480"/>
              <w:rPr>
                <w:rFonts w:hint="eastAsia" w:ascii="仿宋" w:hAnsi="仿宋" w:eastAsia="仿宋" w:cs="仿宋"/>
                <w:color w:val="auto"/>
                <w:sz w:val="24"/>
                <w:highlight w:val="none"/>
              </w:rPr>
            </w:pPr>
          </w:p>
        </w:tc>
        <w:tc>
          <w:tcPr>
            <w:tcW w:w="1116" w:type="dxa"/>
            <w:vAlign w:val="center"/>
          </w:tcPr>
          <w:p w14:paraId="4DC4290C">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316C66C8">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420D0E3C">
            <w:pPr>
              <w:spacing w:line="420" w:lineRule="exact"/>
              <w:ind w:firstLine="480"/>
              <w:jc w:val="center"/>
              <w:rPr>
                <w:rFonts w:hint="eastAsia" w:ascii="仿宋" w:hAnsi="仿宋" w:eastAsia="仿宋" w:cs="仿宋"/>
                <w:color w:val="auto"/>
                <w:sz w:val="24"/>
                <w:highlight w:val="none"/>
              </w:rPr>
            </w:pPr>
          </w:p>
        </w:tc>
      </w:tr>
      <w:tr w14:paraId="2CA5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B94BC67">
            <w:pPr>
              <w:spacing w:line="420" w:lineRule="exact"/>
              <w:jc w:val="center"/>
              <w:rPr>
                <w:rFonts w:hint="eastAsia" w:ascii="仿宋" w:hAnsi="仿宋" w:eastAsia="仿宋" w:cs="仿宋"/>
                <w:color w:val="auto"/>
                <w:sz w:val="24"/>
                <w:highlight w:val="none"/>
              </w:rPr>
            </w:pPr>
          </w:p>
        </w:tc>
        <w:tc>
          <w:tcPr>
            <w:tcW w:w="3667" w:type="dxa"/>
            <w:vAlign w:val="center"/>
          </w:tcPr>
          <w:p w14:paraId="3A4FA828">
            <w:pPr>
              <w:spacing w:line="320" w:lineRule="exact"/>
              <w:jc w:val="center"/>
              <w:rPr>
                <w:rFonts w:hint="eastAsia" w:ascii="仿宋" w:hAnsi="仿宋" w:eastAsia="仿宋" w:cs="仿宋"/>
                <w:color w:val="auto"/>
                <w:sz w:val="24"/>
                <w:highlight w:val="none"/>
              </w:rPr>
            </w:pPr>
          </w:p>
        </w:tc>
        <w:tc>
          <w:tcPr>
            <w:tcW w:w="5581" w:type="dxa"/>
            <w:gridSpan w:val="5"/>
            <w:vAlign w:val="center"/>
          </w:tcPr>
          <w:p w14:paraId="3AAF0067">
            <w:pPr>
              <w:spacing w:line="420" w:lineRule="exact"/>
              <w:ind w:firstLine="480"/>
              <w:jc w:val="center"/>
              <w:rPr>
                <w:rFonts w:hint="eastAsia" w:ascii="仿宋" w:hAnsi="仿宋" w:eastAsia="仿宋" w:cs="仿宋"/>
                <w:color w:val="auto"/>
                <w:sz w:val="24"/>
                <w:highlight w:val="none"/>
              </w:rPr>
            </w:pPr>
          </w:p>
        </w:tc>
      </w:tr>
      <w:tr w14:paraId="24DA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6A71A90">
            <w:pPr>
              <w:spacing w:line="420" w:lineRule="exact"/>
              <w:jc w:val="center"/>
              <w:rPr>
                <w:rFonts w:hint="eastAsia" w:ascii="仿宋" w:hAnsi="仿宋" w:eastAsia="仿宋" w:cs="仿宋"/>
                <w:color w:val="auto"/>
                <w:sz w:val="24"/>
                <w:highlight w:val="none"/>
              </w:rPr>
            </w:pPr>
          </w:p>
        </w:tc>
        <w:tc>
          <w:tcPr>
            <w:tcW w:w="3667" w:type="dxa"/>
            <w:vAlign w:val="center"/>
          </w:tcPr>
          <w:p w14:paraId="6ACA8042">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581" w:type="dxa"/>
            <w:gridSpan w:val="5"/>
            <w:vAlign w:val="center"/>
          </w:tcPr>
          <w:p w14:paraId="0F5826E5">
            <w:pPr>
              <w:spacing w:line="420" w:lineRule="exact"/>
              <w:ind w:firstLine="480"/>
              <w:jc w:val="center"/>
              <w:rPr>
                <w:rFonts w:hint="eastAsia" w:ascii="仿宋" w:hAnsi="仿宋" w:eastAsia="仿宋" w:cs="仿宋"/>
                <w:color w:val="auto"/>
                <w:sz w:val="24"/>
                <w:highlight w:val="none"/>
              </w:rPr>
            </w:pPr>
          </w:p>
        </w:tc>
      </w:tr>
      <w:tr w14:paraId="7A0C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07BA3062">
            <w:pPr>
              <w:spacing w:line="420" w:lineRule="exact"/>
              <w:jc w:val="center"/>
              <w:rPr>
                <w:rFonts w:hint="eastAsia" w:ascii="仿宋" w:hAnsi="仿宋" w:eastAsia="仿宋" w:cs="仿宋"/>
                <w:color w:val="auto"/>
                <w:sz w:val="24"/>
                <w:highlight w:val="none"/>
              </w:rPr>
            </w:pPr>
          </w:p>
        </w:tc>
        <w:tc>
          <w:tcPr>
            <w:tcW w:w="3667" w:type="dxa"/>
            <w:vAlign w:val="center"/>
          </w:tcPr>
          <w:p w14:paraId="4993BD68">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05050643">
            <w:pPr>
              <w:spacing w:line="420" w:lineRule="exact"/>
              <w:ind w:firstLine="480"/>
              <w:jc w:val="center"/>
              <w:rPr>
                <w:rFonts w:hint="eastAsia" w:ascii="仿宋" w:hAnsi="仿宋" w:eastAsia="仿宋" w:cs="仿宋"/>
                <w:color w:val="auto"/>
                <w:sz w:val="24"/>
                <w:highlight w:val="none"/>
              </w:rPr>
            </w:pPr>
          </w:p>
        </w:tc>
      </w:tr>
      <w:tr w14:paraId="342C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33E138B">
            <w:pPr>
              <w:spacing w:line="420" w:lineRule="exact"/>
              <w:jc w:val="center"/>
              <w:rPr>
                <w:rFonts w:hint="eastAsia" w:ascii="仿宋" w:hAnsi="仿宋" w:eastAsia="仿宋" w:cs="仿宋"/>
                <w:color w:val="auto"/>
                <w:sz w:val="24"/>
                <w:highlight w:val="none"/>
              </w:rPr>
            </w:pPr>
          </w:p>
        </w:tc>
        <w:tc>
          <w:tcPr>
            <w:tcW w:w="3667" w:type="dxa"/>
            <w:vAlign w:val="center"/>
          </w:tcPr>
          <w:p w14:paraId="1348AAFB">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6F579F29">
            <w:pPr>
              <w:spacing w:line="420" w:lineRule="exact"/>
              <w:ind w:firstLine="480"/>
              <w:jc w:val="center"/>
              <w:rPr>
                <w:rFonts w:hint="eastAsia" w:ascii="仿宋" w:hAnsi="仿宋" w:eastAsia="仿宋" w:cs="仿宋"/>
                <w:color w:val="auto"/>
                <w:sz w:val="24"/>
                <w:highlight w:val="none"/>
              </w:rPr>
            </w:pPr>
          </w:p>
        </w:tc>
      </w:tr>
      <w:tr w14:paraId="024F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203B6FE">
            <w:pPr>
              <w:spacing w:line="420" w:lineRule="exact"/>
              <w:jc w:val="center"/>
              <w:rPr>
                <w:rFonts w:hint="eastAsia" w:ascii="仿宋" w:hAnsi="仿宋" w:eastAsia="仿宋" w:cs="仿宋"/>
                <w:color w:val="auto"/>
                <w:sz w:val="24"/>
                <w:highlight w:val="none"/>
              </w:rPr>
            </w:pPr>
          </w:p>
        </w:tc>
        <w:tc>
          <w:tcPr>
            <w:tcW w:w="3667" w:type="dxa"/>
            <w:vAlign w:val="center"/>
          </w:tcPr>
          <w:p w14:paraId="6C3F4060">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1F93FEB3">
            <w:pPr>
              <w:spacing w:line="420" w:lineRule="exact"/>
              <w:ind w:firstLine="480"/>
              <w:jc w:val="center"/>
              <w:rPr>
                <w:rFonts w:hint="eastAsia" w:ascii="仿宋" w:hAnsi="仿宋" w:eastAsia="仿宋" w:cs="仿宋"/>
                <w:color w:val="auto"/>
                <w:sz w:val="24"/>
                <w:highlight w:val="none"/>
              </w:rPr>
            </w:pPr>
          </w:p>
        </w:tc>
      </w:tr>
      <w:tr w14:paraId="5B4D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449" w:type="dxa"/>
            <w:gridSpan w:val="2"/>
            <w:vAlign w:val="center"/>
          </w:tcPr>
          <w:p w14:paraId="3572CFB1">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合计总价（元）</w:t>
            </w:r>
          </w:p>
        </w:tc>
        <w:tc>
          <w:tcPr>
            <w:tcW w:w="5581" w:type="dxa"/>
            <w:gridSpan w:val="5"/>
            <w:vAlign w:val="center"/>
          </w:tcPr>
          <w:p w14:paraId="5981537A">
            <w:pPr>
              <w:spacing w:line="420" w:lineRule="exact"/>
              <w:ind w:firstLine="480"/>
              <w:jc w:val="center"/>
              <w:rPr>
                <w:rFonts w:hint="eastAsia" w:ascii="仿宋" w:hAnsi="仿宋" w:eastAsia="仿宋" w:cs="仿宋"/>
                <w:color w:val="auto"/>
                <w:sz w:val="24"/>
                <w:highlight w:val="none"/>
              </w:rPr>
            </w:pPr>
          </w:p>
        </w:tc>
      </w:tr>
    </w:tbl>
    <w:p w14:paraId="0A1C89C6">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须根据磋商文件第五部分《采购需求》的载明的内容逐条进行明细报价，不接受服务内容不符、不接受缺漏项、不接受顺序更改、不接受数量负偏离，否则，响应无效。如有增项，须在《报价明细表》最末说明及增加。</w:t>
      </w:r>
    </w:p>
    <w:p w14:paraId="2D9A20FE">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2、“其他”可填写供应商认为需要填写的其他内容。</w:t>
      </w:r>
    </w:p>
    <w:p w14:paraId="2FB1FFFF">
      <w:pPr>
        <w:pStyle w:val="52"/>
        <w:keepNext w:val="0"/>
        <w:keepLines w:val="0"/>
        <w:pageBreakBefore w:val="0"/>
        <w:widowControl w:val="0"/>
        <w:tabs>
          <w:tab w:val="clear" w:pos="360"/>
        </w:tabs>
        <w:kinsoku/>
        <w:wordWrap/>
        <w:overflowPunct/>
        <w:topLinePunct w:val="0"/>
        <w:autoSpaceDE/>
        <w:autoSpaceDN/>
        <w:bidi w:val="0"/>
        <w:adjustRightInd/>
        <w:snapToGrid/>
        <w:spacing w:after="0" w:line="340" w:lineRule="exact"/>
        <w:ind w:left="0" w:firstLine="0" w:firstLineChars="0"/>
        <w:textAlignment w:val="auto"/>
        <w:outlineLvl w:val="2"/>
        <w:rPr>
          <w:rFonts w:hint="eastAsia" w:ascii="仿宋" w:hAnsi="仿宋" w:eastAsia="仿宋" w:cs="仿宋"/>
          <w:color w:val="auto"/>
          <w:highlight w:val="none"/>
        </w:rPr>
      </w:pPr>
      <w:r>
        <w:rPr>
          <w:rFonts w:hint="eastAsia" w:ascii="仿宋" w:hAnsi="仿宋" w:eastAsia="仿宋" w:cs="仿宋"/>
          <w:color w:val="auto"/>
          <w:highlight w:val="none"/>
        </w:rPr>
        <w:t>3、本项目为服务项目，供应商可根据自身情况进行填写，如无详细报价此表可不填写。</w:t>
      </w:r>
    </w:p>
    <w:p w14:paraId="0FD29A6E">
      <w:pPr>
        <w:rPr>
          <w:rFonts w:hint="eastAsia" w:ascii="仿宋" w:hAnsi="仿宋" w:eastAsia="仿宋" w:cs="仿宋"/>
          <w:color w:val="auto"/>
          <w:highlight w:val="none"/>
        </w:rPr>
      </w:pPr>
    </w:p>
    <w:p w14:paraId="5D3556BE">
      <w:pPr>
        <w:pStyle w:val="40"/>
        <w:keepNext w:val="0"/>
        <w:keepLines w:val="0"/>
        <w:pageBreakBefore w:val="0"/>
        <w:widowControl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3978309E">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6D08A9C7">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B711760">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F95E19F">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7BF771F">
      <w:pPr>
        <w:widowControl/>
        <w:jc w:val="left"/>
        <w:rPr>
          <w:rFonts w:hint="eastAsia" w:ascii="仿宋" w:hAnsi="仿宋" w:eastAsia="仿宋" w:cs="仿宋"/>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二</w:t>
      </w:r>
    </w:p>
    <w:p w14:paraId="30C29296">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14:paraId="1BF6F17F">
      <w:pPr>
        <w:shd w:val="clear" w:color="auto" w:fill="FFFFFF"/>
        <w:spacing w:before="156" w:beforeLines="5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                                              项目编号:</w:t>
      </w:r>
    </w:p>
    <w:tbl>
      <w:tblPr>
        <w:tblStyle w:val="19"/>
        <w:tblW w:w="7660" w:type="dxa"/>
        <w:tblInd w:w="468" w:type="dxa"/>
        <w:tblLayout w:type="fixed"/>
        <w:tblCellMar>
          <w:top w:w="0" w:type="dxa"/>
          <w:left w:w="108" w:type="dxa"/>
          <w:bottom w:w="0" w:type="dxa"/>
          <w:right w:w="108" w:type="dxa"/>
        </w:tblCellMar>
      </w:tblPr>
      <w:tblGrid>
        <w:gridCol w:w="770"/>
        <w:gridCol w:w="1476"/>
        <w:gridCol w:w="1660"/>
        <w:gridCol w:w="1754"/>
        <w:gridCol w:w="2000"/>
      </w:tblGrid>
      <w:tr w14:paraId="79F82712">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4E2AA3A7">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76" w:type="dxa"/>
            <w:tcBorders>
              <w:top w:val="single" w:color="auto" w:sz="6" w:space="0"/>
              <w:left w:val="single" w:color="auto" w:sz="6" w:space="0"/>
              <w:bottom w:val="single" w:color="auto" w:sz="6" w:space="0"/>
              <w:right w:val="single" w:color="auto" w:sz="6" w:space="0"/>
            </w:tcBorders>
          </w:tcPr>
          <w:p w14:paraId="796C0533">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条款序号</w:t>
            </w:r>
          </w:p>
        </w:tc>
        <w:tc>
          <w:tcPr>
            <w:tcW w:w="1660" w:type="dxa"/>
            <w:tcBorders>
              <w:top w:val="single" w:color="auto" w:sz="6" w:space="0"/>
              <w:left w:val="single" w:color="auto" w:sz="6" w:space="0"/>
              <w:bottom w:val="single" w:color="auto" w:sz="6" w:space="0"/>
              <w:right w:val="single" w:color="auto" w:sz="6" w:space="0"/>
            </w:tcBorders>
          </w:tcPr>
          <w:p w14:paraId="12C9C4F9">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磋商条款</w:t>
            </w:r>
          </w:p>
        </w:tc>
        <w:tc>
          <w:tcPr>
            <w:tcW w:w="1754" w:type="dxa"/>
            <w:tcBorders>
              <w:top w:val="single" w:color="auto" w:sz="6" w:space="0"/>
              <w:left w:val="single" w:color="auto" w:sz="6" w:space="0"/>
              <w:bottom w:val="single" w:color="auto" w:sz="6" w:space="0"/>
              <w:right w:val="single" w:color="auto" w:sz="6" w:space="0"/>
            </w:tcBorders>
          </w:tcPr>
          <w:p w14:paraId="52CA5244">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响应条款</w:t>
            </w:r>
          </w:p>
        </w:tc>
        <w:tc>
          <w:tcPr>
            <w:tcW w:w="2000" w:type="dxa"/>
            <w:tcBorders>
              <w:top w:val="single" w:color="auto" w:sz="6" w:space="0"/>
              <w:left w:val="single" w:color="auto" w:sz="6" w:space="0"/>
              <w:bottom w:val="single" w:color="auto" w:sz="6" w:space="0"/>
              <w:right w:val="single" w:color="auto" w:sz="6" w:space="0"/>
            </w:tcBorders>
          </w:tcPr>
          <w:p w14:paraId="094786A2">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w:t>
            </w:r>
          </w:p>
        </w:tc>
      </w:tr>
      <w:tr w14:paraId="7A8B097D">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60B0BB42">
            <w:pPr>
              <w:shd w:val="clear" w:color="auto" w:fill="FFFFFF"/>
              <w:spacing w:line="440" w:lineRule="exact"/>
              <w:ind w:firstLine="9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476" w:type="dxa"/>
            <w:tcBorders>
              <w:top w:val="single" w:color="auto" w:sz="6" w:space="0"/>
              <w:left w:val="single" w:color="auto" w:sz="6" w:space="0"/>
              <w:bottom w:val="single" w:color="auto" w:sz="6" w:space="0"/>
              <w:right w:val="single" w:color="auto" w:sz="6" w:space="0"/>
            </w:tcBorders>
          </w:tcPr>
          <w:p w14:paraId="07B6A432">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55E049A1">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1CF9C33C">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6A1EFBB1">
            <w:pPr>
              <w:shd w:val="clear" w:color="auto" w:fill="FFFFFF"/>
              <w:spacing w:line="440" w:lineRule="exact"/>
              <w:ind w:firstLine="99"/>
              <w:rPr>
                <w:rFonts w:hint="eastAsia" w:ascii="仿宋" w:hAnsi="仿宋" w:eastAsia="仿宋" w:cs="仿宋"/>
                <w:color w:val="auto"/>
                <w:szCs w:val="21"/>
                <w:highlight w:val="none"/>
              </w:rPr>
            </w:pPr>
          </w:p>
        </w:tc>
      </w:tr>
      <w:tr w14:paraId="65C657C4">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77EF6C53">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4407A1DE">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2D950C16">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0CC5E7C8">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751AA868">
            <w:pPr>
              <w:shd w:val="clear" w:color="auto" w:fill="FFFFFF"/>
              <w:spacing w:line="440" w:lineRule="exact"/>
              <w:ind w:firstLine="99"/>
              <w:rPr>
                <w:rFonts w:hint="eastAsia" w:ascii="仿宋" w:hAnsi="仿宋" w:eastAsia="仿宋" w:cs="仿宋"/>
                <w:color w:val="auto"/>
                <w:szCs w:val="21"/>
                <w:highlight w:val="none"/>
              </w:rPr>
            </w:pPr>
          </w:p>
        </w:tc>
      </w:tr>
      <w:tr w14:paraId="360763BE">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1AFDF614">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548F85EC">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4618E03A">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1F68B5D5">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286EAEB1">
            <w:pPr>
              <w:shd w:val="clear" w:color="auto" w:fill="FFFFFF"/>
              <w:spacing w:line="440" w:lineRule="exact"/>
              <w:ind w:firstLine="99"/>
              <w:rPr>
                <w:rFonts w:hint="eastAsia" w:ascii="仿宋" w:hAnsi="仿宋" w:eastAsia="仿宋" w:cs="仿宋"/>
                <w:color w:val="auto"/>
                <w:szCs w:val="21"/>
                <w:highlight w:val="none"/>
              </w:rPr>
            </w:pPr>
          </w:p>
        </w:tc>
      </w:tr>
      <w:tr w14:paraId="580C8071">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7A62B59B">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58F97950">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0F56B8E2">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1E02E1FA">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6F11A3D0">
            <w:pPr>
              <w:shd w:val="clear" w:color="auto" w:fill="FFFFFF"/>
              <w:spacing w:line="440" w:lineRule="exact"/>
              <w:ind w:firstLine="99"/>
              <w:rPr>
                <w:rFonts w:hint="eastAsia" w:ascii="仿宋" w:hAnsi="仿宋" w:eastAsia="仿宋" w:cs="仿宋"/>
                <w:color w:val="auto"/>
                <w:szCs w:val="21"/>
                <w:highlight w:val="none"/>
              </w:rPr>
            </w:pPr>
          </w:p>
        </w:tc>
      </w:tr>
      <w:tr w14:paraId="346045D8">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078E9AF1">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5D94D982">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62466171">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2D3377CD">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683D7080">
            <w:pPr>
              <w:shd w:val="clear" w:color="auto" w:fill="FFFFFF"/>
              <w:spacing w:line="440" w:lineRule="exact"/>
              <w:ind w:firstLine="99"/>
              <w:rPr>
                <w:rFonts w:hint="eastAsia" w:ascii="仿宋" w:hAnsi="仿宋" w:eastAsia="仿宋" w:cs="仿宋"/>
                <w:color w:val="auto"/>
                <w:szCs w:val="21"/>
                <w:highlight w:val="none"/>
              </w:rPr>
            </w:pPr>
          </w:p>
        </w:tc>
      </w:tr>
      <w:tr w14:paraId="7C1C8034">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4DB33EBB">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4E0D11A6">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71F46C99">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41EB461A">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22002263">
            <w:pPr>
              <w:shd w:val="clear" w:color="auto" w:fill="FFFFFF"/>
              <w:spacing w:line="440" w:lineRule="exact"/>
              <w:ind w:firstLine="99"/>
              <w:rPr>
                <w:rFonts w:hint="eastAsia" w:ascii="仿宋" w:hAnsi="仿宋" w:eastAsia="仿宋" w:cs="仿宋"/>
                <w:color w:val="auto"/>
                <w:szCs w:val="21"/>
                <w:highlight w:val="none"/>
              </w:rPr>
            </w:pPr>
          </w:p>
        </w:tc>
      </w:tr>
      <w:tr w14:paraId="0AC0B3A4">
        <w:tblPrEx>
          <w:tblCellMar>
            <w:top w:w="0" w:type="dxa"/>
            <w:left w:w="108" w:type="dxa"/>
            <w:bottom w:w="0" w:type="dxa"/>
            <w:right w:w="108" w:type="dxa"/>
          </w:tblCellMar>
        </w:tblPrEx>
        <w:trPr>
          <w:cantSplit/>
          <w:trHeight w:val="651" w:hRule="exact"/>
        </w:trPr>
        <w:tc>
          <w:tcPr>
            <w:tcW w:w="770" w:type="dxa"/>
            <w:tcBorders>
              <w:top w:val="single" w:color="auto" w:sz="6" w:space="0"/>
              <w:left w:val="single" w:color="auto" w:sz="6" w:space="0"/>
              <w:bottom w:val="single" w:color="auto" w:sz="6" w:space="0"/>
              <w:right w:val="single" w:color="auto" w:sz="6" w:space="0"/>
            </w:tcBorders>
          </w:tcPr>
          <w:p w14:paraId="6E5FC5A9">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20A6AC8A">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206A192D">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324C358E">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08B7DCA0">
            <w:pPr>
              <w:shd w:val="clear" w:color="auto" w:fill="FFFFFF"/>
              <w:spacing w:line="440" w:lineRule="exact"/>
              <w:ind w:firstLine="99"/>
              <w:rPr>
                <w:rFonts w:hint="eastAsia" w:ascii="仿宋" w:hAnsi="仿宋" w:eastAsia="仿宋" w:cs="仿宋"/>
                <w:color w:val="auto"/>
                <w:szCs w:val="21"/>
                <w:highlight w:val="none"/>
              </w:rPr>
            </w:pPr>
          </w:p>
        </w:tc>
      </w:tr>
      <w:tr w14:paraId="68721BEE">
        <w:tblPrEx>
          <w:tblCellMar>
            <w:top w:w="0" w:type="dxa"/>
            <w:left w:w="108" w:type="dxa"/>
            <w:bottom w:w="0" w:type="dxa"/>
            <w:right w:w="108" w:type="dxa"/>
          </w:tblCellMar>
        </w:tblPrEx>
        <w:trPr>
          <w:cantSplit/>
          <w:trHeight w:val="628" w:hRule="exact"/>
        </w:trPr>
        <w:tc>
          <w:tcPr>
            <w:tcW w:w="770" w:type="dxa"/>
            <w:tcBorders>
              <w:top w:val="single" w:color="auto" w:sz="6" w:space="0"/>
              <w:left w:val="single" w:color="auto" w:sz="6" w:space="0"/>
              <w:bottom w:val="single" w:color="auto" w:sz="6" w:space="0"/>
              <w:right w:val="single" w:color="auto" w:sz="6" w:space="0"/>
            </w:tcBorders>
          </w:tcPr>
          <w:p w14:paraId="0F13CD34">
            <w:pPr>
              <w:shd w:val="clear" w:color="auto" w:fill="FFFFFF"/>
              <w:spacing w:line="440" w:lineRule="exact"/>
              <w:ind w:firstLine="99"/>
              <w:rPr>
                <w:rFonts w:hint="eastAsia" w:ascii="仿宋" w:hAnsi="仿宋" w:eastAsia="仿宋" w:cs="仿宋"/>
                <w:color w:val="auto"/>
                <w:szCs w:val="21"/>
                <w:highlight w:val="none"/>
              </w:rPr>
            </w:pPr>
          </w:p>
        </w:tc>
        <w:tc>
          <w:tcPr>
            <w:tcW w:w="1476" w:type="dxa"/>
            <w:tcBorders>
              <w:top w:val="single" w:color="auto" w:sz="6" w:space="0"/>
              <w:left w:val="single" w:color="auto" w:sz="6" w:space="0"/>
              <w:bottom w:val="single" w:color="auto" w:sz="6" w:space="0"/>
              <w:right w:val="single" w:color="auto" w:sz="6" w:space="0"/>
            </w:tcBorders>
          </w:tcPr>
          <w:p w14:paraId="73BCAF7C">
            <w:pPr>
              <w:shd w:val="clear" w:color="auto" w:fill="FFFFFF"/>
              <w:spacing w:line="440" w:lineRule="exact"/>
              <w:ind w:firstLine="99"/>
              <w:rPr>
                <w:rFonts w:hint="eastAsia" w:ascii="仿宋" w:hAnsi="仿宋" w:eastAsia="仿宋" w:cs="仿宋"/>
                <w:color w:val="auto"/>
                <w:szCs w:val="21"/>
                <w:highlight w:val="none"/>
              </w:rPr>
            </w:pPr>
          </w:p>
        </w:tc>
        <w:tc>
          <w:tcPr>
            <w:tcW w:w="1660" w:type="dxa"/>
            <w:tcBorders>
              <w:top w:val="single" w:color="auto" w:sz="6" w:space="0"/>
              <w:left w:val="single" w:color="auto" w:sz="6" w:space="0"/>
              <w:bottom w:val="single" w:color="auto" w:sz="6" w:space="0"/>
              <w:right w:val="single" w:color="auto" w:sz="6" w:space="0"/>
            </w:tcBorders>
          </w:tcPr>
          <w:p w14:paraId="684CDB95">
            <w:pPr>
              <w:shd w:val="clear" w:color="auto" w:fill="FFFFFF"/>
              <w:spacing w:line="440" w:lineRule="exact"/>
              <w:ind w:firstLine="99"/>
              <w:rPr>
                <w:rFonts w:hint="eastAsia" w:ascii="仿宋" w:hAnsi="仿宋" w:eastAsia="仿宋" w:cs="仿宋"/>
                <w:color w:val="auto"/>
                <w:szCs w:val="21"/>
                <w:highlight w:val="none"/>
              </w:rPr>
            </w:pPr>
          </w:p>
        </w:tc>
        <w:tc>
          <w:tcPr>
            <w:tcW w:w="1754" w:type="dxa"/>
            <w:tcBorders>
              <w:top w:val="single" w:color="auto" w:sz="6" w:space="0"/>
              <w:left w:val="single" w:color="auto" w:sz="6" w:space="0"/>
              <w:bottom w:val="single" w:color="auto" w:sz="6" w:space="0"/>
              <w:right w:val="single" w:color="auto" w:sz="6" w:space="0"/>
            </w:tcBorders>
          </w:tcPr>
          <w:p w14:paraId="1C0A573D">
            <w:pPr>
              <w:shd w:val="clear" w:color="auto" w:fill="FFFFFF"/>
              <w:spacing w:line="440" w:lineRule="exact"/>
              <w:ind w:firstLine="99"/>
              <w:rPr>
                <w:rFonts w:hint="eastAsia" w:ascii="仿宋" w:hAnsi="仿宋" w:eastAsia="仿宋" w:cs="仿宋"/>
                <w:color w:val="auto"/>
                <w:szCs w:val="21"/>
                <w:highlight w:val="none"/>
              </w:rPr>
            </w:pPr>
          </w:p>
        </w:tc>
        <w:tc>
          <w:tcPr>
            <w:tcW w:w="2000" w:type="dxa"/>
            <w:tcBorders>
              <w:top w:val="single" w:color="auto" w:sz="6" w:space="0"/>
              <w:left w:val="single" w:color="auto" w:sz="6" w:space="0"/>
              <w:bottom w:val="single" w:color="auto" w:sz="6" w:space="0"/>
              <w:right w:val="single" w:color="auto" w:sz="6" w:space="0"/>
            </w:tcBorders>
          </w:tcPr>
          <w:p w14:paraId="6BDA9852">
            <w:pPr>
              <w:shd w:val="clear" w:color="auto" w:fill="FFFFFF"/>
              <w:spacing w:line="440" w:lineRule="exact"/>
              <w:ind w:firstLine="99"/>
              <w:rPr>
                <w:rFonts w:hint="eastAsia" w:ascii="仿宋" w:hAnsi="仿宋" w:eastAsia="仿宋" w:cs="仿宋"/>
                <w:color w:val="auto"/>
                <w:szCs w:val="21"/>
                <w:highlight w:val="none"/>
              </w:rPr>
            </w:pPr>
          </w:p>
        </w:tc>
      </w:tr>
    </w:tbl>
    <w:p w14:paraId="6E0FEB18">
      <w:pPr>
        <w:pStyle w:val="40"/>
        <w:shd w:val="clear" w:color="auto" w:fill="FFFFFF"/>
        <w:snapToGrid w:val="0"/>
        <w:spacing w:line="440" w:lineRule="exact"/>
        <w:rPr>
          <w:rFonts w:hint="eastAsia" w:ascii="仿宋" w:hAnsi="仿宋" w:eastAsia="仿宋" w:cs="仿宋"/>
          <w:color w:val="auto"/>
          <w:sz w:val="24"/>
          <w:highlight w:val="none"/>
        </w:rPr>
      </w:pPr>
    </w:p>
    <w:p w14:paraId="58D9FE4D">
      <w:pPr>
        <w:shd w:val="clear" w:color="auto" w:fill="FFFFFF"/>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重要说明：供应商在上表中说明的内容，至少须包括对本文件《供应商须知前附表》提出的“磋商有效期”、“服务期”、 “</w:t>
      </w:r>
      <w:r>
        <w:rPr>
          <w:rFonts w:hint="eastAsia" w:ascii="仿宋" w:hAnsi="仿宋" w:eastAsia="仿宋" w:cs="仿宋"/>
          <w:b/>
          <w:bCs/>
          <w:color w:val="auto"/>
          <w:sz w:val="24"/>
          <w:highlight w:val="none"/>
          <w:lang w:val="en-US" w:eastAsia="zh-CN"/>
        </w:rPr>
        <w:t>交付或实施的地点</w:t>
      </w:r>
      <w:r>
        <w:rPr>
          <w:rFonts w:hint="eastAsia" w:ascii="仿宋" w:hAnsi="仿宋" w:eastAsia="仿宋" w:cs="仿宋"/>
          <w:b/>
          <w:bCs/>
          <w:color w:val="auto"/>
          <w:sz w:val="24"/>
          <w:highlight w:val="none"/>
        </w:rPr>
        <w:t>”、“付款方式”四项内容逐条响应，不接受负偏离。</w:t>
      </w:r>
    </w:p>
    <w:p w14:paraId="74522F5B">
      <w:pPr>
        <w:pStyle w:val="40"/>
        <w:shd w:val="clear" w:color="auto" w:fill="FFFFFF"/>
        <w:snapToGrid w:val="0"/>
        <w:spacing w:line="440" w:lineRule="exact"/>
        <w:rPr>
          <w:rFonts w:hint="eastAsia" w:ascii="仿宋" w:hAnsi="仿宋" w:eastAsia="仿宋" w:cs="仿宋"/>
          <w:color w:val="auto"/>
          <w:sz w:val="24"/>
          <w:highlight w:val="none"/>
        </w:rPr>
      </w:pPr>
    </w:p>
    <w:p w14:paraId="2B64BE05">
      <w:pPr>
        <w:pStyle w:val="40"/>
        <w:shd w:val="clear" w:color="auto" w:fill="FFFFFF"/>
        <w:snapToGrid w:val="0"/>
        <w:spacing w:line="440" w:lineRule="exact"/>
        <w:rPr>
          <w:rFonts w:hint="eastAsia" w:ascii="仿宋" w:hAnsi="仿宋" w:eastAsia="仿宋" w:cs="仿宋"/>
          <w:color w:val="auto"/>
          <w:sz w:val="24"/>
          <w:highlight w:val="none"/>
        </w:rPr>
      </w:pPr>
    </w:p>
    <w:p w14:paraId="15A5F6AB">
      <w:pPr>
        <w:pStyle w:val="40"/>
        <w:shd w:val="clear" w:color="auto" w:fill="FFFFFF"/>
        <w:snapToGrid w:val="0"/>
        <w:spacing w:line="440" w:lineRule="exact"/>
        <w:rPr>
          <w:rFonts w:hint="eastAsia" w:ascii="仿宋" w:hAnsi="仿宋" w:eastAsia="仿宋" w:cs="仿宋"/>
          <w:color w:val="auto"/>
          <w:sz w:val="24"/>
          <w:highlight w:val="none"/>
        </w:rPr>
      </w:pPr>
    </w:p>
    <w:p w14:paraId="4E59E63F">
      <w:pPr>
        <w:pStyle w:val="40"/>
        <w:keepNext w:val="0"/>
        <w:keepLines w:val="0"/>
        <w:pageBreakBefore w:val="0"/>
        <w:widowControl w:val="0"/>
        <w:shd w:val="clear" w:color="auto" w:fill="FFFFFF"/>
        <w:kinsoku/>
        <w:wordWrap/>
        <w:overflowPunct/>
        <w:topLinePunct w:val="0"/>
        <w:bidi w:val="0"/>
        <w:snapToGrid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4B472803">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39DE579">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21DE5B9A">
      <w:pPr>
        <w:keepNext w:val="0"/>
        <w:keepLines w:val="0"/>
        <w:pageBreakBefore w:val="0"/>
        <w:widowControl w:val="0"/>
        <w:shd w:val="clear" w:color="auto" w:fill="FFFFFF"/>
        <w:kinsoku/>
        <w:wordWrap/>
        <w:overflowPunct/>
        <w:topLinePunct w:val="0"/>
        <w:bidi w:val="0"/>
        <w:spacing w:after="0" w:line="440" w:lineRule="exact"/>
        <w:textAlignment w:val="auto"/>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62984DAC">
      <w:pPr>
        <w:widowControl/>
        <w:spacing w:line="440" w:lineRule="exact"/>
        <w:jc w:val="left"/>
        <w:rPr>
          <w:rFonts w:hint="eastAsia" w:ascii="仿宋" w:hAnsi="仿宋" w:eastAsia="仿宋" w:cs="仿宋"/>
          <w:color w:val="auto"/>
          <w:kern w:val="0"/>
          <w:sz w:val="24"/>
          <w:highlight w:val="none"/>
        </w:rPr>
      </w:pPr>
    </w:p>
    <w:p w14:paraId="0149BA43">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7E906A72">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 xml:space="preserve"> </w:t>
      </w:r>
    </w:p>
    <w:p w14:paraId="0BB5DAB6">
      <w:pPr>
        <w:pStyle w:val="53"/>
        <w:jc w:val="center"/>
        <w:outlineLvl w:val="2"/>
        <w:rPr>
          <w:rFonts w:hint="eastAsia" w:ascii="仿宋" w:hAnsi="仿宋" w:eastAsia="仿宋" w:cs="仿宋"/>
          <w:color w:val="auto"/>
          <w:highlight w:val="none"/>
        </w:rPr>
      </w:pPr>
      <w:bookmarkStart w:id="48" w:name="_Toc128132779"/>
      <w:r>
        <w:rPr>
          <w:rFonts w:hint="eastAsia" w:ascii="仿宋" w:hAnsi="仿宋" w:eastAsia="仿宋" w:cs="仿宋"/>
          <w:color w:val="auto"/>
          <w:highlight w:val="none"/>
        </w:rPr>
        <w:t>供应商概况</w:t>
      </w:r>
      <w:bookmarkEnd w:id="48"/>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2615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0542D519">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6095" w:type="dxa"/>
            <w:gridSpan w:val="4"/>
            <w:vAlign w:val="center"/>
          </w:tcPr>
          <w:p w14:paraId="53C3F561">
            <w:pPr>
              <w:adjustRightInd w:val="0"/>
              <w:snapToGrid w:val="0"/>
              <w:jc w:val="center"/>
              <w:rPr>
                <w:rFonts w:hint="eastAsia" w:ascii="仿宋" w:hAnsi="仿宋" w:eastAsia="仿宋" w:cs="仿宋"/>
                <w:color w:val="auto"/>
                <w:sz w:val="24"/>
                <w:highlight w:val="none"/>
              </w:rPr>
            </w:pPr>
          </w:p>
        </w:tc>
      </w:tr>
      <w:tr w14:paraId="55DD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2ADBC78D">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095" w:type="dxa"/>
            <w:gridSpan w:val="4"/>
            <w:vAlign w:val="center"/>
          </w:tcPr>
          <w:p w14:paraId="087AC91E">
            <w:pPr>
              <w:adjustRightInd w:val="0"/>
              <w:snapToGrid w:val="0"/>
              <w:jc w:val="center"/>
              <w:rPr>
                <w:rFonts w:hint="eastAsia" w:ascii="仿宋" w:hAnsi="仿宋" w:eastAsia="仿宋" w:cs="仿宋"/>
                <w:color w:val="auto"/>
                <w:sz w:val="24"/>
                <w:highlight w:val="none"/>
              </w:rPr>
            </w:pPr>
          </w:p>
        </w:tc>
      </w:tr>
      <w:tr w14:paraId="2641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1AAEE8F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邮编、电话</w:t>
            </w:r>
          </w:p>
        </w:tc>
        <w:tc>
          <w:tcPr>
            <w:tcW w:w="6095" w:type="dxa"/>
            <w:gridSpan w:val="4"/>
            <w:vAlign w:val="center"/>
          </w:tcPr>
          <w:p w14:paraId="44458E53">
            <w:pPr>
              <w:adjustRightInd w:val="0"/>
              <w:snapToGrid w:val="0"/>
              <w:jc w:val="center"/>
              <w:rPr>
                <w:rFonts w:hint="eastAsia" w:ascii="仿宋" w:hAnsi="仿宋" w:eastAsia="仿宋" w:cs="仿宋"/>
                <w:color w:val="auto"/>
                <w:sz w:val="24"/>
                <w:highlight w:val="none"/>
              </w:rPr>
            </w:pPr>
          </w:p>
        </w:tc>
      </w:tr>
      <w:tr w14:paraId="67C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10D3F904">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095" w:type="dxa"/>
            <w:gridSpan w:val="4"/>
            <w:vAlign w:val="center"/>
          </w:tcPr>
          <w:p w14:paraId="5B47CE84">
            <w:pPr>
              <w:adjustRightInd w:val="0"/>
              <w:snapToGrid w:val="0"/>
              <w:jc w:val="center"/>
              <w:rPr>
                <w:rFonts w:hint="eastAsia" w:ascii="仿宋" w:hAnsi="仿宋" w:eastAsia="仿宋" w:cs="仿宋"/>
                <w:color w:val="auto"/>
                <w:sz w:val="24"/>
                <w:highlight w:val="none"/>
              </w:rPr>
            </w:pPr>
          </w:p>
        </w:tc>
      </w:tr>
      <w:tr w14:paraId="2A2F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3CDBEEDC">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6095" w:type="dxa"/>
            <w:gridSpan w:val="4"/>
            <w:vAlign w:val="center"/>
          </w:tcPr>
          <w:p w14:paraId="004EACE6">
            <w:pPr>
              <w:adjustRightInd w:val="0"/>
              <w:snapToGrid w:val="0"/>
              <w:jc w:val="center"/>
              <w:rPr>
                <w:rFonts w:hint="eastAsia" w:ascii="仿宋" w:hAnsi="仿宋" w:eastAsia="仿宋" w:cs="仿宋"/>
                <w:color w:val="auto"/>
                <w:sz w:val="24"/>
                <w:highlight w:val="none"/>
              </w:rPr>
            </w:pPr>
          </w:p>
        </w:tc>
      </w:tr>
      <w:tr w14:paraId="138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0D18EAF4">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6095" w:type="dxa"/>
            <w:gridSpan w:val="4"/>
            <w:vAlign w:val="center"/>
          </w:tcPr>
          <w:p w14:paraId="53E6FBC5">
            <w:pPr>
              <w:adjustRightInd w:val="0"/>
              <w:snapToGrid w:val="0"/>
              <w:jc w:val="center"/>
              <w:rPr>
                <w:rFonts w:hint="eastAsia" w:ascii="仿宋" w:hAnsi="仿宋" w:eastAsia="仿宋" w:cs="仿宋"/>
                <w:color w:val="auto"/>
                <w:sz w:val="24"/>
                <w:highlight w:val="none"/>
              </w:rPr>
            </w:pPr>
          </w:p>
        </w:tc>
      </w:tr>
      <w:tr w14:paraId="64BC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2C6E9E5E">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账户信息（用于退还投标保证金）</w:t>
            </w:r>
          </w:p>
        </w:tc>
      </w:tr>
      <w:tr w14:paraId="6197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85" w:type="dxa"/>
            <w:vAlign w:val="center"/>
          </w:tcPr>
          <w:p w14:paraId="0C7FB49E">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585" w:type="dxa"/>
            <w:vAlign w:val="center"/>
          </w:tcPr>
          <w:p w14:paraId="06BB4C2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1586" w:type="dxa"/>
            <w:gridSpan w:val="2"/>
            <w:vAlign w:val="center"/>
          </w:tcPr>
          <w:p w14:paraId="5F457140">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85" w:type="dxa"/>
            <w:vAlign w:val="center"/>
          </w:tcPr>
          <w:p w14:paraId="2B3126A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p>
        </w:tc>
        <w:tc>
          <w:tcPr>
            <w:tcW w:w="1585" w:type="dxa"/>
            <w:vAlign w:val="center"/>
          </w:tcPr>
          <w:p w14:paraId="209CA69E">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1588" w:type="dxa"/>
            <w:vAlign w:val="center"/>
          </w:tcPr>
          <w:p w14:paraId="5DB21B01">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行号</w:t>
            </w:r>
          </w:p>
        </w:tc>
      </w:tr>
      <w:tr w14:paraId="0274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85" w:type="dxa"/>
            <w:vAlign w:val="center"/>
          </w:tcPr>
          <w:p w14:paraId="049D538A">
            <w:pPr>
              <w:adjustRightInd w:val="0"/>
              <w:snapToGrid w:val="0"/>
              <w:jc w:val="center"/>
              <w:rPr>
                <w:rFonts w:hint="eastAsia" w:ascii="仿宋" w:hAnsi="仿宋" w:eastAsia="仿宋" w:cs="仿宋"/>
                <w:color w:val="auto"/>
                <w:sz w:val="24"/>
                <w:highlight w:val="none"/>
              </w:rPr>
            </w:pPr>
          </w:p>
        </w:tc>
        <w:tc>
          <w:tcPr>
            <w:tcW w:w="1585" w:type="dxa"/>
            <w:vAlign w:val="center"/>
          </w:tcPr>
          <w:p w14:paraId="2CFE0D6B">
            <w:pPr>
              <w:adjustRightInd w:val="0"/>
              <w:snapToGrid w:val="0"/>
              <w:jc w:val="center"/>
              <w:rPr>
                <w:rFonts w:hint="eastAsia" w:ascii="仿宋" w:hAnsi="仿宋" w:eastAsia="仿宋" w:cs="仿宋"/>
                <w:color w:val="auto"/>
                <w:sz w:val="24"/>
                <w:highlight w:val="none"/>
              </w:rPr>
            </w:pPr>
          </w:p>
        </w:tc>
        <w:tc>
          <w:tcPr>
            <w:tcW w:w="1586" w:type="dxa"/>
            <w:gridSpan w:val="2"/>
            <w:vAlign w:val="center"/>
          </w:tcPr>
          <w:p w14:paraId="118847B4">
            <w:pPr>
              <w:adjustRightInd w:val="0"/>
              <w:snapToGrid w:val="0"/>
              <w:jc w:val="center"/>
              <w:rPr>
                <w:rFonts w:hint="eastAsia" w:ascii="仿宋" w:hAnsi="仿宋" w:eastAsia="仿宋" w:cs="仿宋"/>
                <w:color w:val="auto"/>
                <w:sz w:val="24"/>
                <w:highlight w:val="none"/>
              </w:rPr>
            </w:pPr>
          </w:p>
        </w:tc>
        <w:tc>
          <w:tcPr>
            <w:tcW w:w="1585" w:type="dxa"/>
            <w:vAlign w:val="center"/>
          </w:tcPr>
          <w:p w14:paraId="55DC18B4">
            <w:pPr>
              <w:adjustRightInd w:val="0"/>
              <w:snapToGrid w:val="0"/>
              <w:jc w:val="center"/>
              <w:rPr>
                <w:rFonts w:hint="eastAsia" w:ascii="仿宋" w:hAnsi="仿宋" w:eastAsia="仿宋" w:cs="仿宋"/>
                <w:color w:val="auto"/>
                <w:sz w:val="24"/>
                <w:highlight w:val="none"/>
              </w:rPr>
            </w:pPr>
          </w:p>
        </w:tc>
        <w:tc>
          <w:tcPr>
            <w:tcW w:w="1585" w:type="dxa"/>
            <w:vAlign w:val="center"/>
          </w:tcPr>
          <w:p w14:paraId="286073AF">
            <w:pPr>
              <w:adjustRightInd w:val="0"/>
              <w:snapToGrid w:val="0"/>
              <w:jc w:val="center"/>
              <w:rPr>
                <w:rFonts w:hint="eastAsia" w:ascii="仿宋" w:hAnsi="仿宋" w:eastAsia="仿宋" w:cs="仿宋"/>
                <w:color w:val="auto"/>
                <w:sz w:val="24"/>
                <w:highlight w:val="none"/>
              </w:rPr>
            </w:pPr>
          </w:p>
        </w:tc>
        <w:tc>
          <w:tcPr>
            <w:tcW w:w="1588" w:type="dxa"/>
            <w:vAlign w:val="center"/>
          </w:tcPr>
          <w:p w14:paraId="15FEB72D">
            <w:pPr>
              <w:adjustRightInd w:val="0"/>
              <w:snapToGrid w:val="0"/>
              <w:jc w:val="center"/>
              <w:rPr>
                <w:rFonts w:hint="eastAsia" w:ascii="仿宋" w:hAnsi="仿宋" w:eastAsia="仿宋" w:cs="仿宋"/>
                <w:color w:val="auto"/>
                <w:sz w:val="24"/>
                <w:highlight w:val="none"/>
              </w:rPr>
            </w:pPr>
          </w:p>
        </w:tc>
      </w:tr>
    </w:tbl>
    <w:p w14:paraId="06BD34C0">
      <w:pPr>
        <w:pStyle w:val="40"/>
        <w:shd w:val="clear" w:color="auto" w:fill="FFFFFF"/>
        <w:snapToGrid w:val="0"/>
        <w:spacing w:line="440" w:lineRule="exact"/>
        <w:rPr>
          <w:rFonts w:hint="eastAsia" w:ascii="仿宋" w:hAnsi="仿宋" w:eastAsia="仿宋" w:cs="仿宋"/>
          <w:color w:val="auto"/>
          <w:sz w:val="24"/>
          <w:highlight w:val="none"/>
        </w:rPr>
      </w:pPr>
    </w:p>
    <w:p w14:paraId="732A3743">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供应商（盖印章）：</w:t>
      </w:r>
    </w:p>
    <w:p w14:paraId="5F7B8150">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373C345">
      <w:pPr>
        <w:pStyle w:val="40"/>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ECA9E4F">
      <w:pPr>
        <w:widowControl/>
        <w:tabs>
          <w:tab w:val="left" w:pos="459"/>
        </w:tabs>
        <w:spacing w:before="156" w:beforeLines="50" w:after="156" w:afterLines="50" w:line="440" w:lineRule="exact"/>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p>
    <w:p w14:paraId="2FF58154">
      <w:pPr>
        <w:pStyle w:val="3"/>
        <w:rPr>
          <w:rFonts w:hint="eastAsia" w:ascii="仿宋" w:hAnsi="仿宋" w:eastAsia="仿宋" w:cs="仿宋"/>
          <w:color w:val="auto"/>
          <w:kern w:val="0"/>
          <w:sz w:val="28"/>
          <w:szCs w:val="28"/>
          <w:highlight w:val="none"/>
        </w:rPr>
      </w:pPr>
    </w:p>
    <w:p w14:paraId="35F834DB">
      <w:pPr>
        <w:rPr>
          <w:rFonts w:hint="eastAsia" w:ascii="仿宋" w:hAnsi="仿宋" w:eastAsia="仿宋" w:cs="仿宋"/>
          <w:b/>
          <w:color w:val="auto"/>
          <w:kern w:val="0"/>
          <w:sz w:val="28"/>
          <w:szCs w:val="28"/>
          <w:highlight w:val="none"/>
        </w:rPr>
      </w:pPr>
    </w:p>
    <w:p w14:paraId="2EFE2021">
      <w:pPr>
        <w:pStyle w:val="3"/>
        <w:rPr>
          <w:rFonts w:hint="eastAsia" w:ascii="仿宋" w:hAnsi="仿宋" w:eastAsia="仿宋" w:cs="仿宋"/>
          <w:color w:val="auto"/>
          <w:kern w:val="0"/>
          <w:sz w:val="28"/>
          <w:szCs w:val="28"/>
          <w:highlight w:val="none"/>
        </w:rPr>
      </w:pPr>
    </w:p>
    <w:p w14:paraId="59CA43AE">
      <w:pPr>
        <w:rPr>
          <w:rFonts w:hint="eastAsia" w:ascii="仿宋" w:hAnsi="仿宋" w:eastAsia="仿宋" w:cs="仿宋"/>
          <w:b/>
          <w:color w:val="auto"/>
          <w:kern w:val="0"/>
          <w:sz w:val="28"/>
          <w:szCs w:val="28"/>
          <w:highlight w:val="none"/>
        </w:rPr>
      </w:pPr>
    </w:p>
    <w:p w14:paraId="1DD3D096">
      <w:pPr>
        <w:pStyle w:val="3"/>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附件十</w:t>
      </w:r>
      <w:r>
        <w:rPr>
          <w:rFonts w:hint="eastAsia" w:ascii="仿宋" w:hAnsi="仿宋" w:eastAsia="仿宋" w:cs="仿宋"/>
          <w:color w:val="auto"/>
          <w:kern w:val="0"/>
          <w:sz w:val="24"/>
          <w:szCs w:val="24"/>
          <w:highlight w:val="none"/>
          <w:lang w:val="en-US" w:eastAsia="zh-CN"/>
        </w:rPr>
        <w:t>四</w:t>
      </w:r>
    </w:p>
    <w:p w14:paraId="73790A1E">
      <w:pPr>
        <w:widowControl/>
        <w:spacing w:before="156" w:beforeLines="50" w:after="156" w:afterLines="50"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供应商（20</w:t>
      </w:r>
      <w:r>
        <w:rPr>
          <w:rFonts w:hint="eastAsia" w:ascii="仿宋" w:hAnsi="仿宋" w:eastAsia="仿宋" w:cs="仿宋"/>
          <w:b/>
          <w:color w:val="auto"/>
          <w:kern w:val="0"/>
          <w:sz w:val="24"/>
          <w:szCs w:val="24"/>
          <w:highlight w:val="none"/>
          <w:lang w:val="en-US" w:eastAsia="zh-CN"/>
        </w:rPr>
        <w:t>23</w:t>
      </w:r>
      <w:r>
        <w:rPr>
          <w:rFonts w:hint="eastAsia" w:ascii="仿宋" w:hAnsi="仿宋" w:eastAsia="仿宋" w:cs="仿宋"/>
          <w:b/>
          <w:color w:val="auto"/>
          <w:kern w:val="0"/>
          <w:sz w:val="24"/>
          <w:szCs w:val="24"/>
          <w:highlight w:val="none"/>
        </w:rPr>
        <w:t>年</w:t>
      </w:r>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月1日起至投标截止日止）做过的同类项目业绩表</w:t>
      </w:r>
    </w:p>
    <w:p w14:paraId="7FB34F46">
      <w:pPr>
        <w:pStyle w:val="54"/>
        <w:spacing w:after="94" w:line="560" w:lineRule="exact"/>
        <w:ind w:firstLine="0" w:firstLineChars="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同类项目业绩汇总</w:t>
      </w:r>
    </w:p>
    <w:p w14:paraId="344964E7">
      <w:pPr>
        <w:widowControl/>
        <w:tabs>
          <w:tab w:val="left" w:pos="5330"/>
        </w:tabs>
        <w:spacing w:line="440" w:lineRule="exact"/>
        <w:jc w:val="left"/>
        <w:rPr>
          <w:rFonts w:hint="eastAsia" w:ascii="仿宋" w:hAnsi="仿宋" w:eastAsia="仿宋" w:cs="仿宋"/>
          <w:b/>
          <w:color w:val="auto"/>
          <w:szCs w:val="21"/>
          <w:highlight w:val="none"/>
        </w:rPr>
      </w:pPr>
    </w:p>
    <w:tbl>
      <w:tblPr>
        <w:tblStyle w:val="1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4904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10CF43F8">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3260" w:type="dxa"/>
            <w:shd w:val="clear" w:color="auto" w:fill="F3F3F3"/>
            <w:vAlign w:val="center"/>
          </w:tcPr>
          <w:p w14:paraId="0A4EC55D">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843" w:type="dxa"/>
            <w:shd w:val="clear" w:color="auto" w:fill="F3F3F3"/>
            <w:vAlign w:val="center"/>
          </w:tcPr>
          <w:p w14:paraId="21993BF4">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w:t>
            </w:r>
          </w:p>
        </w:tc>
        <w:tc>
          <w:tcPr>
            <w:tcW w:w="1842" w:type="dxa"/>
            <w:shd w:val="clear" w:color="auto" w:fill="F3F3F3"/>
            <w:vAlign w:val="center"/>
          </w:tcPr>
          <w:p w14:paraId="4CE9F629">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合同价格</w:t>
            </w:r>
          </w:p>
        </w:tc>
        <w:tc>
          <w:tcPr>
            <w:tcW w:w="1596" w:type="dxa"/>
            <w:shd w:val="clear" w:color="auto" w:fill="F3F3F3"/>
            <w:vAlign w:val="center"/>
          </w:tcPr>
          <w:p w14:paraId="669FE8D5">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0BE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0AFE180">
            <w:pPr>
              <w:widowControl/>
              <w:spacing w:line="440" w:lineRule="exact"/>
              <w:jc w:val="left"/>
              <w:rPr>
                <w:rFonts w:hint="eastAsia" w:ascii="仿宋" w:hAnsi="仿宋" w:eastAsia="仿宋" w:cs="仿宋"/>
                <w:color w:val="auto"/>
                <w:szCs w:val="21"/>
                <w:highlight w:val="none"/>
              </w:rPr>
            </w:pPr>
          </w:p>
        </w:tc>
        <w:tc>
          <w:tcPr>
            <w:tcW w:w="3260" w:type="dxa"/>
            <w:vAlign w:val="center"/>
          </w:tcPr>
          <w:p w14:paraId="6366F03E">
            <w:pPr>
              <w:widowControl/>
              <w:spacing w:line="440" w:lineRule="exact"/>
              <w:jc w:val="left"/>
              <w:rPr>
                <w:rFonts w:hint="eastAsia" w:ascii="仿宋" w:hAnsi="仿宋" w:eastAsia="仿宋" w:cs="仿宋"/>
                <w:color w:val="auto"/>
                <w:szCs w:val="21"/>
                <w:highlight w:val="none"/>
              </w:rPr>
            </w:pPr>
          </w:p>
        </w:tc>
        <w:tc>
          <w:tcPr>
            <w:tcW w:w="1843" w:type="dxa"/>
          </w:tcPr>
          <w:p w14:paraId="251B8703">
            <w:pPr>
              <w:widowControl/>
              <w:spacing w:line="440" w:lineRule="exact"/>
              <w:jc w:val="left"/>
              <w:rPr>
                <w:rFonts w:hint="eastAsia" w:ascii="仿宋" w:hAnsi="仿宋" w:eastAsia="仿宋" w:cs="仿宋"/>
                <w:color w:val="auto"/>
                <w:szCs w:val="21"/>
                <w:highlight w:val="none"/>
              </w:rPr>
            </w:pPr>
          </w:p>
        </w:tc>
        <w:tc>
          <w:tcPr>
            <w:tcW w:w="1842" w:type="dxa"/>
            <w:vAlign w:val="center"/>
          </w:tcPr>
          <w:p w14:paraId="34A73CD0">
            <w:pPr>
              <w:widowControl/>
              <w:spacing w:line="440" w:lineRule="exact"/>
              <w:jc w:val="left"/>
              <w:rPr>
                <w:rFonts w:hint="eastAsia" w:ascii="仿宋" w:hAnsi="仿宋" w:eastAsia="仿宋" w:cs="仿宋"/>
                <w:color w:val="auto"/>
                <w:szCs w:val="21"/>
                <w:highlight w:val="none"/>
              </w:rPr>
            </w:pPr>
          </w:p>
        </w:tc>
        <w:tc>
          <w:tcPr>
            <w:tcW w:w="1596" w:type="dxa"/>
            <w:vAlign w:val="center"/>
          </w:tcPr>
          <w:p w14:paraId="08D8BF0E">
            <w:pPr>
              <w:widowControl/>
              <w:spacing w:line="440" w:lineRule="exact"/>
              <w:jc w:val="left"/>
              <w:rPr>
                <w:rFonts w:hint="eastAsia" w:ascii="仿宋" w:hAnsi="仿宋" w:eastAsia="仿宋" w:cs="仿宋"/>
                <w:color w:val="auto"/>
                <w:szCs w:val="21"/>
                <w:highlight w:val="none"/>
              </w:rPr>
            </w:pPr>
          </w:p>
        </w:tc>
      </w:tr>
      <w:tr w14:paraId="4A2E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62140FB">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A2D8981">
            <w:pPr>
              <w:widowControl/>
              <w:spacing w:line="440" w:lineRule="exact"/>
              <w:jc w:val="left"/>
              <w:rPr>
                <w:rFonts w:hint="eastAsia" w:ascii="仿宋" w:hAnsi="仿宋" w:eastAsia="仿宋" w:cs="仿宋"/>
                <w:color w:val="auto"/>
                <w:szCs w:val="21"/>
                <w:highlight w:val="none"/>
              </w:rPr>
            </w:pPr>
          </w:p>
        </w:tc>
        <w:tc>
          <w:tcPr>
            <w:tcW w:w="1843" w:type="dxa"/>
          </w:tcPr>
          <w:p w14:paraId="06D4855F">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E3F882F">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FB08C32">
            <w:pPr>
              <w:widowControl/>
              <w:spacing w:line="440" w:lineRule="exact"/>
              <w:jc w:val="left"/>
              <w:rPr>
                <w:rFonts w:hint="eastAsia" w:ascii="仿宋" w:hAnsi="仿宋" w:eastAsia="仿宋" w:cs="仿宋"/>
                <w:color w:val="auto"/>
                <w:szCs w:val="21"/>
                <w:highlight w:val="none"/>
              </w:rPr>
            </w:pPr>
          </w:p>
        </w:tc>
      </w:tr>
      <w:tr w14:paraId="5624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441A2AB">
            <w:pPr>
              <w:widowControl/>
              <w:spacing w:line="440" w:lineRule="exact"/>
              <w:jc w:val="left"/>
              <w:rPr>
                <w:rFonts w:hint="eastAsia" w:ascii="仿宋" w:hAnsi="仿宋" w:eastAsia="仿宋" w:cs="仿宋"/>
                <w:color w:val="auto"/>
                <w:szCs w:val="21"/>
                <w:highlight w:val="none"/>
              </w:rPr>
            </w:pPr>
          </w:p>
        </w:tc>
        <w:tc>
          <w:tcPr>
            <w:tcW w:w="3260" w:type="dxa"/>
            <w:vAlign w:val="center"/>
          </w:tcPr>
          <w:p w14:paraId="2A05C769">
            <w:pPr>
              <w:widowControl/>
              <w:spacing w:line="440" w:lineRule="exact"/>
              <w:jc w:val="left"/>
              <w:rPr>
                <w:rFonts w:hint="eastAsia" w:ascii="仿宋" w:hAnsi="仿宋" w:eastAsia="仿宋" w:cs="仿宋"/>
                <w:color w:val="auto"/>
                <w:szCs w:val="21"/>
                <w:highlight w:val="none"/>
              </w:rPr>
            </w:pPr>
          </w:p>
        </w:tc>
        <w:tc>
          <w:tcPr>
            <w:tcW w:w="1843" w:type="dxa"/>
          </w:tcPr>
          <w:p w14:paraId="7B620794">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B9C85E3">
            <w:pPr>
              <w:widowControl/>
              <w:spacing w:line="440" w:lineRule="exact"/>
              <w:jc w:val="left"/>
              <w:rPr>
                <w:rFonts w:hint="eastAsia" w:ascii="仿宋" w:hAnsi="仿宋" w:eastAsia="仿宋" w:cs="仿宋"/>
                <w:color w:val="auto"/>
                <w:szCs w:val="21"/>
                <w:highlight w:val="none"/>
              </w:rPr>
            </w:pPr>
          </w:p>
        </w:tc>
        <w:tc>
          <w:tcPr>
            <w:tcW w:w="1596" w:type="dxa"/>
            <w:vAlign w:val="center"/>
          </w:tcPr>
          <w:p w14:paraId="2C4172BA">
            <w:pPr>
              <w:widowControl/>
              <w:spacing w:line="440" w:lineRule="exact"/>
              <w:jc w:val="left"/>
              <w:rPr>
                <w:rFonts w:hint="eastAsia" w:ascii="仿宋" w:hAnsi="仿宋" w:eastAsia="仿宋" w:cs="仿宋"/>
                <w:color w:val="auto"/>
                <w:szCs w:val="21"/>
                <w:highlight w:val="none"/>
              </w:rPr>
            </w:pPr>
          </w:p>
        </w:tc>
      </w:tr>
      <w:tr w14:paraId="463C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9C2FE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75959020">
            <w:pPr>
              <w:widowControl/>
              <w:spacing w:line="440" w:lineRule="exact"/>
              <w:jc w:val="left"/>
              <w:rPr>
                <w:rFonts w:hint="eastAsia" w:ascii="仿宋" w:hAnsi="仿宋" w:eastAsia="仿宋" w:cs="仿宋"/>
                <w:color w:val="auto"/>
                <w:szCs w:val="21"/>
                <w:highlight w:val="none"/>
              </w:rPr>
            </w:pPr>
          </w:p>
        </w:tc>
        <w:tc>
          <w:tcPr>
            <w:tcW w:w="1843" w:type="dxa"/>
          </w:tcPr>
          <w:p w14:paraId="57E210BB">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AE5A35E">
            <w:pPr>
              <w:widowControl/>
              <w:spacing w:line="440" w:lineRule="exact"/>
              <w:jc w:val="left"/>
              <w:rPr>
                <w:rFonts w:hint="eastAsia" w:ascii="仿宋" w:hAnsi="仿宋" w:eastAsia="仿宋" w:cs="仿宋"/>
                <w:color w:val="auto"/>
                <w:szCs w:val="21"/>
                <w:highlight w:val="none"/>
              </w:rPr>
            </w:pPr>
          </w:p>
        </w:tc>
        <w:tc>
          <w:tcPr>
            <w:tcW w:w="1596" w:type="dxa"/>
            <w:vAlign w:val="center"/>
          </w:tcPr>
          <w:p w14:paraId="666A9D2B">
            <w:pPr>
              <w:widowControl/>
              <w:spacing w:line="440" w:lineRule="exact"/>
              <w:jc w:val="left"/>
              <w:rPr>
                <w:rFonts w:hint="eastAsia" w:ascii="仿宋" w:hAnsi="仿宋" w:eastAsia="仿宋" w:cs="仿宋"/>
                <w:color w:val="auto"/>
                <w:szCs w:val="21"/>
                <w:highlight w:val="none"/>
              </w:rPr>
            </w:pPr>
          </w:p>
        </w:tc>
      </w:tr>
      <w:tr w14:paraId="535D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B2B2ADC">
            <w:pPr>
              <w:widowControl/>
              <w:spacing w:line="440" w:lineRule="exact"/>
              <w:jc w:val="left"/>
              <w:rPr>
                <w:rFonts w:hint="eastAsia" w:ascii="仿宋" w:hAnsi="仿宋" w:eastAsia="仿宋" w:cs="仿宋"/>
                <w:color w:val="auto"/>
                <w:szCs w:val="21"/>
                <w:highlight w:val="none"/>
              </w:rPr>
            </w:pPr>
          </w:p>
        </w:tc>
        <w:tc>
          <w:tcPr>
            <w:tcW w:w="3260" w:type="dxa"/>
            <w:vAlign w:val="center"/>
          </w:tcPr>
          <w:p w14:paraId="51138859">
            <w:pPr>
              <w:widowControl/>
              <w:spacing w:line="440" w:lineRule="exact"/>
              <w:jc w:val="left"/>
              <w:rPr>
                <w:rFonts w:hint="eastAsia" w:ascii="仿宋" w:hAnsi="仿宋" w:eastAsia="仿宋" w:cs="仿宋"/>
                <w:color w:val="auto"/>
                <w:szCs w:val="21"/>
                <w:highlight w:val="none"/>
              </w:rPr>
            </w:pPr>
          </w:p>
        </w:tc>
        <w:tc>
          <w:tcPr>
            <w:tcW w:w="1843" w:type="dxa"/>
          </w:tcPr>
          <w:p w14:paraId="0432BF0B">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9C57CE2">
            <w:pPr>
              <w:widowControl/>
              <w:spacing w:line="440" w:lineRule="exact"/>
              <w:jc w:val="left"/>
              <w:rPr>
                <w:rFonts w:hint="eastAsia" w:ascii="仿宋" w:hAnsi="仿宋" w:eastAsia="仿宋" w:cs="仿宋"/>
                <w:color w:val="auto"/>
                <w:szCs w:val="21"/>
                <w:highlight w:val="none"/>
              </w:rPr>
            </w:pPr>
          </w:p>
        </w:tc>
        <w:tc>
          <w:tcPr>
            <w:tcW w:w="1596" w:type="dxa"/>
            <w:vAlign w:val="center"/>
          </w:tcPr>
          <w:p w14:paraId="32D15B0F">
            <w:pPr>
              <w:widowControl/>
              <w:spacing w:line="440" w:lineRule="exact"/>
              <w:jc w:val="left"/>
              <w:rPr>
                <w:rFonts w:hint="eastAsia" w:ascii="仿宋" w:hAnsi="仿宋" w:eastAsia="仿宋" w:cs="仿宋"/>
                <w:color w:val="auto"/>
                <w:szCs w:val="21"/>
                <w:highlight w:val="none"/>
              </w:rPr>
            </w:pPr>
          </w:p>
        </w:tc>
      </w:tr>
      <w:tr w14:paraId="0C7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50F9274">
            <w:pPr>
              <w:widowControl/>
              <w:spacing w:line="440" w:lineRule="exact"/>
              <w:jc w:val="left"/>
              <w:rPr>
                <w:rFonts w:hint="eastAsia" w:ascii="仿宋" w:hAnsi="仿宋" w:eastAsia="仿宋" w:cs="仿宋"/>
                <w:color w:val="auto"/>
                <w:szCs w:val="21"/>
                <w:highlight w:val="none"/>
              </w:rPr>
            </w:pPr>
          </w:p>
        </w:tc>
        <w:tc>
          <w:tcPr>
            <w:tcW w:w="3260" w:type="dxa"/>
            <w:vAlign w:val="center"/>
          </w:tcPr>
          <w:p w14:paraId="5667D04F">
            <w:pPr>
              <w:widowControl/>
              <w:spacing w:line="440" w:lineRule="exact"/>
              <w:jc w:val="left"/>
              <w:rPr>
                <w:rFonts w:hint="eastAsia" w:ascii="仿宋" w:hAnsi="仿宋" w:eastAsia="仿宋" w:cs="仿宋"/>
                <w:color w:val="auto"/>
                <w:szCs w:val="21"/>
                <w:highlight w:val="none"/>
              </w:rPr>
            </w:pPr>
          </w:p>
        </w:tc>
        <w:tc>
          <w:tcPr>
            <w:tcW w:w="1843" w:type="dxa"/>
          </w:tcPr>
          <w:p w14:paraId="06661040">
            <w:pPr>
              <w:widowControl/>
              <w:spacing w:line="440" w:lineRule="exact"/>
              <w:jc w:val="left"/>
              <w:rPr>
                <w:rFonts w:hint="eastAsia" w:ascii="仿宋" w:hAnsi="仿宋" w:eastAsia="仿宋" w:cs="仿宋"/>
                <w:color w:val="auto"/>
                <w:szCs w:val="21"/>
                <w:highlight w:val="none"/>
              </w:rPr>
            </w:pPr>
          </w:p>
        </w:tc>
        <w:tc>
          <w:tcPr>
            <w:tcW w:w="1842" w:type="dxa"/>
            <w:vAlign w:val="center"/>
          </w:tcPr>
          <w:p w14:paraId="77839CC8">
            <w:pPr>
              <w:widowControl/>
              <w:spacing w:line="440" w:lineRule="exact"/>
              <w:jc w:val="left"/>
              <w:rPr>
                <w:rFonts w:hint="eastAsia" w:ascii="仿宋" w:hAnsi="仿宋" w:eastAsia="仿宋" w:cs="仿宋"/>
                <w:color w:val="auto"/>
                <w:szCs w:val="21"/>
                <w:highlight w:val="none"/>
              </w:rPr>
            </w:pPr>
          </w:p>
        </w:tc>
        <w:tc>
          <w:tcPr>
            <w:tcW w:w="1596" w:type="dxa"/>
            <w:vAlign w:val="center"/>
          </w:tcPr>
          <w:p w14:paraId="3B2B6877">
            <w:pPr>
              <w:widowControl/>
              <w:spacing w:line="440" w:lineRule="exact"/>
              <w:jc w:val="left"/>
              <w:rPr>
                <w:rFonts w:hint="eastAsia" w:ascii="仿宋" w:hAnsi="仿宋" w:eastAsia="仿宋" w:cs="仿宋"/>
                <w:color w:val="auto"/>
                <w:szCs w:val="21"/>
                <w:highlight w:val="none"/>
              </w:rPr>
            </w:pPr>
          </w:p>
        </w:tc>
      </w:tr>
      <w:tr w14:paraId="34F0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52F5D5A">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260" w:type="dxa"/>
            <w:vAlign w:val="center"/>
          </w:tcPr>
          <w:p w14:paraId="66CD976A">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43" w:type="dxa"/>
          </w:tcPr>
          <w:p w14:paraId="49A8AAF3">
            <w:pPr>
              <w:widowControl/>
              <w:spacing w:line="440" w:lineRule="exact"/>
              <w:jc w:val="left"/>
              <w:rPr>
                <w:rFonts w:hint="eastAsia" w:ascii="仿宋" w:hAnsi="仿宋" w:eastAsia="仿宋" w:cs="仿宋"/>
                <w:color w:val="auto"/>
                <w:szCs w:val="21"/>
                <w:highlight w:val="none"/>
              </w:rPr>
            </w:pPr>
          </w:p>
        </w:tc>
        <w:tc>
          <w:tcPr>
            <w:tcW w:w="1842" w:type="dxa"/>
            <w:vAlign w:val="center"/>
          </w:tcPr>
          <w:p w14:paraId="2E2A9C69">
            <w:pPr>
              <w:widowControl/>
              <w:spacing w:line="440" w:lineRule="exact"/>
              <w:jc w:val="left"/>
              <w:rPr>
                <w:rFonts w:hint="eastAsia" w:ascii="仿宋" w:hAnsi="仿宋" w:eastAsia="仿宋" w:cs="仿宋"/>
                <w:color w:val="auto"/>
                <w:szCs w:val="21"/>
                <w:highlight w:val="none"/>
              </w:rPr>
            </w:pPr>
          </w:p>
        </w:tc>
        <w:tc>
          <w:tcPr>
            <w:tcW w:w="1596" w:type="dxa"/>
            <w:vAlign w:val="center"/>
          </w:tcPr>
          <w:p w14:paraId="07F5596F">
            <w:pPr>
              <w:widowControl/>
              <w:spacing w:line="440" w:lineRule="exact"/>
              <w:jc w:val="left"/>
              <w:rPr>
                <w:rFonts w:hint="eastAsia" w:ascii="仿宋" w:hAnsi="仿宋" w:eastAsia="仿宋" w:cs="仿宋"/>
                <w:color w:val="auto"/>
                <w:szCs w:val="21"/>
                <w:highlight w:val="none"/>
              </w:rPr>
            </w:pPr>
          </w:p>
        </w:tc>
      </w:tr>
      <w:tr w14:paraId="0D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DCFF10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6AAA9D27">
            <w:pPr>
              <w:widowControl/>
              <w:spacing w:line="440" w:lineRule="exact"/>
              <w:jc w:val="left"/>
              <w:rPr>
                <w:rFonts w:hint="eastAsia" w:ascii="仿宋" w:hAnsi="仿宋" w:eastAsia="仿宋" w:cs="仿宋"/>
                <w:color w:val="auto"/>
                <w:szCs w:val="21"/>
                <w:highlight w:val="none"/>
              </w:rPr>
            </w:pPr>
          </w:p>
        </w:tc>
        <w:tc>
          <w:tcPr>
            <w:tcW w:w="1843" w:type="dxa"/>
          </w:tcPr>
          <w:p w14:paraId="236F0AAD">
            <w:pPr>
              <w:widowControl/>
              <w:spacing w:line="440" w:lineRule="exact"/>
              <w:jc w:val="left"/>
              <w:rPr>
                <w:rFonts w:hint="eastAsia" w:ascii="仿宋" w:hAnsi="仿宋" w:eastAsia="仿宋" w:cs="仿宋"/>
                <w:color w:val="auto"/>
                <w:szCs w:val="21"/>
                <w:highlight w:val="none"/>
              </w:rPr>
            </w:pPr>
          </w:p>
        </w:tc>
        <w:tc>
          <w:tcPr>
            <w:tcW w:w="1842" w:type="dxa"/>
            <w:vAlign w:val="center"/>
          </w:tcPr>
          <w:p w14:paraId="66E95C89">
            <w:pPr>
              <w:widowControl/>
              <w:spacing w:line="440" w:lineRule="exact"/>
              <w:jc w:val="left"/>
              <w:rPr>
                <w:rFonts w:hint="eastAsia" w:ascii="仿宋" w:hAnsi="仿宋" w:eastAsia="仿宋" w:cs="仿宋"/>
                <w:color w:val="auto"/>
                <w:szCs w:val="21"/>
                <w:highlight w:val="none"/>
              </w:rPr>
            </w:pPr>
          </w:p>
        </w:tc>
        <w:tc>
          <w:tcPr>
            <w:tcW w:w="1596" w:type="dxa"/>
            <w:vAlign w:val="center"/>
          </w:tcPr>
          <w:p w14:paraId="71C3C019">
            <w:pPr>
              <w:widowControl/>
              <w:spacing w:line="440" w:lineRule="exact"/>
              <w:jc w:val="left"/>
              <w:rPr>
                <w:rFonts w:hint="eastAsia" w:ascii="仿宋" w:hAnsi="仿宋" w:eastAsia="仿宋" w:cs="仿宋"/>
                <w:color w:val="auto"/>
                <w:szCs w:val="21"/>
                <w:highlight w:val="none"/>
              </w:rPr>
            </w:pPr>
          </w:p>
        </w:tc>
      </w:tr>
      <w:tr w14:paraId="2828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E7CBFBC">
            <w:pPr>
              <w:widowControl/>
              <w:spacing w:line="440" w:lineRule="exact"/>
              <w:jc w:val="left"/>
              <w:rPr>
                <w:rFonts w:hint="eastAsia" w:ascii="仿宋" w:hAnsi="仿宋" w:eastAsia="仿宋" w:cs="仿宋"/>
                <w:color w:val="auto"/>
                <w:szCs w:val="21"/>
                <w:highlight w:val="none"/>
              </w:rPr>
            </w:pPr>
          </w:p>
        </w:tc>
        <w:tc>
          <w:tcPr>
            <w:tcW w:w="3260" w:type="dxa"/>
            <w:vAlign w:val="center"/>
          </w:tcPr>
          <w:p w14:paraId="0A876DDA">
            <w:pPr>
              <w:widowControl/>
              <w:spacing w:line="440" w:lineRule="exact"/>
              <w:jc w:val="left"/>
              <w:rPr>
                <w:rFonts w:hint="eastAsia" w:ascii="仿宋" w:hAnsi="仿宋" w:eastAsia="仿宋" w:cs="仿宋"/>
                <w:color w:val="auto"/>
                <w:szCs w:val="21"/>
                <w:highlight w:val="none"/>
              </w:rPr>
            </w:pPr>
          </w:p>
        </w:tc>
        <w:tc>
          <w:tcPr>
            <w:tcW w:w="1843" w:type="dxa"/>
          </w:tcPr>
          <w:p w14:paraId="18D6E228">
            <w:pPr>
              <w:widowControl/>
              <w:spacing w:line="440" w:lineRule="exact"/>
              <w:jc w:val="left"/>
              <w:rPr>
                <w:rFonts w:hint="eastAsia" w:ascii="仿宋" w:hAnsi="仿宋" w:eastAsia="仿宋" w:cs="仿宋"/>
                <w:color w:val="auto"/>
                <w:szCs w:val="21"/>
                <w:highlight w:val="none"/>
              </w:rPr>
            </w:pPr>
          </w:p>
        </w:tc>
        <w:tc>
          <w:tcPr>
            <w:tcW w:w="1842" w:type="dxa"/>
            <w:vAlign w:val="center"/>
          </w:tcPr>
          <w:p w14:paraId="2B34C5BA">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8036565">
            <w:pPr>
              <w:widowControl/>
              <w:spacing w:line="440" w:lineRule="exact"/>
              <w:jc w:val="left"/>
              <w:rPr>
                <w:rFonts w:hint="eastAsia" w:ascii="仿宋" w:hAnsi="仿宋" w:eastAsia="仿宋" w:cs="仿宋"/>
                <w:color w:val="auto"/>
                <w:szCs w:val="21"/>
                <w:highlight w:val="none"/>
              </w:rPr>
            </w:pPr>
          </w:p>
        </w:tc>
      </w:tr>
      <w:tr w14:paraId="5B04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89" w:type="dxa"/>
            <w:vAlign w:val="center"/>
          </w:tcPr>
          <w:p w14:paraId="4BF91C07">
            <w:pPr>
              <w:widowControl/>
              <w:spacing w:line="440" w:lineRule="exact"/>
              <w:jc w:val="left"/>
              <w:rPr>
                <w:rFonts w:hint="eastAsia" w:ascii="仿宋" w:hAnsi="仿宋" w:eastAsia="仿宋" w:cs="仿宋"/>
                <w:b/>
                <w:color w:val="auto"/>
                <w:szCs w:val="21"/>
                <w:highlight w:val="none"/>
              </w:rPr>
            </w:pPr>
          </w:p>
        </w:tc>
        <w:tc>
          <w:tcPr>
            <w:tcW w:w="3260" w:type="dxa"/>
            <w:vAlign w:val="center"/>
          </w:tcPr>
          <w:p w14:paraId="179E1589">
            <w:pPr>
              <w:widowControl/>
              <w:spacing w:line="440" w:lineRule="exact"/>
              <w:jc w:val="left"/>
              <w:rPr>
                <w:rFonts w:hint="eastAsia" w:ascii="仿宋" w:hAnsi="仿宋" w:eastAsia="仿宋" w:cs="仿宋"/>
                <w:b/>
                <w:color w:val="auto"/>
                <w:szCs w:val="21"/>
                <w:highlight w:val="none"/>
              </w:rPr>
            </w:pPr>
          </w:p>
        </w:tc>
        <w:tc>
          <w:tcPr>
            <w:tcW w:w="1843" w:type="dxa"/>
          </w:tcPr>
          <w:p w14:paraId="595A908D">
            <w:pPr>
              <w:widowControl/>
              <w:spacing w:line="440" w:lineRule="exact"/>
              <w:jc w:val="left"/>
              <w:rPr>
                <w:rFonts w:hint="eastAsia" w:ascii="仿宋" w:hAnsi="仿宋" w:eastAsia="仿宋" w:cs="仿宋"/>
                <w:b/>
                <w:color w:val="auto"/>
                <w:szCs w:val="21"/>
                <w:highlight w:val="none"/>
              </w:rPr>
            </w:pPr>
          </w:p>
        </w:tc>
        <w:tc>
          <w:tcPr>
            <w:tcW w:w="1842" w:type="dxa"/>
            <w:vAlign w:val="center"/>
          </w:tcPr>
          <w:p w14:paraId="490FEFE1">
            <w:pPr>
              <w:widowControl/>
              <w:spacing w:line="440" w:lineRule="exact"/>
              <w:jc w:val="left"/>
              <w:rPr>
                <w:rFonts w:hint="eastAsia" w:ascii="仿宋" w:hAnsi="仿宋" w:eastAsia="仿宋" w:cs="仿宋"/>
                <w:b/>
                <w:color w:val="auto"/>
                <w:szCs w:val="21"/>
                <w:highlight w:val="none"/>
              </w:rPr>
            </w:pPr>
          </w:p>
        </w:tc>
        <w:tc>
          <w:tcPr>
            <w:tcW w:w="1596" w:type="dxa"/>
            <w:vAlign w:val="center"/>
          </w:tcPr>
          <w:p w14:paraId="64A277C4">
            <w:pPr>
              <w:widowControl/>
              <w:spacing w:line="440" w:lineRule="exact"/>
              <w:jc w:val="left"/>
              <w:rPr>
                <w:rFonts w:hint="eastAsia" w:ascii="仿宋" w:hAnsi="仿宋" w:eastAsia="仿宋" w:cs="仿宋"/>
                <w:b/>
                <w:color w:val="auto"/>
                <w:szCs w:val="21"/>
                <w:highlight w:val="none"/>
              </w:rPr>
            </w:pPr>
          </w:p>
        </w:tc>
      </w:tr>
    </w:tbl>
    <w:p w14:paraId="5E10D2F7">
      <w:pPr>
        <w:pStyle w:val="55"/>
        <w:spacing w:line="500" w:lineRule="exact"/>
        <w:rPr>
          <w:rFonts w:hint="eastAsia" w:ascii="仿宋" w:hAnsi="仿宋" w:eastAsia="仿宋" w:cs="仿宋"/>
          <w:b/>
          <w:color w:val="auto"/>
          <w:sz w:val="24"/>
          <w:szCs w:val="24"/>
          <w:highlight w:val="none"/>
        </w:rPr>
      </w:pPr>
      <w:bookmarkStart w:id="49" w:name="_Toc89269581"/>
      <w:bookmarkStart w:id="50" w:name="_Toc89103243"/>
      <w:bookmarkStart w:id="51" w:name="_Toc100833539"/>
      <w:bookmarkStart w:id="52" w:name="_Toc86843995"/>
      <w:r>
        <w:rPr>
          <w:rFonts w:hint="eastAsia" w:ascii="仿宋" w:hAnsi="仿宋" w:eastAsia="仿宋" w:cs="仿宋"/>
          <w:b/>
          <w:color w:val="auto"/>
          <w:sz w:val="24"/>
          <w:szCs w:val="24"/>
          <w:highlight w:val="none"/>
        </w:rPr>
        <w:t>备注：本汇总表须与同类项目业绩表项目一一对应。</w:t>
      </w:r>
      <w:bookmarkEnd w:id="49"/>
      <w:bookmarkEnd w:id="50"/>
      <w:bookmarkEnd w:id="51"/>
      <w:bookmarkEnd w:id="52"/>
    </w:p>
    <w:p w14:paraId="06856B5A">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315F334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6962DA2">
      <w:pPr>
        <w:pStyle w:val="5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日期：  年  月  日</w:t>
      </w:r>
    </w:p>
    <w:p w14:paraId="0176D105">
      <w:pPr>
        <w:pStyle w:val="54"/>
        <w:spacing w:line="56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77D71FE">
      <w:pPr>
        <w:pStyle w:val="54"/>
        <w:spacing w:after="94" w:line="560" w:lineRule="exact"/>
        <w:ind w:firstLine="0" w:firstLine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同类项目业绩表</w:t>
      </w:r>
    </w:p>
    <w:p w14:paraId="7E585909">
      <w:pPr>
        <w:pStyle w:val="56"/>
        <w:adjustRightInd w:val="0"/>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p w14:paraId="76867901">
      <w:pPr>
        <w:pStyle w:val="56"/>
        <w:adjustRightInd w:val="0"/>
        <w:snapToGrid w:val="0"/>
        <w:spacing w:line="5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采购标项名称：</w:t>
      </w:r>
    </w:p>
    <w:tbl>
      <w:tblPr>
        <w:tblStyle w:val="1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33AF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B9717E6">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45" w:type="dxa"/>
          </w:tcPr>
          <w:p w14:paraId="71A97E3A">
            <w:pPr>
              <w:pStyle w:val="56"/>
              <w:snapToGrid w:val="0"/>
              <w:spacing w:line="312" w:lineRule="auto"/>
              <w:jc w:val="center"/>
              <w:rPr>
                <w:rFonts w:hint="eastAsia" w:ascii="仿宋" w:hAnsi="仿宋" w:eastAsia="仿宋" w:cs="仿宋"/>
                <w:color w:val="auto"/>
                <w:sz w:val="24"/>
                <w:highlight w:val="none"/>
              </w:rPr>
            </w:pPr>
          </w:p>
        </w:tc>
      </w:tr>
      <w:tr w14:paraId="61AE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F86055D">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项目单位名称</w:t>
            </w:r>
          </w:p>
        </w:tc>
        <w:tc>
          <w:tcPr>
            <w:tcW w:w="6845" w:type="dxa"/>
          </w:tcPr>
          <w:p w14:paraId="6D7A0216">
            <w:pPr>
              <w:pStyle w:val="56"/>
              <w:snapToGrid w:val="0"/>
              <w:spacing w:line="312" w:lineRule="auto"/>
              <w:jc w:val="center"/>
              <w:rPr>
                <w:rFonts w:hint="eastAsia" w:ascii="仿宋" w:hAnsi="仿宋" w:eastAsia="仿宋" w:cs="仿宋"/>
                <w:color w:val="auto"/>
                <w:sz w:val="24"/>
                <w:highlight w:val="none"/>
              </w:rPr>
            </w:pPr>
          </w:p>
        </w:tc>
      </w:tr>
      <w:tr w14:paraId="4404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2BBAB666">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项目单位联系人姓名及联系方式</w:t>
            </w:r>
          </w:p>
        </w:tc>
        <w:tc>
          <w:tcPr>
            <w:tcW w:w="6845" w:type="dxa"/>
          </w:tcPr>
          <w:p w14:paraId="7F64B005">
            <w:pPr>
              <w:pStyle w:val="56"/>
              <w:snapToGrid w:val="0"/>
              <w:spacing w:line="312" w:lineRule="auto"/>
              <w:jc w:val="center"/>
              <w:rPr>
                <w:rFonts w:hint="eastAsia" w:ascii="仿宋" w:hAnsi="仿宋" w:eastAsia="仿宋" w:cs="仿宋"/>
                <w:color w:val="auto"/>
                <w:sz w:val="24"/>
                <w:highlight w:val="none"/>
              </w:rPr>
            </w:pPr>
          </w:p>
        </w:tc>
      </w:tr>
      <w:tr w14:paraId="4849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7C9CCD9">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6845" w:type="dxa"/>
          </w:tcPr>
          <w:p w14:paraId="42ECD100">
            <w:pPr>
              <w:pStyle w:val="56"/>
              <w:snapToGrid w:val="0"/>
              <w:spacing w:line="312" w:lineRule="auto"/>
              <w:jc w:val="center"/>
              <w:rPr>
                <w:rFonts w:hint="eastAsia" w:ascii="仿宋" w:hAnsi="仿宋" w:eastAsia="仿宋" w:cs="仿宋"/>
                <w:color w:val="auto"/>
                <w:sz w:val="24"/>
                <w:highlight w:val="none"/>
              </w:rPr>
            </w:pPr>
          </w:p>
        </w:tc>
      </w:tr>
      <w:tr w14:paraId="5EFE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6DB98B9C">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p w14:paraId="17489704">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6845" w:type="dxa"/>
          </w:tcPr>
          <w:p w14:paraId="275AEE54">
            <w:pPr>
              <w:pStyle w:val="56"/>
              <w:snapToGrid w:val="0"/>
              <w:spacing w:line="312" w:lineRule="auto"/>
              <w:jc w:val="center"/>
              <w:rPr>
                <w:rFonts w:hint="eastAsia" w:ascii="仿宋" w:hAnsi="仿宋" w:eastAsia="仿宋" w:cs="仿宋"/>
                <w:color w:val="auto"/>
                <w:sz w:val="24"/>
                <w:highlight w:val="none"/>
              </w:rPr>
            </w:pPr>
          </w:p>
        </w:tc>
      </w:tr>
      <w:tr w14:paraId="3992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65023943">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项目实施时间</w:t>
            </w:r>
          </w:p>
        </w:tc>
        <w:tc>
          <w:tcPr>
            <w:tcW w:w="6845" w:type="dxa"/>
          </w:tcPr>
          <w:p w14:paraId="40428A57">
            <w:pPr>
              <w:pStyle w:val="56"/>
              <w:snapToGrid w:val="0"/>
              <w:spacing w:line="312" w:lineRule="auto"/>
              <w:jc w:val="center"/>
              <w:rPr>
                <w:rFonts w:hint="eastAsia" w:ascii="仿宋" w:hAnsi="仿宋" w:eastAsia="仿宋" w:cs="仿宋"/>
                <w:color w:val="auto"/>
                <w:sz w:val="24"/>
                <w:highlight w:val="none"/>
              </w:rPr>
            </w:pPr>
          </w:p>
        </w:tc>
      </w:tr>
      <w:tr w14:paraId="3BB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6D8DB299">
            <w:pPr>
              <w:pStyle w:val="56"/>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项目内容说明</w:t>
            </w:r>
          </w:p>
        </w:tc>
        <w:tc>
          <w:tcPr>
            <w:tcW w:w="6845" w:type="dxa"/>
          </w:tcPr>
          <w:p w14:paraId="5D7862D1">
            <w:pPr>
              <w:pStyle w:val="56"/>
              <w:snapToGrid w:val="0"/>
              <w:spacing w:line="312" w:lineRule="auto"/>
              <w:jc w:val="center"/>
              <w:rPr>
                <w:rFonts w:hint="eastAsia" w:ascii="仿宋" w:hAnsi="仿宋" w:eastAsia="仿宋" w:cs="仿宋"/>
                <w:color w:val="auto"/>
                <w:sz w:val="24"/>
                <w:highlight w:val="none"/>
              </w:rPr>
            </w:pPr>
          </w:p>
        </w:tc>
      </w:tr>
    </w:tbl>
    <w:p w14:paraId="63B0D48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kern w:val="0"/>
          <w:sz w:val="24"/>
          <w:szCs w:val="22"/>
          <w:highlight w:val="none"/>
          <w:lang w:bidi="zh-CN"/>
        </w:rPr>
        <w:t>注：</w:t>
      </w:r>
      <w:r>
        <w:rPr>
          <w:rFonts w:hint="eastAsia" w:ascii="仿宋" w:hAnsi="仿宋" w:eastAsia="仿宋" w:cs="仿宋"/>
          <w:b/>
          <w:bCs/>
          <w:sz w:val="24"/>
          <w:highlight w:val="none"/>
        </w:rPr>
        <w:t>按照评审要求提供相应资料。</w:t>
      </w:r>
    </w:p>
    <w:p w14:paraId="39553E1B">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7BCB8363">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2F61A40">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348D16">
      <w:pPr>
        <w:rPr>
          <w:rFonts w:hint="eastAsia" w:ascii="仿宋" w:hAnsi="仿宋" w:eastAsia="仿宋" w:cs="仿宋"/>
          <w:color w:val="auto"/>
          <w:highlight w:val="none"/>
        </w:rPr>
      </w:pPr>
    </w:p>
    <w:p w14:paraId="000DBCA1">
      <w:pPr>
        <w:pStyle w:val="7"/>
        <w:ind w:firstLine="0" w:firstLineChars="0"/>
        <w:rPr>
          <w:rFonts w:hint="eastAsia" w:ascii="仿宋" w:hAnsi="仿宋" w:eastAsia="仿宋" w:cs="仿宋"/>
          <w:b/>
          <w:bCs/>
          <w:color w:val="auto"/>
          <w:kern w:val="0"/>
          <w:sz w:val="24"/>
          <w:highlight w:val="none"/>
        </w:rPr>
      </w:pPr>
    </w:p>
    <w:p w14:paraId="6D7804F1">
      <w:pPr>
        <w:pStyle w:val="7"/>
        <w:ind w:firstLine="0" w:firstLineChars="0"/>
        <w:rPr>
          <w:rFonts w:hint="eastAsia" w:ascii="仿宋" w:hAnsi="仿宋" w:eastAsia="仿宋" w:cs="仿宋"/>
          <w:b/>
          <w:bCs/>
          <w:color w:val="auto"/>
          <w:kern w:val="0"/>
          <w:sz w:val="24"/>
          <w:highlight w:val="none"/>
        </w:rPr>
      </w:pPr>
    </w:p>
    <w:p w14:paraId="5E557B11">
      <w:pPr>
        <w:pStyle w:val="7"/>
        <w:ind w:firstLine="0" w:firstLineChars="0"/>
        <w:rPr>
          <w:rFonts w:hint="eastAsia" w:ascii="仿宋" w:hAnsi="仿宋" w:eastAsia="仿宋" w:cs="仿宋"/>
          <w:b/>
          <w:bCs/>
          <w:color w:val="auto"/>
          <w:kern w:val="0"/>
          <w:sz w:val="24"/>
          <w:highlight w:val="none"/>
        </w:rPr>
      </w:pPr>
    </w:p>
    <w:p w14:paraId="529F534D">
      <w:pPr>
        <w:pStyle w:val="7"/>
        <w:ind w:firstLine="0" w:firstLineChars="0"/>
        <w:rPr>
          <w:rFonts w:hint="eastAsia" w:ascii="仿宋" w:hAnsi="仿宋" w:eastAsia="仿宋" w:cs="仿宋"/>
          <w:b/>
          <w:bCs/>
          <w:color w:val="auto"/>
          <w:kern w:val="0"/>
          <w:sz w:val="24"/>
          <w:highlight w:val="none"/>
        </w:rPr>
      </w:pPr>
    </w:p>
    <w:p w14:paraId="6170A4E9">
      <w:pPr>
        <w:pStyle w:val="7"/>
        <w:ind w:firstLine="0" w:firstLineChars="0"/>
        <w:rPr>
          <w:rFonts w:hint="eastAsia" w:ascii="仿宋" w:hAnsi="仿宋" w:eastAsia="仿宋" w:cs="仿宋"/>
          <w:b/>
          <w:bCs/>
          <w:color w:val="auto"/>
          <w:kern w:val="0"/>
          <w:sz w:val="24"/>
          <w:highlight w:val="none"/>
        </w:rPr>
      </w:pPr>
    </w:p>
    <w:p w14:paraId="01695195">
      <w:pPr>
        <w:pStyle w:val="7"/>
        <w:ind w:firstLine="0" w:firstLineChars="0"/>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五</w:t>
      </w:r>
    </w:p>
    <w:p w14:paraId="5D9A69D9">
      <w:pPr>
        <w:pStyle w:val="7"/>
        <w:tabs>
          <w:tab w:val="left" w:pos="4047"/>
        </w:tabs>
        <w:ind w:firstLine="0" w:firstLineChars="0"/>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highlight w:val="none"/>
        </w:rPr>
        <w:tab/>
      </w:r>
      <w:r>
        <w:rPr>
          <w:rFonts w:hint="eastAsia" w:ascii="仿宋" w:hAnsi="仿宋" w:eastAsia="仿宋" w:cs="仿宋"/>
          <w:b/>
          <w:color w:val="auto"/>
          <w:sz w:val="24"/>
          <w:szCs w:val="24"/>
          <w:highlight w:val="none"/>
        </w:rPr>
        <w:t>项目负责人简历表</w:t>
      </w:r>
    </w:p>
    <w:tbl>
      <w:tblPr>
        <w:tblStyle w:val="1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390"/>
        <w:gridCol w:w="1230"/>
        <w:gridCol w:w="353"/>
        <w:gridCol w:w="1582"/>
        <w:gridCol w:w="1583"/>
        <w:gridCol w:w="1056"/>
      </w:tblGrid>
      <w:tr w14:paraId="0ECD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58" w:type="dxa"/>
            <w:vAlign w:val="center"/>
          </w:tcPr>
          <w:p w14:paraId="64B8973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620" w:type="dxa"/>
            <w:gridSpan w:val="2"/>
            <w:vAlign w:val="center"/>
          </w:tcPr>
          <w:p w14:paraId="5E5C04D1">
            <w:pPr>
              <w:spacing w:line="520" w:lineRule="exact"/>
              <w:rPr>
                <w:rFonts w:hint="eastAsia" w:ascii="仿宋" w:hAnsi="仿宋" w:eastAsia="仿宋" w:cs="仿宋"/>
                <w:color w:val="auto"/>
                <w:sz w:val="24"/>
                <w:highlight w:val="none"/>
              </w:rPr>
            </w:pPr>
          </w:p>
        </w:tc>
        <w:tc>
          <w:tcPr>
            <w:tcW w:w="1935" w:type="dxa"/>
            <w:gridSpan w:val="2"/>
            <w:vAlign w:val="center"/>
          </w:tcPr>
          <w:p w14:paraId="06660075">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2639" w:type="dxa"/>
            <w:gridSpan w:val="2"/>
          </w:tcPr>
          <w:p w14:paraId="43EDF4B8">
            <w:pPr>
              <w:spacing w:line="520" w:lineRule="exact"/>
              <w:rPr>
                <w:rFonts w:hint="eastAsia" w:ascii="仿宋" w:hAnsi="仿宋" w:eastAsia="仿宋" w:cs="仿宋"/>
                <w:color w:val="auto"/>
                <w:sz w:val="24"/>
                <w:highlight w:val="none"/>
              </w:rPr>
            </w:pPr>
          </w:p>
        </w:tc>
      </w:tr>
      <w:tr w14:paraId="38DE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43608F30">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2620" w:type="dxa"/>
            <w:gridSpan w:val="2"/>
            <w:vAlign w:val="center"/>
          </w:tcPr>
          <w:p w14:paraId="47C3B856">
            <w:pPr>
              <w:spacing w:line="520" w:lineRule="exact"/>
              <w:rPr>
                <w:rFonts w:hint="eastAsia" w:ascii="仿宋" w:hAnsi="仿宋" w:eastAsia="仿宋" w:cs="仿宋"/>
                <w:color w:val="auto"/>
                <w:sz w:val="24"/>
                <w:highlight w:val="none"/>
              </w:rPr>
            </w:pPr>
          </w:p>
        </w:tc>
        <w:tc>
          <w:tcPr>
            <w:tcW w:w="1935" w:type="dxa"/>
            <w:gridSpan w:val="2"/>
            <w:vAlign w:val="center"/>
          </w:tcPr>
          <w:p w14:paraId="76C6557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2639" w:type="dxa"/>
            <w:gridSpan w:val="2"/>
          </w:tcPr>
          <w:p w14:paraId="10F557B0">
            <w:pPr>
              <w:spacing w:line="520" w:lineRule="exact"/>
              <w:rPr>
                <w:rFonts w:hint="eastAsia" w:ascii="仿宋" w:hAnsi="仿宋" w:eastAsia="仿宋" w:cs="仿宋"/>
                <w:color w:val="auto"/>
                <w:sz w:val="24"/>
                <w:highlight w:val="none"/>
              </w:rPr>
            </w:pPr>
          </w:p>
        </w:tc>
      </w:tr>
      <w:tr w14:paraId="2D76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7147BFEC">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c>
          <w:tcPr>
            <w:tcW w:w="2620" w:type="dxa"/>
            <w:gridSpan w:val="2"/>
            <w:vAlign w:val="center"/>
          </w:tcPr>
          <w:p w14:paraId="4532BA7A">
            <w:pPr>
              <w:spacing w:line="520" w:lineRule="exact"/>
              <w:rPr>
                <w:rFonts w:hint="eastAsia" w:ascii="仿宋" w:hAnsi="仿宋" w:eastAsia="仿宋" w:cs="仿宋"/>
                <w:color w:val="auto"/>
                <w:sz w:val="24"/>
                <w:highlight w:val="none"/>
              </w:rPr>
            </w:pPr>
          </w:p>
        </w:tc>
        <w:tc>
          <w:tcPr>
            <w:tcW w:w="1935" w:type="dxa"/>
            <w:gridSpan w:val="2"/>
            <w:vAlign w:val="center"/>
          </w:tcPr>
          <w:p w14:paraId="7EA825A5">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2639" w:type="dxa"/>
            <w:gridSpan w:val="2"/>
          </w:tcPr>
          <w:p w14:paraId="6AB95A9A">
            <w:pPr>
              <w:spacing w:line="520" w:lineRule="exact"/>
              <w:rPr>
                <w:rFonts w:hint="eastAsia" w:ascii="仿宋" w:hAnsi="仿宋" w:eastAsia="仿宋" w:cs="仿宋"/>
                <w:color w:val="auto"/>
                <w:sz w:val="24"/>
                <w:highlight w:val="none"/>
              </w:rPr>
            </w:pPr>
          </w:p>
        </w:tc>
      </w:tr>
      <w:tr w14:paraId="6B48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8" w:type="dxa"/>
            <w:vAlign w:val="center"/>
          </w:tcPr>
          <w:p w14:paraId="78B5359E">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2620" w:type="dxa"/>
            <w:gridSpan w:val="2"/>
            <w:vAlign w:val="center"/>
          </w:tcPr>
          <w:p w14:paraId="58A154BD">
            <w:pPr>
              <w:spacing w:line="520" w:lineRule="exact"/>
              <w:rPr>
                <w:rFonts w:hint="eastAsia" w:ascii="仿宋" w:hAnsi="仿宋" w:eastAsia="仿宋" w:cs="仿宋"/>
                <w:color w:val="auto"/>
                <w:sz w:val="24"/>
                <w:highlight w:val="none"/>
              </w:rPr>
            </w:pPr>
          </w:p>
        </w:tc>
        <w:tc>
          <w:tcPr>
            <w:tcW w:w="1935" w:type="dxa"/>
            <w:gridSpan w:val="2"/>
            <w:vAlign w:val="center"/>
          </w:tcPr>
          <w:p w14:paraId="31FA2CF2">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2639" w:type="dxa"/>
            <w:gridSpan w:val="2"/>
          </w:tcPr>
          <w:p w14:paraId="5702F8D9">
            <w:pPr>
              <w:spacing w:line="520" w:lineRule="exact"/>
              <w:rPr>
                <w:rFonts w:hint="eastAsia" w:ascii="仿宋" w:hAnsi="仿宋" w:eastAsia="仿宋" w:cs="仿宋"/>
                <w:color w:val="auto"/>
                <w:sz w:val="24"/>
                <w:highlight w:val="none"/>
              </w:rPr>
            </w:pPr>
          </w:p>
        </w:tc>
      </w:tr>
      <w:tr w14:paraId="2921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1163D369">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2620" w:type="dxa"/>
            <w:gridSpan w:val="2"/>
            <w:vAlign w:val="center"/>
          </w:tcPr>
          <w:p w14:paraId="76340912">
            <w:pPr>
              <w:spacing w:line="520" w:lineRule="exact"/>
              <w:rPr>
                <w:rFonts w:hint="eastAsia" w:ascii="仿宋" w:hAnsi="仿宋" w:eastAsia="仿宋" w:cs="仿宋"/>
                <w:color w:val="auto"/>
                <w:sz w:val="24"/>
                <w:highlight w:val="none"/>
              </w:rPr>
            </w:pPr>
          </w:p>
        </w:tc>
        <w:tc>
          <w:tcPr>
            <w:tcW w:w="1935" w:type="dxa"/>
            <w:gridSpan w:val="2"/>
            <w:vAlign w:val="center"/>
          </w:tcPr>
          <w:p w14:paraId="512ADE3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在公司担任职务</w:t>
            </w:r>
          </w:p>
        </w:tc>
        <w:tc>
          <w:tcPr>
            <w:tcW w:w="2639" w:type="dxa"/>
            <w:gridSpan w:val="2"/>
          </w:tcPr>
          <w:p w14:paraId="460131D4">
            <w:pPr>
              <w:spacing w:line="520" w:lineRule="exact"/>
              <w:rPr>
                <w:rFonts w:hint="eastAsia" w:ascii="仿宋" w:hAnsi="仿宋" w:eastAsia="仿宋" w:cs="仿宋"/>
                <w:color w:val="auto"/>
                <w:sz w:val="24"/>
                <w:highlight w:val="none"/>
              </w:rPr>
            </w:pPr>
          </w:p>
        </w:tc>
      </w:tr>
      <w:tr w14:paraId="00F8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51CE0A2C">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执业资格</w:t>
            </w:r>
          </w:p>
        </w:tc>
        <w:tc>
          <w:tcPr>
            <w:tcW w:w="2620" w:type="dxa"/>
            <w:gridSpan w:val="2"/>
            <w:vAlign w:val="center"/>
          </w:tcPr>
          <w:p w14:paraId="550DBD5B">
            <w:pPr>
              <w:spacing w:line="520" w:lineRule="exact"/>
              <w:rPr>
                <w:rFonts w:hint="eastAsia" w:ascii="仿宋" w:hAnsi="仿宋" w:eastAsia="仿宋" w:cs="仿宋"/>
                <w:color w:val="auto"/>
                <w:sz w:val="24"/>
                <w:highlight w:val="none"/>
              </w:rPr>
            </w:pPr>
          </w:p>
        </w:tc>
        <w:tc>
          <w:tcPr>
            <w:tcW w:w="1935" w:type="dxa"/>
            <w:gridSpan w:val="2"/>
            <w:vAlign w:val="center"/>
          </w:tcPr>
          <w:p w14:paraId="6A3398EF">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2639" w:type="dxa"/>
            <w:gridSpan w:val="2"/>
          </w:tcPr>
          <w:p w14:paraId="64B7E6B8">
            <w:pPr>
              <w:spacing w:line="520" w:lineRule="exact"/>
              <w:rPr>
                <w:rFonts w:hint="eastAsia" w:ascii="仿宋" w:hAnsi="仿宋" w:eastAsia="仿宋" w:cs="仿宋"/>
                <w:color w:val="auto"/>
                <w:sz w:val="24"/>
                <w:highlight w:val="none"/>
              </w:rPr>
            </w:pPr>
          </w:p>
        </w:tc>
      </w:tr>
      <w:tr w14:paraId="7156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8" w:type="dxa"/>
            <w:vAlign w:val="center"/>
          </w:tcPr>
          <w:p w14:paraId="7A14604E">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固定电话</w:t>
            </w:r>
          </w:p>
        </w:tc>
        <w:tc>
          <w:tcPr>
            <w:tcW w:w="2620" w:type="dxa"/>
            <w:gridSpan w:val="2"/>
            <w:vAlign w:val="center"/>
          </w:tcPr>
          <w:p w14:paraId="5D659E9B">
            <w:pPr>
              <w:spacing w:line="520" w:lineRule="exact"/>
              <w:rPr>
                <w:rFonts w:hint="eastAsia" w:ascii="仿宋" w:hAnsi="仿宋" w:eastAsia="仿宋" w:cs="仿宋"/>
                <w:color w:val="auto"/>
                <w:sz w:val="24"/>
                <w:highlight w:val="none"/>
              </w:rPr>
            </w:pPr>
          </w:p>
        </w:tc>
        <w:tc>
          <w:tcPr>
            <w:tcW w:w="1935" w:type="dxa"/>
            <w:gridSpan w:val="2"/>
            <w:vAlign w:val="center"/>
          </w:tcPr>
          <w:p w14:paraId="146BEF4F">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手机号码</w:t>
            </w:r>
          </w:p>
        </w:tc>
        <w:tc>
          <w:tcPr>
            <w:tcW w:w="2639" w:type="dxa"/>
            <w:gridSpan w:val="2"/>
          </w:tcPr>
          <w:p w14:paraId="1F086D3A">
            <w:pPr>
              <w:spacing w:line="520" w:lineRule="exact"/>
              <w:rPr>
                <w:rFonts w:hint="eastAsia" w:ascii="仿宋" w:hAnsi="仿宋" w:eastAsia="仿宋" w:cs="仿宋"/>
                <w:color w:val="auto"/>
                <w:sz w:val="24"/>
                <w:highlight w:val="none"/>
              </w:rPr>
            </w:pPr>
          </w:p>
        </w:tc>
      </w:tr>
      <w:tr w14:paraId="658C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8" w:type="dxa"/>
            <w:vMerge w:val="restart"/>
            <w:vAlign w:val="center"/>
          </w:tcPr>
          <w:p w14:paraId="6B3B92B0">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年类似业绩</w:t>
            </w:r>
          </w:p>
          <w:p w14:paraId="60E85985">
            <w:pPr>
              <w:pStyle w:val="3"/>
              <w:rPr>
                <w:rFonts w:hint="eastAsia" w:ascii="仿宋" w:hAnsi="仿宋" w:eastAsia="仿宋" w:cs="仿宋"/>
                <w:color w:val="auto"/>
                <w:highlight w:val="none"/>
              </w:rPr>
            </w:pPr>
            <w:r>
              <w:rPr>
                <w:rFonts w:hint="eastAsia" w:ascii="仿宋" w:hAnsi="仿宋" w:eastAsia="仿宋" w:cs="仿宋"/>
                <w:b w:val="0"/>
                <w:color w:val="auto"/>
                <w:kern w:val="2"/>
                <w:sz w:val="21"/>
                <w:szCs w:val="24"/>
                <w:highlight w:val="none"/>
              </w:rPr>
              <w:t>（20</w:t>
            </w:r>
            <w:r>
              <w:rPr>
                <w:rFonts w:hint="eastAsia" w:ascii="仿宋" w:hAnsi="仿宋" w:eastAsia="仿宋" w:cs="仿宋"/>
                <w:b w:val="0"/>
                <w:color w:val="auto"/>
                <w:kern w:val="2"/>
                <w:sz w:val="21"/>
                <w:szCs w:val="24"/>
                <w:highlight w:val="none"/>
                <w:lang w:val="en-US" w:eastAsia="zh-CN"/>
              </w:rPr>
              <w:t>23</w:t>
            </w:r>
            <w:r>
              <w:rPr>
                <w:rFonts w:hint="eastAsia" w:ascii="仿宋" w:hAnsi="仿宋" w:eastAsia="仿宋" w:cs="仿宋"/>
                <w:b w:val="0"/>
                <w:color w:val="auto"/>
                <w:kern w:val="2"/>
                <w:sz w:val="21"/>
                <w:szCs w:val="24"/>
                <w:highlight w:val="none"/>
              </w:rPr>
              <w:t>年</w:t>
            </w:r>
            <w:r>
              <w:rPr>
                <w:rFonts w:hint="eastAsia" w:ascii="仿宋" w:hAnsi="仿宋" w:eastAsia="仿宋" w:cs="仿宋"/>
                <w:b w:val="0"/>
                <w:color w:val="auto"/>
                <w:kern w:val="2"/>
                <w:sz w:val="21"/>
                <w:szCs w:val="24"/>
                <w:highlight w:val="none"/>
                <w:lang w:val="en-US" w:eastAsia="zh-CN"/>
              </w:rPr>
              <w:t>1</w:t>
            </w:r>
            <w:r>
              <w:rPr>
                <w:rFonts w:hint="eastAsia" w:ascii="仿宋" w:hAnsi="仿宋" w:eastAsia="仿宋" w:cs="仿宋"/>
                <w:b w:val="0"/>
                <w:color w:val="auto"/>
                <w:kern w:val="2"/>
                <w:sz w:val="21"/>
                <w:szCs w:val="24"/>
                <w:highlight w:val="none"/>
              </w:rPr>
              <w:t>月1日起至投标截止日止）</w:t>
            </w:r>
          </w:p>
        </w:tc>
        <w:tc>
          <w:tcPr>
            <w:tcW w:w="1390" w:type="dxa"/>
            <w:vAlign w:val="center"/>
          </w:tcPr>
          <w:p w14:paraId="2C4883EB">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1583" w:type="dxa"/>
            <w:gridSpan w:val="2"/>
            <w:vAlign w:val="center"/>
          </w:tcPr>
          <w:p w14:paraId="08BD33EB">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582" w:type="dxa"/>
            <w:vAlign w:val="center"/>
          </w:tcPr>
          <w:p w14:paraId="571FD12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项目规模</w:t>
            </w:r>
          </w:p>
        </w:tc>
        <w:tc>
          <w:tcPr>
            <w:tcW w:w="1583" w:type="dxa"/>
            <w:vAlign w:val="center"/>
          </w:tcPr>
          <w:p w14:paraId="3A3149A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1056" w:type="dxa"/>
            <w:vAlign w:val="center"/>
          </w:tcPr>
          <w:p w14:paraId="7D9ED5C9">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CE3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54181FD6">
            <w:pPr>
              <w:spacing w:line="520" w:lineRule="exact"/>
              <w:rPr>
                <w:rFonts w:hint="eastAsia" w:ascii="仿宋" w:hAnsi="仿宋" w:eastAsia="仿宋" w:cs="仿宋"/>
                <w:color w:val="auto"/>
                <w:sz w:val="24"/>
                <w:highlight w:val="none"/>
              </w:rPr>
            </w:pPr>
          </w:p>
        </w:tc>
        <w:tc>
          <w:tcPr>
            <w:tcW w:w="1390" w:type="dxa"/>
            <w:vAlign w:val="center"/>
          </w:tcPr>
          <w:p w14:paraId="716A3FA8">
            <w:pPr>
              <w:spacing w:line="520" w:lineRule="exact"/>
              <w:rPr>
                <w:rFonts w:hint="eastAsia" w:ascii="仿宋" w:hAnsi="仿宋" w:eastAsia="仿宋" w:cs="仿宋"/>
                <w:color w:val="auto"/>
                <w:sz w:val="24"/>
                <w:highlight w:val="none"/>
              </w:rPr>
            </w:pPr>
          </w:p>
        </w:tc>
        <w:tc>
          <w:tcPr>
            <w:tcW w:w="1583" w:type="dxa"/>
            <w:gridSpan w:val="2"/>
            <w:vAlign w:val="center"/>
          </w:tcPr>
          <w:p w14:paraId="1A70891C">
            <w:pPr>
              <w:spacing w:line="520" w:lineRule="exact"/>
              <w:rPr>
                <w:rFonts w:hint="eastAsia" w:ascii="仿宋" w:hAnsi="仿宋" w:eastAsia="仿宋" w:cs="仿宋"/>
                <w:color w:val="auto"/>
                <w:sz w:val="24"/>
                <w:highlight w:val="none"/>
              </w:rPr>
            </w:pPr>
          </w:p>
        </w:tc>
        <w:tc>
          <w:tcPr>
            <w:tcW w:w="1582" w:type="dxa"/>
            <w:vAlign w:val="center"/>
          </w:tcPr>
          <w:p w14:paraId="1499E97A">
            <w:pPr>
              <w:spacing w:line="520" w:lineRule="exact"/>
              <w:rPr>
                <w:rFonts w:hint="eastAsia" w:ascii="仿宋" w:hAnsi="仿宋" w:eastAsia="仿宋" w:cs="仿宋"/>
                <w:color w:val="auto"/>
                <w:sz w:val="24"/>
                <w:highlight w:val="none"/>
              </w:rPr>
            </w:pPr>
          </w:p>
        </w:tc>
        <w:tc>
          <w:tcPr>
            <w:tcW w:w="1583" w:type="dxa"/>
            <w:vAlign w:val="center"/>
          </w:tcPr>
          <w:p w14:paraId="6FB30A6E">
            <w:pPr>
              <w:spacing w:line="520" w:lineRule="exact"/>
              <w:rPr>
                <w:rFonts w:hint="eastAsia" w:ascii="仿宋" w:hAnsi="仿宋" w:eastAsia="仿宋" w:cs="仿宋"/>
                <w:color w:val="auto"/>
                <w:sz w:val="24"/>
                <w:highlight w:val="none"/>
              </w:rPr>
            </w:pPr>
          </w:p>
        </w:tc>
        <w:tc>
          <w:tcPr>
            <w:tcW w:w="1056" w:type="dxa"/>
            <w:vAlign w:val="center"/>
          </w:tcPr>
          <w:p w14:paraId="5C9DE8A3">
            <w:pPr>
              <w:spacing w:line="520" w:lineRule="exact"/>
              <w:rPr>
                <w:rFonts w:hint="eastAsia" w:ascii="仿宋" w:hAnsi="仿宋" w:eastAsia="仿宋" w:cs="仿宋"/>
                <w:color w:val="auto"/>
                <w:sz w:val="24"/>
                <w:highlight w:val="none"/>
              </w:rPr>
            </w:pPr>
          </w:p>
        </w:tc>
      </w:tr>
      <w:tr w14:paraId="2635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3B40C0C7">
            <w:pPr>
              <w:spacing w:line="520" w:lineRule="exact"/>
              <w:rPr>
                <w:rFonts w:hint="eastAsia" w:ascii="仿宋" w:hAnsi="仿宋" w:eastAsia="仿宋" w:cs="仿宋"/>
                <w:color w:val="auto"/>
                <w:sz w:val="24"/>
                <w:highlight w:val="none"/>
              </w:rPr>
            </w:pPr>
          </w:p>
        </w:tc>
        <w:tc>
          <w:tcPr>
            <w:tcW w:w="1390" w:type="dxa"/>
            <w:vAlign w:val="center"/>
          </w:tcPr>
          <w:p w14:paraId="7F29DFAB">
            <w:pPr>
              <w:spacing w:line="520" w:lineRule="exact"/>
              <w:rPr>
                <w:rFonts w:hint="eastAsia" w:ascii="仿宋" w:hAnsi="仿宋" w:eastAsia="仿宋" w:cs="仿宋"/>
                <w:color w:val="auto"/>
                <w:sz w:val="24"/>
                <w:highlight w:val="none"/>
              </w:rPr>
            </w:pPr>
          </w:p>
        </w:tc>
        <w:tc>
          <w:tcPr>
            <w:tcW w:w="1583" w:type="dxa"/>
            <w:gridSpan w:val="2"/>
            <w:vAlign w:val="center"/>
          </w:tcPr>
          <w:p w14:paraId="054DF7BA">
            <w:pPr>
              <w:spacing w:line="520" w:lineRule="exact"/>
              <w:rPr>
                <w:rFonts w:hint="eastAsia" w:ascii="仿宋" w:hAnsi="仿宋" w:eastAsia="仿宋" w:cs="仿宋"/>
                <w:color w:val="auto"/>
                <w:sz w:val="24"/>
                <w:highlight w:val="none"/>
              </w:rPr>
            </w:pPr>
          </w:p>
        </w:tc>
        <w:tc>
          <w:tcPr>
            <w:tcW w:w="1582" w:type="dxa"/>
            <w:vAlign w:val="center"/>
          </w:tcPr>
          <w:p w14:paraId="526E9752">
            <w:pPr>
              <w:spacing w:line="520" w:lineRule="exact"/>
              <w:rPr>
                <w:rFonts w:hint="eastAsia" w:ascii="仿宋" w:hAnsi="仿宋" w:eastAsia="仿宋" w:cs="仿宋"/>
                <w:color w:val="auto"/>
                <w:sz w:val="24"/>
                <w:highlight w:val="none"/>
              </w:rPr>
            </w:pPr>
          </w:p>
        </w:tc>
        <w:tc>
          <w:tcPr>
            <w:tcW w:w="1583" w:type="dxa"/>
            <w:vAlign w:val="center"/>
          </w:tcPr>
          <w:p w14:paraId="507093BE">
            <w:pPr>
              <w:spacing w:line="520" w:lineRule="exact"/>
              <w:rPr>
                <w:rFonts w:hint="eastAsia" w:ascii="仿宋" w:hAnsi="仿宋" w:eastAsia="仿宋" w:cs="仿宋"/>
                <w:color w:val="auto"/>
                <w:sz w:val="24"/>
                <w:highlight w:val="none"/>
              </w:rPr>
            </w:pPr>
          </w:p>
        </w:tc>
        <w:tc>
          <w:tcPr>
            <w:tcW w:w="1056" w:type="dxa"/>
            <w:vAlign w:val="center"/>
          </w:tcPr>
          <w:p w14:paraId="398446F3">
            <w:pPr>
              <w:spacing w:line="520" w:lineRule="exact"/>
              <w:rPr>
                <w:rFonts w:hint="eastAsia" w:ascii="仿宋" w:hAnsi="仿宋" w:eastAsia="仿宋" w:cs="仿宋"/>
                <w:color w:val="auto"/>
                <w:sz w:val="24"/>
                <w:highlight w:val="none"/>
              </w:rPr>
            </w:pPr>
          </w:p>
        </w:tc>
      </w:tr>
      <w:tr w14:paraId="6078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0910848B">
            <w:pPr>
              <w:spacing w:line="520" w:lineRule="exact"/>
              <w:rPr>
                <w:rFonts w:hint="eastAsia" w:ascii="仿宋" w:hAnsi="仿宋" w:eastAsia="仿宋" w:cs="仿宋"/>
                <w:color w:val="auto"/>
                <w:sz w:val="24"/>
                <w:highlight w:val="none"/>
              </w:rPr>
            </w:pPr>
          </w:p>
        </w:tc>
        <w:tc>
          <w:tcPr>
            <w:tcW w:w="1390" w:type="dxa"/>
            <w:vAlign w:val="center"/>
          </w:tcPr>
          <w:p w14:paraId="2675B2D1">
            <w:pPr>
              <w:spacing w:line="520" w:lineRule="exact"/>
              <w:rPr>
                <w:rFonts w:hint="eastAsia" w:ascii="仿宋" w:hAnsi="仿宋" w:eastAsia="仿宋" w:cs="仿宋"/>
                <w:color w:val="auto"/>
                <w:sz w:val="24"/>
                <w:highlight w:val="none"/>
              </w:rPr>
            </w:pPr>
          </w:p>
        </w:tc>
        <w:tc>
          <w:tcPr>
            <w:tcW w:w="1583" w:type="dxa"/>
            <w:gridSpan w:val="2"/>
            <w:vAlign w:val="center"/>
          </w:tcPr>
          <w:p w14:paraId="0521A5F1">
            <w:pPr>
              <w:spacing w:line="520" w:lineRule="exact"/>
              <w:rPr>
                <w:rFonts w:hint="eastAsia" w:ascii="仿宋" w:hAnsi="仿宋" w:eastAsia="仿宋" w:cs="仿宋"/>
                <w:color w:val="auto"/>
                <w:sz w:val="24"/>
                <w:highlight w:val="none"/>
              </w:rPr>
            </w:pPr>
          </w:p>
        </w:tc>
        <w:tc>
          <w:tcPr>
            <w:tcW w:w="1582" w:type="dxa"/>
            <w:vAlign w:val="center"/>
          </w:tcPr>
          <w:p w14:paraId="583CCF55">
            <w:pPr>
              <w:spacing w:line="520" w:lineRule="exact"/>
              <w:rPr>
                <w:rFonts w:hint="eastAsia" w:ascii="仿宋" w:hAnsi="仿宋" w:eastAsia="仿宋" w:cs="仿宋"/>
                <w:color w:val="auto"/>
                <w:sz w:val="24"/>
                <w:highlight w:val="none"/>
              </w:rPr>
            </w:pPr>
          </w:p>
        </w:tc>
        <w:tc>
          <w:tcPr>
            <w:tcW w:w="1583" w:type="dxa"/>
            <w:vAlign w:val="center"/>
          </w:tcPr>
          <w:p w14:paraId="645067A5">
            <w:pPr>
              <w:spacing w:line="520" w:lineRule="exact"/>
              <w:rPr>
                <w:rFonts w:hint="eastAsia" w:ascii="仿宋" w:hAnsi="仿宋" w:eastAsia="仿宋" w:cs="仿宋"/>
                <w:color w:val="auto"/>
                <w:sz w:val="24"/>
                <w:highlight w:val="none"/>
              </w:rPr>
            </w:pPr>
          </w:p>
        </w:tc>
        <w:tc>
          <w:tcPr>
            <w:tcW w:w="1056" w:type="dxa"/>
            <w:vAlign w:val="center"/>
          </w:tcPr>
          <w:p w14:paraId="28F5D414">
            <w:pPr>
              <w:spacing w:line="520" w:lineRule="exact"/>
              <w:rPr>
                <w:rFonts w:hint="eastAsia" w:ascii="仿宋" w:hAnsi="仿宋" w:eastAsia="仿宋" w:cs="仿宋"/>
                <w:color w:val="auto"/>
                <w:sz w:val="24"/>
                <w:highlight w:val="none"/>
              </w:rPr>
            </w:pPr>
          </w:p>
        </w:tc>
      </w:tr>
      <w:tr w14:paraId="7753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1E11B417">
            <w:pPr>
              <w:spacing w:line="520" w:lineRule="exact"/>
              <w:rPr>
                <w:rFonts w:hint="eastAsia" w:ascii="仿宋" w:hAnsi="仿宋" w:eastAsia="仿宋" w:cs="仿宋"/>
                <w:color w:val="auto"/>
                <w:sz w:val="24"/>
                <w:highlight w:val="none"/>
              </w:rPr>
            </w:pPr>
          </w:p>
        </w:tc>
        <w:tc>
          <w:tcPr>
            <w:tcW w:w="1390" w:type="dxa"/>
            <w:vAlign w:val="center"/>
          </w:tcPr>
          <w:p w14:paraId="609BEC23">
            <w:pPr>
              <w:spacing w:line="520" w:lineRule="exact"/>
              <w:rPr>
                <w:rFonts w:hint="eastAsia" w:ascii="仿宋" w:hAnsi="仿宋" w:eastAsia="仿宋" w:cs="仿宋"/>
                <w:color w:val="auto"/>
                <w:sz w:val="24"/>
                <w:highlight w:val="none"/>
              </w:rPr>
            </w:pPr>
          </w:p>
        </w:tc>
        <w:tc>
          <w:tcPr>
            <w:tcW w:w="1583" w:type="dxa"/>
            <w:gridSpan w:val="2"/>
            <w:vAlign w:val="center"/>
          </w:tcPr>
          <w:p w14:paraId="77655978">
            <w:pPr>
              <w:spacing w:line="520" w:lineRule="exact"/>
              <w:rPr>
                <w:rFonts w:hint="eastAsia" w:ascii="仿宋" w:hAnsi="仿宋" w:eastAsia="仿宋" w:cs="仿宋"/>
                <w:color w:val="auto"/>
                <w:sz w:val="24"/>
                <w:highlight w:val="none"/>
              </w:rPr>
            </w:pPr>
          </w:p>
        </w:tc>
        <w:tc>
          <w:tcPr>
            <w:tcW w:w="1582" w:type="dxa"/>
            <w:vAlign w:val="center"/>
          </w:tcPr>
          <w:p w14:paraId="5618C1FD">
            <w:pPr>
              <w:spacing w:line="520" w:lineRule="exact"/>
              <w:rPr>
                <w:rFonts w:hint="eastAsia" w:ascii="仿宋" w:hAnsi="仿宋" w:eastAsia="仿宋" w:cs="仿宋"/>
                <w:color w:val="auto"/>
                <w:sz w:val="24"/>
                <w:highlight w:val="none"/>
              </w:rPr>
            </w:pPr>
          </w:p>
        </w:tc>
        <w:tc>
          <w:tcPr>
            <w:tcW w:w="1583" w:type="dxa"/>
            <w:vAlign w:val="center"/>
          </w:tcPr>
          <w:p w14:paraId="2AAB1512">
            <w:pPr>
              <w:spacing w:line="520" w:lineRule="exact"/>
              <w:rPr>
                <w:rFonts w:hint="eastAsia" w:ascii="仿宋" w:hAnsi="仿宋" w:eastAsia="仿宋" w:cs="仿宋"/>
                <w:color w:val="auto"/>
                <w:sz w:val="24"/>
                <w:highlight w:val="none"/>
              </w:rPr>
            </w:pPr>
          </w:p>
        </w:tc>
        <w:tc>
          <w:tcPr>
            <w:tcW w:w="1056" w:type="dxa"/>
            <w:vAlign w:val="center"/>
          </w:tcPr>
          <w:p w14:paraId="2428ADBA">
            <w:pPr>
              <w:spacing w:line="520" w:lineRule="exact"/>
              <w:rPr>
                <w:rFonts w:hint="eastAsia" w:ascii="仿宋" w:hAnsi="仿宋" w:eastAsia="仿宋" w:cs="仿宋"/>
                <w:color w:val="auto"/>
                <w:sz w:val="24"/>
                <w:highlight w:val="none"/>
              </w:rPr>
            </w:pPr>
          </w:p>
        </w:tc>
      </w:tr>
      <w:tr w14:paraId="46F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58" w:type="dxa"/>
            <w:vMerge w:val="continue"/>
            <w:vAlign w:val="center"/>
          </w:tcPr>
          <w:p w14:paraId="3F294482">
            <w:pPr>
              <w:spacing w:line="520" w:lineRule="exact"/>
              <w:rPr>
                <w:rFonts w:hint="eastAsia" w:ascii="仿宋" w:hAnsi="仿宋" w:eastAsia="仿宋" w:cs="仿宋"/>
                <w:color w:val="auto"/>
                <w:sz w:val="24"/>
                <w:highlight w:val="none"/>
              </w:rPr>
            </w:pPr>
          </w:p>
        </w:tc>
        <w:tc>
          <w:tcPr>
            <w:tcW w:w="1390" w:type="dxa"/>
            <w:vAlign w:val="center"/>
          </w:tcPr>
          <w:p w14:paraId="392FE94D">
            <w:pPr>
              <w:spacing w:line="520" w:lineRule="exact"/>
              <w:rPr>
                <w:rFonts w:hint="eastAsia" w:ascii="仿宋" w:hAnsi="仿宋" w:eastAsia="仿宋" w:cs="仿宋"/>
                <w:color w:val="auto"/>
                <w:sz w:val="24"/>
                <w:highlight w:val="none"/>
              </w:rPr>
            </w:pPr>
          </w:p>
        </w:tc>
        <w:tc>
          <w:tcPr>
            <w:tcW w:w="1583" w:type="dxa"/>
            <w:gridSpan w:val="2"/>
            <w:vAlign w:val="center"/>
          </w:tcPr>
          <w:p w14:paraId="0EA01A7E">
            <w:pPr>
              <w:spacing w:line="520" w:lineRule="exact"/>
              <w:rPr>
                <w:rFonts w:hint="eastAsia" w:ascii="仿宋" w:hAnsi="仿宋" w:eastAsia="仿宋" w:cs="仿宋"/>
                <w:color w:val="auto"/>
                <w:sz w:val="24"/>
                <w:highlight w:val="none"/>
              </w:rPr>
            </w:pPr>
          </w:p>
        </w:tc>
        <w:tc>
          <w:tcPr>
            <w:tcW w:w="1582" w:type="dxa"/>
            <w:vAlign w:val="center"/>
          </w:tcPr>
          <w:p w14:paraId="294120F4">
            <w:pPr>
              <w:spacing w:line="520" w:lineRule="exact"/>
              <w:rPr>
                <w:rFonts w:hint="eastAsia" w:ascii="仿宋" w:hAnsi="仿宋" w:eastAsia="仿宋" w:cs="仿宋"/>
                <w:color w:val="auto"/>
                <w:sz w:val="24"/>
                <w:highlight w:val="none"/>
              </w:rPr>
            </w:pPr>
          </w:p>
        </w:tc>
        <w:tc>
          <w:tcPr>
            <w:tcW w:w="1583" w:type="dxa"/>
            <w:vAlign w:val="center"/>
          </w:tcPr>
          <w:p w14:paraId="24A89FCA">
            <w:pPr>
              <w:spacing w:line="520" w:lineRule="exact"/>
              <w:rPr>
                <w:rFonts w:hint="eastAsia" w:ascii="仿宋" w:hAnsi="仿宋" w:eastAsia="仿宋" w:cs="仿宋"/>
                <w:color w:val="auto"/>
                <w:sz w:val="24"/>
                <w:highlight w:val="none"/>
              </w:rPr>
            </w:pPr>
          </w:p>
        </w:tc>
        <w:tc>
          <w:tcPr>
            <w:tcW w:w="1056" w:type="dxa"/>
            <w:vAlign w:val="center"/>
          </w:tcPr>
          <w:p w14:paraId="5970EB23">
            <w:pPr>
              <w:spacing w:line="520" w:lineRule="exact"/>
              <w:rPr>
                <w:rFonts w:hint="eastAsia" w:ascii="仿宋" w:hAnsi="仿宋" w:eastAsia="仿宋" w:cs="仿宋"/>
                <w:color w:val="auto"/>
                <w:sz w:val="24"/>
                <w:highlight w:val="none"/>
              </w:rPr>
            </w:pPr>
          </w:p>
        </w:tc>
      </w:tr>
      <w:tr w14:paraId="5060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58" w:type="dxa"/>
            <w:vMerge w:val="continue"/>
            <w:vAlign w:val="center"/>
          </w:tcPr>
          <w:p w14:paraId="1001297B">
            <w:pPr>
              <w:spacing w:line="520" w:lineRule="exact"/>
              <w:rPr>
                <w:rFonts w:hint="eastAsia" w:ascii="仿宋" w:hAnsi="仿宋" w:eastAsia="仿宋" w:cs="仿宋"/>
                <w:color w:val="auto"/>
                <w:sz w:val="24"/>
                <w:highlight w:val="none"/>
              </w:rPr>
            </w:pPr>
          </w:p>
        </w:tc>
        <w:tc>
          <w:tcPr>
            <w:tcW w:w="1390" w:type="dxa"/>
            <w:vAlign w:val="center"/>
          </w:tcPr>
          <w:p w14:paraId="03713C00">
            <w:pPr>
              <w:spacing w:line="520" w:lineRule="exact"/>
              <w:rPr>
                <w:rFonts w:hint="eastAsia" w:ascii="仿宋" w:hAnsi="仿宋" w:eastAsia="仿宋" w:cs="仿宋"/>
                <w:color w:val="auto"/>
                <w:sz w:val="24"/>
                <w:highlight w:val="none"/>
              </w:rPr>
            </w:pPr>
          </w:p>
        </w:tc>
        <w:tc>
          <w:tcPr>
            <w:tcW w:w="1583" w:type="dxa"/>
            <w:gridSpan w:val="2"/>
            <w:vAlign w:val="center"/>
          </w:tcPr>
          <w:p w14:paraId="632881FD">
            <w:pPr>
              <w:spacing w:line="520" w:lineRule="exact"/>
              <w:rPr>
                <w:rFonts w:hint="eastAsia" w:ascii="仿宋" w:hAnsi="仿宋" w:eastAsia="仿宋" w:cs="仿宋"/>
                <w:color w:val="auto"/>
                <w:sz w:val="24"/>
                <w:highlight w:val="none"/>
              </w:rPr>
            </w:pPr>
          </w:p>
        </w:tc>
        <w:tc>
          <w:tcPr>
            <w:tcW w:w="1582" w:type="dxa"/>
            <w:vAlign w:val="center"/>
          </w:tcPr>
          <w:p w14:paraId="2E9FFE4B">
            <w:pPr>
              <w:spacing w:line="520" w:lineRule="exact"/>
              <w:rPr>
                <w:rFonts w:hint="eastAsia" w:ascii="仿宋" w:hAnsi="仿宋" w:eastAsia="仿宋" w:cs="仿宋"/>
                <w:color w:val="auto"/>
                <w:sz w:val="24"/>
                <w:highlight w:val="none"/>
              </w:rPr>
            </w:pPr>
          </w:p>
        </w:tc>
        <w:tc>
          <w:tcPr>
            <w:tcW w:w="1583" w:type="dxa"/>
            <w:vAlign w:val="center"/>
          </w:tcPr>
          <w:p w14:paraId="5E3D67D9">
            <w:pPr>
              <w:spacing w:line="520" w:lineRule="exact"/>
              <w:rPr>
                <w:rFonts w:hint="eastAsia" w:ascii="仿宋" w:hAnsi="仿宋" w:eastAsia="仿宋" w:cs="仿宋"/>
                <w:color w:val="auto"/>
                <w:sz w:val="24"/>
                <w:highlight w:val="none"/>
              </w:rPr>
            </w:pPr>
          </w:p>
        </w:tc>
        <w:tc>
          <w:tcPr>
            <w:tcW w:w="1056" w:type="dxa"/>
            <w:vAlign w:val="center"/>
          </w:tcPr>
          <w:p w14:paraId="01E36E5A">
            <w:pPr>
              <w:spacing w:line="520" w:lineRule="exact"/>
              <w:rPr>
                <w:rFonts w:hint="eastAsia" w:ascii="仿宋" w:hAnsi="仿宋" w:eastAsia="仿宋" w:cs="仿宋"/>
                <w:color w:val="auto"/>
                <w:sz w:val="24"/>
                <w:highlight w:val="none"/>
              </w:rPr>
            </w:pPr>
          </w:p>
        </w:tc>
      </w:tr>
    </w:tbl>
    <w:p w14:paraId="36D2A9B4">
      <w:pPr>
        <w:tabs>
          <w:tab w:val="center" w:pos="4832"/>
          <w:tab w:val="left" w:pos="7140"/>
        </w:tabs>
        <w:spacing w:line="520" w:lineRule="exact"/>
        <w:ind w:left="218" w:leftChars="-95" w:hanging="417" w:hangingChars="173"/>
        <w:outlineLvl w:val="1"/>
        <w:rPr>
          <w:rFonts w:hint="eastAsia" w:ascii="仿宋" w:hAnsi="仿宋" w:eastAsia="仿宋" w:cs="仿宋"/>
          <w:bCs/>
          <w:color w:val="auto"/>
          <w:sz w:val="24"/>
          <w:highlight w:val="none"/>
        </w:rPr>
      </w:pPr>
      <w:bookmarkStart w:id="53" w:name="_Toc9765"/>
      <w:bookmarkStart w:id="54" w:name="_Toc21622"/>
      <w:bookmarkStart w:id="55" w:name="_Toc22452"/>
      <w:r>
        <w:rPr>
          <w:rFonts w:hint="eastAsia" w:ascii="仿宋" w:hAnsi="仿宋" w:eastAsia="仿宋" w:cs="仿宋"/>
          <w:b/>
          <w:bCs w:val="0"/>
          <w:color w:val="auto"/>
          <w:sz w:val="24"/>
          <w:highlight w:val="none"/>
        </w:rPr>
        <w:t>注：</w:t>
      </w:r>
      <w:r>
        <w:rPr>
          <w:rFonts w:hint="eastAsia" w:ascii="仿宋" w:hAnsi="仿宋" w:eastAsia="仿宋" w:cs="仿宋"/>
          <w:b/>
          <w:bCs w:val="0"/>
          <w:sz w:val="24"/>
          <w:highlight w:val="none"/>
        </w:rPr>
        <w:t>按照评审要求提供相应资料。</w:t>
      </w:r>
    </w:p>
    <w:p w14:paraId="23B23DE2">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41614221">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297A96AB">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4FCD4E88">
      <w:pPr>
        <w:tabs>
          <w:tab w:val="center" w:pos="4832"/>
          <w:tab w:val="left" w:pos="7140"/>
        </w:tabs>
        <w:spacing w:line="520" w:lineRule="exact"/>
        <w:jc w:val="center"/>
        <w:outlineLvl w:val="1"/>
        <w:rPr>
          <w:rFonts w:hint="eastAsia" w:ascii="仿宋" w:hAnsi="仿宋" w:eastAsia="仿宋" w:cs="仿宋"/>
          <w:b/>
          <w:color w:val="auto"/>
          <w:sz w:val="24"/>
          <w:highlight w:val="none"/>
        </w:rPr>
      </w:pPr>
    </w:p>
    <w:p w14:paraId="6ECA975F">
      <w:pPr>
        <w:tabs>
          <w:tab w:val="center" w:pos="4832"/>
          <w:tab w:val="left" w:pos="7140"/>
        </w:tabs>
        <w:spacing w:line="520" w:lineRule="exact"/>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团队人员表</w:t>
      </w:r>
      <w:bookmarkEnd w:id="53"/>
      <w:bookmarkEnd w:id="54"/>
      <w:bookmarkEnd w:id="55"/>
    </w:p>
    <w:tbl>
      <w:tblPr>
        <w:tblStyle w:val="19"/>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5"/>
        <w:gridCol w:w="1127"/>
        <w:gridCol w:w="1156"/>
        <w:gridCol w:w="1156"/>
        <w:gridCol w:w="1130"/>
        <w:gridCol w:w="1156"/>
        <w:gridCol w:w="1123"/>
      </w:tblGrid>
      <w:tr w14:paraId="1C3A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2" w:type="dxa"/>
            <w:vAlign w:val="center"/>
          </w:tcPr>
          <w:p w14:paraId="14039A66">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Align w:val="center"/>
          </w:tcPr>
          <w:p w14:paraId="04DC7E6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1127" w:type="dxa"/>
            <w:vAlign w:val="center"/>
          </w:tcPr>
          <w:p w14:paraId="63EBE71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156" w:type="dxa"/>
            <w:vAlign w:val="center"/>
          </w:tcPr>
          <w:p w14:paraId="74BAC793">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156" w:type="dxa"/>
            <w:vAlign w:val="center"/>
          </w:tcPr>
          <w:p w14:paraId="1C68D2BF">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130" w:type="dxa"/>
            <w:vAlign w:val="center"/>
          </w:tcPr>
          <w:p w14:paraId="7032331D">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156" w:type="dxa"/>
            <w:vAlign w:val="center"/>
          </w:tcPr>
          <w:p w14:paraId="60DE85E9">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1123" w:type="dxa"/>
            <w:vAlign w:val="center"/>
          </w:tcPr>
          <w:p w14:paraId="603ECB9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50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3547D171">
            <w:pPr>
              <w:spacing w:line="520" w:lineRule="exact"/>
              <w:rPr>
                <w:rFonts w:hint="eastAsia" w:ascii="仿宋" w:hAnsi="仿宋" w:eastAsia="仿宋" w:cs="仿宋"/>
                <w:color w:val="auto"/>
                <w:sz w:val="24"/>
                <w:highlight w:val="none"/>
              </w:rPr>
            </w:pPr>
          </w:p>
        </w:tc>
        <w:tc>
          <w:tcPr>
            <w:tcW w:w="1155" w:type="dxa"/>
          </w:tcPr>
          <w:p w14:paraId="4DE267D0">
            <w:pPr>
              <w:spacing w:line="520" w:lineRule="exact"/>
              <w:rPr>
                <w:rFonts w:hint="eastAsia" w:ascii="仿宋" w:hAnsi="仿宋" w:eastAsia="仿宋" w:cs="仿宋"/>
                <w:color w:val="auto"/>
                <w:sz w:val="24"/>
                <w:highlight w:val="none"/>
              </w:rPr>
            </w:pPr>
          </w:p>
        </w:tc>
        <w:tc>
          <w:tcPr>
            <w:tcW w:w="1127" w:type="dxa"/>
          </w:tcPr>
          <w:p w14:paraId="0EEC95BC">
            <w:pPr>
              <w:spacing w:line="520" w:lineRule="exact"/>
              <w:rPr>
                <w:rFonts w:hint="eastAsia" w:ascii="仿宋" w:hAnsi="仿宋" w:eastAsia="仿宋" w:cs="仿宋"/>
                <w:color w:val="auto"/>
                <w:sz w:val="24"/>
                <w:highlight w:val="none"/>
              </w:rPr>
            </w:pPr>
          </w:p>
        </w:tc>
        <w:tc>
          <w:tcPr>
            <w:tcW w:w="1156" w:type="dxa"/>
          </w:tcPr>
          <w:p w14:paraId="157F4538">
            <w:pPr>
              <w:spacing w:line="520" w:lineRule="exact"/>
              <w:rPr>
                <w:rFonts w:hint="eastAsia" w:ascii="仿宋" w:hAnsi="仿宋" w:eastAsia="仿宋" w:cs="仿宋"/>
                <w:color w:val="auto"/>
                <w:sz w:val="24"/>
                <w:highlight w:val="none"/>
              </w:rPr>
            </w:pPr>
          </w:p>
        </w:tc>
        <w:tc>
          <w:tcPr>
            <w:tcW w:w="1156" w:type="dxa"/>
          </w:tcPr>
          <w:p w14:paraId="6BECE699">
            <w:pPr>
              <w:spacing w:line="520" w:lineRule="exact"/>
              <w:rPr>
                <w:rFonts w:hint="eastAsia" w:ascii="仿宋" w:hAnsi="仿宋" w:eastAsia="仿宋" w:cs="仿宋"/>
                <w:color w:val="auto"/>
                <w:sz w:val="24"/>
                <w:highlight w:val="none"/>
              </w:rPr>
            </w:pPr>
          </w:p>
        </w:tc>
        <w:tc>
          <w:tcPr>
            <w:tcW w:w="1130" w:type="dxa"/>
          </w:tcPr>
          <w:p w14:paraId="7CF8FA88">
            <w:pPr>
              <w:spacing w:line="520" w:lineRule="exact"/>
              <w:rPr>
                <w:rFonts w:hint="eastAsia" w:ascii="仿宋" w:hAnsi="仿宋" w:eastAsia="仿宋" w:cs="仿宋"/>
                <w:color w:val="auto"/>
                <w:sz w:val="24"/>
                <w:highlight w:val="none"/>
              </w:rPr>
            </w:pPr>
          </w:p>
        </w:tc>
        <w:tc>
          <w:tcPr>
            <w:tcW w:w="1156" w:type="dxa"/>
          </w:tcPr>
          <w:p w14:paraId="60E9C7F4">
            <w:pPr>
              <w:spacing w:line="520" w:lineRule="exact"/>
              <w:rPr>
                <w:rFonts w:hint="eastAsia" w:ascii="仿宋" w:hAnsi="仿宋" w:eastAsia="仿宋" w:cs="仿宋"/>
                <w:color w:val="auto"/>
                <w:sz w:val="24"/>
                <w:highlight w:val="none"/>
              </w:rPr>
            </w:pPr>
          </w:p>
        </w:tc>
        <w:tc>
          <w:tcPr>
            <w:tcW w:w="1123" w:type="dxa"/>
          </w:tcPr>
          <w:p w14:paraId="1A9F9331">
            <w:pPr>
              <w:spacing w:line="520" w:lineRule="exact"/>
              <w:rPr>
                <w:rFonts w:hint="eastAsia" w:ascii="仿宋" w:hAnsi="仿宋" w:eastAsia="仿宋" w:cs="仿宋"/>
                <w:color w:val="auto"/>
                <w:sz w:val="24"/>
                <w:highlight w:val="none"/>
              </w:rPr>
            </w:pPr>
          </w:p>
        </w:tc>
      </w:tr>
      <w:tr w14:paraId="458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12BA1EF6">
            <w:pPr>
              <w:spacing w:line="520" w:lineRule="exact"/>
              <w:rPr>
                <w:rFonts w:hint="eastAsia" w:ascii="仿宋" w:hAnsi="仿宋" w:eastAsia="仿宋" w:cs="仿宋"/>
                <w:color w:val="auto"/>
                <w:sz w:val="24"/>
                <w:highlight w:val="none"/>
              </w:rPr>
            </w:pPr>
          </w:p>
        </w:tc>
        <w:tc>
          <w:tcPr>
            <w:tcW w:w="1155" w:type="dxa"/>
          </w:tcPr>
          <w:p w14:paraId="0A9116EF">
            <w:pPr>
              <w:spacing w:line="520" w:lineRule="exact"/>
              <w:rPr>
                <w:rFonts w:hint="eastAsia" w:ascii="仿宋" w:hAnsi="仿宋" w:eastAsia="仿宋" w:cs="仿宋"/>
                <w:color w:val="auto"/>
                <w:sz w:val="24"/>
                <w:highlight w:val="none"/>
              </w:rPr>
            </w:pPr>
          </w:p>
        </w:tc>
        <w:tc>
          <w:tcPr>
            <w:tcW w:w="1127" w:type="dxa"/>
          </w:tcPr>
          <w:p w14:paraId="7A0E3F57">
            <w:pPr>
              <w:spacing w:line="520" w:lineRule="exact"/>
              <w:rPr>
                <w:rFonts w:hint="eastAsia" w:ascii="仿宋" w:hAnsi="仿宋" w:eastAsia="仿宋" w:cs="仿宋"/>
                <w:color w:val="auto"/>
                <w:sz w:val="24"/>
                <w:highlight w:val="none"/>
              </w:rPr>
            </w:pPr>
          </w:p>
        </w:tc>
        <w:tc>
          <w:tcPr>
            <w:tcW w:w="1156" w:type="dxa"/>
          </w:tcPr>
          <w:p w14:paraId="2D4CB576">
            <w:pPr>
              <w:spacing w:line="520" w:lineRule="exact"/>
              <w:rPr>
                <w:rFonts w:hint="eastAsia" w:ascii="仿宋" w:hAnsi="仿宋" w:eastAsia="仿宋" w:cs="仿宋"/>
                <w:color w:val="auto"/>
                <w:sz w:val="24"/>
                <w:highlight w:val="none"/>
              </w:rPr>
            </w:pPr>
          </w:p>
        </w:tc>
        <w:tc>
          <w:tcPr>
            <w:tcW w:w="1156" w:type="dxa"/>
          </w:tcPr>
          <w:p w14:paraId="7A627256">
            <w:pPr>
              <w:spacing w:line="520" w:lineRule="exact"/>
              <w:rPr>
                <w:rFonts w:hint="eastAsia" w:ascii="仿宋" w:hAnsi="仿宋" w:eastAsia="仿宋" w:cs="仿宋"/>
                <w:color w:val="auto"/>
                <w:sz w:val="24"/>
                <w:highlight w:val="none"/>
              </w:rPr>
            </w:pPr>
          </w:p>
        </w:tc>
        <w:tc>
          <w:tcPr>
            <w:tcW w:w="1130" w:type="dxa"/>
          </w:tcPr>
          <w:p w14:paraId="4409332D">
            <w:pPr>
              <w:spacing w:line="520" w:lineRule="exact"/>
              <w:rPr>
                <w:rFonts w:hint="eastAsia" w:ascii="仿宋" w:hAnsi="仿宋" w:eastAsia="仿宋" w:cs="仿宋"/>
                <w:color w:val="auto"/>
                <w:sz w:val="24"/>
                <w:highlight w:val="none"/>
              </w:rPr>
            </w:pPr>
          </w:p>
        </w:tc>
        <w:tc>
          <w:tcPr>
            <w:tcW w:w="1156" w:type="dxa"/>
          </w:tcPr>
          <w:p w14:paraId="647FE3E8">
            <w:pPr>
              <w:spacing w:line="520" w:lineRule="exact"/>
              <w:rPr>
                <w:rFonts w:hint="eastAsia" w:ascii="仿宋" w:hAnsi="仿宋" w:eastAsia="仿宋" w:cs="仿宋"/>
                <w:color w:val="auto"/>
                <w:sz w:val="24"/>
                <w:highlight w:val="none"/>
              </w:rPr>
            </w:pPr>
          </w:p>
        </w:tc>
        <w:tc>
          <w:tcPr>
            <w:tcW w:w="1123" w:type="dxa"/>
          </w:tcPr>
          <w:p w14:paraId="20622282">
            <w:pPr>
              <w:spacing w:line="520" w:lineRule="exact"/>
              <w:rPr>
                <w:rFonts w:hint="eastAsia" w:ascii="仿宋" w:hAnsi="仿宋" w:eastAsia="仿宋" w:cs="仿宋"/>
                <w:color w:val="auto"/>
                <w:sz w:val="24"/>
                <w:highlight w:val="none"/>
              </w:rPr>
            </w:pPr>
          </w:p>
        </w:tc>
      </w:tr>
      <w:tr w14:paraId="4C0E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tcPr>
          <w:p w14:paraId="04365E05">
            <w:pPr>
              <w:spacing w:line="520" w:lineRule="exact"/>
              <w:rPr>
                <w:rFonts w:hint="eastAsia" w:ascii="仿宋" w:hAnsi="仿宋" w:eastAsia="仿宋" w:cs="仿宋"/>
                <w:color w:val="auto"/>
                <w:sz w:val="24"/>
                <w:highlight w:val="none"/>
              </w:rPr>
            </w:pPr>
          </w:p>
        </w:tc>
        <w:tc>
          <w:tcPr>
            <w:tcW w:w="1155" w:type="dxa"/>
          </w:tcPr>
          <w:p w14:paraId="10E0CDCF">
            <w:pPr>
              <w:spacing w:line="520" w:lineRule="exact"/>
              <w:rPr>
                <w:rFonts w:hint="eastAsia" w:ascii="仿宋" w:hAnsi="仿宋" w:eastAsia="仿宋" w:cs="仿宋"/>
                <w:color w:val="auto"/>
                <w:sz w:val="24"/>
                <w:highlight w:val="none"/>
              </w:rPr>
            </w:pPr>
          </w:p>
        </w:tc>
        <w:tc>
          <w:tcPr>
            <w:tcW w:w="1127" w:type="dxa"/>
          </w:tcPr>
          <w:p w14:paraId="713A0DEA">
            <w:pPr>
              <w:spacing w:line="520" w:lineRule="exact"/>
              <w:rPr>
                <w:rFonts w:hint="eastAsia" w:ascii="仿宋" w:hAnsi="仿宋" w:eastAsia="仿宋" w:cs="仿宋"/>
                <w:color w:val="auto"/>
                <w:sz w:val="24"/>
                <w:highlight w:val="none"/>
              </w:rPr>
            </w:pPr>
          </w:p>
        </w:tc>
        <w:tc>
          <w:tcPr>
            <w:tcW w:w="1156" w:type="dxa"/>
          </w:tcPr>
          <w:p w14:paraId="04E3F781">
            <w:pPr>
              <w:spacing w:line="520" w:lineRule="exact"/>
              <w:rPr>
                <w:rFonts w:hint="eastAsia" w:ascii="仿宋" w:hAnsi="仿宋" w:eastAsia="仿宋" w:cs="仿宋"/>
                <w:color w:val="auto"/>
                <w:sz w:val="24"/>
                <w:highlight w:val="none"/>
              </w:rPr>
            </w:pPr>
          </w:p>
        </w:tc>
        <w:tc>
          <w:tcPr>
            <w:tcW w:w="1156" w:type="dxa"/>
          </w:tcPr>
          <w:p w14:paraId="5A65C1D3">
            <w:pPr>
              <w:spacing w:line="520" w:lineRule="exact"/>
              <w:rPr>
                <w:rFonts w:hint="eastAsia" w:ascii="仿宋" w:hAnsi="仿宋" w:eastAsia="仿宋" w:cs="仿宋"/>
                <w:color w:val="auto"/>
                <w:sz w:val="24"/>
                <w:highlight w:val="none"/>
              </w:rPr>
            </w:pPr>
          </w:p>
        </w:tc>
        <w:tc>
          <w:tcPr>
            <w:tcW w:w="1130" w:type="dxa"/>
          </w:tcPr>
          <w:p w14:paraId="29CDFFAD">
            <w:pPr>
              <w:spacing w:line="520" w:lineRule="exact"/>
              <w:rPr>
                <w:rFonts w:hint="eastAsia" w:ascii="仿宋" w:hAnsi="仿宋" w:eastAsia="仿宋" w:cs="仿宋"/>
                <w:color w:val="auto"/>
                <w:sz w:val="24"/>
                <w:highlight w:val="none"/>
              </w:rPr>
            </w:pPr>
          </w:p>
        </w:tc>
        <w:tc>
          <w:tcPr>
            <w:tcW w:w="1156" w:type="dxa"/>
          </w:tcPr>
          <w:p w14:paraId="6DD470F0">
            <w:pPr>
              <w:spacing w:line="520" w:lineRule="exact"/>
              <w:rPr>
                <w:rFonts w:hint="eastAsia" w:ascii="仿宋" w:hAnsi="仿宋" w:eastAsia="仿宋" w:cs="仿宋"/>
                <w:color w:val="auto"/>
                <w:sz w:val="24"/>
                <w:highlight w:val="none"/>
              </w:rPr>
            </w:pPr>
          </w:p>
        </w:tc>
        <w:tc>
          <w:tcPr>
            <w:tcW w:w="1123" w:type="dxa"/>
          </w:tcPr>
          <w:p w14:paraId="702A25D7">
            <w:pPr>
              <w:spacing w:line="520" w:lineRule="exact"/>
              <w:rPr>
                <w:rFonts w:hint="eastAsia" w:ascii="仿宋" w:hAnsi="仿宋" w:eastAsia="仿宋" w:cs="仿宋"/>
                <w:color w:val="auto"/>
                <w:sz w:val="24"/>
                <w:highlight w:val="none"/>
              </w:rPr>
            </w:pPr>
          </w:p>
        </w:tc>
      </w:tr>
      <w:tr w14:paraId="618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14:paraId="6AD90607">
            <w:pPr>
              <w:spacing w:line="520" w:lineRule="exact"/>
              <w:rPr>
                <w:rFonts w:hint="eastAsia" w:ascii="仿宋" w:hAnsi="仿宋" w:eastAsia="仿宋" w:cs="仿宋"/>
                <w:color w:val="auto"/>
                <w:sz w:val="24"/>
                <w:highlight w:val="none"/>
              </w:rPr>
            </w:pPr>
          </w:p>
        </w:tc>
        <w:tc>
          <w:tcPr>
            <w:tcW w:w="1155" w:type="dxa"/>
          </w:tcPr>
          <w:p w14:paraId="5C82C664">
            <w:pPr>
              <w:spacing w:line="520" w:lineRule="exact"/>
              <w:rPr>
                <w:rFonts w:hint="eastAsia" w:ascii="仿宋" w:hAnsi="仿宋" w:eastAsia="仿宋" w:cs="仿宋"/>
                <w:color w:val="auto"/>
                <w:sz w:val="24"/>
                <w:highlight w:val="none"/>
              </w:rPr>
            </w:pPr>
          </w:p>
        </w:tc>
        <w:tc>
          <w:tcPr>
            <w:tcW w:w="1127" w:type="dxa"/>
          </w:tcPr>
          <w:p w14:paraId="6D0DBA50">
            <w:pPr>
              <w:spacing w:line="520" w:lineRule="exact"/>
              <w:rPr>
                <w:rFonts w:hint="eastAsia" w:ascii="仿宋" w:hAnsi="仿宋" w:eastAsia="仿宋" w:cs="仿宋"/>
                <w:color w:val="auto"/>
                <w:sz w:val="24"/>
                <w:highlight w:val="none"/>
              </w:rPr>
            </w:pPr>
          </w:p>
        </w:tc>
        <w:tc>
          <w:tcPr>
            <w:tcW w:w="1156" w:type="dxa"/>
          </w:tcPr>
          <w:p w14:paraId="77129D77">
            <w:pPr>
              <w:spacing w:line="520" w:lineRule="exact"/>
              <w:rPr>
                <w:rFonts w:hint="eastAsia" w:ascii="仿宋" w:hAnsi="仿宋" w:eastAsia="仿宋" w:cs="仿宋"/>
                <w:color w:val="auto"/>
                <w:sz w:val="24"/>
                <w:highlight w:val="none"/>
              </w:rPr>
            </w:pPr>
          </w:p>
        </w:tc>
        <w:tc>
          <w:tcPr>
            <w:tcW w:w="1156" w:type="dxa"/>
          </w:tcPr>
          <w:p w14:paraId="356EBACF">
            <w:pPr>
              <w:spacing w:line="520" w:lineRule="exact"/>
              <w:rPr>
                <w:rFonts w:hint="eastAsia" w:ascii="仿宋" w:hAnsi="仿宋" w:eastAsia="仿宋" w:cs="仿宋"/>
                <w:color w:val="auto"/>
                <w:sz w:val="24"/>
                <w:highlight w:val="none"/>
              </w:rPr>
            </w:pPr>
          </w:p>
        </w:tc>
        <w:tc>
          <w:tcPr>
            <w:tcW w:w="1130" w:type="dxa"/>
          </w:tcPr>
          <w:p w14:paraId="6186B3A2">
            <w:pPr>
              <w:spacing w:line="520" w:lineRule="exact"/>
              <w:rPr>
                <w:rFonts w:hint="eastAsia" w:ascii="仿宋" w:hAnsi="仿宋" w:eastAsia="仿宋" w:cs="仿宋"/>
                <w:color w:val="auto"/>
                <w:sz w:val="24"/>
                <w:highlight w:val="none"/>
              </w:rPr>
            </w:pPr>
          </w:p>
        </w:tc>
        <w:tc>
          <w:tcPr>
            <w:tcW w:w="1156" w:type="dxa"/>
          </w:tcPr>
          <w:p w14:paraId="2B21BE22">
            <w:pPr>
              <w:spacing w:line="520" w:lineRule="exact"/>
              <w:rPr>
                <w:rFonts w:hint="eastAsia" w:ascii="仿宋" w:hAnsi="仿宋" w:eastAsia="仿宋" w:cs="仿宋"/>
                <w:color w:val="auto"/>
                <w:sz w:val="24"/>
                <w:highlight w:val="none"/>
              </w:rPr>
            </w:pPr>
          </w:p>
        </w:tc>
        <w:tc>
          <w:tcPr>
            <w:tcW w:w="1123" w:type="dxa"/>
          </w:tcPr>
          <w:p w14:paraId="2665951D">
            <w:pPr>
              <w:spacing w:line="520" w:lineRule="exact"/>
              <w:rPr>
                <w:rFonts w:hint="eastAsia" w:ascii="仿宋" w:hAnsi="仿宋" w:eastAsia="仿宋" w:cs="仿宋"/>
                <w:color w:val="auto"/>
                <w:sz w:val="24"/>
                <w:highlight w:val="none"/>
              </w:rPr>
            </w:pPr>
          </w:p>
        </w:tc>
      </w:tr>
    </w:tbl>
    <w:p w14:paraId="3C770149">
      <w:pPr>
        <w:tabs>
          <w:tab w:val="center" w:pos="4832"/>
          <w:tab w:val="left" w:pos="7140"/>
        </w:tabs>
        <w:spacing w:line="520" w:lineRule="exact"/>
        <w:ind w:left="218" w:leftChars="-95" w:hanging="417" w:hangingChars="173"/>
        <w:outlineLvl w:val="1"/>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注：</w:t>
      </w:r>
      <w:r>
        <w:rPr>
          <w:rFonts w:hint="eastAsia" w:ascii="仿宋" w:hAnsi="仿宋" w:eastAsia="仿宋" w:cs="仿宋"/>
          <w:b/>
          <w:bCs w:val="0"/>
          <w:sz w:val="24"/>
          <w:highlight w:val="none"/>
        </w:rPr>
        <w:t>按照评审要求提供相应资料。</w:t>
      </w:r>
    </w:p>
    <w:p w14:paraId="291AEB76">
      <w:pPr>
        <w:widowControl/>
        <w:adjustRightInd w:val="0"/>
        <w:snapToGrid w:val="0"/>
        <w:spacing w:line="312" w:lineRule="auto"/>
        <w:ind w:firstLine="420" w:firstLineChars="200"/>
        <w:jc w:val="center"/>
        <w:rPr>
          <w:rFonts w:hint="eastAsia" w:ascii="仿宋" w:hAnsi="仿宋" w:eastAsia="仿宋" w:cs="仿宋"/>
          <w:color w:val="auto"/>
          <w:highlight w:val="none"/>
        </w:rPr>
      </w:pPr>
    </w:p>
    <w:p w14:paraId="2436D53F">
      <w:pPr>
        <w:widowControl/>
        <w:jc w:val="left"/>
        <w:rPr>
          <w:rFonts w:hint="eastAsia" w:ascii="仿宋" w:hAnsi="仿宋" w:eastAsia="仿宋" w:cs="仿宋"/>
          <w:b/>
          <w:bCs/>
          <w:color w:val="auto"/>
          <w:kern w:val="0"/>
          <w:sz w:val="24"/>
          <w:highlight w:val="none"/>
        </w:rPr>
      </w:pPr>
    </w:p>
    <w:p w14:paraId="5944A35D">
      <w:pPr>
        <w:widowControl/>
        <w:jc w:val="left"/>
        <w:rPr>
          <w:rFonts w:hint="eastAsia" w:ascii="仿宋" w:hAnsi="仿宋" w:eastAsia="仿宋" w:cs="仿宋"/>
          <w:b/>
          <w:bCs/>
          <w:color w:val="auto"/>
          <w:kern w:val="0"/>
          <w:sz w:val="24"/>
          <w:highlight w:val="none"/>
        </w:rPr>
      </w:pPr>
    </w:p>
    <w:p w14:paraId="209F8DD4">
      <w:pPr>
        <w:widowControl/>
        <w:jc w:val="left"/>
        <w:rPr>
          <w:rFonts w:hint="eastAsia" w:ascii="仿宋" w:hAnsi="仿宋" w:eastAsia="仿宋" w:cs="仿宋"/>
          <w:b/>
          <w:bCs/>
          <w:color w:val="auto"/>
          <w:kern w:val="0"/>
          <w:sz w:val="24"/>
          <w:highlight w:val="none"/>
        </w:rPr>
      </w:pPr>
    </w:p>
    <w:p w14:paraId="730D1B6D">
      <w:pPr>
        <w:widowControl/>
        <w:jc w:val="left"/>
        <w:rPr>
          <w:rFonts w:hint="eastAsia" w:ascii="仿宋" w:hAnsi="仿宋" w:eastAsia="仿宋" w:cs="仿宋"/>
          <w:b/>
          <w:bCs/>
          <w:color w:val="auto"/>
          <w:kern w:val="0"/>
          <w:sz w:val="24"/>
          <w:highlight w:val="none"/>
        </w:rPr>
      </w:pPr>
    </w:p>
    <w:p w14:paraId="4549B62C">
      <w:pPr>
        <w:widowControl/>
        <w:jc w:val="left"/>
        <w:rPr>
          <w:rFonts w:hint="eastAsia" w:ascii="仿宋" w:hAnsi="仿宋" w:eastAsia="仿宋" w:cs="仿宋"/>
          <w:b/>
          <w:bCs/>
          <w:color w:val="auto"/>
          <w:kern w:val="0"/>
          <w:sz w:val="24"/>
          <w:highlight w:val="none"/>
        </w:rPr>
      </w:pPr>
    </w:p>
    <w:p w14:paraId="2BB50290">
      <w:pPr>
        <w:widowControl/>
        <w:jc w:val="left"/>
        <w:rPr>
          <w:rFonts w:hint="eastAsia" w:ascii="仿宋" w:hAnsi="仿宋" w:eastAsia="仿宋" w:cs="仿宋"/>
          <w:b/>
          <w:bCs/>
          <w:color w:val="auto"/>
          <w:kern w:val="0"/>
          <w:sz w:val="24"/>
          <w:highlight w:val="none"/>
        </w:rPr>
      </w:pPr>
    </w:p>
    <w:p w14:paraId="650160DF">
      <w:pPr>
        <w:widowControl/>
        <w:jc w:val="left"/>
        <w:rPr>
          <w:rFonts w:hint="eastAsia" w:ascii="仿宋" w:hAnsi="仿宋" w:eastAsia="仿宋" w:cs="仿宋"/>
          <w:b/>
          <w:bCs/>
          <w:color w:val="auto"/>
          <w:kern w:val="0"/>
          <w:sz w:val="24"/>
          <w:highlight w:val="none"/>
        </w:rPr>
      </w:pPr>
    </w:p>
    <w:p w14:paraId="31CB81D2">
      <w:pPr>
        <w:widowControl/>
        <w:jc w:val="left"/>
        <w:rPr>
          <w:rFonts w:hint="eastAsia" w:ascii="仿宋" w:hAnsi="仿宋" w:eastAsia="仿宋" w:cs="仿宋"/>
          <w:b/>
          <w:bCs/>
          <w:color w:val="auto"/>
          <w:kern w:val="0"/>
          <w:sz w:val="24"/>
          <w:highlight w:val="none"/>
        </w:rPr>
      </w:pPr>
    </w:p>
    <w:p w14:paraId="0746B024">
      <w:pPr>
        <w:widowControl/>
        <w:jc w:val="left"/>
        <w:rPr>
          <w:rFonts w:hint="eastAsia" w:ascii="仿宋" w:hAnsi="仿宋" w:eastAsia="仿宋" w:cs="仿宋"/>
          <w:b/>
          <w:bCs/>
          <w:color w:val="auto"/>
          <w:kern w:val="0"/>
          <w:sz w:val="24"/>
          <w:highlight w:val="none"/>
        </w:rPr>
      </w:pPr>
    </w:p>
    <w:p w14:paraId="297E5A14">
      <w:pPr>
        <w:widowControl/>
        <w:jc w:val="left"/>
        <w:rPr>
          <w:rFonts w:hint="eastAsia" w:ascii="仿宋" w:hAnsi="仿宋" w:eastAsia="仿宋" w:cs="仿宋"/>
          <w:b/>
          <w:bCs/>
          <w:color w:val="auto"/>
          <w:kern w:val="0"/>
          <w:sz w:val="24"/>
          <w:highlight w:val="none"/>
        </w:rPr>
      </w:pPr>
    </w:p>
    <w:p w14:paraId="031A8304">
      <w:pPr>
        <w:widowControl/>
        <w:jc w:val="left"/>
        <w:rPr>
          <w:rFonts w:hint="eastAsia" w:ascii="仿宋" w:hAnsi="仿宋" w:eastAsia="仿宋" w:cs="仿宋"/>
          <w:b/>
          <w:bCs/>
          <w:color w:val="auto"/>
          <w:kern w:val="0"/>
          <w:sz w:val="24"/>
          <w:highlight w:val="none"/>
        </w:rPr>
      </w:pPr>
    </w:p>
    <w:p w14:paraId="47D0E25E">
      <w:pPr>
        <w:widowControl/>
        <w:jc w:val="left"/>
        <w:rPr>
          <w:rFonts w:hint="eastAsia" w:ascii="仿宋" w:hAnsi="仿宋" w:eastAsia="仿宋" w:cs="仿宋"/>
          <w:b/>
          <w:bCs/>
          <w:color w:val="auto"/>
          <w:kern w:val="0"/>
          <w:sz w:val="24"/>
          <w:highlight w:val="none"/>
        </w:rPr>
      </w:pPr>
    </w:p>
    <w:p w14:paraId="089CC04F">
      <w:pPr>
        <w:widowControl/>
        <w:jc w:val="left"/>
        <w:rPr>
          <w:rFonts w:hint="eastAsia" w:ascii="仿宋" w:hAnsi="仿宋" w:eastAsia="仿宋" w:cs="仿宋"/>
          <w:b/>
          <w:bCs/>
          <w:color w:val="auto"/>
          <w:kern w:val="0"/>
          <w:sz w:val="24"/>
          <w:highlight w:val="none"/>
        </w:rPr>
      </w:pPr>
    </w:p>
    <w:p w14:paraId="022BB8B4">
      <w:pPr>
        <w:widowControl/>
        <w:jc w:val="left"/>
        <w:rPr>
          <w:rFonts w:hint="eastAsia" w:ascii="仿宋" w:hAnsi="仿宋" w:eastAsia="仿宋" w:cs="仿宋"/>
          <w:b/>
          <w:bCs/>
          <w:color w:val="auto"/>
          <w:kern w:val="0"/>
          <w:sz w:val="24"/>
          <w:highlight w:val="none"/>
        </w:rPr>
      </w:pPr>
    </w:p>
    <w:p w14:paraId="420458E1">
      <w:pPr>
        <w:widowControl/>
        <w:jc w:val="left"/>
        <w:rPr>
          <w:rFonts w:hint="eastAsia" w:ascii="仿宋" w:hAnsi="仿宋" w:eastAsia="仿宋" w:cs="仿宋"/>
          <w:b/>
          <w:bCs/>
          <w:color w:val="auto"/>
          <w:kern w:val="0"/>
          <w:sz w:val="24"/>
          <w:highlight w:val="none"/>
        </w:rPr>
      </w:pPr>
    </w:p>
    <w:p w14:paraId="741AF8BE">
      <w:pPr>
        <w:widowControl/>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六</w:t>
      </w:r>
    </w:p>
    <w:p w14:paraId="73BB6AE0">
      <w:pPr>
        <w:widowControl/>
        <w:jc w:val="center"/>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val="en-US" w:eastAsia="zh-CN"/>
        </w:rPr>
        <w:t>技术方案</w:t>
      </w:r>
    </w:p>
    <w:p w14:paraId="75579B12">
      <w:pPr>
        <w:widowControl/>
        <w:jc w:val="left"/>
        <w:rPr>
          <w:rFonts w:hint="eastAsia" w:ascii="仿宋" w:hAnsi="仿宋" w:eastAsia="仿宋" w:cs="仿宋"/>
          <w:color w:val="auto"/>
          <w:sz w:val="24"/>
          <w:highlight w:val="none"/>
        </w:rPr>
      </w:pPr>
    </w:p>
    <w:p w14:paraId="5E5A7ED5">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格式由供应商自行确定</w:t>
      </w:r>
    </w:p>
    <w:p w14:paraId="7C8F16F7">
      <w:pPr>
        <w:pStyle w:val="3"/>
        <w:rPr>
          <w:rFonts w:hint="eastAsia" w:ascii="仿宋" w:hAnsi="仿宋" w:eastAsia="仿宋" w:cs="仿宋"/>
          <w:color w:val="auto"/>
          <w:highlight w:val="none"/>
        </w:rPr>
      </w:pPr>
    </w:p>
    <w:p w14:paraId="39DE21D3">
      <w:pPr>
        <w:rPr>
          <w:rFonts w:hint="eastAsia" w:ascii="仿宋" w:hAnsi="仿宋" w:eastAsia="仿宋" w:cs="仿宋"/>
          <w:color w:val="auto"/>
          <w:highlight w:val="none"/>
        </w:rPr>
      </w:pPr>
    </w:p>
    <w:p w14:paraId="4D9C32F0">
      <w:pPr>
        <w:pStyle w:val="2"/>
        <w:rPr>
          <w:rFonts w:hint="eastAsia" w:ascii="仿宋" w:hAnsi="仿宋" w:eastAsia="仿宋" w:cs="仿宋"/>
          <w:color w:val="auto"/>
          <w:highlight w:val="none"/>
        </w:rPr>
      </w:pPr>
    </w:p>
    <w:p w14:paraId="63852763">
      <w:pPr>
        <w:rPr>
          <w:rFonts w:hint="eastAsia" w:ascii="仿宋" w:hAnsi="仿宋" w:eastAsia="仿宋" w:cs="仿宋"/>
          <w:color w:val="auto"/>
          <w:highlight w:val="none"/>
        </w:rPr>
      </w:pPr>
    </w:p>
    <w:p w14:paraId="71882573">
      <w:pPr>
        <w:pStyle w:val="2"/>
        <w:rPr>
          <w:rFonts w:hint="eastAsia" w:ascii="仿宋" w:hAnsi="仿宋" w:eastAsia="仿宋" w:cs="仿宋"/>
          <w:color w:val="auto"/>
          <w:highlight w:val="none"/>
        </w:rPr>
      </w:pPr>
    </w:p>
    <w:p w14:paraId="1E231D00">
      <w:pPr>
        <w:rPr>
          <w:rFonts w:hint="eastAsia" w:ascii="仿宋" w:hAnsi="仿宋" w:eastAsia="仿宋" w:cs="仿宋"/>
          <w:color w:val="auto"/>
          <w:highlight w:val="none"/>
        </w:rPr>
      </w:pPr>
    </w:p>
    <w:p w14:paraId="28617164">
      <w:pPr>
        <w:pStyle w:val="2"/>
        <w:rPr>
          <w:rFonts w:hint="eastAsia" w:ascii="仿宋" w:hAnsi="仿宋" w:eastAsia="仿宋" w:cs="仿宋"/>
          <w:color w:val="auto"/>
          <w:highlight w:val="none"/>
        </w:rPr>
      </w:pPr>
    </w:p>
    <w:p w14:paraId="0F38D606">
      <w:pPr>
        <w:rPr>
          <w:rFonts w:hint="eastAsia" w:ascii="仿宋" w:hAnsi="仿宋" w:eastAsia="仿宋" w:cs="仿宋"/>
          <w:color w:val="auto"/>
          <w:highlight w:val="none"/>
        </w:rPr>
      </w:pPr>
    </w:p>
    <w:p w14:paraId="174604C9">
      <w:pPr>
        <w:pStyle w:val="2"/>
        <w:rPr>
          <w:rFonts w:hint="eastAsia" w:ascii="仿宋" w:hAnsi="仿宋" w:eastAsia="仿宋" w:cs="仿宋"/>
          <w:color w:val="auto"/>
          <w:highlight w:val="none"/>
        </w:rPr>
      </w:pPr>
    </w:p>
    <w:p w14:paraId="609D0BA8">
      <w:pPr>
        <w:rPr>
          <w:rFonts w:hint="eastAsia" w:ascii="仿宋" w:hAnsi="仿宋" w:eastAsia="仿宋" w:cs="仿宋"/>
          <w:color w:val="auto"/>
          <w:highlight w:val="none"/>
        </w:rPr>
      </w:pPr>
    </w:p>
    <w:p w14:paraId="4A999454">
      <w:pPr>
        <w:pStyle w:val="2"/>
        <w:rPr>
          <w:rFonts w:hint="eastAsia" w:ascii="仿宋" w:hAnsi="仿宋" w:eastAsia="仿宋" w:cs="仿宋"/>
          <w:color w:val="auto"/>
          <w:highlight w:val="none"/>
        </w:rPr>
      </w:pPr>
    </w:p>
    <w:p w14:paraId="20478A33">
      <w:pPr>
        <w:rPr>
          <w:rFonts w:hint="eastAsia" w:ascii="仿宋" w:hAnsi="仿宋" w:eastAsia="仿宋" w:cs="仿宋"/>
          <w:color w:val="auto"/>
          <w:highlight w:val="none"/>
        </w:rPr>
      </w:pPr>
    </w:p>
    <w:p w14:paraId="644B05F4">
      <w:pPr>
        <w:pStyle w:val="2"/>
        <w:rPr>
          <w:rFonts w:hint="eastAsia" w:ascii="仿宋" w:hAnsi="仿宋" w:eastAsia="仿宋" w:cs="仿宋"/>
          <w:color w:val="auto"/>
          <w:highlight w:val="none"/>
        </w:rPr>
      </w:pPr>
    </w:p>
    <w:p w14:paraId="303DD72A">
      <w:pPr>
        <w:rPr>
          <w:rFonts w:hint="eastAsia" w:ascii="仿宋" w:hAnsi="仿宋" w:eastAsia="仿宋" w:cs="仿宋"/>
          <w:color w:val="auto"/>
          <w:highlight w:val="none"/>
        </w:rPr>
      </w:pPr>
    </w:p>
    <w:p w14:paraId="612176D3">
      <w:pPr>
        <w:pStyle w:val="2"/>
        <w:rPr>
          <w:rFonts w:hint="eastAsia" w:ascii="仿宋" w:hAnsi="仿宋" w:eastAsia="仿宋" w:cs="仿宋"/>
          <w:color w:val="auto"/>
          <w:highlight w:val="none"/>
        </w:rPr>
      </w:pPr>
    </w:p>
    <w:p w14:paraId="4CD9A681">
      <w:pPr>
        <w:pStyle w:val="2"/>
        <w:rPr>
          <w:rFonts w:hint="eastAsia" w:ascii="仿宋" w:hAnsi="仿宋" w:eastAsia="仿宋" w:cs="仿宋"/>
          <w:color w:val="auto"/>
          <w:highlight w:val="none"/>
        </w:rPr>
      </w:pPr>
    </w:p>
    <w:p w14:paraId="2D5F7FF7">
      <w:pPr>
        <w:rPr>
          <w:rFonts w:hint="eastAsia" w:ascii="仿宋" w:hAnsi="仿宋" w:eastAsia="仿宋" w:cs="仿宋"/>
          <w:color w:val="auto"/>
          <w:highlight w:val="none"/>
        </w:rPr>
      </w:pPr>
    </w:p>
    <w:p w14:paraId="4454A6C5">
      <w:pPr>
        <w:pStyle w:val="2"/>
        <w:rPr>
          <w:rFonts w:hint="eastAsia" w:ascii="仿宋" w:hAnsi="仿宋" w:eastAsia="仿宋" w:cs="仿宋"/>
          <w:color w:val="auto"/>
          <w:highlight w:val="none"/>
        </w:rPr>
      </w:pPr>
    </w:p>
    <w:p w14:paraId="555619C2">
      <w:pPr>
        <w:pStyle w:val="54"/>
        <w:ind w:firstLine="0" w:firstLineChars="0"/>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投标保证金退还信息表</w:t>
      </w:r>
    </w:p>
    <w:p w14:paraId="435573E1">
      <w:pPr>
        <w:pStyle w:val="54"/>
        <w:ind w:firstLine="0" w:firstLineChars="0"/>
        <w:rPr>
          <w:rFonts w:hint="eastAsia" w:ascii="仿宋" w:hAnsi="仿宋" w:eastAsia="仿宋" w:cs="仿宋"/>
          <w:color w:val="auto"/>
          <w:szCs w:val="36"/>
          <w:highlight w:val="none"/>
        </w:rPr>
      </w:pPr>
    </w:p>
    <w:tbl>
      <w:tblPr>
        <w:tblStyle w:val="19"/>
        <w:tblW w:w="8260" w:type="dxa"/>
        <w:tblInd w:w="0" w:type="dxa"/>
        <w:tblLayout w:type="fixed"/>
        <w:tblCellMar>
          <w:top w:w="0" w:type="dxa"/>
          <w:left w:w="108" w:type="dxa"/>
          <w:bottom w:w="0" w:type="dxa"/>
          <w:right w:w="108" w:type="dxa"/>
        </w:tblCellMar>
      </w:tblPr>
      <w:tblGrid>
        <w:gridCol w:w="1758"/>
        <w:gridCol w:w="3064"/>
        <w:gridCol w:w="1"/>
        <w:gridCol w:w="1404"/>
        <w:gridCol w:w="2033"/>
      </w:tblGrid>
      <w:tr w14:paraId="2D35E51D">
        <w:tblPrEx>
          <w:tblCellMar>
            <w:top w:w="0" w:type="dxa"/>
            <w:left w:w="108" w:type="dxa"/>
            <w:bottom w:w="0" w:type="dxa"/>
            <w:right w:w="108" w:type="dxa"/>
          </w:tblCellMar>
        </w:tblPrEx>
        <w:trPr>
          <w:trHeight w:val="726" w:hRule="atLeast"/>
        </w:trPr>
        <w:tc>
          <w:tcPr>
            <w:tcW w:w="1758" w:type="dxa"/>
            <w:tcBorders>
              <w:top w:val="single" w:color="auto" w:sz="4" w:space="0"/>
              <w:left w:val="single" w:color="auto" w:sz="4" w:space="0"/>
              <w:bottom w:val="single" w:color="auto" w:sz="4" w:space="0"/>
              <w:right w:val="single" w:color="auto" w:sz="4" w:space="0"/>
            </w:tcBorders>
            <w:vAlign w:val="center"/>
          </w:tcPr>
          <w:p w14:paraId="44CC9BC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502" w:type="dxa"/>
            <w:gridSpan w:val="4"/>
            <w:tcBorders>
              <w:top w:val="single" w:color="auto" w:sz="4" w:space="0"/>
              <w:left w:val="nil"/>
              <w:bottom w:val="single" w:color="auto" w:sz="4" w:space="0"/>
              <w:right w:val="single" w:color="000000" w:sz="4" w:space="0"/>
            </w:tcBorders>
            <w:vAlign w:val="center"/>
          </w:tcPr>
          <w:p w14:paraId="765EA7A2">
            <w:pPr>
              <w:rPr>
                <w:rFonts w:hint="eastAsia" w:ascii="仿宋" w:hAnsi="仿宋" w:eastAsia="仿宋" w:cs="仿宋"/>
                <w:color w:val="auto"/>
                <w:sz w:val="28"/>
                <w:szCs w:val="28"/>
                <w:highlight w:val="none"/>
              </w:rPr>
            </w:pPr>
          </w:p>
        </w:tc>
      </w:tr>
      <w:tr w14:paraId="78D46AFD">
        <w:tblPrEx>
          <w:tblCellMar>
            <w:top w:w="0" w:type="dxa"/>
            <w:left w:w="108" w:type="dxa"/>
            <w:bottom w:w="0" w:type="dxa"/>
            <w:right w:w="108" w:type="dxa"/>
          </w:tblCellMar>
        </w:tblPrEx>
        <w:trPr>
          <w:trHeight w:val="726" w:hRule="atLeast"/>
        </w:trPr>
        <w:tc>
          <w:tcPr>
            <w:tcW w:w="1758" w:type="dxa"/>
            <w:tcBorders>
              <w:top w:val="single" w:color="auto" w:sz="4" w:space="0"/>
              <w:left w:val="single" w:color="auto" w:sz="4" w:space="0"/>
              <w:bottom w:val="single" w:color="auto" w:sz="4" w:space="0"/>
              <w:right w:val="single" w:color="auto" w:sz="4" w:space="0"/>
            </w:tcBorders>
            <w:vAlign w:val="center"/>
          </w:tcPr>
          <w:p w14:paraId="55641C8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6502" w:type="dxa"/>
            <w:gridSpan w:val="4"/>
            <w:tcBorders>
              <w:top w:val="single" w:color="auto" w:sz="4" w:space="0"/>
              <w:left w:val="nil"/>
              <w:bottom w:val="single" w:color="auto" w:sz="4" w:space="0"/>
              <w:right w:val="single" w:color="000000" w:sz="4" w:space="0"/>
            </w:tcBorders>
            <w:vAlign w:val="center"/>
          </w:tcPr>
          <w:p w14:paraId="6C915C50">
            <w:pPr>
              <w:rPr>
                <w:rFonts w:hint="eastAsia" w:ascii="仿宋" w:hAnsi="仿宋" w:eastAsia="仿宋" w:cs="仿宋"/>
                <w:color w:val="auto"/>
                <w:sz w:val="28"/>
                <w:szCs w:val="28"/>
                <w:highlight w:val="none"/>
              </w:rPr>
            </w:pPr>
          </w:p>
        </w:tc>
      </w:tr>
      <w:tr w14:paraId="73B2BCE1">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348D071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065" w:type="dxa"/>
            <w:gridSpan w:val="2"/>
            <w:tcBorders>
              <w:top w:val="single" w:color="auto" w:sz="4" w:space="0"/>
              <w:left w:val="nil"/>
              <w:bottom w:val="single" w:color="auto" w:sz="4" w:space="0"/>
              <w:right w:val="single" w:color="000000" w:sz="4" w:space="0"/>
            </w:tcBorders>
            <w:vAlign w:val="center"/>
          </w:tcPr>
          <w:p w14:paraId="79F823B7">
            <w:pPr>
              <w:rPr>
                <w:rFonts w:hint="eastAsia" w:ascii="仿宋" w:hAnsi="仿宋" w:eastAsia="仿宋" w:cs="仿宋"/>
                <w:color w:val="auto"/>
                <w:sz w:val="28"/>
                <w:szCs w:val="28"/>
                <w:highlight w:val="none"/>
              </w:rPr>
            </w:pPr>
          </w:p>
        </w:tc>
        <w:tc>
          <w:tcPr>
            <w:tcW w:w="1404" w:type="dxa"/>
            <w:tcBorders>
              <w:top w:val="nil"/>
              <w:left w:val="nil"/>
              <w:bottom w:val="single" w:color="auto" w:sz="4" w:space="0"/>
              <w:right w:val="single" w:color="auto" w:sz="4" w:space="0"/>
            </w:tcBorders>
            <w:vAlign w:val="center"/>
          </w:tcPr>
          <w:p w14:paraId="4D02804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033" w:type="dxa"/>
            <w:tcBorders>
              <w:top w:val="single" w:color="auto" w:sz="4" w:space="0"/>
              <w:left w:val="nil"/>
              <w:bottom w:val="single" w:color="auto" w:sz="4" w:space="0"/>
              <w:right w:val="single" w:color="000000" w:sz="4" w:space="0"/>
            </w:tcBorders>
            <w:vAlign w:val="center"/>
          </w:tcPr>
          <w:p w14:paraId="7D974D1D">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222DD1E7">
        <w:tblPrEx>
          <w:tblCellMar>
            <w:top w:w="0" w:type="dxa"/>
            <w:left w:w="108" w:type="dxa"/>
            <w:bottom w:w="0" w:type="dxa"/>
            <w:right w:w="108" w:type="dxa"/>
          </w:tblCellMar>
        </w:tblPrEx>
        <w:trPr>
          <w:trHeight w:val="726" w:hRule="atLeast"/>
        </w:trPr>
        <w:tc>
          <w:tcPr>
            <w:tcW w:w="8260" w:type="dxa"/>
            <w:gridSpan w:val="5"/>
            <w:tcBorders>
              <w:top w:val="nil"/>
              <w:left w:val="single" w:color="auto" w:sz="4" w:space="0"/>
              <w:bottom w:val="single" w:color="auto" w:sz="4" w:space="0"/>
              <w:right w:val="single" w:color="000000" w:sz="4" w:space="0"/>
            </w:tcBorders>
            <w:vAlign w:val="center"/>
          </w:tcPr>
          <w:p w14:paraId="3DC331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B96CFD1">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1D0F99E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064" w:type="dxa"/>
            <w:tcBorders>
              <w:top w:val="single" w:color="auto" w:sz="4" w:space="0"/>
              <w:left w:val="nil"/>
              <w:bottom w:val="single" w:color="auto" w:sz="4" w:space="0"/>
              <w:right w:val="single" w:color="000000" w:sz="4" w:space="0"/>
            </w:tcBorders>
            <w:vAlign w:val="center"/>
          </w:tcPr>
          <w:p w14:paraId="24EFB476">
            <w:pPr>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40B473A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033" w:type="dxa"/>
            <w:tcBorders>
              <w:top w:val="single" w:color="auto" w:sz="4" w:space="0"/>
              <w:left w:val="nil"/>
              <w:bottom w:val="single" w:color="auto" w:sz="4" w:space="0"/>
              <w:right w:val="single" w:color="000000" w:sz="4" w:space="0"/>
            </w:tcBorders>
            <w:vAlign w:val="center"/>
          </w:tcPr>
          <w:p w14:paraId="034D3EAC">
            <w:pPr>
              <w:jc w:val="center"/>
              <w:rPr>
                <w:rFonts w:hint="eastAsia" w:ascii="仿宋" w:hAnsi="仿宋" w:eastAsia="仿宋" w:cs="仿宋"/>
                <w:color w:val="auto"/>
                <w:sz w:val="28"/>
                <w:szCs w:val="28"/>
                <w:highlight w:val="none"/>
              </w:rPr>
            </w:pPr>
          </w:p>
        </w:tc>
      </w:tr>
      <w:tr w14:paraId="61C6DC02">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515C7C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064" w:type="dxa"/>
            <w:tcBorders>
              <w:top w:val="single" w:color="auto" w:sz="4" w:space="0"/>
              <w:left w:val="nil"/>
              <w:bottom w:val="single" w:color="auto" w:sz="4" w:space="0"/>
              <w:right w:val="single" w:color="000000" w:sz="4" w:space="0"/>
            </w:tcBorders>
            <w:vAlign w:val="center"/>
          </w:tcPr>
          <w:p w14:paraId="09C0AB38">
            <w:pPr>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6826A6A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033" w:type="dxa"/>
            <w:tcBorders>
              <w:top w:val="single" w:color="auto" w:sz="4" w:space="0"/>
              <w:left w:val="nil"/>
              <w:bottom w:val="single" w:color="auto" w:sz="4" w:space="0"/>
              <w:right w:val="single" w:color="000000" w:sz="4" w:space="0"/>
            </w:tcBorders>
            <w:vAlign w:val="center"/>
          </w:tcPr>
          <w:p w14:paraId="11F8694C">
            <w:pPr>
              <w:jc w:val="center"/>
              <w:rPr>
                <w:rFonts w:hint="eastAsia" w:ascii="仿宋" w:hAnsi="仿宋" w:eastAsia="仿宋" w:cs="仿宋"/>
                <w:color w:val="auto"/>
                <w:sz w:val="28"/>
                <w:szCs w:val="28"/>
                <w:highlight w:val="none"/>
              </w:rPr>
            </w:pPr>
          </w:p>
        </w:tc>
      </w:tr>
      <w:tr w14:paraId="74806558">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54ECE0E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064" w:type="dxa"/>
            <w:tcBorders>
              <w:top w:val="single" w:color="auto" w:sz="4" w:space="0"/>
              <w:left w:val="nil"/>
              <w:bottom w:val="single" w:color="auto" w:sz="4" w:space="0"/>
              <w:right w:val="single" w:color="000000" w:sz="4" w:space="0"/>
            </w:tcBorders>
            <w:vAlign w:val="center"/>
          </w:tcPr>
          <w:p w14:paraId="37EF6025">
            <w:pPr>
              <w:jc w:val="center"/>
              <w:rPr>
                <w:rFonts w:hint="eastAsia" w:ascii="仿宋" w:hAnsi="仿宋" w:eastAsia="仿宋" w:cs="仿宋"/>
                <w:color w:val="auto"/>
                <w:sz w:val="28"/>
                <w:szCs w:val="28"/>
                <w:highlight w:val="none"/>
              </w:rPr>
            </w:pPr>
          </w:p>
        </w:tc>
        <w:tc>
          <w:tcPr>
            <w:tcW w:w="1405" w:type="dxa"/>
            <w:gridSpan w:val="2"/>
            <w:tcBorders>
              <w:top w:val="nil"/>
              <w:left w:val="nil"/>
              <w:bottom w:val="single" w:color="auto" w:sz="4" w:space="0"/>
              <w:right w:val="single" w:color="auto" w:sz="4" w:space="0"/>
            </w:tcBorders>
            <w:vAlign w:val="center"/>
          </w:tcPr>
          <w:p w14:paraId="0FD4E75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033" w:type="dxa"/>
            <w:tcBorders>
              <w:top w:val="single" w:color="auto" w:sz="4" w:space="0"/>
              <w:left w:val="nil"/>
              <w:bottom w:val="single" w:color="auto" w:sz="4" w:space="0"/>
              <w:right w:val="single" w:color="000000" w:sz="4" w:space="0"/>
            </w:tcBorders>
            <w:vAlign w:val="center"/>
          </w:tcPr>
          <w:p w14:paraId="073F3D92">
            <w:pPr>
              <w:jc w:val="center"/>
              <w:rPr>
                <w:rFonts w:hint="eastAsia" w:ascii="仿宋" w:hAnsi="仿宋" w:eastAsia="仿宋" w:cs="仿宋"/>
                <w:color w:val="auto"/>
                <w:sz w:val="28"/>
                <w:szCs w:val="28"/>
                <w:highlight w:val="none"/>
              </w:rPr>
            </w:pPr>
          </w:p>
        </w:tc>
      </w:tr>
      <w:tr w14:paraId="0EBEEE1B">
        <w:tblPrEx>
          <w:tblCellMar>
            <w:top w:w="0" w:type="dxa"/>
            <w:left w:w="108" w:type="dxa"/>
            <w:bottom w:w="0" w:type="dxa"/>
            <w:right w:w="108" w:type="dxa"/>
          </w:tblCellMar>
        </w:tblPrEx>
        <w:trPr>
          <w:trHeight w:val="726" w:hRule="atLeast"/>
        </w:trPr>
        <w:tc>
          <w:tcPr>
            <w:tcW w:w="1758" w:type="dxa"/>
            <w:tcBorders>
              <w:top w:val="nil"/>
              <w:left w:val="single" w:color="auto" w:sz="4" w:space="0"/>
              <w:bottom w:val="single" w:color="auto" w:sz="4" w:space="0"/>
              <w:right w:val="single" w:color="auto" w:sz="4" w:space="0"/>
            </w:tcBorders>
            <w:vAlign w:val="center"/>
          </w:tcPr>
          <w:p w14:paraId="2B4E66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6502" w:type="dxa"/>
            <w:gridSpan w:val="4"/>
            <w:tcBorders>
              <w:top w:val="single" w:color="auto" w:sz="4" w:space="0"/>
              <w:left w:val="nil"/>
              <w:bottom w:val="single" w:color="auto" w:sz="4" w:space="0"/>
              <w:right w:val="single" w:color="000000" w:sz="4" w:space="0"/>
            </w:tcBorders>
            <w:vAlign w:val="center"/>
          </w:tcPr>
          <w:p w14:paraId="0C777206">
            <w:pPr>
              <w:jc w:val="center"/>
              <w:rPr>
                <w:rFonts w:hint="eastAsia" w:ascii="仿宋" w:hAnsi="仿宋" w:eastAsia="仿宋" w:cs="仿宋"/>
                <w:color w:val="auto"/>
                <w:sz w:val="28"/>
                <w:szCs w:val="28"/>
                <w:highlight w:val="none"/>
              </w:rPr>
            </w:pPr>
          </w:p>
        </w:tc>
      </w:tr>
    </w:tbl>
    <w:p w14:paraId="05F3619E">
      <w:pPr>
        <w:pStyle w:val="5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526B3028">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52119563">
      <w:pPr>
        <w:rPr>
          <w:rFonts w:hint="eastAsia" w:ascii="仿宋" w:hAnsi="仿宋" w:eastAsia="仿宋" w:cs="仿宋"/>
          <w:color w:val="auto"/>
          <w:highlight w:val="none"/>
        </w:rPr>
      </w:pPr>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8B9D">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D09F">
    <w:pPr>
      <w:pStyle w:val="2"/>
      <w:tabs>
        <w:tab w:val="center" w:pos="4153"/>
      </w:tabs>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642A1">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E642A1">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0A8C">
    <w:pPr>
      <w:pStyle w:val="1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360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E903">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50"/>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MmVkOTA1MjFjYzMwZWNmZGFhODliZDBjZWU4YWMifQ=="/>
  </w:docVars>
  <w:rsids>
    <w:rsidRoot w:val="00000000"/>
    <w:rsid w:val="001C048E"/>
    <w:rsid w:val="00D76974"/>
    <w:rsid w:val="04860E14"/>
    <w:rsid w:val="05C84C14"/>
    <w:rsid w:val="06C07699"/>
    <w:rsid w:val="074C707C"/>
    <w:rsid w:val="08803584"/>
    <w:rsid w:val="08B730D7"/>
    <w:rsid w:val="09680BF5"/>
    <w:rsid w:val="09B07E99"/>
    <w:rsid w:val="0B8F520A"/>
    <w:rsid w:val="0D941D73"/>
    <w:rsid w:val="0DCA4611"/>
    <w:rsid w:val="0F252EEB"/>
    <w:rsid w:val="0F3E7495"/>
    <w:rsid w:val="0F580DB7"/>
    <w:rsid w:val="1119669D"/>
    <w:rsid w:val="115C64EA"/>
    <w:rsid w:val="123A246D"/>
    <w:rsid w:val="12C808BA"/>
    <w:rsid w:val="13907EC5"/>
    <w:rsid w:val="144C6C7C"/>
    <w:rsid w:val="14D0409B"/>
    <w:rsid w:val="15B04BDF"/>
    <w:rsid w:val="16105D97"/>
    <w:rsid w:val="1778735F"/>
    <w:rsid w:val="1A412C43"/>
    <w:rsid w:val="1AAB3B53"/>
    <w:rsid w:val="1BDC28D5"/>
    <w:rsid w:val="1D3C3AC6"/>
    <w:rsid w:val="206804E0"/>
    <w:rsid w:val="20B56069"/>
    <w:rsid w:val="21BB4D72"/>
    <w:rsid w:val="22CD0F59"/>
    <w:rsid w:val="23E51BC6"/>
    <w:rsid w:val="252D2B24"/>
    <w:rsid w:val="25E86342"/>
    <w:rsid w:val="26467763"/>
    <w:rsid w:val="26D327BA"/>
    <w:rsid w:val="2B7E34FB"/>
    <w:rsid w:val="2D2F0F51"/>
    <w:rsid w:val="2F4B7F4B"/>
    <w:rsid w:val="2FEB289F"/>
    <w:rsid w:val="32FF0B91"/>
    <w:rsid w:val="33C61EE3"/>
    <w:rsid w:val="33E81371"/>
    <w:rsid w:val="35952BF7"/>
    <w:rsid w:val="36897924"/>
    <w:rsid w:val="37966E6D"/>
    <w:rsid w:val="38303042"/>
    <w:rsid w:val="3BAB4D14"/>
    <w:rsid w:val="3C3E2F5F"/>
    <w:rsid w:val="3C6041EB"/>
    <w:rsid w:val="3D0E6439"/>
    <w:rsid w:val="3D9F7A2D"/>
    <w:rsid w:val="3F29033E"/>
    <w:rsid w:val="41DD2DCF"/>
    <w:rsid w:val="43D21C52"/>
    <w:rsid w:val="458C0B78"/>
    <w:rsid w:val="48D76282"/>
    <w:rsid w:val="48DE0975"/>
    <w:rsid w:val="4B8914E6"/>
    <w:rsid w:val="4BBC79FC"/>
    <w:rsid w:val="4BDE48CB"/>
    <w:rsid w:val="4E1458CD"/>
    <w:rsid w:val="4ED22A57"/>
    <w:rsid w:val="4EEC684A"/>
    <w:rsid w:val="4F9240A0"/>
    <w:rsid w:val="4FB37368"/>
    <w:rsid w:val="5020641D"/>
    <w:rsid w:val="5027549E"/>
    <w:rsid w:val="52FE34A7"/>
    <w:rsid w:val="541038AC"/>
    <w:rsid w:val="544D7FC3"/>
    <w:rsid w:val="554D4420"/>
    <w:rsid w:val="55603AEE"/>
    <w:rsid w:val="55CD4B1F"/>
    <w:rsid w:val="56963ABF"/>
    <w:rsid w:val="57C9597B"/>
    <w:rsid w:val="58C148A4"/>
    <w:rsid w:val="59482E75"/>
    <w:rsid w:val="5CBC5AAE"/>
    <w:rsid w:val="5EC78FD9"/>
    <w:rsid w:val="5FB3DF45"/>
    <w:rsid w:val="5FC92290"/>
    <w:rsid w:val="60B5138D"/>
    <w:rsid w:val="617A20F4"/>
    <w:rsid w:val="61CC3189"/>
    <w:rsid w:val="62361E5F"/>
    <w:rsid w:val="663D595A"/>
    <w:rsid w:val="67E33FB4"/>
    <w:rsid w:val="68001801"/>
    <w:rsid w:val="6D940137"/>
    <w:rsid w:val="6E745C57"/>
    <w:rsid w:val="6E781064"/>
    <w:rsid w:val="6EEA2DC5"/>
    <w:rsid w:val="6F30606C"/>
    <w:rsid w:val="70531DC9"/>
    <w:rsid w:val="70C8028F"/>
    <w:rsid w:val="712A74C2"/>
    <w:rsid w:val="71F40803"/>
    <w:rsid w:val="731E2BC7"/>
    <w:rsid w:val="748051BB"/>
    <w:rsid w:val="75741C6E"/>
    <w:rsid w:val="75976C60"/>
    <w:rsid w:val="761B163F"/>
    <w:rsid w:val="7A1940E8"/>
    <w:rsid w:val="7E7C5F2B"/>
    <w:rsid w:val="7F491AE6"/>
    <w:rsid w:val="7F6F6D46"/>
    <w:rsid w:val="B77FDE84"/>
    <w:rsid w:val="BFDDC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20">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360" w:lineRule="auto"/>
      <w:jc w:val="left"/>
    </w:pPr>
    <w:rPr>
      <w:rFonts w:ascii="宋体"/>
      <w:color w:val="000000"/>
      <w:sz w:val="28"/>
      <w:szCs w:val="32"/>
    </w:rPr>
  </w:style>
  <w:style w:type="paragraph" w:styleId="6">
    <w:name w:val="Normal Indent"/>
    <w:basedOn w:val="1"/>
    <w:next w:val="7"/>
    <w:qFormat/>
    <w:uiPriority w:val="99"/>
  </w:style>
  <w:style w:type="paragraph" w:styleId="7">
    <w:name w:val="Body Text First Indent"/>
    <w:basedOn w:val="2"/>
    <w:qFormat/>
    <w:uiPriority w:val="0"/>
    <w:pPr>
      <w:autoSpaceDE/>
      <w:autoSpaceDN/>
      <w:adjustRightInd/>
      <w:spacing w:after="120" w:line="240" w:lineRule="auto"/>
      <w:ind w:firstLine="420" w:firstLineChars="100"/>
      <w:jc w:val="both"/>
    </w:pPr>
    <w:rPr>
      <w:sz w:val="21"/>
    </w:rPr>
  </w:style>
  <w:style w:type="paragraph" w:styleId="8">
    <w:name w:val="annotation text"/>
    <w:basedOn w:val="1"/>
    <w:link w:val="64"/>
    <w:qFormat/>
    <w:uiPriority w:val="0"/>
    <w:pPr>
      <w:jc w:val="left"/>
    </w:pPr>
  </w:style>
  <w:style w:type="paragraph" w:styleId="9">
    <w:name w:val="Body Text Indent"/>
    <w:basedOn w:val="1"/>
    <w:next w:val="10"/>
    <w:qFormat/>
    <w:uiPriority w:val="0"/>
    <w:pPr>
      <w:autoSpaceDE w:val="0"/>
      <w:autoSpaceDN w:val="0"/>
      <w:adjustRightInd w:val="0"/>
      <w:spacing w:line="360" w:lineRule="auto"/>
      <w:ind w:left="567" w:leftChars="270"/>
    </w:pPr>
    <w:rPr>
      <w:rFonts w:ascii="宋体"/>
      <w:color w:val="000000"/>
      <w:sz w:val="32"/>
      <w:szCs w:val="32"/>
    </w:rPr>
  </w:style>
  <w:style w:type="paragraph" w:styleId="10">
    <w:name w:val="envelope return"/>
    <w:basedOn w:val="1"/>
    <w:qFormat/>
    <w:uiPriority w:val="0"/>
    <w:pPr>
      <w:snapToGrid w:val="0"/>
    </w:pPr>
    <w:rPr>
      <w:rFonts w:ascii="Arial" w:hAnsi="Arial"/>
    </w:rPr>
  </w:style>
  <w:style w:type="paragraph" w:styleId="11">
    <w:name w:val="Plain Text"/>
    <w:basedOn w:val="1"/>
    <w:link w:val="63"/>
    <w:qFormat/>
    <w:uiPriority w:val="99"/>
    <w:rPr>
      <w:rFonts w:ascii="宋体" w:hAnsi="Courier New" w:cs="Courier New"/>
      <w:szCs w:val="21"/>
    </w:rPr>
  </w:style>
  <w:style w:type="paragraph" w:styleId="12">
    <w:name w:val="Body Text Indent 2"/>
    <w:basedOn w:val="1"/>
    <w:link w:val="68"/>
    <w:qFormat/>
    <w:uiPriority w:val="99"/>
    <w:pPr>
      <w:autoSpaceDE w:val="0"/>
      <w:autoSpaceDN w:val="0"/>
      <w:adjustRightInd w:val="0"/>
      <w:spacing w:line="360" w:lineRule="auto"/>
      <w:ind w:left="1415" w:leftChars="674" w:firstLine="1"/>
      <w:jc w:val="left"/>
    </w:pPr>
    <w:rPr>
      <w:rFonts w:ascii="幼圆" w:eastAsia="幼圆"/>
      <w:color w:val="000000"/>
      <w:sz w:val="30"/>
      <w:szCs w:val="32"/>
    </w:rPr>
  </w:style>
  <w:style w:type="paragraph" w:styleId="13">
    <w:name w:val="Balloon Text"/>
    <w:basedOn w:val="1"/>
    <w:link w:val="6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cs="Calibri"/>
      <w:b/>
      <w:bCs/>
      <w:caps/>
      <w:sz w:val="20"/>
      <w:szCs w:val="20"/>
    </w:r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annotation subject"/>
    <w:basedOn w:val="8"/>
    <w:next w:val="8"/>
    <w:link w:val="65"/>
    <w:qFormat/>
    <w:uiPriority w:val="0"/>
    <w:rPr>
      <w:b/>
      <w:bCs/>
    </w:rPr>
  </w:style>
  <w:style w:type="character" w:styleId="21">
    <w:name w:val="Strong"/>
    <w:basedOn w:val="20"/>
    <w:qFormat/>
    <w:uiPriority w:val="0"/>
    <w:rPr>
      <w:b/>
    </w:rPr>
  </w:style>
  <w:style w:type="character" w:styleId="22">
    <w:name w:val="Hyperlink"/>
    <w:qFormat/>
    <w:uiPriority w:val="0"/>
    <w:rPr>
      <w:color w:val="0000FF"/>
      <w:u w:val="single"/>
    </w:rPr>
  </w:style>
  <w:style w:type="character" w:styleId="23">
    <w:name w:val="annotation reference"/>
    <w:basedOn w:val="20"/>
    <w:qFormat/>
    <w:uiPriority w:val="0"/>
    <w:rPr>
      <w:sz w:val="21"/>
      <w:szCs w:val="21"/>
    </w:rPr>
  </w:style>
  <w:style w:type="character" w:styleId="24">
    <w:name w:val="footnote reference"/>
    <w:qFormat/>
    <w:uiPriority w:val="0"/>
    <w:rPr>
      <w:vertAlign w:val="superscript"/>
    </w:rPr>
  </w:style>
  <w:style w:type="paragraph" w:customStyle="1" w:styleId="25">
    <w:name w:val="_Style 20"/>
    <w:basedOn w:val="1"/>
    <w:qFormat/>
    <w:uiPriority w:val="0"/>
    <w:rPr>
      <w:rFonts w:ascii="Tahoma" w:hAnsi="Tahoma"/>
      <w:sz w:val="24"/>
      <w:szCs w:val="20"/>
    </w:rPr>
  </w:style>
  <w:style w:type="paragraph" w:customStyle="1" w:styleId="26">
    <w:name w:val="正文_2"/>
    <w:basedOn w:val="27"/>
    <w:next w:val="1"/>
    <w:qFormat/>
    <w:uiPriority w:val="0"/>
    <w:rPr>
      <w:szCs w:val="24"/>
    </w:rPr>
  </w:style>
  <w:style w:type="paragraph" w:customStyle="1" w:styleId="27">
    <w:name w:val="正文_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28">
    <w:name w:val="正文_1_0"/>
    <w:basedOn w:val="29"/>
    <w:next w:val="35"/>
    <w:qFormat/>
    <w:uiPriority w:val="0"/>
    <w:rPr>
      <w:szCs w:val="24"/>
    </w:rPr>
  </w:style>
  <w:style w:type="paragraph" w:customStyle="1" w:styleId="29">
    <w:name w:val="正文_2_0_0"/>
    <w:basedOn w:val="30"/>
    <w:next w:val="31"/>
    <w:qFormat/>
    <w:uiPriority w:val="0"/>
    <w:rPr>
      <w:rFonts w:ascii="Calibri" w:hAnsi="Calibri"/>
      <w:szCs w:val="22"/>
    </w:rPr>
  </w:style>
  <w:style w:type="paragraph" w:customStyle="1" w:styleId="30">
    <w:name w:val="正文_3_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
    <w:name w:val="正文文本_0_1"/>
    <w:basedOn w:val="32"/>
    <w:qFormat/>
    <w:uiPriority w:val="0"/>
    <w:pPr>
      <w:spacing w:after="120"/>
    </w:pPr>
    <w:rPr>
      <w:rFonts w:ascii="Calibri" w:hAnsi="Calibri"/>
      <w:kern w:val="0"/>
      <w:sz w:val="20"/>
    </w:rPr>
  </w:style>
  <w:style w:type="paragraph" w:customStyle="1" w:styleId="32">
    <w:name w:val="正文_2_2"/>
    <w:next w:val="3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3">
    <w:name w:val="正文首行缩进 2_0"/>
    <w:basedOn w:val="34"/>
    <w:qFormat/>
    <w:uiPriority w:val="0"/>
    <w:pPr>
      <w:ind w:firstLine="420" w:firstLineChars="200"/>
    </w:pPr>
  </w:style>
  <w:style w:type="paragraph" w:customStyle="1" w:styleId="34">
    <w:name w:val="正文文本缩进_0_1"/>
    <w:basedOn w:val="30"/>
    <w:qFormat/>
    <w:uiPriority w:val="0"/>
    <w:pPr>
      <w:spacing w:line="500" w:lineRule="exact"/>
      <w:ind w:left="1588" w:leftChars="832" w:firstLine="433" w:firstLineChars="196"/>
    </w:pPr>
    <w:rPr>
      <w:rFonts w:ascii="Calibri" w:hAnsi="Calibri"/>
      <w:sz w:val="24"/>
    </w:rPr>
  </w:style>
  <w:style w:type="paragraph" w:customStyle="1" w:styleId="35">
    <w:name w:val="正文首行缩进1"/>
    <w:basedOn w:val="36"/>
    <w:qFormat/>
    <w:uiPriority w:val="99"/>
    <w:pPr>
      <w:ind w:firstLine="420" w:firstLineChars="100"/>
    </w:pPr>
    <w:rPr>
      <w:szCs w:val="22"/>
    </w:rPr>
  </w:style>
  <w:style w:type="paragraph" w:customStyle="1" w:styleId="36">
    <w:name w:val="正文文本_0_0"/>
    <w:basedOn w:val="37"/>
    <w:qFormat/>
    <w:uiPriority w:val="0"/>
    <w:pPr>
      <w:spacing w:after="120"/>
    </w:pPr>
    <w:rPr>
      <w:rFonts w:ascii="Calibri" w:hAnsi="Calibri"/>
      <w:kern w:val="0"/>
      <w:sz w:val="20"/>
    </w:rPr>
  </w:style>
  <w:style w:type="paragraph" w:customStyle="1" w:styleId="37">
    <w:name w:val="正文_1_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
    <w:name w:val="正文3"/>
    <w:qFormat/>
    <w:uiPriority w:val="0"/>
    <w:pPr>
      <w:widowControl w:val="0"/>
      <w:spacing w:after="160" w:line="278" w:lineRule="auto"/>
      <w:jc w:val="both"/>
    </w:pPr>
    <w:rPr>
      <w:rFonts w:ascii="Calibri" w:hAnsi="Calibri" w:eastAsia="Times New Roman" w:cs="Times New Roman"/>
      <w:sz w:val="21"/>
      <w:szCs w:val="22"/>
      <w:lang w:val="en-US" w:eastAsia="zh-CN" w:bidi="ar-SA"/>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2"/>
    </w:rPr>
  </w:style>
  <w:style w:type="paragraph" w:customStyle="1" w:styleId="40">
    <w:name w:val="缺省文本"/>
    <w:qFormat/>
    <w:uiPriority w:val="0"/>
    <w:pPr>
      <w:widowControl w:val="0"/>
      <w:autoSpaceDE w:val="0"/>
      <w:autoSpaceDN w:val="0"/>
      <w:adjustRightInd w:val="0"/>
      <w:spacing w:after="160" w:line="278" w:lineRule="auto"/>
    </w:pPr>
    <w:rPr>
      <w:rFonts w:ascii="Times New Roman" w:hAnsi="Times New Roman" w:eastAsia="宋体" w:cs="Times New Roman"/>
      <w:color w:val="000000"/>
      <w:sz w:val="21"/>
      <w:szCs w:val="24"/>
      <w:lang w:val="en-US" w:eastAsia="zh-CN" w:bidi="ar-SA"/>
    </w:rPr>
  </w:style>
  <w:style w:type="paragraph" w:customStyle="1" w:styleId="41">
    <w:name w:val="Default Text"/>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42">
    <w:name w:val="正文_0_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44">
    <w:name w:val="Normal_0_0"/>
    <w:qFormat/>
    <w:uiPriority w:val="0"/>
    <w:pPr>
      <w:widowControl w:val="0"/>
      <w:spacing w:after="160" w:line="278" w:lineRule="auto"/>
      <w:jc w:val="both"/>
    </w:pPr>
    <w:rPr>
      <w:rFonts w:ascii="Times New Roman" w:hAnsi="Times New Roman" w:eastAsia="Times New Roman" w:cs="Times New Roman"/>
      <w:sz w:val="21"/>
      <w:szCs w:val="22"/>
      <w:lang w:val="en-US" w:eastAsia="zh-CN" w:bidi="ar-SA"/>
    </w:rPr>
  </w:style>
  <w:style w:type="paragraph" w:customStyle="1" w:styleId="45">
    <w:name w:val="WPS Plain"/>
    <w:qFormat/>
    <w:uiPriority w:val="0"/>
    <w:pPr>
      <w:spacing w:after="160" w:line="278" w:lineRule="auto"/>
    </w:pPr>
    <w:rPr>
      <w:rFonts w:ascii="Times New Roman" w:hAnsi="Times New Roman" w:eastAsia="宋体" w:cs="Times New Roman"/>
      <w:sz w:val="21"/>
      <w:szCs w:val="22"/>
      <w:lang w:val="en-US" w:eastAsia="zh-CN" w:bidi="ar-SA"/>
    </w:rPr>
  </w:style>
  <w:style w:type="paragraph" w:customStyle="1" w:styleId="46">
    <w:name w:val="Normal_0"/>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47">
    <w:name w:val="正文1"/>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8">
    <w:name w:val="样式 64 10 磅"/>
    <w:qFormat/>
    <w:uiPriority w:val="0"/>
    <w:pPr>
      <w:widowControl w:val="0"/>
      <w:spacing w:after="160" w:line="278" w:lineRule="auto"/>
      <w:jc w:val="both"/>
    </w:pPr>
    <w:rPr>
      <w:rFonts w:ascii="等线" w:hAnsi="Times New Roman" w:eastAsia="等线" w:cs="Arial"/>
      <w:kern w:val="2"/>
      <w:sz w:val="21"/>
      <w:szCs w:val="22"/>
      <w:lang w:val="en-US" w:eastAsia="zh-CN" w:bidi="ar-SA"/>
    </w:rPr>
  </w:style>
  <w:style w:type="character" w:customStyle="1" w:styleId="49">
    <w:name w:val="NormalCharacter"/>
    <w:qFormat/>
    <w:uiPriority w:val="0"/>
    <w:rPr>
      <w:rFonts w:ascii="Times New Roman" w:hAnsi="Times New Roman" w:eastAsia="宋体" w:cs="Times New Roman"/>
    </w:rPr>
  </w:style>
  <w:style w:type="paragraph" w:customStyle="1" w:styleId="50">
    <w:name w:val="公文编号 4"/>
    <w:basedOn w:val="1"/>
    <w:qFormat/>
    <w:uiPriority w:val="0"/>
    <w:pPr>
      <w:numPr>
        <w:ilvl w:val="0"/>
        <w:numId w:val="1"/>
      </w:numPr>
      <w:overflowPunct w:val="0"/>
      <w:topLinePunct/>
      <w:outlineLvl w:val="3"/>
    </w:pPr>
    <w:rPr>
      <w:rFonts w:ascii="Times New Roman" w:hAnsi="Times New Roman" w:eastAsia="仿宋"/>
      <w:szCs w:val="32"/>
    </w:rPr>
  </w:style>
  <w:style w:type="paragraph" w:customStyle="1" w:styleId="51">
    <w:name w:val="正文_1_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5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53">
    <w:name w:val="Normal_3"/>
    <w:qFormat/>
    <w:uiPriority w:val="0"/>
    <w:pPr>
      <w:spacing w:after="160" w:line="278" w:lineRule="auto"/>
    </w:pPr>
    <w:rPr>
      <w:rFonts w:ascii="黑体" w:hAnsi="黑体" w:eastAsia="黑体" w:cs="Times New Roman"/>
      <w:b/>
      <w:sz w:val="32"/>
      <w:szCs w:val="24"/>
      <w:lang w:val="en-US" w:eastAsia="zh-CN" w:bidi="ar-SA"/>
    </w:rPr>
  </w:style>
  <w:style w:type="paragraph" w:customStyle="1" w:styleId="54">
    <w:name w:val="标书正文"/>
    <w:basedOn w:val="1"/>
    <w:qFormat/>
    <w:uiPriority w:val="0"/>
    <w:pPr>
      <w:spacing w:line="360" w:lineRule="auto"/>
      <w:ind w:firstLine="497" w:firstLineChars="207"/>
    </w:pPr>
    <w:rPr>
      <w:sz w:val="24"/>
      <w:szCs w:val="20"/>
    </w:rPr>
  </w:style>
  <w:style w:type="paragraph" w:customStyle="1" w:styleId="55">
    <w:name w:val="正文_0_0_0"/>
    <w:qFormat/>
    <w:uiPriority w:val="0"/>
    <w:pPr>
      <w:widowControl w:val="0"/>
      <w:spacing w:after="160" w:line="278" w:lineRule="auto"/>
      <w:jc w:val="both"/>
    </w:pPr>
    <w:rPr>
      <w:rFonts w:ascii="Calibri" w:hAnsi="Calibri" w:eastAsia="宋体" w:cs="Times New Roman"/>
      <w:kern w:val="2"/>
      <w:sz w:val="28"/>
      <w:szCs w:val="22"/>
      <w:lang w:val="en-US" w:eastAsia="zh-CN" w:bidi="ar-SA"/>
    </w:rPr>
  </w:style>
  <w:style w:type="paragraph" w:customStyle="1" w:styleId="56">
    <w:name w:val="正文_9"/>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7">
    <w:name w:val="样式 正文 + 首行缩进:  2 字符"/>
    <w:basedOn w:val="1"/>
    <w:qFormat/>
    <w:uiPriority w:val="0"/>
    <w:pPr>
      <w:keepNext/>
      <w:keepLines/>
      <w:ind w:firstLine="880"/>
    </w:pPr>
    <w:rPr>
      <w:rFonts w:ascii="宋体" w:hAnsi="宋体" w:eastAsia="仿宋" w:cs="宋体"/>
    </w:rPr>
  </w:style>
  <w:style w:type="paragraph" w:customStyle="1" w:styleId="58">
    <w:name w:val="?y??"/>
    <w:qFormat/>
    <w:uiPriority w:val="0"/>
    <w:pPr>
      <w:widowControl w:val="0"/>
      <w:overflowPunct w:val="0"/>
      <w:autoSpaceDE w:val="0"/>
      <w:autoSpaceDN w:val="0"/>
      <w:adjustRightInd w:val="0"/>
      <w:spacing w:after="160"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59">
    <w:name w:val="Normal_30"/>
    <w:qFormat/>
    <w:uiPriority w:val="0"/>
    <w:pPr>
      <w:widowControl w:val="0"/>
      <w:spacing w:after="160" w:line="278" w:lineRule="auto"/>
      <w:jc w:val="both"/>
    </w:pPr>
    <w:rPr>
      <w:rFonts w:ascii="Times New Roman" w:hAnsi="Times New Roman" w:eastAsia="宋体" w:cs="Times New Roman"/>
      <w:sz w:val="21"/>
      <w:szCs w:val="21"/>
      <w:lang w:val="en-US" w:eastAsia="zh-CN" w:bidi="ar-SA"/>
    </w:rPr>
  </w:style>
  <w:style w:type="table" w:customStyle="1" w:styleId="60">
    <w:name w:val="Table Normal"/>
    <w:qFormat/>
    <w:uiPriority w:val="0"/>
    <w:tblPr>
      <w:tblCellMar>
        <w:top w:w="0" w:type="dxa"/>
        <w:left w:w="0" w:type="dxa"/>
        <w:bottom w:w="0" w:type="dxa"/>
        <w:right w:w="0" w:type="dxa"/>
      </w:tblCellMar>
    </w:tblPr>
  </w:style>
  <w:style w:type="character" w:customStyle="1" w:styleId="61">
    <w:name w:val="批注框文本 字符"/>
    <w:basedOn w:val="20"/>
    <w:link w:val="13"/>
    <w:qFormat/>
    <w:uiPriority w:val="0"/>
    <w:rPr>
      <w:kern w:val="2"/>
      <w:sz w:val="18"/>
      <w:szCs w:val="18"/>
    </w:rPr>
  </w:style>
  <w:style w:type="character" w:customStyle="1" w:styleId="62">
    <w:name w:val="页眉 字符"/>
    <w:basedOn w:val="20"/>
    <w:link w:val="15"/>
    <w:qFormat/>
    <w:uiPriority w:val="0"/>
    <w:rPr>
      <w:kern w:val="2"/>
      <w:sz w:val="18"/>
      <w:szCs w:val="18"/>
    </w:rPr>
  </w:style>
  <w:style w:type="character" w:customStyle="1" w:styleId="63">
    <w:name w:val="纯文本 字符"/>
    <w:link w:val="11"/>
    <w:qFormat/>
    <w:uiPriority w:val="99"/>
    <w:rPr>
      <w:rFonts w:ascii="宋体" w:hAnsi="Courier New" w:eastAsia="宋体" w:cs="Courier New"/>
      <w:kern w:val="2"/>
      <w:sz w:val="21"/>
      <w:szCs w:val="21"/>
    </w:rPr>
  </w:style>
  <w:style w:type="character" w:customStyle="1" w:styleId="64">
    <w:name w:val="批注文字 字符"/>
    <w:basedOn w:val="20"/>
    <w:link w:val="8"/>
    <w:qFormat/>
    <w:uiPriority w:val="0"/>
    <w:rPr>
      <w:rFonts w:ascii="Calibri" w:hAnsi="Calibri" w:eastAsia="宋体" w:cs="宋体"/>
      <w:kern w:val="2"/>
      <w:sz w:val="21"/>
      <w:szCs w:val="24"/>
    </w:rPr>
  </w:style>
  <w:style w:type="character" w:customStyle="1" w:styleId="65">
    <w:name w:val="批注主题 字符"/>
    <w:basedOn w:val="64"/>
    <w:link w:val="18"/>
    <w:qFormat/>
    <w:uiPriority w:val="0"/>
    <w:rPr>
      <w:rFonts w:ascii="Calibri" w:hAnsi="Calibri" w:eastAsia="宋体" w:cs="宋体"/>
      <w:b/>
      <w:bCs/>
      <w:kern w:val="2"/>
      <w:sz w:val="21"/>
      <w:szCs w:val="24"/>
    </w:rPr>
  </w:style>
  <w:style w:type="character" w:customStyle="1" w:styleId="66">
    <w:name w:val="*正文 Char"/>
    <w:link w:val="67"/>
    <w:qFormat/>
    <w:uiPriority w:val="0"/>
    <w:rPr>
      <w:rFonts w:ascii="宋体" w:hAnsi="宋体"/>
      <w:sz w:val="24"/>
    </w:rPr>
  </w:style>
  <w:style w:type="paragraph" w:customStyle="1" w:styleId="67">
    <w:name w:val="*正文"/>
    <w:basedOn w:val="1"/>
    <w:link w:val="66"/>
    <w:qFormat/>
    <w:uiPriority w:val="0"/>
    <w:pPr>
      <w:spacing w:after="0" w:line="360" w:lineRule="auto"/>
      <w:ind w:firstLine="482"/>
    </w:pPr>
    <w:rPr>
      <w:rFonts w:ascii="宋体" w:hAnsi="宋体" w:eastAsia="宋体" w:cs="Times New Roman"/>
      <w:kern w:val="0"/>
      <w:sz w:val="24"/>
      <w:szCs w:val="20"/>
    </w:rPr>
  </w:style>
  <w:style w:type="character" w:customStyle="1" w:styleId="68">
    <w:name w:val="正文文本缩进 2 字符"/>
    <w:link w:val="12"/>
    <w:qFormat/>
    <w:uiPriority w:val="99"/>
    <w:rPr>
      <w:rFonts w:ascii="幼圆" w:hAnsi="Calibri" w:eastAsia="幼圆" w:cs="宋体"/>
      <w:color w:val="000000"/>
      <w:kern w:val="2"/>
      <w:sz w:val="30"/>
      <w:szCs w:val="32"/>
    </w:rPr>
  </w:style>
  <w:style w:type="paragraph" w:customStyle="1" w:styleId="69">
    <w:name w:val="Normal"/>
    <w:qFormat/>
    <w:uiPriority w:val="0"/>
    <w:rPr>
      <w:rFonts w:ascii="Times New Roman" w:hAnsi="Times New Roman" w:eastAsia="Times New Roman" w:cs="Times New Roman"/>
      <w:sz w:val="24"/>
      <w:szCs w:val="24"/>
      <w:lang w:val="en-US" w:eastAsia="zh-CN" w:bidi="ar-SA"/>
    </w:rPr>
  </w:style>
  <w:style w:type="paragraph" w:customStyle="1" w:styleId="70">
    <w:name w:val="Table Paragraph"/>
    <w:basedOn w:val="1"/>
    <w:qFormat/>
    <w:uiPriority w:val="1"/>
    <w:rPr>
      <w:rFonts w:ascii="宋体" w:hAnsi="宋体" w:cs="宋体"/>
      <w:szCs w:val="22"/>
      <w:lang w:val="zh-CN" w:bidi="zh-CN"/>
    </w:rPr>
  </w:style>
  <w:style w:type="paragraph" w:customStyle="1" w:styleId="71">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f8d34-99db-45d8-972d-b706ccd69e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3421</Words>
  <Characters>4026</Characters>
  <Paragraphs>1659</Paragraphs>
  <TotalTime>56</TotalTime>
  <ScaleCrop>false</ScaleCrop>
  <LinksUpToDate>false</LinksUpToDate>
  <CharactersWithSpaces>4065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2025-04-19T08:51:00Z</dcterms:created>
  <dc:creator>雍明超</dc:creator>
  <cp:lastModifiedBy>Administrator</cp:lastModifiedBy>
  <dcterms:modified xsi:type="dcterms:W3CDTF">2026-05-18T09:19:37Z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eyJoZGlkIjoiZWVjZGM4NTQyNTk5ODc0OTcyYmZiYTVmNGYxOTJlNjAiLCJ1c2VySWQiOiIyODE5NjYyOTgifQ==</vt:lpwstr>
  </property>
  <property fmtid="{D5CDD505-2E9C-101B-9397-08002B2CF9AE}" pid="4" name="ICV">
    <vt:lpwstr>BCAC65F7606D423885EB92480B6FD87C_13</vt:lpwstr>
  </property>
</Properties>
</file>