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F8C6B">
      <w:pPr>
        <w:pStyle w:val="7"/>
        <w:spacing w:line="360" w:lineRule="auto"/>
        <w:rPr>
          <w:rFonts w:ascii="仿宋" w:hAnsi="仿宋" w:eastAsia="仿宋" w:cs="仿宋"/>
          <w:color w:val="000000" w:themeColor="text1"/>
          <w:highlight w:val="none"/>
          <w14:textFill>
            <w14:solidFill>
              <w14:schemeClr w14:val="tx1"/>
            </w14:solidFill>
          </w14:textFill>
        </w:rPr>
      </w:pPr>
    </w:p>
    <w:p w14:paraId="741305DB">
      <w:pPr>
        <w:pStyle w:val="7"/>
        <w:spacing w:line="360" w:lineRule="auto"/>
        <w:rPr>
          <w:rFonts w:ascii="仿宋" w:hAnsi="仿宋" w:eastAsia="仿宋" w:cs="仿宋"/>
          <w:color w:val="000000" w:themeColor="text1"/>
          <w:highlight w:val="none"/>
          <w14:textFill>
            <w14:solidFill>
              <w14:schemeClr w14:val="tx1"/>
            </w14:solidFill>
          </w14:textFill>
        </w:rPr>
      </w:pPr>
    </w:p>
    <w:p w14:paraId="73C58ABB">
      <w:pPr>
        <w:pStyle w:val="7"/>
        <w:spacing w:line="360" w:lineRule="auto"/>
        <w:rPr>
          <w:rFonts w:ascii="仿宋" w:hAnsi="仿宋" w:eastAsia="仿宋" w:cs="仿宋"/>
          <w:color w:val="000000" w:themeColor="text1"/>
          <w:highlight w:val="none"/>
          <w14:textFill>
            <w14:solidFill>
              <w14:schemeClr w14:val="tx1"/>
            </w14:solidFill>
          </w14:textFill>
        </w:rPr>
      </w:pPr>
    </w:p>
    <w:p w14:paraId="596BE2D6">
      <w:pPr>
        <w:pStyle w:val="7"/>
        <w:spacing w:line="360" w:lineRule="auto"/>
        <w:rPr>
          <w:rFonts w:ascii="仿宋" w:hAnsi="仿宋" w:eastAsia="仿宋" w:cs="仿宋"/>
          <w:color w:val="000000" w:themeColor="text1"/>
          <w:highlight w:val="none"/>
          <w14:textFill>
            <w14:solidFill>
              <w14:schemeClr w14:val="tx1"/>
            </w14:solidFill>
          </w14:textFill>
        </w:rPr>
      </w:pPr>
    </w:p>
    <w:p w14:paraId="3637A60B">
      <w:pPr>
        <w:pStyle w:val="7"/>
        <w:spacing w:line="360" w:lineRule="auto"/>
        <w:rPr>
          <w:rFonts w:ascii="仿宋" w:hAnsi="仿宋" w:eastAsia="仿宋" w:cs="仿宋"/>
          <w:color w:val="000000" w:themeColor="text1"/>
          <w:highlight w:val="none"/>
          <w14:textFill>
            <w14:solidFill>
              <w14:schemeClr w14:val="tx1"/>
            </w14:solidFill>
          </w14:textFill>
        </w:rPr>
      </w:pPr>
    </w:p>
    <w:p w14:paraId="6C8C6BAE">
      <w:pPr>
        <w:spacing w:line="360" w:lineRule="auto"/>
        <w:jc w:val="center"/>
        <w:rPr>
          <w:rFonts w:ascii="仿宋" w:hAnsi="仿宋" w:eastAsia="仿宋" w:cs="仿宋"/>
          <w:color w:val="000000" w:themeColor="text1"/>
          <w:sz w:val="72"/>
          <w:szCs w:val="72"/>
          <w:highlight w:val="none"/>
          <w:lang w:eastAsia="zh-CN"/>
          <w14:textFill>
            <w14:solidFill>
              <w14:schemeClr w14:val="tx1"/>
            </w14:solidFill>
          </w14:textFill>
        </w:rPr>
      </w:pPr>
      <w:bookmarkStart w:id="0" w:name="_Toc24565"/>
      <w:bookmarkStart w:id="1" w:name="_Toc4763"/>
      <w:r>
        <w:rPr>
          <w:rFonts w:hint="eastAsia" w:ascii="仿宋" w:hAnsi="仿宋" w:eastAsia="仿宋" w:cs="仿宋"/>
          <w:b/>
          <w:snapToGrid/>
          <w:color w:val="000000" w:themeColor="text1"/>
          <w:kern w:val="2"/>
          <w:sz w:val="84"/>
          <w:szCs w:val="24"/>
          <w:highlight w:val="none"/>
          <w:lang w:eastAsia="zh-CN"/>
          <w14:textFill>
            <w14:solidFill>
              <w14:schemeClr w14:val="tx1"/>
            </w14:solidFill>
          </w14:textFill>
        </w:rPr>
        <w:t>竞争性磋商文件</w:t>
      </w:r>
      <w:bookmarkEnd w:id="0"/>
      <w:bookmarkEnd w:id="1"/>
    </w:p>
    <w:p w14:paraId="67C695C3">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4BD2E57A">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0D7BDA82">
      <w:pPr>
        <w:pStyle w:val="7"/>
        <w:spacing w:line="360" w:lineRule="auto"/>
        <w:jc w:val="center"/>
        <w:rPr>
          <w:rFonts w:ascii="仿宋" w:hAnsi="仿宋" w:eastAsia="仿宋" w:cs="仿宋"/>
          <w:b/>
          <w:color w:val="000000" w:themeColor="text1"/>
          <w:sz w:val="36"/>
          <w:highlight w:val="none"/>
          <w:lang w:eastAsia="zh-CN"/>
          <w14:textFill>
            <w14:solidFill>
              <w14:schemeClr w14:val="tx1"/>
            </w14:solidFill>
          </w14:textFill>
        </w:rPr>
      </w:pPr>
    </w:p>
    <w:p w14:paraId="6AA8B50F">
      <w:pPr>
        <w:pStyle w:val="7"/>
        <w:spacing w:line="360" w:lineRule="auto"/>
        <w:jc w:val="center"/>
        <w:rPr>
          <w:rFonts w:ascii="仿宋" w:hAnsi="仿宋" w:eastAsia="仿宋" w:cs="仿宋"/>
          <w:b/>
          <w:color w:val="000000" w:themeColor="text1"/>
          <w:sz w:val="36"/>
          <w:highlight w:val="none"/>
          <w:lang w:eastAsia="zh-CN"/>
          <w14:textFill>
            <w14:solidFill>
              <w14:schemeClr w14:val="tx1"/>
            </w14:solidFill>
          </w14:textFill>
        </w:rPr>
      </w:pPr>
    </w:p>
    <w:p w14:paraId="072B6280">
      <w:pPr>
        <w:pStyle w:val="7"/>
        <w:spacing w:line="360" w:lineRule="auto"/>
        <w:jc w:val="center"/>
        <w:rPr>
          <w:rFonts w:ascii="仿宋" w:hAnsi="仿宋" w:eastAsia="仿宋" w:cs="仿宋"/>
          <w:b/>
          <w:color w:val="000000" w:themeColor="text1"/>
          <w:sz w:val="36"/>
          <w:highlight w:val="none"/>
          <w:lang w:eastAsia="zh-CN"/>
          <w14:textFill>
            <w14:solidFill>
              <w14:schemeClr w14:val="tx1"/>
            </w14:solidFill>
          </w14:textFill>
        </w:rPr>
      </w:pPr>
    </w:p>
    <w:p w14:paraId="16237F25">
      <w:pPr>
        <w:spacing w:line="480" w:lineRule="auto"/>
        <w:ind w:left="1946" w:leftChars="200" w:hanging="1526" w:hangingChars="500"/>
        <w:jc w:val="both"/>
        <w:rPr>
          <w:rFonts w:ascii="仿宋" w:hAnsi="仿宋" w:eastAsia="仿宋" w:cs="仿宋"/>
          <w:b/>
          <w:color w:val="000000" w:themeColor="text1"/>
          <w:w w:val="95"/>
          <w:sz w:val="32"/>
          <w:highlight w:val="none"/>
          <w:lang w:eastAsia="zh-CN"/>
          <w14:textFill>
            <w14:solidFill>
              <w14:schemeClr w14:val="tx1"/>
            </w14:solidFill>
          </w14:textFill>
        </w:rPr>
      </w:pPr>
      <w:bookmarkStart w:id="2" w:name="_Toc24260"/>
      <w:bookmarkStart w:id="3" w:name="_Toc5029"/>
      <w:r>
        <w:rPr>
          <w:rFonts w:hint="eastAsia" w:ascii="仿宋" w:hAnsi="仿宋" w:eastAsia="仿宋" w:cs="仿宋"/>
          <w:b/>
          <w:color w:val="000000" w:themeColor="text1"/>
          <w:w w:val="95"/>
          <w:sz w:val="32"/>
          <w:highlight w:val="none"/>
          <w:lang w:eastAsia="zh-CN"/>
          <w14:textFill>
            <w14:solidFill>
              <w14:schemeClr w14:val="tx1"/>
            </w14:solidFill>
          </w14:textFill>
        </w:rPr>
        <w:t>项目名称：新疆维吾尔自治区生态环境厅档案系统升级及档案数字化项目</w:t>
      </w:r>
    </w:p>
    <w:p w14:paraId="0F6B1A81">
      <w:pPr>
        <w:spacing w:line="480" w:lineRule="auto"/>
        <w:ind w:firstLine="643" w:firstLineChars="200"/>
        <w:jc w:val="both"/>
        <w:rPr>
          <w:rFonts w:ascii="仿宋" w:hAnsi="仿宋" w:eastAsia="仿宋" w:cs="仿宋"/>
          <w:b/>
          <w:color w:val="000000" w:themeColor="text1"/>
          <w:sz w:val="32"/>
          <w:highlight w:val="none"/>
          <w:lang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项目编号/包号：</w:t>
      </w:r>
      <w:bookmarkEnd w:id="2"/>
      <w:bookmarkEnd w:id="3"/>
      <w:bookmarkStart w:id="4" w:name="_Toc10167"/>
      <w:bookmarkStart w:id="5" w:name="_Toc18434"/>
      <w:r>
        <w:rPr>
          <w:rFonts w:hint="eastAsia" w:ascii="仿宋" w:hAnsi="仿宋" w:eastAsia="仿宋" w:cs="仿宋"/>
          <w:b/>
          <w:color w:val="000000" w:themeColor="text1"/>
          <w:sz w:val="32"/>
          <w:highlight w:val="none"/>
          <w:lang w:eastAsia="zh-CN"/>
          <w14:textFill>
            <w14:solidFill>
              <w14:schemeClr w14:val="tx1"/>
            </w14:solidFill>
          </w14:textFill>
        </w:rPr>
        <w:t>HHTD-DL-20261022</w:t>
      </w:r>
    </w:p>
    <w:p w14:paraId="70A921CE">
      <w:pPr>
        <w:spacing w:line="480" w:lineRule="auto"/>
        <w:ind w:firstLine="643" w:firstLineChars="200"/>
        <w:jc w:val="both"/>
        <w:rPr>
          <w:rFonts w:ascii="仿宋" w:hAnsi="仿宋" w:eastAsia="仿宋" w:cs="仿宋"/>
          <w:b/>
          <w:color w:val="000000" w:themeColor="text1"/>
          <w:sz w:val="32"/>
          <w:highlight w:val="none"/>
          <w:lang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采 购</w:t>
      </w:r>
      <w:r>
        <w:rPr>
          <w:rFonts w:hint="eastAsia" w:ascii="仿宋" w:hAnsi="仿宋" w:eastAsia="仿宋" w:cs="仿宋"/>
          <w:b/>
          <w:color w:val="000000" w:themeColor="text1"/>
          <w:spacing w:val="-13"/>
          <w:sz w:val="32"/>
          <w:highlight w:val="none"/>
          <w:lang w:eastAsia="zh-CN"/>
          <w14:textFill>
            <w14:solidFill>
              <w14:schemeClr w14:val="tx1"/>
            </w14:solidFill>
          </w14:textFill>
        </w:rPr>
        <w:t xml:space="preserve"> </w:t>
      </w:r>
      <w:r>
        <w:rPr>
          <w:rFonts w:hint="eastAsia" w:ascii="仿宋" w:hAnsi="仿宋" w:eastAsia="仿宋" w:cs="仿宋"/>
          <w:b/>
          <w:color w:val="000000" w:themeColor="text1"/>
          <w:sz w:val="32"/>
          <w:highlight w:val="none"/>
          <w:lang w:eastAsia="zh-CN"/>
          <w14:textFill>
            <w14:solidFill>
              <w14:schemeClr w14:val="tx1"/>
            </w14:solidFill>
          </w14:textFill>
        </w:rPr>
        <w:t>人：</w:t>
      </w:r>
      <w:bookmarkEnd w:id="4"/>
      <w:bookmarkEnd w:id="5"/>
      <w:r>
        <w:rPr>
          <w:rFonts w:hint="eastAsia" w:ascii="仿宋" w:hAnsi="仿宋" w:eastAsia="仿宋" w:cs="仿宋"/>
          <w:b/>
          <w:color w:val="000000" w:themeColor="text1"/>
          <w:sz w:val="32"/>
          <w:highlight w:val="none"/>
          <w:lang w:eastAsia="zh-CN"/>
          <w14:textFill>
            <w14:solidFill>
              <w14:schemeClr w14:val="tx1"/>
            </w14:solidFill>
          </w14:textFill>
        </w:rPr>
        <w:t>新疆维吾尔自治区生态环境厅</w:t>
      </w:r>
      <w:bookmarkStart w:id="69" w:name="_GoBack"/>
      <w:bookmarkEnd w:id="69"/>
    </w:p>
    <w:p w14:paraId="607AC3B3">
      <w:pPr>
        <w:spacing w:line="360" w:lineRule="auto"/>
        <w:ind w:firstLine="611" w:firstLineChars="200"/>
        <w:jc w:val="both"/>
        <w:rPr>
          <w:rFonts w:ascii="仿宋" w:hAnsi="仿宋" w:eastAsia="仿宋" w:cs="仿宋"/>
          <w:b/>
          <w:color w:val="000000" w:themeColor="text1"/>
          <w:w w:val="95"/>
          <w:sz w:val="32"/>
          <w:highlight w:val="none"/>
          <w:lang w:eastAsia="zh-CN"/>
          <w14:textFill>
            <w14:solidFill>
              <w14:schemeClr w14:val="tx1"/>
            </w14:solidFill>
          </w14:textFill>
        </w:rPr>
      </w:pPr>
      <w:r>
        <w:rPr>
          <w:rFonts w:hint="eastAsia" w:ascii="仿宋" w:hAnsi="仿宋" w:eastAsia="仿宋" w:cs="仿宋"/>
          <w:b/>
          <w:color w:val="000000" w:themeColor="text1"/>
          <w:w w:val="95"/>
          <w:sz w:val="32"/>
          <w:highlight w:val="none"/>
          <w:lang w:eastAsia="zh-CN"/>
          <w14:textFill>
            <w14:solidFill>
              <w14:schemeClr w14:val="tx1"/>
            </w14:solidFill>
          </w14:textFill>
        </w:rPr>
        <w:t>采购代理机构：新疆华恒通达项目管理有限公司</w:t>
      </w:r>
    </w:p>
    <w:p w14:paraId="5F44CED6">
      <w:pPr>
        <w:spacing w:line="360" w:lineRule="auto"/>
        <w:jc w:val="center"/>
        <w:rPr>
          <w:rFonts w:ascii="仿宋" w:hAnsi="仿宋" w:eastAsia="仿宋" w:cs="仿宋"/>
          <w:b/>
          <w:color w:val="000000" w:themeColor="text1"/>
          <w:sz w:val="32"/>
          <w:highlight w:val="none"/>
          <w:lang w:eastAsia="zh-CN"/>
          <w14:textFill>
            <w14:solidFill>
              <w14:schemeClr w14:val="tx1"/>
            </w14:solidFill>
          </w14:textFill>
        </w:rPr>
      </w:pPr>
    </w:p>
    <w:p w14:paraId="65C3EBF4">
      <w:pPr>
        <w:spacing w:line="360" w:lineRule="auto"/>
        <w:jc w:val="center"/>
        <w:rPr>
          <w:rFonts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202</w:t>
      </w:r>
      <w:r>
        <w:rPr>
          <w:rFonts w:hint="eastAsia" w:ascii="仿宋" w:hAnsi="仿宋" w:eastAsia="仿宋" w:cs="仿宋"/>
          <w:b/>
          <w:color w:val="000000" w:themeColor="text1"/>
          <w:sz w:val="32"/>
          <w:highlight w:val="none"/>
          <w:lang w:eastAsia="zh-CN"/>
          <w14:textFill>
            <w14:solidFill>
              <w14:schemeClr w14:val="tx1"/>
            </w14:solidFill>
          </w14:textFill>
        </w:rPr>
        <w:t>6</w:t>
      </w:r>
      <w:r>
        <w:rPr>
          <w:rFonts w:hint="eastAsia" w:ascii="仿宋" w:hAnsi="仿宋" w:eastAsia="仿宋" w:cs="仿宋"/>
          <w:b/>
          <w:color w:val="000000" w:themeColor="text1"/>
          <w:sz w:val="32"/>
          <w:highlight w:val="none"/>
          <w14:textFill>
            <w14:solidFill>
              <w14:schemeClr w14:val="tx1"/>
            </w14:solidFill>
          </w14:textFill>
        </w:rPr>
        <w:t>年</w:t>
      </w:r>
      <w:r>
        <w:rPr>
          <w:rFonts w:hint="eastAsia" w:ascii="仿宋" w:hAnsi="仿宋" w:eastAsia="仿宋" w:cs="仿宋"/>
          <w:b/>
          <w:color w:val="000000" w:themeColor="text1"/>
          <w:sz w:val="32"/>
          <w:highlight w:val="none"/>
          <w:lang w:eastAsia="zh-CN"/>
          <w14:textFill>
            <w14:solidFill>
              <w14:schemeClr w14:val="tx1"/>
            </w14:solidFill>
          </w14:textFill>
        </w:rPr>
        <w:t>4</w:t>
      </w:r>
      <w:r>
        <w:rPr>
          <w:rFonts w:hint="eastAsia" w:ascii="仿宋" w:hAnsi="仿宋" w:eastAsia="仿宋" w:cs="仿宋"/>
          <w:b/>
          <w:color w:val="000000" w:themeColor="text1"/>
          <w:sz w:val="32"/>
          <w:highlight w:val="none"/>
          <w14:textFill>
            <w14:solidFill>
              <w14:schemeClr w14:val="tx1"/>
            </w14:solidFill>
          </w14:textFill>
        </w:rPr>
        <w:t>月</w:t>
      </w:r>
    </w:p>
    <w:p w14:paraId="0AE90517">
      <w:pPr>
        <w:spacing w:line="360" w:lineRule="auto"/>
        <w:jc w:val="center"/>
        <w:rPr>
          <w:rFonts w:ascii="仿宋" w:hAnsi="仿宋" w:eastAsia="仿宋" w:cs="仿宋"/>
          <w:color w:val="000000" w:themeColor="text1"/>
          <w:sz w:val="32"/>
          <w:highlight w:val="none"/>
          <w14:textFill>
            <w14:solidFill>
              <w14:schemeClr w14:val="tx1"/>
            </w14:solidFill>
          </w14:textFill>
        </w:rPr>
        <w:sectPr>
          <w:headerReference r:id="rId4" w:type="first"/>
          <w:headerReference r:id="rId3" w:type="even"/>
          <w:footerReference r:id="rId5" w:type="even"/>
          <w:pgSz w:w="11910" w:h="16840"/>
          <w:pgMar w:top="1417" w:right="1417" w:bottom="1417" w:left="1417" w:header="1191" w:footer="720" w:gutter="0"/>
          <w:cols w:space="720" w:num="1"/>
          <w:titlePg/>
          <w:docGrid w:linePitch="1" w:charSpace="0"/>
        </w:sectPr>
      </w:pPr>
    </w:p>
    <w:p w14:paraId="78FE0CF6">
      <w:pPr>
        <w:pStyle w:val="7"/>
        <w:spacing w:line="360" w:lineRule="auto"/>
        <w:rPr>
          <w:rFonts w:ascii="仿宋" w:hAnsi="仿宋" w:eastAsia="仿宋" w:cs="仿宋"/>
          <w:color w:val="000000" w:themeColor="text1"/>
          <w:highlight w:val="none"/>
          <w14:textFill>
            <w14:solidFill>
              <w14:schemeClr w14:val="tx1"/>
            </w14:solidFill>
          </w14:textFill>
        </w:rPr>
      </w:pPr>
    </w:p>
    <w:p w14:paraId="08ADE1AC">
      <w:pPr>
        <w:spacing w:line="360" w:lineRule="auto"/>
        <w:jc w:val="center"/>
        <w:rPr>
          <w:rFonts w:ascii="仿宋" w:hAnsi="仿宋" w:eastAsia="仿宋" w:cs="仿宋"/>
          <w:b/>
          <w:bCs/>
          <w:color w:val="000000" w:themeColor="text1"/>
          <w:spacing w:val="-44"/>
          <w:sz w:val="40"/>
          <w:szCs w:val="40"/>
          <w:highlight w:val="none"/>
          <w14:textFill>
            <w14:solidFill>
              <w14:schemeClr w14:val="tx1"/>
            </w14:solidFill>
          </w14:textFill>
        </w:rPr>
      </w:pPr>
      <w:bookmarkStart w:id="6" w:name="_Toc8355"/>
      <w:bookmarkStart w:id="7" w:name="_Toc30756"/>
      <w:bookmarkStart w:id="8" w:name="_Toc19702"/>
      <w:bookmarkStart w:id="9" w:name="_Toc15808"/>
      <w:bookmarkStart w:id="10" w:name="_Toc21445"/>
      <w:bookmarkStart w:id="11" w:name="_Toc12550"/>
      <w:r>
        <w:rPr>
          <w:rFonts w:hint="eastAsia" w:ascii="仿宋" w:hAnsi="仿宋" w:eastAsia="仿宋" w:cs="仿宋"/>
          <w:b/>
          <w:bCs/>
          <w:color w:val="000000" w:themeColor="text1"/>
          <w:spacing w:val="-44"/>
          <w:sz w:val="40"/>
          <w:szCs w:val="40"/>
          <w:highlight w:val="none"/>
          <w14:textFill>
            <w14:solidFill>
              <w14:schemeClr w14:val="tx1"/>
            </w14:solidFill>
          </w14:textFill>
        </w:rPr>
        <w:t>目</w:t>
      </w:r>
      <w:r>
        <w:rPr>
          <w:rFonts w:hint="eastAsia" w:ascii="仿宋" w:hAnsi="仿宋" w:eastAsia="仿宋" w:cs="仿宋"/>
          <w:b/>
          <w:bCs/>
          <w:color w:val="000000" w:themeColor="text1"/>
          <w:spacing w:val="-44"/>
          <w:sz w:val="40"/>
          <w:szCs w:val="40"/>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4"/>
          <w:sz w:val="40"/>
          <w:szCs w:val="40"/>
          <w:highlight w:val="none"/>
          <w14:textFill>
            <w14:solidFill>
              <w14:schemeClr w14:val="tx1"/>
            </w14:solidFill>
          </w14:textFill>
        </w:rPr>
        <w:t>录</w:t>
      </w:r>
      <w:bookmarkEnd w:id="6"/>
      <w:bookmarkEnd w:id="7"/>
      <w:bookmarkEnd w:id="8"/>
      <w:bookmarkEnd w:id="9"/>
      <w:bookmarkEnd w:id="10"/>
      <w:bookmarkEnd w:id="11"/>
    </w:p>
    <w:sdt>
      <w:sdtPr>
        <w:rPr>
          <w:rFonts w:ascii="宋体" w:hAnsi="宋体" w:eastAsia="宋体"/>
          <w:color w:val="000000" w:themeColor="text1"/>
          <w:highlight w:val="none"/>
          <w14:textFill>
            <w14:solidFill>
              <w14:schemeClr w14:val="tx1"/>
            </w14:solidFill>
          </w14:textFill>
        </w:rPr>
        <w:id w:val="147471143"/>
        <w:docPartObj>
          <w:docPartGallery w:val="Table of Contents"/>
          <w:docPartUnique/>
        </w:docPartObj>
      </w:sdtPr>
      <w:sdtEndPr>
        <w:rPr>
          <w:rFonts w:hint="eastAsia" w:ascii="仿宋" w:hAnsi="仿宋" w:eastAsia="仿宋" w:cs="仿宋"/>
          <w:color w:val="000000" w:themeColor="text1"/>
          <w:spacing w:val="-44"/>
          <w:szCs w:val="36"/>
          <w:highlight w:val="none"/>
          <w:lang w:eastAsia="zh-CN"/>
          <w14:textFill>
            <w14:solidFill>
              <w14:schemeClr w14:val="tx1"/>
            </w14:solidFill>
          </w14:textFill>
        </w:rPr>
      </w:sdtEndPr>
      <w:sdtContent>
        <w:p w14:paraId="168BAAF8">
          <w:pPr>
            <w:jc w:val="center"/>
            <w:rPr>
              <w:color w:val="000000" w:themeColor="text1"/>
              <w:highlight w:val="none"/>
              <w14:textFill>
                <w14:solidFill>
                  <w14:schemeClr w14:val="tx1"/>
                </w14:solidFill>
              </w14:textFill>
            </w:rPr>
          </w:pPr>
        </w:p>
        <w:p w14:paraId="166508A2">
          <w:pPr>
            <w:pStyle w:val="15"/>
            <w:tabs>
              <w:tab w:val="right" w:leader="dot" w:pos="9073"/>
            </w:tabs>
            <w:spacing w:line="56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44"/>
              <w:sz w:val="36"/>
              <w:szCs w:val="36"/>
              <w:highlight w:val="none"/>
              <w:lang w:eastAsia="zh-CN"/>
              <w14:textFill>
                <w14:solidFill>
                  <w14:schemeClr w14:val="tx1"/>
                </w14:solidFill>
              </w14:textFill>
            </w:rPr>
            <w:fldChar w:fldCharType="begin"/>
          </w:r>
          <w:r>
            <w:rPr>
              <w:rFonts w:hint="eastAsia" w:ascii="仿宋" w:hAnsi="仿宋" w:eastAsia="仿宋" w:cs="仿宋"/>
              <w:color w:val="000000" w:themeColor="text1"/>
              <w:spacing w:val="-44"/>
              <w:sz w:val="36"/>
              <w:szCs w:val="36"/>
              <w:highlight w:val="none"/>
              <w:lang w:eastAsia="zh-CN"/>
              <w14:textFill>
                <w14:solidFill>
                  <w14:schemeClr w14:val="tx1"/>
                </w14:solidFill>
              </w14:textFill>
            </w:rPr>
            <w:instrText xml:space="preserve">TOC \o "1-1" \h \u </w:instrText>
          </w:r>
          <w:r>
            <w:rPr>
              <w:rFonts w:hint="eastAsia" w:ascii="仿宋" w:hAnsi="仿宋" w:eastAsia="仿宋" w:cs="仿宋"/>
              <w:color w:val="000000" w:themeColor="text1"/>
              <w:spacing w:val="-44"/>
              <w:sz w:val="36"/>
              <w:szCs w:val="36"/>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"_Toc31269"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5"/>
              <w:sz w:val="28"/>
              <w:szCs w:val="48"/>
              <w:highlight w:val="none"/>
              <w:lang w:eastAsia="zh-CN"/>
              <w14:textFill>
                <w14:solidFill>
                  <w14:schemeClr w14:val="tx1"/>
                </w14:solidFill>
              </w14:textFill>
            </w:rPr>
            <w:t>第一章采购邀请</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_Toc31269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547FCF99">
          <w:pPr>
            <w:pStyle w:val="15"/>
            <w:tabs>
              <w:tab w:val="right" w:leader="dot" w:pos="9073"/>
            </w:tabs>
            <w:spacing w:line="560" w:lineRule="exact"/>
            <w:rPr>
              <w:rFonts w:ascii="仿宋" w:hAnsi="仿宋" w:eastAsia="仿宋" w:cs="仿宋"/>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"_Toc12145"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28"/>
              <w:szCs w:val="48"/>
              <w:highlight w:val="none"/>
              <w:lang w:eastAsia="zh-CN"/>
              <w14:textFill>
                <w14:solidFill>
                  <w14:schemeClr w14:val="tx1"/>
                </w14:solidFill>
              </w14:textFill>
            </w:rPr>
            <w:t>第二章供应商须知</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_Toc12145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4</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138EF159">
          <w:pPr>
            <w:pStyle w:val="15"/>
            <w:tabs>
              <w:tab w:val="right" w:leader="dot" w:pos="9073"/>
            </w:tabs>
            <w:spacing w:line="560" w:lineRule="exact"/>
            <w:rPr>
              <w:rFonts w:ascii="仿宋" w:hAnsi="仿宋" w:eastAsia="仿宋" w:cs="仿宋"/>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"_Toc12004"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第三章评审方法和评审标准</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_Toc12004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18</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58119FB4">
          <w:pPr>
            <w:pStyle w:val="15"/>
            <w:tabs>
              <w:tab w:val="right" w:leader="dot" w:pos="9073"/>
            </w:tabs>
            <w:spacing w:line="560" w:lineRule="exact"/>
            <w:rPr>
              <w:rFonts w:ascii="仿宋" w:hAnsi="仿宋" w:eastAsia="仿宋" w:cs="仿宋"/>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"_Toc7544"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8"/>
              <w:sz w:val="28"/>
              <w:szCs w:val="44"/>
              <w:highlight w:val="none"/>
              <w:lang w:eastAsia="zh-CN"/>
              <w14:textFill>
                <w14:solidFill>
                  <w14:schemeClr w14:val="tx1"/>
                </w14:solidFill>
              </w14:textFill>
            </w:rPr>
            <w:t>第四章采购需求</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_Toc7544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27</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0128DD9A">
          <w:pPr>
            <w:pStyle w:val="15"/>
            <w:tabs>
              <w:tab w:val="right" w:leader="dot" w:pos="9073"/>
            </w:tabs>
            <w:spacing w:line="560" w:lineRule="exact"/>
            <w:rPr>
              <w:rFonts w:ascii="仿宋" w:hAnsi="仿宋" w:eastAsia="仿宋" w:cs="仿宋"/>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"_Toc27170"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8"/>
              <w:sz w:val="28"/>
              <w:szCs w:val="44"/>
              <w:highlight w:val="none"/>
              <w:lang w:eastAsia="zh-CN"/>
              <w14:textFill>
                <w14:solidFill>
                  <w14:schemeClr w14:val="tx1"/>
                </w14:solidFill>
              </w14:textFill>
            </w:rPr>
            <w:t>第五章合同草案条款</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_Toc27170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36</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475A9E83">
          <w:pPr>
            <w:pStyle w:val="15"/>
            <w:tabs>
              <w:tab w:val="right" w:leader="dot" w:pos="9073"/>
            </w:tabs>
            <w:spacing w:line="5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"_Toc23905"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7"/>
              <w:sz w:val="28"/>
              <w:szCs w:val="44"/>
              <w:highlight w:val="none"/>
              <w:lang w:eastAsia="zh-CN"/>
              <w14:textFill>
                <w14:solidFill>
                  <w14:schemeClr w14:val="tx1"/>
                </w14:solidFill>
              </w14:textFill>
            </w:rPr>
            <w:t>第六章响应文件格式</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_Toc23905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65</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2ED53010">
          <w:pPr>
            <w:spacing w:line="500" w:lineRule="exact"/>
            <w:jc w:val="center"/>
            <w:outlineLvl w:val="0"/>
            <w:rPr>
              <w:rFonts w:ascii="仿宋" w:hAnsi="仿宋" w:eastAsia="仿宋" w:cs="仿宋"/>
              <w:color w:val="000000" w:themeColor="text1"/>
              <w:spacing w:val="-44"/>
              <w:szCs w:val="36"/>
              <w:highlight w:val="none"/>
              <w:lang w:eastAsia="zh-CN"/>
              <w14:textFill>
                <w14:solidFill>
                  <w14:schemeClr w14:val="tx1"/>
                </w14:solidFill>
              </w14:textFill>
            </w:rPr>
          </w:pPr>
          <w:r>
            <w:rPr>
              <w:rFonts w:hint="eastAsia" w:ascii="仿宋" w:hAnsi="仿宋" w:eastAsia="仿宋" w:cs="仿宋"/>
              <w:color w:val="000000" w:themeColor="text1"/>
              <w:spacing w:val="-44"/>
              <w:szCs w:val="36"/>
              <w:highlight w:val="none"/>
              <w:lang w:eastAsia="zh-CN"/>
              <w14:textFill>
                <w14:solidFill>
                  <w14:schemeClr w14:val="tx1"/>
                </w14:solidFill>
              </w14:textFill>
            </w:rPr>
            <w:fldChar w:fldCharType="end"/>
          </w:r>
        </w:p>
      </w:sdtContent>
    </w:sdt>
    <w:p w14:paraId="1E0F39BB">
      <w:pPr>
        <w:spacing w:line="500" w:lineRule="exact"/>
        <w:jc w:val="center"/>
        <w:outlineLvl w:val="0"/>
        <w:rPr>
          <w:rFonts w:ascii="仿宋" w:hAnsi="仿宋" w:eastAsia="仿宋" w:cs="仿宋"/>
          <w:color w:val="000000" w:themeColor="text1"/>
          <w:spacing w:val="-44"/>
          <w:szCs w:val="36"/>
          <w:highlight w:val="none"/>
          <w:lang w:eastAsia="zh-CN"/>
          <w14:textFill>
            <w14:solidFill>
              <w14:schemeClr w14:val="tx1"/>
            </w14:solidFill>
          </w14:textFill>
        </w:rPr>
      </w:pPr>
    </w:p>
    <w:p w14:paraId="1CCC8486">
      <w:pPr>
        <w:spacing w:line="360" w:lineRule="auto"/>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     </w:t>
      </w:r>
    </w:p>
    <w:p w14:paraId="35630C2B">
      <w:pPr>
        <w:pStyle w:val="11"/>
        <w:rPr>
          <w:rFonts w:ascii="仿宋" w:hAnsi="仿宋" w:eastAsia="仿宋" w:cs="仿宋"/>
          <w:color w:val="000000" w:themeColor="text1"/>
          <w:highlight w:val="none"/>
          <w:lang w:eastAsia="zh-CN"/>
          <w14:textFill>
            <w14:solidFill>
              <w14:schemeClr w14:val="tx1"/>
            </w14:solidFill>
          </w14:textFill>
        </w:rPr>
        <w:sectPr>
          <w:headerReference r:id="rId6" w:type="default"/>
          <w:footerReference r:id="rId7" w:type="default"/>
          <w:pgSz w:w="11907" w:h="16839"/>
          <w:pgMar w:top="1417" w:right="1417" w:bottom="1417" w:left="1417" w:header="1191" w:footer="0" w:gutter="0"/>
          <w:pgNumType w:start="1"/>
          <w:cols w:space="720" w:num="1"/>
        </w:sectPr>
      </w:pPr>
    </w:p>
    <w:p w14:paraId="5A92246F">
      <w:pPr>
        <w:spacing w:line="360" w:lineRule="auto"/>
        <w:jc w:val="center"/>
        <w:outlineLvl w:val="0"/>
        <w:rPr>
          <w:rFonts w:ascii="仿宋" w:hAnsi="仿宋" w:eastAsia="仿宋" w:cs="仿宋"/>
          <w:b/>
          <w:bCs/>
          <w:color w:val="000000" w:themeColor="text1"/>
          <w:spacing w:val="-5"/>
          <w:sz w:val="36"/>
          <w:szCs w:val="36"/>
          <w:highlight w:val="none"/>
          <w:lang w:eastAsia="zh-CN"/>
          <w14:textFill>
            <w14:solidFill>
              <w14:schemeClr w14:val="tx1"/>
            </w14:solidFill>
          </w14:textFill>
        </w:rPr>
      </w:pPr>
      <w:bookmarkStart w:id="12" w:name="bookmark1"/>
      <w:bookmarkEnd w:id="12"/>
      <w:bookmarkStart w:id="13" w:name="_Toc8493"/>
      <w:bookmarkStart w:id="14" w:name="_Toc31269"/>
      <w:bookmarkStart w:id="15" w:name="_Toc10850"/>
      <w:bookmarkStart w:id="16" w:name="_Toc867"/>
      <w:bookmarkStart w:id="17" w:name="_Toc184"/>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第一章</w:t>
      </w:r>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采购邀请</w:t>
      </w:r>
      <w:bookmarkEnd w:id="13"/>
      <w:bookmarkEnd w:id="14"/>
      <w:bookmarkEnd w:id="15"/>
      <w:bookmarkEnd w:id="16"/>
      <w:bookmarkEnd w:id="17"/>
    </w:p>
    <w:p w14:paraId="2369D6BB">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项目概况</w:t>
      </w:r>
    </w:p>
    <w:p w14:paraId="5A4C7BB2">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新疆维吾尔自治区生态环境厅档案系统升级及档案数字化项目采购项目的潜在供应商应在政采云平台线上获取采购文件，并于</w:t>
      </w:r>
      <w:r>
        <w:rPr>
          <w:rFonts w:hint="eastAsia" w:ascii="仿宋" w:hAnsi="仿宋" w:eastAsia="仿宋" w:cs="仿宋"/>
          <w:color w:val="000000" w:themeColor="text1"/>
          <w:szCs w:val="24"/>
          <w:highlight w:val="none"/>
          <w:lang w:eastAsia="zh-CN"/>
          <w14:textFill>
            <w14:solidFill>
              <w14:schemeClr w14:val="tx1"/>
            </w14:solidFill>
          </w14:textFill>
        </w:rPr>
        <w:t>2026年04月</w:t>
      </w:r>
      <w:r>
        <w:rPr>
          <w:rFonts w:hint="eastAsia" w:ascii="仿宋" w:hAnsi="仿宋" w:eastAsia="仿宋" w:cs="仿宋"/>
          <w:color w:val="000000" w:themeColor="text1"/>
          <w:szCs w:val="24"/>
          <w:highlight w:val="none"/>
          <w:lang w:val="en-US" w:eastAsia="zh-CN"/>
          <w14:textFill>
            <w14:solidFill>
              <w14:schemeClr w14:val="tx1"/>
            </w14:solidFill>
          </w14:textFill>
        </w:rPr>
        <w:t>30</w:t>
      </w:r>
      <w:r>
        <w:rPr>
          <w:rFonts w:hint="eastAsia" w:ascii="仿宋" w:hAnsi="仿宋" w:eastAsia="仿宋" w:cs="仿宋"/>
          <w:color w:val="000000" w:themeColor="text1"/>
          <w:szCs w:val="24"/>
          <w:highlight w:val="none"/>
          <w:lang w:eastAsia="zh-CN"/>
          <w14:textFill>
            <w14:solidFill>
              <w14:schemeClr w14:val="tx1"/>
            </w14:solidFill>
          </w14:textFill>
        </w:rPr>
        <w:t>日11:00（北京时间）前提交响应文件。</w:t>
      </w:r>
    </w:p>
    <w:p w14:paraId="11351134">
      <w:pPr>
        <w:pStyle w:val="16"/>
        <w:kinsoku/>
        <w:autoSpaceDE/>
        <w:autoSpaceDN/>
        <w:adjustRightInd/>
        <w:snapToGrid/>
        <w:spacing w:before="0" w:beforeAutospacing="0" w:after="0" w:afterAutospacing="0" w:line="400" w:lineRule="exact"/>
        <w:jc w:val="both"/>
        <w:textAlignment w:val="auto"/>
        <w:rPr>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一、项目基本情况</w:t>
      </w:r>
    </w:p>
    <w:p w14:paraId="04E926BC">
      <w:pPr>
        <w:pStyle w:val="16"/>
        <w:tabs>
          <w:tab w:val="left" w:pos="6683"/>
        </w:tabs>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项目编号：HHTD-DL-20261022</w:t>
      </w:r>
      <w:r>
        <w:rPr>
          <w:rFonts w:hint="eastAsia" w:ascii="仿宋" w:hAnsi="仿宋" w:eastAsia="仿宋" w:cs="仿宋"/>
          <w:color w:val="000000" w:themeColor="text1"/>
          <w:szCs w:val="24"/>
          <w:highlight w:val="none"/>
          <w:lang w:eastAsia="zh-CN"/>
          <w14:textFill>
            <w14:solidFill>
              <w14:schemeClr w14:val="tx1"/>
            </w14:solidFill>
          </w14:textFill>
        </w:rPr>
        <w:tab/>
      </w:r>
    </w:p>
    <w:p w14:paraId="7A4F12B0">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项目名称：新疆维吾尔自治区生态环境厅档案系统升级及档案数字化项目</w:t>
      </w:r>
    </w:p>
    <w:p w14:paraId="4F609107">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采购方式：竞争性磋商</w:t>
      </w:r>
    </w:p>
    <w:p w14:paraId="1789B57C">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预算金额（元）：450000</w:t>
      </w:r>
    </w:p>
    <w:p w14:paraId="03814FE2">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最高限价（元）：450000</w:t>
      </w:r>
    </w:p>
    <w:p w14:paraId="434F180E">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采购需求：</w:t>
      </w:r>
    </w:p>
    <w:p w14:paraId="5DFE9CE2">
      <w:pPr>
        <w:rPr>
          <w:rFonts w:ascii="仿宋" w:hAnsi="仿宋" w:eastAsia="仿宋" w:cs="仿宋"/>
          <w:color w:val="000000" w:themeColor="text1"/>
          <w:szCs w:val="24"/>
          <w:highlight w:val="none"/>
          <w:lang w:eastAsia="zh-CN"/>
          <w14:textFill>
            <w14:solidFill>
              <w14:schemeClr w14:val="tx1"/>
            </w14:solidFill>
          </w14:textFill>
        </w:rPr>
      </w:pPr>
    </w:p>
    <w:p w14:paraId="653712C0">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标项名称：新疆维吾尔自治区生态环境厅档案系统升级及档案数字化项目</w:t>
      </w:r>
    </w:p>
    <w:p w14:paraId="20C257D2">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数量：1</w:t>
      </w:r>
    </w:p>
    <w:p w14:paraId="103C2168">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预算金额（元）：450000</w:t>
      </w:r>
    </w:p>
    <w:p w14:paraId="7F67DEE6">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单位：</w:t>
      </w:r>
      <w:r>
        <w:rPr>
          <w:rFonts w:hint="eastAsia" w:ascii="仿宋" w:hAnsi="仿宋" w:eastAsia="仿宋" w:cs="仿宋"/>
          <w:color w:val="000000" w:themeColor="text1"/>
          <w:szCs w:val="24"/>
          <w:highlight w:val="none"/>
          <w:lang w:val="en-US" w:eastAsia="zh-CN"/>
          <w14:textFill>
            <w14:solidFill>
              <w14:schemeClr w14:val="tx1"/>
            </w14:solidFill>
          </w14:textFill>
        </w:rPr>
        <w:t>项</w:t>
      </w:r>
    </w:p>
    <w:p w14:paraId="7F22D802">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简要规格描述：</w:t>
      </w:r>
    </w:p>
    <w:p w14:paraId="5748D7EF">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1、档案数字化：要求对待加工档案进行扫描前整理，包括对案卷内情况进行登记、扫描文件选择、目录数据校对及信息条目补录等工作环节：①对室藏纸质档案进行数字化加工，数量约为54万页，按A4幅面计算，4万条的信息著录、3万条的条目信息校对。②进行对库藏档案的换封皮、目录；③信息目录录入。协助完成库存档案移交工作。</w:t>
      </w:r>
    </w:p>
    <w:p w14:paraId="06DEE8E4">
      <w:pPr>
        <w:pStyle w:val="16"/>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2、档案管理系统运维：按照甲方要求，做好档案管理系统的日常维护工作，配合甲方做好系统功能优化、等级保护和密码应用测评的技术支持和问题整改工作。</w:t>
      </w:r>
    </w:p>
    <w:p w14:paraId="0D281ED9">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3、完成档案管理系统升级，实现电子档案在线归档、采集、查询；完成办公系统接口开发及对接，并辅助完成2026年上半年的文书档案在线归档工作。整理数字档案室测评报告。</w:t>
      </w:r>
    </w:p>
    <w:p w14:paraId="2163B3BC">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备注：合同履约期限：标项1：自合同签订之日起7个月内完成。</w:t>
      </w:r>
    </w:p>
    <w:p w14:paraId="664954EF">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本项目（否）接受联合体投标。</w:t>
      </w:r>
    </w:p>
    <w:p w14:paraId="4EBEE29D">
      <w:pPr>
        <w:pStyle w:val="16"/>
        <w:numPr>
          <w:ilvl w:val="0"/>
          <w:numId w:val="1"/>
        </w:numPr>
        <w:kinsoku/>
        <w:autoSpaceDE/>
        <w:autoSpaceDN/>
        <w:adjustRightInd/>
        <w:snapToGrid/>
        <w:spacing w:before="0" w:beforeAutospacing="0" w:after="0" w:afterAutospacing="0" w:line="400" w:lineRule="exact"/>
        <w:jc w:val="both"/>
        <w:textAlignment w:val="auto"/>
        <w:rPr>
          <w:rStyle w:val="23"/>
          <w:rFonts w:ascii="仿宋" w:hAnsi="仿宋" w:eastAsia="仿宋" w:cs="仿宋"/>
          <w:color w:val="000000" w:themeColor="text1"/>
          <w:szCs w:val="24"/>
          <w:highlight w:val="none"/>
          <w14:textFill>
            <w14:solidFill>
              <w14:schemeClr w14:val="tx1"/>
            </w14:solidFill>
          </w14:textFill>
        </w:rPr>
      </w:pPr>
      <w:r>
        <w:rPr>
          <w:rStyle w:val="23"/>
          <w:rFonts w:hint="eastAsia" w:ascii="仿宋" w:hAnsi="仿宋" w:eastAsia="仿宋" w:cs="仿宋"/>
          <w:color w:val="000000" w:themeColor="text1"/>
          <w:szCs w:val="24"/>
          <w:highlight w:val="none"/>
          <w14:textFill>
            <w14:solidFill>
              <w14:schemeClr w14:val="tx1"/>
            </w14:solidFill>
          </w14:textFill>
        </w:rPr>
        <w:t>申请人的资格要求：</w:t>
      </w:r>
    </w:p>
    <w:p w14:paraId="2872CFB8">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1.满足《中华人民共和国政府采购法》第二十二条规定；</w:t>
      </w:r>
    </w:p>
    <w:p w14:paraId="7A0051D1">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2.落实政府采购政策需满足的资格要求：标项1：本项目专门面向中小企业采购。</w:t>
      </w:r>
    </w:p>
    <w:p w14:paraId="59598B9E">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3</w:t>
      </w:r>
      <w:r>
        <w:rPr>
          <w:rFonts w:hint="eastAsia" w:ascii="仿宋" w:hAnsi="仿宋" w:eastAsia="仿宋" w:cs="仿宋"/>
          <w:color w:val="000000" w:themeColor="text1"/>
          <w:szCs w:val="24"/>
          <w:highlight w:val="none"/>
          <w:lang w:eastAsia="zh-CN"/>
          <w14:textFill>
            <w14:solidFill>
              <w14:schemeClr w14:val="tx1"/>
            </w14:solidFill>
          </w14:textFill>
        </w:rPr>
        <w:t>.本项目的特定资格要求：</w:t>
      </w:r>
      <w:r>
        <w:rPr>
          <w:rFonts w:ascii="仿宋" w:hAnsi="仿宋" w:eastAsia="仿宋"/>
          <w:color w:val="000000" w:themeColor="text1"/>
          <w:szCs w:val="24"/>
          <w:highlight w:val="none"/>
          <w14:textFill>
            <w14:solidFill>
              <w14:schemeClr w14:val="tx1"/>
            </w14:solidFill>
          </w14:textFill>
        </w:rPr>
        <w:t>供应商具有国家秘密载体印制资质证书(涉密档案数字化加工资质)乙级及以上（证书在有效期内</w:t>
      </w:r>
      <w:r>
        <w:rPr>
          <w:rFonts w:hint="eastAsia" w:ascii="仿宋" w:hAnsi="仿宋" w:eastAsia="仿宋"/>
          <w:color w:val="000000" w:themeColor="text1"/>
          <w:szCs w:val="24"/>
          <w:highlight w:val="none"/>
          <w:lang w:eastAsia="zh-CN"/>
          <w14:textFill>
            <w14:solidFill>
              <w14:schemeClr w14:val="tx1"/>
            </w14:solidFill>
          </w14:textFill>
        </w:rPr>
        <w:t>，</w:t>
      </w:r>
      <w:r>
        <w:rPr>
          <w:rFonts w:hint="eastAsia" w:ascii="仿宋" w:hAnsi="仿宋" w:eastAsia="仿宋"/>
          <w:color w:val="000000" w:themeColor="text1"/>
          <w:szCs w:val="24"/>
          <w:highlight w:val="none"/>
          <w14:textFill>
            <w14:solidFill>
              <w14:schemeClr w14:val="tx1"/>
            </w14:solidFill>
          </w14:textFill>
        </w:rPr>
        <w:t>外省企业需提供保密局备案材料</w:t>
      </w:r>
      <w:r>
        <w:rPr>
          <w:rFonts w:ascii="仿宋" w:hAnsi="仿宋" w:eastAsia="仿宋"/>
          <w:color w:val="000000" w:themeColor="text1"/>
          <w:szCs w:val="24"/>
          <w:highlight w:val="none"/>
          <w14:textFill>
            <w14:solidFill>
              <w14:schemeClr w14:val="tx1"/>
            </w14:solidFill>
          </w14:textFill>
        </w:rPr>
        <w:t>）</w:t>
      </w:r>
      <w:r>
        <w:rPr>
          <w:rFonts w:hint="eastAsia" w:ascii="仿宋" w:hAnsi="仿宋" w:eastAsia="仿宋" w:cs="仿宋"/>
          <w:color w:val="000000" w:themeColor="text1"/>
          <w:szCs w:val="24"/>
          <w:highlight w:val="none"/>
          <w:lang w:eastAsia="zh-CN"/>
          <w14:textFill>
            <w14:solidFill>
              <w14:schemeClr w14:val="tx1"/>
            </w14:solidFill>
          </w14:textFill>
        </w:rPr>
        <w:t>。</w:t>
      </w:r>
    </w:p>
    <w:p w14:paraId="155079C4">
      <w:pPr>
        <w:pStyle w:val="16"/>
        <w:kinsoku/>
        <w:autoSpaceDE/>
        <w:autoSpaceDN/>
        <w:adjustRightInd/>
        <w:snapToGrid/>
        <w:spacing w:before="0" w:beforeAutospacing="0" w:after="0" w:afterAutospacing="0" w:line="400" w:lineRule="exact"/>
        <w:textAlignment w:val="auto"/>
        <w:rPr>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三、获取采购文件</w:t>
      </w:r>
    </w:p>
    <w:p w14:paraId="725386D6">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时间：2026年</w:t>
      </w:r>
      <w:r>
        <w:rPr>
          <w:rFonts w:hint="eastAsia" w:ascii="仿宋" w:hAnsi="仿宋" w:eastAsia="仿宋" w:cs="仿宋"/>
          <w:color w:val="000000" w:themeColor="text1"/>
          <w:szCs w:val="24"/>
          <w:highlight w:val="none"/>
          <w:lang w:eastAsia="zh-CN"/>
          <w14:textFill>
            <w14:solidFill>
              <w14:schemeClr w14:val="tx1"/>
            </w14:solidFill>
          </w14:textFill>
        </w:rPr>
        <w:t>04月</w:t>
      </w:r>
      <w:r>
        <w:rPr>
          <w:rFonts w:hint="eastAsia" w:ascii="仿宋" w:hAnsi="仿宋" w:eastAsia="仿宋" w:cs="仿宋"/>
          <w:color w:val="000000" w:themeColor="text1"/>
          <w:szCs w:val="24"/>
          <w:highlight w:val="none"/>
          <w:lang w:val="en-US" w:eastAsia="zh-CN"/>
          <w14:textFill>
            <w14:solidFill>
              <w14:schemeClr w14:val="tx1"/>
            </w14:solidFill>
          </w14:textFill>
        </w:rPr>
        <w:t>20</w:t>
      </w:r>
      <w:r>
        <w:rPr>
          <w:rFonts w:hint="eastAsia" w:ascii="仿宋" w:hAnsi="仿宋" w:eastAsia="仿宋" w:cs="仿宋"/>
          <w:color w:val="000000" w:themeColor="text1"/>
          <w:szCs w:val="24"/>
          <w:highlight w:val="none"/>
          <w:lang w:eastAsia="zh-CN"/>
          <w14:textFill>
            <w14:solidFill>
              <w14:schemeClr w14:val="tx1"/>
            </w14:solidFill>
          </w14:textFill>
        </w:rPr>
        <w:t>日至2026年04月</w:t>
      </w:r>
      <w:r>
        <w:rPr>
          <w:rFonts w:hint="eastAsia" w:ascii="仿宋" w:hAnsi="仿宋" w:eastAsia="仿宋" w:cs="仿宋"/>
          <w:color w:val="000000" w:themeColor="text1"/>
          <w:szCs w:val="24"/>
          <w:highlight w:val="none"/>
          <w:lang w:val="en-US" w:eastAsia="zh-CN"/>
          <w14:textFill>
            <w14:solidFill>
              <w14:schemeClr w14:val="tx1"/>
            </w14:solidFill>
          </w14:textFill>
        </w:rPr>
        <w:t>27</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eastAsia="zh-CN"/>
          <w14:textFill>
            <w14:solidFill>
              <w14:schemeClr w14:val="tx1"/>
            </w14:solidFill>
          </w14:textFill>
        </w:rPr>
        <w:t>，每天上午00:00至1</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lang w:eastAsia="zh-CN"/>
          <w14:textFill>
            <w14:solidFill>
              <w14:schemeClr w14:val="tx1"/>
            </w14:solidFill>
          </w14:textFill>
        </w:rPr>
        <w:t>:00，下午1</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lang w:eastAsia="zh-CN"/>
          <w14:textFill>
            <w14:solidFill>
              <w14:schemeClr w14:val="tx1"/>
            </w14:solidFill>
          </w14:textFill>
        </w:rPr>
        <w:t>:00至23:59（北京时间，法定节假日除外）</w:t>
      </w:r>
    </w:p>
    <w:p w14:paraId="76693901">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地点：政采云平台线上</w:t>
      </w:r>
    </w:p>
    <w:p w14:paraId="5B17AC12">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方式：</w:t>
      </w:r>
      <w:r>
        <w:rPr>
          <w:rFonts w:hint="eastAsia" w:ascii="仿宋" w:hAnsi="仿宋" w:eastAsia="仿宋" w:cs="仿宋"/>
          <w:color w:val="000000" w:themeColor="text1"/>
          <w:szCs w:val="24"/>
          <w:highlight w:val="none"/>
          <w:lang w:eastAsia="zh-CN"/>
          <w14:textFill>
            <w14:solidFill>
              <w14:schemeClr w14:val="tx1"/>
            </w14:solidFill>
          </w14:textFill>
        </w:rPr>
        <w:t>供应商</w:t>
      </w:r>
      <w:r>
        <w:rPr>
          <w:rFonts w:hint="eastAsia" w:ascii="仿宋" w:hAnsi="仿宋" w:eastAsia="仿宋" w:cs="仿宋"/>
          <w:color w:val="000000" w:themeColor="text1"/>
          <w:szCs w:val="24"/>
          <w:highlight w:val="none"/>
          <w14:textFill>
            <w14:solidFill>
              <w14:schemeClr w14:val="tx1"/>
            </w14:solidFill>
          </w14:textFill>
        </w:rPr>
        <w:t>登录政采云平台https://www.zcygov.cn/在线申请获取采购文件（进入“项目采购”应用，在获取采购文件菜单中选择项目，申请获取采购文件）</w:t>
      </w:r>
      <w:r>
        <w:rPr>
          <w:rFonts w:hint="eastAsia" w:ascii="仿宋" w:hAnsi="仿宋" w:eastAsia="仿宋" w:cs="仿宋"/>
          <w:color w:val="000000" w:themeColor="text1"/>
          <w:szCs w:val="24"/>
          <w:highlight w:val="none"/>
          <w:lang w:eastAsia="zh-CN"/>
          <w14:textFill>
            <w14:solidFill>
              <w14:schemeClr w14:val="tx1"/>
            </w14:solidFill>
          </w14:textFill>
        </w:rPr>
        <w:t>，或者点击采购公告底部潜在供应商“获取采购文件”，页面跳转后登陆，直接获取采购文件。</w:t>
      </w:r>
    </w:p>
    <w:p w14:paraId="473B994D">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售价（元）：0</w:t>
      </w:r>
    </w:p>
    <w:p w14:paraId="75971DCF">
      <w:pPr>
        <w:pStyle w:val="16"/>
        <w:kinsoku/>
        <w:autoSpaceDE/>
        <w:autoSpaceDN/>
        <w:adjustRightInd/>
        <w:snapToGrid/>
        <w:spacing w:before="0" w:beforeAutospacing="0" w:after="0" w:afterAutospacing="0" w:line="400" w:lineRule="exact"/>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四、响应文件提交</w:t>
      </w:r>
    </w:p>
    <w:p w14:paraId="0BF05444">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截止时间：2026年04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30</w:t>
      </w:r>
      <w:r>
        <w:rPr>
          <w:rFonts w:hint="eastAsia" w:ascii="仿宋" w:hAnsi="仿宋" w:eastAsia="仿宋" w:cs="仿宋"/>
          <w:color w:val="000000" w:themeColor="text1"/>
          <w:szCs w:val="24"/>
          <w:highlight w:val="none"/>
          <w:lang w:eastAsia="zh-CN"/>
          <w14:textFill>
            <w14:solidFill>
              <w14:schemeClr w14:val="tx1"/>
            </w14:solidFill>
          </w14:textFill>
        </w:rPr>
        <w:t>日11:00（北京时间）</w:t>
      </w:r>
    </w:p>
    <w:p w14:paraId="3A27B7EF">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 xml:space="preserve">地点：请登录政采云投标客户端投标 </w:t>
      </w:r>
    </w:p>
    <w:p w14:paraId="16517D78">
      <w:pPr>
        <w:pStyle w:val="16"/>
        <w:kinsoku/>
        <w:autoSpaceDE/>
        <w:autoSpaceDN/>
        <w:adjustRightInd/>
        <w:snapToGrid/>
        <w:spacing w:before="0" w:beforeAutospacing="0" w:after="0" w:afterAutospacing="0" w:line="400" w:lineRule="exact"/>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五、响应文件开启</w:t>
      </w:r>
    </w:p>
    <w:p w14:paraId="7C20FB98">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开启时间：2026年04月</w:t>
      </w:r>
      <w:r>
        <w:rPr>
          <w:rFonts w:hint="eastAsia" w:ascii="仿宋" w:hAnsi="仿宋" w:eastAsia="仿宋" w:cs="仿宋"/>
          <w:color w:val="000000" w:themeColor="text1"/>
          <w:szCs w:val="24"/>
          <w:highlight w:val="none"/>
          <w:lang w:val="en-US" w:eastAsia="zh-CN"/>
          <w14:textFill>
            <w14:solidFill>
              <w14:schemeClr w14:val="tx1"/>
            </w14:solidFill>
          </w14:textFill>
        </w:rPr>
        <w:t>30</w:t>
      </w:r>
      <w:r>
        <w:rPr>
          <w:rFonts w:hint="eastAsia" w:ascii="仿宋" w:hAnsi="仿宋" w:eastAsia="仿宋" w:cs="仿宋"/>
          <w:color w:val="000000" w:themeColor="text1"/>
          <w:szCs w:val="24"/>
          <w:highlight w:val="none"/>
          <w:lang w:eastAsia="zh-CN"/>
          <w14:textFill>
            <w14:solidFill>
              <w14:schemeClr w14:val="tx1"/>
            </w14:solidFill>
          </w14:textFill>
        </w:rPr>
        <w:t>日11:00（北京</w:t>
      </w:r>
      <w:r>
        <w:rPr>
          <w:rFonts w:hint="eastAsia" w:ascii="仿宋" w:hAnsi="仿宋" w:eastAsia="仿宋" w:cs="仿宋"/>
          <w:color w:val="000000" w:themeColor="text1"/>
          <w:szCs w:val="24"/>
          <w:highlight w:val="none"/>
          <w:lang w:eastAsia="zh-CN"/>
          <w14:textFill>
            <w14:solidFill>
              <w14:schemeClr w14:val="tx1"/>
            </w14:solidFill>
          </w14:textFill>
        </w:rPr>
        <w:t>时间）</w:t>
      </w:r>
    </w:p>
    <w:p w14:paraId="1D62A891">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地点：</w:t>
      </w:r>
      <w:r>
        <w:rPr>
          <w:rFonts w:hint="eastAsia" w:ascii="仿宋" w:hAnsi="仿宋" w:eastAsia="仿宋" w:cs="仿宋"/>
          <w:color w:val="000000" w:themeColor="text1"/>
          <w:szCs w:val="24"/>
          <w:highlight w:val="none"/>
          <w:lang w:eastAsia="zh-CN"/>
          <w14:textFill>
            <w14:solidFill>
              <w14:schemeClr w14:val="tx1"/>
            </w14:solidFill>
          </w14:textFill>
        </w:rPr>
        <w:t>供应商</w:t>
      </w:r>
      <w:r>
        <w:rPr>
          <w:rFonts w:hint="eastAsia" w:ascii="仿宋" w:hAnsi="仿宋" w:eastAsia="仿宋" w:cs="仿宋"/>
          <w:color w:val="000000" w:themeColor="text1"/>
          <w:szCs w:val="24"/>
          <w:highlight w:val="none"/>
          <w14:textFill>
            <w14:solidFill>
              <w14:schemeClr w14:val="tx1"/>
            </w14:solidFill>
          </w14:textFill>
        </w:rPr>
        <w:t>登录政采云平台https://www.zcygov.cn/，进入“项目采购-开标评标-右边选择对应项目点击“进入项目”进入开标大厅。</w:t>
      </w:r>
    </w:p>
    <w:p w14:paraId="64CCC11C">
      <w:pPr>
        <w:pStyle w:val="16"/>
        <w:kinsoku/>
        <w:autoSpaceDE/>
        <w:autoSpaceDN/>
        <w:adjustRightInd/>
        <w:snapToGrid/>
        <w:spacing w:before="0" w:beforeAutospacing="0" w:after="0" w:afterAutospacing="0" w:line="400" w:lineRule="exact"/>
        <w:jc w:val="both"/>
        <w:textAlignment w:val="auto"/>
        <w:rPr>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六、公告期限</w:t>
      </w:r>
    </w:p>
    <w:p w14:paraId="7673F605">
      <w:pPr>
        <w:pStyle w:val="16"/>
        <w:kinsoku/>
        <w:autoSpaceDE/>
        <w:autoSpaceDN/>
        <w:adjustRightInd/>
        <w:snapToGrid/>
        <w:spacing w:before="0" w:beforeAutospacing="0" w:after="0" w:afterAutospacing="0" w:line="400" w:lineRule="exact"/>
        <w:ind w:firstLine="480" w:firstLineChars="200"/>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自本公告发布之日起3个工作日。</w:t>
      </w:r>
    </w:p>
    <w:p w14:paraId="4D4E5C95">
      <w:pPr>
        <w:pStyle w:val="16"/>
        <w:kinsoku/>
        <w:autoSpaceDE/>
        <w:autoSpaceDN/>
        <w:adjustRightInd/>
        <w:snapToGrid/>
        <w:spacing w:before="0" w:beforeAutospacing="0" w:after="0" w:afterAutospacing="0" w:line="400" w:lineRule="exact"/>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七、其他补充事宜</w:t>
      </w:r>
    </w:p>
    <w:p w14:paraId="3C1BA904">
      <w:pPr>
        <w:pStyle w:val="16"/>
        <w:kinsoku/>
        <w:autoSpaceDE/>
        <w:autoSpaceDN/>
        <w:adjustRightInd/>
        <w:snapToGrid/>
        <w:spacing w:before="0" w:beforeAutospacing="0" w:after="0" w:afterAutospacing="0" w:line="400" w:lineRule="exact"/>
        <w:ind w:firstLine="421"/>
        <w:jc w:val="both"/>
        <w:textAlignment w:val="auto"/>
        <w:rPr>
          <w:rStyle w:val="23"/>
          <w:rFonts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1、本项目实行网上投标，采用电子投标文件。</w:t>
      </w:r>
    </w:p>
    <w:p w14:paraId="5DB70146">
      <w:pPr>
        <w:pStyle w:val="16"/>
        <w:kinsoku/>
        <w:autoSpaceDE/>
        <w:autoSpaceDN/>
        <w:adjustRightInd/>
        <w:snapToGrid/>
        <w:spacing w:before="0" w:beforeAutospacing="0" w:after="0" w:afterAutospacing="0" w:line="400" w:lineRule="exact"/>
        <w:ind w:firstLine="421"/>
        <w:jc w:val="both"/>
        <w:textAlignment w:val="auto"/>
        <w:rPr>
          <w:rStyle w:val="23"/>
          <w:rFonts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2116BBA">
      <w:pPr>
        <w:pStyle w:val="16"/>
        <w:kinsoku/>
        <w:autoSpaceDE/>
        <w:autoSpaceDN/>
        <w:adjustRightInd/>
        <w:snapToGrid/>
        <w:spacing w:before="0" w:beforeAutospacing="0" w:after="0" w:afterAutospacing="0" w:line="400" w:lineRule="exact"/>
        <w:ind w:firstLine="421"/>
        <w:jc w:val="both"/>
        <w:textAlignment w:val="auto"/>
        <w:rPr>
          <w:rStyle w:val="23"/>
          <w:rFonts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2A03B05E">
      <w:pPr>
        <w:pStyle w:val="16"/>
        <w:kinsoku/>
        <w:autoSpaceDE/>
        <w:autoSpaceDN/>
        <w:adjustRightInd/>
        <w:snapToGrid/>
        <w:spacing w:before="0" w:beforeAutospacing="0" w:after="0" w:afterAutospacing="0" w:line="400" w:lineRule="exact"/>
        <w:ind w:firstLine="421"/>
        <w:jc w:val="both"/>
        <w:textAlignment w:val="auto"/>
        <w:rPr>
          <w:rStyle w:val="23"/>
          <w:rFonts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4、其他事项：/</w:t>
      </w:r>
    </w:p>
    <w:p w14:paraId="4882395C">
      <w:pPr>
        <w:pStyle w:val="16"/>
        <w:kinsoku/>
        <w:autoSpaceDE/>
        <w:autoSpaceDN/>
        <w:adjustRightInd/>
        <w:snapToGrid/>
        <w:spacing w:before="0" w:beforeAutospacing="0" w:after="0" w:afterAutospacing="0" w:line="400" w:lineRule="exact"/>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特别提示：</w:t>
      </w:r>
    </w:p>
    <w:p w14:paraId="2D5143F9">
      <w:pPr>
        <w:pStyle w:val="16"/>
        <w:kinsoku/>
        <w:autoSpaceDE/>
        <w:autoSpaceDN/>
        <w:adjustRightInd/>
        <w:snapToGrid/>
        <w:spacing w:before="0" w:beforeAutospacing="0" w:after="0" w:afterAutospacing="0" w:line="400" w:lineRule="exact"/>
        <w:ind w:firstLine="482" w:firstLineChars="200"/>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19864A4E">
      <w:pPr>
        <w:pStyle w:val="16"/>
        <w:kinsoku/>
        <w:autoSpaceDE/>
        <w:autoSpaceDN/>
        <w:adjustRightInd/>
        <w:snapToGrid/>
        <w:spacing w:before="0" w:beforeAutospacing="0" w:after="0" w:afterAutospacing="0" w:line="400" w:lineRule="exact"/>
        <w:ind w:firstLine="482" w:firstLineChars="200"/>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2、超过200万元的货物和服务采购项目，预留该部分采购项目预算总额的30%以上专门面向中小企业采购，其中预留给小微企业的比例不低于60%。</w:t>
      </w:r>
    </w:p>
    <w:p w14:paraId="2BDA7399">
      <w:pPr>
        <w:pStyle w:val="16"/>
        <w:kinsoku/>
        <w:autoSpaceDE/>
        <w:autoSpaceDN/>
        <w:adjustRightInd/>
        <w:snapToGrid/>
        <w:spacing w:before="0" w:beforeAutospacing="0" w:after="0" w:afterAutospacing="0" w:line="400" w:lineRule="exact"/>
        <w:ind w:firstLine="482" w:firstLineChars="200"/>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078AB492">
      <w:pPr>
        <w:pStyle w:val="16"/>
        <w:kinsoku/>
        <w:autoSpaceDE/>
        <w:autoSpaceDN/>
        <w:adjustRightInd/>
        <w:snapToGrid/>
        <w:spacing w:before="0" w:beforeAutospacing="0" w:after="0" w:afterAutospacing="0" w:line="400" w:lineRule="exact"/>
        <w:ind w:firstLine="482" w:firstLineChars="200"/>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004FE22">
      <w:pPr>
        <w:pStyle w:val="16"/>
        <w:kinsoku/>
        <w:autoSpaceDE/>
        <w:autoSpaceDN/>
        <w:adjustRightInd/>
        <w:snapToGrid/>
        <w:spacing w:before="0" w:beforeAutospacing="0" w:after="0" w:afterAutospacing="0" w:line="400" w:lineRule="exact"/>
        <w:ind w:firstLine="482" w:firstLineChars="200"/>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7B645F0">
      <w:pPr>
        <w:rPr>
          <w:rFonts w:ascii="仿宋" w:hAnsi="仿宋" w:eastAsia="仿宋" w:cs="仿宋"/>
          <w:color w:val="000000" w:themeColor="text1"/>
          <w:highlight w:val="none"/>
          <w:lang w:eastAsia="zh-CN"/>
          <w14:textFill>
            <w14:solidFill>
              <w14:schemeClr w14:val="tx1"/>
            </w14:solidFill>
          </w14:textFill>
        </w:rPr>
      </w:pPr>
    </w:p>
    <w:p w14:paraId="1D5364EE">
      <w:pPr>
        <w:pStyle w:val="16"/>
        <w:kinsoku/>
        <w:autoSpaceDE/>
        <w:autoSpaceDN/>
        <w:adjustRightInd/>
        <w:snapToGrid/>
        <w:spacing w:before="0" w:beforeAutospacing="0" w:after="0" w:afterAutospacing="0" w:line="360" w:lineRule="auto"/>
        <w:jc w:val="both"/>
        <w:textAlignment w:val="auto"/>
        <w:rPr>
          <w:rStyle w:val="23"/>
          <w:rFonts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八、凡对本次招标提出询问，请按以下方式联系</w:t>
      </w:r>
    </w:p>
    <w:p w14:paraId="688D439E">
      <w:pPr>
        <w:pStyle w:val="10"/>
        <w:widowControl w:val="0"/>
        <w:kinsoku/>
        <w:autoSpaceDE/>
        <w:autoSpaceDN/>
        <w:adjustRightInd/>
        <w:snapToGrid/>
        <w:spacing w:line="360" w:lineRule="auto"/>
        <w:ind w:firstLine="480" w:firstLineChars="200"/>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1.采购人信息</w:t>
      </w:r>
    </w:p>
    <w:p w14:paraId="6C57383F">
      <w:pPr>
        <w:pStyle w:val="10"/>
        <w:widowControl w:val="0"/>
        <w:kinsoku/>
        <w:autoSpaceDE/>
        <w:autoSpaceDN/>
        <w:adjustRightInd/>
        <w:snapToGrid/>
        <w:spacing w:line="360" w:lineRule="auto"/>
        <w:ind w:firstLine="480" w:firstLineChars="200"/>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名 称：新疆维吾尔自治区生态环境厅</w:t>
      </w:r>
    </w:p>
    <w:p w14:paraId="2A6BD1FD">
      <w:pPr>
        <w:pStyle w:val="10"/>
        <w:widowControl w:val="0"/>
        <w:kinsoku/>
        <w:autoSpaceDE/>
        <w:autoSpaceDN/>
        <w:adjustRightInd/>
        <w:snapToGrid/>
        <w:spacing w:line="360" w:lineRule="auto"/>
        <w:ind w:firstLine="480" w:firstLineChars="200"/>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地 址：乌鲁木齐水磨沟区南湖西路215号</w:t>
      </w:r>
    </w:p>
    <w:p w14:paraId="7E687DA4">
      <w:pPr>
        <w:pStyle w:val="10"/>
        <w:widowControl w:val="0"/>
        <w:kinsoku/>
        <w:autoSpaceDE/>
        <w:autoSpaceDN/>
        <w:adjustRightInd/>
        <w:snapToGrid/>
        <w:spacing w:line="360" w:lineRule="auto"/>
        <w:ind w:firstLine="480" w:firstLineChars="200"/>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联系方式：0991-4165477</w:t>
      </w:r>
    </w:p>
    <w:p w14:paraId="4E64A9E2">
      <w:pPr>
        <w:pStyle w:val="10"/>
        <w:widowControl w:val="0"/>
        <w:kinsoku/>
        <w:autoSpaceDE/>
        <w:autoSpaceDN/>
        <w:adjustRightInd/>
        <w:snapToGrid/>
        <w:spacing w:line="360" w:lineRule="auto"/>
        <w:ind w:left="420" w:leftChars="200"/>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2.采购代理机构信息</w:t>
      </w:r>
    </w:p>
    <w:p w14:paraId="470CE7BA">
      <w:pPr>
        <w:pStyle w:val="10"/>
        <w:widowControl w:val="0"/>
        <w:kinsoku/>
        <w:autoSpaceDE/>
        <w:autoSpaceDN/>
        <w:adjustRightInd/>
        <w:snapToGrid/>
        <w:spacing w:line="360" w:lineRule="auto"/>
        <w:ind w:left="420" w:leftChars="200"/>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名 称：新疆华恒通达项目管理有限公司</w:t>
      </w:r>
    </w:p>
    <w:p w14:paraId="631C45E4">
      <w:pPr>
        <w:pStyle w:val="10"/>
        <w:widowControl w:val="0"/>
        <w:kinsoku/>
        <w:autoSpaceDE/>
        <w:autoSpaceDN/>
        <w:adjustRightInd/>
        <w:snapToGrid/>
        <w:spacing w:line="360" w:lineRule="auto"/>
        <w:ind w:left="420" w:leftChars="200"/>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地 址：新疆乌鲁木齐高新区(新市区)北京南路416号盈科国际21楼A21-235</w:t>
      </w:r>
    </w:p>
    <w:p w14:paraId="32974E81">
      <w:pPr>
        <w:pStyle w:val="10"/>
        <w:widowControl w:val="0"/>
        <w:kinsoku/>
        <w:autoSpaceDE/>
        <w:autoSpaceDN/>
        <w:adjustRightInd/>
        <w:snapToGrid/>
        <w:spacing w:line="360" w:lineRule="auto"/>
        <w:ind w:left="420" w:leftChars="200"/>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联系方式：15001697967</w:t>
      </w:r>
      <w:r>
        <w:rPr>
          <w:rFonts w:ascii="仿宋" w:hAnsi="仿宋" w:eastAsia="仿宋" w:cs="仿宋"/>
          <w:color w:val="000000" w:themeColor="text1"/>
          <w:sz w:val="24"/>
          <w:szCs w:val="24"/>
          <w:highlight w:val="none"/>
          <w:lang w:eastAsia="zh-CN"/>
          <w14:textFill>
            <w14:solidFill>
              <w14:schemeClr w14:val="tx1"/>
            </w14:solidFill>
          </w14:textFill>
        </w:rPr>
        <w:br w:type="textWrapping"/>
      </w:r>
      <w:r>
        <w:rPr>
          <w:rFonts w:ascii="仿宋" w:hAnsi="仿宋" w:eastAsia="仿宋" w:cs="仿宋"/>
          <w:color w:val="000000" w:themeColor="text1"/>
          <w:sz w:val="24"/>
          <w:szCs w:val="24"/>
          <w:highlight w:val="none"/>
          <w:lang w:eastAsia="zh-CN"/>
          <w14:textFill>
            <w14:solidFill>
              <w14:schemeClr w14:val="tx1"/>
            </w14:solidFill>
          </w14:textFill>
        </w:rPr>
        <w:t>3.项目联系方式</w:t>
      </w:r>
    </w:p>
    <w:p w14:paraId="1DC6F564">
      <w:pPr>
        <w:pStyle w:val="10"/>
        <w:widowControl w:val="0"/>
        <w:kinsoku/>
        <w:autoSpaceDE/>
        <w:autoSpaceDN/>
        <w:adjustRightInd/>
        <w:snapToGrid/>
        <w:spacing w:line="360" w:lineRule="auto"/>
        <w:ind w:firstLine="480" w:firstLineChars="200"/>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项目联系人：谢宏英</w:t>
      </w:r>
    </w:p>
    <w:p w14:paraId="4CD72D13">
      <w:pPr>
        <w:spacing w:line="360" w:lineRule="auto"/>
        <w:ind w:firstLine="480" w:firstLineChars="200"/>
        <w:jc w:val="both"/>
        <w:rPr>
          <w:rFonts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电话：15001697967</w:t>
      </w:r>
      <w:bookmarkStart w:id="18" w:name="bookmark2"/>
      <w:bookmarkEnd w:id="18"/>
      <w:bookmarkStart w:id="19" w:name="_Toc127161488"/>
      <w:bookmarkStart w:id="20" w:name="_Toc305158854"/>
      <w:bookmarkStart w:id="21" w:name="_Toc3271"/>
      <w:bookmarkStart w:id="22" w:name="_Toc150774783"/>
      <w:bookmarkStart w:id="23" w:name="_Toc512937850"/>
      <w:bookmarkStart w:id="24" w:name="_Toc353825548"/>
      <w:bookmarkStart w:id="25" w:name="_Toc195842950"/>
      <w:bookmarkStart w:id="26" w:name="_Toc265228423"/>
      <w:bookmarkStart w:id="27" w:name="_Toc264969275"/>
      <w:bookmarkStart w:id="28" w:name="_Toc305158928"/>
      <w:bookmarkStart w:id="29" w:name="_Toc353873938"/>
      <w:bookmarkStart w:id="30" w:name="_Toc15012"/>
      <w:bookmarkStart w:id="31" w:name="_Toc226965856"/>
      <w:bookmarkStart w:id="32" w:name="_Toc127151777"/>
      <w:r>
        <w:rPr>
          <w:rFonts w:hint="eastAsia" w:ascii="仿宋" w:hAnsi="仿宋" w:eastAsia="仿宋" w:cs="仿宋"/>
          <w:b/>
          <w:color w:val="000000" w:themeColor="text1"/>
          <w:sz w:val="36"/>
          <w:szCs w:val="36"/>
          <w:highlight w:val="none"/>
          <w:lang w:eastAsia="zh-CN"/>
          <w14:textFill>
            <w14:solidFill>
              <w14:schemeClr w14:val="tx1"/>
            </w14:solidFill>
          </w14:textFill>
        </w:rPr>
        <w:br w:type="page"/>
      </w:r>
    </w:p>
    <w:p w14:paraId="113EE859">
      <w:pPr>
        <w:kinsoku/>
        <w:autoSpaceDE/>
        <w:autoSpaceDN/>
        <w:adjustRightInd/>
        <w:snapToGrid/>
        <w:spacing w:line="360" w:lineRule="auto"/>
        <w:jc w:val="center"/>
        <w:textAlignment w:val="auto"/>
        <w:outlineLvl w:val="0"/>
        <w:rPr>
          <w:rFonts w:ascii="仿宋" w:hAnsi="仿宋" w:eastAsia="仿宋" w:cs="仿宋"/>
          <w:b/>
          <w:color w:val="000000" w:themeColor="text1"/>
          <w:sz w:val="32"/>
          <w:szCs w:val="32"/>
          <w:highlight w:val="none"/>
          <w:lang w:eastAsia="zh-CN"/>
          <w14:textFill>
            <w14:solidFill>
              <w14:schemeClr w14:val="tx1"/>
            </w14:solidFill>
          </w14:textFill>
        </w:rPr>
      </w:pPr>
      <w:bookmarkStart w:id="33" w:name="_Toc12145"/>
      <w:bookmarkStart w:id="34" w:name="_Toc9216"/>
      <w:bookmarkStart w:id="35" w:name="_Toc16945"/>
      <w:r>
        <w:rPr>
          <w:rFonts w:hint="eastAsia" w:ascii="仿宋" w:hAnsi="仿宋" w:eastAsia="仿宋" w:cs="仿宋"/>
          <w:b/>
          <w:color w:val="000000" w:themeColor="text1"/>
          <w:sz w:val="36"/>
          <w:szCs w:val="36"/>
          <w:highlight w:val="none"/>
          <w:lang w:eastAsia="zh-CN"/>
          <w14:textFill>
            <w14:solidFill>
              <w14:schemeClr w14:val="tx1"/>
            </w14:solidFill>
          </w14:textFill>
        </w:rPr>
        <w:t>第二章   供应商须知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45EF372">
      <w:pPr>
        <w:pStyle w:val="3"/>
        <w:tabs>
          <w:tab w:val="center" w:pos="4592"/>
          <w:tab w:val="left" w:pos="7860"/>
        </w:tabs>
        <w:spacing w:before="0" w:line="360" w:lineRule="auto"/>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eastAsia="zh-CN"/>
          <w14:textFill>
            <w14:solidFill>
              <w14:schemeClr w14:val="tx1"/>
            </w14:solidFill>
          </w14:textFill>
        </w:rPr>
        <w:t>供应商须知资料表</w:t>
      </w:r>
    </w:p>
    <w:p w14:paraId="673049C8">
      <w:pPr>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本表是对供应商须知的具体补充和修改，如有矛盾，均以本资料表为准。标记“■”的选项意为适用于本项目，标记“□”的选项意为不适用于本项目。</w:t>
      </w:r>
    </w:p>
    <w:tbl>
      <w:tblPr>
        <w:tblStyle w:val="20"/>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98"/>
        <w:gridCol w:w="6694"/>
      </w:tblGrid>
      <w:tr w14:paraId="36F3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986" w:type="dxa"/>
            <w:vAlign w:val="center"/>
          </w:tcPr>
          <w:p w14:paraId="534F0E07">
            <w:pPr>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698" w:type="dxa"/>
            <w:vAlign w:val="center"/>
          </w:tcPr>
          <w:p w14:paraId="1920B824">
            <w:pPr>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694" w:type="dxa"/>
            <w:vAlign w:val="center"/>
          </w:tcPr>
          <w:p w14:paraId="4224C9C1">
            <w:pPr>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0F15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50CBE1A3">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2.2</w:t>
            </w:r>
          </w:p>
        </w:tc>
        <w:tc>
          <w:tcPr>
            <w:tcW w:w="1698" w:type="dxa"/>
            <w:vAlign w:val="center"/>
          </w:tcPr>
          <w:p w14:paraId="2006270B">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项目属性</w:t>
            </w:r>
          </w:p>
        </w:tc>
        <w:tc>
          <w:tcPr>
            <w:tcW w:w="6694" w:type="dxa"/>
            <w:vAlign w:val="center"/>
          </w:tcPr>
          <w:p w14:paraId="2AE05A25">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项目属性：</w:t>
            </w:r>
          </w:p>
          <w:p w14:paraId="50EC5CBC">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w:t>
            </w:r>
          </w:p>
          <w:p w14:paraId="7BC24725">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□货物</w:t>
            </w:r>
          </w:p>
          <w:p w14:paraId="7122D58B">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□工程</w:t>
            </w:r>
          </w:p>
        </w:tc>
      </w:tr>
      <w:tr w14:paraId="7772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5E7CCEB4">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2.3</w:t>
            </w:r>
          </w:p>
        </w:tc>
        <w:tc>
          <w:tcPr>
            <w:tcW w:w="1698" w:type="dxa"/>
            <w:vAlign w:val="center"/>
          </w:tcPr>
          <w:p w14:paraId="48BE552A">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科研仪器设备</w:t>
            </w:r>
          </w:p>
        </w:tc>
        <w:tc>
          <w:tcPr>
            <w:tcW w:w="6694" w:type="dxa"/>
            <w:vAlign w:val="center"/>
          </w:tcPr>
          <w:p w14:paraId="7FD39381">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是否属于科研仪器设备招标项目：</w:t>
            </w:r>
          </w:p>
          <w:p w14:paraId="1527BF87">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w:t>
            </w:r>
          </w:p>
          <w:p w14:paraId="09BEF9E7">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■否</w:t>
            </w:r>
          </w:p>
        </w:tc>
      </w:tr>
      <w:tr w14:paraId="1D85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restart"/>
            <w:vAlign w:val="center"/>
          </w:tcPr>
          <w:p w14:paraId="3E091C5C">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3.1</w:t>
            </w:r>
          </w:p>
        </w:tc>
        <w:tc>
          <w:tcPr>
            <w:tcW w:w="1698" w:type="dxa"/>
            <w:vAlign w:val="center"/>
          </w:tcPr>
          <w:p w14:paraId="62E8B88D">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现场考察</w:t>
            </w:r>
          </w:p>
        </w:tc>
        <w:tc>
          <w:tcPr>
            <w:tcW w:w="6694" w:type="dxa"/>
            <w:vAlign w:val="center"/>
          </w:tcPr>
          <w:p w14:paraId="7E073500">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■不组织</w:t>
            </w:r>
          </w:p>
          <w:p w14:paraId="61A81E3D">
            <w:pPr>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□组织，考察时间：__年_月_日_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4639639D">
            <w:pPr>
              <w:pStyle w:val="10"/>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考察地点：____________。</w:t>
            </w:r>
          </w:p>
        </w:tc>
      </w:tr>
      <w:tr w14:paraId="3EC8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continue"/>
            <w:vAlign w:val="center"/>
          </w:tcPr>
          <w:p w14:paraId="262ED0FD">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98" w:type="dxa"/>
            <w:vAlign w:val="center"/>
          </w:tcPr>
          <w:p w14:paraId="60A76EAD">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前答疑会</w:t>
            </w:r>
          </w:p>
        </w:tc>
        <w:tc>
          <w:tcPr>
            <w:tcW w:w="6694" w:type="dxa"/>
            <w:vAlign w:val="center"/>
          </w:tcPr>
          <w:p w14:paraId="334CC21C">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■不召开</w:t>
            </w:r>
          </w:p>
          <w:p w14:paraId="3F22F466">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□召开，召开时间：__年_月_日_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604C426C">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召开地点：____________。</w:t>
            </w:r>
          </w:p>
        </w:tc>
      </w:tr>
      <w:tr w14:paraId="713A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986" w:type="dxa"/>
            <w:vAlign w:val="center"/>
          </w:tcPr>
          <w:p w14:paraId="005A8C2A">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.2.5</w:t>
            </w:r>
          </w:p>
        </w:tc>
        <w:tc>
          <w:tcPr>
            <w:tcW w:w="1698" w:type="dxa"/>
            <w:vAlign w:val="center"/>
          </w:tcPr>
          <w:p w14:paraId="1FC400C8">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标的所属行业</w:t>
            </w:r>
          </w:p>
        </w:tc>
        <w:tc>
          <w:tcPr>
            <w:tcW w:w="6694" w:type="dxa"/>
            <w:vAlign w:val="center"/>
          </w:tcPr>
          <w:p w14:paraId="4C463F93">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本项目采购标的对应的中小企业划分标准所属行业：</w:t>
            </w:r>
          </w:p>
          <w:tbl>
            <w:tblPr>
              <w:tblStyle w:val="20"/>
              <w:tblW w:w="6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134"/>
              <w:gridCol w:w="1766"/>
            </w:tblGrid>
            <w:tr w14:paraId="051E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81" w:type="pct"/>
                  <w:tcBorders>
                    <w:top w:val="single" w:color="auto" w:sz="4" w:space="0"/>
                    <w:left w:val="single" w:color="auto" w:sz="4" w:space="0"/>
                    <w:bottom w:val="single" w:color="auto" w:sz="4" w:space="0"/>
                    <w:right w:val="single" w:color="auto" w:sz="4" w:space="0"/>
                  </w:tcBorders>
                  <w:vAlign w:val="center"/>
                </w:tcPr>
                <w:p w14:paraId="24CC6085">
                  <w:pPr>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包号</w:t>
                  </w:r>
                </w:p>
              </w:tc>
              <w:tc>
                <w:tcPr>
                  <w:tcW w:w="2442" w:type="pct"/>
                  <w:tcBorders>
                    <w:top w:val="single" w:color="auto" w:sz="4" w:space="0"/>
                    <w:left w:val="single" w:color="auto" w:sz="4" w:space="0"/>
                    <w:bottom w:val="single" w:color="auto" w:sz="4" w:space="0"/>
                    <w:right w:val="single" w:color="auto" w:sz="4" w:space="0"/>
                  </w:tcBorders>
                  <w:vAlign w:val="center"/>
                </w:tcPr>
                <w:p w14:paraId="60936A2B">
                  <w:pPr>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标的名称</w:t>
                  </w:r>
                </w:p>
              </w:tc>
              <w:tc>
                <w:tcPr>
                  <w:tcW w:w="1376" w:type="pct"/>
                  <w:tcBorders>
                    <w:top w:val="single" w:color="auto" w:sz="4" w:space="0"/>
                    <w:left w:val="single" w:color="auto" w:sz="4" w:space="0"/>
                    <w:bottom w:val="single" w:color="auto" w:sz="4" w:space="0"/>
                    <w:right w:val="single" w:color="auto" w:sz="4" w:space="0"/>
                  </w:tcBorders>
                  <w:vAlign w:val="center"/>
                </w:tcPr>
                <w:p w14:paraId="0E0E1EE4">
                  <w:pPr>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中小企业划分标准所属行业</w:t>
                  </w:r>
                </w:p>
              </w:tc>
            </w:tr>
            <w:tr w14:paraId="481A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181" w:type="pct"/>
                  <w:tcBorders>
                    <w:top w:val="single" w:color="auto" w:sz="4" w:space="0"/>
                    <w:left w:val="single" w:color="auto" w:sz="4" w:space="0"/>
                    <w:bottom w:val="single" w:color="auto" w:sz="4" w:space="0"/>
                    <w:right w:val="single" w:color="auto" w:sz="4" w:space="0"/>
                  </w:tcBorders>
                  <w:vAlign w:val="center"/>
                </w:tcPr>
                <w:p w14:paraId="1A6299B7">
                  <w:pPr>
                    <w:jc w:val="center"/>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HHTD-DL-20261022</w:t>
                  </w:r>
                </w:p>
              </w:tc>
              <w:tc>
                <w:tcPr>
                  <w:tcW w:w="2442" w:type="pct"/>
                  <w:tcBorders>
                    <w:top w:val="single" w:color="auto" w:sz="4" w:space="0"/>
                    <w:left w:val="single" w:color="auto" w:sz="4" w:space="0"/>
                    <w:bottom w:val="single" w:color="auto" w:sz="4" w:space="0"/>
                    <w:right w:val="single" w:color="auto" w:sz="4" w:space="0"/>
                  </w:tcBorders>
                  <w:vAlign w:val="center"/>
                </w:tcPr>
                <w:p w14:paraId="612E6FB4">
                  <w:pPr>
                    <w:jc w:val="center"/>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新疆维吾尔自治区生态环境厅档案系统升级及档案数字化项目</w:t>
                  </w:r>
                </w:p>
              </w:tc>
              <w:tc>
                <w:tcPr>
                  <w:tcW w:w="1376" w:type="pct"/>
                  <w:tcBorders>
                    <w:top w:val="single" w:color="auto" w:sz="4" w:space="0"/>
                    <w:left w:val="single" w:color="auto" w:sz="4" w:space="0"/>
                    <w:bottom w:val="single" w:color="auto" w:sz="4" w:space="0"/>
                    <w:right w:val="single" w:color="auto" w:sz="4" w:space="0"/>
                  </w:tcBorders>
                  <w:vAlign w:val="center"/>
                </w:tcPr>
                <w:p w14:paraId="38EB28F2">
                  <w:pPr>
                    <w:jc w:val="center"/>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其他未列明行业</w:t>
                  </w:r>
                </w:p>
              </w:tc>
            </w:tr>
          </w:tbl>
          <w:p w14:paraId="1EFBEBB6">
            <w:pPr>
              <w:rPr>
                <w:rFonts w:ascii="仿宋" w:hAnsi="仿宋" w:eastAsia="仿宋" w:cs="仿宋"/>
                <w:color w:val="000000" w:themeColor="text1"/>
                <w:sz w:val="24"/>
                <w:highlight w:val="none"/>
                <w14:textFill>
                  <w14:solidFill>
                    <w14:schemeClr w14:val="tx1"/>
                  </w14:solidFill>
                </w14:textFill>
              </w:rPr>
            </w:pPr>
          </w:p>
        </w:tc>
      </w:tr>
      <w:tr w14:paraId="63F2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86" w:type="dxa"/>
            <w:vAlign w:val="center"/>
          </w:tcPr>
          <w:p w14:paraId="751046E2">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lang w:eastAsia="zh-CN"/>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.2</w:t>
            </w:r>
          </w:p>
        </w:tc>
        <w:tc>
          <w:tcPr>
            <w:tcW w:w="1698" w:type="dxa"/>
            <w:vAlign w:val="center"/>
          </w:tcPr>
          <w:p w14:paraId="57554549">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6694" w:type="dxa"/>
            <w:vAlign w:val="center"/>
          </w:tcPr>
          <w:p w14:paraId="6C14E7FA">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投标报价的特殊规定：</w:t>
            </w:r>
          </w:p>
          <w:p w14:paraId="173947B6">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■无</w:t>
            </w:r>
          </w:p>
          <w:p w14:paraId="0E1D7AD7">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□有，具体情形：</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tc>
      </w:tr>
    </w:tbl>
    <w:p w14:paraId="7FCB43FA">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tbl>
      <w:tblPr>
        <w:tblStyle w:val="20"/>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21A7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 w:type="dxa"/>
            <w:vAlign w:val="center"/>
          </w:tcPr>
          <w:p w14:paraId="7BF397C9">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606" w:type="dxa"/>
            <w:vAlign w:val="center"/>
          </w:tcPr>
          <w:p w14:paraId="4D8AA58E">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881" w:type="dxa"/>
            <w:vAlign w:val="center"/>
          </w:tcPr>
          <w:p w14:paraId="115E5CCE">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0AA9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988" w:type="dxa"/>
            <w:vAlign w:val="center"/>
          </w:tcPr>
          <w:p w14:paraId="75A225EE">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lang w:eastAsia="zh-CN"/>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.1</w:t>
            </w:r>
          </w:p>
        </w:tc>
        <w:tc>
          <w:tcPr>
            <w:tcW w:w="1606" w:type="dxa"/>
            <w:vMerge w:val="restart"/>
            <w:vAlign w:val="center"/>
          </w:tcPr>
          <w:p w14:paraId="3F15F616">
            <w:pPr>
              <w:spacing w:line="360" w:lineRule="auto"/>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w:t>
            </w:r>
          </w:p>
        </w:tc>
        <w:tc>
          <w:tcPr>
            <w:tcW w:w="6881" w:type="dxa"/>
            <w:vAlign w:val="center"/>
          </w:tcPr>
          <w:p w14:paraId="1528FF95">
            <w:pPr>
              <w:widowControl w:val="0"/>
              <w:kinsoku/>
              <w:autoSpaceDE/>
              <w:autoSpaceDN/>
              <w:adjustRightInd/>
              <w:snapToGrid/>
              <w:spacing w:line="240" w:lineRule="exact"/>
              <w:jc w:val="both"/>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磋商保证金金额:</w:t>
            </w:r>
          </w:p>
          <w:p w14:paraId="41ED17FC">
            <w:pPr>
              <w:widowControl w:val="0"/>
              <w:kinsoku/>
              <w:autoSpaceDE/>
              <w:autoSpaceDN/>
              <w:adjustRightInd/>
              <w:snapToGrid/>
              <w:spacing w:line="240" w:lineRule="exact"/>
              <w:jc w:val="both"/>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磋商保证金金额：</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lang w:eastAsia="zh-CN"/>
                <w14:textFill>
                  <w14:solidFill>
                    <w14:schemeClr w14:val="tx1"/>
                  </w14:solidFill>
                </w14:textFill>
              </w:rPr>
              <w:t>000.00元；（大写：</w:t>
            </w:r>
            <w:r>
              <w:rPr>
                <w:rFonts w:hint="eastAsia" w:ascii="仿宋" w:hAnsi="仿宋" w:eastAsia="仿宋" w:cs="仿宋"/>
                <w:color w:val="000000" w:themeColor="text1"/>
                <w:sz w:val="24"/>
                <w:highlight w:val="none"/>
                <w:lang w:val="en-US" w:eastAsia="zh-CN"/>
                <w14:textFill>
                  <w14:solidFill>
                    <w14:schemeClr w14:val="tx1"/>
                  </w14:solidFill>
                </w14:textFill>
              </w:rPr>
              <w:t>玖</w:t>
            </w:r>
            <w:r>
              <w:rPr>
                <w:rFonts w:hint="eastAsia" w:ascii="仿宋" w:hAnsi="仿宋" w:eastAsia="仿宋" w:cs="仿宋"/>
                <w:color w:val="000000" w:themeColor="text1"/>
                <w:sz w:val="24"/>
                <w:highlight w:val="none"/>
                <w:lang w:eastAsia="zh-CN"/>
                <w14:textFill>
                  <w14:solidFill>
                    <w14:schemeClr w14:val="tx1"/>
                  </w14:solidFill>
                </w14:textFill>
              </w:rPr>
              <w:t>仟元整）</w:t>
            </w:r>
          </w:p>
          <w:p w14:paraId="15E4ACF0">
            <w:pPr>
              <w:widowControl w:val="0"/>
              <w:kinsoku/>
              <w:autoSpaceDE/>
              <w:autoSpaceDN/>
              <w:adjustRightInd/>
              <w:snapToGrid/>
              <w:spacing w:line="240" w:lineRule="exact"/>
              <w:jc w:val="both"/>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磋商保证金收受人信息：</w:t>
            </w:r>
          </w:p>
          <w:p w14:paraId="1CE59251">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保证金收款人：新疆华恒通达项目管理有限公司</w:t>
            </w:r>
          </w:p>
          <w:p w14:paraId="3547D4A7">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开户银行：中国农业银行股份有限公司乌鲁木齐长沙路兵团支行</w:t>
            </w:r>
          </w:p>
          <w:p w14:paraId="055A0723">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账号：30706101040009006</w:t>
            </w:r>
          </w:p>
          <w:p w14:paraId="185D175C">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行号：103881070615 </w:t>
            </w:r>
          </w:p>
          <w:p w14:paraId="3D91C921">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注：磋商保证金到账（保函提交）截止时间同投标截止时间。以支票、汇票、本票、网上银行支付等形式提交投标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投标保证金的，其磋商无效。</w:t>
            </w:r>
          </w:p>
          <w:p w14:paraId="3F6539FD">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供应商在汇款时务必注明所投项目编号及用途，否则，因款项用途不明导致投标无效等后果由供应商自行承担。</w:t>
            </w:r>
          </w:p>
          <w:p w14:paraId="0BDF7217">
            <w:pPr>
              <w:widowControl w:val="0"/>
              <w:kinsoku/>
              <w:autoSpaceDE/>
              <w:autoSpaceDN/>
              <w:adjustRightInd/>
              <w:snapToGrid/>
              <w:spacing w:line="240" w:lineRule="exact"/>
              <w:jc w:val="both"/>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网银转账或银行电汇（须从其单位基本账户转出）</w:t>
            </w:r>
            <w:r>
              <w:rPr>
                <w:rFonts w:hint="eastAsia" w:ascii="仿宋" w:hAnsi="仿宋" w:eastAsia="仿宋" w:cs="仿宋"/>
                <w:color w:val="000000" w:themeColor="text1"/>
                <w:sz w:val="24"/>
                <w:highlight w:val="none"/>
                <w:lang w:eastAsia="zh-CN"/>
                <w14:textFill>
                  <w14:solidFill>
                    <w14:schemeClr w14:val="tx1"/>
                  </w14:solidFill>
                </w14:textFill>
              </w:rPr>
              <w:t>。</w:t>
            </w:r>
          </w:p>
        </w:tc>
      </w:tr>
      <w:tr w14:paraId="04EC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88" w:type="dxa"/>
            <w:vAlign w:val="center"/>
          </w:tcPr>
          <w:p w14:paraId="2904FCD4">
            <w:pPr>
              <w:pStyle w:val="10"/>
              <w:spacing w:line="360" w:lineRule="auto"/>
              <w:jc w:val="center"/>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lang w:eastAsia="zh-CN"/>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lang w:eastAsia="zh-CN"/>
                <w14:textFill>
                  <w14:solidFill>
                    <w14:schemeClr w14:val="tx1"/>
                  </w14:solidFill>
                </w14:textFill>
              </w:rPr>
              <w:t>8</w:t>
            </w:r>
            <w:r>
              <w:rPr>
                <w:rFonts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lang w:eastAsia="zh-CN"/>
                <w14:textFill>
                  <w14:solidFill>
                    <w14:schemeClr w14:val="tx1"/>
                  </w14:solidFill>
                </w14:textFill>
              </w:rPr>
              <w:t>5</w:t>
            </w:r>
          </w:p>
        </w:tc>
        <w:tc>
          <w:tcPr>
            <w:tcW w:w="1606" w:type="dxa"/>
            <w:vMerge w:val="continue"/>
            <w:vAlign w:val="center"/>
          </w:tcPr>
          <w:p w14:paraId="64DE530C">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6881" w:type="dxa"/>
            <w:vAlign w:val="center"/>
          </w:tcPr>
          <w:p w14:paraId="2C44D29F">
            <w:pPr>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磋商证金不予退还的其他情形：</w:t>
            </w:r>
          </w:p>
          <w:p w14:paraId="77F96B26">
            <w:pPr>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■无</w:t>
            </w:r>
          </w:p>
          <w:p w14:paraId="4F2D51A9">
            <w:pPr>
              <w:pStyle w:val="10"/>
              <w:widowControl w:val="0"/>
              <w:kinsoku/>
              <w:autoSpaceDE/>
              <w:autoSpaceDN/>
              <w:adjustRightInd/>
              <w:snapToGrid/>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w:t>□</w:t>
            </w:r>
            <w:r>
              <w:rPr>
                <w:rFonts w:ascii="仿宋" w:hAnsi="仿宋" w:eastAsia="仿宋" w:cs="仿宋"/>
                <w:color w:val="000000" w:themeColor="text1"/>
                <w:sz w:val="24"/>
                <w:highlight w:val="none"/>
                <w:lang w:eastAsia="zh-CN"/>
                <w14:textFill>
                  <w14:solidFill>
                    <w14:schemeClr w14:val="tx1"/>
                  </w14:solidFill>
                </w14:textFill>
              </w:rPr>
              <w:t>有，具体情形：___________。</w:t>
            </w:r>
          </w:p>
        </w:tc>
      </w:tr>
      <w:tr w14:paraId="3132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1EF5B19C">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lang w:eastAsia="zh-CN"/>
                <w14:textFill>
                  <w14:solidFill>
                    <w14:schemeClr w14:val="tx1"/>
                  </w14:solidFill>
                </w14:textFill>
              </w:rPr>
              <w:t>2</w:t>
            </w:r>
            <w:r>
              <w:rPr>
                <w:rFonts w:ascii="仿宋" w:hAnsi="仿宋" w:eastAsia="仿宋" w:cs="仿宋"/>
                <w:color w:val="000000" w:themeColor="text1"/>
                <w:sz w:val="24"/>
                <w:szCs w:val="24"/>
                <w:highlight w:val="none"/>
                <w14:textFill>
                  <w14:solidFill>
                    <w14:schemeClr w14:val="tx1"/>
                  </w14:solidFill>
                </w14:textFill>
              </w:rPr>
              <w:t>.1</w:t>
            </w:r>
          </w:p>
        </w:tc>
        <w:tc>
          <w:tcPr>
            <w:tcW w:w="1606" w:type="dxa"/>
            <w:vAlign w:val="center"/>
          </w:tcPr>
          <w:p w14:paraId="5EA150A0">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有效期</w:t>
            </w:r>
          </w:p>
        </w:tc>
        <w:tc>
          <w:tcPr>
            <w:tcW w:w="6881" w:type="dxa"/>
            <w:vAlign w:val="center"/>
          </w:tcPr>
          <w:p w14:paraId="7C29F141">
            <w:pPr>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自响应文件提交截止之日起算</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90 </w:t>
            </w:r>
            <w:r>
              <w:rPr>
                <w:rFonts w:hint="eastAsia" w:ascii="仿宋" w:hAnsi="仿宋" w:eastAsia="仿宋" w:cs="仿宋"/>
                <w:color w:val="000000" w:themeColor="text1"/>
                <w:sz w:val="24"/>
                <w:highlight w:val="none"/>
                <w:lang w:eastAsia="zh-CN"/>
                <w14:textFill>
                  <w14:solidFill>
                    <w14:schemeClr w14:val="tx1"/>
                  </w14:solidFill>
                </w14:textFill>
              </w:rPr>
              <w:t>日历天。</w:t>
            </w:r>
          </w:p>
        </w:tc>
      </w:tr>
      <w:tr w14:paraId="7F80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77EFD7B2">
            <w:pPr>
              <w:pStyle w:val="10"/>
              <w:spacing w:line="360" w:lineRule="auto"/>
              <w:jc w:val="center"/>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w:t>17.2</w:t>
            </w:r>
          </w:p>
        </w:tc>
        <w:tc>
          <w:tcPr>
            <w:tcW w:w="1606" w:type="dxa"/>
            <w:vAlign w:val="center"/>
          </w:tcPr>
          <w:p w14:paraId="5085E3C9">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w:t>
            </w:r>
          </w:p>
        </w:tc>
        <w:tc>
          <w:tcPr>
            <w:tcW w:w="6881" w:type="dxa"/>
            <w:vAlign w:val="center"/>
          </w:tcPr>
          <w:p w14:paraId="070DEBF5">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解密时间：30分钟。</w:t>
            </w:r>
          </w:p>
        </w:tc>
      </w:tr>
      <w:tr w14:paraId="0D60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735146">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0</w:t>
            </w:r>
            <w:r>
              <w:rPr>
                <w:rFonts w:ascii="仿宋" w:hAnsi="仿宋" w:eastAsia="仿宋" w:cs="仿宋"/>
                <w:color w:val="000000" w:themeColor="text1"/>
                <w:sz w:val="24"/>
                <w:szCs w:val="24"/>
                <w:highlight w:val="none"/>
                <w14:textFill>
                  <w14:solidFill>
                    <w14:schemeClr w14:val="tx1"/>
                  </w14:solidFill>
                </w14:textFill>
              </w:rPr>
              <w:t>.1</w:t>
            </w:r>
          </w:p>
        </w:tc>
        <w:tc>
          <w:tcPr>
            <w:tcW w:w="1606" w:type="dxa"/>
            <w:vAlign w:val="center"/>
          </w:tcPr>
          <w:p w14:paraId="66D6E50A">
            <w:pPr>
              <w:spacing w:line="360" w:lineRule="auto"/>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确定</w:t>
            </w:r>
            <w:r>
              <w:rPr>
                <w:rFonts w:hint="eastAsia" w:ascii="仿宋" w:hAnsi="仿宋" w:eastAsia="仿宋" w:cs="仿宋"/>
                <w:color w:val="000000" w:themeColor="text1"/>
                <w:sz w:val="24"/>
                <w:highlight w:val="none"/>
                <w:lang w:eastAsia="zh-CN"/>
                <w14:textFill>
                  <w14:solidFill>
                    <w14:schemeClr w14:val="tx1"/>
                  </w14:solidFill>
                </w14:textFill>
              </w:rPr>
              <w:t>成交供应商</w:t>
            </w:r>
          </w:p>
        </w:tc>
        <w:tc>
          <w:tcPr>
            <w:tcW w:w="6881" w:type="dxa"/>
            <w:vAlign w:val="center"/>
          </w:tcPr>
          <w:p w14:paraId="1B55CBAF">
            <w:pPr>
              <w:pStyle w:val="10"/>
              <w:widowControl w:val="0"/>
              <w:kinsoku/>
              <w:autoSpaceDE/>
              <w:autoSpaceDN/>
              <w:adjustRightInd/>
              <w:snapToGrid/>
              <w:textAlignment w:val="auto"/>
              <w:rPr>
                <w:rFonts w:hint="default"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 xml:space="preserve">采购人是否授权磋商小组直接确定成交供应商： </w:t>
            </w:r>
          </w:p>
          <w:p w14:paraId="68680E44">
            <w:pPr>
              <w:pStyle w:val="10"/>
              <w:widowControl w:val="0"/>
              <w:kinsoku/>
              <w:autoSpaceDE/>
              <w:autoSpaceDN/>
              <w:adjustRightInd/>
              <w:snapToGrid/>
              <w:textAlignment w:val="auto"/>
              <w:rPr>
                <w:rFonts w:hint="default"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■否</w:t>
            </w:r>
          </w:p>
          <w:p w14:paraId="391EB32D">
            <w:pPr>
              <w:pStyle w:val="10"/>
              <w:widowControl w:val="0"/>
              <w:kinsoku/>
              <w:autoSpaceDE/>
              <w:autoSpaceDN/>
              <w:adjustRightInd/>
              <w:snapToGrid/>
              <w:textAlignment w:val="auto"/>
              <w:rPr>
                <w:rFonts w:hint="default"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□是</w:t>
            </w:r>
          </w:p>
          <w:p w14:paraId="689832F6">
            <w:pPr>
              <w:pStyle w:val="10"/>
              <w:widowControl w:val="0"/>
              <w:kinsoku/>
              <w:autoSpaceDE/>
              <w:autoSpaceDN/>
              <w:adjustRightInd/>
              <w:snapToGrid/>
              <w:textAlignment w:val="auto"/>
              <w:rPr>
                <w:rFonts w:hint="default" w:ascii="仿宋" w:hAnsi="仿宋" w:eastAsia="仿宋" w:cs="仿宋"/>
                <w:color w:val="000000" w:themeColor="text1"/>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成交候选人并列的，按照以下方式确定成交供应商：</w:t>
            </w:r>
            <w:r>
              <w:rPr>
                <w:rFonts w:ascii="仿宋" w:hAnsi="仿宋" w:eastAsia="仿宋" w:cs="仿宋"/>
                <w:color w:val="000000" w:themeColor="text1"/>
                <w:highlight w:val="none"/>
                <w:lang w:eastAsia="zh-CN"/>
                <w14:textFill>
                  <w14:solidFill>
                    <w14:schemeClr w14:val="tx1"/>
                  </w14:solidFill>
                </w14:textFill>
              </w:rPr>
              <w:t xml:space="preserve"> </w:t>
            </w:r>
          </w:p>
          <w:p w14:paraId="514B996E">
            <w:pPr>
              <w:pStyle w:val="10"/>
              <w:widowControl w:val="0"/>
              <w:kinsoku/>
              <w:autoSpaceDE/>
              <w:autoSpaceDN/>
              <w:adjustRightInd/>
              <w:snapToGrid/>
              <w:textAlignment w:val="auto"/>
              <w:rPr>
                <w:rFonts w:hint="default"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■得分且投标报价均相同的，以</w:t>
            </w:r>
            <w:r>
              <w:rPr>
                <w:rFonts w:ascii="仿宋" w:hAnsi="仿宋" w:eastAsia="仿宋" w:cs="仿宋"/>
                <w:color w:val="000000" w:themeColor="text1"/>
                <w:sz w:val="24"/>
                <w:szCs w:val="24"/>
                <w:highlight w:val="none"/>
                <w:u w:val="single"/>
                <w:lang w:eastAsia="zh-CN"/>
                <w14:textFill>
                  <w14:solidFill>
                    <w14:schemeClr w14:val="tx1"/>
                  </w14:solidFill>
                </w14:textFill>
              </w:rPr>
              <w:t>技术部分</w:t>
            </w:r>
            <w:r>
              <w:rPr>
                <w:rFonts w:ascii="仿宋" w:hAnsi="仿宋" w:eastAsia="仿宋" w:cs="仿宋"/>
                <w:color w:val="000000" w:themeColor="text1"/>
                <w:sz w:val="24"/>
                <w:highlight w:val="none"/>
                <w:lang w:eastAsia="zh-CN"/>
                <w14:textFill>
                  <w14:solidFill>
                    <w14:schemeClr w14:val="tx1"/>
                  </w14:solidFill>
                </w14:textFill>
              </w:rPr>
              <w:t>得分高者为成交供应商</w:t>
            </w:r>
          </w:p>
          <w:p w14:paraId="75F4587A">
            <w:pPr>
              <w:widowControl w:val="0"/>
              <w:kinsoku/>
              <w:autoSpaceDE/>
              <w:autoSpaceDN/>
              <w:adjustRightInd/>
              <w:snapToGrid/>
              <w:textAlignment w:val="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□随机抽取</w:t>
            </w:r>
          </w:p>
        </w:tc>
      </w:tr>
      <w:tr w14:paraId="48B0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269E8F">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3</w:t>
            </w:r>
            <w:r>
              <w:rPr>
                <w:rFonts w:ascii="仿宋" w:hAnsi="仿宋" w:eastAsia="仿宋" w:cs="仿宋"/>
                <w:color w:val="000000" w:themeColor="text1"/>
                <w:sz w:val="24"/>
                <w:szCs w:val="24"/>
                <w:highlight w:val="none"/>
                <w14:textFill>
                  <w14:solidFill>
                    <w14:schemeClr w14:val="tx1"/>
                  </w14:solidFill>
                </w14:textFill>
              </w:rPr>
              <w:t>.5</w:t>
            </w:r>
          </w:p>
        </w:tc>
        <w:tc>
          <w:tcPr>
            <w:tcW w:w="1606" w:type="dxa"/>
            <w:vAlign w:val="center"/>
          </w:tcPr>
          <w:p w14:paraId="6E4435CD">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分包</w:t>
            </w:r>
          </w:p>
        </w:tc>
        <w:tc>
          <w:tcPr>
            <w:tcW w:w="6881" w:type="dxa"/>
            <w:vAlign w:val="center"/>
          </w:tcPr>
          <w:p w14:paraId="60889949">
            <w:pPr>
              <w:pStyle w:val="10"/>
              <w:widowControl w:val="0"/>
              <w:kinsoku/>
              <w:autoSpaceDE/>
              <w:autoSpaceDN/>
              <w:adjustRightInd/>
              <w:snapToGrid/>
              <w:textAlignment w:val="auto"/>
              <w:rPr>
                <w:rFonts w:hint="default"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本项目是否允许分包：</w:t>
            </w:r>
          </w:p>
          <w:p w14:paraId="55568CB5">
            <w:pPr>
              <w:pStyle w:val="10"/>
              <w:widowControl w:val="0"/>
              <w:kinsoku/>
              <w:autoSpaceDE/>
              <w:autoSpaceDN/>
              <w:adjustRightInd/>
              <w:snapToGrid/>
              <w:textAlignment w:val="auto"/>
              <w:rPr>
                <w:rFonts w:hint="default"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■不允许</w:t>
            </w:r>
          </w:p>
          <w:p w14:paraId="0A7E9AAA">
            <w:pPr>
              <w:pStyle w:val="10"/>
              <w:widowControl w:val="0"/>
              <w:kinsoku/>
              <w:autoSpaceDE/>
              <w:autoSpaceDN/>
              <w:adjustRightInd/>
              <w:snapToGrid/>
              <w:textAlignment w:val="auto"/>
              <w:rPr>
                <w:rFonts w:hint="default"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□允许，具体要求：______。</w:t>
            </w:r>
          </w:p>
          <w:p w14:paraId="390CEE4D">
            <w:pPr>
              <w:pStyle w:val="10"/>
              <w:widowControl w:val="0"/>
              <w:kinsoku/>
              <w:autoSpaceDE/>
              <w:autoSpaceDN/>
              <w:adjustRightInd/>
              <w:snapToGrid/>
              <w:textAlignment w:val="auto"/>
              <w:rPr>
                <w:rFonts w:hint="default"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（1）可以分包履行的具体内容：______；</w:t>
            </w:r>
          </w:p>
          <w:p w14:paraId="6C700CDF">
            <w:pPr>
              <w:pStyle w:val="10"/>
              <w:widowControl w:val="0"/>
              <w:kinsoku/>
              <w:autoSpaceDE/>
              <w:autoSpaceDN/>
              <w:adjustRightInd/>
              <w:snapToGrid/>
              <w:textAlignment w:val="auto"/>
              <w:rPr>
                <w:rFonts w:hint="default"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（2）允许分包的金额或者比例：______；</w:t>
            </w:r>
          </w:p>
          <w:p w14:paraId="5B70ADAC">
            <w:pPr>
              <w:pStyle w:val="10"/>
              <w:widowControl w:val="0"/>
              <w:kinsoku/>
              <w:autoSpaceDE/>
              <w:autoSpaceDN/>
              <w:adjustRightInd/>
              <w:snapToGrid/>
              <w:textAlignment w:val="auto"/>
              <w:rPr>
                <w:rFonts w:hint="default" w:ascii="仿宋" w:hAnsi="仿宋" w:eastAsia="仿宋" w:cs="仿宋"/>
                <w:color w:val="000000" w:themeColor="text1"/>
                <w:sz w:val="24"/>
                <w:highlight w:val="none"/>
                <w:u w:val="single"/>
                <w14:textFill>
                  <w14:solidFill>
                    <w14:schemeClr w14:val="tx1"/>
                  </w14:solidFill>
                </w14:textFill>
              </w:rPr>
            </w:pPr>
            <w:r>
              <w:rPr>
                <w:rFonts w:ascii="仿宋" w:hAnsi="仿宋" w:eastAsia="仿宋" w:cs="仿宋"/>
                <w:color w:val="000000" w:themeColor="text1"/>
                <w:sz w:val="24"/>
                <w:highlight w:val="none"/>
                <w:lang w:eastAsia="zh-CN"/>
                <w14:textFill>
                  <w14:solidFill>
                    <w14:schemeClr w14:val="tx1"/>
                  </w14:solidFill>
                </w14:textFill>
              </w:rPr>
              <w:t>（3）其他要求：______。</w:t>
            </w:r>
          </w:p>
        </w:tc>
      </w:tr>
      <w:tr w14:paraId="0934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18873398">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.1.1</w:t>
            </w:r>
          </w:p>
        </w:tc>
        <w:tc>
          <w:tcPr>
            <w:tcW w:w="1606" w:type="dxa"/>
            <w:vAlign w:val="center"/>
          </w:tcPr>
          <w:p w14:paraId="6E97B9CF">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询问</w:t>
            </w:r>
          </w:p>
        </w:tc>
        <w:tc>
          <w:tcPr>
            <w:tcW w:w="6881" w:type="dxa"/>
            <w:vAlign w:val="center"/>
          </w:tcPr>
          <w:p w14:paraId="4C5B46E6">
            <w:pPr>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询问送达形式：</w:t>
            </w:r>
            <w:r>
              <w:rPr>
                <w:rFonts w:hint="eastAsia" w:ascii="仿宋" w:hAnsi="仿宋" w:eastAsia="仿宋" w:cs="仿宋"/>
                <w:color w:val="000000" w:themeColor="text1"/>
                <w:sz w:val="24"/>
                <w:highlight w:val="none"/>
                <w:u w:val="single"/>
                <w:lang w:eastAsia="zh-CN"/>
                <w14:textFill>
                  <w14:solidFill>
                    <w14:schemeClr w14:val="tx1"/>
                  </w14:solidFill>
                </w14:textFill>
              </w:rPr>
              <w:t>书面形式。</w:t>
            </w:r>
          </w:p>
        </w:tc>
      </w:tr>
      <w:tr w14:paraId="73C0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5ABDB2F6">
            <w:pPr>
              <w:pStyle w:val="10"/>
              <w:spacing w:line="360" w:lineRule="auto"/>
              <w:jc w:val="center"/>
              <w:rPr>
                <w:rFonts w:hint="default"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.3</w:t>
            </w:r>
          </w:p>
        </w:tc>
        <w:tc>
          <w:tcPr>
            <w:tcW w:w="1606" w:type="dxa"/>
            <w:vAlign w:val="center"/>
          </w:tcPr>
          <w:p w14:paraId="13EEBB26">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p>
        </w:tc>
        <w:tc>
          <w:tcPr>
            <w:tcW w:w="6881" w:type="dxa"/>
            <w:vAlign w:val="center"/>
          </w:tcPr>
          <w:p w14:paraId="60279E3A">
            <w:pPr>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接收询问和质疑的联系方式</w:t>
            </w:r>
          </w:p>
          <w:p w14:paraId="578F9153">
            <w:pPr>
              <w:widowControl w:val="0"/>
              <w:kinsoku/>
              <w:autoSpaceDE/>
              <w:autoSpaceDN/>
              <w:adjustRightInd/>
              <w:snapToGrid/>
              <w:ind w:left="1200" w:hanging="1200" w:hangingChars="500"/>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联系部门：</w:t>
            </w:r>
            <w:r>
              <w:rPr>
                <w:rFonts w:hint="eastAsia" w:ascii="仿宋" w:hAnsi="仿宋" w:eastAsia="仿宋" w:cs="仿宋"/>
                <w:color w:val="000000" w:themeColor="text1"/>
                <w:sz w:val="24"/>
                <w:highlight w:val="none"/>
                <w:u w:val="single"/>
                <w:lang w:eastAsia="zh-CN"/>
                <w14:textFill>
                  <w14:solidFill>
                    <w14:schemeClr w14:val="tx1"/>
                  </w14:solidFill>
                </w14:textFill>
              </w:rPr>
              <w:t>新疆华恒通达项目管理有限公司总工办</w:t>
            </w:r>
            <w:r>
              <w:rPr>
                <w:rFonts w:hint="eastAsia" w:ascii="仿宋" w:hAnsi="仿宋" w:eastAsia="仿宋" w:cs="仿宋"/>
                <w:color w:val="000000" w:themeColor="text1"/>
                <w:sz w:val="24"/>
                <w:highlight w:val="none"/>
                <w:lang w:eastAsia="zh-CN"/>
                <w14:textFill>
                  <w14:solidFill>
                    <w14:schemeClr w14:val="tx1"/>
                  </w14:solidFill>
                </w14:textFill>
              </w:rPr>
              <w:t>；</w:t>
            </w:r>
          </w:p>
          <w:p w14:paraId="5BD17259">
            <w:pPr>
              <w:widowControl w:val="0"/>
              <w:kinsoku/>
              <w:autoSpaceDE/>
              <w:autoSpaceDN/>
              <w:adjustRightInd/>
              <w:snapToGrid/>
              <w:ind w:left="1200" w:hanging="1200" w:hangingChars="500"/>
              <w:textAlignment w:val="auto"/>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联系电话：</w:t>
            </w:r>
            <w:r>
              <w:rPr>
                <w:rFonts w:hint="eastAsia" w:ascii="仿宋" w:hAnsi="仿宋" w:eastAsia="仿宋" w:cs="仿宋"/>
                <w:color w:val="000000" w:themeColor="text1"/>
                <w:sz w:val="24"/>
                <w:highlight w:val="none"/>
                <w:u w:val="single"/>
                <w:lang w:eastAsia="zh-CN"/>
                <w14:textFill>
                  <w14:solidFill>
                    <w14:schemeClr w14:val="tx1"/>
                  </w14:solidFill>
                </w14:textFill>
              </w:rPr>
              <w:t>15899168386</w:t>
            </w:r>
          </w:p>
          <w:p w14:paraId="14F17954">
            <w:pPr>
              <w:widowControl w:val="0"/>
              <w:kinsoku/>
              <w:autoSpaceDE/>
              <w:autoSpaceDN/>
              <w:adjustRightInd/>
              <w:snapToGrid/>
              <w:ind w:left="1200" w:hanging="1200" w:hangingChars="500"/>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通讯地址：</w:t>
            </w:r>
            <w:r>
              <w:rPr>
                <w:rFonts w:hint="eastAsia" w:ascii="仿宋" w:hAnsi="仿宋" w:eastAsia="仿宋" w:cs="仿宋"/>
                <w:color w:val="000000" w:themeColor="text1"/>
                <w:sz w:val="24"/>
                <w:highlight w:val="none"/>
                <w:u w:val="single"/>
                <w:lang w:eastAsia="zh-CN"/>
                <w14:textFill>
                  <w14:solidFill>
                    <w14:schemeClr w14:val="tx1"/>
                  </w14:solidFill>
                </w14:textFill>
              </w:rPr>
              <w:t>新疆乌鲁木齐高新区(新市区)北京南路416号盈科国际21楼A21-235。</w:t>
            </w:r>
          </w:p>
        </w:tc>
      </w:tr>
      <w:tr w14:paraId="3E36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064CAB7">
            <w:pPr>
              <w:pStyle w:val="10"/>
              <w:spacing w:line="360" w:lineRule="auto"/>
              <w:jc w:val="center"/>
              <w:rPr>
                <w:rFonts w:hint="default"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lang w:eastAsia="zh-CN"/>
                <w14:textFill>
                  <w14:solidFill>
                    <w14:schemeClr w14:val="tx1"/>
                  </w14:solidFill>
                </w14:textFill>
              </w:rPr>
              <w:t>5</w:t>
            </w:r>
          </w:p>
        </w:tc>
        <w:tc>
          <w:tcPr>
            <w:tcW w:w="1606" w:type="dxa"/>
            <w:tcBorders>
              <w:top w:val="single" w:color="auto" w:sz="4" w:space="0"/>
              <w:left w:val="single" w:color="auto" w:sz="4" w:space="0"/>
              <w:bottom w:val="single" w:color="auto" w:sz="4" w:space="0"/>
              <w:right w:val="single" w:color="auto" w:sz="4" w:space="0"/>
            </w:tcBorders>
            <w:vAlign w:val="center"/>
          </w:tcPr>
          <w:p w14:paraId="3B74ADB9">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50188C60">
            <w:pPr>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收费对象：</w:t>
            </w:r>
          </w:p>
          <w:p w14:paraId="730111EA">
            <w:pPr>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□采购人</w:t>
            </w:r>
          </w:p>
          <w:p w14:paraId="55FAC6B2">
            <w:pPr>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■成交供应商</w:t>
            </w:r>
          </w:p>
          <w:p w14:paraId="3B3A654F">
            <w:pPr>
              <w:widowControl w:val="0"/>
              <w:kinsoku/>
              <w:autoSpaceDE/>
              <w:autoSpaceDN/>
              <w:adjustRightInd/>
              <w:snapToGrid/>
              <w:ind w:left="-2"/>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收费标准：</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成交供应商以成交金额为基准价格，参照国家发展计划委员会（计价格[2002]1980号文件）向采购代理机构支付代理费。</w:t>
            </w:r>
          </w:p>
          <w:p w14:paraId="7A89190C">
            <w:pPr>
              <w:widowControl w:val="0"/>
              <w:kinsoku/>
              <w:autoSpaceDE/>
              <w:autoSpaceDN/>
              <w:adjustRightInd/>
              <w:snapToGrid/>
              <w:textAlignment w:val="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缴纳时间：</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成交供应商在领取成交通知书前须一次性向采购代理机构缴纳代理费</w:t>
            </w:r>
            <w:r>
              <w:rPr>
                <w:rFonts w:hint="eastAsia" w:ascii="仿宋" w:hAnsi="仿宋" w:eastAsia="仿宋" w:cs="仿宋"/>
                <w:color w:val="000000" w:themeColor="text1"/>
                <w:sz w:val="24"/>
                <w:szCs w:val="32"/>
                <w:highlight w:val="none"/>
                <w:lang w:eastAsia="zh-CN"/>
                <w14:textFill>
                  <w14:solidFill>
                    <w14:schemeClr w14:val="tx1"/>
                  </w14:solidFill>
                </w14:textFill>
              </w:rPr>
              <w:t>。</w:t>
            </w:r>
          </w:p>
        </w:tc>
      </w:tr>
    </w:tbl>
    <w:p w14:paraId="42F6FEAA">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7B9CD509">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72707179">
      <w:pPr>
        <w:spacing w:line="360" w:lineRule="auto"/>
        <w:jc w:val="center"/>
        <w:rPr>
          <w:rFonts w:ascii="仿宋" w:hAnsi="仿宋" w:eastAsia="仿宋" w:cs="仿宋"/>
          <w:color w:val="000000" w:themeColor="text1"/>
          <w:spacing w:val="-4"/>
          <w:sz w:val="28"/>
          <w:szCs w:val="28"/>
          <w:highlight w:val="none"/>
          <w:lang w:eastAsia="zh-CN"/>
          <w14:textFill>
            <w14:solidFill>
              <w14:schemeClr w14:val="tx1"/>
            </w14:solidFill>
          </w14:textFill>
        </w:rPr>
        <w:sectPr>
          <w:headerReference r:id="rId8" w:type="default"/>
          <w:footerReference r:id="rId9" w:type="default"/>
          <w:pgSz w:w="11907" w:h="16839"/>
          <w:pgMar w:top="1417" w:right="1417" w:bottom="1417" w:left="1417" w:header="1191" w:footer="1092" w:gutter="0"/>
          <w:pgNumType w:start="1"/>
          <w:cols w:space="720" w:num="1"/>
        </w:sectPr>
      </w:pPr>
    </w:p>
    <w:p w14:paraId="512FF8DD">
      <w:pPr>
        <w:spacing w:line="360" w:lineRule="auto"/>
        <w:jc w:val="center"/>
        <w:outlineLvl w:val="1"/>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供应商须知</w:t>
      </w:r>
    </w:p>
    <w:p w14:paraId="10DF24FD">
      <w:pPr>
        <w:spacing w:line="360" w:lineRule="auto"/>
        <w:jc w:val="center"/>
        <w:outlineLvl w:val="2"/>
        <w:rPr>
          <w:rFonts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一</w:t>
      </w:r>
      <w:r>
        <w:rPr>
          <w:rFonts w:hint="eastAsia" w:ascii="仿宋" w:hAnsi="仿宋" w:eastAsia="仿宋" w:cs="仿宋"/>
          <w:b/>
          <w:bCs/>
          <w:color w:val="000000" w:themeColor="text1"/>
          <w:spacing w:val="9"/>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说</w:t>
      </w:r>
      <w:r>
        <w:rPr>
          <w:rFonts w:hint="eastAsia" w:ascii="仿宋" w:hAnsi="仿宋" w:eastAsia="仿宋" w:cs="仿宋"/>
          <w:b/>
          <w:bCs/>
          <w:color w:val="000000" w:themeColor="text1"/>
          <w:spacing w:val="20"/>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明</w:t>
      </w:r>
    </w:p>
    <w:p w14:paraId="6A0E71F6">
      <w:pPr>
        <w:pStyle w:val="7"/>
        <w:spacing w:before="204" w:line="201"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   采购人、采购代理机构、供应商、联合体</w:t>
      </w:r>
    </w:p>
    <w:p w14:paraId="30279551">
      <w:pPr>
        <w:pStyle w:val="7"/>
        <w:spacing w:before="175" w:line="270" w:lineRule="auto"/>
        <w:ind w:left="1085" w:right="7" w:hanging="69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采购人、采购代理机构：指依法进行政府采购的国家机关、事业单位、团体</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组织，及其委托的采购代理机构。本项目采购人、采购代理机构见第</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一章《采</w:t>
      </w:r>
      <w:r>
        <w:rPr>
          <w:rFonts w:hint="eastAsia" w:ascii="仿宋" w:hAnsi="仿宋" w:eastAsia="仿宋" w:cs="仿宋"/>
          <w:color w:val="000000" w:themeColor="text1"/>
          <w:spacing w:val="-16"/>
          <w:w w:val="97"/>
          <w:sz w:val="24"/>
          <w:szCs w:val="24"/>
          <w:highlight w:val="none"/>
          <w:lang w:eastAsia="zh-CN"/>
          <w14:textFill>
            <w14:solidFill>
              <w14:schemeClr w14:val="tx1"/>
            </w14:solidFill>
          </w14:textFill>
        </w:rPr>
        <w:t>购邀请》。</w:t>
      </w:r>
    </w:p>
    <w:p w14:paraId="416F1A72">
      <w:pPr>
        <w:pStyle w:val="7"/>
        <w:spacing w:before="175" w:line="253" w:lineRule="auto"/>
        <w:ind w:left="1085" w:right="4" w:hanging="69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1.2   供应商（也称“</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申请人”</w:t>
      </w:r>
      <w:r>
        <w:rPr>
          <w:rFonts w:hint="eastAsia" w:ascii="仿宋" w:hAnsi="仿宋" w:eastAsia="仿宋" w:cs="仿宋"/>
          <w:color w:val="000000" w:themeColor="text1"/>
          <w:spacing w:val="-58"/>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指向采购人提供货物、工程或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者服务的法人、其他组织或者自然人。</w:t>
      </w:r>
    </w:p>
    <w:p w14:paraId="673574A6">
      <w:pPr>
        <w:pStyle w:val="7"/>
        <w:spacing w:before="175" w:line="251" w:lineRule="auto"/>
        <w:ind w:left="1083" w:right="7" w:hanging="69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1.3   联合体：指两个以上的自然人、法人或者其他组织组成一个联合体，以一个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供应商的身份共同参加政府采购。</w:t>
      </w:r>
    </w:p>
    <w:p w14:paraId="547048C1">
      <w:pPr>
        <w:pStyle w:val="7"/>
        <w:spacing w:before="179" w:line="200" w:lineRule="auto"/>
        <w:ind w:left="1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资金来源、项目属性、科研仪器设备采购</w:t>
      </w:r>
    </w:p>
    <w:p w14:paraId="7806FBB7">
      <w:pPr>
        <w:pStyle w:val="7"/>
        <w:spacing w:before="175" w:line="253" w:lineRule="auto"/>
        <w:ind w:left="1085" w:right="4" w:hanging="69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资金来源为财政性资金和/或本项目采购中无法与财政性资金分割的非财政性资金。</w:t>
      </w:r>
    </w:p>
    <w:p w14:paraId="30F255B3">
      <w:pPr>
        <w:pStyle w:val="7"/>
        <w:spacing w:before="178" w:line="200" w:lineRule="auto"/>
        <w:ind w:left="37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   项目属性见《供应商须知资料表》。</w:t>
      </w:r>
    </w:p>
    <w:p w14:paraId="162A178A">
      <w:pPr>
        <w:pStyle w:val="7"/>
        <w:spacing w:before="179" w:line="200" w:lineRule="auto"/>
        <w:ind w:left="37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是否属于科研仪器设备采购见《供应商须知资料表</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3EFA9312">
      <w:pPr>
        <w:pStyle w:val="7"/>
        <w:spacing w:before="179" w:line="200" w:lineRule="auto"/>
        <w:ind w:left="1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现场考察、磋商前答疑会</w:t>
      </w:r>
    </w:p>
    <w:p w14:paraId="27499383">
      <w:pPr>
        <w:pStyle w:val="7"/>
        <w:spacing w:before="177" w:line="253" w:lineRule="auto"/>
        <w:ind w:left="1083" w:right="7" w:hanging="70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3.1   若《供应商须知资料表》中规定了组织现场考察、召开磋商前答疑会，则供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应商应按要求在规定的时间和地点参加。</w:t>
      </w:r>
    </w:p>
    <w:p w14:paraId="26D51877">
      <w:pPr>
        <w:pStyle w:val="7"/>
        <w:spacing w:before="176" w:line="270" w:lineRule="auto"/>
        <w:ind w:left="1083" w:right="7" w:hanging="70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3.2   由于未参加现场考察或磋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商前答疑会而导致对项目实际情况不了解</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，影响响</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应文件编制、报价准确性、综合因素响应不全面等问题的，由供应商自行承担不利评审后果。</w:t>
      </w:r>
    </w:p>
    <w:p w14:paraId="124A30E4">
      <w:pPr>
        <w:pStyle w:val="7"/>
        <w:spacing w:before="175" w:line="196" w:lineRule="auto"/>
        <w:ind w:left="1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政府采购政策（包括但不限于下列具体政策要求）</w:t>
      </w:r>
    </w:p>
    <w:p w14:paraId="31E61924">
      <w:pPr>
        <w:pStyle w:val="7"/>
        <w:spacing w:before="186" w:line="200" w:lineRule="auto"/>
        <w:ind w:firstLine="488"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4.1   采购本国货物、工程和服务</w:t>
      </w:r>
    </w:p>
    <w:p w14:paraId="41B51455">
      <w:pPr>
        <w:pStyle w:val="7"/>
        <w:spacing w:before="186" w:line="200" w:lineRule="auto"/>
        <w:ind w:left="37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4.1.1  政府采购应当采购本国货物、工程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和服务。但有《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》第十条规定情形的除外。 </w:t>
      </w:r>
    </w:p>
    <w:p w14:paraId="000FAFB7">
      <w:pPr>
        <w:pStyle w:val="7"/>
        <w:spacing w:before="179" w:line="251" w:lineRule="auto"/>
        <w:ind w:firstLine="476"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4.1.2  本项目如接受非本国货物、工程、服务参与响应，则具体要求见第四</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章《采购需求》。</w:t>
      </w:r>
    </w:p>
    <w:p w14:paraId="732FAFCF">
      <w:pPr>
        <w:pStyle w:val="7"/>
        <w:spacing w:before="176" w:line="304" w:lineRule="auto"/>
        <w:ind w:right="133" w:firstLine="504" w:firstLineChars="200"/>
        <w:rPr>
          <w:rFonts w:ascii="仿宋" w:hAnsi="仿宋" w:eastAsia="仿宋" w:cs="仿宋"/>
          <w:color w:val="000000" w:themeColor="text1"/>
          <w:spacing w:val="-21"/>
          <w:w w:val="9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4.1.3  进口产品指通过中国海关报关验放进入中国</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境内且产自关境外的产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品，包括已经进入中国境内的进口产品。关于进口产品的相关规定依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据《政府采购进口产品管理办法》（财库〔2007〕119 号文）、《关</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于政府采购进口产品管理有关问题的通知》（财办库〔2</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008〕248</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1"/>
          <w:w w:val="96"/>
          <w:sz w:val="24"/>
          <w:szCs w:val="24"/>
          <w:highlight w:val="none"/>
          <w:lang w:eastAsia="zh-CN"/>
          <w14:textFill>
            <w14:solidFill>
              <w14:schemeClr w14:val="tx1"/>
            </w14:solidFill>
          </w14:textFill>
        </w:rPr>
        <w:t>号文）。</w:t>
      </w:r>
    </w:p>
    <w:p w14:paraId="2305EA09">
      <w:pPr>
        <w:pStyle w:val="7"/>
        <w:spacing w:before="1" w:line="200" w:lineRule="auto"/>
        <w:ind w:left="37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  中小企业、监狱企业及残疾人福利性单位</w:t>
      </w:r>
    </w:p>
    <w:p w14:paraId="0663863D">
      <w:pPr>
        <w:pStyle w:val="7"/>
        <w:spacing w:before="178" w:line="201" w:lineRule="auto"/>
        <w:ind w:firstLine="488"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4.2.1</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中小企业定义：</w:t>
      </w:r>
    </w:p>
    <w:p w14:paraId="526ACF06">
      <w:pPr>
        <w:pStyle w:val="7"/>
        <w:spacing w:before="176" w:line="304" w:lineRule="auto"/>
        <w:ind w:firstLine="720" w:firstLineChars="3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4.2.1.1</w:t>
      </w:r>
      <w:r>
        <w:rPr>
          <w:rFonts w:hint="eastAsia" w:ascii="仿宋" w:hAnsi="仿宋" w:eastAsia="仿宋" w:cs="仿宋"/>
          <w:color w:val="000000" w:themeColor="text1"/>
          <w:spacing w:val="33"/>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中小企业是指在中华人民共和国境内依法设立，依据国务院</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定依据《中华人民共和国中小企业促进法》、《关于进一步加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大政府采购支持中小企业力度的通知》（财库〔 2022 〕19</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号）、《政府采购促进中小企业发展管理办法》（财库〔20</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20〕</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46 号）、《关于印发中小企业划型标准规定的通知》（</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工信部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联企业〔2011〕300号）、《金融业企</w:t>
      </w:r>
      <w:r>
        <w:rPr>
          <w:rFonts w:hint="eastAsia" w:ascii="仿宋" w:hAnsi="仿宋" w:eastAsia="仿宋" w:cs="仿宋"/>
          <w:color w:val="000000" w:themeColor="text1"/>
          <w:sz w:val="24"/>
          <w:szCs w:val="24"/>
          <w:highlight w:val="none"/>
          <w:lang w:eastAsia="zh-CN"/>
          <w14:textFill>
            <w14:solidFill>
              <w14:schemeClr w14:val="tx1"/>
            </w14:solidFill>
          </w14:textFill>
        </w:rPr>
        <w:t>业划型标准规定》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（〔2015〕309号）等国务院批准的中小企业划分标准执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行。</w:t>
      </w:r>
    </w:p>
    <w:p w14:paraId="59FE6A14">
      <w:pPr>
        <w:pStyle w:val="7"/>
        <w:spacing w:before="1" w:line="304" w:lineRule="auto"/>
        <w:ind w:right="137" w:firstLine="484"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4.2.1.2 供应商提供的货物、工程或者服务符合下列情形的，享受中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小企业扶持政策：</w:t>
      </w:r>
    </w:p>
    <w:p w14:paraId="6B876F23">
      <w:pPr>
        <w:pStyle w:val="7"/>
        <w:spacing w:before="3" w:line="251" w:lineRule="auto"/>
        <w:ind w:right="13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（1）在货物采购项目中，货物由中小企业制造，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即货物由中小企业生产且使用该中小企业商号或者注册商标；</w:t>
      </w:r>
    </w:p>
    <w:p w14:paraId="358B1C63">
      <w:pPr>
        <w:pStyle w:val="7"/>
        <w:spacing w:before="179" w:line="251" w:lineRule="auto"/>
        <w:ind w:right="13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（2）在工程采购项目中，工程由中小企业承建，即工程施</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工单位为中小企业；</w:t>
      </w:r>
    </w:p>
    <w:p w14:paraId="7B05997C">
      <w:pPr>
        <w:spacing w:before="274" w:line="304" w:lineRule="auto"/>
        <w:ind w:right="7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（3）在服务采购项目中，服务由中小企业承接，即提供服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务的人员为中小企业依照《中华人民共和国劳动合同法》订立劳动合同的从业人员。</w:t>
      </w:r>
    </w:p>
    <w:p w14:paraId="53347B76">
      <w:pPr>
        <w:pStyle w:val="7"/>
        <w:spacing w:before="3" w:line="251" w:lineRule="auto"/>
        <w:ind w:right="5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4.2.1.3 在货物采购项目中，供应商提供的货物既有中小企业制造货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物，也有大型企业制造货物的，不享受中小企业扶持政策。</w:t>
      </w:r>
    </w:p>
    <w:p w14:paraId="4EC352F0">
      <w:pPr>
        <w:pStyle w:val="7"/>
        <w:spacing w:before="174" w:line="270" w:lineRule="auto"/>
        <w:ind w:right="7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4.2.1.4</w:t>
      </w:r>
      <w:r>
        <w:rPr>
          <w:rFonts w:hint="eastAsia" w:ascii="仿宋" w:hAnsi="仿宋" w:eastAsia="仿宋" w:cs="仿宋"/>
          <w:color w:val="000000" w:themeColor="text1"/>
          <w:spacing w:val="33"/>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以联合体形式参加政府采购活动，联合体各方均为中小企业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的，联合体视同中小企业。其中，联合体各方均为小微企业的，联合体视同小微企业。</w:t>
      </w:r>
    </w:p>
    <w:p w14:paraId="12F2017D">
      <w:pPr>
        <w:pStyle w:val="7"/>
        <w:spacing w:before="184" w:line="289"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4.2.2  在政府采购活动中，监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狱企业视同小型、微型企业，享受预留份额、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团监狱管理局、戒毒管理局的企业。</w:t>
      </w:r>
    </w:p>
    <w:p w14:paraId="2F787031">
      <w:pPr>
        <w:pStyle w:val="7"/>
        <w:spacing w:before="178" w:line="278" w:lineRule="auto"/>
        <w:ind w:right="7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  在政府采购活动中，残疾人福利性单位视同小型、微型企业，享受预</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留份额、评审中价格扣除等促进中小企业发展的政府采购政策。残疾人福利性单位定义：享受政府采购支持政策的残疾人福利性单位应当</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同时满足以下条件：</w:t>
      </w:r>
    </w:p>
    <w:p w14:paraId="5266AADE">
      <w:pPr>
        <w:pStyle w:val="7"/>
        <w:spacing w:before="175" w:line="268" w:lineRule="auto"/>
        <w:ind w:right="7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4.2.3.1 安置的残疾人占本单位在职职工人数的比例不低于25%</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（含25%</w:t>
      </w:r>
      <w:r>
        <w:rPr>
          <w:rFonts w:hint="eastAsia" w:ascii="仿宋" w:hAnsi="仿宋" w:eastAsia="仿宋" w:cs="仿宋"/>
          <w:color w:val="000000" w:themeColor="text1"/>
          <w:spacing w:val="-4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并且安置的残疾人人数不少于10人（含10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人</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13A95092">
      <w:pPr>
        <w:pStyle w:val="7"/>
        <w:spacing w:before="186" w:line="251" w:lineRule="auto"/>
        <w:ind w:right="7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4.2.3.2 依法与安置的每位残疾人签订了一年以上（含一年）的劳动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合同或服务协议；</w:t>
      </w:r>
    </w:p>
    <w:p w14:paraId="217FC177">
      <w:pPr>
        <w:pStyle w:val="7"/>
        <w:spacing w:before="176" w:line="253" w:lineRule="auto"/>
        <w:ind w:right="79"/>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4.2.3.3 为安置的每位残疾人按月足额缴纳了基本养老保险、基本医</w:t>
      </w:r>
      <w:r>
        <w:rPr>
          <w:rFonts w:hint="eastAsia" w:ascii="仿宋" w:hAnsi="仿宋" w:eastAsia="仿宋" w:cs="仿宋"/>
          <w:color w:val="000000" w:themeColor="text1"/>
          <w:sz w:val="24"/>
          <w:szCs w:val="24"/>
          <w:highlight w:val="none"/>
          <w:lang w:eastAsia="zh-CN"/>
          <w14:textFill>
            <w14:solidFill>
              <w14:schemeClr w14:val="tx1"/>
            </w14:solidFill>
          </w14:textFill>
        </w:rPr>
        <w:t>疗保险、失业保险、工伤保险和生育保险等社会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保险费；</w:t>
      </w:r>
    </w:p>
    <w:p w14:paraId="12565BAD">
      <w:pPr>
        <w:pStyle w:val="7"/>
        <w:spacing w:before="176" w:line="253" w:lineRule="auto"/>
        <w:ind w:right="7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4.2.3.4 通过银行等金融机构向安置的每位残疾人，按月支付了不低</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于单位所在区县适用的经省级人民政府批准的月最</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低工资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标准的工资；</w:t>
      </w:r>
    </w:p>
    <w:p w14:paraId="57260B62">
      <w:pPr>
        <w:pStyle w:val="7"/>
        <w:spacing w:before="177" w:line="268" w:lineRule="auto"/>
        <w:ind w:right="254"/>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4.2.3.5 提供本单位制造的货物、承担的工程或者服务（以下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简称产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品</w:t>
      </w:r>
      <w:r>
        <w:rPr>
          <w:rFonts w:hint="eastAsia" w:ascii="仿宋" w:hAnsi="仿宋" w:eastAsia="仿宋" w:cs="仿宋"/>
          <w:color w:val="000000" w:themeColor="text1"/>
          <w:spacing w:val="-2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1"/>
          <w:w w:val="8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或者提供其他残疾人福利性单位制造的货物（不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包括</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使用非残疾人福利性单位注册商标的货物</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w:t>
      </w:r>
    </w:p>
    <w:p w14:paraId="74D76AC9">
      <w:pPr>
        <w:pStyle w:val="7"/>
        <w:spacing w:before="187" w:line="283" w:lineRule="auto"/>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4.2.3.6 前款所称残疾人是指法定劳动年龄内，持有《中华人民共和</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国残疾人证》或者《中华人民共和国残疾军人证（1至</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8级）》</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的自然人，包括具有劳动条件和劳动意愿的精神残疾人。在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职职工人数是指与残疾人福利性单位建立劳动关系并依法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签订劳动合同或服务协议的雇员人数。</w:t>
      </w:r>
    </w:p>
    <w:p w14:paraId="08454EB8">
      <w:pPr>
        <w:pStyle w:val="7"/>
        <w:spacing w:before="187" w:line="283"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4.2.4  本项目是否专门面向中小企业预留采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购份额见第一章《采购邀请》。</w:t>
      </w:r>
    </w:p>
    <w:p w14:paraId="686792BD">
      <w:pPr>
        <w:pStyle w:val="7"/>
        <w:spacing w:before="181" w:line="200" w:lineRule="auto"/>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4.2.5  采购标的对应的中小企业划分标准所属行业见《供应商须知资料表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5A027F56">
      <w:pPr>
        <w:pStyle w:val="7"/>
        <w:spacing w:before="181" w:line="20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4.2.6  小微企业价格评审优惠的政策调整：见第三章《评审方法</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和评审标准》。</w:t>
      </w:r>
    </w:p>
    <w:p w14:paraId="44835654">
      <w:pPr>
        <w:pStyle w:val="7"/>
        <w:spacing w:before="179" w:line="201" w:lineRule="auto"/>
        <w:ind w:left="37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   政府采购节能产品、环境标志产品</w:t>
      </w:r>
    </w:p>
    <w:p w14:paraId="7208005A">
      <w:pPr>
        <w:pStyle w:val="7"/>
        <w:spacing w:before="180" w:line="283" w:lineRule="auto"/>
        <w:ind w:right="254" w:firstLine="476"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4.3.1  政府采购节能产品、环境标志产品实施品目清单管理。财政部、发展</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清单和认证证书实施政府优先采购和强制采购。</w:t>
      </w:r>
    </w:p>
    <w:p w14:paraId="3DF352DE">
      <w:pPr>
        <w:pStyle w:val="7"/>
        <w:spacing w:before="178" w:line="286" w:lineRule="auto"/>
        <w:ind w:right="43"/>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4.3.2  采购人拟采购的产品属于品目清单范围的，采购人及其委托的采购代</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理机构依据国家确定的认证机构出具的、处于有效期之内的节能产品、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〔2019〕9号）。</w:t>
      </w:r>
    </w:p>
    <w:p w14:paraId="41100C55">
      <w:pPr>
        <w:pStyle w:val="7"/>
        <w:spacing w:before="182" w:line="270" w:lineRule="auto"/>
        <w:ind w:right="193"/>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4.3.3  如本项目采购产品属于实施政府强制采购品目清单范围的节能产品，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则供应商所报产品必须获得国家确定的认证机构出具的、处于有效期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之内的节能产品认证证书，否则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1837B7EC">
      <w:pPr>
        <w:spacing w:line="27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10" w:type="default"/>
          <w:footerReference r:id="rId11" w:type="default"/>
          <w:pgSz w:w="11907" w:h="16840"/>
          <w:pgMar w:top="1183" w:right="878" w:bottom="1057" w:left="1701" w:header="841" w:footer="886" w:gutter="0"/>
          <w:cols w:space="720" w:num="1"/>
        </w:sectPr>
      </w:pPr>
    </w:p>
    <w:p w14:paraId="20718773">
      <w:pPr>
        <w:pStyle w:val="7"/>
        <w:spacing w:before="274" w:line="304" w:lineRule="auto"/>
        <w:ind w:right="132" w:firstLine="476"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4.3.4   非政府强制采购的节能产品或环境标志产品，依据品目清单和认证证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书实施政府优先采购。优先采购的具体规定见第三章《评审方法和评</w:t>
      </w:r>
      <w:r>
        <w:rPr>
          <w:rFonts w:hint="eastAsia" w:ascii="仿宋" w:hAnsi="仿宋" w:eastAsia="仿宋" w:cs="仿宋"/>
          <w:color w:val="000000" w:themeColor="text1"/>
          <w:spacing w:val="-20"/>
          <w:w w:val="98"/>
          <w:sz w:val="24"/>
          <w:szCs w:val="24"/>
          <w:highlight w:val="none"/>
          <w:lang w:eastAsia="zh-CN"/>
          <w14:textFill>
            <w14:solidFill>
              <w14:schemeClr w14:val="tx1"/>
            </w14:solidFill>
          </w14:textFill>
        </w:rPr>
        <w:t>审标准》（如涉及）。</w:t>
      </w:r>
    </w:p>
    <w:p w14:paraId="65AFB10B">
      <w:pPr>
        <w:pStyle w:val="7"/>
        <w:spacing w:before="1" w:line="200" w:lineRule="auto"/>
        <w:ind w:left="37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4.4     正版软件</w:t>
      </w:r>
    </w:p>
    <w:p w14:paraId="4EEB457B">
      <w:pPr>
        <w:pStyle w:val="7"/>
        <w:spacing w:before="177" w:line="304" w:lineRule="auto"/>
        <w:ind w:firstLine="476"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4.4.1  各级政府部门在购置计算机办公设备时，必须采购预装正版操作系统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软件的计算机产品，相关规定依据《国家版权局、信息产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业部、财政</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部、国务院机关事务管理局关于政府部门购置计算机办公</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设备必须采购已预装正版操作系统软件产品的通知》（国权联〔20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06〕1号）、</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《国务院办公厅关于进一步做好政府机关使用正版软件工作的通知》</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（国办发〔2010〕47号）、《财政部关于进一步做好政府机关使用正版软件工作的通知》（财预〔2010〕536号）。</w:t>
      </w:r>
    </w:p>
    <w:p w14:paraId="491B04B0">
      <w:pPr>
        <w:pStyle w:val="7"/>
        <w:spacing w:line="200" w:lineRule="auto"/>
        <w:ind w:left="37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4.5</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网络安全专用产品</w:t>
      </w:r>
    </w:p>
    <w:p w14:paraId="75DB7F68">
      <w:pPr>
        <w:pStyle w:val="7"/>
        <w:spacing w:before="180" w:line="304" w:lineRule="auto"/>
        <w:ind w:right="128" w:firstLine="468" w:firstLineChars="200"/>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4.5.1  根据《关于调整网络安全专用产品安</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全管理有关事项的公告》（2023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年第1号</w:t>
      </w:r>
      <w:r>
        <w:rPr>
          <w:rFonts w:hint="eastAsia" w:ascii="仿宋" w:hAnsi="仿宋" w:eastAsia="仿宋" w:cs="仿宋"/>
          <w:color w:val="000000" w:themeColor="text1"/>
          <w:spacing w:val="-5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所提供产品属于列入《网络关键设备和网络安全专用产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品目录》的网络安全专用产品时，应当按照《信息安全技术网络安全专用产品安全技术要求》等相关国家标准的强制性要求，由具备资格</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的机构安全认证合格或者安全检测符合要求。</w:t>
      </w:r>
    </w:p>
    <w:p w14:paraId="468499E4">
      <w:pPr>
        <w:pStyle w:val="7"/>
        <w:spacing w:line="200" w:lineRule="auto"/>
        <w:ind w:left="372"/>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  采购需求标准</w:t>
      </w:r>
    </w:p>
    <w:p w14:paraId="4AD67640">
      <w:pPr>
        <w:pStyle w:val="7"/>
        <w:spacing w:line="200" w:lineRule="auto"/>
        <w:ind w:left="372"/>
        <w:rPr>
          <w:rFonts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4.6.1  商品包装、快递包装政府采购需求标准（试行）</w:t>
      </w:r>
    </w:p>
    <w:p w14:paraId="446A94CD">
      <w:pPr>
        <w:pStyle w:val="7"/>
        <w:spacing w:before="186" w:line="304" w:lineRule="auto"/>
        <w:ind w:right="70"/>
        <w:jc w:val="both"/>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为助力打好污染防治攻坚战，推广使用绿色包装，根据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财政部关于印</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发《商品包装政府采购需求标准（试行）》、《快递包装政府采购需求</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标准（试行）》的通知（财办库〔2020〕123号</w:t>
      </w:r>
      <w:r>
        <w:rPr>
          <w:rFonts w:hint="eastAsia" w:ascii="仿宋" w:hAnsi="仿宋" w:eastAsia="仿宋" w:cs="仿宋"/>
          <w:color w:val="000000" w:themeColor="text1"/>
          <w:spacing w:val="-55"/>
          <w:w w:val="9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本项目如涉及商</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品包装和快递包装的，则其具体要求见第四章《采购需求》。</w:t>
      </w:r>
    </w:p>
    <w:p w14:paraId="56CA02DD">
      <w:pPr>
        <w:pStyle w:val="7"/>
        <w:spacing w:before="1" w:line="200" w:lineRule="auto"/>
        <w:ind w:firstLine="496"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4.6.2  其他政府采购需求标准</w:t>
      </w:r>
    </w:p>
    <w:p w14:paraId="720D4BD5">
      <w:pPr>
        <w:spacing w:before="176" w:line="304" w:lineRule="auto"/>
        <w:ind w:right="72" w:firstLine="464" w:firstLineChars="200"/>
        <w:jc w:val="both"/>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p>
    <w:p w14:paraId="32925E4F">
      <w:pPr>
        <w:pStyle w:val="7"/>
        <w:spacing w:line="200" w:lineRule="auto"/>
        <w:ind w:left="19" w:firstLine="464"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响应费用</w:t>
      </w:r>
    </w:p>
    <w:p w14:paraId="2CEFE0A5">
      <w:pPr>
        <w:pStyle w:val="7"/>
        <w:spacing w:before="180" w:line="200" w:lineRule="auto"/>
        <w:jc w:val="right"/>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5.1   供应商应自行承担所有与准备和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参加磋商有关的费用，无论磋商的结果如何，</w:t>
      </w:r>
      <w:r>
        <w:rPr>
          <w:rFonts w:hint="eastAsia" w:ascii="仿宋" w:hAnsi="仿宋" w:eastAsia="仿宋" w:cs="仿宋"/>
          <w:color w:val="000000" w:themeColor="text1"/>
          <w:sz w:val="24"/>
          <w:szCs w:val="24"/>
          <w:highlight w:val="none"/>
          <w:lang w:eastAsia="zh-CN"/>
          <w14:textFill>
            <w14:solidFill>
              <w14:schemeClr w14:val="tx1"/>
            </w14:solidFill>
          </w14:textFill>
        </w:rPr>
        <w:t>采购人或采购代理机构在任何情况下均无承担这些费用的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义务和责任。</w:t>
      </w:r>
    </w:p>
    <w:p w14:paraId="21EE4980">
      <w:pPr>
        <w:pStyle w:val="7"/>
        <w:spacing w:before="180" w:line="200" w:lineRule="auto"/>
        <w:jc w:val="right"/>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36250A8E">
      <w:pPr>
        <w:pStyle w:val="7"/>
        <w:spacing w:line="274" w:lineRule="auto"/>
        <w:rPr>
          <w:rFonts w:ascii="仿宋" w:hAnsi="仿宋" w:eastAsia="仿宋" w:cs="仿宋"/>
          <w:color w:val="000000" w:themeColor="text1"/>
          <w:highlight w:val="none"/>
          <w:lang w:eastAsia="zh-CN"/>
          <w14:textFill>
            <w14:solidFill>
              <w14:schemeClr w14:val="tx1"/>
            </w14:solidFill>
          </w14:textFill>
        </w:rPr>
      </w:pPr>
    </w:p>
    <w:p w14:paraId="52DAE3C5">
      <w:pPr>
        <w:pStyle w:val="7"/>
        <w:spacing w:line="275" w:lineRule="auto"/>
        <w:rPr>
          <w:rFonts w:ascii="仿宋" w:hAnsi="仿宋" w:eastAsia="仿宋" w:cs="仿宋"/>
          <w:color w:val="000000" w:themeColor="text1"/>
          <w:highlight w:val="none"/>
          <w:lang w:eastAsia="zh-CN"/>
          <w14:textFill>
            <w14:solidFill>
              <w14:schemeClr w14:val="tx1"/>
            </w14:solidFill>
          </w14:textFill>
        </w:rPr>
      </w:pPr>
    </w:p>
    <w:p w14:paraId="0B10FC2B">
      <w:pPr>
        <w:pStyle w:val="7"/>
        <w:spacing w:line="275" w:lineRule="auto"/>
        <w:rPr>
          <w:rFonts w:ascii="仿宋" w:hAnsi="仿宋" w:eastAsia="仿宋" w:cs="仿宋"/>
          <w:color w:val="000000" w:themeColor="text1"/>
          <w:highlight w:val="none"/>
          <w:lang w:eastAsia="zh-CN"/>
          <w14:textFill>
            <w14:solidFill>
              <w14:schemeClr w14:val="tx1"/>
            </w14:solidFill>
          </w14:textFill>
        </w:rPr>
      </w:pPr>
    </w:p>
    <w:p w14:paraId="7C52A7DF">
      <w:pPr>
        <w:pStyle w:val="7"/>
        <w:spacing w:line="275" w:lineRule="auto"/>
        <w:rPr>
          <w:rFonts w:ascii="仿宋" w:hAnsi="仿宋" w:eastAsia="仿宋" w:cs="仿宋"/>
          <w:color w:val="000000" w:themeColor="text1"/>
          <w:highlight w:val="none"/>
          <w:lang w:eastAsia="zh-CN"/>
          <w14:textFill>
            <w14:solidFill>
              <w14:schemeClr w14:val="tx1"/>
            </w14:solidFill>
          </w14:textFill>
        </w:rPr>
      </w:pPr>
    </w:p>
    <w:p w14:paraId="7E87B32B">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60CE522B">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2C719ACC">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503E2CFD">
      <w:pPr>
        <w:pStyle w:val="7"/>
        <w:spacing w:line="275" w:lineRule="auto"/>
        <w:rPr>
          <w:rFonts w:ascii="仿宋" w:hAnsi="仿宋" w:eastAsia="仿宋" w:cs="仿宋"/>
          <w:color w:val="000000" w:themeColor="text1"/>
          <w:highlight w:val="none"/>
          <w:lang w:eastAsia="zh-CN"/>
          <w14:textFill>
            <w14:solidFill>
              <w14:schemeClr w14:val="tx1"/>
            </w14:solidFill>
          </w14:textFill>
        </w:rPr>
      </w:pPr>
    </w:p>
    <w:p w14:paraId="13E7C945">
      <w:pPr>
        <w:spacing w:before="121" w:line="201" w:lineRule="auto"/>
        <w:ind w:left="3208"/>
        <w:outlineLvl w:val="2"/>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二 竞争性磋商文件</w:t>
      </w:r>
    </w:p>
    <w:p w14:paraId="3426D365">
      <w:pPr>
        <w:pStyle w:val="7"/>
        <w:spacing w:before="201" w:line="201" w:lineRule="auto"/>
        <w:ind w:left="1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竞争性磋商文件构成</w:t>
      </w:r>
    </w:p>
    <w:p w14:paraId="54F7EC7F">
      <w:pPr>
        <w:pStyle w:val="7"/>
        <w:spacing w:before="175" w:line="201" w:lineRule="auto"/>
        <w:ind w:left="37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6.1   竞争性磋商文件包括以下部分：</w:t>
      </w:r>
    </w:p>
    <w:p w14:paraId="5884EBB7">
      <w:pPr>
        <w:spacing w:before="179" w:line="201" w:lineRule="auto"/>
        <w:ind w:left="144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第一章     采购邀请</w:t>
      </w:r>
    </w:p>
    <w:p w14:paraId="0B48BAE0">
      <w:pPr>
        <w:spacing w:before="177" w:line="200" w:lineRule="auto"/>
        <w:ind w:left="144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第二章     供应商须知</w:t>
      </w:r>
    </w:p>
    <w:p w14:paraId="2BB3BF2D">
      <w:pPr>
        <w:spacing w:before="179" w:line="201" w:lineRule="auto"/>
        <w:ind w:left="144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第三章     评审方法和评审标准</w:t>
      </w:r>
    </w:p>
    <w:p w14:paraId="427943A4">
      <w:pPr>
        <w:spacing w:before="176" w:line="201" w:lineRule="auto"/>
        <w:ind w:left="144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第四章     采购需求</w:t>
      </w:r>
    </w:p>
    <w:p w14:paraId="31AAE3AB">
      <w:pPr>
        <w:spacing w:before="176" w:line="201" w:lineRule="auto"/>
        <w:ind w:left="144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第五章     合同草案条款</w:t>
      </w:r>
    </w:p>
    <w:p w14:paraId="1A23029B">
      <w:pPr>
        <w:spacing w:before="178" w:line="201" w:lineRule="auto"/>
        <w:ind w:left="144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第六章     响应文件格式</w:t>
      </w:r>
    </w:p>
    <w:p w14:paraId="1B2EBB35">
      <w:pPr>
        <w:pStyle w:val="7"/>
        <w:spacing w:before="176" w:line="304" w:lineRule="auto"/>
        <w:ind w:left="1085" w:right="73" w:hanging="70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6.2   供应商应认真阅读竞争性磋商文件的全部内容。供应商应按照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件要求提交响应文件并保证所提供的全部资料的真实性，并对竞争性磋商文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件做出实质性响应</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64776794">
      <w:pPr>
        <w:pStyle w:val="7"/>
        <w:spacing w:before="1" w:line="200" w:lineRule="auto"/>
        <w:ind w:left="2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对竞争性磋商文件的澄清或修改</w:t>
      </w:r>
    </w:p>
    <w:p w14:paraId="64AE5CFF">
      <w:pPr>
        <w:pStyle w:val="7"/>
        <w:spacing w:before="1" w:line="269" w:lineRule="auto"/>
        <w:ind w:left="1087" w:hanging="7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7.1   采购人、采购代理机构或者磋商小组对已发出的竞争性磋商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文件进行必要澄清或者修改的，将以书面形式通知所有获取竞争性磋商文件的潜在</w:t>
      </w:r>
      <w:r>
        <w:rPr>
          <w:rFonts w:hint="eastAsia" w:ascii="仿宋" w:hAnsi="仿宋" w:eastAsia="仿宋" w:cs="仿宋"/>
          <w:color w:val="000000" w:themeColor="text1"/>
          <w:sz w:val="24"/>
          <w:szCs w:val="24"/>
          <w:highlight w:val="none"/>
          <w:lang w:eastAsia="zh-CN"/>
          <w14:textFill>
            <w14:solidFill>
              <w14:schemeClr w14:val="tx1"/>
            </w14:solidFill>
          </w14:textFill>
        </w:rPr>
        <w:t>供应商。采用公告方式邀请供应商参与的，还将在原公告发布媒体上发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布更正公告。</w:t>
      </w:r>
    </w:p>
    <w:p w14:paraId="53DA291F">
      <w:pPr>
        <w:pStyle w:val="7"/>
        <w:spacing w:before="1" w:line="269" w:lineRule="auto"/>
        <w:ind w:left="1087" w:hanging="7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7.2   上述书面通知，按照获取竞争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性磋商文件的潜在供应商提供的联系方式发出，</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因提供的信息有误导致通知延迟或无法通知的，采购人或采购代理机构不承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担责任。</w:t>
      </w:r>
    </w:p>
    <w:p w14:paraId="352C5BAF">
      <w:pPr>
        <w:pStyle w:val="7"/>
        <w:spacing w:before="174" w:line="284" w:lineRule="auto"/>
        <w:ind w:left="1085" w:right="72" w:hanging="70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7.3   澄清或者修改的内容为竞争性磋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商文件的组成部分，并对所有获取竞争性磋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商文件的潜在供应商具有约束力。澄清或者修改的内容可能影响响应文件编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制的，将在提交首次响应文件截止之日3个工作日前，以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书面形式通知所有获取磋商文件的供应商；不足上述时间的，将顺</w:t>
      </w:r>
      <w:r>
        <w:rPr>
          <w:rFonts w:hint="eastAsia" w:ascii="仿宋" w:hAnsi="仿宋" w:eastAsia="仿宋" w:cs="仿宋"/>
          <w:color w:val="000000" w:themeColor="text1"/>
          <w:sz w:val="24"/>
          <w:szCs w:val="24"/>
          <w:highlight w:val="none"/>
          <w:lang w:eastAsia="zh-CN"/>
          <w14:textFill>
            <w14:solidFill>
              <w14:schemeClr w14:val="tx1"/>
            </w14:solidFill>
          </w14:textFill>
        </w:rPr>
        <w:t>延提交首次响应文件截止时</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间。</w:t>
      </w:r>
    </w:p>
    <w:p w14:paraId="50120CAC">
      <w:pPr>
        <w:pStyle w:val="7"/>
        <w:spacing w:line="273" w:lineRule="auto"/>
        <w:rPr>
          <w:rFonts w:ascii="仿宋" w:hAnsi="仿宋" w:eastAsia="仿宋" w:cs="仿宋"/>
          <w:color w:val="000000" w:themeColor="text1"/>
          <w:highlight w:val="none"/>
          <w:lang w:eastAsia="zh-CN"/>
          <w14:textFill>
            <w14:solidFill>
              <w14:schemeClr w14:val="tx1"/>
            </w14:solidFill>
          </w14:textFill>
        </w:rPr>
      </w:pPr>
    </w:p>
    <w:p w14:paraId="40E9ACB8">
      <w:pPr>
        <w:spacing w:before="121" w:line="201" w:lineRule="auto"/>
        <w:ind w:left="3213"/>
        <w:outlineLvl w:val="2"/>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三</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响应文件的编制</w:t>
      </w:r>
    </w:p>
    <w:p w14:paraId="4637854A">
      <w:pPr>
        <w:pStyle w:val="7"/>
        <w:spacing w:before="199" w:line="200" w:lineRule="auto"/>
        <w:ind w:left="1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   响应范围、竞争性磋商文件中计量单位的使用及磋商语言</w:t>
      </w:r>
    </w:p>
    <w:p w14:paraId="62990C85">
      <w:pPr>
        <w:pStyle w:val="7"/>
        <w:spacing w:before="180" w:line="278" w:lineRule="auto"/>
        <w:ind w:left="1087" w:right="73" w:hanging="71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8.1   本项目如划分采购包，供应商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可以对本项目的其中一个采购包进行响应</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，也可同时对多个采购包进行响应。供应商应当对所参与采购包对应第四章《采</w:t>
      </w:r>
      <w:r>
        <w:rPr>
          <w:rFonts w:hint="eastAsia" w:ascii="仿宋" w:hAnsi="仿宋" w:eastAsia="仿宋" w:cs="仿宋"/>
          <w:color w:val="000000" w:themeColor="text1"/>
          <w:sz w:val="24"/>
          <w:szCs w:val="24"/>
          <w:highlight w:val="none"/>
          <w:lang w:eastAsia="zh-CN"/>
          <w14:textFill>
            <w14:solidFill>
              <w14:schemeClr w14:val="tx1"/>
            </w14:solidFill>
          </w14:textFill>
        </w:rPr>
        <w:t>购需求》所列的全部内容进行响应，不得将一个采购包中的内容拆分响应，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否则其对该采购包的响应将被认定为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07C250B9">
      <w:pPr>
        <w:pStyle w:val="7"/>
        <w:spacing w:before="177" w:line="253" w:lineRule="auto"/>
        <w:ind w:left="1083" w:right="73" w:hanging="7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8.2   除竞争性磋商文件有特殊要求外，本项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目磋商所使用的计量单位，应采用中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华人民共和国法定计量单位。</w:t>
      </w:r>
    </w:p>
    <w:p w14:paraId="4576F8BE">
      <w:pPr>
        <w:pStyle w:val="7"/>
        <w:spacing w:before="175" w:line="284" w:lineRule="auto"/>
        <w:ind w:left="1080" w:right="73" w:hanging="704"/>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8.3   除专用术语外，响应文件及来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往函电均应使用中文书写。必要时专用术语应附有中文解释。供应商提交的支持资料和已印制的文献可以用外文，但相应</w:t>
      </w:r>
      <w:r>
        <w:rPr>
          <w:rFonts w:hint="eastAsia" w:ascii="仿宋" w:hAnsi="仿宋" w:eastAsia="仿宋" w:cs="仿宋"/>
          <w:color w:val="000000" w:themeColor="text1"/>
          <w:sz w:val="24"/>
          <w:szCs w:val="24"/>
          <w:highlight w:val="none"/>
          <w:lang w:eastAsia="zh-CN"/>
          <w14:textFill>
            <w14:solidFill>
              <w14:schemeClr w14:val="tx1"/>
            </w14:solidFill>
          </w14:textFill>
        </w:rPr>
        <w:t>内容应附有中文翻译本，在解释响应文件时以中文翻译本为准</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。未附中文翻</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译本或翻译本中文内容明显与外文内容不一致的，其不利后果由供应商自行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承担。</w:t>
      </w:r>
    </w:p>
    <w:p w14:paraId="0AAA7F6C">
      <w:pPr>
        <w:pStyle w:val="7"/>
        <w:spacing w:before="174" w:line="201" w:lineRule="auto"/>
        <w:ind w:left="1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响应文件构成</w:t>
      </w:r>
    </w:p>
    <w:p w14:paraId="3693EEA2">
      <w:pPr>
        <w:pStyle w:val="7"/>
        <w:spacing w:before="176" w:line="313" w:lineRule="auto"/>
        <w:ind w:left="1080" w:right="70" w:hanging="71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9.1   供应商应当按照竞争性磋商文件的要求编制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响应文件，并对其提交的响应文</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件的真实性、合法性承担法律责任。响应文件的部分格式要求，见第六章《响</w:t>
      </w:r>
      <w:r>
        <w:rPr>
          <w:rFonts w:hint="eastAsia" w:ascii="仿宋" w:hAnsi="仿宋" w:eastAsia="仿宋" w:cs="仿宋"/>
          <w:color w:val="000000" w:themeColor="text1"/>
          <w:spacing w:val="-14"/>
          <w:w w:val="99"/>
          <w:sz w:val="24"/>
          <w:szCs w:val="24"/>
          <w:highlight w:val="none"/>
          <w:lang w:eastAsia="zh-CN"/>
          <w14:textFill>
            <w14:solidFill>
              <w14:schemeClr w14:val="tx1"/>
            </w14:solidFill>
          </w14:textFill>
        </w:rPr>
        <w:t>应文件格式》。</w:t>
      </w:r>
    </w:p>
    <w:p w14:paraId="1DA64F5D">
      <w:pPr>
        <w:pStyle w:val="7"/>
        <w:spacing w:before="180" w:line="283" w:lineRule="auto"/>
        <w:ind w:left="1079" w:right="108" w:hanging="70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9.2   对于竞争性磋商文件中标记了“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”文件的，供应商不得改变格式中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给定的文字所表达的含义，不得删减格式中的实质性内容，不得自行添加与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格式中给定的文字内容相矛盾的内容，不得对应当填</w:t>
      </w:r>
      <w:r>
        <w:rPr>
          <w:rFonts w:hint="eastAsia" w:ascii="仿宋" w:hAnsi="仿宋" w:eastAsia="仿宋" w:cs="仿宋"/>
          <w:color w:val="000000" w:themeColor="text1"/>
          <w:sz w:val="24"/>
          <w:szCs w:val="24"/>
          <w:highlight w:val="none"/>
          <w:lang w:eastAsia="zh-CN"/>
          <w14:textFill>
            <w14:solidFill>
              <w14:schemeClr w14:val="tx1"/>
            </w14:solidFill>
          </w14:textFill>
        </w:rPr>
        <w:t>写的空格不填写或不实质性响应，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b/>
          <w:bCs/>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。未标记</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”的文件和竞争性磋商文件未</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提供格式的内容，可由供应商自行编写。</w:t>
      </w:r>
    </w:p>
    <w:p w14:paraId="0960C88C">
      <w:pPr>
        <w:pStyle w:val="7"/>
        <w:spacing w:before="176" w:line="201" w:lineRule="auto"/>
        <w:ind w:left="37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9.3   第三章《评审方法和评审标准》中涉及的证明文件。</w:t>
      </w:r>
    </w:p>
    <w:p w14:paraId="4CEAF637">
      <w:pPr>
        <w:pStyle w:val="7"/>
        <w:spacing w:before="179" w:line="269" w:lineRule="auto"/>
        <w:ind w:left="1079" w:right="110" w:hanging="70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9.4   对照第四章《采购需求》，说明所提供货物和服务已对第四章《采购需求》做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出了响应，或申明与第四章《采购需求》</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的偏差和例外</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。如第四章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求》中要求提供证明文件的，供应商应当按具体要求提供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证明文件。</w:t>
      </w:r>
    </w:p>
    <w:p w14:paraId="2AE7541E">
      <w:pPr>
        <w:pStyle w:val="7"/>
        <w:spacing w:before="179" w:line="200" w:lineRule="auto"/>
        <w:ind w:left="37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9.5   供应商认为应附的其他材料。</w:t>
      </w:r>
    </w:p>
    <w:p w14:paraId="6699D365">
      <w:pPr>
        <w:pStyle w:val="7"/>
        <w:spacing w:before="178" w:line="200"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p>
    <w:p w14:paraId="2BE06795">
      <w:pPr>
        <w:pStyle w:val="7"/>
        <w:spacing w:before="180" w:line="200" w:lineRule="auto"/>
        <w:ind w:left="3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10.1</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所有响应均以人民币为计价货币。</w:t>
      </w:r>
    </w:p>
    <w:p w14:paraId="50DB4A29">
      <w:pPr>
        <w:pStyle w:val="7"/>
        <w:spacing w:before="175" w:line="270" w:lineRule="auto"/>
        <w:ind w:left="1469" w:right="113" w:hanging="87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10.2  供应商的报价应包括为完成本项目所发生的一切费用和税费，采购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人将不</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再支付报价以外的任何费用。供应商的报价应包括但不限于下列内容，《供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应商须知资料表》中有特殊规定的，从其规定。</w:t>
      </w:r>
    </w:p>
    <w:p w14:paraId="2CC1E75E">
      <w:pPr>
        <w:pStyle w:val="7"/>
        <w:spacing w:before="178" w:line="278" w:lineRule="auto"/>
        <w:ind w:left="1988" w:hanging="88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10.2.1 响应货物及标准附件、备品备件、专用工具等的出厂价（包括已在中</w:t>
      </w:r>
      <w:r>
        <w:rPr>
          <w:rFonts w:hint="eastAsia" w:ascii="仿宋" w:hAnsi="仿宋" w:eastAsia="仿宋" w:cs="仿宋"/>
          <w:color w:val="000000" w:themeColor="text1"/>
          <w:sz w:val="24"/>
          <w:szCs w:val="24"/>
          <w:highlight w:val="none"/>
          <w:lang w:eastAsia="zh-CN"/>
          <w14:textFill>
            <w14:solidFill>
              <w14:schemeClr w14:val="tx1"/>
            </w14:solidFill>
          </w14:textFill>
        </w:rPr>
        <w:t>国国内的进口货物完税后的仓库交货价、展室交货价或货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架交货价）</w:t>
      </w:r>
      <w:r>
        <w:rPr>
          <w:rFonts w:hint="eastAsia" w:ascii="仿宋" w:hAnsi="仿宋" w:eastAsia="仿宋" w:cs="仿宋"/>
          <w:color w:val="000000" w:themeColor="text1"/>
          <w:sz w:val="24"/>
          <w:szCs w:val="24"/>
          <w:highlight w:val="none"/>
          <w:lang w:eastAsia="zh-CN"/>
          <w14:textFill>
            <w14:solidFill>
              <w14:schemeClr w14:val="tx1"/>
            </w14:solidFill>
          </w14:textFill>
        </w:rPr>
        <w:t>和运至最终目的地的运输费和保险费，安装调试、检验、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技术服务、培训、质量保证、售后服务、税费等；</w:t>
      </w:r>
    </w:p>
    <w:p w14:paraId="0E61A097">
      <w:pPr>
        <w:pStyle w:val="7"/>
        <w:spacing w:before="179" w:line="200" w:lineRule="auto"/>
        <w:ind w:left="11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10.2.2 按照竞争性磋商文件要求完成本项目的全部相关费用。</w:t>
      </w:r>
    </w:p>
    <w:p w14:paraId="385EB60B">
      <w:pPr>
        <w:pStyle w:val="7"/>
        <w:spacing w:before="178" w:line="251" w:lineRule="auto"/>
        <w:ind w:left="1080" w:right="115" w:hanging="69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10.3</w:t>
      </w:r>
      <w:r>
        <w:rPr>
          <w:rFonts w:hint="eastAsia" w:ascii="仿宋" w:hAnsi="仿宋" w:eastAsia="仿宋" w:cs="仿宋"/>
          <w:color w:val="000000" w:themeColor="text1"/>
          <w:spacing w:val="31"/>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采购人不得向供应商索要或者接受其给予的赠品、回扣或者与采购无关的其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他商品、服务。</w:t>
      </w:r>
    </w:p>
    <w:p w14:paraId="2BEF8A3A">
      <w:pPr>
        <w:pStyle w:val="7"/>
        <w:spacing w:before="178" w:line="249" w:lineRule="auto"/>
        <w:ind w:left="1083" w:right="113" w:hanging="69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10.4</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供应商不能提供任何有选择性或可调整的最后报价（竞争性磋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定的除外</w:t>
      </w:r>
      <w:r>
        <w:rPr>
          <w:rFonts w:hint="eastAsia" w:ascii="仿宋" w:hAnsi="仿宋" w:eastAsia="仿宋" w:cs="仿宋"/>
          <w:color w:val="000000" w:themeColor="text1"/>
          <w:spacing w:val="-5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5DF40BAA">
      <w:pPr>
        <w:pStyle w:val="7"/>
        <w:spacing w:before="186" w:line="201"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磋商保证金</w:t>
      </w:r>
    </w:p>
    <w:p w14:paraId="49365891">
      <w:pPr>
        <w:pStyle w:val="7"/>
        <w:spacing w:before="177" w:line="253" w:lineRule="auto"/>
        <w:ind w:left="1101" w:hanging="71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供应商应按《供应商须知资料表》中规定的金额及要求交纳磋商保证金。供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应商自愿超额缴纳磋商保证金的，响应文件不做无效处理。</w:t>
      </w:r>
    </w:p>
    <w:p w14:paraId="369156CD">
      <w:pPr>
        <w:pStyle w:val="7"/>
        <w:spacing w:before="177" w:line="253" w:lineRule="auto"/>
        <w:ind w:left="1101" w:hanging="71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交纳磋商保证金可采用的形式：政府采购法律法规接受的支票、汇票、本票、网上银行支付或者金融机构、担保机构出具的保函等非现金形式。</w:t>
      </w:r>
    </w:p>
    <w:p w14:paraId="5D844241">
      <w:pPr>
        <w:pStyle w:val="7"/>
        <w:spacing w:before="178" w:line="289" w:lineRule="auto"/>
        <w:ind w:left="1080" w:right="91" w:hanging="69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11.3</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磋商保证金到账截止时间同首次响应文件提交截止时间。以支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磋商保证金的，应在首次响应文件提交截止时间前将原件提交至采购代理机</w:t>
      </w:r>
      <w:r>
        <w:rPr>
          <w:rFonts w:hint="eastAsia" w:ascii="仿宋" w:hAnsi="仿宋" w:eastAsia="仿宋" w:cs="仿宋"/>
          <w:color w:val="000000" w:themeColor="text1"/>
          <w:sz w:val="24"/>
          <w:szCs w:val="24"/>
          <w:highlight w:val="none"/>
          <w:lang w:eastAsia="zh-CN"/>
          <w14:textFill>
            <w14:solidFill>
              <w14:schemeClr w14:val="tx1"/>
            </w14:solidFill>
          </w14:textFill>
        </w:rPr>
        <w:t>构；以电子保函形式提交磋商保证金的，应在首次响应文件提交截止时间前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完成电子保函办理。未按上述要求缴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纳保证金的，其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08CC48C7">
      <w:pPr>
        <w:pStyle w:val="7"/>
        <w:spacing w:before="178" w:line="270" w:lineRule="auto"/>
        <w:ind w:left="1082" w:right="91" w:hanging="7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11.4</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供应商除需在响应文件中提供“磋商保证金</w:t>
      </w:r>
      <w:r>
        <w:rPr>
          <w:rFonts w:hint="eastAsia" w:ascii="仿宋" w:hAnsi="仿宋" w:eastAsia="仿宋" w:cs="仿宋"/>
          <w:color w:val="000000" w:themeColor="text1"/>
          <w:sz w:val="24"/>
          <w:szCs w:val="24"/>
          <w:highlight w:val="none"/>
          <w:lang w:eastAsia="zh-CN"/>
          <w14:textFill>
            <w14:solidFill>
              <w14:schemeClr w14:val="tx1"/>
            </w14:solidFill>
          </w14:textFill>
        </w:rPr>
        <w:t>凭证/交款单据电子件</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”，还需在首次响应文件提交截止时间前，通过电子交易平台上传“磋商保证金凭证/交</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款单据电子件”。</w:t>
      </w:r>
    </w:p>
    <w:p w14:paraId="0C721AAF">
      <w:pPr>
        <w:pStyle w:val="7"/>
        <w:spacing w:before="176" w:line="200" w:lineRule="auto"/>
        <w:ind w:left="3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11.5</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磋商保证金有效期同响应有效期。</w:t>
      </w:r>
    </w:p>
    <w:p w14:paraId="7D212AA9">
      <w:pPr>
        <w:pStyle w:val="7"/>
        <w:spacing w:before="180" w:line="251" w:lineRule="auto"/>
        <w:ind w:left="1079" w:right="141" w:hanging="69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11.6</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供应商为联合体的，可以由联合体中的一方或者多方共同交纳磋商保证金，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其交纳的保证金对联合体各方均具有约束力。</w:t>
      </w:r>
    </w:p>
    <w:p w14:paraId="44C922A6">
      <w:pPr>
        <w:pStyle w:val="7"/>
        <w:spacing w:before="175" w:line="270" w:lineRule="auto"/>
        <w:ind w:left="1081" w:right="94" w:hanging="69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11.7</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采购人、采购代理机构将及时退还供应商的保证金，采用银行保函、担保机构担保函等形式递交的保证金，经供应商同意后采购人、采购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代理机构可以</w:t>
      </w:r>
      <w:r>
        <w:rPr>
          <w:rFonts w:hint="eastAsia" w:ascii="仿宋" w:hAnsi="仿宋" w:eastAsia="仿宋" w:cs="仿宋"/>
          <w:color w:val="000000" w:themeColor="text1"/>
          <w:sz w:val="24"/>
          <w:szCs w:val="24"/>
          <w:highlight w:val="none"/>
          <w:lang w:eastAsia="zh-CN"/>
          <w14:textFill>
            <w14:solidFill>
              <w14:schemeClr w14:val="tx1"/>
            </w14:solidFill>
          </w14:textFill>
        </w:rPr>
        <w:t>不再退还，但因供应商自身原因导致无法及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时退还的除外：</w:t>
      </w:r>
    </w:p>
    <w:p w14:paraId="43B5288C">
      <w:pPr>
        <w:pStyle w:val="7"/>
        <w:spacing w:before="175" w:line="270" w:lineRule="auto"/>
        <w:ind w:left="1983" w:right="91" w:hanging="87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11.7.1 已提交响应文件的供应商，在提交最后报价之前，可以根据磋商情况</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退出磋商。采购人、采购代理机构将退还退出磋商的供应商的磋商保</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证金；</w:t>
      </w:r>
    </w:p>
    <w:p w14:paraId="41020364">
      <w:pPr>
        <w:pStyle w:val="7"/>
        <w:spacing w:before="176" w:line="253" w:lineRule="auto"/>
        <w:ind w:left="1985" w:right="93" w:hanging="87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11.7.2 成交供应商的磋商保证金，在采购合同签订后5个工作日内退还成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交供应商；</w:t>
      </w:r>
    </w:p>
    <w:p w14:paraId="4FE496F2">
      <w:pPr>
        <w:pStyle w:val="7"/>
        <w:spacing w:before="178" w:line="243" w:lineRule="auto"/>
        <w:ind w:left="1986" w:right="93" w:hanging="87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11.7.3 未成交供应商的磋商保证金，在成交通知书发出后5个工作日内退</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还。</w:t>
      </w:r>
    </w:p>
    <w:p w14:paraId="27D7E5CA">
      <w:pPr>
        <w:pStyle w:val="7"/>
        <w:spacing w:before="209" w:line="200" w:lineRule="auto"/>
        <w:ind w:left="3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有下列情形之一的，采购人或采购代理机构不予退还磋商保证金：</w:t>
      </w:r>
    </w:p>
    <w:p w14:paraId="55CE636F">
      <w:pPr>
        <w:pStyle w:val="7"/>
        <w:spacing w:before="274" w:line="200" w:lineRule="auto"/>
        <w:ind w:left="11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11.8.1  供应商在响应文件提交截止时间后撤回响应文件的；</w:t>
      </w:r>
    </w:p>
    <w:p w14:paraId="11B9645A">
      <w:pPr>
        <w:pStyle w:val="7"/>
        <w:spacing w:before="177" w:line="200" w:lineRule="auto"/>
        <w:ind w:left="11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11.8.2  供应商在响应文件中提供虚假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材料的；</w:t>
      </w:r>
    </w:p>
    <w:p w14:paraId="7F5410F3">
      <w:pPr>
        <w:pStyle w:val="7"/>
        <w:spacing w:before="179" w:line="251" w:lineRule="auto"/>
        <w:ind w:left="1986" w:right="87" w:hanging="87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11.8.3</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除因不可抗力或磋商文件认可的情形以外，成交供应商不与采购人签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订合同的；</w:t>
      </w:r>
    </w:p>
    <w:p w14:paraId="5E359B4F">
      <w:pPr>
        <w:pStyle w:val="7"/>
        <w:spacing w:before="177" w:line="200" w:lineRule="auto"/>
        <w:ind w:left="11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11.8.4  供应商与采购人、其他供应商或者采购代理机构恶意串通的；</w:t>
      </w:r>
    </w:p>
    <w:p w14:paraId="7EF5F526">
      <w:pPr>
        <w:pStyle w:val="7"/>
        <w:spacing w:before="180" w:line="200" w:lineRule="auto"/>
        <w:ind w:left="11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11.8.5</w:t>
      </w:r>
      <w:r>
        <w:rPr>
          <w:rFonts w:hint="eastAsia" w:ascii="仿宋" w:hAnsi="仿宋" w:eastAsia="仿宋" w:cs="仿宋"/>
          <w:color w:val="000000" w:themeColor="text1"/>
          <w:spacing w:val="6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《供应商须知资料表》规定的其他情形。</w:t>
      </w:r>
    </w:p>
    <w:p w14:paraId="529CD635">
      <w:pPr>
        <w:pStyle w:val="7"/>
        <w:spacing w:before="177" w:line="200"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12 响应有效期</w:t>
      </w:r>
    </w:p>
    <w:p w14:paraId="641E9284">
      <w:pPr>
        <w:pStyle w:val="7"/>
        <w:spacing w:before="180" w:line="200" w:lineRule="auto"/>
        <w:ind w:left="1112" w:leftChars="181" w:hanging="732" w:hangingChars="3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12.1  响应文件应在本竞争性磋商文件《供应商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须知资料表》</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中规定的响应有效期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内保持有效，响应有效期少于竞争性磋商文件规定期限的</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，其</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523D678B">
      <w:pPr>
        <w:pStyle w:val="7"/>
        <w:spacing w:before="177" w:line="201"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 响应文件的签署、盖章</w:t>
      </w:r>
    </w:p>
    <w:p w14:paraId="3671FDCC">
      <w:pPr>
        <w:pStyle w:val="7"/>
        <w:spacing w:before="179" w:line="278" w:lineRule="auto"/>
        <w:ind w:left="1474" w:right="12" w:hanging="88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13.1   竞争性磋商文件要求签字的内容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（如授权委托书等</w:t>
      </w:r>
      <w:r>
        <w:rPr>
          <w:rFonts w:hint="eastAsia" w:ascii="仿宋" w:hAnsi="仿宋" w:eastAsia="仿宋" w:cs="仿宋"/>
          <w:color w:val="000000" w:themeColor="text1"/>
          <w:spacing w:val="-5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可以使用电子签章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或使用原件的电子件（电子件指扫描件</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照片等形式电子文件</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要求第三方出具的盖章件原件（如联合协议、分包意向协议、制造商授权书等</w:t>
      </w:r>
      <w:r>
        <w:rPr>
          <w:rFonts w:hint="eastAsia" w:ascii="仿宋" w:hAnsi="仿宋" w:eastAsia="仿宋" w:cs="仿宋"/>
          <w:color w:val="000000" w:themeColor="text1"/>
          <w:spacing w:val="-50"/>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响应文件中应使用原件的电子件。</w:t>
      </w:r>
    </w:p>
    <w:p w14:paraId="6901BDCE">
      <w:pPr>
        <w:pStyle w:val="7"/>
        <w:spacing w:before="180" w:line="200" w:lineRule="auto"/>
        <w:jc w:val="right"/>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竞争性磋商文件要求盖章的内容，一般通过响应文件编制工具加盖电子签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章。</w:t>
      </w:r>
    </w:p>
    <w:p w14:paraId="374CB4B0">
      <w:pPr>
        <w:pStyle w:val="7"/>
        <w:spacing w:line="425" w:lineRule="auto"/>
        <w:rPr>
          <w:rFonts w:ascii="仿宋" w:hAnsi="仿宋" w:eastAsia="仿宋" w:cs="仿宋"/>
          <w:color w:val="000000" w:themeColor="text1"/>
          <w:highlight w:val="none"/>
          <w:lang w:eastAsia="zh-CN"/>
          <w14:textFill>
            <w14:solidFill>
              <w14:schemeClr w14:val="tx1"/>
            </w14:solidFill>
          </w14:textFill>
        </w:rPr>
      </w:pPr>
    </w:p>
    <w:p w14:paraId="6CEE313E">
      <w:pPr>
        <w:spacing w:before="121" w:line="201" w:lineRule="auto"/>
        <w:ind w:left="3237"/>
        <w:outlineLvl w:val="2"/>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四</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响应文件的提交</w:t>
      </w:r>
    </w:p>
    <w:p w14:paraId="048C3332">
      <w:pPr>
        <w:pStyle w:val="7"/>
        <w:spacing w:before="201" w:line="201"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14 响应文件的提交</w:t>
      </w:r>
    </w:p>
    <w:p w14:paraId="7B766099">
      <w:pPr>
        <w:pStyle w:val="7"/>
        <w:spacing w:before="174" w:line="253" w:lineRule="auto"/>
        <w:ind w:left="1082" w:right="90" w:hanging="7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14.1</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本项目使用新疆政府采购电子交易平台（政采云）。供应商根据竞争性磋商文件及电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子交易平台供应商操作手册要求编制、生成并提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交电子响应文件。</w:t>
      </w:r>
    </w:p>
    <w:p w14:paraId="1F7BFF1D">
      <w:pPr>
        <w:pStyle w:val="7"/>
        <w:spacing w:before="176" w:line="253" w:lineRule="auto"/>
        <w:ind w:left="1094" w:right="90" w:hanging="71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14.2</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采购人及采购代理机构拒绝接受通过电子交易平台以外任何形式提交的</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首次</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响应文件，磋商保证金除外。</w:t>
      </w:r>
    </w:p>
    <w:p w14:paraId="484CA415">
      <w:pPr>
        <w:pStyle w:val="7"/>
        <w:spacing w:before="177" w:line="201"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15 响应文件提交截止时间</w:t>
      </w:r>
    </w:p>
    <w:p w14:paraId="2A6D4694">
      <w:pPr>
        <w:pStyle w:val="7"/>
        <w:spacing w:before="177" w:line="304" w:lineRule="auto"/>
        <w:ind w:left="1083" w:right="90" w:hanging="70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15.1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供应商应在竞争性磋商文件要求响应文件提交截止时间前，将电子响应</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提交至电子交易平台。</w:t>
      </w:r>
    </w:p>
    <w:p w14:paraId="2A3E8019">
      <w:pPr>
        <w:pStyle w:val="7"/>
        <w:spacing w:before="1" w:line="200"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 响应文件的修改与撤回</w:t>
      </w:r>
    </w:p>
    <w:p w14:paraId="4C10C2D8">
      <w:pPr>
        <w:pStyle w:val="7"/>
        <w:spacing w:before="3" w:line="309" w:lineRule="auto"/>
        <w:ind w:left="1083" w:right="35" w:hanging="70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16.1  响应文件提交截止时间前，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供应商可以通过电子交易平台对所提交的响应文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件进行补充、修改或者撤回。磋商保证金的补充、修改或者撤回无需通过电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子交易平台，但应就其补充、修改或者撤回通知采购人</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或采购代理机构。</w:t>
      </w:r>
    </w:p>
    <w:p w14:paraId="61854422">
      <w:pPr>
        <w:pStyle w:val="7"/>
        <w:spacing w:before="3" w:line="309" w:lineRule="auto"/>
        <w:ind w:left="1083" w:right="35" w:hanging="70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16.2</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供应商对响应文件的补充、修改的内容应当按照竞争性磋商文件要求签署、</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盖章，作为响应文件的组成部分。补充、修改的内容与响应文件不一致的，以补充、修改的内容为准。</w:t>
      </w:r>
    </w:p>
    <w:p w14:paraId="678ADD57">
      <w:pPr>
        <w:pStyle w:val="7"/>
        <w:spacing w:line="272" w:lineRule="auto"/>
        <w:rPr>
          <w:rFonts w:ascii="仿宋" w:hAnsi="仿宋" w:eastAsia="仿宋" w:cs="仿宋"/>
          <w:color w:val="000000" w:themeColor="text1"/>
          <w:highlight w:val="none"/>
          <w:lang w:eastAsia="zh-CN"/>
          <w14:textFill>
            <w14:solidFill>
              <w14:schemeClr w14:val="tx1"/>
            </w14:solidFill>
          </w14:textFill>
        </w:rPr>
      </w:pPr>
    </w:p>
    <w:p w14:paraId="2123033C">
      <w:pPr>
        <w:spacing w:before="120" w:line="202" w:lineRule="auto"/>
        <w:ind w:left="3915"/>
        <w:outlineLvl w:val="2"/>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五</w:t>
      </w:r>
      <w:r>
        <w:rPr>
          <w:rFonts w:hint="eastAsia" w:ascii="仿宋" w:hAnsi="仿宋" w:eastAsia="仿宋" w:cs="仿宋"/>
          <w:b/>
          <w:bCs/>
          <w:color w:val="000000" w:themeColor="text1"/>
          <w:spacing w:val="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评审</w:t>
      </w:r>
    </w:p>
    <w:p w14:paraId="28E0AF44">
      <w:pPr>
        <w:pStyle w:val="7"/>
        <w:spacing w:before="198" w:line="201"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 响应文件的解密与开启</w:t>
      </w:r>
    </w:p>
    <w:p w14:paraId="31B5B6E6">
      <w:pPr>
        <w:pStyle w:val="7"/>
        <w:spacing w:before="179" w:line="251" w:lineRule="auto"/>
        <w:ind w:left="1097" w:right="7" w:hanging="71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采购人或采购代理机构将按竞争性磋商文件的规定，在响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应文件提交截止时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间的同一时间和竞争性磋商文件预先确定的地点开启响应文件。</w:t>
      </w:r>
    </w:p>
    <w:p w14:paraId="1DF3578A">
      <w:pPr>
        <w:pStyle w:val="7"/>
        <w:spacing w:before="175" w:line="270" w:lineRule="auto"/>
        <w:ind w:left="1080" w:right="7" w:hanging="69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17.2</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本项目解密使用新疆政府采购电子交易平台（政采云）。供应商应在《供应商须知资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料表》规定的时间内对响应文件进行解密，因非系统原因导致的解密失败，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视为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1972B658">
      <w:pPr>
        <w:pStyle w:val="7"/>
        <w:spacing w:before="179" w:line="269" w:lineRule="auto"/>
        <w:ind w:left="1078" w:right="7" w:hanging="69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17.3</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供应商认为采购人员及相关人员与其他供应商有利害关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系的，可以向采购人或采购代理机构书面提出回避申请，并说明理由。采购人或采购代理机构将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及时询问被申请回避人员，有利害关系的被申请回避人员</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将回避。</w:t>
      </w:r>
    </w:p>
    <w:p w14:paraId="07556B0E">
      <w:pPr>
        <w:pStyle w:val="7"/>
        <w:spacing w:before="179" w:line="200" w:lineRule="auto"/>
        <w:ind w:left="3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17.4</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供应商不足3家的，不予解密。</w:t>
      </w:r>
    </w:p>
    <w:p w14:paraId="68A9516E">
      <w:pPr>
        <w:pStyle w:val="7"/>
        <w:spacing w:before="179" w:line="200" w:lineRule="auto"/>
        <w:ind w:left="3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17.5</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本项目不公开报价。</w:t>
      </w:r>
    </w:p>
    <w:p w14:paraId="6EE67B25">
      <w:pPr>
        <w:pStyle w:val="7"/>
        <w:spacing w:before="177" w:line="202"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18 磋商小组</w:t>
      </w:r>
    </w:p>
    <w:p w14:paraId="20A61D54">
      <w:pPr>
        <w:pStyle w:val="7"/>
        <w:spacing w:before="177" w:line="251" w:lineRule="auto"/>
        <w:ind w:left="1080" w:right="7" w:hanging="69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磋商小组根据政府采购有关规定和本次采购项目的特点进行组建，并负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责具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体评审与磋商事务，独立履行职责。</w:t>
      </w:r>
    </w:p>
    <w:p w14:paraId="30001673">
      <w:pPr>
        <w:pStyle w:val="7"/>
        <w:spacing w:before="180" w:line="278" w:lineRule="auto"/>
        <w:ind w:left="1079" w:hanging="69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18.2</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评审专家须符合《财政部关于在政府采购活动中查询及使用信用记录有关问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题的通知》（财库〔2016〕125号）的规定。依法自行选定评审专家的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购人和采购代理机构将查询有关信用记录，对具有行贿、受贿、欺诈等不良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信用记录的人员，拒绝其参与政府采购活动。</w:t>
      </w:r>
    </w:p>
    <w:p w14:paraId="7071610B">
      <w:pPr>
        <w:pStyle w:val="7"/>
        <w:spacing w:before="177" w:line="201" w:lineRule="auto"/>
        <w:ind w:left="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19 评审方法和评审标准</w:t>
      </w:r>
    </w:p>
    <w:p w14:paraId="610ADA40">
      <w:pPr>
        <w:pStyle w:val="7"/>
        <w:spacing w:before="176" w:line="201" w:lineRule="auto"/>
        <w:ind w:left="3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19.1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见第三章《评审方法和评审标准》。</w:t>
      </w:r>
    </w:p>
    <w:p w14:paraId="0D2E861E">
      <w:pPr>
        <w:pStyle w:val="7"/>
        <w:spacing w:line="288" w:lineRule="auto"/>
        <w:rPr>
          <w:rFonts w:ascii="仿宋" w:hAnsi="仿宋" w:eastAsia="仿宋" w:cs="仿宋"/>
          <w:color w:val="000000" w:themeColor="text1"/>
          <w:highlight w:val="none"/>
          <w:lang w:eastAsia="zh-CN"/>
          <w14:textFill>
            <w14:solidFill>
              <w14:schemeClr w14:val="tx1"/>
            </w14:solidFill>
          </w14:textFill>
        </w:rPr>
      </w:pPr>
    </w:p>
    <w:p w14:paraId="53A7BE1E">
      <w:pPr>
        <w:spacing w:before="120" w:line="201" w:lineRule="auto"/>
        <w:ind w:left="3627"/>
        <w:outlineLvl w:val="2"/>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六     确定成交</w:t>
      </w:r>
    </w:p>
    <w:p w14:paraId="0073F505">
      <w:pPr>
        <w:pStyle w:val="7"/>
        <w:spacing w:before="199" w:line="201" w:lineRule="auto"/>
        <w:ind w:left="1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 确定成交供应商</w:t>
      </w:r>
    </w:p>
    <w:p w14:paraId="4DC57F5A">
      <w:pPr>
        <w:pStyle w:val="7"/>
        <w:spacing w:before="178" w:line="304" w:lineRule="auto"/>
        <w:ind w:left="1079" w:right="2" w:hanging="70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采购人将在收到评审报告后，从评审报告提出的成交候选供应商中，按照排</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序由高到低的原则确定成交供应商</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。采购人是否授权磋商小组直接确定成交</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供应商，见《供应商须知资料表》。成交候选人并列的，按照《供应商须知资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料表》要求确定成交供应商。</w:t>
      </w:r>
    </w:p>
    <w:p w14:paraId="558D4AFA">
      <w:pPr>
        <w:pStyle w:val="7"/>
        <w:spacing w:before="1" w:line="200" w:lineRule="auto"/>
        <w:ind w:left="1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成交公告与成交通知书</w:t>
      </w:r>
    </w:p>
    <w:p w14:paraId="0FBD9851">
      <w:pPr>
        <w:pStyle w:val="7"/>
        <w:spacing w:before="175" w:line="270" w:lineRule="auto"/>
        <w:ind w:left="1078" w:right="2" w:hanging="70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采购人或采购代理机构将在成交供应商确定后2个工作日内</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，在新疆政府采购网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公告成交结果，同时向成交供应商发出成交通知书，成交公告期限为 1</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个工作日。</w:t>
      </w:r>
    </w:p>
    <w:p w14:paraId="7034438C">
      <w:pPr>
        <w:pStyle w:val="7"/>
        <w:spacing w:before="179" w:line="269" w:lineRule="auto"/>
        <w:ind w:left="1087" w:right="2" w:hanging="70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21.2</w:t>
      </w:r>
      <w:r>
        <w:rPr>
          <w:rFonts w:hint="eastAsia" w:ascii="仿宋" w:hAnsi="仿宋" w:eastAsia="仿宋" w:cs="仿宋"/>
          <w:color w:val="000000" w:themeColor="text1"/>
          <w:spacing w:val="3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成交通知书对采购人和成交供应商均具有法律效力。成交通知书发出后</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购人改变成交结果的，或者成交供应商放弃成交项目的，应当依法承担法律</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责任。</w:t>
      </w:r>
    </w:p>
    <w:p w14:paraId="006F2805">
      <w:pPr>
        <w:pStyle w:val="7"/>
        <w:spacing w:before="178" w:line="203" w:lineRule="auto"/>
        <w:ind w:left="1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终止</w:t>
      </w:r>
    </w:p>
    <w:p w14:paraId="3E4EEBA2">
      <w:pPr>
        <w:pStyle w:val="7"/>
        <w:spacing w:before="174" w:line="304" w:lineRule="auto"/>
        <w:ind w:left="1081" w:right="52" w:hanging="70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22.1  出现下列情形之一的，采购人或采购代理机构将终止竞争性磋商采购活动，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发布项目终止公告并说明原因，重新开展采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购活动：</w:t>
      </w:r>
    </w:p>
    <w:p w14:paraId="36A664F4">
      <w:pPr>
        <w:pStyle w:val="7"/>
        <w:spacing w:line="200" w:lineRule="auto"/>
        <w:ind w:left="109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22.1.1  因情况变化，不再符合规定的竞争性磋商采购方式适用情形的；</w:t>
      </w:r>
    </w:p>
    <w:p w14:paraId="45F2242B">
      <w:pPr>
        <w:pStyle w:val="7"/>
        <w:spacing w:before="178" w:line="200" w:lineRule="auto"/>
        <w:ind w:left="109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22.1.2  出现影响采购公正的违法、违规行为的；</w:t>
      </w:r>
    </w:p>
    <w:p w14:paraId="3A90F983">
      <w:pPr>
        <w:pStyle w:val="7"/>
        <w:spacing w:before="178" w:line="287"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22.1.3  除了“市场竞争不充分的科研项目，以及需要扶持的科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技成果转化项</w:t>
      </w:r>
      <w:r>
        <w:rPr>
          <w:rFonts w:hint="eastAsia" w:ascii="仿宋" w:hAnsi="仿宋" w:eastAsia="仿宋" w:cs="仿宋"/>
          <w:color w:val="000000" w:themeColor="text1"/>
          <w:sz w:val="24"/>
          <w:szCs w:val="24"/>
          <w:highlight w:val="none"/>
          <w:lang w:eastAsia="zh-CN"/>
          <w14:textFill>
            <w14:solidFill>
              <w14:schemeClr w14:val="tx1"/>
            </w14:solidFill>
          </w14:textFill>
        </w:rPr>
        <w:t>目，提交最后报价的供应商可以为2家；政府购买服务项目（含政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府和社会资本合作项目</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在采购过程中符合要求的供应商（社会资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本）只有2家的，竞争性磋商采购活动可以继续进行”的情形外，在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采购过程中符合要求的供应商或者报价未超过采购预算的供应商不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足3家的。</w:t>
      </w:r>
    </w:p>
    <w:p w14:paraId="46C87C9A">
      <w:pPr>
        <w:pStyle w:val="7"/>
        <w:spacing w:before="176" w:line="201" w:lineRule="auto"/>
        <w:ind w:left="1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23 签订合同</w:t>
      </w:r>
    </w:p>
    <w:p w14:paraId="5F7C686D">
      <w:pPr>
        <w:pStyle w:val="7"/>
        <w:spacing w:before="4" w:line="268" w:lineRule="auto"/>
        <w:ind w:left="1078" w:hanging="70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23.1</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采购人与成交供应商应当在成交通知书发</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出之日起30日内，按照磋商文件确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定的合同文本以及采购标的、规格型号</w:t>
      </w:r>
      <w:r>
        <w:rPr>
          <w:rFonts w:hint="eastAsia" w:ascii="仿宋" w:hAnsi="仿宋" w:eastAsia="仿宋" w:cs="仿宋"/>
          <w:color w:val="000000" w:themeColor="text1"/>
          <w:spacing w:val="-4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、采购金额、采购数量</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、技术和服务要求等事项签订政府采购合同。</w:t>
      </w:r>
    </w:p>
    <w:p w14:paraId="19144E91">
      <w:pPr>
        <w:pStyle w:val="7"/>
        <w:spacing w:before="4" w:line="268" w:lineRule="auto"/>
        <w:ind w:left="1078" w:hanging="70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成交供应商拒绝签订政府采购合同的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，采购人可以按照评审报告推荐的成交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候选人名单排序，确定下一候选人为成交供应商，也可以重新开展采购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拒绝签订政府采购合同的成交供应商不得参加对该项目重新开展的采购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p>
    <w:p w14:paraId="1B85BD34">
      <w:pPr>
        <w:pStyle w:val="7"/>
        <w:spacing w:before="179" w:line="251" w:lineRule="auto"/>
        <w:ind w:left="1080" w:right="133" w:hanging="7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23.3</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联合体成交的，联合体各方应当共同与采购人签订合同</w:t>
      </w:r>
      <w:r>
        <w:rPr>
          <w:rFonts w:hint="eastAsia" w:ascii="仿宋" w:hAnsi="仿宋" w:eastAsia="仿宋" w:cs="仿宋"/>
          <w:color w:val="000000" w:themeColor="text1"/>
          <w:sz w:val="24"/>
          <w:szCs w:val="24"/>
          <w:highlight w:val="none"/>
          <w:lang w:eastAsia="zh-CN"/>
          <w14:textFill>
            <w14:solidFill>
              <w14:schemeClr w14:val="tx1"/>
            </w14:solidFill>
          </w14:textFill>
        </w:rPr>
        <w:t>，就采购合同约定的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事项向采购人承担连带责任。</w:t>
      </w:r>
    </w:p>
    <w:p w14:paraId="43C7CA78">
      <w:pPr>
        <w:pStyle w:val="7"/>
        <w:spacing w:before="179" w:line="201" w:lineRule="auto"/>
        <w:ind w:left="373"/>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23.4</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政府采购合同不能转包。</w:t>
      </w:r>
    </w:p>
    <w:p w14:paraId="16806750">
      <w:pPr>
        <w:pStyle w:val="7"/>
        <w:spacing w:before="180" w:line="283" w:lineRule="auto"/>
        <w:ind w:left="1079" w:right="126" w:hanging="706"/>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23.5</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采购人允许采用分包方式履行合同的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，成交供应商可以依法采取分包方式履</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行合同。本项目是否允许分包，见《供应商须知资料表》。政府采购合同分包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履行的，应当在响应文件中载明分包承担主体</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，分包承</w:t>
      </w:r>
      <w:r>
        <w:rPr>
          <w:rFonts w:hint="eastAsia" w:ascii="仿宋" w:hAnsi="仿宋" w:eastAsia="仿宋" w:cs="仿宋"/>
          <w:color w:val="000000" w:themeColor="text1"/>
          <w:sz w:val="24"/>
          <w:szCs w:val="24"/>
          <w:highlight w:val="none"/>
          <w:lang w:eastAsia="zh-CN"/>
          <w14:textFill>
            <w14:solidFill>
              <w14:schemeClr w14:val="tx1"/>
            </w14:solidFill>
          </w14:textFill>
        </w:rPr>
        <w:t>担主体应当具备相应资质条件且不得再次分包，</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。成交供应商就采购项目和分包项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目向采购人负责，分包供应商就分包项目承担责任。</w:t>
      </w:r>
    </w:p>
    <w:p w14:paraId="1EC39B2E">
      <w:pPr>
        <w:pStyle w:val="7"/>
        <w:spacing w:before="179" w:line="201" w:lineRule="auto"/>
        <w:ind w:left="1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24 询问与质疑</w:t>
      </w:r>
    </w:p>
    <w:p w14:paraId="75838573">
      <w:pPr>
        <w:pStyle w:val="7"/>
        <w:spacing w:before="177" w:line="202" w:lineRule="auto"/>
        <w:ind w:left="373"/>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24.1</w:t>
      </w:r>
      <w:r>
        <w:rPr>
          <w:rFonts w:hint="eastAsia" w:ascii="仿宋" w:hAnsi="仿宋" w:eastAsia="仿宋" w:cs="仿宋"/>
          <w:color w:val="000000" w:themeColor="text1"/>
          <w:spacing w:val="29"/>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询问</w:t>
      </w:r>
    </w:p>
    <w:p w14:paraId="19C67B03">
      <w:pPr>
        <w:pStyle w:val="7"/>
        <w:spacing w:before="173" w:line="253" w:lineRule="auto"/>
        <w:ind w:left="1986" w:right="131" w:hanging="88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24.1.1 供应商对政府采购活动事项有疑问的，可依法向采购人或采购代理机</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构提出询问，提出形式见《供应商须知资料表》。</w:t>
      </w:r>
    </w:p>
    <w:p w14:paraId="30314B0D">
      <w:pPr>
        <w:pStyle w:val="7"/>
        <w:spacing w:before="177" w:line="251" w:lineRule="auto"/>
        <w:ind w:left="1984" w:right="131" w:hanging="88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24.1.2 采购人或采购代理机构对供</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应商依法提出的询问，在3个工作日内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作出答复，但答复的内容不得涉及商业秘密。</w:t>
      </w:r>
    </w:p>
    <w:p w14:paraId="7768D431">
      <w:pPr>
        <w:pStyle w:val="7"/>
        <w:spacing w:before="178" w:line="201" w:lineRule="auto"/>
        <w:ind w:left="373"/>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质疑</w:t>
      </w:r>
    </w:p>
    <w:p w14:paraId="3BEAA023">
      <w:pPr>
        <w:pStyle w:val="7"/>
        <w:spacing w:before="178" w:line="278" w:lineRule="auto"/>
        <w:ind w:left="1985" w:right="58" w:hanging="88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24.2.1  供应商认为竞争性磋商文件、采购过程、成交结果使自己的权益受到</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损害的，可以在知道或者应知其权益受到损害之日起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7个工作日内，</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以书面形式向采购人、采购代理机构提出质疑。采购人、采购代理机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构在收到质疑函后7个工作日内作出答复。</w:t>
      </w:r>
    </w:p>
    <w:p w14:paraId="6F2164E2">
      <w:pPr>
        <w:pStyle w:val="7"/>
        <w:spacing w:before="175" w:line="253" w:lineRule="auto"/>
        <w:ind w:left="2003" w:right="131" w:hanging="90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24.2.2  质疑函须使用财政部制定的范本文件。供应商为自然人的，质疑函应</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当由本人签字；供应商为法人或者其他组织的，质疑函应当由法定代</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表人、主要负责人，或者其授权代表签字或者盖章，并加盖公章。</w:t>
      </w:r>
    </w:p>
    <w:p w14:paraId="1E61BC05">
      <w:pPr>
        <w:pStyle w:val="7"/>
        <w:spacing w:before="180" w:line="283" w:lineRule="auto"/>
        <w:ind w:left="1984" w:hanging="88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24.2.3  供应商委托代理人进行质疑的，应当随质疑函同时提交供应商签署的</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授权委托书。授权委托书应当载明代理人的姓名或者名称、代理事项、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具体权限、期限和相关事项。供应商为自然人的，应当由本人签字；</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供应商为法人或者其他组织的，应当由法定代表人、主要负责人签字</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或者盖章，并加盖公章。</w:t>
      </w:r>
    </w:p>
    <w:p w14:paraId="17ED1AAC">
      <w:pPr>
        <w:pStyle w:val="7"/>
        <w:spacing w:before="175" w:line="270" w:lineRule="auto"/>
        <w:ind w:left="1984" w:right="30" w:hanging="88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24.2.4  供应商应在法定质疑期内一次性提出针对同一采购程序环</w:t>
      </w:r>
      <w:r>
        <w:rPr>
          <w:rFonts w:hint="eastAsia" w:ascii="仿宋" w:hAnsi="仿宋" w:eastAsia="仿宋" w:cs="仿宋"/>
          <w:color w:val="000000" w:themeColor="text1"/>
          <w:sz w:val="24"/>
          <w:szCs w:val="24"/>
          <w:highlight w:val="none"/>
          <w:lang w:eastAsia="zh-CN"/>
          <w14:textFill>
            <w14:solidFill>
              <w14:schemeClr w14:val="tx1"/>
            </w14:solidFill>
          </w14:textFill>
        </w:rPr>
        <w:t>节的质疑，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法定质疑期内针对同一采购程序环节再次提出的质疑，采购人、采购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代理机构有权不予答复。</w:t>
      </w:r>
    </w:p>
    <w:p w14:paraId="01A10D7A">
      <w:pPr>
        <w:pStyle w:val="7"/>
        <w:spacing w:before="177" w:line="200" w:lineRule="auto"/>
        <w:ind w:right="28"/>
        <w:jc w:val="right"/>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 xml:space="preserve">  24.3</w:t>
      </w:r>
      <w:r>
        <w:rPr>
          <w:rFonts w:hint="eastAsia" w:ascii="仿宋" w:hAnsi="仿宋" w:eastAsia="仿宋" w:cs="仿宋"/>
          <w:color w:val="000000" w:themeColor="text1"/>
          <w:spacing w:val="3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接收询问和质疑的联系部门、联系电话和通讯地址见《供应商须知资料表》。</w:t>
      </w:r>
    </w:p>
    <w:p w14:paraId="5152EDFF">
      <w:pPr>
        <w:pStyle w:val="7"/>
        <w:spacing w:before="179" w:line="201" w:lineRule="auto"/>
        <w:ind w:left="1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代理费</w:t>
      </w:r>
    </w:p>
    <w:p w14:paraId="1CE9EC32">
      <w:pPr>
        <w:pStyle w:val="7"/>
        <w:spacing w:before="177" w:line="200" w:lineRule="auto"/>
        <w:ind w:left="1074" w:leftChars="177" w:hanging="702" w:hangingChars="3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25.1  收费对象、收费标准及缴纳时间见《供应商须知资料表》。由成</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交供应商支付</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的，成交供应商须一次性向采购代理机构缴纳代理费，报价应包含代理费用。</w:t>
      </w:r>
    </w:p>
    <w:p w14:paraId="5206482E">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12" w:type="default"/>
          <w:footerReference r:id="rId13" w:type="default"/>
          <w:pgSz w:w="11907" w:h="16839"/>
          <w:pgMar w:top="1417" w:right="1417" w:bottom="1417" w:left="1417" w:header="1191" w:footer="1092" w:gutter="0"/>
          <w:cols w:space="720" w:num="1"/>
        </w:sectPr>
      </w:pPr>
    </w:p>
    <w:p w14:paraId="4A4DA619">
      <w:pPr>
        <w:spacing w:line="360" w:lineRule="auto"/>
        <w:jc w:val="center"/>
        <w:outlineLvl w:val="0"/>
        <w:rPr>
          <w:rFonts w:ascii="仿宋" w:hAnsi="仿宋" w:eastAsia="仿宋" w:cs="仿宋"/>
          <w:b/>
          <w:bCs/>
          <w:color w:val="000000" w:themeColor="text1"/>
          <w:spacing w:val="-4"/>
          <w:sz w:val="36"/>
          <w:szCs w:val="36"/>
          <w:highlight w:val="none"/>
          <w:lang w:eastAsia="zh-CN"/>
          <w14:textFill>
            <w14:solidFill>
              <w14:schemeClr w14:val="tx1"/>
            </w14:solidFill>
          </w14:textFill>
        </w:rPr>
      </w:pPr>
      <w:bookmarkStart w:id="36" w:name="bookmark3"/>
      <w:bookmarkEnd w:id="36"/>
      <w:bookmarkStart w:id="37" w:name="_Toc13270"/>
      <w:bookmarkStart w:id="38" w:name="_Toc27149"/>
      <w:bookmarkStart w:id="39" w:name="_Toc12004"/>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第三章</w:t>
      </w:r>
      <w:bookmarkStart w:id="40" w:name="_Toc3879"/>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评审方法和评审标准</w:t>
      </w:r>
      <w:bookmarkEnd w:id="37"/>
      <w:bookmarkEnd w:id="38"/>
      <w:bookmarkEnd w:id="39"/>
      <w:bookmarkEnd w:id="40"/>
    </w:p>
    <w:p w14:paraId="29DDC4BF">
      <w:pPr>
        <w:tabs>
          <w:tab w:val="left" w:pos="360"/>
          <w:tab w:val="left" w:pos="900"/>
        </w:tabs>
        <w:spacing w:line="360" w:lineRule="auto"/>
        <w:jc w:val="center"/>
        <w:outlineLvl w:val="1"/>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一、评审方法</w:t>
      </w:r>
    </w:p>
    <w:p w14:paraId="6B8FF22F">
      <w:pPr>
        <w:tabs>
          <w:tab w:val="left" w:pos="360"/>
          <w:tab w:val="left" w:pos="900"/>
        </w:tabs>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   响应文件的资格审查和符合性审查</w:t>
      </w:r>
    </w:p>
    <w:p w14:paraId="2F25CBF0">
      <w:pPr>
        <w:tabs>
          <w:tab w:val="left" w:pos="360"/>
          <w:tab w:val="left" w:pos="900"/>
        </w:tabs>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000000" w:themeColor="text1"/>
          <w:sz w:val="24"/>
          <w:highlight w:val="none"/>
          <w:lang w:eastAsia="zh-CN"/>
          <w14:textFill>
            <w14:solidFill>
              <w14:schemeClr w14:val="tx1"/>
            </w14:solidFill>
          </w14:textFill>
        </w:rPr>
        <w:t>无效响应</w:t>
      </w:r>
      <w:r>
        <w:rPr>
          <w:rFonts w:hint="eastAsia" w:ascii="仿宋" w:hAnsi="仿宋" w:eastAsia="仿宋" w:cs="仿宋"/>
          <w:color w:val="000000" w:themeColor="text1"/>
          <w:sz w:val="24"/>
          <w:highlight w:val="none"/>
          <w:lang w:eastAsia="zh-CN"/>
          <w14:textFill>
            <w14:solidFill>
              <w14:schemeClr w14:val="tx1"/>
            </w14:solidFill>
          </w14:textFill>
        </w:rPr>
        <w:t>处理，磋商小组应当告知提交响应文件的供应商。</w:t>
      </w:r>
    </w:p>
    <w:p w14:paraId="03051549">
      <w:pPr>
        <w:tabs>
          <w:tab w:val="left" w:pos="360"/>
          <w:tab w:val="left" w:pos="900"/>
        </w:tabs>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1.2 《资格审查要求》中对格式有要求的，除竞争性磋商文件另有规定外，均为“实质性格式”文件。</w:t>
      </w:r>
    </w:p>
    <w:p w14:paraId="46D7953B">
      <w:pPr>
        <w:tabs>
          <w:tab w:val="left" w:pos="360"/>
          <w:tab w:val="left" w:pos="900"/>
        </w:tabs>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1.3  《资格审查要求》见下表：</w:t>
      </w:r>
    </w:p>
    <w:p w14:paraId="5B974EBA">
      <w:pPr>
        <w:tabs>
          <w:tab w:val="left" w:pos="360"/>
          <w:tab w:val="left" w:pos="900"/>
        </w:tabs>
        <w:spacing w:line="360" w:lineRule="auto"/>
        <w:jc w:val="center"/>
        <w:outlineLvl w:val="1"/>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资格审查要求</w:t>
      </w:r>
    </w:p>
    <w:tbl>
      <w:tblPr>
        <w:tblStyle w:val="20"/>
        <w:tblW w:w="517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2514"/>
        <w:gridCol w:w="4857"/>
        <w:gridCol w:w="1472"/>
      </w:tblGrid>
      <w:tr w14:paraId="14BF8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0E605077">
            <w:pPr>
              <w:tabs>
                <w:tab w:val="left" w:pos="1080"/>
              </w:tabs>
              <w:jc w:val="center"/>
              <w:rPr>
                <w:rFonts w:ascii="仿宋" w:hAnsi="仿宋" w:eastAsia="仿宋" w:cs="仿宋"/>
                <w:b/>
                <w:color w:val="000000" w:themeColor="text1"/>
                <w:sz w:val="24"/>
                <w:highlight w:val="none"/>
                <w14:textFill>
                  <w14:solidFill>
                    <w14:schemeClr w14:val="tx1"/>
                  </w14:solidFill>
                </w14:textFill>
              </w:rPr>
            </w:pPr>
            <w:bookmarkStart w:id="41" w:name="_Hlt487972895"/>
            <w:bookmarkEnd w:id="41"/>
            <w:r>
              <w:rPr>
                <w:rFonts w:hint="eastAsia" w:ascii="仿宋" w:hAnsi="仿宋" w:eastAsia="仿宋" w:cs="仿宋"/>
                <w:b/>
                <w:color w:val="000000" w:themeColor="text1"/>
                <w:sz w:val="24"/>
                <w:highlight w:val="none"/>
                <w14:textFill>
                  <w14:solidFill>
                    <w14:schemeClr w14:val="tx1"/>
                  </w14:solidFill>
                </w14:textFill>
              </w:rPr>
              <w:t>序号</w:t>
            </w:r>
          </w:p>
        </w:tc>
        <w:tc>
          <w:tcPr>
            <w:tcW w:w="1306" w:type="pct"/>
            <w:vAlign w:val="center"/>
          </w:tcPr>
          <w:p w14:paraId="0F8FD579">
            <w:pPr>
              <w:tabs>
                <w:tab w:val="left" w:pos="1080"/>
              </w:tabs>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2524" w:type="pct"/>
            <w:vAlign w:val="center"/>
          </w:tcPr>
          <w:p w14:paraId="14A408BB">
            <w:pPr>
              <w:tabs>
                <w:tab w:val="left" w:pos="1080"/>
              </w:tabs>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c>
          <w:tcPr>
            <w:tcW w:w="765" w:type="pct"/>
            <w:vAlign w:val="center"/>
          </w:tcPr>
          <w:p w14:paraId="74C98055">
            <w:pPr>
              <w:tabs>
                <w:tab w:val="left" w:pos="1080"/>
              </w:tabs>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格式要求</w:t>
            </w:r>
          </w:p>
        </w:tc>
      </w:tr>
      <w:tr w14:paraId="1BA24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50A3421">
            <w:pPr>
              <w:tabs>
                <w:tab w:val="left" w:pos="1080"/>
              </w:tabs>
              <w:kinsoku/>
              <w:adjustRightInd/>
              <w:spacing w:line="240" w:lineRule="exact"/>
              <w:jc w:val="center"/>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1306" w:type="pct"/>
            <w:vAlign w:val="center"/>
          </w:tcPr>
          <w:p w14:paraId="08E8A6FA">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满足《中华人民共和国政府采购法》第二十二条规定</w:t>
            </w:r>
            <w:r>
              <w:rPr>
                <w:rFonts w:hint="eastAsia" w:ascii="仿宋" w:hAnsi="仿宋" w:eastAsia="仿宋" w:cs="仿宋"/>
                <w:color w:val="000000" w:themeColor="text1"/>
                <w:highlight w:val="none"/>
                <w:lang w:eastAsia="zh-CN"/>
                <w14:textFill>
                  <w14:solidFill>
                    <w14:schemeClr w14:val="tx1"/>
                  </w14:solidFill>
                </w14:textFill>
              </w:rPr>
              <w:tab/>
            </w:r>
          </w:p>
        </w:tc>
        <w:tc>
          <w:tcPr>
            <w:tcW w:w="2524" w:type="pct"/>
            <w:vAlign w:val="center"/>
          </w:tcPr>
          <w:p w14:paraId="545E36C1">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具体规定见第一章《采购邀请》</w:t>
            </w:r>
          </w:p>
        </w:tc>
        <w:tc>
          <w:tcPr>
            <w:tcW w:w="765" w:type="pct"/>
            <w:vAlign w:val="center"/>
          </w:tcPr>
          <w:p w14:paraId="67B0F336">
            <w:pPr>
              <w:tabs>
                <w:tab w:val="left" w:pos="1080"/>
              </w:tabs>
              <w:kinsoku/>
              <w:adjustRightInd/>
              <w:spacing w:line="240" w:lineRule="exact"/>
              <w:textAlignment w:val="auto"/>
              <w:rPr>
                <w:rFonts w:ascii="仿宋" w:hAnsi="仿宋" w:eastAsia="仿宋" w:cs="仿宋"/>
                <w:color w:val="000000" w:themeColor="text1"/>
                <w:highlight w:val="none"/>
                <w:lang w:eastAsia="zh-CN"/>
                <w14:textFill>
                  <w14:solidFill>
                    <w14:schemeClr w14:val="tx1"/>
                  </w14:solidFill>
                </w14:textFill>
              </w:rPr>
            </w:pPr>
          </w:p>
        </w:tc>
      </w:tr>
      <w:tr w14:paraId="16209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03" w:type="pct"/>
            <w:vAlign w:val="center"/>
          </w:tcPr>
          <w:p w14:paraId="5F97E126">
            <w:pPr>
              <w:tabs>
                <w:tab w:val="left" w:pos="1080"/>
              </w:tabs>
              <w:kinsoku/>
              <w:adjustRightInd/>
              <w:spacing w:line="240" w:lineRule="exact"/>
              <w:jc w:val="center"/>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w:t>
            </w:r>
          </w:p>
        </w:tc>
        <w:tc>
          <w:tcPr>
            <w:tcW w:w="1306" w:type="pct"/>
            <w:vAlign w:val="center"/>
          </w:tcPr>
          <w:p w14:paraId="262D7EE5">
            <w:pPr>
              <w:tabs>
                <w:tab w:val="left" w:pos="1080"/>
              </w:tabs>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营业执照等证明文件</w:t>
            </w:r>
          </w:p>
        </w:tc>
        <w:tc>
          <w:tcPr>
            <w:tcW w:w="2524" w:type="pct"/>
            <w:vAlign w:val="center"/>
          </w:tcPr>
          <w:p w14:paraId="35A3ECF1">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供应商为企业（包括合伙企业）的，应提供有效的“营业执照”；</w:t>
            </w:r>
          </w:p>
          <w:p w14:paraId="440EE43D">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供应商为事业单位的，应提供有效的“事业单位法人证书”；</w:t>
            </w:r>
          </w:p>
          <w:p w14:paraId="19EF2316">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供应商是非企业机构的，应提供有效的“执业许可证”、“登记证书”等证明文件；</w:t>
            </w:r>
          </w:p>
          <w:p w14:paraId="252AC25D">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供应商是个体工商户的，应提供有效的“个体工商户营业执照”；</w:t>
            </w:r>
          </w:p>
          <w:p w14:paraId="0423CBDE">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供应商是自然人的，应提供有效的自然人身份证明。</w:t>
            </w:r>
          </w:p>
          <w:p w14:paraId="346CB68D">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5" w:type="pct"/>
            <w:vAlign w:val="center"/>
          </w:tcPr>
          <w:p w14:paraId="4935CEFC">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02B1B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20526457">
            <w:pPr>
              <w:tabs>
                <w:tab w:val="left" w:pos="1080"/>
              </w:tabs>
              <w:kinsoku/>
              <w:adjustRightInd/>
              <w:spacing w:line="240" w:lineRule="exact"/>
              <w:jc w:val="center"/>
              <w:textAlignment w:val="auto"/>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2</w:t>
            </w:r>
          </w:p>
        </w:tc>
        <w:tc>
          <w:tcPr>
            <w:tcW w:w="1306" w:type="pct"/>
            <w:vAlign w:val="center"/>
          </w:tcPr>
          <w:p w14:paraId="6210EA33">
            <w:pPr>
              <w:tabs>
                <w:tab w:val="left" w:pos="1080"/>
              </w:tabs>
              <w:kinsoku/>
              <w:adjustRightInd/>
              <w:spacing w:line="240" w:lineRule="exact"/>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资格声明书</w:t>
            </w:r>
          </w:p>
        </w:tc>
        <w:tc>
          <w:tcPr>
            <w:tcW w:w="2524" w:type="pct"/>
            <w:vAlign w:val="center"/>
          </w:tcPr>
          <w:p w14:paraId="102C5126">
            <w:pPr>
              <w:tabs>
                <w:tab w:val="left" w:pos="1080"/>
              </w:tabs>
              <w:kinsoku/>
              <w:adjustRightInd/>
              <w:spacing w:line="240" w:lineRule="exact"/>
              <w:textAlignment w:val="auto"/>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提供了符合竞争性磋商文件要求的《供应商资格声明书》。</w:t>
            </w:r>
          </w:p>
        </w:tc>
        <w:tc>
          <w:tcPr>
            <w:tcW w:w="765" w:type="pct"/>
            <w:vAlign w:val="center"/>
          </w:tcPr>
          <w:p w14:paraId="0A7C3334">
            <w:pPr>
              <w:tabs>
                <w:tab w:val="left" w:pos="1080"/>
              </w:tabs>
              <w:kinsoku/>
              <w:adjustRightInd/>
              <w:spacing w:line="240" w:lineRule="exact"/>
              <w:textAlignment w:val="auto"/>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1114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754EE29C">
            <w:pPr>
              <w:tabs>
                <w:tab w:val="left" w:pos="1080"/>
              </w:tabs>
              <w:kinsoku/>
              <w:adjustRightInd/>
              <w:spacing w:line="240" w:lineRule="exact"/>
              <w:jc w:val="center"/>
              <w:textAlignment w:val="auto"/>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3</w:t>
            </w:r>
          </w:p>
        </w:tc>
        <w:tc>
          <w:tcPr>
            <w:tcW w:w="1306" w:type="pct"/>
            <w:vAlign w:val="center"/>
          </w:tcPr>
          <w:p w14:paraId="276359AE">
            <w:pPr>
              <w:tabs>
                <w:tab w:val="left" w:pos="1080"/>
              </w:tabs>
              <w:kinsoku/>
              <w:adjustRightInd/>
              <w:spacing w:line="240" w:lineRule="exact"/>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信用记录</w:t>
            </w:r>
          </w:p>
        </w:tc>
        <w:tc>
          <w:tcPr>
            <w:tcW w:w="2524" w:type="pct"/>
            <w:vAlign w:val="center"/>
          </w:tcPr>
          <w:p w14:paraId="124A5815">
            <w:pPr>
              <w:tabs>
                <w:tab w:val="left" w:pos="1080"/>
              </w:tabs>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查询渠道：信用中国网站和中国政府采购网（www.creditchina.gov.cn、www.ccgp.gov.cn）；</w:t>
            </w:r>
          </w:p>
          <w:p w14:paraId="1B78EC07">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截止时点：首次响应文件提交截止时间以后、资格审查阶段采购人或采购代理机构的实际查询时间；</w:t>
            </w:r>
          </w:p>
          <w:p w14:paraId="0EA09EBD">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信用信息查询记录和证据留存具体方式：查询结果网页打印页作为查询记录和证据，与其他竞争性磋商文件一并保存；</w:t>
            </w:r>
          </w:p>
          <w:p w14:paraId="58D381C4">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000000" w:themeColor="text1"/>
                <w:highlight w:val="none"/>
                <w:lang w:eastAsia="zh-CN"/>
                <w14:textFill>
                  <w14:solidFill>
                    <w14:schemeClr w14:val="tx1"/>
                  </w14:solidFill>
                </w14:textFill>
              </w:rPr>
              <w:t>响应无效</w:t>
            </w:r>
            <w:r>
              <w:rPr>
                <w:rFonts w:hint="eastAsia" w:ascii="仿宋" w:hAnsi="仿宋" w:eastAsia="仿宋" w:cs="仿宋"/>
                <w:color w:val="000000" w:themeColor="text1"/>
                <w:highlight w:val="none"/>
                <w:lang w:eastAsia="zh-CN"/>
                <w14:textFill>
                  <w14:solidFill>
                    <w14:schemeClr w14:val="tx1"/>
                  </w14:solidFill>
                </w14:textFill>
              </w:rPr>
              <w:t>。</w:t>
            </w:r>
          </w:p>
          <w:p w14:paraId="07F4F57A">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联合体形式磋商的，联合体成员存在不良信用记录，视同联合体存在不良信用记录。</w:t>
            </w:r>
          </w:p>
        </w:tc>
        <w:tc>
          <w:tcPr>
            <w:tcW w:w="765" w:type="pct"/>
            <w:vAlign w:val="center"/>
          </w:tcPr>
          <w:p w14:paraId="364F4BA8">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无须供应商提供，由采购人或采购代理机构查询。</w:t>
            </w:r>
          </w:p>
        </w:tc>
      </w:tr>
      <w:tr w14:paraId="653B6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57446E3C">
            <w:pPr>
              <w:tabs>
                <w:tab w:val="left" w:pos="1080"/>
              </w:tabs>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1-4</w:t>
            </w:r>
          </w:p>
        </w:tc>
        <w:tc>
          <w:tcPr>
            <w:tcW w:w="1306" w:type="pct"/>
            <w:vAlign w:val="center"/>
          </w:tcPr>
          <w:p w14:paraId="48A80E81">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2524" w:type="pct"/>
            <w:vAlign w:val="center"/>
          </w:tcPr>
          <w:p w14:paraId="3EB7EDBE">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765" w:type="pct"/>
            <w:vAlign w:val="center"/>
          </w:tcPr>
          <w:p w14:paraId="5DB3D96C">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p>
        </w:tc>
      </w:tr>
      <w:tr w14:paraId="6F7C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4828CF44">
            <w:pPr>
              <w:tabs>
                <w:tab w:val="left" w:pos="1080"/>
              </w:tabs>
              <w:kinsoku/>
              <w:adjustRightInd/>
              <w:spacing w:line="240" w:lineRule="exact"/>
              <w:jc w:val="center"/>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1306" w:type="pct"/>
            <w:vAlign w:val="center"/>
          </w:tcPr>
          <w:p w14:paraId="7423BE4F">
            <w:pPr>
              <w:tabs>
                <w:tab w:val="left" w:pos="1080"/>
              </w:tabs>
              <w:kinsoku/>
              <w:adjustRightInd/>
              <w:spacing w:line="240" w:lineRule="exact"/>
              <w:textAlignment w:val="auto"/>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落实政府采购政策需满足的资格要求</w:t>
            </w:r>
          </w:p>
        </w:tc>
        <w:tc>
          <w:tcPr>
            <w:tcW w:w="2524" w:type="pct"/>
            <w:vAlign w:val="center"/>
          </w:tcPr>
          <w:p w14:paraId="194D628D">
            <w:pPr>
              <w:tabs>
                <w:tab w:val="left" w:pos="1080"/>
              </w:tabs>
              <w:kinsoku/>
              <w:autoSpaceDE/>
              <w:autoSpaceDN/>
              <w:adjustRightInd/>
              <w:spacing w:line="240" w:lineRule="exact"/>
              <w:textAlignment w:val="auto"/>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具体要求见第一章《采购邀请》</w:t>
            </w:r>
          </w:p>
        </w:tc>
        <w:tc>
          <w:tcPr>
            <w:tcW w:w="765" w:type="pct"/>
            <w:vAlign w:val="center"/>
          </w:tcPr>
          <w:p w14:paraId="331A80BA">
            <w:pPr>
              <w:tabs>
                <w:tab w:val="left" w:pos="1080"/>
              </w:tabs>
              <w:kinsoku/>
              <w:adjustRightInd/>
              <w:spacing w:line="240" w:lineRule="exact"/>
              <w:textAlignment w:val="auto"/>
              <w:rPr>
                <w:rFonts w:ascii="仿宋" w:hAnsi="仿宋" w:eastAsia="仿宋" w:cs="仿宋"/>
                <w:color w:val="000000" w:themeColor="text1"/>
                <w:highlight w:val="none"/>
                <w:lang w:eastAsia="zh-CN"/>
                <w14:textFill>
                  <w14:solidFill>
                    <w14:schemeClr w14:val="tx1"/>
                  </w14:solidFill>
                </w14:textFill>
              </w:rPr>
            </w:pPr>
          </w:p>
        </w:tc>
      </w:tr>
      <w:tr w14:paraId="6ACE8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6850354B">
            <w:pPr>
              <w:tabs>
                <w:tab w:val="left" w:pos="1080"/>
              </w:tabs>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2-1</w:t>
            </w:r>
          </w:p>
        </w:tc>
        <w:tc>
          <w:tcPr>
            <w:tcW w:w="1306" w:type="pct"/>
            <w:vAlign w:val="center"/>
          </w:tcPr>
          <w:p w14:paraId="3C68868C">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中小企业政策证明文件</w:t>
            </w:r>
          </w:p>
        </w:tc>
        <w:tc>
          <w:tcPr>
            <w:tcW w:w="2524" w:type="pct"/>
            <w:vAlign w:val="center"/>
          </w:tcPr>
          <w:p w14:paraId="70F856C7">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具体要求见第一章《采购邀请》</w:t>
            </w:r>
          </w:p>
        </w:tc>
        <w:tc>
          <w:tcPr>
            <w:tcW w:w="765" w:type="pct"/>
            <w:vAlign w:val="center"/>
          </w:tcPr>
          <w:p w14:paraId="79FEC8AF">
            <w:pPr>
              <w:tabs>
                <w:tab w:val="left" w:pos="1080"/>
              </w:tabs>
              <w:rPr>
                <w:rFonts w:ascii="仿宋" w:hAnsi="仿宋" w:eastAsia="仿宋" w:cs="仿宋"/>
                <w:color w:val="000000" w:themeColor="text1"/>
                <w:highlight w:val="none"/>
                <w:lang w:eastAsia="zh-CN"/>
                <w14:textFill>
                  <w14:solidFill>
                    <w14:schemeClr w14:val="tx1"/>
                  </w14:solidFill>
                </w14:textFill>
              </w:rPr>
            </w:pPr>
          </w:p>
        </w:tc>
      </w:tr>
      <w:tr w14:paraId="51A16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225FD32">
            <w:pPr>
              <w:tabs>
                <w:tab w:val="left" w:pos="1080"/>
              </w:tabs>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w:t>
            </w:r>
            <w:r>
              <w:rPr>
                <w:rFonts w:hint="eastAsia" w:ascii="仿宋" w:hAnsi="仿宋" w:eastAsia="仿宋" w:cs="仿宋"/>
                <w:color w:val="000000" w:themeColor="text1"/>
                <w:highlight w:val="none"/>
                <w:lang w:eastAsia="zh-CN"/>
                <w14:textFill>
                  <w14:solidFill>
                    <w14:schemeClr w14:val="tx1"/>
                  </w14:solidFill>
                </w14:textFill>
              </w:rPr>
              <w:t>-1</w:t>
            </w:r>
          </w:p>
        </w:tc>
        <w:tc>
          <w:tcPr>
            <w:tcW w:w="1306" w:type="pct"/>
            <w:vAlign w:val="center"/>
          </w:tcPr>
          <w:p w14:paraId="71758C0C">
            <w:pPr>
              <w:tabs>
                <w:tab w:val="left" w:pos="1080"/>
              </w:tabs>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中小企业</w:t>
            </w:r>
            <w:r>
              <w:rPr>
                <w:rFonts w:hint="eastAsia" w:ascii="仿宋" w:hAnsi="仿宋" w:eastAsia="仿宋" w:cs="仿宋"/>
                <w:color w:val="000000" w:themeColor="text1"/>
                <w:highlight w:val="none"/>
                <w:lang w:eastAsia="zh-CN"/>
                <w14:textFill>
                  <w14:solidFill>
                    <w14:schemeClr w14:val="tx1"/>
                  </w14:solidFill>
                </w14:textFill>
              </w:rPr>
              <w:t>证明文件</w:t>
            </w:r>
          </w:p>
        </w:tc>
        <w:tc>
          <w:tcPr>
            <w:tcW w:w="2524" w:type="pct"/>
            <w:vAlign w:val="center"/>
          </w:tcPr>
          <w:p w14:paraId="2E80D64C">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w:t>
            </w:r>
            <w:r>
              <w:rPr>
                <w:rFonts w:hint="eastAsia" w:ascii="仿宋" w:hAnsi="仿宋" w:eastAsia="仿宋" w:cs="仿宋"/>
                <w:color w:val="000000" w:themeColor="text1"/>
                <w:highlight w:val="none"/>
                <w:lang w:eastAsia="zh-CN"/>
                <w14:textFill>
                  <w14:solidFill>
                    <w14:schemeClr w14:val="tx1"/>
                  </w14:solidFill>
                </w14:textFill>
              </w:rPr>
              <w:t>包）涉及预留份额专门面向中小企业采购，提供如下资料：</w:t>
            </w:r>
          </w:p>
          <w:p w14:paraId="1BBFFA07">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1、供应商单独响应的，应提供《中小企业声明函》或《残疾人福利性单位声明函》或由省级以上监狱管理局、戒毒管理局（含新疆生产建</w:t>
            </w:r>
            <w:r>
              <w:rPr>
                <w:rFonts w:hint="eastAsia" w:ascii="仿宋" w:hAnsi="仿宋" w:eastAsia="仿宋" w:cs="仿宋"/>
                <w:color w:val="000000" w:themeColor="text1"/>
                <w:highlight w:val="none"/>
                <w:lang w:eastAsia="zh-CN"/>
                <w14:textFill>
                  <w14:solidFill>
                    <w14:schemeClr w14:val="tx1"/>
                  </w14:solidFill>
                </w14:textFill>
              </w:rPr>
              <w:t>设兵团）出具的属于监狱企业的证明文件。</w:t>
            </w:r>
          </w:p>
          <w:p w14:paraId="0BF30332">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5" w:type="pct"/>
            <w:vAlign w:val="center"/>
          </w:tcPr>
          <w:p w14:paraId="6E92D49E">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0633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1E1D5BBE">
            <w:pPr>
              <w:tabs>
                <w:tab w:val="left" w:pos="1080"/>
              </w:tabs>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eastAsia="zh-CN"/>
                <w14:textFill>
                  <w14:solidFill>
                    <w14:schemeClr w14:val="tx1"/>
                  </w14:solidFill>
                </w14:textFill>
              </w:rPr>
              <w:t>2</w:t>
            </w:r>
          </w:p>
        </w:tc>
        <w:tc>
          <w:tcPr>
            <w:tcW w:w="1306" w:type="pct"/>
            <w:vAlign w:val="center"/>
          </w:tcPr>
          <w:p w14:paraId="041168B7">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其它落实政府采购政策的资格要求</w:t>
            </w:r>
          </w:p>
        </w:tc>
        <w:tc>
          <w:tcPr>
            <w:tcW w:w="2524" w:type="pct"/>
            <w:vAlign w:val="center"/>
          </w:tcPr>
          <w:p w14:paraId="101E74F1">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tc>
        <w:tc>
          <w:tcPr>
            <w:tcW w:w="765" w:type="pct"/>
            <w:vAlign w:val="center"/>
          </w:tcPr>
          <w:p w14:paraId="62614C40">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62444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75FE86CF">
            <w:pPr>
              <w:tabs>
                <w:tab w:val="left" w:pos="1080"/>
              </w:tabs>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1306" w:type="pct"/>
            <w:vAlign w:val="center"/>
          </w:tcPr>
          <w:p w14:paraId="1521AD9A">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本项目的特定资格要求</w:t>
            </w:r>
          </w:p>
        </w:tc>
        <w:tc>
          <w:tcPr>
            <w:tcW w:w="2524" w:type="pct"/>
            <w:vAlign w:val="center"/>
          </w:tcPr>
          <w:p w14:paraId="4C2B0D23">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供应商具有国家秘密载体印制资质证书(涉密档案数字化加工资质)乙级及以上（证书在有效期内，外省企业需提供保密局备案材料）</w:t>
            </w:r>
          </w:p>
        </w:tc>
        <w:tc>
          <w:tcPr>
            <w:tcW w:w="765" w:type="pct"/>
            <w:shd w:val="clear" w:color="auto" w:fill="auto"/>
            <w:vAlign w:val="center"/>
          </w:tcPr>
          <w:p w14:paraId="074ECBF3">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307A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2B49AF85">
            <w:pPr>
              <w:tabs>
                <w:tab w:val="left" w:pos="1080"/>
              </w:tabs>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1306" w:type="pct"/>
            <w:vAlign w:val="center"/>
          </w:tcPr>
          <w:p w14:paraId="267F5948">
            <w:pPr>
              <w:tabs>
                <w:tab w:val="left" w:pos="1080"/>
              </w:tabs>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w:t>
            </w:r>
          </w:p>
        </w:tc>
        <w:tc>
          <w:tcPr>
            <w:tcW w:w="2524" w:type="pct"/>
            <w:vAlign w:val="center"/>
          </w:tcPr>
          <w:p w14:paraId="4FFDF24F">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按照竞争性磋商文件的要求提交磋商保证金。</w:t>
            </w:r>
          </w:p>
        </w:tc>
        <w:tc>
          <w:tcPr>
            <w:tcW w:w="765" w:type="pct"/>
            <w:vAlign w:val="center"/>
          </w:tcPr>
          <w:p w14:paraId="0CA8B274">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磋商保证金凭证/交款单据电子件</w:t>
            </w:r>
          </w:p>
        </w:tc>
      </w:tr>
      <w:tr w14:paraId="4554B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1634D589">
            <w:pPr>
              <w:tabs>
                <w:tab w:val="left" w:pos="1080"/>
              </w:tabs>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5</w:t>
            </w:r>
          </w:p>
        </w:tc>
        <w:tc>
          <w:tcPr>
            <w:tcW w:w="1306" w:type="pct"/>
            <w:vAlign w:val="center"/>
          </w:tcPr>
          <w:p w14:paraId="736AD594">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获取竞争性磋商文件 </w:t>
            </w:r>
          </w:p>
        </w:tc>
        <w:tc>
          <w:tcPr>
            <w:tcW w:w="2524" w:type="pct"/>
            <w:vAlign w:val="center"/>
          </w:tcPr>
          <w:p w14:paraId="6EA2E3C0">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在规定期限内通过新疆政府采购电子交易平台获取所参与包的竞争性磋商文件。</w:t>
            </w:r>
          </w:p>
        </w:tc>
        <w:tc>
          <w:tcPr>
            <w:tcW w:w="765" w:type="pct"/>
            <w:vAlign w:val="center"/>
          </w:tcPr>
          <w:p w14:paraId="0E42D8DC">
            <w:pPr>
              <w:tabs>
                <w:tab w:val="left" w:pos="1080"/>
              </w:tabs>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提供政采云平台的获取采购文件回执函</w:t>
            </w:r>
          </w:p>
        </w:tc>
      </w:tr>
    </w:tbl>
    <w:p w14:paraId="41A3C9C3">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p>
    <w:p w14:paraId="6514F8FF">
      <w:pPr>
        <w:tabs>
          <w:tab w:val="left" w:pos="360"/>
          <w:tab w:val="left" w:pos="900"/>
        </w:tabs>
        <w:spacing w:line="360" w:lineRule="auto"/>
        <w:outlineLvl w:val="1"/>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1.4    《符合性审查要求》见下表：</w:t>
      </w:r>
    </w:p>
    <w:p w14:paraId="5EE4B159">
      <w:pPr>
        <w:tabs>
          <w:tab w:val="left" w:pos="360"/>
          <w:tab w:val="left" w:pos="900"/>
        </w:tabs>
        <w:spacing w:line="360" w:lineRule="auto"/>
        <w:jc w:val="center"/>
        <w:outlineLvl w:val="1"/>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符合性审查要求</w:t>
      </w:r>
    </w:p>
    <w:tbl>
      <w:tblPr>
        <w:tblStyle w:val="20"/>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593"/>
        <w:gridCol w:w="6903"/>
      </w:tblGrid>
      <w:tr w14:paraId="0057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6052C9FC">
            <w:pPr>
              <w:jc w:val="center"/>
              <w:rPr>
                <w:rFonts w:ascii="仿宋" w:hAnsi="仿宋" w:eastAsia="仿宋" w:cs="仿宋"/>
                <w:b/>
                <w:color w:val="000000" w:themeColor="text1"/>
                <w:sz w:val="24"/>
                <w:highlight w:val="none"/>
                <w14:textFill>
                  <w14:solidFill>
                    <w14:schemeClr w14:val="tx1"/>
                  </w14:solidFill>
                </w14:textFill>
              </w:rPr>
            </w:pPr>
            <w:bookmarkStart w:id="42" w:name="_Toc353825551"/>
            <w:bookmarkStart w:id="43" w:name="_Toc353873941"/>
            <w:r>
              <w:rPr>
                <w:rFonts w:hint="eastAsia" w:ascii="仿宋" w:hAnsi="仿宋" w:eastAsia="仿宋" w:cs="仿宋"/>
                <w:b/>
                <w:color w:val="000000" w:themeColor="text1"/>
                <w:sz w:val="24"/>
                <w:highlight w:val="none"/>
                <w14:textFill>
                  <w14:solidFill>
                    <w14:schemeClr w14:val="tx1"/>
                  </w14:solidFill>
                </w14:textFill>
              </w:rPr>
              <w:t>序号</w:t>
            </w:r>
          </w:p>
        </w:tc>
        <w:tc>
          <w:tcPr>
            <w:tcW w:w="862" w:type="pct"/>
            <w:vAlign w:val="center"/>
          </w:tcPr>
          <w:p w14:paraId="4CC21E96">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3735" w:type="pct"/>
            <w:vAlign w:val="center"/>
          </w:tcPr>
          <w:p w14:paraId="61EC2BB7">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r>
      <w:tr w14:paraId="4A44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317F09BE">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862" w:type="pct"/>
            <w:vAlign w:val="center"/>
          </w:tcPr>
          <w:p w14:paraId="71C59458">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授权委托书</w:t>
            </w:r>
          </w:p>
        </w:tc>
        <w:tc>
          <w:tcPr>
            <w:tcW w:w="3735" w:type="pct"/>
            <w:vAlign w:val="center"/>
          </w:tcPr>
          <w:p w14:paraId="31D9F8EA">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按磋商文件要求提供授权委托书；</w:t>
            </w:r>
          </w:p>
        </w:tc>
      </w:tr>
      <w:tr w14:paraId="7E21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7166C9BB">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862" w:type="pct"/>
            <w:vAlign w:val="center"/>
          </w:tcPr>
          <w:p w14:paraId="6608F147">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投标完整性</w:t>
            </w:r>
          </w:p>
        </w:tc>
        <w:tc>
          <w:tcPr>
            <w:tcW w:w="3735" w:type="pct"/>
            <w:vAlign w:val="center"/>
          </w:tcPr>
          <w:p w14:paraId="572B63DD">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未将一个标段中的内容拆开投标；</w:t>
            </w:r>
          </w:p>
        </w:tc>
      </w:tr>
      <w:tr w14:paraId="0B80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3FCED1DB">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862" w:type="pct"/>
            <w:vAlign w:val="center"/>
          </w:tcPr>
          <w:p w14:paraId="6D545849">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3735" w:type="pct"/>
            <w:vAlign w:val="center"/>
          </w:tcPr>
          <w:p w14:paraId="72133548">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投标报价未超过磋商文件中规定的项目/标段预算金额或者项目/标段最高限价；</w:t>
            </w:r>
          </w:p>
        </w:tc>
      </w:tr>
      <w:tr w14:paraId="4CC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5D3D0151">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862" w:type="pct"/>
            <w:vAlign w:val="center"/>
          </w:tcPr>
          <w:p w14:paraId="3DADD057">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报价唯一性</w:t>
            </w:r>
          </w:p>
        </w:tc>
        <w:tc>
          <w:tcPr>
            <w:tcW w:w="3735" w:type="pct"/>
            <w:vAlign w:val="center"/>
          </w:tcPr>
          <w:p w14:paraId="1CA8A1C1">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响应文件未出现可选择性或可调整的报价（磋商文件另有规定的除外）；</w:t>
            </w:r>
          </w:p>
        </w:tc>
      </w:tr>
      <w:tr w14:paraId="193A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1FB3975B">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862" w:type="pct"/>
            <w:vAlign w:val="center"/>
          </w:tcPr>
          <w:p w14:paraId="5B38A650">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投标有效期</w:t>
            </w:r>
          </w:p>
        </w:tc>
        <w:tc>
          <w:tcPr>
            <w:tcW w:w="3735" w:type="pct"/>
            <w:vAlign w:val="center"/>
          </w:tcPr>
          <w:p w14:paraId="329E016C">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响应文件中承诺的投标有效期满足磋商文件中载明的投标有效期的；</w:t>
            </w:r>
          </w:p>
        </w:tc>
      </w:tr>
      <w:tr w14:paraId="5CD0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7FBFDCD3">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862" w:type="pct"/>
            <w:vAlign w:val="center"/>
          </w:tcPr>
          <w:p w14:paraId="150AA550">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签署、盖章</w:t>
            </w:r>
          </w:p>
        </w:tc>
        <w:tc>
          <w:tcPr>
            <w:tcW w:w="3735" w:type="pct"/>
            <w:vAlign w:val="center"/>
          </w:tcPr>
          <w:p w14:paraId="0143D35A">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按照磋商文件要求签署、盖章的；</w:t>
            </w:r>
          </w:p>
        </w:tc>
      </w:tr>
      <w:tr w14:paraId="7C64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1D37E259">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862" w:type="pct"/>
            <w:vAlign w:val="center"/>
          </w:tcPr>
          <w:p w14:paraId="63ADC4C1">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实质性格式</w:t>
            </w:r>
          </w:p>
        </w:tc>
        <w:tc>
          <w:tcPr>
            <w:tcW w:w="3735" w:type="pct"/>
            <w:vAlign w:val="center"/>
          </w:tcPr>
          <w:p w14:paraId="65EA3204">
            <w:pP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标记为“实质性格式”的文件均按磋商文件要求提供；</w:t>
            </w:r>
          </w:p>
        </w:tc>
      </w:tr>
      <w:tr w14:paraId="1D17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402" w:type="pct"/>
            <w:vAlign w:val="center"/>
          </w:tcPr>
          <w:p w14:paraId="611F700C">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p>
        </w:tc>
        <w:tc>
          <w:tcPr>
            <w:tcW w:w="862" w:type="pct"/>
            <w:vAlign w:val="center"/>
          </w:tcPr>
          <w:p w14:paraId="4085B4A2">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报价的修正（如有）</w:t>
            </w:r>
          </w:p>
        </w:tc>
        <w:tc>
          <w:tcPr>
            <w:tcW w:w="3735" w:type="pct"/>
            <w:vAlign w:val="center"/>
          </w:tcPr>
          <w:p w14:paraId="6F819D35">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不涉及报价修正，或响应文件报价出现前后不一致时，供应商对修正后的报价予以确认；（如有）</w:t>
            </w:r>
          </w:p>
        </w:tc>
      </w:tr>
      <w:tr w14:paraId="15D9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02" w:type="pct"/>
            <w:vAlign w:val="center"/>
          </w:tcPr>
          <w:p w14:paraId="465871B8">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862" w:type="pct"/>
            <w:vAlign w:val="center"/>
          </w:tcPr>
          <w:p w14:paraId="78BD76F9">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报价合理性</w:t>
            </w:r>
          </w:p>
        </w:tc>
        <w:tc>
          <w:tcPr>
            <w:tcW w:w="3735" w:type="pct"/>
            <w:vAlign w:val="center"/>
          </w:tcPr>
          <w:p w14:paraId="468F32A0">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报价合理，或供应商的报价明显低于其他通过符合性审查供应商的报价，有可能影响产品质量或者不能诚信履约的，能够应评标委员会要求在规定时间内证明其报价合理性的；</w:t>
            </w:r>
          </w:p>
        </w:tc>
      </w:tr>
      <w:tr w14:paraId="2201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02" w:type="pct"/>
            <w:vAlign w:val="center"/>
          </w:tcPr>
          <w:p w14:paraId="615693C2">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862" w:type="pct"/>
            <w:vAlign w:val="center"/>
          </w:tcPr>
          <w:p w14:paraId="25FF0BF2">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公平竞争</w:t>
            </w:r>
          </w:p>
        </w:tc>
        <w:tc>
          <w:tcPr>
            <w:tcW w:w="3735" w:type="pct"/>
            <w:vAlign w:val="center"/>
          </w:tcPr>
          <w:p w14:paraId="605F4F36">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供应商遵循公平竞争的原则，不存在恶意串通，妨碍其他供应商的竞争行为，不存在损害采购人或者其他供应商的合法权益情形的；</w:t>
            </w:r>
          </w:p>
        </w:tc>
      </w:tr>
      <w:tr w14:paraId="0A43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65CE14C7">
            <w:pPr>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w:t>
            </w:r>
          </w:p>
        </w:tc>
        <w:tc>
          <w:tcPr>
            <w:tcW w:w="862" w:type="pct"/>
            <w:vAlign w:val="center"/>
          </w:tcPr>
          <w:p w14:paraId="47579406">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串通投标</w:t>
            </w:r>
          </w:p>
        </w:tc>
        <w:tc>
          <w:tcPr>
            <w:tcW w:w="3735" w:type="pct"/>
            <w:vAlign w:val="center"/>
          </w:tcPr>
          <w:p w14:paraId="77F53013">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6EFE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38F10A46">
            <w:pPr>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2</w:t>
            </w:r>
          </w:p>
        </w:tc>
        <w:tc>
          <w:tcPr>
            <w:tcW w:w="862" w:type="pct"/>
            <w:vAlign w:val="center"/>
          </w:tcPr>
          <w:p w14:paraId="75EA4B1D">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附加条件</w:t>
            </w:r>
          </w:p>
        </w:tc>
        <w:tc>
          <w:tcPr>
            <w:tcW w:w="3735" w:type="pct"/>
            <w:vAlign w:val="center"/>
          </w:tcPr>
          <w:p w14:paraId="651229ED">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响应文件未含有采购人不能接受的附加条件的；</w:t>
            </w:r>
          </w:p>
        </w:tc>
      </w:tr>
      <w:tr w14:paraId="6E3C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7323B860">
            <w:pPr>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3</w:t>
            </w:r>
          </w:p>
        </w:tc>
        <w:tc>
          <w:tcPr>
            <w:tcW w:w="862" w:type="pct"/>
            <w:vAlign w:val="center"/>
          </w:tcPr>
          <w:p w14:paraId="0478AEDA">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其他无效情形</w:t>
            </w:r>
          </w:p>
        </w:tc>
        <w:tc>
          <w:tcPr>
            <w:tcW w:w="3735" w:type="pct"/>
            <w:vAlign w:val="center"/>
          </w:tcPr>
          <w:p w14:paraId="517CF730">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供应商、响应文件不存在不符合法律、法规和磋商文件规定的其他无效情形。</w:t>
            </w:r>
          </w:p>
        </w:tc>
      </w:tr>
    </w:tbl>
    <w:p w14:paraId="2F37F6A3">
      <w:pPr>
        <w:pStyle w:val="7"/>
        <w:spacing w:before="103" w:line="200" w:lineRule="auto"/>
        <w:ind w:left="13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磋商、响应文件有关事项的澄清、说明或者更正和最后报价</w:t>
      </w:r>
    </w:p>
    <w:p w14:paraId="79EBAB0A">
      <w:pPr>
        <w:pStyle w:val="7"/>
        <w:spacing w:before="177" w:line="251" w:lineRule="auto"/>
        <w:ind w:left="1212" w:right="114" w:hanging="72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   磋商小组所有成员将集中与单一供应商分</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别进行磋商，并给予所有参加磋商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的供应商平等的磋商机会。</w:t>
      </w:r>
    </w:p>
    <w:p w14:paraId="7ECAFDD8">
      <w:pPr>
        <w:pStyle w:val="7"/>
        <w:spacing w:before="180" w:line="269" w:lineRule="auto"/>
        <w:ind w:left="1196" w:right="24" w:hanging="71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   在磋商过程中，磋商小组可以根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据磋商文件和磋商情况实质性变动采购需求</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中的技术、服务要求以及合同草案条款，但不得变动磋商文件中的其他内容。</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实质性变动的内容，须经采购人代表确认。</w:t>
      </w:r>
    </w:p>
    <w:p w14:paraId="3D5BB387">
      <w:pPr>
        <w:pStyle w:val="7"/>
        <w:spacing w:before="179" w:line="251" w:lineRule="auto"/>
        <w:ind w:left="1205" w:right="114" w:hanging="71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对磋商文件作出的实质性变动是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磋商文件的有效组成部分，磋商小组应当及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时以书面形式同时通知所有参加磋商的供应商。</w:t>
      </w:r>
    </w:p>
    <w:p w14:paraId="3F2989CC">
      <w:pPr>
        <w:pStyle w:val="7"/>
        <w:spacing w:before="177" w:line="278" w:lineRule="auto"/>
        <w:ind w:left="1191" w:right="114" w:hanging="70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2.4   供应商应当按照磋商文件的变动情况和磋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商小组的要求重新提交响应文件，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并由其法定代表人（若供应商为事业单位或其他组织或分支机构</w:t>
      </w:r>
      <w:r>
        <w:rPr>
          <w:rFonts w:hint="eastAsia" w:ascii="仿宋" w:hAnsi="仿宋" w:eastAsia="仿宋" w:cs="仿宋"/>
          <w:color w:val="000000" w:themeColor="text1"/>
          <w:sz w:val="24"/>
          <w:szCs w:val="24"/>
          <w:highlight w:val="none"/>
          <w:lang w:eastAsia="zh-CN"/>
          <w14:textFill>
            <w14:solidFill>
              <w14:schemeClr w14:val="tx1"/>
            </w14:solidFill>
          </w14:textFill>
        </w:rPr>
        <w:t>，可为单位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负责人）或授权代表签字或者加盖公章。由授权代表签字的，应当附授权委</w:t>
      </w:r>
      <w:r>
        <w:rPr>
          <w:rFonts w:hint="eastAsia" w:ascii="仿宋" w:hAnsi="仿宋" w:eastAsia="仿宋" w:cs="仿宋"/>
          <w:color w:val="000000" w:themeColor="text1"/>
          <w:sz w:val="24"/>
          <w:szCs w:val="24"/>
          <w:highlight w:val="none"/>
          <w:lang w:eastAsia="zh-CN"/>
          <w14:textFill>
            <w14:solidFill>
              <w14:schemeClr w14:val="tx1"/>
            </w14:solidFill>
          </w14:textFill>
        </w:rPr>
        <w:t>托书。供应商为自然人的，应当由本人签字并附身</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份证明。</w:t>
      </w:r>
    </w:p>
    <w:p w14:paraId="571FD512">
      <w:pPr>
        <w:pStyle w:val="7"/>
        <w:spacing w:before="179" w:line="201" w:lineRule="auto"/>
        <w:ind w:left="48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   响应文件的澄清、说明或者更正：</w:t>
      </w:r>
    </w:p>
    <w:p w14:paraId="5E711004">
      <w:pPr>
        <w:pStyle w:val="7"/>
        <w:spacing w:before="175" w:line="270" w:lineRule="auto"/>
        <w:ind w:right="112" w:firstLine="952" w:firstLineChars="4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2.5.1  磋商小组在对响应文件的有效性、完整性和响应程度进行审查时，可</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以要求供应商对响应文件中含义不明确、同类问题表述不一致或者有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明显文字和计算错误的内容等作出必要的澄清、说明或者更正。</w:t>
      </w:r>
    </w:p>
    <w:p w14:paraId="098E58C4">
      <w:pPr>
        <w:pStyle w:val="7"/>
        <w:spacing w:before="181" w:line="289" w:lineRule="auto"/>
        <w:ind w:right="69" w:firstLine="952" w:firstLineChars="4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2.5.2   磋商小组对响应文件进行审查，如发现供应商提交的响应文件存在不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满足《符合性审查要求》的内容，如属于表中</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“不允许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”澄清、说明或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者更正的内容，则供应商响应文件按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；如属于表中的“允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000000" w:themeColor="text1"/>
          <w:sz w:val="24"/>
          <w:szCs w:val="24"/>
          <w:highlight w:val="none"/>
          <w:lang w:eastAsia="zh-CN"/>
          <w14:textFill>
            <w14:solidFill>
              <w14:schemeClr w14:val="tx1"/>
            </w14:solidFill>
          </w14:textFill>
        </w:rPr>
        <w:t>能满足采购文件要求的，则供应商的响应文件按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5A6614E2">
      <w:pPr>
        <w:pStyle w:val="7"/>
        <w:spacing w:before="176" w:line="253" w:lineRule="auto"/>
        <w:ind w:right="112" w:firstLine="952" w:firstLineChars="400"/>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2.5.3  供应商的澄清、说明或者更正不得超出响应文件的范围或者改变响应</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文件的实质性内容。磋商小组要求供应商澄清、说明或者更正响应文件应当以书面形式作出。供应商的澄清、说明或者更正应当由法定代</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表人（若供应商为事业单位或其他组织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或分支机构</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，可为单位负责人）</w:t>
      </w:r>
      <w:r>
        <w:rPr>
          <w:rFonts w:hint="eastAsia" w:ascii="仿宋" w:hAnsi="仿宋" w:eastAsia="仿宋" w:cs="仿宋"/>
          <w:color w:val="000000" w:themeColor="text1"/>
          <w:spacing w:val="17"/>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或其授权代表签字或者加盖公章。由授权代表签字的，应当附授权委托书。供应商为自然人的，应当由本人签字并附身份证明。澄清、说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明或者更正文件将作为响应文件内容的一部分。</w:t>
      </w:r>
    </w:p>
    <w:p w14:paraId="5D870DD6">
      <w:pPr>
        <w:pStyle w:val="7"/>
        <w:spacing w:line="270" w:lineRule="auto"/>
        <w:ind w:left="210" w:leftChars="100" w:right="127" w:firstLine="244" w:firstLineChars="100"/>
        <w:rPr>
          <w:rFonts w:ascii="仿宋" w:hAnsi="仿宋" w:eastAsia="仿宋" w:cs="仿宋"/>
          <w:color w:val="000000" w:themeColor="text1"/>
          <w:spacing w:val="-2"/>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2.6   磋商结束后</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，磋商小组将要求所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有实质性响应的供应商在规定时间内提交最后报价。最后报价时间为磋商小组指定的时间，具体时间根据磋商进度另行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通知。</w:t>
      </w:r>
    </w:p>
    <w:p w14:paraId="324A840D">
      <w:pPr>
        <w:pStyle w:val="7"/>
        <w:spacing w:before="175" w:line="292" w:lineRule="auto"/>
        <w:ind w:left="210" w:leftChars="100" w:right="125" w:firstLine="240" w:firstLineChars="1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2.7   磋商文件能够详细列明采购标的的技术、服务要求的</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，磋商结束后，磋商小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组应当要求所有实质性响应的供应商在规定时间内提交最</w:t>
      </w:r>
      <w:r>
        <w:rPr>
          <w:rFonts w:hint="eastAsia" w:ascii="仿宋" w:hAnsi="仿宋" w:eastAsia="仿宋" w:cs="仿宋"/>
          <w:color w:val="000000" w:themeColor="text1"/>
          <w:sz w:val="24"/>
          <w:szCs w:val="24"/>
          <w:highlight w:val="none"/>
          <w:lang w:eastAsia="zh-CN"/>
          <w14:textFill>
            <w14:solidFill>
              <w14:schemeClr w14:val="tx1"/>
            </w14:solidFill>
          </w14:textFill>
        </w:rPr>
        <w:t>后报价，提交最后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报价的供应商不得少于3家</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。磋商文件不能详细列明采购标的的技术、服务要求，需经磋商由供应商提供最终设计方案或解决方案的，磋商结束后，磋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商小组应当按照少数服从多数的原则投票推荐3家以上供应商的设计方案或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者解决方案，并要求其在规定时间内提交最后报价。市场竞争不充分的科研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项目，以及需要扶持的科技成果转化项目，提交最后报价的供应商可以为2</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家；政府购买服务项目（含政府和社会资本合作项目</w:t>
      </w:r>
      <w:r>
        <w:rPr>
          <w:rFonts w:hint="eastAsia" w:ascii="仿宋" w:hAnsi="仿宋" w:eastAsia="仿宋" w:cs="仿宋"/>
          <w:color w:val="000000" w:themeColor="text1"/>
          <w:spacing w:val="-54"/>
          <w:w w:val="9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采购过程中符合要</w:t>
      </w:r>
      <w:r>
        <w:rPr>
          <w:rFonts w:hint="eastAsia" w:ascii="仿宋" w:hAnsi="仿宋" w:eastAsia="仿宋" w:cs="仿宋"/>
          <w:color w:val="000000" w:themeColor="text1"/>
          <w:sz w:val="24"/>
          <w:szCs w:val="24"/>
          <w:highlight w:val="none"/>
          <w:lang w:eastAsia="zh-CN"/>
          <w14:textFill>
            <w14:solidFill>
              <w14:schemeClr w14:val="tx1"/>
            </w14:solidFill>
          </w14:textFill>
        </w:rPr>
        <w:t>求的供应商（社会资本）只有2家的，竞争性磋商采购活动可以继续进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行。</w:t>
      </w:r>
    </w:p>
    <w:p w14:paraId="6EE304C0">
      <w:pPr>
        <w:pStyle w:val="7"/>
        <w:spacing w:before="187" w:line="200" w:lineRule="auto"/>
        <w:ind w:left="373"/>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2.8  最后报价是供应商响应文件的有效组成部分。</w:t>
      </w:r>
    </w:p>
    <w:p w14:paraId="74384154">
      <w:pPr>
        <w:pStyle w:val="7"/>
        <w:spacing w:before="175" w:line="253" w:lineRule="auto"/>
        <w:ind w:left="1081" w:right="127" w:hanging="70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2.9  已提交响应文件的供应商</w:t>
      </w:r>
      <w:r>
        <w:rPr>
          <w:rFonts w:hint="eastAsia" w:ascii="仿宋" w:hAnsi="仿宋" w:eastAsia="仿宋" w:cs="仿宋"/>
          <w:color w:val="000000" w:themeColor="text1"/>
          <w:sz w:val="24"/>
          <w:szCs w:val="24"/>
          <w:highlight w:val="none"/>
          <w:lang w:eastAsia="zh-CN"/>
          <w14:textFill>
            <w14:solidFill>
              <w14:schemeClr w14:val="tx1"/>
            </w14:solidFill>
          </w14:textFill>
        </w:rPr>
        <w:t>，在提交最后报价之前，可以根据磋商情况退出磋</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商。</w:t>
      </w:r>
    </w:p>
    <w:p w14:paraId="6148F54C">
      <w:pPr>
        <w:pStyle w:val="7"/>
        <w:spacing w:before="178" w:line="200" w:lineRule="auto"/>
        <w:ind w:left="1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最后报价的算术修正及政策调整</w:t>
      </w:r>
    </w:p>
    <w:p w14:paraId="28DC4E36">
      <w:pPr>
        <w:pStyle w:val="7"/>
        <w:spacing w:before="178" w:line="278" w:lineRule="auto"/>
        <w:ind w:left="1080" w:right="125" w:hanging="70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3.1   最后报价须包含竞争性磋商文件全部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内容</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000000" w:themeColor="text1"/>
          <w:sz w:val="24"/>
          <w:szCs w:val="24"/>
          <w:highlight w:val="none"/>
          <w:lang w:eastAsia="zh-CN"/>
          <w14:textFill>
            <w14:solidFill>
              <w14:schemeClr w14:val="tx1"/>
            </w14:solidFill>
          </w14:textFill>
        </w:rPr>
        <w:t>不确认的，视为将一个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采购包中的内容拆分响应，其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1F7FCD1D">
      <w:pPr>
        <w:pStyle w:val="7"/>
        <w:spacing w:before="178" w:line="200" w:lineRule="auto"/>
        <w:ind w:left="374"/>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3.2   最后报价出现前后不一致的，按照下列规定修正：</w:t>
      </w:r>
    </w:p>
    <w:p w14:paraId="599F4CC2">
      <w:pPr>
        <w:pStyle w:val="7"/>
        <w:spacing w:before="180" w:line="200" w:lineRule="auto"/>
        <w:ind w:left="1154"/>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3.2.1  竞争性磋商文件对于报价修正是否另有规定：</w:t>
      </w:r>
    </w:p>
    <w:p w14:paraId="4AA52FA5">
      <w:pPr>
        <w:pStyle w:val="7"/>
        <w:spacing w:before="180" w:line="200" w:lineRule="auto"/>
        <w:ind w:left="1154"/>
        <w:rPr>
          <w:rFonts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□有，具体规定为：__________</w:t>
      </w:r>
    </w:p>
    <w:p w14:paraId="0222DE27">
      <w:pPr>
        <w:pStyle w:val="7"/>
        <w:spacing w:before="180" w:line="200" w:lineRule="auto"/>
        <w:ind w:left="1154"/>
        <w:rPr>
          <w:rFonts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■无，按下述 3.2.2-3.2.6 项规定修正。</w:t>
      </w:r>
    </w:p>
    <w:p w14:paraId="42C9D39D">
      <w:pPr>
        <w:pStyle w:val="7"/>
        <w:spacing w:before="180" w:line="200" w:lineRule="auto"/>
        <w:ind w:left="1154"/>
        <w:rPr>
          <w:rFonts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3.2.2  大写金额和小写金额不一致的 ，以大写金额为准；</w:t>
      </w:r>
    </w:p>
    <w:p w14:paraId="69EFD5A7">
      <w:pPr>
        <w:pStyle w:val="7"/>
        <w:spacing w:before="180" w:line="200" w:lineRule="auto"/>
        <w:ind w:left="1154"/>
        <w:rPr>
          <w:rFonts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3.2.3  单价金额小数点或者百分比有明显错位的，以总价为准，并修改单价；</w:t>
      </w:r>
    </w:p>
    <w:p w14:paraId="170EC300">
      <w:pPr>
        <w:pStyle w:val="7"/>
        <w:spacing w:before="180" w:line="200" w:lineRule="auto"/>
        <w:ind w:left="1154"/>
        <w:rPr>
          <w:rFonts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3.2.4  总价金额与按单价汇总金额不一致的，以单价金额计算结果为准。</w:t>
      </w:r>
    </w:p>
    <w:p w14:paraId="61675A8A">
      <w:pPr>
        <w:pStyle w:val="7"/>
        <w:spacing w:before="180" w:line="200" w:lineRule="auto"/>
        <w:ind w:left="1154"/>
        <w:rPr>
          <w:rFonts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3.2.5  同时出现两种以上不一致的，按照前款规定的顺序修正。</w:t>
      </w:r>
    </w:p>
    <w:p w14:paraId="333A5A32">
      <w:pPr>
        <w:pStyle w:val="7"/>
        <w:spacing w:before="180" w:line="200" w:lineRule="auto"/>
        <w:ind w:left="2137" w:leftChars="549" w:hanging="984" w:hangingChars="400"/>
        <w:rPr>
          <w:rFonts w:ascii="仿宋" w:hAnsi="仿宋" w:eastAsia="仿宋" w:cs="仿宋"/>
          <w:b/>
          <w:bCs/>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3.2.6  修正后的报价经供应商书面确认后产生约束力，供应商不确认的，</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其响应无效。</w:t>
      </w:r>
    </w:p>
    <w:p w14:paraId="7E5A0445">
      <w:pPr>
        <w:pStyle w:val="7"/>
        <w:spacing w:before="176" w:line="304" w:lineRule="auto"/>
        <w:ind w:left="1079" w:right="75" w:hanging="70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   落实政府采购政策的价格调整：只有符合第二章《供应商须知》4.2条</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规定</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情形的，可以享受中小企业扶持政策，用扣除后的价格参加评审；否则，评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审时价格不予扣除。</w:t>
      </w:r>
    </w:p>
    <w:p w14:paraId="62A14FD0">
      <w:pPr>
        <w:pStyle w:val="7"/>
        <w:spacing w:before="3" w:line="269" w:lineRule="auto"/>
        <w:ind w:left="2041" w:right="75" w:hanging="88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3.3.1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目中的非预留部分采购包</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，对小微企业报价给予</w:t>
      </w:r>
      <w:r>
        <w:rPr>
          <w:rFonts w:hint="eastAsia" w:ascii="仿宋" w:hAnsi="仿宋" w:eastAsia="仿宋" w:cs="仿宋"/>
          <w:b/>
          <w:bCs/>
          <w:color w:val="000000" w:themeColor="text1"/>
          <w:spacing w:val="3"/>
          <w:sz w:val="24"/>
          <w:szCs w:val="24"/>
          <w:highlight w:val="none"/>
          <w:u w:val="single"/>
          <w:lang w:eastAsia="zh-CN"/>
          <w14:textFill>
            <w14:solidFill>
              <w14:schemeClr w14:val="tx1"/>
            </w14:solidFill>
          </w14:textFill>
        </w:rPr>
        <w:t xml:space="preserve"> 10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%的扣除，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用扣除后的价格参加评审。</w:t>
      </w:r>
    </w:p>
    <w:p w14:paraId="24F55AC4">
      <w:pPr>
        <w:pStyle w:val="7"/>
        <w:spacing w:before="175" w:line="287" w:lineRule="auto"/>
        <w:ind w:left="2039" w:right="75" w:hanging="88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3.3.2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总金额30%以上的联合体或者大中型企业的报价给予</w:t>
      </w:r>
      <w:r>
        <w:rPr>
          <w:rFonts w:hint="eastAsia" w:ascii="仿宋" w:hAnsi="仿宋" w:eastAsia="仿宋" w:cs="仿宋"/>
          <w:b/>
          <w:bCs/>
          <w:color w:val="000000" w:themeColor="text1"/>
          <w:spacing w:val="7"/>
          <w:sz w:val="24"/>
          <w:szCs w:val="24"/>
          <w:highlight w:val="none"/>
          <w:u w:val="single"/>
          <w:lang w:eastAsia="zh-CN"/>
          <w14:textFill>
            <w14:solidFill>
              <w14:schemeClr w14:val="tx1"/>
            </w14:solidFill>
          </w14:textFill>
        </w:rPr>
        <w:t xml:space="preserve"> 4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扣除，用扣除后的价格参加评审。</w:t>
      </w:r>
    </w:p>
    <w:p w14:paraId="4E261338">
      <w:pPr>
        <w:pStyle w:val="7"/>
        <w:spacing w:before="180" w:line="251" w:lineRule="auto"/>
        <w:ind w:left="2043" w:right="75" w:hanging="88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3.3.3   组成联合体或者接受分包的小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微企业与联合体内其他企业、分包企业之间存在直接控股、管理关系的，不享受价格扣除优惠政策。</w:t>
      </w:r>
    </w:p>
    <w:p w14:paraId="2F644029">
      <w:pPr>
        <w:pStyle w:val="7"/>
        <w:spacing w:before="177" w:line="200" w:lineRule="auto"/>
        <w:ind w:left="1154"/>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3.3.4   价格扣除比例对小型企业和微型企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业同等对待，不作区分。</w:t>
      </w:r>
    </w:p>
    <w:p w14:paraId="3B700BC0">
      <w:pPr>
        <w:pStyle w:val="7"/>
        <w:spacing w:before="180" w:line="251" w:lineRule="auto"/>
        <w:ind w:left="2039" w:right="75" w:hanging="88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3.3.5   中小企业参加政府采购活动，应当按照竞争性磋商文件给</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定的格式出</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具《中小企业声明函》，否则不得享受相关中小企业扶持政策。</w:t>
      </w:r>
    </w:p>
    <w:p w14:paraId="0A71437B">
      <w:pPr>
        <w:pStyle w:val="7"/>
        <w:spacing w:before="178" w:line="249" w:lineRule="auto"/>
        <w:ind w:left="2036" w:right="75" w:hanging="8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3.3.6   监狱企业提供了由省级以上监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狱管理局、戒毒管理局（含新疆生产建</w:t>
      </w:r>
      <w:r>
        <w:rPr>
          <w:rFonts w:hint="eastAsia" w:ascii="仿宋" w:hAnsi="仿宋" w:eastAsia="仿宋" w:cs="仿宋"/>
          <w:color w:val="000000" w:themeColor="text1"/>
          <w:sz w:val="24"/>
          <w:szCs w:val="24"/>
          <w:highlight w:val="none"/>
          <w:lang w:eastAsia="zh-CN"/>
          <w14:textFill>
            <w14:solidFill>
              <w14:schemeClr w14:val="tx1"/>
            </w14:solidFill>
          </w14:textFill>
        </w:rPr>
        <w:t>设兵团）出具的属于监狱企业的证明文件的，视同小微企</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业。</w:t>
      </w:r>
    </w:p>
    <w:p w14:paraId="2E57611F">
      <w:pPr>
        <w:pStyle w:val="7"/>
        <w:spacing w:before="273" w:line="251" w:lineRule="auto"/>
        <w:ind w:left="2039" w:hanging="885"/>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3.3.7   残疾人福利性单位按竞争性磋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商文件要求提供了《残疾人福利性单位声明函》的，视同小微企业。</w:t>
      </w:r>
    </w:p>
    <w:p w14:paraId="6196C0FB">
      <w:pPr>
        <w:pStyle w:val="7"/>
        <w:spacing w:before="179" w:line="251" w:lineRule="auto"/>
        <w:ind w:left="2060" w:hanging="906"/>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3.3.8   若供应商同时属于小型或微型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企业、监狱企业、残疾人福利性单位中的两种及以上，将不重复享受小微企业价格扣减的优惠政策。</w:t>
      </w:r>
    </w:p>
    <w:p w14:paraId="1F39965F">
      <w:pPr>
        <w:pStyle w:val="7"/>
        <w:spacing w:before="176" w:line="194" w:lineRule="auto"/>
        <w:ind w:left="1154"/>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3.3.9   其他为落实政府采购政策实施的优先采购：_____。</w:t>
      </w:r>
    </w:p>
    <w:p w14:paraId="2D69A796">
      <w:pPr>
        <w:pStyle w:val="7"/>
        <w:spacing w:before="191" w:line="200" w:lineRule="auto"/>
        <w:ind w:left="1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磋商环节及提交最后报价后如出现以下情况的，供应商的</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A6F7D12">
      <w:pPr>
        <w:pStyle w:val="7"/>
        <w:spacing w:before="177" w:line="200" w:lineRule="auto"/>
        <w:ind w:left="36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    供应商对实质性变动不予确认的；</w:t>
      </w:r>
    </w:p>
    <w:p w14:paraId="6C1CA19E">
      <w:pPr>
        <w:pStyle w:val="7"/>
        <w:spacing w:before="179" w:line="249" w:lineRule="auto"/>
        <w:ind w:left="1454" w:leftChars="174" w:right="2" w:hanging="1089" w:hangingChars="443"/>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4.2    不满足磋商文件★号条款或磋商文件技术指标超出磋商文件《采购需求》中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主要技术参数允许偏差的最大范围的（如有</w:t>
      </w:r>
      <w:r>
        <w:rPr>
          <w:rFonts w:hint="eastAsia" w:ascii="仿宋" w:hAnsi="仿宋" w:eastAsia="仿宋" w:cs="仿宋"/>
          <w:color w:val="000000" w:themeColor="text1"/>
          <w:spacing w:val="-53"/>
          <w:sz w:val="24"/>
          <w:szCs w:val="24"/>
          <w:highlight w:val="none"/>
          <w:lang w:eastAsia="zh-CN"/>
          <w14:textFill>
            <w14:solidFill>
              <w14:schemeClr w14:val="tx1"/>
            </w14:solidFill>
          </w14:textFill>
        </w:rPr>
        <w:t>）；</w:t>
      </w:r>
    </w:p>
    <w:p w14:paraId="150B84E7">
      <w:pPr>
        <w:pStyle w:val="7"/>
        <w:spacing w:before="185" w:line="200" w:lineRule="auto"/>
        <w:ind w:left="36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    未按照磋商小组规定的时间、逾期提交最后报价的；</w:t>
      </w:r>
    </w:p>
    <w:p w14:paraId="79508E6F">
      <w:pPr>
        <w:pStyle w:val="7"/>
        <w:spacing w:before="178" w:line="251" w:lineRule="auto"/>
        <w:ind w:left="1482" w:leftChars="174" w:right="2" w:hanging="1117" w:hangingChars="44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4.4    如供应商的最后报价超过竞争性磋商文件中规定的项目/采购包预算金额或</w:t>
      </w:r>
      <w:r>
        <w:rPr>
          <w:rFonts w:hint="eastAsia" w:ascii="仿宋" w:hAnsi="仿宋" w:eastAsia="仿宋" w:cs="仿宋"/>
          <w:color w:val="000000" w:themeColor="text1"/>
          <w:sz w:val="24"/>
          <w:szCs w:val="24"/>
          <w:highlight w:val="none"/>
          <w:lang w:eastAsia="zh-CN"/>
          <w14:textFill>
            <w14:solidFill>
              <w14:schemeClr w14:val="tx1"/>
            </w14:solidFill>
          </w14:textFill>
        </w:rPr>
        <w:t>者项目/采购包最高限价的；</w:t>
      </w:r>
    </w:p>
    <w:p w14:paraId="275159B2">
      <w:pPr>
        <w:pStyle w:val="7"/>
        <w:spacing w:before="180" w:line="249" w:lineRule="auto"/>
        <w:ind w:left="1442" w:leftChars="174" w:right="2" w:hanging="1077" w:hangingChars="43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4.5    响应文件中出现可选择性或可调整的报价的（竞争性磋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商文件另有规定的除</w:t>
      </w:r>
      <w:r>
        <w:rPr>
          <w:rFonts w:hint="eastAsia" w:ascii="仿宋" w:hAnsi="仿宋" w:eastAsia="仿宋" w:cs="仿宋"/>
          <w:color w:val="000000" w:themeColor="text1"/>
          <w:spacing w:val="-3"/>
          <w:w w:val="99"/>
          <w:sz w:val="24"/>
          <w:szCs w:val="24"/>
          <w:highlight w:val="none"/>
          <w:lang w:eastAsia="zh-CN"/>
          <w14:textFill>
            <w14:solidFill>
              <w14:schemeClr w14:val="tx1"/>
            </w14:solidFill>
          </w14:textFill>
        </w:rPr>
        <w:t>外</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4C91C09A">
      <w:pPr>
        <w:pStyle w:val="7"/>
        <w:spacing w:before="187" w:line="200" w:lineRule="auto"/>
        <w:ind w:left="36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4.6    最后报价出现前后不一致，供应商对修正后的报价不予确认的；</w:t>
      </w:r>
    </w:p>
    <w:p w14:paraId="33C2E0AB">
      <w:pPr>
        <w:pStyle w:val="7"/>
        <w:spacing w:before="177" w:line="194" w:lineRule="auto"/>
        <w:ind w:left="36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4.7</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其他：</w:t>
      </w:r>
      <w:r>
        <w:rPr>
          <w:rFonts w:hint="eastAsia" w:ascii="仿宋" w:hAnsi="仿宋" w:eastAsia="仿宋" w:cs="仿宋"/>
          <w:color w:val="000000" w:themeColor="text1"/>
          <w:spacing w:val="7"/>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58C47043">
      <w:pPr>
        <w:pStyle w:val="7"/>
        <w:spacing w:before="188" w:line="201" w:lineRule="auto"/>
        <w:ind w:left="1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   评审方法和评审标准</w:t>
      </w:r>
    </w:p>
    <w:p w14:paraId="5A305667">
      <w:pPr>
        <w:pStyle w:val="7"/>
        <w:spacing w:before="179" w:line="269" w:lineRule="auto"/>
        <w:ind w:left="1081" w:right="2" w:hanging="7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5.1   本项目采用的评审方法为：本项目的评审采用综合评分</w:t>
      </w:r>
      <w:r>
        <w:rPr>
          <w:rFonts w:hint="eastAsia" w:ascii="仿宋" w:hAnsi="仿宋" w:eastAsia="仿宋" w:cs="仿宋"/>
          <w:color w:val="000000" w:themeColor="text1"/>
          <w:sz w:val="24"/>
          <w:szCs w:val="24"/>
          <w:highlight w:val="none"/>
          <w:lang w:eastAsia="zh-CN"/>
          <w14:textFill>
            <w14:solidFill>
              <w14:schemeClr w14:val="tx1"/>
            </w14:solidFill>
          </w14:textFill>
        </w:rPr>
        <w:t>法</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。综合评分法，是</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指响应文件满足磋商文件全部实质性要求且按评审因素的量化指标评审得分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最高的供应商为成交候选供应商的评审方法。</w:t>
      </w:r>
    </w:p>
    <w:p w14:paraId="0077104D">
      <w:pPr>
        <w:pStyle w:val="7"/>
        <w:spacing w:before="180" w:line="200" w:lineRule="auto"/>
        <w:ind w:left="374"/>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5.2   竞争性磋商文件中没有规定的评审标准不得作为评审依据。</w:t>
      </w:r>
    </w:p>
    <w:p w14:paraId="2B593E2F">
      <w:pPr>
        <w:pStyle w:val="7"/>
        <w:spacing w:before="176" w:line="249" w:lineRule="auto"/>
        <w:ind w:left="1081" w:right="2" w:hanging="707"/>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5.3   非政府强制采购的节能产品或环境标志</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产品，依据品目清单和认证证书实施</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政府优先采购。优先采购的具体规定（如涉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及）</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6456F7FE">
      <w:pPr>
        <w:pStyle w:val="7"/>
        <w:spacing w:before="176" w:line="249" w:lineRule="auto"/>
        <w:ind w:left="1081" w:right="2" w:hanging="707"/>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5.4 关于启动异常低价投标（响应）审查程序及处理方式</w:t>
      </w:r>
    </w:p>
    <w:p w14:paraId="32FDA820">
      <w:pPr>
        <w:pStyle w:val="7"/>
        <w:spacing w:before="176" w:line="249" w:lineRule="auto"/>
        <w:ind w:left="1662" w:leftChars="456" w:right="2" w:hanging="704" w:hangingChars="291"/>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5.4.1 政府采购评审中出现下列情形之一的，评审委员会应当启动异常低价投标（响应）审查程序：（本条中响应报价指的是最后报价）</w:t>
      </w:r>
    </w:p>
    <w:p w14:paraId="3EA26924">
      <w:pPr>
        <w:pStyle w:val="7"/>
        <w:spacing w:before="176" w:line="249" w:lineRule="auto"/>
        <w:ind w:left="1662" w:leftChars="456" w:right="2" w:hanging="704" w:hangingChars="291"/>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（1）响应报价低于全部通过符合性审查供应商响应报价平均值 50%的，即响应报价&lt;全部通过符合性审查供应商响应报价平均值×50%；</w:t>
      </w:r>
    </w:p>
    <w:p w14:paraId="1153306D">
      <w:pPr>
        <w:pStyle w:val="7"/>
        <w:spacing w:before="176" w:line="249" w:lineRule="auto"/>
        <w:ind w:left="1662" w:leftChars="456" w:right="2" w:hanging="704" w:hangingChars="291"/>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（2）响应报价低于通过符合性审查的次低报价供应商响应报价 50%的，即响应报价&lt;通过符合性审查的次低报价供应商响应报价×50%；</w:t>
      </w:r>
    </w:p>
    <w:p w14:paraId="2C82C660">
      <w:pPr>
        <w:pStyle w:val="7"/>
        <w:spacing w:before="176" w:line="249" w:lineRule="auto"/>
        <w:ind w:left="1662" w:leftChars="456" w:right="2" w:hanging="704" w:hangingChars="291"/>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（3）响应报价低于采购项目最高限价 45%的，即响应报价&lt;采购项目最高限价×45%；</w:t>
      </w:r>
    </w:p>
    <w:p w14:paraId="6291CB36">
      <w:pPr>
        <w:pStyle w:val="7"/>
        <w:spacing w:before="176" w:line="249" w:lineRule="auto"/>
        <w:ind w:left="1662" w:leftChars="456" w:right="2" w:hanging="704" w:hangingChars="291"/>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（4）评审委员会基于专业判断，认为供应商报价过低，有可能影响产品质量或者不能诚信履约的其他情形。</w:t>
      </w:r>
    </w:p>
    <w:p w14:paraId="0D1F0B8E">
      <w:pPr>
        <w:pStyle w:val="7"/>
        <w:spacing w:before="176" w:line="249" w:lineRule="auto"/>
        <w:ind w:left="1662" w:leftChars="456" w:right="2" w:hanging="704" w:hangingChars="291"/>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（5）相关法律法规对供应商报价有规定的，从其规定。</w:t>
      </w:r>
    </w:p>
    <w:p w14:paraId="39D3CF99">
      <w:pPr>
        <w:pStyle w:val="7"/>
        <w:spacing w:before="176" w:line="249" w:lineRule="auto"/>
        <w:ind w:left="856" w:leftChars="400" w:right="2" w:hanging="16"/>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3C0295F7">
      <w:pPr>
        <w:pStyle w:val="7"/>
        <w:spacing w:before="176" w:line="249" w:lineRule="auto"/>
        <w:ind w:left="1079" w:leftChars="514" w:right="2" w:firstLine="464" w:firstLineChars="192"/>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724CD7DE">
      <w:pPr>
        <w:pStyle w:val="7"/>
        <w:spacing w:before="190" w:line="201" w:lineRule="auto"/>
        <w:ind w:left="1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确定成交候选人名单</w:t>
      </w:r>
    </w:p>
    <w:p w14:paraId="53805CEA">
      <w:pPr>
        <w:pStyle w:val="7"/>
        <w:spacing w:before="179" w:line="310" w:lineRule="auto"/>
        <w:ind w:left="1079" w:right="2" w:hanging="7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6.1   磋商小组将根据各供应商的评审排序以及磋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商文件中关于成交候选人的相关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规定，确定本项目成交候选人名单，按照评审得分由高</w:t>
      </w:r>
      <w:r>
        <w:rPr>
          <w:rFonts w:hint="eastAsia" w:ascii="仿宋" w:hAnsi="仿宋" w:eastAsia="仿宋" w:cs="仿宋"/>
          <w:color w:val="000000" w:themeColor="text1"/>
          <w:sz w:val="24"/>
          <w:szCs w:val="24"/>
          <w:highlight w:val="none"/>
          <w:lang w:eastAsia="zh-CN"/>
          <w14:textFill>
            <w14:solidFill>
              <w14:schemeClr w14:val="tx1"/>
            </w14:solidFill>
          </w14:textFill>
        </w:rPr>
        <w:t>到低顺序推荐成交候选人的排名顺序</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。评审得分相同的，按照最后报价由低到高的顺序推荐。评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审得分且最后报价相同的，按照技术指标优劣顺序推荐。响应文件满足</w:t>
      </w:r>
      <w:r>
        <w:rPr>
          <w:rFonts w:hint="eastAsia" w:ascii="仿宋" w:hAnsi="仿宋" w:eastAsia="仿宋" w:cs="仿宋"/>
          <w:color w:val="000000" w:themeColor="text1"/>
          <w:sz w:val="24"/>
          <w:szCs w:val="24"/>
          <w:highlight w:val="none"/>
          <w:lang w:eastAsia="zh-CN"/>
          <w14:textFill>
            <w14:solidFill>
              <w14:schemeClr w14:val="tx1"/>
            </w14:solidFill>
          </w14:textFill>
        </w:rPr>
        <w:t>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性磋商文件全部实质性要求，且按照评审因素的量化指标评审得分最高的供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应商为排名第一的成交候选人。评分分值计算保留小数点后两位，第三位四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舍五入。</w:t>
      </w:r>
    </w:p>
    <w:p w14:paraId="715C1C5F">
      <w:pPr>
        <w:pStyle w:val="7"/>
        <w:spacing w:line="268" w:lineRule="auto"/>
        <w:ind w:left="1079" w:hanging="70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6.2   磋商小组根据上述供应商排序，依次推荐排序前</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3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名</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的供应商为成交候</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选供应商（若在磋商文件允许的情形下提交最后报价的供应商为二家，则依</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次推荐二名供应商为成交候选供应商</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并编写评审报告。</w:t>
      </w:r>
    </w:p>
    <w:p w14:paraId="342C2C65">
      <w:pPr>
        <w:pStyle w:val="7"/>
        <w:spacing w:before="186" w:line="251" w:lineRule="auto"/>
        <w:ind w:left="1093" w:right="31" w:hanging="72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6.3   磋商小组要对评分汇总情况进行复核，特别是对排名第一的、报价最低的、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响应文件被认定为无效的情形进行重点复核。</w:t>
      </w:r>
    </w:p>
    <w:p w14:paraId="430D534D">
      <w:pPr>
        <w:pStyle w:val="7"/>
        <w:spacing w:before="177" w:line="200" w:lineRule="auto"/>
        <w:ind w:left="2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报告违法行为</w:t>
      </w:r>
    </w:p>
    <w:p w14:paraId="5DE7174D">
      <w:pPr>
        <w:tabs>
          <w:tab w:val="left" w:pos="1080"/>
          <w:tab w:val="left" w:pos="1589"/>
        </w:tabs>
        <w:spacing w:line="360" w:lineRule="auto"/>
        <w:ind w:left="964" w:hanging="968" w:hangingChars="400"/>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7.1     磋商小组在评审过程中发现供应商有行贿、提供虚假材</w:t>
      </w:r>
      <w:r>
        <w:rPr>
          <w:rFonts w:hint="eastAsia" w:ascii="仿宋" w:hAnsi="仿宋" w:eastAsia="仿宋" w:cs="仿宋"/>
          <w:color w:val="000000" w:themeColor="text1"/>
          <w:sz w:val="24"/>
          <w:szCs w:val="24"/>
          <w:highlight w:val="none"/>
          <w:lang w:eastAsia="zh-CN"/>
          <w14:textFill>
            <w14:solidFill>
              <w14:schemeClr w14:val="tx1"/>
            </w14:solidFill>
          </w14:textFill>
        </w:rPr>
        <w:t>料或者串通等违法行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为时，应当及时向财政部门报告。</w:t>
      </w:r>
    </w:p>
    <w:p w14:paraId="28DF226E">
      <w:pPr>
        <w:pStyle w:val="2"/>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1E457BD6">
      <w:pPr>
        <w:pStyle w:val="2"/>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093613B4">
      <w:pPr>
        <w:pStyle w:val="2"/>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6DC8A3E8">
      <w:pPr>
        <w:pStyle w:val="2"/>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7B841CEA">
      <w:pPr>
        <w:pStyle w:val="2"/>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740B656C">
      <w:pPr>
        <w:pStyle w:val="2"/>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24C4BF5C">
      <w:pPr>
        <w:pStyle w:val="2"/>
        <w:rPr>
          <w:rFonts w:hint="eastAsia" w:ascii="仿宋" w:hAnsi="仿宋" w:eastAsia="仿宋" w:cs="仿宋"/>
          <w:color w:val="000000" w:themeColor="text1"/>
          <w:spacing w:val="-1"/>
          <w:sz w:val="24"/>
          <w:szCs w:val="24"/>
          <w:highlight w:val="none"/>
          <w:lang w:eastAsia="zh-CN"/>
          <w14:textFill>
            <w14:solidFill>
              <w14:schemeClr w14:val="tx1"/>
            </w14:solidFill>
          </w14:textFill>
        </w:rPr>
      </w:pPr>
    </w:p>
    <w:p w14:paraId="6A0C0C4B">
      <w:pPr>
        <w:tabs>
          <w:tab w:val="left" w:pos="1080"/>
          <w:tab w:val="left" w:pos="1589"/>
        </w:tabs>
        <w:spacing w:line="360" w:lineRule="auto"/>
        <w:ind w:left="956" w:hanging="952" w:hangingChars="400"/>
        <w:rPr>
          <w:rFonts w:ascii="仿宋" w:hAnsi="仿宋" w:eastAsia="仿宋" w:cs="仿宋"/>
          <w:color w:val="000000" w:themeColor="text1"/>
          <w:spacing w:val="-1"/>
          <w:sz w:val="24"/>
          <w:szCs w:val="24"/>
          <w:highlight w:val="none"/>
          <w:lang w:eastAsia="zh-CN"/>
          <w14:textFill>
            <w14:solidFill>
              <w14:schemeClr w14:val="tx1"/>
            </w14:solidFill>
          </w14:textFill>
        </w:rPr>
      </w:pPr>
    </w:p>
    <w:p w14:paraId="40A8FBA5">
      <w:pPr>
        <w:numPr>
          <w:ilvl w:val="0"/>
          <w:numId w:val="1"/>
        </w:numPr>
        <w:tabs>
          <w:tab w:val="left" w:pos="1080"/>
          <w:tab w:val="left" w:pos="1589"/>
        </w:tabs>
        <w:spacing w:line="360" w:lineRule="auto"/>
        <w:jc w:val="center"/>
        <w:rPr>
          <w:rFonts w:ascii="仿宋" w:hAnsi="仿宋" w:eastAsia="仿宋" w:cs="仿宋"/>
          <w:b/>
          <w:bCs/>
          <w:color w:val="000000" w:themeColor="text1"/>
          <w:spacing w:val="-6"/>
          <w:sz w:val="24"/>
          <w:szCs w:val="24"/>
          <w:highlight w:val="none"/>
          <w14:textFill>
            <w14:solidFill>
              <w14:schemeClr w14:val="tx1"/>
            </w14:solidFill>
          </w14:textFill>
        </w:rPr>
      </w:pPr>
      <w:r>
        <w:rPr>
          <w:rFonts w:hint="eastAsia" w:ascii="仿宋" w:hAnsi="仿宋" w:eastAsia="仿宋" w:cs="仿宋"/>
          <w:b/>
          <w:bCs/>
          <w:color w:val="000000" w:themeColor="text1"/>
          <w:spacing w:val="-6"/>
          <w:sz w:val="24"/>
          <w:szCs w:val="24"/>
          <w:highlight w:val="none"/>
          <w14:textFill>
            <w14:solidFill>
              <w14:schemeClr w14:val="tx1"/>
            </w14:solidFill>
          </w14:textFill>
        </w:rPr>
        <w:t>评标标准</w:t>
      </w:r>
    </w:p>
    <w:tbl>
      <w:tblPr>
        <w:tblStyle w:val="20"/>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758"/>
        <w:gridCol w:w="6108"/>
      </w:tblGrid>
      <w:tr w14:paraId="4F1A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529" w:type="dxa"/>
            <w:vAlign w:val="center"/>
          </w:tcPr>
          <w:p w14:paraId="3268E819">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项目</w:t>
            </w:r>
          </w:p>
        </w:tc>
        <w:tc>
          <w:tcPr>
            <w:tcW w:w="1758" w:type="dxa"/>
            <w:vAlign w:val="center"/>
          </w:tcPr>
          <w:p w14:paraId="5AD373D8">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内容</w:t>
            </w:r>
          </w:p>
        </w:tc>
        <w:tc>
          <w:tcPr>
            <w:tcW w:w="6108" w:type="dxa"/>
            <w:vAlign w:val="center"/>
          </w:tcPr>
          <w:p w14:paraId="47613E96">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评分标准</w:t>
            </w:r>
          </w:p>
        </w:tc>
      </w:tr>
      <w:tr w14:paraId="76C8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529" w:type="dxa"/>
            <w:vAlign w:val="center"/>
          </w:tcPr>
          <w:p w14:paraId="054919A4">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报价部分</w:t>
            </w:r>
          </w:p>
          <w:p w14:paraId="52CFD0C0">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（10分）</w:t>
            </w:r>
          </w:p>
        </w:tc>
        <w:tc>
          <w:tcPr>
            <w:tcW w:w="1758" w:type="dxa"/>
            <w:vAlign w:val="center"/>
          </w:tcPr>
          <w:p w14:paraId="73BFAD9D">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报价</w:t>
            </w:r>
          </w:p>
          <w:p w14:paraId="394533A3">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（10分）</w:t>
            </w:r>
          </w:p>
        </w:tc>
        <w:tc>
          <w:tcPr>
            <w:tcW w:w="6108" w:type="dxa"/>
            <w:vAlign w:val="center"/>
          </w:tcPr>
          <w:p w14:paraId="52B60BAB">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满足磋商文件要求的最后报价最低的供应商的价格为磋商基准价，其价格分为满分。其他供应商的价格分统 一按照下列公式计算：</w:t>
            </w:r>
          </w:p>
          <w:p w14:paraId="6F20D112">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磋商报价得分=（磋商基准价/最后报价）×10</w:t>
            </w:r>
          </w:p>
          <w:p w14:paraId="656F7AF8">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此处最后报价指经过报价修正 ，及因落实政府采购政策进行价格调整后的报价，详见第三章《评审方法和评审标准》3.2、3.3</w:t>
            </w:r>
          </w:p>
        </w:tc>
      </w:tr>
      <w:tr w14:paraId="2579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trPr>
        <w:tc>
          <w:tcPr>
            <w:tcW w:w="1529" w:type="dxa"/>
            <w:vMerge w:val="restart"/>
            <w:vAlign w:val="center"/>
          </w:tcPr>
          <w:p w14:paraId="22E1869E">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商务部分</w:t>
            </w:r>
          </w:p>
          <w:p w14:paraId="333BF3A2">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w:t>
            </w:r>
            <w:r>
              <w:rPr>
                <w:rFonts w:hint="eastAsia" w:ascii="仿宋" w:hAnsi="仿宋" w:eastAsia="仿宋" w:cs="仿宋"/>
                <w:b/>
                <w:bCs/>
                <w:color w:val="000000" w:themeColor="text1"/>
                <w:sz w:val="22"/>
                <w:szCs w:val="22"/>
                <w:highlight w:val="none"/>
                <w:shd w:val="clear" w:color="auto" w:fill="FFFFFF"/>
                <w:lang w:val="en-US" w:eastAsia="zh-CN"/>
                <w14:textFill>
                  <w14:solidFill>
                    <w14:schemeClr w14:val="tx1"/>
                  </w14:solidFill>
                </w14:textFill>
              </w:rPr>
              <w:t>26</w:t>
            </w: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分）</w:t>
            </w:r>
          </w:p>
        </w:tc>
        <w:tc>
          <w:tcPr>
            <w:tcW w:w="1758" w:type="dxa"/>
            <w:shd w:val="clear" w:color="auto" w:fill="auto"/>
            <w:vAlign w:val="center"/>
          </w:tcPr>
          <w:p w14:paraId="1825D592">
            <w:pPr>
              <w:pStyle w:val="52"/>
              <w:spacing w:line="205" w:lineRule="atLeast"/>
              <w:jc w:val="center"/>
              <w:rPr>
                <w:rFonts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eastAsia="zh-CN"/>
                <w14:textFill>
                  <w14:solidFill>
                    <w14:schemeClr w14:val="tx1"/>
                  </w14:solidFill>
                </w14:textFill>
              </w:rPr>
              <w:t>项目团队人员</w:t>
            </w:r>
            <w:r>
              <w:rPr>
                <w:rFonts w:hint="eastAsia" w:ascii="仿宋" w:hAnsi="仿宋" w:eastAsia="仿宋" w:cs="仿宋"/>
                <w:b/>
                <w:bCs/>
                <w:color w:val="000000" w:themeColor="text1"/>
                <w:sz w:val="20"/>
                <w:szCs w:val="20"/>
                <w:highlight w:val="none"/>
                <w:lang w:eastAsia="zh-CN"/>
                <w14:textFill>
                  <w14:solidFill>
                    <w14:schemeClr w14:val="tx1"/>
                  </w14:solidFill>
                </w14:textFill>
              </w:rPr>
              <w:br w:type="textWrapping"/>
            </w:r>
            <w:r>
              <w:rPr>
                <w:rFonts w:hint="eastAsia" w:ascii="仿宋" w:hAnsi="仿宋" w:eastAsia="仿宋" w:cs="仿宋"/>
                <w:b/>
                <w:bCs/>
                <w:color w:val="000000" w:themeColor="text1"/>
                <w:sz w:val="20"/>
                <w:szCs w:val="20"/>
                <w:highlight w:val="none"/>
                <w:lang w:eastAsia="zh-CN"/>
                <w14:textFill>
                  <w14:solidFill>
                    <w14:schemeClr w14:val="tx1"/>
                  </w14:solidFill>
                </w14:textFill>
              </w:rPr>
              <w:t>（10分）</w:t>
            </w:r>
          </w:p>
        </w:tc>
        <w:tc>
          <w:tcPr>
            <w:tcW w:w="6108" w:type="dxa"/>
            <w:shd w:val="clear" w:color="auto" w:fill="auto"/>
            <w:vAlign w:val="center"/>
          </w:tcPr>
          <w:p w14:paraId="44ADACBD">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1、供应商能够对本项目提供熟练、稳定的管理、技术及操作人员，项目团队有</w:t>
            </w:r>
            <w:r>
              <w:rPr>
                <w:rFonts w:hint="eastAsia" w:ascii="仿宋" w:hAnsi="仿宋" w:eastAsia="仿宋" w:cs="仿宋"/>
                <w:color w:val="000000" w:themeColor="text1"/>
                <w:sz w:val="20"/>
                <w:szCs w:val="20"/>
                <w:highlight w:val="none"/>
                <w:lang w:eastAsia="zh-CN"/>
                <w14:textFill>
                  <w14:solidFill>
                    <w14:schemeClr w14:val="tx1"/>
                  </w14:solidFill>
                </w14:textFill>
              </w:rPr>
              <w:t>省级及以上</w:t>
            </w:r>
            <w:r>
              <w:rPr>
                <w:rFonts w:hint="eastAsia" w:ascii="仿宋" w:hAnsi="仿宋" w:eastAsia="仿宋" w:cs="仿宋"/>
                <w:color w:val="000000" w:themeColor="text1"/>
                <w:sz w:val="20"/>
                <w:szCs w:val="20"/>
                <w:highlight w:val="none"/>
                <w:lang w:eastAsia="zh-CN"/>
                <w14:textFill>
                  <w14:solidFill>
                    <w14:schemeClr w14:val="tx1"/>
                  </w14:solidFill>
                </w14:textFill>
              </w:rPr>
              <w:t>档案部门颁发的档案专业培训并取得证书，每有1人得1分，此项最高得4分，未提供不得分。</w:t>
            </w:r>
          </w:p>
          <w:p w14:paraId="557E2573">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2、拟投入项目人员中具有《专业技术人员继续教育专业科目培训合格证书》档案专业中级证书和保密教育培训证书，每提供1个得0.5分，最多得4分。</w:t>
            </w:r>
          </w:p>
          <w:p w14:paraId="627EA1E7">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3.项目运维人员具有《安全运维工程师（高级）》，得1分；具有《信息系统运维管理工程师（高级）》得1分；没有不得分。</w:t>
            </w:r>
          </w:p>
          <w:p w14:paraId="1BC0CB5A">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注：以上人员提供证书复印件以及人员近一年社保缴纳证明、保密局备案材料证明，缺一项视为不满足。</w:t>
            </w:r>
          </w:p>
        </w:tc>
      </w:tr>
      <w:tr w14:paraId="34CA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1529" w:type="dxa"/>
            <w:vMerge w:val="continue"/>
            <w:tcBorders/>
            <w:vAlign w:val="center"/>
          </w:tcPr>
          <w:p w14:paraId="7370D6D4">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p>
        </w:tc>
        <w:tc>
          <w:tcPr>
            <w:tcW w:w="1758" w:type="dxa"/>
            <w:shd w:val="clear" w:color="auto" w:fill="auto"/>
            <w:vAlign w:val="center"/>
          </w:tcPr>
          <w:p w14:paraId="67C20387">
            <w:pPr>
              <w:pStyle w:val="52"/>
              <w:spacing w:line="205" w:lineRule="atLeast"/>
              <w:jc w:val="center"/>
              <w:rPr>
                <w:rFonts w:ascii="仿宋" w:hAnsi="仿宋" w:eastAsia="仿宋" w:cs="仿宋"/>
                <w:b/>
                <w:bCs/>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sz w:val="22"/>
                <w:szCs w:val="22"/>
                <w:highlight w:val="none"/>
                <w:lang w:eastAsia="zh-CN"/>
                <w14:textFill>
                  <w14:solidFill>
                    <w14:schemeClr w14:val="tx1"/>
                  </w14:solidFill>
                </w14:textFill>
              </w:rPr>
              <w:t>软件系统研发（运维）能力（6分）</w:t>
            </w:r>
          </w:p>
        </w:tc>
        <w:tc>
          <w:tcPr>
            <w:tcW w:w="6108" w:type="dxa"/>
            <w:shd w:val="clear" w:color="auto" w:fill="auto"/>
            <w:vAlign w:val="center"/>
          </w:tcPr>
          <w:p w14:paraId="2A4ECD4B">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根据本项目相关招标范围，投标供应商需提供以下证书。</w:t>
            </w:r>
          </w:p>
          <w:p w14:paraId="4C87D618">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基于（或利用）AI的档案智能鉴定系统；</w:t>
            </w:r>
          </w:p>
          <w:p w14:paraId="435F6DBF">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2.开放档案综合利用系统；</w:t>
            </w:r>
          </w:p>
          <w:p w14:paraId="194405C1">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3.智慧档案管理系统著作权证书</w:t>
            </w:r>
          </w:p>
          <w:p w14:paraId="1CAFD674">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以上证书须提供证书原件扫描件并加盖投标供应商公章，且证书在有效期内，每提供一项得2分，满分6分；</w:t>
            </w:r>
          </w:p>
        </w:tc>
      </w:tr>
      <w:tr w14:paraId="0CC4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1529" w:type="dxa"/>
            <w:vMerge w:val="continue"/>
            <w:tcBorders/>
            <w:vAlign w:val="center"/>
          </w:tcPr>
          <w:p w14:paraId="30D7A7A6">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p>
        </w:tc>
        <w:tc>
          <w:tcPr>
            <w:tcW w:w="1758" w:type="dxa"/>
            <w:shd w:val="clear" w:color="auto" w:fill="auto"/>
            <w:vAlign w:val="center"/>
          </w:tcPr>
          <w:p w14:paraId="7ADB77F2">
            <w:pPr>
              <w:pStyle w:val="30"/>
              <w:spacing w:before="78" w:line="223" w:lineRule="auto"/>
              <w:ind w:left="292"/>
              <w:outlineLvl w:val="1"/>
              <w:rPr>
                <w:rFonts w:ascii="仿宋" w:hAnsi="仿宋" w:eastAsia="仿宋" w:cs="仿宋"/>
                <w:b/>
                <w:bCs/>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sz w:val="22"/>
                <w:szCs w:val="22"/>
                <w:highlight w:val="none"/>
                <w:lang w:eastAsia="zh-CN"/>
                <w14:textFill>
                  <w14:solidFill>
                    <w14:schemeClr w14:val="tx1"/>
                  </w14:solidFill>
                </w14:textFill>
              </w:rPr>
              <w:t>类似业绩</w:t>
            </w:r>
          </w:p>
          <w:p w14:paraId="21894406">
            <w:pPr>
              <w:pStyle w:val="52"/>
              <w:spacing w:line="205" w:lineRule="atLeast"/>
              <w:jc w:val="center"/>
              <w:rPr>
                <w:rFonts w:ascii="仿宋" w:hAnsi="仿宋" w:eastAsia="仿宋" w:cs="仿宋"/>
                <w:b/>
                <w:bCs/>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sz w:val="22"/>
                <w:szCs w:val="22"/>
                <w:highlight w:val="none"/>
                <w:lang w:eastAsia="zh-CN"/>
                <w14:textFill>
                  <w14:solidFill>
                    <w14:schemeClr w14:val="tx1"/>
                  </w14:solidFill>
                </w14:textFill>
              </w:rPr>
              <w:t>（10 分）</w:t>
            </w:r>
          </w:p>
        </w:tc>
        <w:tc>
          <w:tcPr>
            <w:tcW w:w="6108" w:type="dxa"/>
            <w:shd w:val="clear" w:color="auto" w:fill="auto"/>
            <w:vAlign w:val="center"/>
          </w:tcPr>
          <w:p w14:paraId="1B7D4813">
            <w:pPr>
              <w:pStyle w:val="53"/>
              <w:kinsoku/>
              <w:adjustRightInd/>
              <w:snapToGrid/>
              <w:spacing w:line="240" w:lineRule="exact"/>
              <w:ind w:firstLine="0" w:firstLine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提供近三年（2023年</w:t>
            </w:r>
            <w:r>
              <w:rPr>
                <w:rFonts w:hint="eastAsia" w:ascii="仿宋" w:hAnsi="仿宋" w:eastAsia="仿宋" w:cs="仿宋"/>
                <w:color w:val="000000" w:themeColor="text1"/>
                <w:sz w:val="20"/>
                <w:szCs w:val="20"/>
                <w:highlight w:val="none"/>
                <w:lang w:val="en-US" w:eastAsia="zh-CN"/>
                <w14:textFill>
                  <w14:solidFill>
                    <w14:schemeClr w14:val="tx1"/>
                  </w14:solidFill>
                </w14:textFill>
              </w:rPr>
              <w:t>4</w:t>
            </w:r>
            <w:r>
              <w:rPr>
                <w:rFonts w:hint="eastAsia" w:ascii="仿宋" w:hAnsi="仿宋" w:eastAsia="仿宋" w:cs="仿宋"/>
                <w:color w:val="000000" w:themeColor="text1"/>
                <w:sz w:val="20"/>
                <w:szCs w:val="20"/>
                <w:highlight w:val="none"/>
                <w:lang w:eastAsia="zh-CN"/>
                <w14:textFill>
                  <w14:solidFill>
                    <w14:schemeClr w14:val="tx1"/>
                  </w14:solidFill>
                </w14:textFill>
              </w:rPr>
              <w:t>月1日至今）类似档案系统升级及数字化项目业绩，服务内容（合同内容）中含：档案数字化加工（整理、扫描或录入）、系统维护、系统接口开发、数字化加工（扫描、录入、质检）软件、OCR识别的，每提供一个有效业绩得2 分，最高得10 分，业绩重复、证明内容交叉不累计计分。（提供有效合同，能清晰反映</w:t>
            </w:r>
            <w:r>
              <w:rPr>
                <w:rFonts w:hint="eastAsia" w:ascii="仿宋" w:hAnsi="仿宋" w:eastAsia="仿宋" w:cs="仿宋"/>
                <w:color w:val="000000" w:themeColor="text1"/>
                <w:sz w:val="20"/>
                <w:szCs w:val="20"/>
                <w:highlight w:val="none"/>
                <w:lang w:eastAsia="zh-CN"/>
                <w14:textFill>
                  <w14:solidFill>
                    <w14:schemeClr w14:val="tx1"/>
                  </w14:solidFill>
                </w14:textFill>
              </w:rPr>
              <w:t>项目的名称、</w:t>
            </w:r>
            <w:r>
              <w:rPr>
                <w:rFonts w:hint="eastAsia" w:ascii="仿宋" w:hAnsi="仿宋" w:eastAsia="仿宋" w:cs="仿宋"/>
                <w:color w:val="000000" w:themeColor="text1"/>
                <w:sz w:val="20"/>
                <w:szCs w:val="20"/>
                <w:highlight w:val="none"/>
                <w:lang w:eastAsia="zh-CN"/>
                <w14:textFill>
                  <w14:solidFill>
                    <w14:schemeClr w14:val="tx1"/>
                  </w14:solidFill>
                </w14:textFill>
              </w:rPr>
              <w:t>金额、单位盖章，否则将不予认定）满分 10 分。</w:t>
            </w:r>
          </w:p>
        </w:tc>
      </w:tr>
      <w:tr w14:paraId="2BB9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529" w:type="dxa"/>
            <w:vMerge w:val="restart"/>
            <w:vAlign w:val="center"/>
          </w:tcPr>
          <w:p w14:paraId="331D0682">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技术部分</w:t>
            </w:r>
          </w:p>
          <w:p w14:paraId="669FFE37">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w:t>
            </w:r>
            <w:r>
              <w:rPr>
                <w:rFonts w:hint="eastAsia" w:ascii="仿宋" w:hAnsi="仿宋" w:eastAsia="仿宋" w:cs="仿宋"/>
                <w:b/>
                <w:bCs/>
                <w:color w:val="000000" w:themeColor="text1"/>
                <w:sz w:val="22"/>
                <w:szCs w:val="22"/>
                <w:highlight w:val="none"/>
                <w:shd w:val="clear" w:color="auto" w:fill="FFFFFF"/>
                <w:lang w:val="en-US" w:eastAsia="zh-CN"/>
                <w14:textFill>
                  <w14:solidFill>
                    <w14:schemeClr w14:val="tx1"/>
                  </w14:solidFill>
                </w14:textFill>
              </w:rPr>
              <w:t>64</w:t>
            </w:r>
            <w:r>
              <w:rPr>
                <w:rFonts w:hint="eastAsia" w:ascii="仿宋" w:hAnsi="仿宋" w:eastAsia="仿宋" w:cs="仿宋"/>
                <w:b/>
                <w:bCs/>
                <w:color w:val="000000" w:themeColor="text1"/>
                <w:sz w:val="22"/>
                <w:szCs w:val="22"/>
                <w:highlight w:val="none"/>
                <w:shd w:val="clear" w:color="auto" w:fill="FFFFFF"/>
                <w14:textFill>
                  <w14:solidFill>
                    <w14:schemeClr w14:val="tx1"/>
                  </w14:solidFill>
                </w14:textFill>
              </w:rPr>
              <w:t>分）</w:t>
            </w:r>
          </w:p>
        </w:tc>
        <w:tc>
          <w:tcPr>
            <w:tcW w:w="1758" w:type="dxa"/>
            <w:vAlign w:val="center"/>
          </w:tcPr>
          <w:p w14:paraId="1A1AFB88">
            <w:pPr>
              <w:pStyle w:val="52"/>
              <w:spacing w:line="205" w:lineRule="atLeast"/>
              <w:jc w:val="center"/>
              <w:rPr>
                <w:rFonts w:hint="eastAsia" w:ascii="仿宋" w:hAnsi="仿宋" w:eastAsia="仿宋" w:cs="仿宋"/>
                <w:b/>
                <w:bCs/>
                <w:color w:val="000000" w:themeColor="text1"/>
                <w:sz w:val="20"/>
                <w:szCs w:val="20"/>
                <w:highlight w:val="none"/>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采购需求</w:t>
            </w:r>
            <w:r>
              <w:rPr>
                <w:rFonts w:hint="eastAsia" w:ascii="仿宋" w:hAnsi="仿宋" w:eastAsia="仿宋" w:cs="仿宋"/>
                <w:b/>
                <w:bCs/>
                <w:color w:val="000000" w:themeColor="text1"/>
                <w:sz w:val="20"/>
                <w:szCs w:val="20"/>
                <w:highlight w:val="none"/>
                <w:lang w:eastAsia="zh-CN"/>
                <w14:textFill>
                  <w14:solidFill>
                    <w14:schemeClr w14:val="tx1"/>
                  </w14:solidFill>
                </w14:textFill>
              </w:rPr>
              <w:t>响应</w:t>
            </w:r>
          </w:p>
          <w:p w14:paraId="0C50D648">
            <w:pPr>
              <w:pStyle w:val="52"/>
              <w:spacing w:line="205" w:lineRule="atLeast"/>
              <w:jc w:val="center"/>
              <w:rPr>
                <w:rFonts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eastAsia="zh-CN"/>
                <w14:textFill>
                  <w14:solidFill>
                    <w14:schemeClr w14:val="tx1"/>
                  </w14:solidFill>
                </w14:textFill>
              </w:rPr>
              <w:t>（10分）</w:t>
            </w:r>
          </w:p>
        </w:tc>
        <w:tc>
          <w:tcPr>
            <w:tcW w:w="6108" w:type="dxa"/>
            <w:vAlign w:val="center"/>
          </w:tcPr>
          <w:p w14:paraId="50E7A371">
            <w:pPr>
              <w:pStyle w:val="52"/>
              <w:spacing w:line="205" w:lineRule="atLeast"/>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采购需求</w:t>
            </w:r>
            <w:r>
              <w:rPr>
                <w:rFonts w:hint="eastAsia" w:ascii="仿宋" w:hAnsi="仿宋" w:eastAsia="仿宋" w:cs="仿宋"/>
                <w:color w:val="000000" w:themeColor="text1"/>
                <w:sz w:val="20"/>
                <w:szCs w:val="20"/>
                <w:highlight w:val="none"/>
                <w:lang w:eastAsia="zh-CN"/>
                <w14:textFill>
                  <w14:solidFill>
                    <w14:schemeClr w14:val="tx1"/>
                  </w14:solidFill>
                </w14:textFill>
              </w:rPr>
              <w:t>要求完全符合采购文件要求没有负偏离的得10分；</w:t>
            </w:r>
            <w:r>
              <w:rPr>
                <w:rFonts w:hint="eastAsia" w:ascii="仿宋" w:hAnsi="仿宋" w:eastAsia="仿宋" w:cs="仿宋"/>
                <w:color w:val="000000" w:themeColor="text1"/>
                <w:sz w:val="20"/>
                <w:szCs w:val="20"/>
                <w:highlight w:val="none"/>
                <w:lang w:val="en-US" w:eastAsia="zh-CN"/>
                <w14:textFill>
                  <w14:solidFill>
                    <w14:schemeClr w14:val="tx1"/>
                  </w14:solidFill>
                </w14:textFill>
              </w:rPr>
              <w:t>采购需求</w:t>
            </w:r>
            <w:r>
              <w:rPr>
                <w:rFonts w:hint="eastAsia" w:ascii="仿宋" w:hAnsi="仿宋" w:eastAsia="仿宋" w:cs="仿宋"/>
                <w:color w:val="000000" w:themeColor="text1"/>
                <w:sz w:val="20"/>
                <w:szCs w:val="20"/>
                <w:highlight w:val="none"/>
                <w:lang w:eastAsia="zh-CN"/>
                <w14:textFill>
                  <w14:solidFill>
                    <w14:schemeClr w14:val="tx1"/>
                  </w14:solidFill>
                </w14:textFill>
              </w:rPr>
              <w:t>要求有负偏离的一项扣2分，扣完为止。</w:t>
            </w:r>
          </w:p>
        </w:tc>
      </w:tr>
      <w:tr w14:paraId="2291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1529" w:type="dxa"/>
            <w:vMerge w:val="continue"/>
            <w:vAlign w:val="center"/>
          </w:tcPr>
          <w:p w14:paraId="4432FE44">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p>
        </w:tc>
        <w:tc>
          <w:tcPr>
            <w:tcW w:w="1758" w:type="dxa"/>
            <w:vAlign w:val="center"/>
          </w:tcPr>
          <w:p w14:paraId="172E0DEC">
            <w:pPr>
              <w:pStyle w:val="52"/>
              <w:spacing w:line="240" w:lineRule="exact"/>
              <w:jc w:val="center"/>
              <w:rPr>
                <w:rFonts w:hint="eastAsia" w:ascii="仿宋" w:hAnsi="仿宋" w:eastAsia="仿宋" w:cs="仿宋"/>
                <w:b/>
                <w:bCs/>
                <w:color w:val="000000" w:themeColor="text1"/>
                <w:sz w:val="20"/>
                <w:szCs w:val="20"/>
                <w:highlight w:val="none"/>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eastAsia="zh-CN"/>
                <w14:textFill>
                  <w14:solidFill>
                    <w14:schemeClr w14:val="tx1"/>
                  </w14:solidFill>
                </w14:textFill>
              </w:rPr>
              <w:t>项目实施方案</w:t>
            </w:r>
          </w:p>
          <w:p w14:paraId="11564FB6">
            <w:pPr>
              <w:pStyle w:val="52"/>
              <w:spacing w:line="240" w:lineRule="exact"/>
              <w:jc w:val="center"/>
              <w:rPr>
                <w:rFonts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eastAsia="zh-CN"/>
                <w14:textFill>
                  <w14:solidFill>
                    <w14:schemeClr w14:val="tx1"/>
                  </w14:solidFill>
                </w14:textFill>
              </w:rPr>
              <w:t>（14分）</w:t>
            </w:r>
          </w:p>
        </w:tc>
        <w:tc>
          <w:tcPr>
            <w:tcW w:w="6108" w:type="dxa"/>
            <w:vAlign w:val="center"/>
          </w:tcPr>
          <w:p w14:paraId="5148D7DE">
            <w:pPr>
              <w:pStyle w:val="53"/>
              <w:kinsoku/>
              <w:adjustRightInd/>
              <w:snapToGrid/>
              <w:spacing w:line="240" w:lineRule="exact"/>
              <w:ind w:firstLine="0" w:firstLineChars="0"/>
              <w:jc w:val="lef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 xml:space="preserve">供应商提供了项目实施方案，内容包含但不限于： </w:t>
            </w:r>
          </w:p>
          <w:p w14:paraId="45B11AE1">
            <w:pPr>
              <w:pStyle w:val="53"/>
              <w:kinsoku/>
              <w:adjustRightInd/>
              <w:snapToGrid/>
              <w:spacing w:line="240" w:lineRule="exact"/>
              <w:ind w:firstLine="0" w:firstLineChars="0"/>
              <w:jc w:val="lef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 xml:space="preserve">①整体设计思路； ②详细系统规划； ③项目具体实施说明； ④质量保障措施； ⑤应急管理措施； ⑥故障处置流程； ⑦运行维护计划等内容； </w:t>
            </w:r>
          </w:p>
          <w:p w14:paraId="26199432">
            <w:pPr>
              <w:pStyle w:val="53"/>
              <w:kinsoku/>
              <w:adjustRightInd/>
              <w:snapToGrid/>
              <w:spacing w:line="240" w:lineRule="exact"/>
              <w:ind w:firstLine="0" w:firstLineChars="0"/>
              <w:jc w:val="lef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1.方案内容全面详细，可行性、针对性、完全符合本项目采购需求，得14分；</w:t>
            </w:r>
          </w:p>
          <w:p w14:paraId="1E99950D">
            <w:pPr>
              <w:pStyle w:val="53"/>
              <w:kinsoku/>
              <w:adjustRightInd/>
              <w:snapToGrid/>
              <w:spacing w:line="240" w:lineRule="exact"/>
              <w:ind w:firstLine="0" w:firstLineChars="0"/>
              <w:jc w:val="lef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2.方案内容较详细，可行性、针对性、基本符合本项目采购需求，得7分；</w:t>
            </w:r>
          </w:p>
          <w:p w14:paraId="170B107D">
            <w:pPr>
              <w:pStyle w:val="53"/>
              <w:kinsoku/>
              <w:adjustRightInd/>
              <w:snapToGrid/>
              <w:spacing w:line="240" w:lineRule="exact"/>
              <w:ind w:firstLine="0" w:firstLineChars="0"/>
              <w:jc w:val="lef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3.方案不完整，可行较差，仅部分符合本项目采购需求，得3分；</w:t>
            </w:r>
          </w:p>
          <w:p w14:paraId="431C822B">
            <w:pPr>
              <w:pStyle w:val="52"/>
              <w:kinsoku/>
              <w:autoSpaceDE/>
              <w:autoSpaceDN/>
              <w:adjustRightInd/>
              <w:snapToGrid/>
              <w:spacing w:line="240" w:lineRule="exac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kern w:val="2"/>
                <w:sz w:val="20"/>
                <w:szCs w:val="20"/>
                <w:highlight w:val="none"/>
                <w:lang w:eastAsia="zh-CN"/>
                <w14:textFill>
                  <w14:solidFill>
                    <w14:schemeClr w14:val="tx1"/>
                  </w14:solidFill>
                </w14:textFill>
              </w:rPr>
              <w:t>4.未提供不得分；</w:t>
            </w:r>
          </w:p>
        </w:tc>
      </w:tr>
      <w:tr w14:paraId="0622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1529" w:type="dxa"/>
            <w:vMerge w:val="continue"/>
            <w:vAlign w:val="center"/>
          </w:tcPr>
          <w:p w14:paraId="6A7C99B1">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p>
        </w:tc>
        <w:tc>
          <w:tcPr>
            <w:tcW w:w="1758" w:type="dxa"/>
            <w:vAlign w:val="center"/>
          </w:tcPr>
          <w:p w14:paraId="40C79F9C">
            <w:pPr>
              <w:pStyle w:val="52"/>
              <w:spacing w:line="205" w:lineRule="atLeast"/>
              <w:jc w:val="center"/>
              <w:rPr>
                <w:rFonts w:hint="eastAsia" w:ascii="仿宋" w:hAnsi="仿宋" w:eastAsia="仿宋" w:cs="仿宋"/>
                <w:b/>
                <w:bCs/>
                <w:color w:val="000000" w:themeColor="text1"/>
                <w:sz w:val="20"/>
                <w:szCs w:val="20"/>
                <w:highlight w:val="none"/>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eastAsia="zh-CN"/>
                <w14:textFill>
                  <w14:solidFill>
                    <w14:schemeClr w14:val="tx1"/>
                  </w14:solidFill>
                </w14:textFill>
              </w:rPr>
              <w:t>安全保密方案</w:t>
            </w:r>
          </w:p>
          <w:p w14:paraId="7EAD2912">
            <w:pPr>
              <w:pStyle w:val="52"/>
              <w:spacing w:line="205" w:lineRule="atLeast"/>
              <w:jc w:val="center"/>
              <w:rPr>
                <w:rFonts w:ascii="仿宋" w:hAnsi="仿宋" w:eastAsia="仿宋" w:cs="仿宋"/>
                <w:b/>
                <w:bCs/>
                <w:color w:val="000000" w:themeColor="text1"/>
                <w:sz w:val="20"/>
                <w:szCs w:val="20"/>
                <w:highlight w:val="none"/>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eastAsia="zh-CN"/>
                <w14:textFill>
                  <w14:solidFill>
                    <w14:schemeClr w14:val="tx1"/>
                  </w14:solidFill>
                </w14:textFill>
              </w:rPr>
              <w:t>（10分）</w:t>
            </w:r>
          </w:p>
          <w:p w14:paraId="7D1E4FFA">
            <w:pPr>
              <w:pStyle w:val="52"/>
              <w:spacing w:line="205" w:lineRule="atLeast"/>
              <w:jc w:val="center"/>
              <w:rPr>
                <w:rFonts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6108" w:type="dxa"/>
            <w:vAlign w:val="center"/>
          </w:tcPr>
          <w:p w14:paraId="71E9BD88">
            <w:pPr>
              <w:pStyle w:val="53"/>
              <w:kinsoku/>
              <w:adjustRightInd/>
              <w:snapToGrid/>
              <w:spacing w:line="300" w:lineRule="exact"/>
              <w:ind w:firstLine="0" w:firstLineChars="0"/>
              <w:jc w:val="lef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安全保密方案：根据供应商针对本项目提供的安全保密方案进行综合评分，包括但不限于①现场整体流程控制；②实施过程细节控制；③项目安全保密控制。以上内容为专门针对本项目编制，完全符合本项目实际情况，能够保障项目顺利实施的得10分，基本符合本项目采购需求，得5分；不符合本项目采购需求，得0分。</w:t>
            </w:r>
          </w:p>
        </w:tc>
      </w:tr>
      <w:tr w14:paraId="7E45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529" w:type="dxa"/>
            <w:vMerge w:val="continue"/>
            <w:vAlign w:val="center"/>
          </w:tcPr>
          <w:p w14:paraId="61880650">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p>
        </w:tc>
        <w:tc>
          <w:tcPr>
            <w:tcW w:w="1758" w:type="dxa"/>
            <w:vAlign w:val="center"/>
          </w:tcPr>
          <w:p w14:paraId="3D0C4B37">
            <w:pPr>
              <w:pStyle w:val="52"/>
              <w:spacing w:line="205" w:lineRule="atLeast"/>
              <w:jc w:val="center"/>
              <w:rPr>
                <w:rFonts w:ascii="仿宋" w:hAnsi="仿宋" w:eastAsia="仿宋" w:cs="仿宋"/>
                <w:b/>
                <w:bCs/>
                <w:color w:val="000000" w:themeColor="text1"/>
                <w:sz w:val="20"/>
                <w:szCs w:val="20"/>
                <w:highlight w:val="none"/>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eastAsia="zh-CN"/>
                <w14:textFill>
                  <w14:solidFill>
                    <w14:schemeClr w14:val="tx1"/>
                  </w14:solidFill>
                </w14:textFill>
              </w:rPr>
              <w:t>人员管理方案</w:t>
            </w:r>
            <w:r>
              <w:rPr>
                <w:rFonts w:hint="eastAsia" w:ascii="仿宋" w:hAnsi="仿宋" w:eastAsia="仿宋" w:cs="仿宋"/>
                <w:b/>
                <w:bCs/>
                <w:color w:val="000000" w:themeColor="text1"/>
                <w:sz w:val="20"/>
                <w:szCs w:val="20"/>
                <w:highlight w:val="none"/>
                <w:lang w:eastAsia="zh-CN"/>
                <w14:textFill>
                  <w14:solidFill>
                    <w14:schemeClr w14:val="tx1"/>
                  </w14:solidFill>
                </w14:textFill>
              </w:rPr>
              <w:br w:type="textWrapping"/>
            </w:r>
            <w:r>
              <w:rPr>
                <w:rFonts w:hint="eastAsia" w:ascii="仿宋" w:hAnsi="仿宋" w:eastAsia="仿宋" w:cs="仿宋"/>
                <w:b/>
                <w:bCs/>
                <w:color w:val="000000" w:themeColor="text1"/>
                <w:sz w:val="20"/>
                <w:szCs w:val="20"/>
                <w:highlight w:val="none"/>
                <w:lang w:eastAsia="zh-CN"/>
                <w14:textFill>
                  <w14:solidFill>
                    <w14:schemeClr w14:val="tx1"/>
                  </w14:solidFill>
                </w14:textFill>
              </w:rPr>
              <w:t>（10分）</w:t>
            </w:r>
          </w:p>
          <w:p w14:paraId="64DCE747">
            <w:pPr>
              <w:pStyle w:val="52"/>
              <w:spacing w:line="205" w:lineRule="atLeast"/>
              <w:jc w:val="center"/>
              <w:rPr>
                <w:rFonts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p>
        </w:tc>
        <w:tc>
          <w:tcPr>
            <w:tcW w:w="6108" w:type="dxa"/>
            <w:vAlign w:val="center"/>
          </w:tcPr>
          <w:p w14:paraId="05D89A17">
            <w:pPr>
              <w:pStyle w:val="52"/>
              <w:spacing w:line="205" w:lineRule="atLeast"/>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kern w:val="2"/>
                <w:sz w:val="20"/>
                <w:szCs w:val="20"/>
                <w:highlight w:val="none"/>
                <w:lang w:eastAsia="zh-CN"/>
                <w14:textFill>
                  <w14:solidFill>
                    <w14:schemeClr w14:val="tx1"/>
                  </w14:solidFill>
                </w14:textFill>
              </w:rPr>
              <w:t>人员管理方案：根据供应商针对本项目提供的项目人员管理方案进行综合评分，包括但不限于①项目人员培训管理；②现场人员日常管理；③现场人员绩效考核。以上内容为专门针对本项目编制，完全符合本项目实际情况，能够保障项目顺利实施的得10分，基本符合本项目采购需求，得5分；不符合本项目采购需求，得0分。</w:t>
            </w:r>
          </w:p>
        </w:tc>
      </w:tr>
      <w:tr w14:paraId="06D1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trPr>
        <w:tc>
          <w:tcPr>
            <w:tcW w:w="1529" w:type="dxa"/>
            <w:vMerge w:val="continue"/>
            <w:vAlign w:val="center"/>
          </w:tcPr>
          <w:p w14:paraId="1B992943">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p>
        </w:tc>
        <w:tc>
          <w:tcPr>
            <w:tcW w:w="1758" w:type="dxa"/>
            <w:vAlign w:val="center"/>
          </w:tcPr>
          <w:p w14:paraId="7CDD577E">
            <w:pPr>
              <w:pStyle w:val="52"/>
              <w:spacing w:line="205" w:lineRule="atLeast"/>
              <w:jc w:val="center"/>
              <w:rPr>
                <w:rFonts w:ascii="仿宋" w:hAnsi="仿宋" w:eastAsia="仿宋" w:cs="仿宋"/>
                <w:b/>
                <w:bCs/>
                <w:color w:val="000000" w:themeColor="text1"/>
                <w:sz w:val="22"/>
                <w:szCs w:val="22"/>
                <w:highlight w:val="none"/>
                <w:shd w:val="clear" w:color="auto" w:fill="FFFFFF"/>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eastAsia="zh-CN"/>
                <w14:textFill>
                  <w14:solidFill>
                    <w14:schemeClr w14:val="tx1"/>
                  </w14:solidFill>
                </w14:textFill>
              </w:rPr>
              <w:t>质量保障方案</w:t>
            </w:r>
            <w:r>
              <w:rPr>
                <w:rFonts w:hint="eastAsia" w:ascii="仿宋" w:hAnsi="仿宋" w:eastAsia="仿宋" w:cs="仿宋"/>
                <w:b/>
                <w:bCs/>
                <w:color w:val="000000" w:themeColor="text1"/>
                <w:sz w:val="20"/>
                <w:szCs w:val="20"/>
                <w:highlight w:val="none"/>
                <w:lang w:eastAsia="zh-CN"/>
                <w14:textFill>
                  <w14:solidFill>
                    <w14:schemeClr w14:val="tx1"/>
                  </w14:solidFill>
                </w14:textFill>
              </w:rPr>
              <w:br w:type="textWrapping"/>
            </w:r>
            <w:r>
              <w:rPr>
                <w:rFonts w:hint="eastAsia" w:ascii="仿宋" w:hAnsi="仿宋" w:eastAsia="仿宋" w:cs="仿宋"/>
                <w:b/>
                <w:bCs/>
                <w:color w:val="000000" w:themeColor="text1"/>
                <w:sz w:val="20"/>
                <w:szCs w:val="20"/>
                <w:highlight w:val="none"/>
                <w:lang w:eastAsia="zh-CN"/>
                <w14:textFill>
                  <w14:solidFill>
                    <w14:schemeClr w14:val="tx1"/>
                  </w14:solidFill>
                </w14:textFill>
              </w:rPr>
              <w:t>（10分）</w:t>
            </w:r>
          </w:p>
        </w:tc>
        <w:tc>
          <w:tcPr>
            <w:tcW w:w="6108" w:type="dxa"/>
            <w:vAlign w:val="center"/>
          </w:tcPr>
          <w:p w14:paraId="1CDA73D0">
            <w:pPr>
              <w:pStyle w:val="52"/>
              <w:spacing w:line="205" w:lineRule="atLeast"/>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kern w:val="2"/>
                <w:sz w:val="20"/>
                <w:szCs w:val="20"/>
                <w:highlight w:val="none"/>
                <w:lang w:eastAsia="zh-CN"/>
                <w14:textFill>
                  <w14:solidFill>
                    <w14:schemeClr w14:val="tx1"/>
                  </w14:solidFill>
                </w14:textFill>
              </w:rPr>
              <w:t>质量保障方案：根据供应商针对本项目提供的项目质量保障方案进行综合评分，包括但不限于①项目质量检查标准；②质量检查措施；③质量控制保障措施。以上内容为针对本项目编制，符合本项目实际情况，能够保障项目顺利实施的得10分，基本符合本项目采购需求，得5分；不符合本项目采购需求，得0分。</w:t>
            </w:r>
          </w:p>
        </w:tc>
      </w:tr>
      <w:tr w14:paraId="6496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trPr>
        <w:tc>
          <w:tcPr>
            <w:tcW w:w="1529" w:type="dxa"/>
            <w:vMerge w:val="continue"/>
            <w:vAlign w:val="center"/>
          </w:tcPr>
          <w:p w14:paraId="23ECF2E0">
            <w:pPr>
              <w:spacing w:line="240" w:lineRule="exact"/>
              <w:jc w:val="center"/>
              <w:rPr>
                <w:rFonts w:ascii="仿宋" w:hAnsi="仿宋" w:eastAsia="仿宋" w:cs="仿宋"/>
                <w:b/>
                <w:bCs/>
                <w:color w:val="000000" w:themeColor="text1"/>
                <w:sz w:val="22"/>
                <w:szCs w:val="22"/>
                <w:highlight w:val="none"/>
                <w:shd w:val="clear" w:color="auto" w:fill="FFFFFF"/>
                <w14:textFill>
                  <w14:solidFill>
                    <w14:schemeClr w14:val="tx1"/>
                  </w14:solidFill>
                </w14:textFill>
              </w:rPr>
            </w:pPr>
          </w:p>
        </w:tc>
        <w:tc>
          <w:tcPr>
            <w:tcW w:w="1758" w:type="dxa"/>
            <w:vAlign w:val="center"/>
          </w:tcPr>
          <w:p w14:paraId="757348DF">
            <w:pPr>
              <w:pStyle w:val="52"/>
              <w:spacing w:line="205" w:lineRule="atLeast"/>
              <w:jc w:val="center"/>
              <w:rPr>
                <w:rFonts w:ascii="仿宋" w:hAnsi="仿宋" w:eastAsia="仿宋" w:cs="仿宋"/>
                <w:b/>
                <w:bCs/>
                <w:color w:val="000000" w:themeColor="text1"/>
                <w:sz w:val="20"/>
                <w:szCs w:val="20"/>
                <w:highlight w:val="none"/>
                <w:lang w:eastAsia="zh-CN"/>
                <w14:textFill>
                  <w14:solidFill>
                    <w14:schemeClr w14:val="tx1"/>
                  </w14:solidFill>
                </w14:textFill>
              </w:rPr>
            </w:pPr>
            <w:r>
              <w:rPr>
                <w:rFonts w:hint="eastAsia" w:ascii="仿宋" w:hAnsi="仿宋" w:eastAsia="仿宋" w:cs="仿宋"/>
                <w:b/>
                <w:bCs/>
                <w:color w:val="000000" w:themeColor="text1"/>
                <w:sz w:val="20"/>
                <w:szCs w:val="20"/>
                <w:highlight w:val="none"/>
                <w:lang w:eastAsia="zh-CN"/>
                <w14:textFill>
                  <w14:solidFill>
                    <w14:schemeClr w14:val="tx1"/>
                  </w14:solidFill>
                </w14:textFill>
              </w:rPr>
              <w:t>售后方案</w:t>
            </w:r>
            <w:r>
              <w:rPr>
                <w:rFonts w:hint="eastAsia" w:ascii="仿宋" w:hAnsi="仿宋" w:eastAsia="仿宋" w:cs="仿宋"/>
                <w:b/>
                <w:bCs/>
                <w:color w:val="000000" w:themeColor="text1"/>
                <w:sz w:val="20"/>
                <w:szCs w:val="20"/>
                <w:highlight w:val="none"/>
                <w:lang w:eastAsia="zh-CN"/>
                <w14:textFill>
                  <w14:solidFill>
                    <w14:schemeClr w14:val="tx1"/>
                  </w14:solidFill>
                </w14:textFill>
              </w:rPr>
              <w:br w:type="textWrapping"/>
            </w:r>
            <w:r>
              <w:rPr>
                <w:rFonts w:hint="eastAsia" w:ascii="仿宋" w:hAnsi="仿宋" w:eastAsia="仿宋" w:cs="仿宋"/>
                <w:b/>
                <w:bCs/>
                <w:color w:val="000000" w:themeColor="text1"/>
                <w:sz w:val="20"/>
                <w:szCs w:val="20"/>
                <w:highlight w:val="none"/>
                <w:lang w:eastAsia="zh-CN"/>
                <w14:textFill>
                  <w14:solidFill>
                    <w14:schemeClr w14:val="tx1"/>
                  </w14:solidFill>
                </w14:textFill>
              </w:rPr>
              <w:t>（10分）</w:t>
            </w:r>
          </w:p>
        </w:tc>
        <w:tc>
          <w:tcPr>
            <w:tcW w:w="6108" w:type="dxa"/>
            <w:vAlign w:val="center"/>
          </w:tcPr>
          <w:p w14:paraId="5625E329">
            <w:pPr>
              <w:pStyle w:val="52"/>
              <w:kinsoku/>
              <w:autoSpaceDE/>
              <w:autoSpaceDN/>
              <w:adjustRightInd/>
              <w:snapToGrid/>
              <w:spacing w:line="240" w:lineRule="exac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 xml:space="preserve">方案包含但不限于： ①服务人员配置； ②服务响应时间及内容； ③故障排除时间及措施； ④突发事件处理措施； ⑤服务保障措施； ⑥巡检服务内容等。 </w:t>
            </w:r>
          </w:p>
          <w:p w14:paraId="76050B15">
            <w:pPr>
              <w:pStyle w:val="52"/>
              <w:kinsoku/>
              <w:autoSpaceDE/>
              <w:autoSpaceDN/>
              <w:adjustRightInd/>
              <w:snapToGrid/>
              <w:spacing w:line="240" w:lineRule="exac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根据以上内容进行综合评分：</w:t>
            </w:r>
          </w:p>
          <w:p w14:paraId="5ED25885">
            <w:pPr>
              <w:pStyle w:val="52"/>
              <w:kinsoku/>
              <w:autoSpaceDE/>
              <w:autoSpaceDN/>
              <w:adjustRightInd/>
              <w:snapToGrid/>
              <w:spacing w:line="240" w:lineRule="exac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1.方案内容全面详细，可行性、针对性、完全符合本项目采购需求，得10分；</w:t>
            </w:r>
          </w:p>
          <w:p w14:paraId="1F0FDAE8">
            <w:pPr>
              <w:pStyle w:val="52"/>
              <w:kinsoku/>
              <w:autoSpaceDE/>
              <w:autoSpaceDN/>
              <w:adjustRightInd/>
              <w:snapToGrid/>
              <w:spacing w:line="240" w:lineRule="exac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2.方案内容较详细，可行性、针对性、基本符合本项目采购需求，得5分；</w:t>
            </w:r>
          </w:p>
          <w:p w14:paraId="109D811F">
            <w:pPr>
              <w:pStyle w:val="52"/>
              <w:kinsoku/>
              <w:autoSpaceDE/>
              <w:autoSpaceDN/>
              <w:adjustRightInd/>
              <w:snapToGrid/>
              <w:spacing w:line="240" w:lineRule="exact"/>
              <w:textAlignment w:val="auto"/>
              <w:rPr>
                <w:rFonts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3.方案不完整，可行较差，不符合本项目采购需求，得0分；</w:t>
            </w:r>
          </w:p>
          <w:p w14:paraId="129AE1F7">
            <w:pPr>
              <w:pStyle w:val="52"/>
              <w:kinsoku/>
              <w:autoSpaceDE/>
              <w:autoSpaceDN/>
              <w:adjustRightInd/>
              <w:snapToGrid/>
              <w:spacing w:line="240" w:lineRule="exact"/>
              <w:textAlignment w:val="auto"/>
              <w:rPr>
                <w:rFonts w:ascii="仿宋" w:hAnsi="仿宋" w:eastAsia="仿宋" w:cs="仿宋"/>
                <w:color w:val="000000" w:themeColor="text1"/>
                <w:kern w:val="2"/>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4.未提供不得分。</w:t>
            </w:r>
          </w:p>
        </w:tc>
      </w:tr>
    </w:tbl>
    <w:p w14:paraId="01A8ED44">
      <w:pPr>
        <w:tabs>
          <w:tab w:val="left" w:pos="1080"/>
          <w:tab w:val="left" w:pos="1589"/>
        </w:tabs>
        <w:spacing w:line="360" w:lineRule="auto"/>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3C3265D6">
      <w:pPr>
        <w:tabs>
          <w:tab w:val="left" w:pos="1080"/>
          <w:tab w:val="left" w:pos="1589"/>
        </w:tabs>
        <w:spacing w:line="360" w:lineRule="auto"/>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78E60EF2">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14A80613">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54402D11">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7CB7E632">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4512AFA0">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54FA8190">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2A16FBF4">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2CD80196">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191F211D">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43D5F149">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152149AF">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6DF91B3E">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3AD0E042">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2B74A9EA">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4C3C8529">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11B7FB8A">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155B529B">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45520C37">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03974B08">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188BC8A3">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04DEEA5D">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22F79FF9">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5BDEDF04">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6A6A1001">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31D7F420">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5B213EC5">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6B8FC185">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4B9E8F70">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6BA68B15">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41B319F1">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p w14:paraId="2292CDDA">
      <w:pPr>
        <w:pStyle w:val="2"/>
        <w:rPr>
          <w:rFonts w:ascii="仿宋" w:hAnsi="仿宋" w:eastAsia="仿宋" w:cs="仿宋"/>
          <w:b/>
          <w:bCs/>
          <w:color w:val="000000" w:themeColor="text1"/>
          <w:spacing w:val="-6"/>
          <w:sz w:val="24"/>
          <w:szCs w:val="24"/>
          <w:highlight w:val="none"/>
          <w:lang w:eastAsia="zh-CN"/>
          <w14:textFill>
            <w14:solidFill>
              <w14:schemeClr w14:val="tx1"/>
            </w14:solidFill>
          </w14:textFill>
        </w:rPr>
      </w:pPr>
    </w:p>
    <w:bookmarkEnd w:id="42"/>
    <w:bookmarkEnd w:id="43"/>
    <w:p w14:paraId="136F7423">
      <w:pPr>
        <w:spacing w:before="293" w:line="205" w:lineRule="auto"/>
        <w:ind w:left="2644"/>
        <w:outlineLvl w:val="0"/>
        <w:rPr>
          <w:rFonts w:ascii="仿宋" w:hAnsi="仿宋" w:eastAsia="仿宋" w:cs="仿宋"/>
          <w:b/>
          <w:bCs/>
          <w:color w:val="000000" w:themeColor="text1"/>
          <w:spacing w:val="8"/>
          <w:sz w:val="35"/>
          <w:szCs w:val="35"/>
          <w:highlight w:val="none"/>
          <w:lang w:eastAsia="zh-CN"/>
          <w14:textFill>
            <w14:solidFill>
              <w14:schemeClr w14:val="tx1"/>
            </w14:solidFill>
          </w14:textFill>
        </w:rPr>
      </w:pPr>
      <w:bookmarkStart w:id="44" w:name="bookmark6"/>
      <w:bookmarkEnd w:id="44"/>
      <w:bookmarkStart w:id="45" w:name="_Toc7544"/>
      <w:bookmarkStart w:id="46" w:name="_Toc32041"/>
      <w:bookmarkStart w:id="47" w:name="_Toc22191"/>
      <w:r>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t>第四章   采购需求</w:t>
      </w:r>
      <w:bookmarkEnd w:id="45"/>
      <w:bookmarkEnd w:id="46"/>
    </w:p>
    <w:p w14:paraId="6CDEF3C2">
      <w:pPr>
        <w:pStyle w:val="16"/>
        <w:kinsoku/>
        <w:autoSpaceDE/>
        <w:autoSpaceDN/>
        <w:adjustRightInd/>
        <w:snapToGrid/>
        <w:spacing w:beforeAutospacing="0" w:after="0" w:afterAutospacing="0"/>
        <w:jc w:val="both"/>
        <w:textAlignment w:val="auto"/>
        <w:rPr>
          <w:rFonts w:ascii="仿宋" w:hAnsi="仿宋" w:eastAsia="仿宋" w:cs="仿宋"/>
          <w:color w:val="000000" w:themeColor="text1"/>
          <w:szCs w:val="24"/>
          <w:highlight w:val="none"/>
          <w14:textFill>
            <w14:solidFill>
              <w14:schemeClr w14:val="tx1"/>
            </w14:solidFill>
          </w14:textFill>
        </w:rPr>
      </w:pPr>
      <w:bookmarkStart w:id="48" w:name="_Hlk110361022"/>
      <w:bookmarkStart w:id="49" w:name="_Toc80870654"/>
      <w:r>
        <w:rPr>
          <w:rFonts w:hint="eastAsia" w:ascii="仿宋" w:hAnsi="仿宋" w:eastAsia="仿宋" w:cs="仿宋"/>
          <w:b/>
          <w:color w:val="000000" w:themeColor="text1"/>
          <w:szCs w:val="24"/>
          <w:highlight w:val="none"/>
          <w14:textFill>
            <w14:solidFill>
              <w14:schemeClr w14:val="tx1"/>
            </w14:solidFill>
          </w14:textFill>
        </w:rPr>
        <w:t>(一)项目内容</w:t>
      </w:r>
    </w:p>
    <w:p w14:paraId="714F75DF">
      <w:pPr>
        <w:pStyle w:val="16"/>
        <w:kinsoku/>
        <w:autoSpaceDE/>
        <w:autoSpaceDN/>
        <w:adjustRightInd/>
        <w:snapToGrid/>
        <w:spacing w:beforeAutospacing="0" w:after="0" w:afterAutospacing="0"/>
        <w:jc w:val="both"/>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1、档案数字化：要求对待加工档案进行扫描前整理，包括对案卷内情况进行登记、扫描文件选择、目录数据校对及信息条目补录等工作环节：①对室藏纸质档案进行数字化加工，数量约为54万页，按A4幅面计算，4万条的信息著录、3万条的条目信息校对。②进行对库藏档案的换封皮、目录；③信息目录录入。协助完成库存档案移交工作。</w:t>
      </w:r>
    </w:p>
    <w:p w14:paraId="66FF7DDE">
      <w:pPr>
        <w:pStyle w:val="16"/>
        <w:kinsoku/>
        <w:autoSpaceDE/>
        <w:autoSpaceDN/>
        <w:adjustRightInd/>
        <w:snapToGrid/>
        <w:spacing w:beforeAutospacing="0" w:after="0" w:afterAutospacing="0"/>
        <w:jc w:val="both"/>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2、档案管理系统运维：按照甲方要求，做好档案管理系统的日常维护工作，配合甲方做好系统功能优化、等级保护和密码应用测评的技术支持和问题整改工作。</w:t>
      </w:r>
    </w:p>
    <w:p w14:paraId="152940F2">
      <w:pPr>
        <w:pStyle w:val="16"/>
        <w:kinsoku/>
        <w:autoSpaceDE/>
        <w:autoSpaceDN/>
        <w:adjustRightInd/>
        <w:snapToGrid/>
        <w:spacing w:beforeAutospacing="0" w:after="0" w:afterAutospacing="0"/>
        <w:jc w:val="both"/>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3、完</w:t>
      </w:r>
      <w:r>
        <w:rPr>
          <w:rFonts w:hint="eastAsia" w:ascii="仿宋" w:hAnsi="仿宋" w:eastAsia="仿宋" w:cs="仿宋"/>
          <w:color w:val="000000" w:themeColor="text1"/>
          <w:szCs w:val="24"/>
          <w:highlight w:val="none"/>
          <w:lang w:eastAsia="zh-CN"/>
          <w14:textFill>
            <w14:solidFill>
              <w14:schemeClr w14:val="tx1"/>
            </w14:solidFill>
          </w14:textFill>
        </w:rPr>
        <w:t>成档案管理系统升级，实现电子档案在线归档、采集、查询；完成办公系统接口开发及对接，并辅助完成2026年上半年的文书档案在线归档工作。整理数字档案室测评报告。</w:t>
      </w:r>
    </w:p>
    <w:p w14:paraId="787890E8">
      <w:pPr>
        <w:pStyle w:val="16"/>
        <w:kinsoku/>
        <w:autoSpaceDE/>
        <w:autoSpaceDN/>
        <w:adjustRightInd/>
        <w:snapToGrid/>
        <w:spacing w:beforeAutospacing="0" w:after="0" w:afterAutospacing="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(二）对投标单位要求</w:t>
      </w:r>
    </w:p>
    <w:p w14:paraId="785A4B60">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1、供应商应具有档案数字化加工必要的专业技术和相应的软硬件设备，确保有稳定、专业的档案扫描数字化加工服务队伍。</w:t>
      </w:r>
    </w:p>
    <w:p w14:paraId="6354F5D0">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供应商在投标文件中根据本项目需求提出完整的解决方案，并提出纸张质地状况较差档案扫描的实现方法，确保较薄纸张（如信纸、便笺纸)、破损纸张、底灰较深（如草浆纸、油印纸）、字迹较浅（如铅笔字迹）等纸张质地状况较差的档案扫描图像清晰，又不损伤档案原件。</w:t>
      </w:r>
    </w:p>
    <w:p w14:paraId="6177088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供应商根据对本项目的理解，在技术文件中明确提出档案加工作业流程，图像处理方法，质量控制及差错防范措施。要求供应商在档案数字化加工的各个环节都有相应的检测软件对图像数据信息、目录数据信息的完整性、准确性和图文挂接的准确率进行自检，同时为招标方提供一套准确、方便快捷的检测软件对加工成果质量进行验收。（项目质量保证体系）</w:t>
      </w:r>
    </w:p>
    <w:p w14:paraId="74893B5F">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4、供应商须在投标方案中明确加工场地规划提供的扫描场地大于等于40平方米，说明所配备的硬件数量及规格，软件和网络环境，人员分工安排等。</w:t>
      </w:r>
    </w:p>
    <w:p w14:paraId="4C2F946C">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5、供应商应按照项目需求提出相应的具体进度计划安排。        </w:t>
      </w:r>
    </w:p>
    <w:p w14:paraId="7CBF1B12">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6、供应商系统运维人员具有安全运维资质。</w:t>
      </w:r>
    </w:p>
    <w:p w14:paraId="365A9D1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7、供应商完成现有档案系统升级，实现现有档案的采集、归档、管理和利用。</w:t>
      </w:r>
    </w:p>
    <w:p w14:paraId="6F718F29">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8、完成与办公系统接口开发与对接，实现收（发）文自动归档，电子文件自动捕获，流程信息同步归档，利用程序联动，档案移交、销毁、鉴定流程互通，档案数据统计自动同步。</w:t>
      </w:r>
    </w:p>
    <w:p w14:paraId="7AF73F97">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9</w:t>
      </w:r>
      <w:r>
        <w:rPr>
          <w:rFonts w:hint="eastAsia" w:ascii="仿宋" w:hAnsi="仿宋" w:eastAsia="仿宋" w:cs="仿宋"/>
          <w:color w:val="000000" w:themeColor="text1"/>
          <w:szCs w:val="24"/>
          <w:highlight w:val="none"/>
          <w14:textFill>
            <w14:solidFill>
              <w14:schemeClr w14:val="tx1"/>
            </w14:solidFill>
          </w14:textFill>
        </w:rPr>
        <w:t xml:space="preserve"> 供应商必须在投标文件中确定项目主管，说明主要参与人员的职责及任务，并附简历。所确定的人员原则上不允许更换，如更换须经采购人同意。</w:t>
      </w:r>
    </w:p>
    <w:p w14:paraId="18F2D341">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10</w:t>
      </w:r>
      <w:r>
        <w:rPr>
          <w:rFonts w:hint="eastAsia" w:ascii="仿宋" w:hAnsi="仿宋" w:eastAsia="仿宋" w:cs="仿宋"/>
          <w:color w:val="000000" w:themeColor="text1"/>
          <w:szCs w:val="24"/>
          <w:highlight w:val="none"/>
          <w14:textFill>
            <w14:solidFill>
              <w14:schemeClr w14:val="tx1"/>
            </w14:solidFill>
          </w14:textFill>
        </w:rPr>
        <w:t>、供应商必须在投标文件中明确数字化加工现场的安全、保密、人员管理制度。为确保扫描过程中的档案安全，需要投标方在工作场所安装探头，对扫描加工过程实施全程监控、录像。（项目安全保证体系）</w:t>
      </w:r>
    </w:p>
    <w:p w14:paraId="2E3966D5">
      <w:pPr>
        <w:pStyle w:val="16"/>
        <w:kinsoku/>
        <w:autoSpaceDE/>
        <w:autoSpaceDN/>
        <w:adjustRightInd/>
        <w:snapToGrid/>
        <w:spacing w:beforeAutospacing="0" w:after="0" w:afterAutospacing="0"/>
        <w:jc w:val="both"/>
        <w:textAlignment w:val="auto"/>
        <w:rPr>
          <w:rFonts w:ascii="仿宋" w:hAnsi="仿宋" w:eastAsia="仿宋" w:cs="仿宋"/>
          <w:b/>
          <w:bCs/>
          <w:color w:val="000000" w:themeColor="text1"/>
          <w:szCs w:val="24"/>
          <w:highlight w:val="none"/>
          <w:lang w:eastAsia="zh-CN"/>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(三）</w:t>
      </w:r>
      <w:r>
        <w:rPr>
          <w:rFonts w:hint="eastAsia" w:ascii="仿宋" w:hAnsi="仿宋" w:eastAsia="仿宋" w:cs="仿宋"/>
          <w:b/>
          <w:bCs/>
          <w:color w:val="000000" w:themeColor="text1"/>
          <w:szCs w:val="24"/>
          <w:highlight w:val="none"/>
          <w:lang w:eastAsia="zh-CN"/>
          <w14:textFill>
            <w14:solidFill>
              <w14:schemeClr w14:val="tx1"/>
            </w14:solidFill>
          </w14:textFill>
        </w:rPr>
        <w:t>档案数字化工作要求</w:t>
      </w:r>
    </w:p>
    <w:p w14:paraId="5D473B17">
      <w:pPr>
        <w:pStyle w:val="16"/>
        <w:kinsoku/>
        <w:autoSpaceDE/>
        <w:autoSpaceDN/>
        <w:adjustRightInd/>
        <w:snapToGrid/>
        <w:spacing w:beforeAutospacing="0" w:after="0" w:afterAutospacing="0"/>
        <w:ind w:firstLine="482" w:firstLineChars="20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总体质量要求</w:t>
      </w:r>
    </w:p>
    <w:p w14:paraId="115C107B">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1、要求采用A4高速扫描、平板扫描方式，以确保在扫描过程中不对档案原件造成二次损伤。</w:t>
      </w:r>
    </w:p>
    <w:p w14:paraId="3210529F">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2、符合国家标准《纸质档案数字化技术规范》、和自治区《档案数据接收规范及著录要求》。</w:t>
      </w:r>
    </w:p>
    <w:p w14:paraId="1F3CEB56">
      <w:pPr>
        <w:pStyle w:val="16"/>
        <w:kinsoku/>
        <w:autoSpaceDE/>
        <w:autoSpaceDN/>
        <w:adjustRightInd/>
        <w:snapToGrid/>
        <w:spacing w:beforeAutospacing="0" w:after="0" w:afterAutospacing="0"/>
        <w:ind w:firstLine="42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3、保证档案扫描图像与原件一致、整洁、清晰。</w:t>
      </w:r>
    </w:p>
    <w:p w14:paraId="5D33482E">
      <w:pPr>
        <w:pStyle w:val="16"/>
        <w:kinsoku/>
        <w:autoSpaceDE/>
        <w:autoSpaceDN/>
        <w:adjustRightInd/>
        <w:snapToGrid/>
        <w:spacing w:beforeAutospacing="0" w:after="0" w:afterAutospacing="0"/>
        <w:ind w:firstLine="482" w:firstLineChars="20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档案整理</w:t>
      </w:r>
    </w:p>
    <w:p w14:paraId="0EE569BF">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档案整理、装订在扫描之前，对待加工档案实体进行适当整理，并视需要作出标识，确保档案数字化质量。档案扫描完成后，拆除过装订物的档案要进行细致认真的装订。具体装订要求如下：</w:t>
      </w:r>
    </w:p>
    <w:p w14:paraId="21A1989F">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1、遵循尽可能保持档案原貌的原则，对扫描后的档案进行装订。并保持每页档案 原有的排列顺序不变。</w:t>
      </w:r>
    </w:p>
    <w:p w14:paraId="03B9B191">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2、档案装订应按照历史档案原有的装订方向进行，不可更换装订的位置（如：改右装订为左装订）。</w:t>
      </w:r>
    </w:p>
    <w:p w14:paraId="76FDEDB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3、对于装订时某些页面必须进行折叠的情况，应以尽可能地减少折痕数为原则，能不折叠就尽量不折叠。</w:t>
      </w:r>
    </w:p>
    <w:p w14:paraId="3AC7F105">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4、档案装订必须釆用专业装订线进行装订，不可使用金属装订物；如原始档案中发现金属装订物，应予以剔除。</w:t>
      </w:r>
    </w:p>
    <w:p w14:paraId="5891AFB6">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5、档案装订，应遵循“两对齐”要求，即装订线一侧边缘对齐，档案内页下边缘对齐。</w:t>
      </w:r>
    </w:p>
    <w:p w14:paraId="64C5C1B1">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6、档案装订应尽可能地按照原来的装订孔位进行穿线装订，尽量不要新打孔装订，力求保护原件。</w:t>
      </w:r>
    </w:p>
    <w:p w14:paraId="28D22687">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7、投标方将加工完成的档案分期分批移交招标方，交接双方在交接清单上签字， 完成交接验收工作，招标方档案管理人员负责将案卷退回库房。</w:t>
      </w:r>
    </w:p>
    <w:p w14:paraId="6884344E">
      <w:pPr>
        <w:pStyle w:val="16"/>
        <w:kinsoku/>
        <w:autoSpaceDE/>
        <w:autoSpaceDN/>
        <w:adjustRightInd/>
        <w:snapToGrid/>
        <w:spacing w:beforeAutospacing="0" w:after="0" w:afterAutospacing="0"/>
        <w:ind w:firstLine="482" w:firstLineChars="20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档案扫描</w:t>
      </w:r>
    </w:p>
    <w:p w14:paraId="200DD0E3">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1、扫描方式</w:t>
      </w:r>
    </w:p>
    <w:p w14:paraId="54CB37BD">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根据档案幅面的大小选择相应规格的专业扫描仪进行扫描。大幅面档案可采用专用数码平台进行扫描或者采用图像拼接方式处理。同一页面有两个以上文件，需分别扫描。 要求采用平板拍描方式，以保护档案原件。</w:t>
      </w:r>
    </w:p>
    <w:p w14:paraId="0A4EBEF5">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2、扫描色彩模式：</w:t>
      </w:r>
    </w:p>
    <w:p w14:paraId="36A25B8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(1)页面为灰度、彩色两色，但字迹清晰度差或带有插图的档案，以及页面为多色文字的档案，采用灰度模式扫描。</w:t>
      </w:r>
    </w:p>
    <w:p w14:paraId="3DF31E4C">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(2)页面中有彩色插图的档案（如《环境监察》杂志封面、编辑的图册等），可视需要釆用彩色模式进行扫描。</w:t>
      </w:r>
    </w:p>
    <w:p w14:paraId="05080250">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3、扫描分辨率</w:t>
      </w:r>
    </w:p>
    <w:p w14:paraId="5EFAF367">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纸质档案扫描影像文件的精度为300DPI；照片黑白影像文件的精度为300dpi，照片彩色影像文件的精度为300dpi，</w:t>
      </w:r>
    </w:p>
    <w:p w14:paraId="3133BCBA">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4、扫描登记</w:t>
      </w:r>
    </w:p>
    <w:p w14:paraId="4172D3C5">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认真填写纸质档案数字化转换过程交接登记表单，登记扫描档案的页数、色彩模式、分辨率等。在登记的同时应注意核对每份文件的实际扫描页数与档案整理登记单时填写的文件页数是否一致，发现漏扫或错扫时应及时补扫，并在登记表上注明原因和处理方法。</w:t>
      </w:r>
    </w:p>
    <w:p w14:paraId="61670CEE">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5、扫描加工要求</w:t>
      </w:r>
    </w:p>
    <w:p w14:paraId="1B00FD80">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（1）根据招标方提供的工作单核对目录，修改有错误的目录并将档案实体按照实际扫描页重新编号并填写到工作单中，作为文件和质检依据。</w:t>
      </w:r>
    </w:p>
    <w:p w14:paraId="43DF7B53">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（2）启钉、拆分，保证纸张的平整、抚平边角。</w:t>
      </w:r>
    </w:p>
    <w:p w14:paraId="49803FA9">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（3）采用最为可靠的扫描设备和扫描方式完成档案扫描，避免纸张褶皱、撕裂、破损等情况的发生。</w:t>
      </w:r>
    </w:p>
    <w:p w14:paraId="569E981A">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（4）如遇到档案纸张质地脆弱，不适合反复拆装订的档案，应采用不拆卷扫描设备和方式进行扫描。</w:t>
      </w:r>
    </w:p>
    <w:p w14:paraId="204984F5">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（5）扫描时，应根据纸张质地、底色、薄厚程度等因素，设置最佳的扫描明暗度、 对比度设置，保证原始扫描图像效果与原件吻合。</w:t>
      </w:r>
    </w:p>
    <w:p w14:paraId="4DAEEBC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（6）采用平板或高速进纸方式扫描，尽量确保纸张扫描时放置端正，从而保证原始扫描图像无歪斜，减少后期处理可能带来的图像失真。</w:t>
      </w:r>
    </w:p>
    <w:p w14:paraId="4564C1DC">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（7）对于档案中折子页、图纸、表格等应整页扫描。超长页进行分页扫描后，要拼接成一页。同一页面有两个以上文件，需分别扫描。</w:t>
      </w:r>
    </w:p>
    <w:p w14:paraId="4D42734C">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6、</w:t>
      </w:r>
      <w:r>
        <w:rPr>
          <w:rFonts w:hint="eastAsia" w:ascii="仿宋" w:hAnsi="仿宋" w:eastAsia="仿宋" w:cs="仿宋"/>
          <w:color w:val="000000" w:themeColor="text1"/>
          <w:szCs w:val="24"/>
          <w:highlight w:val="none"/>
          <w14:textFill>
            <w14:solidFill>
              <w14:schemeClr w14:val="tx1"/>
            </w14:solidFill>
          </w14:textFill>
        </w:rPr>
        <w:t>扫描后的影像存储格式</w:t>
      </w:r>
    </w:p>
    <w:p w14:paraId="51BDD471">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照片档案及特殊档案，需采用灰度或彩色扫描或特殊处理，灰度和彩色影像采用JPEG格式，图像压缩格式为JPEG。单盘调阅存储光盘内为 Microsoft Access数据库；光盘单盘调阅的图像存储方式釆用多页TIFF格式；长久保存的光盘的图像存储方式采用单页TIFF格式。</w:t>
      </w:r>
    </w:p>
    <w:p w14:paraId="34F467D0">
      <w:pPr>
        <w:pStyle w:val="16"/>
        <w:kinsoku/>
        <w:autoSpaceDE/>
        <w:autoSpaceDN/>
        <w:adjustRightInd/>
        <w:snapToGrid/>
        <w:spacing w:beforeAutospacing="0" w:after="0" w:afterAutospacing="0"/>
        <w:ind w:firstLine="482" w:firstLineChars="20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扫描图像处理</w:t>
      </w:r>
    </w:p>
    <w:p w14:paraId="5469845F">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扫描后的原始图像需要进行优化处理，使得成品图像清晰、端正。根据档案扫描后的具体情况，要进行如下图像处理：</w:t>
      </w:r>
    </w:p>
    <w:p w14:paraId="3F8AFB66">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1、纠偏：采用自动或手动纠偏功能，调整图像角度。图像偏斜度不得大于2度，对方向不正确的图像应进行旋转还原，以符合阅读习惯。</w:t>
      </w:r>
    </w:p>
    <w:p w14:paraId="11CFD9E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2、去污及裁边处理：对图像页面中出现的影响图像质量的杂质如黑点、黑线、黑框、 黑边等应进行去污处理。处理过程中应遵循在不影响可懂度的前提下展现档案原貌的原则。为了节省存储空间，应对图像进行裁边处理，去除多余白边。</w:t>
      </w:r>
    </w:p>
    <w:p w14:paraId="556BA7BE">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3、字迹洇透：采用字迹锐化的功能，清晰字迹笔画。</w:t>
      </w:r>
    </w:p>
    <w:p w14:paraId="6417AF4D">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4、图像深浅不一：采用平衡功能，调整图像深浅一致。</w:t>
      </w:r>
    </w:p>
    <w:p w14:paraId="2B617B27">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5、图像拼接：对大幅面档案进行分区扫描形成的多幅图像，应进行拼接处理，合并为一个完整的图像，以保证档案数字化图像的整体性。</w:t>
      </w:r>
    </w:p>
    <w:p w14:paraId="175373A9">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7、图像数据质量检验</w:t>
      </w:r>
    </w:p>
    <w:p w14:paraId="0AE6F247">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（1）对图像偏斜度、清晰度、失真度等进行检查。发现不符合图像质量要求时，应重新进行图像的处理。</w:t>
      </w:r>
    </w:p>
    <w:p w14:paraId="5605341F">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（2）由于操作不当，造成扫描的图像文件不完整或无法清晰识别时，应重新扫描。</w:t>
      </w:r>
    </w:p>
    <w:p w14:paraId="5653BB61">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（3）发现文件漏扫时，应及时补扫并正确插入图像。</w:t>
      </w:r>
    </w:p>
    <w:p w14:paraId="7D73F5AA">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（4）发现扫描图像的排列顺序与档案原件不一致时，应及时进行调整。</w:t>
      </w:r>
    </w:p>
    <w:p w14:paraId="4B74B1A9">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（5）认真填写相关表单，记录质检结果和处理意见。</w:t>
      </w:r>
    </w:p>
    <w:p w14:paraId="29A77CC0">
      <w:pPr>
        <w:pStyle w:val="16"/>
        <w:kinsoku/>
        <w:autoSpaceDE/>
        <w:autoSpaceDN/>
        <w:adjustRightInd/>
        <w:snapToGrid/>
        <w:spacing w:beforeAutospacing="0" w:after="0" w:afterAutospacing="0"/>
        <w:ind w:firstLine="482" w:firstLineChars="20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图像存储</w:t>
      </w:r>
    </w:p>
    <w:p w14:paraId="0182870B">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1、存储格式</w:t>
      </w:r>
    </w:p>
    <w:p w14:paraId="2CF01A2B">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原始保存图像数据格式应为采用单页的TIFF或者JPG格式存储。同一全宗内，只能选择一种格式，不得混用。</w:t>
      </w:r>
    </w:p>
    <w:p w14:paraId="7B0134C5">
      <w:pPr>
        <w:pStyle w:val="16"/>
        <w:kinsoku/>
        <w:autoSpaceDE/>
        <w:autoSpaceDN/>
        <w:adjustRightInd/>
        <w:snapToGrid/>
        <w:spacing w:beforeAutospacing="0" w:after="0" w:afterAutospacing="0"/>
        <w:ind w:firstLine="482" w:firstLineChars="20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目录建库及著录</w:t>
      </w:r>
    </w:p>
    <w:p w14:paraId="58FE5DA4">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1、目录数据格式选择</w:t>
      </w:r>
    </w:p>
    <w:p w14:paraId="7BADA0B9">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目录建库应选择通用的数据格式，所选定的数据格式应能通过XML文档进行数据交换。XML文档定义待加工企业签订合同时在有关技术附件中明确。</w:t>
      </w:r>
    </w:p>
    <w:p w14:paraId="037FCEB2">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目录数据在图像外单独存储，数据能导出DBF、EXCEL和HT格式进行保存。EXCEL 格式用于目录打印，XML格式用于数据交换浏览。</w:t>
      </w:r>
    </w:p>
    <w:p w14:paraId="642C45D4">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2、目录著录</w:t>
      </w:r>
    </w:p>
    <w:p w14:paraId="37F74237">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按照文书档案的《电子版档案数据接收规范及著录要求》形成案卷目录和卷内文件目录。</w:t>
      </w:r>
    </w:p>
    <w:p w14:paraId="1F98408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3、目录数据质量检查</w:t>
      </w:r>
    </w:p>
    <w:p w14:paraId="1EBCE62B">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采用人工校对或软件自动校对的方式，对目录数据库的建库质量进行检查，核对著录项目是否完整、著录内容是否规范、准确，发现不合格的数据进行修改或重录。</w:t>
      </w:r>
    </w:p>
    <w:p w14:paraId="0DB093CD">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4、加工企业在加工期间必须免费为自治区生态环境厅提供独立的目录数据质检系统和统计系统。</w:t>
      </w:r>
    </w:p>
    <w:p w14:paraId="5868E71A">
      <w:pPr>
        <w:pStyle w:val="16"/>
        <w:kinsoku/>
        <w:autoSpaceDE/>
        <w:autoSpaceDN/>
        <w:adjustRightInd/>
        <w:snapToGrid/>
        <w:spacing w:beforeAutospacing="0" w:after="0" w:afterAutospacing="0"/>
        <w:ind w:firstLine="482" w:firstLineChars="20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数据挂接</w:t>
      </w:r>
    </w:p>
    <w:p w14:paraId="5BCACDD5">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扫描完成后的图像数据，需要与目录数据进行一一对应。其中，扫描文件以卷为单位进行存储，案卷目录应对应到相应图像文件所在的文件夹；卷内目录应对应到相应页 数的图像文件。</w:t>
      </w:r>
    </w:p>
    <w:p w14:paraId="116434B6">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1、汇总挂接</w:t>
      </w:r>
    </w:p>
    <w:p w14:paraId="1E36F497">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档案数字化转换过程中形成的目录数据库与图像数据库，通过质检环节确认为“合格”后，通过在线或离线方式加载到数据服务器端汇总。通过编制程序或借助相应软件，实现目录数据对相关联的数字图像的批量、快速挂接。索引挂接要求兼容性良好，保证数据的安全性，防止数据泄漏和溢出。</w:t>
      </w:r>
    </w:p>
    <w:p w14:paraId="1009C78B">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2、数据关联</w:t>
      </w:r>
    </w:p>
    <w:p w14:paraId="62EC44A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以纸质档案目录数据库为依据，将每一份纸质档案文件扫描所得的一个或多个图像存储为一份图像文件。将图像文件存储到相应文件夹时，要认真核查每一份图像文件的名称与档案目录数据库中该份文件的档号是否相同，图像文件的页数与档案目录数据库中该份文件的页数是否一致，图像文件的总数与目录数据库中文件的总数是否相同等。通过每一份图像文件的文件名与档案目录数据库中该份文件的档号的一致性和唯一性，建立起一一对应的关联关系，为实现档案目录数据库与图像文件的批量挂接提供条件。</w:t>
      </w:r>
    </w:p>
    <w:p w14:paraId="036BCC29">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3、交接登记</w:t>
      </w:r>
    </w:p>
    <w:p w14:paraId="116887FA">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认真填写纸质档案数字化转换过程交接登记表单，记录数据关联后的页数，核对每</w:t>
      </w:r>
    </w:p>
    <w:p w14:paraId="78834670">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一份文件关联后的页数与档案整理、扫描时填写的页数是否一致，不一致时应注明具体原 因和处理办法。</w:t>
      </w:r>
    </w:p>
    <w:p w14:paraId="57138DE8">
      <w:pPr>
        <w:pStyle w:val="16"/>
        <w:kinsoku/>
        <w:autoSpaceDE/>
        <w:autoSpaceDN/>
        <w:adjustRightInd/>
        <w:snapToGrid/>
        <w:spacing w:beforeAutospacing="0" w:after="0" w:afterAutospacing="0"/>
        <w:ind w:firstLine="482" w:firstLineChars="20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数据验收</w:t>
      </w:r>
    </w:p>
    <w:p w14:paraId="5184C98F">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投标方要建立严格的质量自检系统。可采用软件自动核对的方式以年度为单位进行 逐页检查，包括图像数据信息完整性检查、目录数据准确性检查、图像挂接准确性检查等。投标方应确保档案目录数据与档案扫描图像的一一对应，扫描图像与案卷目录、卷内目录100%挂接正确，并将正确的数据导入档案管理数据库中，确保加工扫描成果在招标方所使用的档案管理系统中有效检索和显示。加工企业必须根据自治区生态环境厅档案实际情况，提供有管理能力的数据质量管理检测系统来保证以下几个方面的数据加工质量。</w:t>
      </w:r>
    </w:p>
    <w:p w14:paraId="7A2B826E">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1、目录数据验收</w:t>
      </w:r>
    </w:p>
    <w:p w14:paraId="14F667F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以年度为单位，对条目数量及其著录项目内容的准确性进行逐页检查，要求：（1） 档号的合格率达到100%; 录入的合格率要求达到100%; (3)选择扫描的文件页码的准确率要达到95%，不得漏缺页 (著录必须与原件一致，若原件有误必须注明并进行修改，确保最后挂接时具有唯一性）。(4)其他项目合格率达到98%以上（含98%)。</w:t>
      </w:r>
    </w:p>
    <w:p w14:paraId="3BD422B5">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2、图像数据验收</w:t>
      </w:r>
    </w:p>
    <w:p w14:paraId="7B884169">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以年度为单位，对图像数量及其图像内容的准确性进行检查。图像应符合本规范中 所规定的扫描分辨率、文件格式及色彩模式。要求：（1）图像文件的命名必须与条自档号相一致，准确率100%; (2)扫描图像完整性要求100%正确，完整性包括顺序准确，不多页少页，保持档案原版原貌；（3）图像的倾斜度、清晰度、整洁度等技术指标符合要求，要求抽检合格率达到98%以上(含98%)。</w:t>
      </w:r>
    </w:p>
    <w:p w14:paraId="307EE698">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3、图文挂接准确率：档案目录数据（包含案卷目录和卷内目录）与扫描图像100%正确对应。</w:t>
      </w:r>
    </w:p>
    <w:p w14:paraId="0A8D1995">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方进行全检后的数据要及时提交招标方进行验收。以上要求如发现一条不合格的，招标方有权不予提供错误数据并且不再提供下一批案卷，并将该批案卷全部退回给投标方重新检查修改，直到质检合格，因此造成的后果由投标方负责。招标方对一批次加工成果质量验收合格后，双方在当批次数据的验收报告上签字确定，投标方方能进入下一批次的档案接收扫描。</w:t>
      </w:r>
    </w:p>
    <w:p w14:paraId="6205F787">
      <w:pPr>
        <w:pStyle w:val="16"/>
        <w:kinsoku/>
        <w:autoSpaceDE/>
        <w:autoSpaceDN/>
        <w:adjustRightInd/>
        <w:snapToGrid/>
        <w:spacing w:beforeAutospacing="0" w:after="0" w:afterAutospacing="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(十二）数据备份</w:t>
      </w:r>
    </w:p>
    <w:p w14:paraId="2681A445">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1、投标方要将验收合格的完整数据及时进行备份，并向招标方移交。</w:t>
      </w:r>
    </w:p>
    <w:p w14:paraId="373C39EB">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2、备份方式：</w:t>
      </w:r>
    </w:p>
    <w:p w14:paraId="1B5B388D">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（1）验收合格的完整数据及时导入招标方专用服务器实行在线存储备份，保证档案的利用与安全。</w:t>
      </w:r>
    </w:p>
    <w:p w14:paraId="6C14A87A">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（2）刻录DVD光盘一式二份（普通光盘）：</w:t>
      </w:r>
    </w:p>
    <w:p w14:paraId="0EDC166E">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300dpi数据光盘应包括：本盘内所包含档案卷号及图像清单（Excel格式）；档案扫描图像文件数据和档案目录数据；</w:t>
      </w:r>
    </w:p>
    <w:p w14:paraId="005397BF">
      <w:pPr>
        <w:pStyle w:val="16"/>
        <w:kinsoku/>
        <w:autoSpaceDE/>
        <w:autoSpaceDN/>
        <w:adjustRightInd/>
        <w:snapToGrid/>
        <w:spacing w:beforeAutospacing="0" w:after="0" w:afterAutospacing="0"/>
        <w:jc w:val="both"/>
        <w:textAlignment w:val="auto"/>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（十三）档案管理系统运维</w:t>
      </w:r>
    </w:p>
    <w:p w14:paraId="21FF0F84">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1、投标方每月对自治区生态环境厅档案管理系统的应用和数据库运行情况进行巡检；</w:t>
      </w:r>
    </w:p>
    <w:p w14:paraId="24A084BB">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2、投标方每周对档案管理系统的安全性进行检查，对数据库进行备份，确保应用安全和数据安全；</w:t>
      </w:r>
    </w:p>
    <w:p w14:paraId="64D2C1C1">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3、根据甲方实际需求做好系统用户的使用培训和技术支持工作；</w:t>
      </w:r>
    </w:p>
    <w:p w14:paraId="6E3BD5AD">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4、根据工作要求不断完善平台功能，以满足自治区生态环境厅环境业务管理的需要；</w:t>
      </w:r>
    </w:p>
    <w:p w14:paraId="5F2D6F3A">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5、按照甲方要求，对系统开展档案管理系统等级保护测评和密码应用测评工作中发现的问题进行整改。</w:t>
      </w:r>
    </w:p>
    <w:p w14:paraId="697D2855">
      <w:pPr>
        <w:pStyle w:val="16"/>
        <w:shd w:val="clear" w:color="auto" w:fill="FFFFFF"/>
        <w:tabs>
          <w:tab w:val="left" w:pos="850"/>
        </w:tabs>
        <w:spacing w:beforeAutospacing="0" w:after="0" w:afterAutospacing="0"/>
        <w:ind w:firstLine="178" w:firstLineChars="74"/>
        <w:jc w:val="both"/>
        <w:rPr>
          <w:rFonts w:ascii="仿宋" w:hAnsi="仿宋" w:eastAsia="仿宋" w:cs="仿宋"/>
          <w:b/>
          <w:color w:val="000000" w:themeColor="text1"/>
          <w:kern w:val="2"/>
          <w:szCs w:val="24"/>
          <w:highlight w:val="none"/>
          <w14:textFill>
            <w14:solidFill>
              <w14:schemeClr w14:val="tx1"/>
            </w14:solidFill>
          </w14:textFill>
        </w:rPr>
      </w:pPr>
      <w:r>
        <w:rPr>
          <w:rFonts w:hint="eastAsia" w:ascii="仿宋" w:hAnsi="仿宋" w:eastAsia="仿宋" w:cs="仿宋"/>
          <w:b/>
          <w:color w:val="000000" w:themeColor="text1"/>
          <w:kern w:val="2"/>
          <w:szCs w:val="24"/>
          <w:highlight w:val="none"/>
          <w14:textFill>
            <w14:solidFill>
              <w14:schemeClr w14:val="tx1"/>
            </w14:solidFill>
          </w14:textFill>
        </w:rPr>
        <w:t>（四）系统维护工作要求。</w:t>
      </w:r>
    </w:p>
    <w:p w14:paraId="45C115CA">
      <w:pPr>
        <w:pStyle w:val="16"/>
        <w:shd w:val="clear" w:color="auto" w:fill="FFFFFF"/>
        <w:tabs>
          <w:tab w:val="left" w:pos="850"/>
        </w:tabs>
        <w:spacing w:beforeAutospacing="0" w:after="0" w:afterAutospacing="0"/>
        <w:ind w:firstLine="178"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 1、对系统维护的基本要求。</w:t>
      </w:r>
    </w:p>
    <w:p w14:paraId="577B3842">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（1）投标单位必须具有软件开发和维护能力。</w:t>
      </w:r>
    </w:p>
    <w:p w14:paraId="6B87EB2F">
      <w:pPr>
        <w:pStyle w:val="16"/>
        <w:shd w:val="clear" w:color="auto" w:fill="FFFFFF"/>
        <w:tabs>
          <w:tab w:val="left" w:pos="850"/>
          <w:tab w:val="right" w:pos="9642"/>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（2）投标单位具备投标产品著作权证书或产品授权证书。</w:t>
      </w:r>
      <w:r>
        <w:rPr>
          <w:rFonts w:hint="eastAsia" w:ascii="仿宋" w:hAnsi="仿宋" w:eastAsia="仿宋" w:cs="仿宋"/>
          <w:bCs/>
          <w:color w:val="000000" w:themeColor="text1"/>
          <w:kern w:val="2"/>
          <w:szCs w:val="24"/>
          <w:highlight w:val="none"/>
          <w14:textFill>
            <w14:solidFill>
              <w14:schemeClr w14:val="tx1"/>
            </w14:solidFill>
          </w14:textFill>
        </w:rPr>
        <w:tab/>
      </w:r>
    </w:p>
    <w:p w14:paraId="1FD4BB7F">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（3）投标单位必须在乌鲁木齐建立针对本系统的维护中心。</w:t>
      </w:r>
    </w:p>
    <w:p w14:paraId="74743C72">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（4）投标单位必须具有稳定、可靠的技术支持人员。</w:t>
      </w:r>
    </w:p>
    <w:p w14:paraId="4EBF68C3">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（5）维护方式为上门服务、网上协助、电话咨询等相结合的方式。维护单位为全疆所有市场监督登记机关。</w:t>
      </w:r>
    </w:p>
    <w:p w14:paraId="38323581">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 xml:space="preserve"> （6）提供热线电话，及时解决档案在线查询过程中的问题。</w:t>
      </w:r>
    </w:p>
    <w:p w14:paraId="426C5ECD">
      <w:pPr>
        <w:pStyle w:val="16"/>
        <w:shd w:val="clear" w:color="auto" w:fill="FFFFFF"/>
        <w:tabs>
          <w:tab w:val="left" w:pos="850"/>
        </w:tabs>
        <w:spacing w:beforeAutospacing="0" w:after="0" w:afterAutospacing="0"/>
        <w:ind w:firstLine="177" w:firstLineChars="74"/>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 xml:space="preserve"> </w:t>
      </w:r>
      <w:r>
        <w:rPr>
          <w:rFonts w:hint="eastAsia" w:ascii="仿宋" w:hAnsi="仿宋" w:eastAsia="仿宋" w:cs="仿宋"/>
          <w:b/>
          <w:bCs/>
          <w:color w:val="000000" w:themeColor="text1"/>
          <w:szCs w:val="24"/>
          <w:highlight w:val="none"/>
          <w14:textFill>
            <w14:solidFill>
              <w14:schemeClr w14:val="tx1"/>
            </w14:solidFill>
          </w14:textFill>
        </w:rPr>
        <w:t>2、系统维护响应时间要求</w:t>
      </w:r>
    </w:p>
    <w:p w14:paraId="17C270E9">
      <w:pPr>
        <w:pStyle w:val="16"/>
        <w:shd w:val="clear" w:color="auto" w:fill="FFFFFF"/>
        <w:tabs>
          <w:tab w:val="left" w:pos="850"/>
        </w:tabs>
        <w:kinsoku/>
        <w:spacing w:beforeAutospacing="0" w:after="0" w:afterAutospacing="0"/>
        <w:ind w:left="299" w:leftChars="114" w:hanging="60" w:hangingChars="25"/>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故障响应时间为</w:t>
      </w:r>
      <w:r>
        <w:rPr>
          <w:rFonts w:hint="eastAsia" w:ascii="仿宋" w:hAnsi="仿宋" w:eastAsia="仿宋" w:cs="仿宋"/>
          <w:bCs/>
          <w:color w:val="000000" w:themeColor="text1"/>
          <w:kern w:val="2"/>
          <w:szCs w:val="24"/>
          <w:highlight w:val="none"/>
          <w:lang w:val="zh-TW" w:eastAsia="zh-TW"/>
          <w14:textFill>
            <w14:solidFill>
              <w14:schemeClr w14:val="tx1"/>
            </w14:solidFill>
          </w14:textFill>
        </w:rPr>
        <w:t>2</w:t>
      </w:r>
      <w:r>
        <w:rPr>
          <w:rFonts w:hint="eastAsia" w:ascii="仿宋" w:hAnsi="仿宋" w:eastAsia="仿宋" w:cs="仿宋"/>
          <w:bCs/>
          <w:color w:val="000000" w:themeColor="text1"/>
          <w:kern w:val="2"/>
          <w:szCs w:val="24"/>
          <w:highlight w:val="none"/>
          <w14:textFill>
            <w14:solidFill>
              <w14:schemeClr w14:val="tx1"/>
            </w14:solidFill>
          </w14:textFill>
        </w:rPr>
        <w:t>小时，电话服务未能解决的问题乌鲁木齐市</w:t>
      </w:r>
      <w:r>
        <w:rPr>
          <w:rFonts w:hint="eastAsia" w:ascii="仿宋" w:hAnsi="仿宋" w:eastAsia="仿宋" w:cs="仿宋"/>
          <w:bCs/>
          <w:color w:val="000000" w:themeColor="text1"/>
          <w:kern w:val="2"/>
          <w:szCs w:val="24"/>
          <w:highlight w:val="none"/>
          <w:lang w:val="zh-TW" w:eastAsia="zh-TW"/>
          <w14:textFill>
            <w14:solidFill>
              <w14:schemeClr w14:val="tx1"/>
            </w14:solidFill>
          </w14:textFill>
        </w:rPr>
        <w:t>2</w:t>
      </w:r>
      <w:r>
        <w:rPr>
          <w:rFonts w:hint="eastAsia" w:ascii="仿宋" w:hAnsi="仿宋" w:eastAsia="仿宋" w:cs="仿宋"/>
          <w:bCs/>
          <w:color w:val="000000" w:themeColor="text1"/>
          <w:kern w:val="2"/>
          <w:szCs w:val="24"/>
          <w:highlight w:val="none"/>
          <w14:textFill>
            <w14:solidFill>
              <w14:schemeClr w14:val="tx1"/>
            </w14:solidFill>
          </w14:textFill>
        </w:rPr>
        <w:t>小时内提供上门服务。</w:t>
      </w:r>
    </w:p>
    <w:p w14:paraId="13FA0711">
      <w:pPr>
        <w:pStyle w:val="16"/>
        <w:shd w:val="clear" w:color="auto" w:fill="FFFFFF"/>
        <w:tabs>
          <w:tab w:val="left" w:pos="850"/>
        </w:tabs>
        <w:kinsoku/>
        <w:spacing w:beforeAutospacing="0" w:after="0" w:afterAutospacing="0"/>
        <w:ind w:left="299" w:leftChars="114" w:hanging="60" w:hangingChars="25"/>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lang w:eastAsia="zh-CN"/>
          <w14:textFill>
            <w14:solidFill>
              <w14:schemeClr w14:val="tx1"/>
            </w14:solidFill>
          </w14:textFill>
        </w:rPr>
        <w:t xml:space="preserve"> </w:t>
      </w:r>
      <w:r>
        <w:rPr>
          <w:rFonts w:hint="eastAsia" w:ascii="仿宋" w:hAnsi="仿宋" w:eastAsia="仿宋" w:cs="仿宋"/>
          <w:b/>
          <w:bCs/>
          <w:color w:val="000000" w:themeColor="text1"/>
          <w:szCs w:val="24"/>
          <w:highlight w:val="none"/>
          <w:lang w:eastAsia="zh-CN"/>
          <w14:textFill>
            <w14:solidFill>
              <w14:schemeClr w14:val="tx1"/>
            </w14:solidFill>
          </w14:textFill>
        </w:rPr>
        <w:t>3</w:t>
      </w:r>
      <w:r>
        <w:rPr>
          <w:rFonts w:hint="eastAsia" w:ascii="仿宋" w:hAnsi="仿宋" w:eastAsia="仿宋" w:cs="仿宋"/>
          <w:b/>
          <w:bCs/>
          <w:color w:val="000000" w:themeColor="text1"/>
          <w:szCs w:val="24"/>
          <w:highlight w:val="none"/>
          <w14:textFill>
            <w14:solidFill>
              <w14:schemeClr w14:val="tx1"/>
            </w14:solidFill>
          </w14:textFill>
        </w:rPr>
        <w:t>、系统培训</w:t>
      </w:r>
    </w:p>
    <w:p w14:paraId="4C03DC7A">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中标方</w:t>
      </w:r>
      <w:r>
        <w:rPr>
          <w:rFonts w:hint="eastAsia" w:ascii="仿宋" w:hAnsi="仿宋" w:eastAsia="仿宋" w:cs="仿宋"/>
          <w:bCs/>
          <w:color w:val="000000" w:themeColor="text1"/>
          <w:kern w:val="2"/>
          <w:szCs w:val="24"/>
          <w:highlight w:val="none"/>
          <w:lang w:val="zh-TW"/>
          <w14:textFill>
            <w14:solidFill>
              <w14:schemeClr w14:val="tx1"/>
            </w14:solidFill>
          </w14:textFill>
        </w:rPr>
        <w:t>的</w:t>
      </w:r>
      <w:r>
        <w:rPr>
          <w:rFonts w:hint="eastAsia" w:ascii="仿宋" w:hAnsi="仿宋" w:eastAsia="仿宋" w:cs="仿宋"/>
          <w:bCs/>
          <w:color w:val="000000" w:themeColor="text1"/>
          <w:kern w:val="2"/>
          <w:szCs w:val="24"/>
          <w:highlight w:val="none"/>
          <w14:textFill>
            <w14:solidFill>
              <w14:schemeClr w14:val="tx1"/>
            </w14:solidFill>
          </w14:textFill>
        </w:rPr>
        <w:t>技术支持</w:t>
      </w:r>
      <w:r>
        <w:rPr>
          <w:rFonts w:hint="eastAsia" w:ascii="仿宋" w:hAnsi="仿宋" w:eastAsia="仿宋" w:cs="仿宋"/>
          <w:bCs/>
          <w:color w:val="000000" w:themeColor="text1"/>
          <w:kern w:val="2"/>
          <w:szCs w:val="24"/>
          <w:highlight w:val="none"/>
          <w:lang w:val="zh-TW"/>
          <w14:textFill>
            <w14:solidFill>
              <w14:schemeClr w14:val="tx1"/>
            </w14:solidFill>
          </w14:textFill>
        </w:rPr>
        <w:t>人员有义务对</w:t>
      </w:r>
      <w:r>
        <w:rPr>
          <w:rFonts w:hint="eastAsia" w:ascii="仿宋" w:hAnsi="仿宋" w:eastAsia="仿宋" w:cs="仿宋"/>
          <w:bCs/>
          <w:color w:val="000000" w:themeColor="text1"/>
          <w:kern w:val="2"/>
          <w:szCs w:val="24"/>
          <w:highlight w:val="none"/>
          <w14:textFill>
            <w14:solidFill>
              <w14:schemeClr w14:val="tx1"/>
            </w14:solidFill>
          </w14:textFill>
        </w:rPr>
        <w:t>用户</w:t>
      </w:r>
      <w:r>
        <w:rPr>
          <w:rFonts w:hint="eastAsia" w:ascii="仿宋" w:hAnsi="仿宋" w:eastAsia="仿宋" w:cs="仿宋"/>
          <w:bCs/>
          <w:color w:val="000000" w:themeColor="text1"/>
          <w:kern w:val="2"/>
          <w:szCs w:val="24"/>
          <w:highlight w:val="none"/>
          <w:lang w:val="zh-TW"/>
          <w14:textFill>
            <w14:solidFill>
              <w14:schemeClr w14:val="tx1"/>
            </w14:solidFill>
          </w14:textFill>
        </w:rPr>
        <w:t>的</w:t>
      </w:r>
      <w:r>
        <w:rPr>
          <w:rFonts w:hint="eastAsia" w:ascii="仿宋" w:hAnsi="仿宋" w:eastAsia="仿宋" w:cs="仿宋"/>
          <w:bCs/>
          <w:color w:val="000000" w:themeColor="text1"/>
          <w:kern w:val="2"/>
          <w:szCs w:val="24"/>
          <w:highlight w:val="none"/>
          <w14:textFill>
            <w14:solidFill>
              <w14:schemeClr w14:val="tx1"/>
            </w14:solidFill>
          </w14:textFill>
        </w:rPr>
        <w:t>系统管理</w:t>
      </w:r>
      <w:r>
        <w:rPr>
          <w:rFonts w:hint="eastAsia" w:ascii="仿宋" w:hAnsi="仿宋" w:eastAsia="仿宋" w:cs="仿宋"/>
          <w:bCs/>
          <w:color w:val="000000" w:themeColor="text1"/>
          <w:kern w:val="2"/>
          <w:szCs w:val="24"/>
          <w:highlight w:val="none"/>
          <w:lang w:val="zh-TW"/>
          <w14:textFill>
            <w14:solidFill>
              <w14:schemeClr w14:val="tx1"/>
            </w14:solidFill>
          </w14:textFill>
        </w:rPr>
        <w:t>人员及使用人员进行培训，使</w:t>
      </w:r>
      <w:r>
        <w:rPr>
          <w:rFonts w:hint="eastAsia" w:ascii="仿宋" w:hAnsi="仿宋" w:eastAsia="仿宋" w:cs="仿宋"/>
          <w:bCs/>
          <w:color w:val="000000" w:themeColor="text1"/>
          <w:kern w:val="2"/>
          <w:szCs w:val="24"/>
          <w:highlight w:val="none"/>
          <w14:textFill>
            <w14:solidFill>
              <w14:schemeClr w14:val="tx1"/>
            </w14:solidFill>
          </w14:textFill>
        </w:rPr>
        <w:t>管理</w:t>
      </w:r>
      <w:r>
        <w:rPr>
          <w:rFonts w:hint="eastAsia" w:ascii="仿宋" w:hAnsi="仿宋" w:eastAsia="仿宋" w:cs="仿宋"/>
          <w:bCs/>
          <w:color w:val="000000" w:themeColor="text1"/>
          <w:kern w:val="2"/>
          <w:szCs w:val="24"/>
          <w:highlight w:val="none"/>
          <w:lang w:val="zh-TW"/>
          <w14:textFill>
            <w14:solidFill>
              <w14:schemeClr w14:val="tx1"/>
            </w14:solidFill>
          </w14:textFill>
        </w:rPr>
        <w:t>人员</w:t>
      </w:r>
      <w:r>
        <w:rPr>
          <w:rFonts w:hint="eastAsia" w:ascii="仿宋" w:hAnsi="仿宋" w:eastAsia="仿宋" w:cs="仿宋"/>
          <w:bCs/>
          <w:color w:val="000000" w:themeColor="text1"/>
          <w:kern w:val="2"/>
          <w:szCs w:val="24"/>
          <w:highlight w:val="none"/>
          <w14:textFill>
            <w14:solidFill>
              <w14:schemeClr w14:val="tx1"/>
            </w14:solidFill>
          </w14:textFill>
        </w:rPr>
        <w:t>能够</w:t>
      </w:r>
      <w:r>
        <w:rPr>
          <w:rFonts w:hint="eastAsia" w:ascii="仿宋" w:hAnsi="仿宋" w:eastAsia="仿宋" w:cs="仿宋"/>
          <w:bCs/>
          <w:color w:val="000000" w:themeColor="text1"/>
          <w:kern w:val="2"/>
          <w:szCs w:val="24"/>
          <w:highlight w:val="none"/>
          <w:lang w:val="zh-TW"/>
          <w14:textFill>
            <w14:solidFill>
              <w14:schemeClr w14:val="tx1"/>
            </w14:solidFill>
          </w14:textFill>
        </w:rPr>
        <w:t>进行日常维护和一般性故障的查找及故障的排除，使用人员能够熟练 掌握</w:t>
      </w:r>
      <w:r>
        <w:rPr>
          <w:rFonts w:hint="eastAsia" w:ascii="仿宋" w:hAnsi="仿宋" w:eastAsia="仿宋" w:cs="仿宋"/>
          <w:bCs/>
          <w:color w:val="000000" w:themeColor="text1"/>
          <w:kern w:val="2"/>
          <w:szCs w:val="24"/>
          <w:highlight w:val="none"/>
          <w14:textFill>
            <w14:solidFill>
              <w14:schemeClr w14:val="tx1"/>
            </w14:solidFill>
          </w14:textFill>
        </w:rPr>
        <w:t>系统</w:t>
      </w:r>
      <w:r>
        <w:rPr>
          <w:rFonts w:hint="eastAsia" w:ascii="仿宋" w:hAnsi="仿宋" w:eastAsia="仿宋" w:cs="仿宋"/>
          <w:bCs/>
          <w:color w:val="000000" w:themeColor="text1"/>
          <w:kern w:val="2"/>
          <w:szCs w:val="24"/>
          <w:highlight w:val="none"/>
          <w:lang w:val="zh-TW"/>
          <w14:textFill>
            <w14:solidFill>
              <w14:schemeClr w14:val="tx1"/>
            </w14:solidFill>
          </w14:textFill>
        </w:rPr>
        <w:t>的各项功能和操作。</w:t>
      </w:r>
      <w:r>
        <w:rPr>
          <w:rFonts w:hint="eastAsia" w:ascii="仿宋" w:hAnsi="仿宋" w:eastAsia="仿宋" w:cs="仿宋"/>
          <w:bCs/>
          <w:color w:val="000000" w:themeColor="text1"/>
          <w:kern w:val="2"/>
          <w:szCs w:val="24"/>
          <w:highlight w:val="none"/>
          <w14:textFill>
            <w14:solidFill>
              <w14:schemeClr w14:val="tx1"/>
            </w14:solidFill>
          </w14:textFill>
        </w:rPr>
        <w:t>培训采用现场培训和网上培训相结合的方式进行。</w:t>
      </w:r>
    </w:p>
    <w:p w14:paraId="0D25368B">
      <w:pPr>
        <w:pStyle w:val="16"/>
        <w:shd w:val="clear" w:color="auto" w:fill="FFFFFF"/>
        <w:tabs>
          <w:tab w:val="left" w:pos="850"/>
        </w:tabs>
        <w:spacing w:beforeAutospacing="0" w:after="0" w:afterAutospacing="0"/>
        <w:ind w:firstLine="178" w:firstLineChars="74"/>
        <w:jc w:val="both"/>
        <w:rPr>
          <w:rFonts w:ascii="仿宋" w:hAnsi="仿宋" w:eastAsia="仿宋" w:cs="仿宋"/>
          <w:b/>
          <w:color w:val="000000" w:themeColor="text1"/>
          <w:kern w:val="2"/>
          <w:szCs w:val="24"/>
          <w:highlight w:val="none"/>
          <w14:textFill>
            <w14:solidFill>
              <w14:schemeClr w14:val="tx1"/>
            </w14:solidFill>
          </w14:textFill>
        </w:rPr>
      </w:pPr>
      <w:r>
        <w:rPr>
          <w:rFonts w:hint="eastAsia" w:ascii="仿宋" w:hAnsi="仿宋" w:eastAsia="仿宋" w:cs="仿宋"/>
          <w:b/>
          <w:color w:val="000000" w:themeColor="text1"/>
          <w:kern w:val="2"/>
          <w:szCs w:val="24"/>
          <w:highlight w:val="none"/>
          <w14:textFill>
            <w14:solidFill>
              <w14:schemeClr w14:val="tx1"/>
            </w14:solidFill>
          </w14:textFill>
        </w:rPr>
        <w:t>（五）档案管理系统升级技术要求</w:t>
      </w:r>
    </w:p>
    <w:p w14:paraId="054098B5">
      <w:pPr>
        <w:pStyle w:val="16"/>
        <w:widowControl w:val="0"/>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为了适应新的数据、安全、利用等需求需对原档案管理系统进行必要的升级改造。</w:t>
      </w:r>
    </w:p>
    <w:p w14:paraId="3E276422">
      <w:pPr>
        <w:pStyle w:val="16"/>
        <w:shd w:val="clear" w:color="auto" w:fill="FFFFFF"/>
        <w:tabs>
          <w:tab w:val="left" w:pos="850"/>
        </w:tabs>
        <w:spacing w:beforeAutospacing="0" w:after="0" w:afterAutospacing="0"/>
        <w:ind w:firstLine="178"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14:textFill>
            <w14:solidFill>
              <w14:schemeClr w14:val="tx1"/>
            </w14:solidFill>
          </w14:textFill>
        </w:rPr>
        <w:t>系统开发语言和技术架构的升级</w:t>
      </w:r>
      <w:r>
        <w:rPr>
          <w:rFonts w:hint="eastAsia" w:ascii="仿宋" w:hAnsi="仿宋" w:eastAsia="仿宋" w:cs="仿宋"/>
          <w:bCs/>
          <w:color w:val="000000" w:themeColor="text1"/>
          <w:kern w:val="2"/>
          <w:szCs w:val="24"/>
          <w:highlight w:val="none"/>
          <w14:textFill>
            <w14:solidFill>
              <w14:schemeClr w14:val="tx1"/>
            </w14:solidFill>
          </w14:textFill>
        </w:rPr>
        <w:t>：</w:t>
      </w:r>
      <w:r>
        <w:rPr>
          <w:rFonts w:hint="eastAsia" w:ascii="仿宋" w:hAnsi="仿宋" w:eastAsia="仿宋" w:cs="仿宋"/>
          <w:bCs/>
          <w:color w:val="000000" w:themeColor="text1"/>
          <w:kern w:val="2"/>
          <w:szCs w:val="24"/>
          <w:highlight w:val="none"/>
          <w:lang w:val="zh-TW"/>
          <w14:textFill>
            <w14:solidFill>
              <w14:schemeClr w14:val="tx1"/>
            </w14:solidFill>
          </w14:textFill>
        </w:rPr>
        <w:t>原有的系统无法实现跨平台部署，尤其是当前国产化环境不断推广的背景下，原有的系统已经无法在信创平台进行部署使用，系统升级采用JAVA语言开发，严格遵循J2EE规范构建，通过对系统架构的升级，合理集成以J2EE为标准的软件产品及采用中间件技术的组件或构件产品，建立面向服务的SOA架构体系，可以得到较好的稳定性、高可靠性和可扩充性，方便移植和重用。通过升级，</w:t>
      </w:r>
      <w:r>
        <w:rPr>
          <w:rFonts w:hint="eastAsia" w:ascii="仿宋" w:hAnsi="仿宋" w:eastAsia="仿宋" w:cs="仿宋"/>
          <w:bCs/>
          <w:color w:val="000000" w:themeColor="text1"/>
          <w:kern w:val="2"/>
          <w:szCs w:val="24"/>
          <w:highlight w:val="none"/>
          <w14:textFill>
            <w14:solidFill>
              <w14:schemeClr w14:val="tx1"/>
            </w14:solidFill>
          </w14:textFill>
        </w:rPr>
        <w:t>应用系统不依赖任何特定操作系统、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"https://baike.so.com/doc/2154861-2280034.html" \t "_blank" </w:instrText>
      </w:r>
      <w:r>
        <w:rPr>
          <w:color w:val="000000" w:themeColor="text1"/>
          <w:highlight w:val="none"/>
          <w14:textFill>
            <w14:solidFill>
              <w14:schemeClr w14:val="tx1"/>
            </w14:solidFill>
          </w14:textFill>
        </w:rPr>
        <w:fldChar w:fldCharType="separate"/>
      </w:r>
      <w:r>
        <w:rPr>
          <w:rStyle w:val="25"/>
          <w:rFonts w:hint="eastAsia" w:ascii="仿宋" w:hAnsi="仿宋" w:eastAsia="仿宋" w:cs="仿宋"/>
          <w:bCs/>
          <w:color w:val="000000" w:themeColor="text1"/>
          <w:kern w:val="2"/>
          <w:szCs w:val="24"/>
          <w:highlight w:val="none"/>
          <w:u w:val="none"/>
          <w14:textFill>
            <w14:solidFill>
              <w14:schemeClr w14:val="tx1"/>
            </w14:solidFill>
          </w14:textFill>
        </w:rPr>
        <w:t>中间件</w:t>
      </w:r>
      <w:r>
        <w:rPr>
          <w:rStyle w:val="25"/>
          <w:rFonts w:hint="eastAsia" w:ascii="仿宋" w:hAnsi="仿宋" w:eastAsia="仿宋" w:cs="仿宋"/>
          <w:bCs/>
          <w:color w:val="000000" w:themeColor="text1"/>
          <w:kern w:val="2"/>
          <w:szCs w:val="24"/>
          <w:highlight w:val="none"/>
          <w:u w:val="none"/>
          <w14:textFill>
            <w14:solidFill>
              <w14:schemeClr w14:val="tx1"/>
            </w14:solidFill>
          </w14:textFill>
        </w:rPr>
        <w:fldChar w:fldCharType="end"/>
      </w:r>
      <w:r>
        <w:rPr>
          <w:rFonts w:hint="eastAsia" w:ascii="仿宋" w:hAnsi="仿宋" w:eastAsia="仿宋" w:cs="仿宋"/>
          <w:bCs/>
          <w:color w:val="000000" w:themeColor="text1"/>
          <w:kern w:val="2"/>
          <w:szCs w:val="24"/>
          <w:highlight w:val="none"/>
          <w14:textFill>
            <w14:solidFill>
              <w14:schemeClr w14:val="tx1"/>
            </w14:solidFill>
          </w14:textFill>
        </w:rPr>
        <w:t>、硬件，可以实现系统在异构平台下的兼容性和移植性。</w:t>
      </w:r>
    </w:p>
    <w:p w14:paraId="0A508DCF">
      <w:pPr>
        <w:pStyle w:val="16"/>
        <w:shd w:val="clear" w:color="auto" w:fill="FFFFFF"/>
        <w:tabs>
          <w:tab w:val="left" w:pos="850"/>
        </w:tabs>
        <w:spacing w:beforeAutospacing="0" w:after="0" w:afterAutospacing="0"/>
        <w:ind w:firstLine="178"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14:textFill>
            <w14:solidFill>
              <w14:schemeClr w14:val="tx1"/>
            </w14:solidFill>
          </w14:textFill>
        </w:rPr>
        <w:t>对原系统各功能模块进行全面升级，以满足新的需求和数据</w:t>
      </w:r>
    </w:p>
    <w:p w14:paraId="231E5895">
      <w:pPr>
        <w:pStyle w:val="16"/>
        <w:shd w:val="clear" w:color="auto" w:fill="FFFFFF"/>
        <w:tabs>
          <w:tab w:val="left" w:pos="850"/>
        </w:tabs>
        <w:spacing w:beforeAutospacing="0" w:after="0" w:afterAutospacing="0"/>
        <w:ind w:firstLine="178"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14:textFill>
            <w14:solidFill>
              <w14:schemeClr w14:val="tx1"/>
            </w14:solidFill>
          </w14:textFill>
        </w:rPr>
        <w:t>开发档案管理系统和业务系统的接口。</w:t>
      </w:r>
      <w:r>
        <w:rPr>
          <w:rFonts w:hint="eastAsia" w:ascii="仿宋" w:hAnsi="仿宋" w:eastAsia="仿宋" w:cs="仿宋"/>
          <w:bCs/>
          <w:color w:val="000000" w:themeColor="text1"/>
          <w:kern w:val="2"/>
          <w:szCs w:val="24"/>
          <w:highlight w:val="none"/>
          <w14:textFill>
            <w14:solidFill>
              <w14:schemeClr w14:val="tx1"/>
            </w14:solidFill>
          </w14:textFill>
        </w:rPr>
        <w:t>现有档案管理系统无法实现和业务系统的数据交换和数据同步，通过档案系统的升级改造实现业务系统和档案系统新增数据的关联和实时更新。如实现档案系统和业务系统企业基本信息、类型、状态的关联和实时更新，实现业务系统和档案系统数据的实时交换、相互调用，实现电子文件移交、变更等数据相互比对、验证、同步等。</w:t>
      </w:r>
    </w:p>
    <w:p w14:paraId="72DFF90A">
      <w:pPr>
        <w:pStyle w:val="16"/>
        <w:shd w:val="clear" w:color="auto" w:fill="FFFFFF"/>
        <w:tabs>
          <w:tab w:val="left" w:pos="850"/>
        </w:tabs>
        <w:spacing w:beforeAutospacing="0" w:after="0" w:afterAutospacing="0"/>
        <w:ind w:firstLine="178"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14:textFill>
            <w14:solidFill>
              <w14:schemeClr w14:val="tx1"/>
            </w14:solidFill>
          </w14:textFill>
        </w:rPr>
        <w:t>建立全面的系统安全防护体系。</w:t>
      </w:r>
      <w:r>
        <w:rPr>
          <w:rFonts w:hint="eastAsia" w:ascii="仿宋" w:hAnsi="仿宋" w:eastAsia="仿宋" w:cs="仿宋"/>
          <w:bCs/>
          <w:color w:val="000000" w:themeColor="text1"/>
          <w:kern w:val="2"/>
          <w:szCs w:val="24"/>
          <w:highlight w:val="none"/>
          <w14:textFill>
            <w14:solidFill>
              <w14:schemeClr w14:val="tx1"/>
            </w14:solidFill>
          </w14:textFill>
        </w:rPr>
        <w:t>随着电子档案网络化查询应用的不断扩大和发展，尤其是要开通基于外网的在线查询服务，必须建立包括数据安全防护、组合式授权管理、文件传输下载、身份认证等在内的全面的系统安全防护体系，原有的安全机制远不能满足上述系统安全要求。</w:t>
      </w:r>
    </w:p>
    <w:p w14:paraId="70D53ECF">
      <w:pPr>
        <w:pStyle w:val="16"/>
        <w:shd w:val="clear" w:color="auto" w:fill="FFFFFF"/>
        <w:tabs>
          <w:tab w:val="left" w:pos="850"/>
        </w:tabs>
        <w:spacing w:beforeAutospacing="0" w:after="0" w:afterAutospacing="0"/>
        <w:ind w:firstLine="178"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14:textFill>
            <w14:solidFill>
              <w14:schemeClr w14:val="tx1"/>
            </w14:solidFill>
          </w14:textFill>
        </w:rPr>
        <w:t>对业务流程的不断改进。</w:t>
      </w:r>
      <w:r>
        <w:rPr>
          <w:rFonts w:hint="eastAsia" w:ascii="仿宋" w:hAnsi="仿宋" w:eastAsia="仿宋" w:cs="仿宋"/>
          <w:bCs/>
          <w:color w:val="000000" w:themeColor="text1"/>
          <w:kern w:val="2"/>
          <w:szCs w:val="24"/>
          <w:highlight w:val="none"/>
          <w14:textFill>
            <w14:solidFill>
              <w14:schemeClr w14:val="tx1"/>
            </w14:solidFill>
          </w14:textFill>
        </w:rPr>
        <w:t>为适应</w:t>
      </w:r>
      <w:r>
        <w:rPr>
          <w:rFonts w:hint="eastAsia" w:ascii="仿宋" w:hAnsi="仿宋" w:eastAsia="仿宋" w:cs="仿宋"/>
          <w:bCs/>
          <w:color w:val="000000" w:themeColor="text1"/>
          <w:kern w:val="2"/>
          <w:szCs w:val="24"/>
          <w:highlight w:val="none"/>
          <w:lang w:eastAsia="zh-CN"/>
          <w14:textFill>
            <w14:solidFill>
              <w14:schemeClr w14:val="tx1"/>
            </w14:solidFill>
          </w14:textFill>
        </w:rPr>
        <w:t>生态环境厅</w:t>
      </w:r>
      <w:r>
        <w:rPr>
          <w:rFonts w:hint="eastAsia" w:ascii="仿宋" w:hAnsi="仿宋" w:eastAsia="仿宋" w:cs="仿宋"/>
          <w:bCs/>
          <w:color w:val="000000" w:themeColor="text1"/>
          <w:kern w:val="2"/>
          <w:szCs w:val="24"/>
          <w:highlight w:val="none"/>
          <w14:textFill>
            <w14:solidFill>
              <w14:schemeClr w14:val="tx1"/>
            </w14:solidFill>
          </w14:textFill>
        </w:rPr>
        <w:t>行政管理职能转变，积极推进</w:t>
      </w:r>
      <w:r>
        <w:rPr>
          <w:rFonts w:hint="eastAsia" w:ascii="仿宋" w:hAnsi="仿宋" w:eastAsia="仿宋" w:cs="仿宋"/>
          <w:bCs/>
          <w:color w:val="000000" w:themeColor="text1"/>
          <w:kern w:val="2"/>
          <w:szCs w:val="24"/>
          <w:highlight w:val="none"/>
          <w:lang w:eastAsia="zh-CN"/>
          <w14:textFill>
            <w14:solidFill>
              <w14:schemeClr w14:val="tx1"/>
            </w14:solidFill>
          </w14:textFill>
        </w:rPr>
        <w:t>生态环境</w:t>
      </w:r>
      <w:r>
        <w:rPr>
          <w:rFonts w:hint="eastAsia" w:ascii="仿宋" w:hAnsi="仿宋" w:eastAsia="仿宋" w:cs="仿宋"/>
          <w:bCs/>
          <w:color w:val="000000" w:themeColor="text1"/>
          <w:kern w:val="2"/>
          <w:szCs w:val="24"/>
          <w:highlight w:val="none"/>
          <w14:textFill>
            <w14:solidFill>
              <w14:schemeClr w14:val="tx1"/>
            </w14:solidFill>
          </w14:textFill>
        </w:rPr>
        <w:t>管理创新，新疆</w:t>
      </w:r>
      <w:r>
        <w:rPr>
          <w:rFonts w:hint="eastAsia" w:ascii="仿宋" w:hAnsi="仿宋" w:eastAsia="仿宋" w:cs="仿宋"/>
          <w:bCs/>
          <w:color w:val="000000" w:themeColor="text1"/>
          <w:kern w:val="2"/>
          <w:szCs w:val="24"/>
          <w:highlight w:val="none"/>
          <w:lang w:eastAsia="zh-CN"/>
          <w14:textFill>
            <w14:solidFill>
              <w14:schemeClr w14:val="tx1"/>
            </w14:solidFill>
          </w14:textFill>
        </w:rPr>
        <w:t>生态环境厅</w:t>
      </w:r>
      <w:r>
        <w:rPr>
          <w:rFonts w:hint="eastAsia" w:ascii="仿宋" w:hAnsi="仿宋" w:eastAsia="仿宋" w:cs="仿宋"/>
          <w:bCs/>
          <w:color w:val="000000" w:themeColor="text1"/>
          <w:kern w:val="2"/>
          <w:szCs w:val="24"/>
          <w:highlight w:val="none"/>
          <w14:textFill>
            <w14:solidFill>
              <w14:schemeClr w14:val="tx1"/>
            </w14:solidFill>
          </w14:textFill>
        </w:rPr>
        <w:t>正大力推行便民</w:t>
      </w:r>
      <w:r>
        <w:rPr>
          <w:rFonts w:hint="eastAsia" w:ascii="仿宋" w:hAnsi="仿宋" w:eastAsia="仿宋" w:cs="仿宋"/>
          <w:bCs/>
          <w:color w:val="000000" w:themeColor="text1"/>
          <w:kern w:val="2"/>
          <w:szCs w:val="24"/>
          <w:highlight w:val="none"/>
          <w:lang w:eastAsia="zh-CN"/>
          <w14:textFill>
            <w14:solidFill>
              <w14:schemeClr w14:val="tx1"/>
            </w14:solidFill>
          </w14:textFill>
        </w:rPr>
        <w:t>服务</w:t>
      </w:r>
      <w:r>
        <w:rPr>
          <w:rFonts w:hint="eastAsia" w:ascii="仿宋" w:hAnsi="仿宋" w:eastAsia="仿宋" w:cs="仿宋"/>
          <w:bCs/>
          <w:color w:val="000000" w:themeColor="text1"/>
          <w:kern w:val="2"/>
          <w:szCs w:val="24"/>
          <w:highlight w:val="none"/>
          <w14:textFill>
            <w14:solidFill>
              <w14:schemeClr w14:val="tx1"/>
            </w14:solidFill>
          </w14:textFill>
        </w:rPr>
        <w:t>、提速增效措施，逐步实现“无纸化办公”。为适应“无纸化办公”发展趋势，系统需要实现对网上系统生成的电子文件进行归档的功能，实现从以上业务系统中获取电子文件数据，并通过数据转换、人工调整和校核等操作后及时归档为成品电子档案，提高档案的归档及查询利用效率。除此之外，</w:t>
      </w:r>
      <w:r>
        <w:rPr>
          <w:rFonts w:hint="eastAsia" w:ascii="仿宋" w:hAnsi="仿宋" w:eastAsia="仿宋" w:cs="仿宋"/>
          <w:bCs/>
          <w:color w:val="000000" w:themeColor="text1"/>
          <w:kern w:val="2"/>
          <w:szCs w:val="24"/>
          <w:highlight w:val="none"/>
          <w:lang w:eastAsia="zh-CN"/>
          <w14:textFill>
            <w14:solidFill>
              <w14:schemeClr w14:val="tx1"/>
            </w14:solidFill>
          </w14:textFill>
        </w:rPr>
        <w:t>生态环境厅</w:t>
      </w:r>
      <w:r>
        <w:rPr>
          <w:rFonts w:hint="eastAsia" w:ascii="仿宋" w:hAnsi="仿宋" w:eastAsia="仿宋" w:cs="仿宋"/>
          <w:bCs/>
          <w:color w:val="000000" w:themeColor="text1"/>
          <w:kern w:val="2"/>
          <w:szCs w:val="24"/>
          <w:highlight w:val="none"/>
          <w14:textFill>
            <w14:solidFill>
              <w14:schemeClr w14:val="tx1"/>
            </w14:solidFill>
          </w14:textFill>
        </w:rPr>
        <w:t>管理业务中的多个业务流程都发生了改变，新系统需要适应新的业务流程。</w:t>
      </w:r>
    </w:p>
    <w:p w14:paraId="777568D2">
      <w:pPr>
        <w:pStyle w:val="16"/>
        <w:shd w:val="clear" w:color="auto" w:fill="FFFFFF"/>
        <w:tabs>
          <w:tab w:val="left" w:pos="850"/>
        </w:tabs>
        <w:spacing w:beforeAutospacing="0" w:after="0" w:afterAutospacing="0"/>
        <w:ind w:firstLine="178"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14:textFill>
            <w14:solidFill>
              <w14:schemeClr w14:val="tx1"/>
            </w14:solidFill>
          </w14:textFill>
        </w:rPr>
        <w:t>数字化加工技术的升级。</w:t>
      </w:r>
      <w:r>
        <w:rPr>
          <w:rFonts w:hint="eastAsia" w:ascii="仿宋" w:hAnsi="仿宋" w:eastAsia="仿宋" w:cs="仿宋"/>
          <w:bCs/>
          <w:color w:val="000000" w:themeColor="text1"/>
          <w:kern w:val="2"/>
          <w:szCs w:val="24"/>
          <w:highlight w:val="none"/>
          <w14:textFill>
            <w14:solidFill>
              <w14:schemeClr w14:val="tx1"/>
            </w14:solidFill>
          </w14:textFill>
        </w:rPr>
        <w:t>在扫描和影像处理技术上，目前的技术水平已有飞速发展和提高。系统有必要应用最新的图像压缩处理、自动加密存储和虚拟文件技术，以提高电子档案影像质量和数字化加工过程的安全性。</w:t>
      </w:r>
    </w:p>
    <w:p w14:paraId="66199C99">
      <w:pPr>
        <w:pStyle w:val="16"/>
        <w:shd w:val="clear" w:color="auto" w:fill="FFFFFF"/>
        <w:tabs>
          <w:tab w:val="left" w:pos="850"/>
        </w:tabs>
        <w:kinsoku/>
        <w:spacing w:beforeAutospacing="0" w:after="0" w:afterAutospacing="0"/>
        <w:ind w:firstLine="178" w:firstLineChars="74"/>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2、性能需求</w:t>
      </w:r>
    </w:p>
    <w:p w14:paraId="583CB375">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（1）可用性：系统操作灵活方便、好记易学、实用高效。</w:t>
      </w:r>
    </w:p>
    <w:p w14:paraId="3415DE50">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（2）可靠性：系统应经过完善的设计和充分的测试运行，具备在较长时间内连续无故障的运行能力。</w:t>
      </w:r>
    </w:p>
    <w:p w14:paraId="4DA90157">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（3）健壮性：系统应具备较强的容错、数据恢复与稳定运行的能力。</w:t>
      </w:r>
    </w:p>
    <w:p w14:paraId="1DF9FF12">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（4）安全性：系统应提供全面、有效的系统安全机制，能有效防止数据外泄和非法用户入侵。</w:t>
      </w:r>
    </w:p>
    <w:p w14:paraId="3E7A6CF4">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（5）开放性：系统具备开放的标准化体系结构，可方便地与其它业务系统衔接。</w:t>
      </w:r>
    </w:p>
    <w:p w14:paraId="4A95173D">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（6）扩展性：要求易于扩展和升级，能够根据用户的具体需求快速、方便地扩展原系统的功能，以更好地满足用户新增和变更的业务需求。</w:t>
      </w:r>
      <w:bookmarkStart w:id="50" w:name="_Toc113974717"/>
      <w:bookmarkStart w:id="51" w:name="_Toc158558916"/>
      <w:bookmarkStart w:id="52" w:name="_Toc114375705"/>
      <w:bookmarkStart w:id="53" w:name="_Toc114047999"/>
    </w:p>
    <w:p w14:paraId="50F7EDEE">
      <w:pPr>
        <w:pStyle w:val="16"/>
        <w:shd w:val="clear" w:color="auto" w:fill="FFFFFF"/>
        <w:tabs>
          <w:tab w:val="left" w:pos="850"/>
        </w:tabs>
        <w:kinsoku/>
        <w:spacing w:beforeAutospacing="0" w:after="0" w:afterAutospacing="0"/>
        <w:ind w:firstLine="178" w:firstLineChars="74"/>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3、安全需求</w:t>
      </w:r>
      <w:bookmarkEnd w:id="50"/>
      <w:bookmarkEnd w:id="51"/>
      <w:bookmarkEnd w:id="52"/>
      <w:bookmarkEnd w:id="53"/>
    </w:p>
    <w:p w14:paraId="0D0F628A">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（1）统一登录和身份认证</w:t>
      </w:r>
    </w:p>
    <w:p w14:paraId="2924B795">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提供统一的认证服务器，建立统一的安全认证和访问控制机制，实现统一登录，确保系统安全。</w:t>
      </w:r>
    </w:p>
    <w:p w14:paraId="0C487E53">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（2）访问控制</w:t>
      </w:r>
    </w:p>
    <w:p w14:paraId="3AB19BFA">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用户所能够访问的信息需受到严格控制，确保控制用户在指定密级范围、在指定的查询范围，在指定的计算机资源，杜绝非法访问。</w:t>
      </w:r>
    </w:p>
    <w:p w14:paraId="62A843C1">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（3）安全日志</w:t>
      </w:r>
    </w:p>
    <w:p w14:paraId="4D539F49">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系统能够记录每个用户所执行的操作并尽可能完整记录，不仅可以在平时进行调阅监控，在出现问题时还可以分清责任。</w:t>
      </w:r>
    </w:p>
    <w:p w14:paraId="674CDFA4">
      <w:pPr>
        <w:pStyle w:val="16"/>
        <w:shd w:val="clear" w:color="auto" w:fill="FFFFFF"/>
        <w:tabs>
          <w:tab w:val="left" w:pos="850"/>
        </w:tabs>
        <w:kinsoku/>
        <w:spacing w:beforeAutospacing="0" w:after="0" w:afterAutospacing="0"/>
        <w:ind w:firstLine="178" w:firstLineChars="74"/>
        <w:rPr>
          <w:rFonts w:ascii="仿宋" w:hAnsi="仿宋" w:eastAsia="仿宋" w:cs="仿宋"/>
          <w:b/>
          <w:bCs/>
          <w:color w:val="000000" w:themeColor="text1"/>
          <w:szCs w:val="24"/>
          <w:highlight w:val="none"/>
          <w14:textFill>
            <w14:solidFill>
              <w14:schemeClr w14:val="tx1"/>
            </w14:solidFill>
          </w14:textFill>
        </w:rPr>
      </w:pPr>
      <w:bookmarkStart w:id="54" w:name="_Toc158558917"/>
      <w:bookmarkStart w:id="55" w:name="_Toc113974718"/>
      <w:bookmarkStart w:id="56" w:name="_Toc114048000"/>
      <w:bookmarkStart w:id="57" w:name="_Toc114375706"/>
      <w:r>
        <w:rPr>
          <w:rFonts w:hint="eastAsia" w:ascii="仿宋" w:hAnsi="仿宋" w:eastAsia="仿宋" w:cs="仿宋"/>
          <w:b/>
          <w:bCs/>
          <w:color w:val="000000" w:themeColor="text1"/>
          <w:szCs w:val="24"/>
          <w:highlight w:val="none"/>
          <w14:textFill>
            <w14:solidFill>
              <w14:schemeClr w14:val="tx1"/>
            </w14:solidFill>
          </w14:textFill>
        </w:rPr>
        <w:t>4、接口需求</w:t>
      </w:r>
      <w:bookmarkEnd w:id="54"/>
      <w:bookmarkEnd w:id="55"/>
      <w:bookmarkEnd w:id="56"/>
      <w:bookmarkEnd w:id="57"/>
    </w:p>
    <w:p w14:paraId="1BE6A33E">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系统在建设过程中，需要充分考虑内部和外部的各种接口，确保系统具有良好的可扩展性。有关需求分析如下：</w:t>
      </w:r>
    </w:p>
    <w:p w14:paraId="592B4B9B">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（1）不同系统</w:t>
      </w:r>
    </w:p>
    <w:p w14:paraId="16476A4A">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在局域网，原有档案系统的数据、新的业务系统产生的电子档案都必须全部导入档案综合管理系统。</w:t>
      </w:r>
    </w:p>
    <w:p w14:paraId="006EEE20">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（2）不同网域</w:t>
      </w:r>
    </w:p>
    <w:p w14:paraId="53E54DB6">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外网和</w:t>
      </w:r>
      <w:r>
        <w:rPr>
          <w:rFonts w:hint="eastAsia" w:ascii="仿宋" w:hAnsi="仿宋" w:eastAsia="仿宋" w:cs="仿宋"/>
          <w:bCs/>
          <w:color w:val="000000" w:themeColor="text1"/>
          <w:kern w:val="2"/>
          <w:szCs w:val="24"/>
          <w:highlight w:val="none"/>
          <w:lang w:eastAsia="zh-CN"/>
          <w14:textFill>
            <w14:solidFill>
              <w14:schemeClr w14:val="tx1"/>
            </w14:solidFill>
          </w14:textFill>
        </w:rPr>
        <w:t>生态环境厅</w:t>
      </w:r>
      <w:r>
        <w:rPr>
          <w:rFonts w:hint="eastAsia" w:ascii="仿宋" w:hAnsi="仿宋" w:eastAsia="仿宋" w:cs="仿宋"/>
          <w:bCs/>
          <w:color w:val="000000" w:themeColor="text1"/>
          <w:kern w:val="2"/>
          <w:szCs w:val="24"/>
          <w:highlight w:val="none"/>
          <w14:textFill>
            <w14:solidFill>
              <w14:schemeClr w14:val="tx1"/>
            </w14:solidFill>
          </w14:textFill>
        </w:rPr>
        <w:t>内部网之间的访问、数据交换及数据导入。</w:t>
      </w:r>
    </w:p>
    <w:p w14:paraId="794CC9E5">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（3）不同单位</w:t>
      </w:r>
    </w:p>
    <w:p w14:paraId="29270E0D">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自治区</w:t>
      </w:r>
      <w:r>
        <w:rPr>
          <w:rFonts w:hint="eastAsia" w:ascii="仿宋" w:hAnsi="仿宋" w:eastAsia="仿宋" w:cs="仿宋"/>
          <w:bCs/>
          <w:color w:val="000000" w:themeColor="text1"/>
          <w:kern w:val="2"/>
          <w:szCs w:val="24"/>
          <w:highlight w:val="none"/>
          <w:lang w:eastAsia="zh-CN"/>
          <w14:textFill>
            <w14:solidFill>
              <w14:schemeClr w14:val="tx1"/>
            </w14:solidFill>
          </w14:textFill>
        </w:rPr>
        <w:t>生态环境厅</w:t>
      </w:r>
      <w:r>
        <w:rPr>
          <w:rFonts w:hint="eastAsia" w:ascii="仿宋" w:hAnsi="仿宋" w:eastAsia="仿宋" w:cs="仿宋"/>
          <w:bCs/>
          <w:color w:val="000000" w:themeColor="text1"/>
          <w:kern w:val="2"/>
          <w:szCs w:val="24"/>
          <w:highlight w:val="none"/>
          <w14:textFill>
            <w14:solidFill>
              <w14:schemeClr w14:val="tx1"/>
            </w14:solidFill>
          </w14:textFill>
        </w:rPr>
        <w:t>和所属的地市</w:t>
      </w:r>
      <w:r>
        <w:rPr>
          <w:rFonts w:hint="eastAsia" w:ascii="仿宋" w:hAnsi="仿宋" w:eastAsia="仿宋" w:cs="仿宋"/>
          <w:bCs/>
          <w:color w:val="000000" w:themeColor="text1"/>
          <w:kern w:val="2"/>
          <w:szCs w:val="24"/>
          <w:highlight w:val="none"/>
          <w:lang w:eastAsia="zh-CN"/>
          <w14:textFill>
            <w14:solidFill>
              <w14:schemeClr w14:val="tx1"/>
            </w14:solidFill>
          </w14:textFill>
        </w:rPr>
        <w:t>生态环境局</w:t>
      </w:r>
      <w:r>
        <w:rPr>
          <w:rFonts w:hint="eastAsia" w:ascii="仿宋" w:hAnsi="仿宋" w:eastAsia="仿宋" w:cs="仿宋"/>
          <w:bCs/>
          <w:color w:val="000000" w:themeColor="text1"/>
          <w:kern w:val="2"/>
          <w:szCs w:val="24"/>
          <w:highlight w:val="none"/>
          <w14:textFill>
            <w14:solidFill>
              <w14:schemeClr w14:val="tx1"/>
            </w14:solidFill>
          </w14:textFill>
        </w:rPr>
        <w:t>企业信息和档案数据的实时同步和访问。</w:t>
      </w:r>
    </w:p>
    <w:p w14:paraId="23D525D3">
      <w:pPr>
        <w:pStyle w:val="16"/>
        <w:shd w:val="clear" w:color="auto" w:fill="FFFFFF"/>
        <w:tabs>
          <w:tab w:val="left" w:pos="850"/>
        </w:tabs>
        <w:kinsoku/>
        <w:spacing w:beforeAutospacing="0" w:after="0" w:afterAutospacing="0"/>
        <w:ind w:firstLine="178" w:firstLineChars="74"/>
        <w:rPr>
          <w:rFonts w:ascii="仿宋" w:hAnsi="仿宋" w:eastAsia="仿宋" w:cs="仿宋"/>
          <w:b/>
          <w:bCs/>
          <w:color w:val="000000" w:themeColor="text1"/>
          <w:szCs w:val="24"/>
          <w:highlight w:val="none"/>
          <w14:textFill>
            <w14:solidFill>
              <w14:schemeClr w14:val="tx1"/>
            </w14:solidFill>
          </w14:textFill>
        </w:rPr>
      </w:pPr>
      <w:bookmarkStart w:id="58" w:name="_Toc158558918"/>
      <w:bookmarkStart w:id="59" w:name="_Toc114375707"/>
      <w:r>
        <w:rPr>
          <w:rFonts w:hint="eastAsia" w:ascii="仿宋" w:hAnsi="仿宋" w:eastAsia="仿宋" w:cs="仿宋"/>
          <w:b/>
          <w:bCs/>
          <w:color w:val="000000" w:themeColor="text1"/>
          <w:szCs w:val="24"/>
          <w:highlight w:val="none"/>
          <w14:textFill>
            <w14:solidFill>
              <w14:schemeClr w14:val="tx1"/>
            </w14:solidFill>
          </w14:textFill>
        </w:rPr>
        <w:t>5、其它需求</w:t>
      </w:r>
      <w:bookmarkEnd w:id="58"/>
      <w:bookmarkEnd w:id="59"/>
    </w:p>
    <w:p w14:paraId="405E1CD0">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（1）项目要求采用跨平台、标准的、开放的、技术成熟的、先进的应用集成技术进行系统建设。</w:t>
      </w:r>
    </w:p>
    <w:p w14:paraId="4A7C7B2A">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（2）项目设计应符合档案信息化建设长期发展战略要求，系统设计综合先进性、实用性与扩展性的特点。</w:t>
      </w:r>
    </w:p>
    <w:p w14:paraId="15981E1C">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（3）各个应用系统虽在物理隔离的外网和内网，都是数字档案的组成部分，必须与现有、计划继续使用的应用软件一起整合，做到无缝衔接，构成一个完整的系统体系。</w:t>
      </w:r>
    </w:p>
    <w:p w14:paraId="7710F473">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（4）项目建设应确保应用系统与档案信息数据运行安全可靠。</w:t>
      </w:r>
    </w:p>
    <w:p w14:paraId="64BF9736">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（5）项目设计应支持多种结构与格式的档案数据管理。</w:t>
      </w:r>
    </w:p>
    <w:p w14:paraId="4A47C906">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（6）系统应提供档案数据各种标准化转换接口，按照本</w:t>
      </w:r>
      <w:r>
        <w:rPr>
          <w:rFonts w:hint="eastAsia" w:ascii="仿宋" w:hAnsi="仿宋" w:eastAsia="仿宋" w:cs="仿宋"/>
          <w:bCs/>
          <w:color w:val="000000" w:themeColor="text1"/>
          <w:kern w:val="2"/>
          <w:szCs w:val="24"/>
          <w:highlight w:val="none"/>
          <w:lang w:eastAsia="zh-CN"/>
          <w14:textFill>
            <w14:solidFill>
              <w14:schemeClr w14:val="tx1"/>
            </w14:solidFill>
          </w14:textFill>
        </w:rPr>
        <w:t>部门</w:t>
      </w:r>
      <w:r>
        <w:rPr>
          <w:rFonts w:hint="eastAsia" w:ascii="仿宋" w:hAnsi="仿宋" w:eastAsia="仿宋" w:cs="仿宋"/>
          <w:bCs/>
          <w:color w:val="000000" w:themeColor="text1"/>
          <w:kern w:val="2"/>
          <w:szCs w:val="24"/>
          <w:highlight w:val="none"/>
          <w14:textFill>
            <w14:solidFill>
              <w14:schemeClr w14:val="tx1"/>
            </w14:solidFill>
          </w14:textFill>
        </w:rPr>
        <w:t>提供的相关数据格式交换标准，进行大批量的数据格式转换功能。</w:t>
      </w:r>
    </w:p>
    <w:p w14:paraId="27A0F43F">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（7）系统应支持海量（T级）的档案数据的运转与管理，支持海量数据库智能检索、跨库检索、二次检索等等多种检索途径。</w:t>
      </w:r>
    </w:p>
    <w:p w14:paraId="7022487B">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14:textFill>
            <w14:solidFill>
              <w14:schemeClr w14:val="tx1"/>
            </w14:solidFill>
          </w14:textFill>
        </w:rPr>
        <w:t>（8）系统应具有标准化的数据导出能力，按用户需要，全部或有选择地批量导出各种类型档案数据。</w:t>
      </w:r>
    </w:p>
    <w:p w14:paraId="64B6ED9E">
      <w:pPr>
        <w:pStyle w:val="16"/>
        <w:shd w:val="clear" w:color="auto" w:fill="FFFFFF"/>
        <w:tabs>
          <w:tab w:val="left" w:pos="850"/>
        </w:tabs>
        <w:kinsoku/>
        <w:spacing w:beforeAutospacing="0" w:after="0" w:afterAutospacing="0"/>
        <w:ind w:firstLine="178" w:firstLineChars="74"/>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6、功能需求</w:t>
      </w:r>
    </w:p>
    <w:p w14:paraId="0B8F3AFD">
      <w:pPr>
        <w:pStyle w:val="16"/>
        <w:shd w:val="clear" w:color="auto" w:fill="FFFFFF"/>
        <w:tabs>
          <w:tab w:val="left" w:pos="850"/>
        </w:tabs>
        <w:kinsoku/>
        <w:spacing w:beforeAutospacing="0" w:after="0" w:afterAutospacing="0"/>
        <w:ind w:firstLine="178" w:firstLineChars="74"/>
        <w:rPr>
          <w:rFonts w:ascii="仿宋" w:hAnsi="仿宋" w:eastAsia="仿宋" w:cs="仿宋"/>
          <w:b/>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14:textFill>
            <w14:solidFill>
              <w14:schemeClr w14:val="tx1"/>
            </w14:solidFill>
          </w14:textFill>
        </w:rPr>
        <w:t>（1）对原系统功能模块进行全面升级，以满足新的要求。</w:t>
      </w:r>
    </w:p>
    <w:p w14:paraId="0A88563D">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lang w:eastAsia="zh-CN"/>
          <w14:textFill>
            <w14:solidFill>
              <w14:schemeClr w14:val="tx1"/>
            </w14:solidFill>
          </w14:textFill>
        </w:rPr>
        <w:t>随着</w:t>
      </w:r>
      <w:r>
        <w:rPr>
          <w:rFonts w:hint="eastAsia" w:ascii="仿宋" w:hAnsi="仿宋" w:eastAsia="仿宋" w:cs="仿宋"/>
          <w:bCs/>
          <w:color w:val="000000" w:themeColor="text1"/>
          <w:kern w:val="2"/>
          <w:szCs w:val="24"/>
          <w:highlight w:val="none"/>
          <w14:textFill>
            <w14:solidFill>
              <w14:schemeClr w14:val="tx1"/>
            </w14:solidFill>
          </w14:textFill>
        </w:rPr>
        <w:t>近两年随着信息化的发展，档案的采集、管理、查询、利用等方式都发生了较大的改变，为了适应业务需求和应用效率提高的需要迫切需要对原系统的一些功能做一升级，主要包含一下几个方面：</w:t>
      </w:r>
    </w:p>
    <w:p w14:paraId="17DD555E">
      <w:pPr>
        <w:pStyle w:val="16"/>
        <w:shd w:val="clear" w:color="auto" w:fill="FFFFFF"/>
        <w:tabs>
          <w:tab w:val="left" w:pos="850"/>
        </w:tabs>
        <w:kinsoku/>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档案门类管理按照所见即所得的方式由用户自行定义，包括用户的各类界面、数据规则、档号规则等，通过门类的管理系统具有更好的扩展性和灵活性，可以满足各种业务类型的档案；</w:t>
      </w:r>
    </w:p>
    <w:p w14:paraId="56AB09A5">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增加在线归档、Excel导入和离线接收，档案的采集手段更加丰富；</w:t>
      </w:r>
    </w:p>
    <w:p w14:paraId="00DB5E03">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在档案的接收、归档、移交等环节增加四性检测功能，确保的档案的完整性、真实性、可用性和安全性；</w:t>
      </w:r>
    </w:p>
    <w:p w14:paraId="6AFF7194">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通过对档案元数据的采集，完善档案全生命周期的管理，实现对档案的追根朔源；</w:t>
      </w:r>
    </w:p>
    <w:p w14:paraId="3869BECB">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组合式、卡片式、多关键字等检索手段的升级改造完善档案综合检索、全域检索、跨类检索和全库检索功能；</w:t>
      </w:r>
    </w:p>
    <w:p w14:paraId="72ACD065">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档案的统计功能更加丰富，馆藏统计以柱状图、饼状图等直观的形式展现馆藏总量、年度归档的情况，利用统计按照用户浏览、下载、借用等情况分门别类进行统计。</w:t>
      </w:r>
    </w:p>
    <w:p w14:paraId="508052C5">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按照档案馆的移交技术规范生成离线移交数据包，实现电子档案的离线移交。</w:t>
      </w:r>
    </w:p>
    <w:p w14:paraId="433F5C3D">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完成与CA接口的对接工作。一是档案管理系统接收CA推送的全程化业务过程中的相关数据，二是CA接收档案管理系统的返回信息，根据返回信息确保数据的一致性和完整性。</w:t>
      </w:r>
    </w:p>
    <w:p w14:paraId="4FB4BF96">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打印、下载方式升级。改变原来的按目录打印、下载升级为按卷、按企业下载、打印。</w:t>
      </w:r>
    </w:p>
    <w:p w14:paraId="757456A4">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显示、浏览模式升级。对档案的显示、浏览方式进行优化和升级，以适应不同格式的档案文件。</w:t>
      </w:r>
    </w:p>
    <w:p w14:paraId="41FD246C">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 xml:space="preserve">◇  </w:t>
      </w:r>
      <w:r>
        <w:rPr>
          <w:rFonts w:hint="eastAsia" w:ascii="仿宋" w:hAnsi="仿宋" w:eastAsia="仿宋" w:cs="仿宋"/>
          <w:bCs/>
          <w:color w:val="000000" w:themeColor="text1"/>
          <w:kern w:val="2"/>
          <w:szCs w:val="24"/>
          <w:highlight w:val="none"/>
          <w14:textFill>
            <w14:solidFill>
              <w14:schemeClr w14:val="tx1"/>
            </w14:solidFill>
          </w14:textFill>
        </w:rPr>
        <w:t>系统结构、数据接口、数据库的优化。目前原有系统中对查询文件、数据库都比较稳定，但因为系统中需要增加文件打包、整体文件下载以及其他并发任务功能，需要对系统的一些结构、数据接口、数据库等进行调整和优化，以提高系统运行效率。</w:t>
      </w:r>
    </w:p>
    <w:p w14:paraId="3F16864D">
      <w:pPr>
        <w:pStyle w:val="16"/>
        <w:shd w:val="clear" w:color="auto" w:fill="FFFFFF"/>
        <w:tabs>
          <w:tab w:val="left" w:pos="850"/>
        </w:tabs>
        <w:spacing w:beforeAutospacing="0" w:after="0" w:afterAutospacing="0"/>
        <w:ind w:firstLine="178" w:firstLineChars="74"/>
        <w:rPr>
          <w:rFonts w:ascii="仿宋" w:hAnsi="仿宋" w:eastAsia="仿宋" w:cs="仿宋"/>
          <w:b/>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14:textFill>
            <w14:solidFill>
              <w14:schemeClr w14:val="tx1"/>
            </w14:solidFill>
          </w14:textFill>
        </w:rPr>
        <w:t xml:space="preserve">  （2）原有功能模块的优化。对原有系统中效率不高、使用不方便的一些功能模块进行优化，以改善用户体验。</w:t>
      </w:r>
    </w:p>
    <w:p w14:paraId="1EA70065">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w:t>
      </w:r>
      <w:r>
        <w:rPr>
          <w:rFonts w:hint="eastAsia" w:ascii="仿宋" w:hAnsi="仿宋" w:eastAsia="仿宋" w:cs="仿宋"/>
          <w:bCs/>
          <w:color w:val="000000" w:themeColor="text1"/>
          <w:kern w:val="2"/>
          <w:szCs w:val="24"/>
          <w:highlight w:val="none"/>
          <w14:textFill>
            <w14:solidFill>
              <w14:schemeClr w14:val="tx1"/>
            </w14:solidFill>
          </w14:textFill>
        </w:rPr>
        <w:t xml:space="preserve"> 在档案新建时，系统调取数据中心推送的基本信息自动填写新的信息。</w:t>
      </w:r>
    </w:p>
    <w:p w14:paraId="31F4B1C4">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w:t>
      </w:r>
      <w:r>
        <w:rPr>
          <w:rFonts w:hint="eastAsia" w:ascii="仿宋" w:hAnsi="仿宋" w:eastAsia="仿宋" w:cs="仿宋"/>
          <w:bCs/>
          <w:color w:val="000000" w:themeColor="text1"/>
          <w:kern w:val="2"/>
          <w:szCs w:val="24"/>
          <w:highlight w:val="none"/>
          <w14:textFill>
            <w14:solidFill>
              <w14:schemeClr w14:val="tx1"/>
            </w14:solidFill>
          </w14:textFill>
        </w:rPr>
        <w:t xml:space="preserve"> 和业务系统对接环节业务流程做调整：迁移档案时先做档案迁移，检查后确认再做业务系统迁移。</w:t>
      </w:r>
    </w:p>
    <w:p w14:paraId="7DC45C00">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w:t>
      </w:r>
      <w:r>
        <w:rPr>
          <w:rFonts w:hint="eastAsia" w:ascii="仿宋" w:hAnsi="仿宋" w:eastAsia="仿宋" w:cs="仿宋"/>
          <w:bCs/>
          <w:color w:val="000000" w:themeColor="text1"/>
          <w:kern w:val="2"/>
          <w:szCs w:val="24"/>
          <w:highlight w:val="none"/>
          <w14:textFill>
            <w14:solidFill>
              <w14:schemeClr w14:val="tx1"/>
            </w14:solidFill>
          </w14:textFill>
        </w:rPr>
        <w:t xml:space="preserve"> 通过接口方式实现</w:t>
      </w:r>
      <w:r>
        <w:rPr>
          <w:rFonts w:hint="eastAsia" w:ascii="仿宋" w:hAnsi="仿宋" w:eastAsia="仿宋" w:cs="仿宋"/>
          <w:bCs/>
          <w:color w:val="000000" w:themeColor="text1"/>
          <w:kern w:val="2"/>
          <w:szCs w:val="24"/>
          <w:highlight w:val="none"/>
          <w:lang w:eastAsia="zh-CN"/>
          <w14:textFill>
            <w14:solidFill>
              <w14:schemeClr w14:val="tx1"/>
            </w14:solidFill>
          </w14:textFill>
        </w:rPr>
        <w:t>上下级</w:t>
      </w:r>
      <w:r>
        <w:rPr>
          <w:rFonts w:hint="eastAsia" w:ascii="仿宋" w:hAnsi="仿宋" w:eastAsia="仿宋" w:cs="仿宋"/>
          <w:bCs/>
          <w:color w:val="000000" w:themeColor="text1"/>
          <w:kern w:val="2"/>
          <w:szCs w:val="24"/>
          <w:highlight w:val="none"/>
          <w14:textFill>
            <w14:solidFill>
              <w14:schemeClr w14:val="tx1"/>
            </w14:solidFill>
          </w14:textFill>
        </w:rPr>
        <w:t>档案系统之间的数据交换。</w:t>
      </w:r>
    </w:p>
    <w:p w14:paraId="215267F9">
      <w:pPr>
        <w:pStyle w:val="16"/>
        <w:shd w:val="clear" w:color="auto" w:fill="FFFFFF"/>
        <w:tabs>
          <w:tab w:val="left" w:pos="850"/>
        </w:tabs>
        <w:spacing w:beforeAutospacing="0" w:after="0" w:afterAutospacing="0"/>
        <w:ind w:firstLine="177" w:firstLineChars="74"/>
        <w:rPr>
          <w:rFonts w:ascii="仿宋" w:hAnsi="仿宋" w:eastAsia="仿宋" w:cs="仿宋"/>
          <w:bCs/>
          <w:color w:val="000000" w:themeColor="text1"/>
          <w:kern w:val="2"/>
          <w:szCs w:val="24"/>
          <w:highlight w:val="none"/>
          <w14:textFill>
            <w14:solidFill>
              <w14:schemeClr w14:val="tx1"/>
            </w14:solidFill>
          </w14:textFill>
        </w:rPr>
      </w:pPr>
      <w:bookmarkStart w:id="60" w:name="OLE_LINK22"/>
      <w:bookmarkStart w:id="61" w:name="OLE_LINK23"/>
      <w:r>
        <w:rPr>
          <w:rFonts w:hint="eastAsia" w:ascii="仿宋" w:hAnsi="仿宋" w:eastAsia="仿宋" w:cs="仿宋"/>
          <w:bCs/>
          <w:color w:val="000000" w:themeColor="text1"/>
          <w:szCs w:val="24"/>
          <w:highlight w:val="none"/>
          <w14:textFill>
            <w14:solidFill>
              <w14:schemeClr w14:val="tx1"/>
            </w14:solidFill>
          </w14:textFill>
        </w:rPr>
        <w:t>◇</w:t>
      </w:r>
      <w:r>
        <w:rPr>
          <w:rFonts w:hint="eastAsia" w:ascii="仿宋" w:hAnsi="仿宋" w:eastAsia="仿宋" w:cs="仿宋"/>
          <w:bCs/>
          <w:color w:val="000000" w:themeColor="text1"/>
          <w:kern w:val="2"/>
          <w:szCs w:val="24"/>
          <w:highlight w:val="none"/>
          <w14:textFill>
            <w14:solidFill>
              <w14:schemeClr w14:val="tx1"/>
            </w14:solidFill>
          </w14:textFill>
        </w:rPr>
        <w:t xml:space="preserve"> </w:t>
      </w:r>
      <w:bookmarkEnd w:id="60"/>
      <w:bookmarkEnd w:id="61"/>
      <w:r>
        <w:rPr>
          <w:rFonts w:hint="eastAsia" w:ascii="仿宋" w:hAnsi="仿宋" w:eastAsia="仿宋" w:cs="仿宋"/>
          <w:bCs/>
          <w:color w:val="000000" w:themeColor="text1"/>
          <w:kern w:val="2"/>
          <w:szCs w:val="24"/>
          <w:highlight w:val="none"/>
          <w14:textFill>
            <w14:solidFill>
              <w14:schemeClr w14:val="tx1"/>
            </w14:solidFill>
          </w14:textFill>
        </w:rPr>
        <w:t>调取数据中心推送数据和档案管理系统对比，保证数据完整性。</w:t>
      </w:r>
    </w:p>
    <w:p w14:paraId="56F85BFF">
      <w:pPr>
        <w:pStyle w:val="16"/>
        <w:shd w:val="clear" w:color="auto" w:fill="FFFFFF"/>
        <w:tabs>
          <w:tab w:val="left" w:pos="850"/>
        </w:tabs>
        <w:spacing w:beforeAutospacing="0" w:after="0" w:afterAutospacing="0"/>
        <w:ind w:firstLine="178" w:firstLineChars="74"/>
        <w:rPr>
          <w:rFonts w:ascii="仿宋" w:hAnsi="仿宋" w:eastAsia="仿宋" w:cs="仿宋"/>
          <w:b/>
          <w:bCs/>
          <w:color w:val="000000" w:themeColor="text1"/>
          <w:kern w:val="2"/>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14:textFill>
            <w14:solidFill>
              <w14:schemeClr w14:val="tx1"/>
            </w14:solidFill>
          </w14:textFill>
        </w:rPr>
        <w:t>（3）新增部分功能</w:t>
      </w:r>
    </w:p>
    <w:p w14:paraId="1D88251A">
      <w:pPr>
        <w:pStyle w:val="7"/>
        <w:numPr>
          <w:ilvl w:val="0"/>
          <w:numId w:val="2"/>
        </w:numPr>
        <w:autoSpaceDE/>
        <w:autoSpaceDN/>
        <w:spacing w:before="100"/>
        <w:ind w:firstLine="177" w:firstLineChars="74"/>
        <w:jc w:val="both"/>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卡片查询：一是条件查询：支持按自然人身份证号、统一社会信用代码、注册号等条件查询主体企业的基本信息。可以将查询出的结果导出Excel表格，可以按预设的卡片模板将查询出的所有数据生成PDF文件打包为ZIP，供客户下载使用。二是模板查询：系统预设3个模板：自然人身份证号、统一信用代码；用户可自主下载对应模板并填写数据后上传模板至前端浏览器，将会查出所上传模板数据相关的数据；可以将查询出的结果导出Excel表格，可以按预设的卡片模板将查询出的所有数据生成PDF文件、加盖登记机关公章后打包为ZIP，供客户下载使用。</w:t>
      </w:r>
    </w:p>
    <w:p w14:paraId="672BC64B">
      <w:pPr>
        <w:pStyle w:val="16"/>
        <w:shd w:val="clear" w:color="auto" w:fill="FFFFFF"/>
        <w:tabs>
          <w:tab w:val="left" w:pos="850"/>
        </w:tabs>
        <w:spacing w:beforeAutospacing="0" w:after="0" w:afterAutospacing="0"/>
        <w:ind w:firstLine="178" w:firstLineChars="74"/>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bCs/>
          <w:color w:val="000000" w:themeColor="text1"/>
          <w:kern w:val="2"/>
          <w:szCs w:val="24"/>
          <w:highlight w:val="none"/>
          <w:lang w:eastAsia="zh-CN"/>
          <w14:textFill>
            <w14:solidFill>
              <w14:schemeClr w14:val="tx1"/>
            </w14:solidFill>
          </w14:textFill>
        </w:rPr>
        <w:t>7</w:t>
      </w:r>
      <w:r>
        <w:rPr>
          <w:rFonts w:hint="eastAsia" w:ascii="仿宋" w:hAnsi="仿宋" w:eastAsia="仿宋" w:cs="仿宋"/>
          <w:b/>
          <w:bCs/>
          <w:color w:val="000000" w:themeColor="text1"/>
          <w:kern w:val="2"/>
          <w:szCs w:val="24"/>
          <w:highlight w:val="none"/>
          <w14:textFill>
            <w14:solidFill>
              <w14:schemeClr w14:val="tx1"/>
            </w14:solidFill>
          </w14:textFill>
        </w:rPr>
        <w:t>、</w:t>
      </w:r>
      <w:r>
        <w:rPr>
          <w:rFonts w:hint="eastAsia" w:ascii="仿宋" w:hAnsi="仿宋" w:eastAsia="仿宋" w:cs="仿宋"/>
          <w:b/>
          <w:color w:val="000000" w:themeColor="text1"/>
          <w:szCs w:val="24"/>
          <w:highlight w:val="none"/>
          <w14:textFill>
            <w14:solidFill>
              <w14:schemeClr w14:val="tx1"/>
            </w14:solidFill>
          </w14:textFill>
        </w:rPr>
        <w:t>电子档案接口开发</w:t>
      </w:r>
    </w:p>
    <w:p w14:paraId="2A8DA719">
      <w:pPr>
        <w:pStyle w:val="16"/>
        <w:shd w:val="clear" w:color="auto" w:fill="FFFFFF"/>
        <w:tabs>
          <w:tab w:val="left" w:pos="850"/>
        </w:tabs>
        <w:spacing w:beforeAutospacing="0" w:after="0" w:afterAutospacing="0"/>
        <w:ind w:firstLine="177" w:firstLineChars="74"/>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电子档案接口开发，通过标准化接口技术，实现档案管理系统与OA系统、业务审批系统、上级档案平台、人事管理系统等三方系统的数据互通、文件互传、流程互联，完成电子文件自动采集、在线归档、授权利用、状态回传等功能，实现档案全流程电子化、无纸化管理。</w:t>
      </w:r>
    </w:p>
    <w:bookmarkEnd w:id="48"/>
    <w:bookmarkEnd w:id="49"/>
    <w:p w14:paraId="10608851">
      <w:pPr>
        <w:kinsoku/>
        <w:autoSpaceDE/>
        <w:autoSpaceDN/>
        <w:adjustRightInd/>
        <w:snapToGrid/>
        <w:textAlignment w:val="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(十</w:t>
      </w:r>
      <w:r>
        <w:rPr>
          <w:rFonts w:hint="eastAsia" w:ascii="仿宋" w:hAnsi="仿宋" w:eastAsia="仿宋" w:cs="仿宋"/>
          <w:b/>
          <w:bCs/>
          <w:color w:val="000000" w:themeColor="text1"/>
          <w:sz w:val="24"/>
          <w:szCs w:val="24"/>
          <w:highlight w:val="none"/>
          <w:lang w:eastAsia="zh-CN"/>
          <w14:textFill>
            <w14:solidFill>
              <w14:schemeClr w14:val="tx1"/>
            </w14:solidFill>
          </w14:textFill>
        </w:rPr>
        <w:t>四</w:t>
      </w:r>
      <w:r>
        <w:rPr>
          <w:rFonts w:hint="eastAsia" w:ascii="仿宋" w:hAnsi="仿宋" w:eastAsia="仿宋" w:cs="仿宋"/>
          <w:b/>
          <w:bCs/>
          <w:color w:val="000000" w:themeColor="text1"/>
          <w:sz w:val="24"/>
          <w:szCs w:val="24"/>
          <w:highlight w:val="none"/>
          <w14:textFill>
            <w14:solidFill>
              <w14:schemeClr w14:val="tx1"/>
            </w14:solidFill>
          </w14:textFill>
        </w:rPr>
        <w:t>）合同履约期限：自合同签订之日起7个月内完成。</w:t>
      </w:r>
    </w:p>
    <w:p w14:paraId="5E20FDE9">
      <w:pPr>
        <w:kinsoku/>
        <w:autoSpaceDE/>
        <w:autoSpaceDN/>
        <w:adjustRightInd/>
        <w:snapToGrid/>
        <w:textAlignment w:val="auto"/>
        <w:rPr>
          <w:rFonts w:ascii="仿宋" w:hAnsi="仿宋" w:eastAsia="仿宋" w:cs="仿宋"/>
          <w:b/>
          <w:bCs/>
          <w:color w:val="000000" w:themeColor="text1"/>
          <w:sz w:val="24"/>
          <w:szCs w:val="24"/>
          <w:highlight w:val="none"/>
          <w14:textFill>
            <w14:solidFill>
              <w14:schemeClr w14:val="tx1"/>
            </w14:solidFill>
          </w14:textFill>
        </w:rPr>
      </w:pPr>
    </w:p>
    <w:p w14:paraId="136953CB">
      <w:pPr>
        <w:kinsoku/>
        <w:autoSpaceDE/>
        <w:autoSpaceDN/>
        <w:adjustRightInd/>
        <w:snapToGrid/>
        <w:textAlignment w:val="auto"/>
        <w:rPr>
          <w:rFonts w:ascii="仿宋_GB2312" w:hAnsi="仿宋_GB2312" w:eastAsia="仿宋" w:cs="仿宋_GB2312"/>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（十五）付款方式</w:t>
      </w:r>
    </w:p>
    <w:p w14:paraId="3EB8C0D4">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（1）合同签订</w:t>
      </w:r>
      <w:r>
        <w:rPr>
          <w:rFonts w:hint="eastAsia" w:ascii="仿宋" w:hAnsi="仿宋" w:eastAsia="仿宋" w:cs="仿宋"/>
          <w:color w:val="000000" w:themeColor="text1"/>
          <w:szCs w:val="24"/>
          <w:highlight w:val="none"/>
          <w:lang w:eastAsia="zh-CN"/>
          <w14:textFill>
            <w14:solidFill>
              <w14:schemeClr w14:val="tx1"/>
            </w14:solidFill>
          </w14:textFill>
        </w:rPr>
        <w:t>后7日内</w:t>
      </w:r>
      <w:r>
        <w:rPr>
          <w:rFonts w:hint="eastAsia" w:ascii="仿宋" w:hAnsi="仿宋" w:eastAsia="仿宋" w:cs="仿宋"/>
          <w:color w:val="000000" w:themeColor="text1"/>
          <w:szCs w:val="24"/>
          <w:highlight w:val="none"/>
          <w14:textFill>
            <w14:solidFill>
              <w14:schemeClr w14:val="tx1"/>
            </w14:solidFill>
          </w14:textFill>
        </w:rPr>
        <w:t>，甲方支付合同总</w:t>
      </w:r>
      <w:r>
        <w:rPr>
          <w:rFonts w:hint="eastAsia" w:ascii="仿宋" w:hAnsi="仿宋" w:eastAsia="仿宋" w:cs="仿宋"/>
          <w:color w:val="000000" w:themeColor="text1"/>
          <w:szCs w:val="24"/>
          <w:highlight w:val="none"/>
          <w:lang w:eastAsia="zh-CN"/>
          <w14:textFill>
            <w14:solidFill>
              <w14:schemeClr w14:val="tx1"/>
            </w14:solidFill>
          </w14:textFill>
        </w:rPr>
        <w:t>金</w:t>
      </w:r>
      <w:r>
        <w:rPr>
          <w:rFonts w:hint="eastAsia" w:ascii="仿宋" w:hAnsi="仿宋" w:eastAsia="仿宋" w:cs="仿宋"/>
          <w:color w:val="000000" w:themeColor="text1"/>
          <w:szCs w:val="24"/>
          <w:highlight w:val="none"/>
          <w14:textFill>
            <w14:solidFill>
              <w14:schemeClr w14:val="tx1"/>
            </w14:solidFill>
          </w14:textFill>
        </w:rPr>
        <w:t>额的</w:t>
      </w:r>
      <w:r>
        <w:rPr>
          <w:rFonts w:hint="eastAsia" w:ascii="仿宋" w:hAnsi="仿宋" w:eastAsia="仿宋" w:cs="仿宋"/>
          <w:color w:val="000000" w:themeColor="text1"/>
          <w:szCs w:val="24"/>
          <w:highlight w:val="none"/>
          <w:lang w:eastAsia="zh-CN"/>
          <w14:textFill>
            <w14:solidFill>
              <w14:schemeClr w14:val="tx1"/>
            </w14:solidFill>
          </w14:textFill>
        </w:rPr>
        <w:t>40</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szCs w:val="24"/>
          <w:highlight w:val="none"/>
          <w:lang w:eastAsia="zh-CN"/>
          <w14:textFill>
            <w14:solidFill>
              <w14:schemeClr w14:val="tx1"/>
            </w14:solidFill>
          </w14:textFill>
        </w:rPr>
        <w:t>首付款，作为项目预付款</w:t>
      </w:r>
      <w:r>
        <w:rPr>
          <w:rFonts w:hint="eastAsia" w:ascii="仿宋" w:hAnsi="仿宋" w:eastAsia="仿宋" w:cs="仿宋"/>
          <w:color w:val="000000" w:themeColor="text1"/>
          <w:szCs w:val="24"/>
          <w:highlight w:val="none"/>
          <w14:textFill>
            <w14:solidFill>
              <w14:schemeClr w14:val="tx1"/>
            </w14:solidFill>
          </w14:textFill>
        </w:rPr>
        <w:t>；</w:t>
      </w:r>
    </w:p>
    <w:p w14:paraId="4FA59D5F">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w:t>
      </w:r>
      <w:r>
        <w:rPr>
          <w:rFonts w:hint="eastAsia" w:ascii="仿宋" w:hAnsi="仿宋" w:eastAsia="仿宋" w:cs="仿宋"/>
          <w:color w:val="000000" w:themeColor="text1"/>
          <w:szCs w:val="24"/>
          <w:highlight w:val="none"/>
          <w:lang w:eastAsia="zh-CN"/>
          <w14:textFill>
            <w14:solidFill>
              <w14:schemeClr w14:val="tx1"/>
            </w14:solidFill>
          </w14:textFill>
        </w:rPr>
        <w:t>本项目完成60%</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szCs w:val="24"/>
          <w:highlight w:val="none"/>
          <w:lang w:eastAsia="zh-CN"/>
          <w14:textFill>
            <w14:solidFill>
              <w14:schemeClr w14:val="tx1"/>
            </w14:solidFill>
          </w14:textFill>
        </w:rPr>
        <w:t>甲方组织完成验收考核，</w:t>
      </w:r>
      <w:r>
        <w:rPr>
          <w:rFonts w:hint="eastAsia" w:ascii="仿宋" w:hAnsi="仿宋" w:eastAsia="仿宋" w:cs="仿宋"/>
          <w:color w:val="000000" w:themeColor="text1"/>
          <w:szCs w:val="24"/>
          <w:highlight w:val="none"/>
          <w14:textFill>
            <w14:solidFill>
              <w14:schemeClr w14:val="tx1"/>
            </w14:solidFill>
          </w14:textFill>
        </w:rPr>
        <w:t>考核合格后，乙方向甲方提供合同全额发票后，甲方支付合同总额的</w:t>
      </w:r>
      <w:r>
        <w:rPr>
          <w:rFonts w:hint="eastAsia" w:ascii="仿宋" w:hAnsi="仿宋" w:eastAsia="仿宋" w:cs="仿宋"/>
          <w:color w:val="000000" w:themeColor="text1"/>
          <w:szCs w:val="24"/>
          <w:highlight w:val="none"/>
          <w:lang w:eastAsia="zh-CN"/>
          <w14:textFill>
            <w14:solidFill>
              <w14:schemeClr w14:val="tx1"/>
            </w14:solidFill>
          </w14:textFill>
        </w:rPr>
        <w:t>30</w:t>
      </w:r>
      <w:r>
        <w:rPr>
          <w:rFonts w:hint="eastAsia" w:ascii="仿宋" w:hAnsi="仿宋" w:eastAsia="仿宋" w:cs="仿宋"/>
          <w:color w:val="000000" w:themeColor="text1"/>
          <w:szCs w:val="24"/>
          <w:highlight w:val="none"/>
          <w14:textFill>
            <w14:solidFill>
              <w14:schemeClr w14:val="tx1"/>
            </w14:solidFill>
          </w14:textFill>
        </w:rPr>
        <w:t>%给乙方；</w:t>
      </w:r>
    </w:p>
    <w:p w14:paraId="5BBDD689">
      <w:pPr>
        <w:pStyle w:val="16"/>
        <w:kinsoku/>
        <w:autoSpaceDE/>
        <w:autoSpaceDN/>
        <w:adjustRightInd/>
        <w:snapToGrid/>
        <w:spacing w:beforeAutospacing="0" w:after="0" w:afterAutospacing="0"/>
        <w:ind w:firstLine="420"/>
        <w:jc w:val="both"/>
        <w:textAlignment w:val="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w:t>
      </w:r>
      <w:r>
        <w:rPr>
          <w:rFonts w:hint="eastAsia" w:ascii="仿宋" w:hAnsi="仿宋" w:eastAsia="仿宋" w:cs="仿宋"/>
          <w:color w:val="000000" w:themeColor="text1"/>
          <w:szCs w:val="24"/>
          <w:highlight w:val="none"/>
          <w:lang w:eastAsia="zh-CN"/>
          <w14:textFill>
            <w14:solidFill>
              <w14:schemeClr w14:val="tx1"/>
            </w14:solidFill>
          </w14:textFill>
        </w:rPr>
        <w:t>项目完成后验收合格，甲方按最终完成的实际数量支付项目余款</w:t>
      </w:r>
      <w:r>
        <w:rPr>
          <w:rFonts w:hint="eastAsia" w:ascii="仿宋" w:hAnsi="仿宋" w:eastAsia="仿宋" w:cs="仿宋"/>
          <w:color w:val="000000" w:themeColor="text1"/>
          <w:szCs w:val="24"/>
          <w:highlight w:val="none"/>
          <w14:textFill>
            <w14:solidFill>
              <w14:schemeClr w14:val="tx1"/>
            </w14:solidFill>
          </w14:textFill>
        </w:rPr>
        <w:t>。</w:t>
      </w:r>
    </w:p>
    <w:p w14:paraId="017F56D5">
      <w:pPr>
        <w:rPr>
          <w:rFonts w:ascii="仿宋" w:hAnsi="仿宋" w:eastAsia="仿宋" w:cs="仿宋"/>
          <w:color w:val="000000" w:themeColor="text1"/>
          <w:highlight w:val="none"/>
          <w14:textFill>
            <w14:solidFill>
              <w14:schemeClr w14:val="tx1"/>
            </w14:solidFill>
          </w14:textFill>
        </w:rPr>
      </w:pPr>
    </w:p>
    <w:p w14:paraId="4017AF20">
      <w:pPr>
        <w:spacing w:line="360" w:lineRule="auto"/>
        <w:ind w:firstLine="731"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br w:type="page"/>
      </w:r>
    </w:p>
    <w:p w14:paraId="3C4C700E">
      <w:pPr>
        <w:spacing w:before="293" w:line="205" w:lineRule="auto"/>
        <w:ind w:left="2644"/>
        <w:outlineLvl w:val="0"/>
        <w:rPr>
          <w:rFonts w:ascii="仿宋" w:hAnsi="仿宋" w:eastAsia="仿宋" w:cs="仿宋"/>
          <w:color w:val="000000" w:themeColor="text1"/>
          <w:sz w:val="35"/>
          <w:szCs w:val="35"/>
          <w:highlight w:val="none"/>
          <w:lang w:eastAsia="zh-CN"/>
          <w14:textFill>
            <w14:solidFill>
              <w14:schemeClr w14:val="tx1"/>
            </w14:solidFill>
          </w14:textFill>
        </w:rPr>
      </w:pPr>
      <w:bookmarkStart w:id="62" w:name="_Toc27170"/>
      <w:bookmarkStart w:id="63" w:name="_Toc3354"/>
      <w:r>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t>第五章     合同草案条款</w:t>
      </w:r>
      <w:bookmarkEnd w:id="47"/>
      <w:bookmarkEnd w:id="62"/>
      <w:bookmarkEnd w:id="63"/>
    </w:p>
    <w:p w14:paraId="4E40024E">
      <w:pPr>
        <w:spacing w:line="54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（本合同文本仅供参考，最终签订文本以甲乙双方签订为准。） </w:t>
      </w:r>
    </w:p>
    <w:p w14:paraId="418091F5">
      <w:pPr>
        <w:pStyle w:val="7"/>
        <w:spacing w:beforeLines="50"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p>
    <w:p w14:paraId="61FD7D03">
      <w:pPr>
        <w:spacing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                                  </w:t>
      </w:r>
      <w:r>
        <w:rPr>
          <w:rFonts w:hint="eastAsia" w:ascii="仿宋" w:hAnsi="仿宋" w:eastAsia="仿宋" w:cs="仿宋"/>
          <w:b/>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合同号： </w:t>
      </w:r>
    </w:p>
    <w:p w14:paraId="6D4F9CDB">
      <w:pPr>
        <w:spacing w:line="360" w:lineRule="auto"/>
        <w:ind w:firstLine="562" w:firstLineChars="200"/>
        <w:jc w:val="center"/>
        <w:outlineLvl w:val="1"/>
        <w:rPr>
          <w:rFonts w:ascii="仿宋" w:hAnsi="仿宋" w:eastAsia="仿宋" w:cs="仿宋"/>
          <w:b/>
          <w:color w:val="000000" w:themeColor="text1"/>
          <w:sz w:val="28"/>
          <w:szCs w:val="28"/>
          <w:highlight w:val="none"/>
          <w14:textFill>
            <w14:solidFill>
              <w14:schemeClr w14:val="tx1"/>
            </w14:solidFill>
          </w14:textFill>
        </w:rPr>
      </w:pPr>
    </w:p>
    <w:p w14:paraId="3F678E8F">
      <w:pPr>
        <w:spacing w:line="360" w:lineRule="auto"/>
        <w:jc w:val="center"/>
        <w:rPr>
          <w:rFonts w:ascii="仿宋" w:hAnsi="仿宋" w:eastAsia="仿宋" w:cs="仿宋"/>
          <w:b/>
          <w:color w:val="000000" w:themeColor="text1"/>
          <w:sz w:val="44"/>
          <w:szCs w:val="44"/>
          <w:highlight w:val="none"/>
          <w14:textFill>
            <w14:solidFill>
              <w14:schemeClr w14:val="tx1"/>
            </w14:solidFill>
          </w14:textFill>
        </w:rPr>
      </w:pPr>
      <w:bookmarkStart w:id="64" w:name="_Toc380404622"/>
      <w:bookmarkStart w:id="65" w:name="_Toc392261463"/>
      <w:r>
        <w:rPr>
          <w:rFonts w:hint="eastAsia" w:ascii="仿宋" w:hAnsi="仿宋" w:eastAsia="仿宋" w:cs="仿宋"/>
          <w:b/>
          <w:color w:val="000000" w:themeColor="text1"/>
          <w:sz w:val="28"/>
          <w:szCs w:val="28"/>
          <w:highlight w:val="none"/>
          <w14:textFill>
            <w14:solidFill>
              <w14:schemeClr w14:val="tx1"/>
            </w14:solidFill>
          </w14:textFill>
        </w:rPr>
        <w:t xml:space="preserve">         </w:t>
      </w:r>
    </w:p>
    <w:p w14:paraId="5C81EB6F">
      <w:pPr>
        <w:spacing w:line="360" w:lineRule="auto"/>
        <w:jc w:val="center"/>
        <w:rPr>
          <w:rFonts w:ascii="仿宋" w:hAnsi="仿宋" w:eastAsia="仿宋" w:cs="仿宋"/>
          <w:b/>
          <w:color w:val="000000" w:themeColor="text1"/>
          <w:sz w:val="52"/>
          <w:szCs w:val="52"/>
          <w:highlight w:val="none"/>
          <w14:textFill>
            <w14:solidFill>
              <w14:schemeClr w14:val="tx1"/>
            </w14:solidFill>
          </w14:textFill>
        </w:rPr>
      </w:pPr>
    </w:p>
    <w:p w14:paraId="75492541">
      <w:pPr>
        <w:spacing w:line="360" w:lineRule="auto"/>
        <w:jc w:val="center"/>
        <w:rPr>
          <w:rFonts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新疆维吾尔自治区生态环境厅档案系统升级及档案数字化项目</w:t>
      </w:r>
      <w:r>
        <w:rPr>
          <w:rFonts w:hint="eastAsia" w:ascii="仿宋" w:hAnsi="仿宋" w:eastAsia="仿宋" w:cs="仿宋"/>
          <w:b/>
          <w:color w:val="000000" w:themeColor="text1"/>
          <w:sz w:val="52"/>
          <w:szCs w:val="52"/>
          <w:highlight w:val="none"/>
          <w14:textFill>
            <w14:solidFill>
              <w14:schemeClr w14:val="tx1"/>
            </w14:solidFill>
          </w14:textFill>
        </w:rPr>
        <w:t>合同</w:t>
      </w:r>
    </w:p>
    <w:p w14:paraId="6C3383DF">
      <w:pPr>
        <w:spacing w:line="360" w:lineRule="auto"/>
        <w:outlineLvl w:val="1"/>
        <w:rPr>
          <w:rFonts w:ascii="仿宋" w:hAnsi="仿宋" w:eastAsia="仿宋" w:cs="仿宋"/>
          <w:b/>
          <w:color w:val="000000" w:themeColor="text1"/>
          <w:sz w:val="28"/>
          <w:szCs w:val="28"/>
          <w:highlight w:val="none"/>
          <w14:textFill>
            <w14:solidFill>
              <w14:schemeClr w14:val="tx1"/>
            </w14:solidFill>
          </w14:textFill>
        </w:rPr>
      </w:pPr>
    </w:p>
    <w:p w14:paraId="47898C34">
      <w:pPr>
        <w:pStyle w:val="2"/>
        <w:rPr>
          <w:rFonts w:ascii="仿宋" w:hAnsi="仿宋" w:eastAsia="仿宋" w:cs="仿宋"/>
          <w:b/>
          <w:color w:val="000000" w:themeColor="text1"/>
          <w:sz w:val="28"/>
          <w:szCs w:val="28"/>
          <w:highlight w:val="none"/>
          <w14:textFill>
            <w14:solidFill>
              <w14:schemeClr w14:val="tx1"/>
            </w14:solidFill>
          </w14:textFill>
        </w:rPr>
      </w:pPr>
    </w:p>
    <w:p w14:paraId="13AF7026">
      <w:pPr>
        <w:pStyle w:val="2"/>
        <w:rPr>
          <w:rFonts w:ascii="仿宋" w:hAnsi="仿宋" w:eastAsia="仿宋" w:cs="仿宋"/>
          <w:b/>
          <w:color w:val="000000" w:themeColor="text1"/>
          <w:sz w:val="28"/>
          <w:szCs w:val="28"/>
          <w:highlight w:val="none"/>
          <w14:textFill>
            <w14:solidFill>
              <w14:schemeClr w14:val="tx1"/>
            </w14:solidFill>
          </w14:textFill>
        </w:rPr>
      </w:pPr>
    </w:p>
    <w:p w14:paraId="22CEE93D">
      <w:pPr>
        <w:pStyle w:val="2"/>
        <w:rPr>
          <w:rFonts w:ascii="仿宋" w:hAnsi="仿宋" w:eastAsia="仿宋" w:cs="仿宋"/>
          <w:b/>
          <w:color w:val="000000" w:themeColor="text1"/>
          <w:sz w:val="28"/>
          <w:szCs w:val="28"/>
          <w:highlight w:val="none"/>
          <w14:textFill>
            <w14:solidFill>
              <w14:schemeClr w14:val="tx1"/>
            </w14:solidFill>
          </w14:textFill>
        </w:rPr>
      </w:pPr>
    </w:p>
    <w:p w14:paraId="1EDFE440">
      <w:pPr>
        <w:pStyle w:val="2"/>
        <w:rPr>
          <w:rFonts w:ascii="仿宋" w:hAnsi="仿宋" w:eastAsia="仿宋" w:cs="仿宋"/>
          <w:b/>
          <w:color w:val="000000" w:themeColor="text1"/>
          <w:sz w:val="28"/>
          <w:szCs w:val="28"/>
          <w:highlight w:val="none"/>
          <w14:textFill>
            <w14:solidFill>
              <w14:schemeClr w14:val="tx1"/>
            </w14:solidFill>
          </w14:textFill>
        </w:rPr>
      </w:pPr>
    </w:p>
    <w:p w14:paraId="0E11E62A">
      <w:pPr>
        <w:pStyle w:val="2"/>
        <w:rPr>
          <w:rFonts w:ascii="仿宋" w:hAnsi="仿宋" w:eastAsia="仿宋" w:cs="仿宋"/>
          <w:b/>
          <w:color w:val="000000" w:themeColor="text1"/>
          <w:sz w:val="40"/>
          <w:szCs w:val="40"/>
          <w:highlight w:val="none"/>
          <w14:textFill>
            <w14:solidFill>
              <w14:schemeClr w14:val="tx1"/>
            </w14:solidFill>
          </w14:textFill>
        </w:rPr>
      </w:pPr>
    </w:p>
    <w:p w14:paraId="3349600E">
      <w:pPr>
        <w:spacing w:line="360" w:lineRule="auto"/>
        <w:outlineLvl w:val="1"/>
        <w:rPr>
          <w:rFonts w:ascii="仿宋" w:hAnsi="仿宋" w:eastAsia="仿宋" w:cs="仿宋"/>
          <w:b/>
          <w:color w:val="000000" w:themeColor="text1"/>
          <w:sz w:val="40"/>
          <w:szCs w:val="40"/>
          <w:highlight w:val="none"/>
          <w14:textFill>
            <w14:solidFill>
              <w14:schemeClr w14:val="tx1"/>
            </w14:solidFill>
          </w14:textFill>
        </w:rPr>
      </w:pPr>
      <w:r>
        <w:rPr>
          <w:rFonts w:hint="eastAsia" w:ascii="仿宋" w:hAnsi="仿宋" w:eastAsia="仿宋" w:cs="仿宋"/>
          <w:b/>
          <w:color w:val="000000" w:themeColor="text1"/>
          <w:sz w:val="40"/>
          <w:szCs w:val="40"/>
          <w:highlight w:val="none"/>
          <w:lang w:eastAsia="zh-CN"/>
          <w14:textFill>
            <w14:solidFill>
              <w14:schemeClr w14:val="tx1"/>
            </w14:solidFill>
          </w14:textFill>
        </w:rPr>
        <w:t>甲方：</w:t>
      </w:r>
      <w:r>
        <w:rPr>
          <w:rFonts w:hint="eastAsia" w:ascii="仿宋" w:hAnsi="仿宋" w:eastAsia="仿宋" w:cs="仿宋"/>
          <w:b/>
          <w:color w:val="000000" w:themeColor="text1"/>
          <w:sz w:val="40"/>
          <w:szCs w:val="40"/>
          <w:highlight w:val="none"/>
          <w14:textFill>
            <w14:solidFill>
              <w14:schemeClr w14:val="tx1"/>
            </w14:solidFill>
          </w14:textFill>
        </w:rPr>
        <w:t>新疆维吾尔自治区生态环境厅</w:t>
      </w:r>
    </w:p>
    <w:p w14:paraId="2DB2A161">
      <w:pPr>
        <w:pStyle w:val="2"/>
        <w:rPr>
          <w:rFonts w:ascii="仿宋" w:hAnsi="仿宋" w:eastAsia="仿宋" w:cs="仿宋"/>
          <w:b/>
          <w:color w:val="000000" w:themeColor="text1"/>
          <w:sz w:val="40"/>
          <w:szCs w:val="40"/>
          <w:highlight w:val="none"/>
          <w14:textFill>
            <w14:solidFill>
              <w14:schemeClr w14:val="tx1"/>
            </w14:solidFill>
          </w14:textFill>
        </w:rPr>
      </w:pPr>
    </w:p>
    <w:p w14:paraId="4DA84D8E">
      <w:pPr>
        <w:pStyle w:val="2"/>
        <w:rPr>
          <w:rFonts w:ascii="仿宋" w:hAnsi="仿宋" w:eastAsia="仿宋" w:cs="仿宋"/>
          <w:b/>
          <w:color w:val="000000" w:themeColor="text1"/>
          <w:sz w:val="40"/>
          <w:szCs w:val="40"/>
          <w:highlight w:val="none"/>
          <w14:textFill>
            <w14:solidFill>
              <w14:schemeClr w14:val="tx1"/>
            </w14:solidFill>
          </w14:textFill>
        </w:rPr>
      </w:pPr>
    </w:p>
    <w:p w14:paraId="0D02D349">
      <w:pPr>
        <w:spacing w:line="360" w:lineRule="auto"/>
        <w:outlineLvl w:val="1"/>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40"/>
          <w:szCs w:val="40"/>
          <w:highlight w:val="none"/>
          <w:lang w:eastAsia="zh-CN"/>
          <w14:textFill>
            <w14:solidFill>
              <w14:schemeClr w14:val="tx1"/>
            </w14:solidFill>
          </w14:textFill>
        </w:rPr>
        <w:t>乙方：</w:t>
      </w:r>
    </w:p>
    <w:p w14:paraId="5C63BECB">
      <w:pPr>
        <w:pStyle w:val="2"/>
        <w:rPr>
          <w:rFonts w:ascii="仿宋" w:hAnsi="仿宋" w:eastAsia="仿宋" w:cs="仿宋"/>
          <w:b/>
          <w:color w:val="000000" w:themeColor="text1"/>
          <w:sz w:val="40"/>
          <w:szCs w:val="40"/>
          <w:highlight w:val="none"/>
          <w14:textFill>
            <w14:solidFill>
              <w14:schemeClr w14:val="tx1"/>
            </w14:solidFill>
          </w14:textFill>
        </w:rPr>
      </w:pPr>
    </w:p>
    <w:p w14:paraId="484612B0">
      <w:pPr>
        <w:pStyle w:val="2"/>
        <w:rPr>
          <w:rFonts w:ascii="仿宋" w:hAnsi="仿宋" w:eastAsia="仿宋" w:cs="仿宋"/>
          <w:b/>
          <w:color w:val="000000" w:themeColor="text1"/>
          <w:sz w:val="28"/>
          <w:szCs w:val="28"/>
          <w:highlight w:val="none"/>
          <w14:textFill>
            <w14:solidFill>
              <w14:schemeClr w14:val="tx1"/>
            </w14:solidFill>
          </w14:textFill>
        </w:rPr>
      </w:pPr>
    </w:p>
    <w:p w14:paraId="54BF0A67">
      <w:pPr>
        <w:pStyle w:val="2"/>
        <w:rPr>
          <w:rFonts w:ascii="仿宋" w:hAnsi="仿宋" w:eastAsia="仿宋" w:cs="仿宋"/>
          <w:b/>
          <w:color w:val="000000" w:themeColor="text1"/>
          <w:sz w:val="28"/>
          <w:szCs w:val="28"/>
          <w:highlight w:val="none"/>
          <w14:textFill>
            <w14:solidFill>
              <w14:schemeClr w14:val="tx1"/>
            </w14:solidFill>
          </w14:textFill>
        </w:rPr>
      </w:pPr>
    </w:p>
    <w:p w14:paraId="4A023645">
      <w:pPr>
        <w:pStyle w:val="2"/>
        <w:rPr>
          <w:rFonts w:ascii="仿宋" w:hAnsi="仿宋" w:eastAsia="仿宋" w:cs="仿宋"/>
          <w:b/>
          <w:color w:val="000000" w:themeColor="text1"/>
          <w:sz w:val="28"/>
          <w:szCs w:val="28"/>
          <w:highlight w:val="none"/>
          <w14:textFill>
            <w14:solidFill>
              <w14:schemeClr w14:val="tx1"/>
            </w14:solidFill>
          </w14:textFill>
        </w:rPr>
      </w:pPr>
    </w:p>
    <w:p w14:paraId="68223070">
      <w:pPr>
        <w:pStyle w:val="2"/>
        <w:rPr>
          <w:rFonts w:ascii="仿宋" w:hAnsi="仿宋" w:eastAsia="仿宋" w:cs="仿宋"/>
          <w:b/>
          <w:color w:val="000000" w:themeColor="text1"/>
          <w:sz w:val="28"/>
          <w:szCs w:val="28"/>
          <w:highlight w:val="none"/>
          <w14:textFill>
            <w14:solidFill>
              <w14:schemeClr w14:val="tx1"/>
            </w14:solidFill>
          </w14:textFill>
        </w:rPr>
      </w:pPr>
    </w:p>
    <w:p w14:paraId="0601D87C">
      <w:pPr>
        <w:pStyle w:val="2"/>
        <w:rPr>
          <w:rFonts w:ascii="仿宋" w:hAnsi="仿宋" w:eastAsia="仿宋" w:cs="仿宋"/>
          <w:b/>
          <w:color w:val="000000" w:themeColor="text1"/>
          <w:sz w:val="28"/>
          <w:szCs w:val="28"/>
          <w:highlight w:val="none"/>
          <w14:textFill>
            <w14:solidFill>
              <w14:schemeClr w14:val="tx1"/>
            </w14:solidFill>
          </w14:textFill>
        </w:rPr>
      </w:pPr>
    </w:p>
    <w:p w14:paraId="61FDCBA1">
      <w:pPr>
        <w:pStyle w:val="2"/>
        <w:rPr>
          <w:rFonts w:ascii="仿宋" w:hAnsi="仿宋" w:eastAsia="仿宋" w:cs="仿宋"/>
          <w:b/>
          <w:color w:val="000000" w:themeColor="text1"/>
          <w:sz w:val="28"/>
          <w:szCs w:val="28"/>
          <w:highlight w:val="none"/>
          <w14:textFill>
            <w14:solidFill>
              <w14:schemeClr w14:val="tx1"/>
            </w14:solidFill>
          </w14:textFill>
        </w:rPr>
      </w:pPr>
    </w:p>
    <w:p w14:paraId="23D925CE">
      <w:pPr>
        <w:spacing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甲方：（建设方）新疆维吾尔自治区生态环境厅</w:t>
      </w:r>
    </w:p>
    <w:p w14:paraId="6F1F48CA">
      <w:pPr>
        <w:spacing w:line="360" w:lineRule="auto"/>
        <w:ind w:firstLine="562" w:firstLineChars="200"/>
        <w:outlineLvl w:val="1"/>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乙方：（承建方）</w:t>
      </w:r>
    </w:p>
    <w:bookmarkEnd w:id="64"/>
    <w:bookmarkEnd w:id="65"/>
    <w:p w14:paraId="18A26007">
      <w:pPr>
        <w:pStyle w:val="10"/>
        <w:spacing w:line="360" w:lineRule="auto"/>
        <w:ind w:firstLine="560" w:firstLineChars="200"/>
        <w:rPr>
          <w:rFonts w:hint="default" w:ascii="仿宋" w:hAnsi="仿宋" w:eastAsia="仿宋" w:cs="仿宋"/>
          <w:color w:val="000000" w:themeColor="text1"/>
          <w:spacing w:val="-2"/>
          <w:sz w:val="28"/>
          <w:szCs w:val="28"/>
          <w:highlight w:val="none"/>
          <w14:textFill>
            <w14:solidFill>
              <w14:schemeClr w14:val="tx1"/>
            </w14:solidFill>
          </w14:textFill>
        </w:rPr>
      </w:pPr>
      <w:r>
        <w:rPr>
          <w:rFonts w:ascii="仿宋" w:hAnsi="仿宋" w:eastAsia="仿宋" w:cs="仿宋"/>
          <w:bCs/>
          <w:color w:val="000000" w:themeColor="text1"/>
          <w:sz w:val="28"/>
          <w:szCs w:val="28"/>
          <w:highlight w:val="none"/>
          <w:u w:val="single"/>
          <w14:textFill>
            <w14:solidFill>
              <w14:schemeClr w14:val="tx1"/>
            </w14:solidFill>
          </w14:textFill>
        </w:rPr>
        <w:t>新疆维吾尔自治区生态环境厅</w:t>
      </w:r>
      <w:r>
        <w:rPr>
          <w:rFonts w:ascii="仿宋" w:hAnsi="仿宋" w:eastAsia="仿宋" w:cs="仿宋"/>
          <w:color w:val="000000" w:themeColor="text1"/>
          <w:spacing w:val="-2"/>
          <w:sz w:val="28"/>
          <w:szCs w:val="28"/>
          <w:highlight w:val="none"/>
          <w:u w:val="single"/>
          <w14:textFill>
            <w14:solidFill>
              <w14:schemeClr w14:val="tx1"/>
            </w14:solidFill>
          </w14:textFill>
        </w:rPr>
        <w:t xml:space="preserve"> </w:t>
      </w:r>
      <w:r>
        <w:rPr>
          <w:rFonts w:ascii="仿宋" w:hAnsi="仿宋" w:eastAsia="仿宋" w:cs="仿宋"/>
          <w:color w:val="000000" w:themeColor="text1"/>
          <w:spacing w:val="-2"/>
          <w:sz w:val="28"/>
          <w:szCs w:val="28"/>
          <w:highlight w:val="none"/>
          <w14:textFill>
            <w14:solidFill>
              <w14:schemeClr w14:val="tx1"/>
            </w14:solidFill>
          </w14:textFill>
        </w:rPr>
        <w:t>（下称甲方）和</w:t>
      </w:r>
      <w:r>
        <w:rPr>
          <w:rFonts w:ascii="仿宋" w:hAnsi="仿宋" w:eastAsia="仿宋" w:cs="仿宋"/>
          <w:color w:val="000000" w:themeColor="text1"/>
          <w:spacing w:val="-2"/>
          <w:sz w:val="28"/>
          <w:szCs w:val="28"/>
          <w:highlight w:val="none"/>
          <w:u w:val="single"/>
          <w14:textFill>
            <w14:solidFill>
              <w14:schemeClr w14:val="tx1"/>
            </w14:solidFill>
          </w14:textFill>
        </w:rPr>
        <w:t xml:space="preserve">   </w:t>
      </w:r>
      <w:r>
        <w:rPr>
          <w:rFonts w:ascii="仿宋" w:hAnsi="仿宋" w:eastAsia="仿宋" w:cs="仿宋"/>
          <w:color w:val="000000" w:themeColor="text1"/>
          <w:spacing w:val="-2"/>
          <w:sz w:val="28"/>
          <w:szCs w:val="28"/>
          <w:highlight w:val="none"/>
          <w14:textFill>
            <w14:solidFill>
              <w14:schemeClr w14:val="tx1"/>
            </w14:solidFill>
          </w14:textFill>
        </w:rPr>
        <w:t>（下称乙方）就</w:t>
      </w:r>
      <w:r>
        <w:rPr>
          <w:rFonts w:ascii="仿宋" w:hAnsi="仿宋" w:eastAsia="仿宋" w:cs="仿宋"/>
          <w:bCs/>
          <w:color w:val="000000" w:themeColor="text1"/>
          <w:sz w:val="28"/>
          <w:szCs w:val="28"/>
          <w:highlight w:val="none"/>
          <w:u w:val="single"/>
          <w:lang w:eastAsia="zh-CN"/>
          <w14:textFill>
            <w14:solidFill>
              <w14:schemeClr w14:val="tx1"/>
            </w14:solidFill>
          </w14:textFill>
        </w:rPr>
        <w:t>新疆维吾尔自治区生态环境厅档案系统升级及档案数字化项目</w:t>
      </w:r>
      <w:r>
        <w:rPr>
          <w:rFonts w:ascii="仿宋" w:hAnsi="仿宋" w:eastAsia="仿宋" w:cs="仿宋"/>
          <w:color w:val="000000" w:themeColor="text1"/>
          <w:spacing w:val="-2"/>
          <w:sz w:val="28"/>
          <w:szCs w:val="28"/>
          <w:highlight w:val="none"/>
          <w14:textFill>
            <w14:solidFill>
              <w14:schemeClr w14:val="tx1"/>
            </w14:solidFill>
          </w14:textFill>
        </w:rPr>
        <w:t>事宜，经双方友好协商，一致同意依照《中华人民共和国合同法》签订本合同。</w:t>
      </w:r>
    </w:p>
    <w:p w14:paraId="40CE67C9">
      <w:pPr>
        <w:tabs>
          <w:tab w:val="center" w:pos="5059"/>
        </w:tabs>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 定义</w:t>
      </w:r>
      <w:r>
        <w:rPr>
          <w:rFonts w:hint="eastAsia" w:ascii="仿宋" w:hAnsi="仿宋" w:eastAsia="仿宋" w:cs="仿宋"/>
          <w:b/>
          <w:color w:val="000000" w:themeColor="text1"/>
          <w:sz w:val="28"/>
          <w:szCs w:val="28"/>
          <w:highlight w:val="none"/>
          <w14:textFill>
            <w14:solidFill>
              <w14:schemeClr w14:val="tx1"/>
            </w14:solidFill>
          </w14:textFill>
        </w:rPr>
        <w:tab/>
      </w:r>
    </w:p>
    <w:p w14:paraId="1912A3BB">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在此合同中按照说明解释下列术语：</w:t>
      </w:r>
    </w:p>
    <w:p w14:paraId="709AEA6F">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(a)“甲方”指的是</w:t>
      </w:r>
      <w:r>
        <w:rPr>
          <w:rFonts w:hint="eastAsia" w:ascii="仿宋" w:hAnsi="仿宋" w:eastAsia="仿宋" w:cs="仿宋"/>
          <w:bCs/>
          <w:color w:val="000000" w:themeColor="text1"/>
          <w:sz w:val="28"/>
          <w:szCs w:val="28"/>
          <w:highlight w:val="none"/>
          <w14:textFill>
            <w14:solidFill>
              <w14:schemeClr w14:val="tx1"/>
            </w14:solidFill>
          </w14:textFill>
        </w:rPr>
        <w:t>新疆维吾尔自治区生态环境厅</w:t>
      </w:r>
      <w:r>
        <w:rPr>
          <w:rFonts w:hint="eastAsia" w:ascii="仿宋" w:hAnsi="仿宋" w:eastAsia="仿宋" w:cs="仿宋"/>
          <w:color w:val="000000" w:themeColor="text1"/>
          <w:sz w:val="28"/>
          <w:szCs w:val="28"/>
          <w:highlight w:val="none"/>
          <w14:textFill>
            <w14:solidFill>
              <w14:schemeClr w14:val="tx1"/>
            </w14:solidFill>
          </w14:textFill>
        </w:rPr>
        <w:t>。</w:t>
      </w:r>
    </w:p>
    <w:p w14:paraId="3210E7F8">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(b)“乙方”指的是。</w:t>
      </w:r>
    </w:p>
    <w:p w14:paraId="25BE61AC">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(c)“合同”指的是甲方和乙方之间的</w:t>
      </w:r>
      <w:r>
        <w:rPr>
          <w:rFonts w:hint="eastAsia" w:ascii="仿宋" w:hAnsi="仿宋" w:eastAsia="仿宋" w:cs="仿宋"/>
          <w:color w:val="000000" w:themeColor="text1"/>
          <w:sz w:val="28"/>
          <w:szCs w:val="28"/>
          <w:highlight w:val="none"/>
          <w:shd w:val="pct10" w:color="auto" w:fill="FFFFFF"/>
          <w14:textFill>
            <w14:solidFill>
              <w14:schemeClr w14:val="tx1"/>
            </w14:solidFill>
          </w14:textFill>
        </w:rPr>
        <w:t>新疆维吾尔自治区生态环境厅档案系统升级及档案数字化项目合同</w:t>
      </w:r>
      <w:r>
        <w:rPr>
          <w:rFonts w:hint="eastAsia" w:ascii="仿宋" w:hAnsi="仿宋" w:eastAsia="仿宋" w:cs="仿宋"/>
          <w:color w:val="000000" w:themeColor="text1"/>
          <w:sz w:val="28"/>
          <w:szCs w:val="28"/>
          <w:highlight w:val="none"/>
          <w14:textFill>
            <w14:solidFill>
              <w14:schemeClr w14:val="tx1"/>
            </w14:solidFill>
          </w14:textFill>
        </w:rPr>
        <w:t>，它被记录在双方签订的合同里，包括所有的附件和由证明体现的所有文件，包括其投标期间的所有文件及承诺。</w:t>
      </w:r>
    </w:p>
    <w:p w14:paraId="6E86E161">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(d)“合同价格”是指在合同下可付给乙方的全部正确履行合同义务的价格。</w:t>
      </w:r>
    </w:p>
    <w:p w14:paraId="2661A2A1">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(e)“货物”系指乙方按合同要求，须向甲方提供的一切设备、材料、机械、仪器、仪表、备品备件、工具、手册及其它技术资料和其它材料。</w:t>
      </w:r>
    </w:p>
    <w:p w14:paraId="14E36F93">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(f)“工程”系指乙方对所提供的货物的制作及其它相关部分的施工。</w:t>
      </w:r>
    </w:p>
    <w:p w14:paraId="0FF16EB1">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(g)“服务”系指合同规定乙方须承担的</w:t>
      </w:r>
      <w:r>
        <w:rPr>
          <w:rFonts w:hint="eastAsia" w:ascii="仿宋" w:hAnsi="仿宋" w:eastAsia="仿宋" w:cs="仿宋"/>
          <w:b/>
          <w:color w:val="000000" w:themeColor="text1"/>
          <w:spacing w:val="-2"/>
          <w:sz w:val="28"/>
          <w:szCs w:val="28"/>
          <w:highlight w:val="none"/>
          <w14:textFill>
            <w14:solidFill>
              <w14:schemeClr w14:val="tx1"/>
            </w14:solidFill>
          </w14:textFill>
        </w:rPr>
        <w:t>新疆维吾尔自治区生态环境厅档案系统升级及档案数字化项目</w:t>
      </w:r>
      <w:r>
        <w:rPr>
          <w:rFonts w:hint="eastAsia" w:ascii="仿宋" w:hAnsi="仿宋" w:eastAsia="仿宋" w:cs="仿宋"/>
          <w:color w:val="000000" w:themeColor="text1"/>
          <w:sz w:val="28"/>
          <w:szCs w:val="28"/>
          <w:highlight w:val="none"/>
          <w14:textFill>
            <w14:solidFill>
              <w14:schemeClr w14:val="tx1"/>
            </w14:solidFill>
          </w14:textFill>
        </w:rPr>
        <w:t>。</w:t>
      </w:r>
    </w:p>
    <w:p w14:paraId="0092C7EE">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(h)“甲方、发包方”系指通过招标采购，接受合同货物、承包施工及服务的企业或单位。</w:t>
      </w:r>
    </w:p>
    <w:p w14:paraId="3330CC55">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(i)“乙方、承包方”系指提供合同货物或服务、承包施工的经济实体。</w:t>
      </w:r>
    </w:p>
    <w:p w14:paraId="15EB8B5E">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(j)“现场”系指将要进行档案数字化加工的地点。</w:t>
      </w:r>
    </w:p>
    <w:p w14:paraId="16671BDD">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(k)“验收”系指甲方依据文件规定接受档案数字化加工服务所依据的程序和条件。</w:t>
      </w:r>
    </w:p>
    <w:p w14:paraId="42A5506F">
      <w:pPr>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 合同标的</w:t>
      </w:r>
    </w:p>
    <w:p w14:paraId="10777498">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2.1乙方同意向甲方提供档案数字化加工和供应设备及材料，甲方同意从乙方购买档案数字化加工服务</w:t>
      </w:r>
    </w:p>
    <w:p w14:paraId="688329BF">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 合同产品的技术规范、技术经济指标和性能按双方签订的《技术协议》。</w:t>
      </w:r>
    </w:p>
    <w:p w14:paraId="2B5005C5">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 乙方提供合同服务及范围按采购文件和乙方报出的并经甲方同意认可的服务和采购范围执行。</w:t>
      </w:r>
    </w:p>
    <w:p w14:paraId="0DECD1BD">
      <w:pPr>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3. 合同价格</w:t>
      </w:r>
    </w:p>
    <w:p w14:paraId="2909A527">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 以本合同条款第2条规定的合同标的和合同规定及乙方完成对合同应承担的义务为基础。</w:t>
      </w:r>
    </w:p>
    <w:p w14:paraId="3E6DEEAB">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本项目金额预计：</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元</w:t>
      </w:r>
      <w:r>
        <w:rPr>
          <w:rFonts w:hint="eastAsia" w:ascii="仿宋" w:hAnsi="仿宋" w:eastAsia="仿宋" w:cs="仿宋"/>
          <w:color w:val="000000" w:themeColor="text1"/>
          <w:sz w:val="28"/>
          <w:szCs w:val="28"/>
          <w:highlight w:val="none"/>
          <w14:textFill>
            <w14:solidFill>
              <w14:schemeClr w14:val="tx1"/>
            </w14:solidFill>
          </w14:textFill>
        </w:rPr>
        <w:t>（大写：</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），该价格包括服务人员工资及各种税费、服务成果、服务费、人员意外伤害保险费、乙方应纳税款等。最终以实际扫描验收合格的页数核算。</w:t>
      </w:r>
    </w:p>
    <w:p w14:paraId="2F3B284E">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3.2 合同分项价格 </w:t>
      </w:r>
    </w:p>
    <w:p w14:paraId="219484EE">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档案扫描</w:t>
      </w:r>
      <w:r>
        <w:rPr>
          <w:rFonts w:hint="eastAsia" w:ascii="仿宋" w:hAnsi="仿宋" w:eastAsia="仿宋" w:cs="仿宋"/>
          <w:color w:val="000000" w:themeColor="text1"/>
          <w:sz w:val="28"/>
          <w:szCs w:val="28"/>
          <w:highlight w:val="none"/>
          <w:lang w:eastAsia="zh-CN"/>
          <w14:textFill>
            <w14:solidFill>
              <w14:schemeClr w14:val="tx1"/>
            </w14:solidFill>
          </w14:textFill>
        </w:rPr>
        <w:t>前整理</w:t>
      </w:r>
      <w:r>
        <w:rPr>
          <w:rFonts w:hint="eastAsia" w:ascii="仿宋" w:hAnsi="仿宋" w:eastAsia="仿宋" w:cs="仿宋"/>
          <w:color w:val="000000" w:themeColor="text1"/>
          <w:sz w:val="28"/>
          <w:szCs w:val="28"/>
          <w:highlight w:val="none"/>
          <w14:textFill>
            <w14:solidFill>
              <w14:schemeClr w14:val="tx1"/>
            </w14:solidFill>
          </w14:textFill>
        </w:rPr>
        <w:t>单价：</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元/页，预计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页，共计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元，最终以实际扫描</w:t>
      </w:r>
      <w:r>
        <w:rPr>
          <w:rFonts w:hint="eastAsia" w:ascii="仿宋" w:hAnsi="仿宋" w:eastAsia="仿宋" w:cs="仿宋"/>
          <w:color w:val="000000" w:themeColor="text1"/>
          <w:sz w:val="28"/>
          <w:szCs w:val="28"/>
          <w:highlight w:val="none"/>
          <w:lang w:eastAsia="zh-CN"/>
          <w14:textFill>
            <w14:solidFill>
              <w14:schemeClr w14:val="tx1"/>
            </w14:solidFill>
          </w14:textFill>
        </w:rPr>
        <w:t>前整理</w:t>
      </w:r>
      <w:r>
        <w:rPr>
          <w:rFonts w:hint="eastAsia" w:ascii="仿宋" w:hAnsi="仿宋" w:eastAsia="仿宋" w:cs="仿宋"/>
          <w:color w:val="000000" w:themeColor="text1"/>
          <w:sz w:val="28"/>
          <w:szCs w:val="28"/>
          <w:highlight w:val="none"/>
          <w14:textFill>
            <w14:solidFill>
              <w14:schemeClr w14:val="tx1"/>
            </w14:solidFill>
          </w14:textFill>
        </w:rPr>
        <w:t>验收合</w:t>
      </w:r>
      <w:r>
        <w:rPr>
          <w:rFonts w:hint="eastAsia" w:ascii="仿宋" w:hAnsi="仿宋" w:eastAsia="仿宋" w:cs="仿宋"/>
          <w:color w:val="000000" w:themeColor="text1"/>
          <w:sz w:val="28"/>
          <w:szCs w:val="28"/>
          <w:highlight w:val="none"/>
          <w:lang w:eastAsia="zh-CN"/>
          <w14:textFill>
            <w14:solidFill>
              <w14:schemeClr w14:val="tx1"/>
            </w14:solidFill>
          </w14:textFill>
        </w:rPr>
        <w:t>格</w:t>
      </w:r>
      <w:r>
        <w:rPr>
          <w:rFonts w:hint="eastAsia" w:ascii="仿宋" w:hAnsi="仿宋" w:eastAsia="仿宋" w:cs="仿宋"/>
          <w:color w:val="000000" w:themeColor="text1"/>
          <w:sz w:val="28"/>
          <w:szCs w:val="28"/>
          <w:highlight w:val="none"/>
          <w14:textFill>
            <w14:solidFill>
              <w14:schemeClr w14:val="tx1"/>
            </w14:solidFill>
          </w14:textFill>
        </w:rPr>
        <w:t>的页数核算。</w:t>
      </w:r>
    </w:p>
    <w:p w14:paraId="16ACD35B">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照片档案整理</w:t>
      </w:r>
      <w:r>
        <w:rPr>
          <w:rFonts w:hint="eastAsia" w:ascii="仿宋" w:hAnsi="仿宋" w:eastAsia="仿宋" w:cs="仿宋"/>
          <w:color w:val="000000" w:themeColor="text1"/>
          <w:sz w:val="28"/>
          <w:szCs w:val="28"/>
          <w:highlight w:val="none"/>
          <w14:textFill>
            <w14:solidFill>
              <w14:schemeClr w14:val="tx1"/>
            </w14:solidFill>
          </w14:textFill>
        </w:rPr>
        <w:t>单价：</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r>
        <w:rPr>
          <w:rFonts w:hint="eastAsia" w:ascii="仿宋" w:hAnsi="仿宋" w:eastAsia="仿宋" w:cs="仿宋"/>
          <w:color w:val="000000" w:themeColor="text1"/>
          <w:sz w:val="28"/>
          <w:szCs w:val="28"/>
          <w:highlight w:val="none"/>
          <w:lang w:eastAsia="zh-CN"/>
          <w14:textFill>
            <w14:solidFill>
              <w14:schemeClr w14:val="tx1"/>
            </w14:solidFill>
          </w14:textFill>
        </w:rPr>
        <w:t>张</w:t>
      </w:r>
      <w:r>
        <w:rPr>
          <w:rFonts w:hint="eastAsia" w:ascii="仿宋" w:hAnsi="仿宋" w:eastAsia="仿宋" w:cs="仿宋"/>
          <w:color w:val="000000" w:themeColor="text1"/>
          <w:sz w:val="28"/>
          <w:szCs w:val="28"/>
          <w:highlight w:val="none"/>
          <w14:textFill>
            <w14:solidFill>
              <w14:schemeClr w14:val="tx1"/>
            </w14:solidFill>
          </w14:textFill>
        </w:rPr>
        <w:t>，预计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张</w:t>
      </w:r>
      <w:r>
        <w:rPr>
          <w:rFonts w:hint="eastAsia" w:ascii="仿宋" w:hAnsi="仿宋" w:eastAsia="仿宋" w:cs="仿宋"/>
          <w:color w:val="000000" w:themeColor="text1"/>
          <w:sz w:val="28"/>
          <w:szCs w:val="28"/>
          <w:highlight w:val="none"/>
          <w14:textFill>
            <w14:solidFill>
              <w14:schemeClr w14:val="tx1"/>
            </w14:solidFill>
          </w14:textFill>
        </w:rPr>
        <w:t>，共计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元，最终以实际扫描验收合</w:t>
      </w:r>
      <w:r>
        <w:rPr>
          <w:rFonts w:hint="eastAsia" w:ascii="仿宋" w:hAnsi="仿宋" w:eastAsia="仿宋" w:cs="仿宋"/>
          <w:color w:val="000000" w:themeColor="text1"/>
          <w:sz w:val="28"/>
          <w:szCs w:val="28"/>
          <w:highlight w:val="none"/>
          <w:lang w:eastAsia="zh-CN"/>
          <w14:textFill>
            <w14:solidFill>
              <w14:schemeClr w14:val="tx1"/>
            </w14:solidFill>
          </w14:textFill>
        </w:rPr>
        <w:t>格</w:t>
      </w:r>
      <w:r>
        <w:rPr>
          <w:rFonts w:hint="eastAsia" w:ascii="仿宋" w:hAnsi="仿宋" w:eastAsia="仿宋" w:cs="仿宋"/>
          <w:color w:val="000000" w:themeColor="text1"/>
          <w:sz w:val="28"/>
          <w:szCs w:val="28"/>
          <w:highlight w:val="none"/>
          <w14:textFill>
            <w14:solidFill>
              <w14:schemeClr w14:val="tx1"/>
            </w14:solidFill>
          </w14:textFill>
        </w:rPr>
        <w:t>的</w:t>
      </w:r>
      <w:r>
        <w:rPr>
          <w:rFonts w:hint="eastAsia" w:ascii="仿宋" w:hAnsi="仿宋" w:eastAsia="仿宋" w:cs="仿宋"/>
          <w:color w:val="000000" w:themeColor="text1"/>
          <w:sz w:val="28"/>
          <w:szCs w:val="28"/>
          <w:highlight w:val="none"/>
          <w:lang w:eastAsia="zh-CN"/>
          <w14:textFill>
            <w14:solidFill>
              <w14:schemeClr w14:val="tx1"/>
            </w14:solidFill>
          </w14:textFill>
        </w:rPr>
        <w:t>张</w:t>
      </w:r>
      <w:r>
        <w:rPr>
          <w:rFonts w:hint="eastAsia" w:ascii="仿宋" w:hAnsi="仿宋" w:eastAsia="仿宋" w:cs="仿宋"/>
          <w:color w:val="000000" w:themeColor="text1"/>
          <w:sz w:val="28"/>
          <w:szCs w:val="28"/>
          <w:highlight w:val="none"/>
          <w14:textFill>
            <w14:solidFill>
              <w14:schemeClr w14:val="tx1"/>
            </w14:solidFill>
          </w14:textFill>
        </w:rPr>
        <w:t>数核算。</w:t>
      </w:r>
    </w:p>
    <w:p w14:paraId="0F829E26">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照片</w:t>
      </w:r>
      <w:r>
        <w:rPr>
          <w:rFonts w:hint="eastAsia" w:ascii="仿宋" w:hAnsi="仿宋" w:eastAsia="仿宋" w:cs="仿宋"/>
          <w:color w:val="000000" w:themeColor="text1"/>
          <w:sz w:val="28"/>
          <w:szCs w:val="28"/>
          <w:highlight w:val="none"/>
          <w14:textFill>
            <w14:solidFill>
              <w14:schemeClr w14:val="tx1"/>
            </w14:solidFill>
          </w14:textFill>
        </w:rPr>
        <w:t>档案扫描单价：</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r>
        <w:rPr>
          <w:rFonts w:hint="eastAsia" w:ascii="仿宋" w:hAnsi="仿宋" w:eastAsia="仿宋" w:cs="仿宋"/>
          <w:color w:val="000000" w:themeColor="text1"/>
          <w:sz w:val="28"/>
          <w:szCs w:val="28"/>
          <w:highlight w:val="none"/>
          <w:lang w:eastAsia="zh-CN"/>
          <w14:textFill>
            <w14:solidFill>
              <w14:schemeClr w14:val="tx1"/>
            </w14:solidFill>
          </w14:textFill>
        </w:rPr>
        <w:t>张</w:t>
      </w:r>
      <w:r>
        <w:rPr>
          <w:rFonts w:hint="eastAsia" w:ascii="仿宋" w:hAnsi="仿宋" w:eastAsia="仿宋" w:cs="仿宋"/>
          <w:color w:val="000000" w:themeColor="text1"/>
          <w:sz w:val="28"/>
          <w:szCs w:val="28"/>
          <w:highlight w:val="none"/>
          <w14:textFill>
            <w14:solidFill>
              <w14:schemeClr w14:val="tx1"/>
            </w14:solidFill>
          </w14:textFill>
        </w:rPr>
        <w:t>，预计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张</w:t>
      </w:r>
      <w:r>
        <w:rPr>
          <w:rFonts w:hint="eastAsia" w:ascii="仿宋" w:hAnsi="仿宋" w:eastAsia="仿宋" w:cs="仿宋"/>
          <w:color w:val="000000" w:themeColor="text1"/>
          <w:sz w:val="28"/>
          <w:szCs w:val="28"/>
          <w:highlight w:val="none"/>
          <w14:textFill>
            <w14:solidFill>
              <w14:schemeClr w14:val="tx1"/>
            </w14:solidFill>
          </w14:textFill>
        </w:rPr>
        <w:t>，共计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元，最终以实际扫描验收合</w:t>
      </w:r>
      <w:r>
        <w:rPr>
          <w:rFonts w:hint="eastAsia" w:ascii="仿宋" w:hAnsi="仿宋" w:eastAsia="仿宋" w:cs="仿宋"/>
          <w:color w:val="000000" w:themeColor="text1"/>
          <w:sz w:val="28"/>
          <w:szCs w:val="28"/>
          <w:highlight w:val="none"/>
          <w:lang w:eastAsia="zh-CN"/>
          <w14:textFill>
            <w14:solidFill>
              <w14:schemeClr w14:val="tx1"/>
            </w14:solidFill>
          </w14:textFill>
        </w:rPr>
        <w:t>格</w:t>
      </w:r>
      <w:r>
        <w:rPr>
          <w:rFonts w:hint="eastAsia" w:ascii="仿宋" w:hAnsi="仿宋" w:eastAsia="仿宋" w:cs="仿宋"/>
          <w:color w:val="000000" w:themeColor="text1"/>
          <w:sz w:val="28"/>
          <w:szCs w:val="28"/>
          <w:highlight w:val="none"/>
          <w14:textFill>
            <w14:solidFill>
              <w14:schemeClr w14:val="tx1"/>
            </w14:solidFill>
          </w14:textFill>
        </w:rPr>
        <w:t>的</w:t>
      </w:r>
      <w:r>
        <w:rPr>
          <w:rFonts w:hint="eastAsia" w:ascii="仿宋" w:hAnsi="仿宋" w:eastAsia="仿宋" w:cs="仿宋"/>
          <w:color w:val="000000" w:themeColor="text1"/>
          <w:sz w:val="28"/>
          <w:szCs w:val="28"/>
          <w:highlight w:val="none"/>
          <w:lang w:eastAsia="zh-CN"/>
          <w14:textFill>
            <w14:solidFill>
              <w14:schemeClr w14:val="tx1"/>
            </w14:solidFill>
          </w14:textFill>
        </w:rPr>
        <w:t>张</w:t>
      </w:r>
      <w:r>
        <w:rPr>
          <w:rFonts w:hint="eastAsia" w:ascii="仿宋" w:hAnsi="仿宋" w:eastAsia="仿宋" w:cs="仿宋"/>
          <w:color w:val="000000" w:themeColor="text1"/>
          <w:sz w:val="28"/>
          <w:szCs w:val="28"/>
          <w:highlight w:val="none"/>
          <w14:textFill>
            <w14:solidFill>
              <w14:schemeClr w14:val="tx1"/>
            </w14:solidFill>
          </w14:textFill>
        </w:rPr>
        <w:t>数核算。</w:t>
      </w:r>
    </w:p>
    <w:p w14:paraId="25657DEF">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档案扫描单价：</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元/页，预计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页，共计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元，最终以实际扫描验收合</w:t>
      </w:r>
      <w:r>
        <w:rPr>
          <w:rFonts w:hint="eastAsia" w:ascii="仿宋" w:hAnsi="仿宋" w:eastAsia="仿宋" w:cs="仿宋"/>
          <w:color w:val="000000" w:themeColor="text1"/>
          <w:sz w:val="28"/>
          <w:szCs w:val="28"/>
          <w:highlight w:val="none"/>
          <w:lang w:eastAsia="zh-CN"/>
          <w14:textFill>
            <w14:solidFill>
              <w14:schemeClr w14:val="tx1"/>
            </w14:solidFill>
          </w14:textFill>
        </w:rPr>
        <w:t>格</w:t>
      </w:r>
      <w:r>
        <w:rPr>
          <w:rFonts w:hint="eastAsia" w:ascii="仿宋" w:hAnsi="仿宋" w:eastAsia="仿宋" w:cs="仿宋"/>
          <w:color w:val="000000" w:themeColor="text1"/>
          <w:sz w:val="28"/>
          <w:szCs w:val="28"/>
          <w:highlight w:val="none"/>
          <w14:textFill>
            <w14:solidFill>
              <w14:schemeClr w14:val="tx1"/>
            </w14:solidFill>
          </w14:textFill>
        </w:rPr>
        <w:t>的页数核算。</w:t>
      </w:r>
    </w:p>
    <w:p w14:paraId="7D326502">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信息录入单价：</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元/条，预计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条，共计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元，最终以实际录入的条数核算。</w:t>
      </w:r>
    </w:p>
    <w:p w14:paraId="6BEEC929">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条目校对单价：</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元/条，预计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条，共计</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元，最终以实际录入的条数核算。</w:t>
      </w:r>
    </w:p>
    <w:p w14:paraId="089A1D97">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通过自治区数字档案室测评服务</w:t>
      </w:r>
      <w:r>
        <w:rPr>
          <w:rFonts w:hint="eastAsia" w:ascii="仿宋" w:hAnsi="仿宋" w:eastAsia="仿宋" w:cs="仿宋"/>
          <w:color w:val="000000" w:themeColor="text1"/>
          <w:sz w:val="28"/>
          <w:szCs w:val="28"/>
          <w:highlight w:val="none"/>
          <w14:textFill>
            <w14:solidFill>
              <w14:schemeClr w14:val="tx1"/>
            </w14:solidFill>
          </w14:textFill>
        </w:rPr>
        <w:t>（一批）：</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p>
    <w:p w14:paraId="55E54F60">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OA接口费</w:t>
      </w:r>
      <w:r>
        <w:rPr>
          <w:rFonts w:hint="eastAsia" w:ascii="仿宋" w:hAnsi="仿宋" w:eastAsia="仿宋" w:cs="仿宋"/>
          <w:color w:val="000000" w:themeColor="text1"/>
          <w:sz w:val="28"/>
          <w:szCs w:val="28"/>
          <w:highlight w:val="none"/>
          <w14:textFill>
            <w14:solidFill>
              <w14:schemeClr w14:val="tx1"/>
            </w14:solidFill>
          </w14:textFill>
        </w:rPr>
        <w:t>（一批）：</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p>
    <w:p w14:paraId="449D7409">
      <w:pPr>
        <w:spacing w:line="360" w:lineRule="auto"/>
        <w:ind w:firstLine="56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数字化加工软件</w:t>
      </w: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套</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p>
    <w:p w14:paraId="2984A2DB">
      <w:pPr>
        <w:pStyle w:val="2"/>
        <w:rPr>
          <w:color w:val="000000" w:themeColor="text1"/>
          <w:highlight w:val="none"/>
          <w14:textFill>
            <w14:solidFill>
              <w14:schemeClr w14:val="tx1"/>
            </w14:solidFill>
          </w14:textFill>
        </w:rPr>
      </w:pPr>
    </w:p>
    <w:p w14:paraId="668683B1">
      <w:pPr>
        <w:pStyle w:val="2"/>
        <w:ind w:firstLine="596"/>
        <w:rPr>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9"/>
          <w:sz w:val="28"/>
          <w:szCs w:val="28"/>
          <w:highlight w:val="none"/>
          <w14:textFill>
            <w14:solidFill>
              <w14:schemeClr w14:val="tx1"/>
            </w14:solidFill>
          </w14:textFill>
        </w:rPr>
        <w:t>档案管理系统运维：</w:t>
      </w:r>
      <w:r>
        <w:rPr>
          <w:rFonts w:hint="eastAsia" w:ascii="仿宋" w:hAnsi="仿宋" w:eastAsia="仿宋" w:cs="仿宋"/>
          <w:color w:val="000000" w:themeColor="text1"/>
          <w:spacing w:val="9"/>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pacing w:val="9"/>
          <w:sz w:val="28"/>
          <w:szCs w:val="28"/>
          <w:highlight w:val="none"/>
          <w14:textFill>
            <w14:solidFill>
              <w14:schemeClr w14:val="tx1"/>
            </w14:solidFill>
          </w14:textFill>
        </w:rPr>
        <w:t>元（</w:t>
      </w:r>
      <w:r>
        <w:rPr>
          <w:rFonts w:ascii="仿宋" w:hAnsi="仿宋" w:eastAsia="仿宋" w:cs="仿宋"/>
          <w:color w:val="000000" w:themeColor="text1"/>
          <w:spacing w:val="9"/>
          <w:sz w:val="28"/>
          <w:szCs w:val="28"/>
          <w:highlight w:val="none"/>
          <w14:textFill>
            <w14:solidFill>
              <w14:schemeClr w14:val="tx1"/>
            </w14:solidFill>
          </w14:textFill>
        </w:rPr>
        <w:t>按照甲方要求，做好档</w:t>
      </w:r>
      <w:r>
        <w:rPr>
          <w:rFonts w:ascii="仿宋" w:hAnsi="仿宋" w:eastAsia="仿宋" w:cs="仿宋"/>
          <w:color w:val="000000" w:themeColor="text1"/>
          <w:spacing w:val="8"/>
          <w:sz w:val="28"/>
          <w:szCs w:val="28"/>
          <w:highlight w:val="none"/>
          <w14:textFill>
            <w14:solidFill>
              <w14:schemeClr w14:val="tx1"/>
            </w14:solidFill>
          </w14:textFill>
        </w:rPr>
        <w:t>案管理系统的日常维护工作，配合甲方做好系统功能优化、等级保护和密码应用测评的技术支持和问题整改工作</w:t>
      </w:r>
      <w:r>
        <w:rPr>
          <w:rFonts w:hint="eastAsia" w:ascii="仿宋" w:hAnsi="仿宋" w:eastAsia="仿宋" w:cs="仿宋"/>
          <w:color w:val="000000" w:themeColor="text1"/>
          <w:spacing w:val="8"/>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42E2FE9D">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 上述合同价格为</w:t>
      </w:r>
      <w:r>
        <w:rPr>
          <w:rFonts w:hint="eastAsia" w:ascii="仿宋" w:hAnsi="仿宋" w:eastAsia="仿宋" w:cs="仿宋"/>
          <w:color w:val="000000" w:themeColor="text1"/>
          <w:sz w:val="28"/>
          <w:szCs w:val="28"/>
          <w:highlight w:val="none"/>
          <w:u w:val="single"/>
          <w14:textFill>
            <w14:solidFill>
              <w14:schemeClr w14:val="tx1"/>
            </w14:solidFill>
          </w14:textFill>
        </w:rPr>
        <w:t>单价合同</w:t>
      </w:r>
      <w:r>
        <w:rPr>
          <w:rFonts w:hint="eastAsia" w:ascii="仿宋" w:hAnsi="仿宋" w:eastAsia="仿宋" w:cs="仿宋"/>
          <w:color w:val="000000" w:themeColor="text1"/>
          <w:sz w:val="28"/>
          <w:szCs w:val="28"/>
          <w:highlight w:val="none"/>
          <w14:textFill>
            <w14:solidFill>
              <w14:schemeClr w14:val="tx1"/>
            </w14:solidFill>
          </w14:textFill>
        </w:rPr>
        <w:t>，是服务采购、合同服务和技术文件交货时的固定不变价格，借任何理由调价都是不允许的。</w:t>
      </w:r>
    </w:p>
    <w:p w14:paraId="74A90DC1">
      <w:pPr>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4. 付款方式</w:t>
      </w:r>
    </w:p>
    <w:p w14:paraId="5ECA42D2">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 本合同使用的货币种类为：人民币。</w:t>
      </w:r>
    </w:p>
    <w:p w14:paraId="246247EB">
      <w:pPr>
        <w:spacing w:line="360" w:lineRule="auto"/>
        <w:ind w:firstLine="53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6"/>
          <w:sz w:val="28"/>
          <w:szCs w:val="28"/>
          <w:highlight w:val="none"/>
          <w14:textFill>
            <w14:solidFill>
              <w14:schemeClr w14:val="tx1"/>
            </w14:solidFill>
          </w14:textFill>
        </w:rPr>
        <w:t>先票后款，乙方开具等额合法发票交付甲方后甲方支付等额款项。</w:t>
      </w:r>
    </w:p>
    <w:p w14:paraId="230F443F">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4.2 本合同的付款</w:t>
      </w:r>
    </w:p>
    <w:p w14:paraId="29A957C7">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4.2.1 合同签订后7日内，甲方支付合同总金额的40%首付款，作为项目预付款，即：</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r>
        <w:rPr>
          <w:rFonts w:hint="eastAsia" w:ascii="仿宋" w:hAnsi="仿宋" w:eastAsia="仿宋" w:cs="仿宋"/>
          <w:color w:val="000000" w:themeColor="text1"/>
          <w:sz w:val="28"/>
          <w:szCs w:val="28"/>
          <w:highlight w:val="none"/>
          <w:u w:val="single"/>
          <w14:textFill>
            <w14:solidFill>
              <w14:schemeClr w14:val="tx1"/>
            </w14:solidFill>
          </w14:textFill>
        </w:rPr>
        <w:t>大写：</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p w14:paraId="656C2275">
      <w:pPr>
        <w:spacing w:line="360" w:lineRule="auto"/>
        <w:ind w:left="1399" w:leftChars="266" w:hanging="840" w:hangingChars="3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4.2.2 本项目完成60%，甲方支付乙方合同总金额的30%的款项，即</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r>
        <w:rPr>
          <w:rFonts w:hint="eastAsia" w:ascii="仿宋" w:hAnsi="仿宋" w:eastAsia="仿宋" w:cs="仿宋"/>
          <w:color w:val="000000" w:themeColor="text1"/>
          <w:sz w:val="28"/>
          <w:szCs w:val="28"/>
          <w:highlight w:val="none"/>
          <w14:textFill>
            <w14:solidFill>
              <w14:schemeClr w14:val="tx1"/>
            </w14:solidFill>
          </w14:textFill>
        </w:rPr>
        <w:t>大写：</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p w14:paraId="7D730C78">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4.2.3 项目完成后经验收合格，甲方按最终完成的实际数量支付项目余款。</w:t>
      </w:r>
    </w:p>
    <w:p w14:paraId="5CAACFCF">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4.3项目执行中采用：</w:t>
      </w:r>
      <w:r>
        <w:rPr>
          <w:rFonts w:hint="eastAsia" w:ascii="仿宋" w:hAnsi="仿宋" w:eastAsia="仿宋" w:cs="仿宋"/>
          <w:color w:val="000000" w:themeColor="text1"/>
          <w:sz w:val="28"/>
          <w:szCs w:val="28"/>
          <w:highlight w:val="none"/>
          <w:u w:val="single"/>
          <w14:textFill>
            <w14:solidFill>
              <w14:schemeClr w14:val="tx1"/>
            </w14:solidFill>
          </w14:textFill>
        </w:rPr>
        <w:t>费用结算以最终验收合格的</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数字化数据、硬件采购数量和数字档案室建设实际费用</w:t>
      </w:r>
      <w:r>
        <w:rPr>
          <w:rFonts w:hint="eastAsia" w:ascii="仿宋" w:hAnsi="仿宋" w:eastAsia="仿宋" w:cs="仿宋"/>
          <w:color w:val="000000" w:themeColor="text1"/>
          <w:sz w:val="28"/>
          <w:szCs w:val="28"/>
          <w:highlight w:val="none"/>
          <w:u w:val="single"/>
          <w14:textFill>
            <w14:solidFill>
              <w14:schemeClr w14:val="tx1"/>
            </w14:solidFill>
          </w14:textFill>
        </w:rPr>
        <w:t>核算。</w:t>
      </w:r>
    </w:p>
    <w:p w14:paraId="0EF52FC0">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4.3.1 甲方超过约定的支付时间不支付价款，成交供应商可向甲方发出要求付款的通知，甲方收到成交供应商通知后仍不能按要求付款，可与成交供应商协商签订延期付款协议，经成交供应商同</w:t>
      </w:r>
      <w:r>
        <w:rPr>
          <w:rFonts w:hint="eastAsia" w:ascii="仿宋" w:hAnsi="仿宋" w:eastAsia="仿宋" w:cs="仿宋"/>
          <w:color w:val="000000" w:themeColor="text1"/>
          <w:sz w:val="28"/>
          <w:szCs w:val="28"/>
          <w:highlight w:val="none"/>
          <w14:textFill>
            <w14:solidFill>
              <w14:schemeClr w14:val="tx1"/>
            </w14:solidFill>
          </w14:textFill>
        </w:rPr>
        <w:t>意后可延期支付。如因财政拨款原因及不可抗力造成甲方无法按期付款的，甲方不承担违约责任。</w:t>
      </w:r>
    </w:p>
    <w:p w14:paraId="360ACAAA">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4.3.2 甲方不按合同约定支付价款，双方又未达成延期付款协议，导致产品无法生产，供应商可停止生产，由甲方承担违约责任。</w:t>
      </w:r>
    </w:p>
    <w:p w14:paraId="35AA30C5">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4.3.3、如因甲方的原因延误加工周期及时间，加工周期顺延，乙方不承担上述条款的责任。</w:t>
      </w:r>
    </w:p>
    <w:p w14:paraId="71DACB5D">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4.3.4、如因乙方的原因延误加工周期及时间，加工周期不可顺延，一切损失由乙方负责。</w:t>
      </w:r>
    </w:p>
    <w:p w14:paraId="7D958E81">
      <w:pPr>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5.完工期</w:t>
      </w:r>
    </w:p>
    <w:p w14:paraId="217B2DCE">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5.1完工期：自合同签订之日起7个月内完成。</w:t>
      </w:r>
    </w:p>
    <w:p w14:paraId="61074A1E">
      <w:pPr>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6.质量、质量保证期及售后服务要求</w:t>
      </w:r>
    </w:p>
    <w:p w14:paraId="2545AC41">
      <w:pPr>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6.1 质量要求：</w:t>
      </w:r>
    </w:p>
    <w:p w14:paraId="047C8312">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6.1.1 乙方提供的设备材料必须满足甲方技术要求</w:t>
      </w:r>
    </w:p>
    <w:p w14:paraId="7D6668C4">
      <w:pPr>
        <w:spacing w:line="360" w:lineRule="auto"/>
        <w:ind w:firstLine="560" w:firstLineChars="200"/>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6.1.2乙方提供的电子档案经评定及验收后要求达到</w:t>
      </w:r>
      <w:r>
        <w:rPr>
          <w:rFonts w:hint="eastAsia" w:ascii="仿宋" w:hAnsi="仿宋" w:eastAsia="仿宋" w:cs="仿宋"/>
          <w:color w:val="000000" w:themeColor="text1"/>
          <w:spacing w:val="-2"/>
          <w:sz w:val="28"/>
          <w:szCs w:val="28"/>
          <w:highlight w:val="none"/>
          <w14:textFill>
            <w14:solidFill>
              <w14:schemeClr w14:val="tx1"/>
            </w14:solidFill>
          </w14:textFill>
        </w:rPr>
        <w:t>国家《纸质档案数字化技术规范》</w:t>
      </w:r>
      <w:r>
        <w:rPr>
          <w:rFonts w:hint="eastAsia" w:ascii="仿宋" w:hAnsi="仿宋" w:eastAsia="仿宋" w:cs="仿宋"/>
          <w:color w:val="000000" w:themeColor="text1"/>
          <w:sz w:val="28"/>
          <w:szCs w:val="28"/>
          <w:highlight w:val="none"/>
          <w14:textFill>
            <w14:solidFill>
              <w14:schemeClr w14:val="tx1"/>
            </w14:solidFill>
          </w14:textFill>
        </w:rPr>
        <w:t>标准。</w:t>
      </w:r>
    </w:p>
    <w:p w14:paraId="1DD23313">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乙方按照甲方要求</w:t>
      </w:r>
      <w:r>
        <w:rPr>
          <w:rFonts w:hint="eastAsia" w:ascii="仿宋" w:hAnsi="仿宋" w:eastAsia="仿宋" w:cs="仿宋"/>
          <w:color w:val="000000" w:themeColor="text1"/>
          <w:sz w:val="28"/>
          <w:szCs w:val="28"/>
          <w:highlight w:val="none"/>
          <w:lang w:eastAsia="zh-CN"/>
          <w14:textFill>
            <w14:solidFill>
              <w14:schemeClr w14:val="tx1"/>
            </w14:solidFill>
          </w14:textFill>
        </w:rPr>
        <w:t>：1、完成档案数字化：要求对待加工档案进行扫描前整理，包括对案卷内情况进行登记、扫描文件选择、目录数据校对及信息条目补录等工作环节：①对室藏纸质档案进行数字化加工，数量约为54万页，按A4幅面计算，4万条的信息著录、3万条的条目信息校对。②进行对库藏档案的换封皮、目录；③信息目录录入。协助完成库存档案移交工作。</w:t>
      </w:r>
    </w:p>
    <w:p w14:paraId="042B6FC4">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2、完成档案管理系统运维：按照甲方要求，做好档案管理系统的日常维护工作，配合甲方做好系统功能优化、等级保护和密码应用测评的技术支持和问题整改工作。</w:t>
      </w:r>
    </w:p>
    <w:p w14:paraId="31598723">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3、完成档案管理系统升级，实现电子档案在线归档、采集、查询；完成办公系统接口开发及对接，并辅助完成2026年上半年的文书档案在线归档工作。整理数字档案室测评报告。</w:t>
      </w:r>
    </w:p>
    <w:p w14:paraId="44B70B5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64274ACB">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6.2 </w:t>
      </w:r>
      <w:r>
        <w:rPr>
          <w:rFonts w:hint="eastAsia" w:ascii="仿宋" w:hAnsi="仿宋" w:eastAsia="仿宋" w:cs="仿宋"/>
          <w:b/>
          <w:color w:val="000000" w:themeColor="text1"/>
          <w:sz w:val="28"/>
          <w:szCs w:val="28"/>
          <w:highlight w:val="none"/>
          <w14:textFill>
            <w14:solidFill>
              <w14:schemeClr w14:val="tx1"/>
            </w14:solidFill>
          </w14:textFill>
        </w:rPr>
        <w:t>质保期</w:t>
      </w:r>
      <w:r>
        <w:rPr>
          <w:rFonts w:hint="eastAsia" w:ascii="仿宋" w:hAnsi="仿宋" w:eastAsia="仿宋" w:cs="仿宋"/>
          <w:color w:val="000000" w:themeColor="text1"/>
          <w:sz w:val="28"/>
          <w:szCs w:val="28"/>
          <w:highlight w:val="none"/>
          <w14:textFill>
            <w14:solidFill>
              <w14:schemeClr w14:val="tx1"/>
            </w14:solidFill>
          </w14:textFill>
        </w:rPr>
        <w:t>：项目验收合格之日起一年。</w:t>
      </w:r>
    </w:p>
    <w:p w14:paraId="24064ABF">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6.3 售后服务要求</w:t>
      </w:r>
    </w:p>
    <w:p w14:paraId="1AB7A157">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交供应商应根据项目要求建立售后服务体系，在质保期内为用户提供广泛、及时的技术支持与售后服务(包括上门服务)，在服务期内采用上门服务和电话咨询相接合的方式。故障相应时间为2小时，电话服务未能解决的问题乌鲁木齐市24小时内提供上门服务。</w:t>
      </w:r>
    </w:p>
    <w:p w14:paraId="15D33DDB">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（2）项目中涉及到第三方产品，由我方负责主动协调、联系、排除故障，直到用户满意为止。听取客户意见，妥善协调项目实施各参与方关系，质保期为从项目验收合格之日起一年；</w:t>
      </w:r>
    </w:p>
    <w:p w14:paraId="17E575E4">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（3）经过档案数字化加工得到的服务成品完全符合国家《纸质档案数字化技术规范》各项标准；</w:t>
      </w:r>
    </w:p>
    <w:p w14:paraId="58B64C92">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（4）制作文件目录（案卷目录、文件目录）电子档案数据备份光盘一式二份；</w:t>
      </w:r>
    </w:p>
    <w:p w14:paraId="3C56B8C3">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（5）提供符合自治区生态环境厅验收标准的档案成品装订；</w:t>
      </w:r>
    </w:p>
    <w:p w14:paraId="32AD5B73">
      <w:pPr>
        <w:keepNext w:val="0"/>
        <w:keepLines w:val="0"/>
        <w:pageBreakBefore w:val="0"/>
        <w:wordWrap/>
        <w:overflowPunct/>
        <w:topLinePunct w:val="0"/>
        <w:bidi w:val="0"/>
        <w:spacing w:line="560" w:lineRule="exact"/>
        <w:ind w:firstLine="560" w:firstLineChars="200"/>
        <w:rPr>
          <w:rFonts w:hint="default"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（6）保证档案目录和档案图像数据顺利批量的挂接到用户数据库中；</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lang w:val="en-US" w:eastAsia="zh-CN"/>
          <w14:textFill>
            <w14:solidFill>
              <w14:schemeClr w14:val="tx1"/>
            </w14:solidFill>
          </w14:textFill>
        </w:rPr>
        <w:t>7.验收要求</w:t>
      </w:r>
    </w:p>
    <w:p w14:paraId="5E9D2117">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562" w:firstLineChars="200"/>
        <w:jc w:val="both"/>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7.1</w:t>
      </w:r>
      <w:r>
        <w:rPr>
          <w:rFonts w:hint="eastAsia" w:ascii="仿宋" w:hAnsi="仿宋" w:eastAsia="仿宋" w:cs="仿宋"/>
          <w:b/>
          <w:bCs/>
          <w:color w:val="000000" w:themeColor="text1"/>
          <w:sz w:val="28"/>
          <w:szCs w:val="28"/>
          <w:highlight w:val="none"/>
          <w14:textFill>
            <w14:solidFill>
              <w14:schemeClr w14:val="tx1"/>
            </w14:solidFill>
          </w14:textFill>
        </w:rPr>
        <w:t>总体质量要求</w:t>
      </w:r>
    </w:p>
    <w:p w14:paraId="1F6D4438">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1、要求采用A4高速扫描、平板扫描方式，以确保在扫描过程中不对档案原件造成二次损伤。</w:t>
      </w:r>
    </w:p>
    <w:p w14:paraId="7D0BEAC8">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2、符合国家标准《纸质档案数字化技术规范》、和自治区《档案数据接收规范及著录要求》。</w:t>
      </w:r>
    </w:p>
    <w:p w14:paraId="2C991B59">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3、保证档案扫描图像与原件一致、整洁、清晰。</w:t>
      </w:r>
    </w:p>
    <w:p w14:paraId="3D670CA3">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562" w:firstLineChars="200"/>
        <w:jc w:val="both"/>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7.2</w:t>
      </w:r>
      <w:r>
        <w:rPr>
          <w:rFonts w:hint="eastAsia" w:ascii="仿宋" w:hAnsi="仿宋" w:eastAsia="仿宋" w:cs="仿宋"/>
          <w:b/>
          <w:bCs/>
          <w:color w:val="000000" w:themeColor="text1"/>
          <w:sz w:val="28"/>
          <w:szCs w:val="28"/>
          <w:highlight w:val="none"/>
          <w14:textFill>
            <w14:solidFill>
              <w14:schemeClr w14:val="tx1"/>
            </w14:solidFill>
          </w14:textFill>
        </w:rPr>
        <w:t>档案整理</w:t>
      </w:r>
    </w:p>
    <w:p w14:paraId="4D54B7B1">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档案整理、装订在扫描之前，对待加工档案实体进行适当整理，并视需要作出标识，确保档案数字化质量。档案扫描完成后，拆除过装订物的档案要进行细致认真的装订。具体装订要求如下：</w:t>
      </w:r>
    </w:p>
    <w:p w14:paraId="6D120F00">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1、遵循尽可能保持档案原貌的原则，对扫描后的档案进行装订。并保持每页档案 原有的排列顺序不变。</w:t>
      </w:r>
    </w:p>
    <w:p w14:paraId="44779467">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2、档案装订应按照历史档案原有的装订方向进行，不可更换装订的位置（如：改右装订为左装订）。</w:t>
      </w:r>
    </w:p>
    <w:p w14:paraId="53FA3E60">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3、对于装订时某些页面必须进行折叠的情况，应以尽可能地减少折痕数为原则，能不折叠就尽量不折叠。</w:t>
      </w:r>
    </w:p>
    <w:p w14:paraId="05CCE874">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4、档案装订必须釆用专业装订线进行装订，不可使用金属装订物；如原始档案中发现金属装订物，应予以剔除。</w:t>
      </w:r>
    </w:p>
    <w:p w14:paraId="1F88E7DB">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5、档案装订，应遵循“两对齐”要求，即装订线一侧边缘对齐，档案内页下边缘对齐。</w:t>
      </w:r>
    </w:p>
    <w:p w14:paraId="623C26EF">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6、档案装订应尽可能地按照原来的装订孔位进行穿线装订，尽量不要新打孔装订，力求保护原件。</w:t>
      </w:r>
    </w:p>
    <w:p w14:paraId="232701F4">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7、投标方将加工完成的档案分期分批移交招标方，交接双方在交接清单上签字， 完成交接验收工作，招标方档案管理人员负责将案卷退回库房。</w:t>
      </w:r>
    </w:p>
    <w:p w14:paraId="122029D5">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7.3档案扫描</w:t>
      </w:r>
    </w:p>
    <w:p w14:paraId="4F727E27">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1、扫描方式</w:t>
      </w:r>
    </w:p>
    <w:p w14:paraId="61A5A75E">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根据档案幅面的大小选择相应规格的专业扫描仪进行扫描。大幅面档案可采用专用数码平台进行扫描或者采用图像拼接方式处理。同一页面有两个以上文件，需分别扫描。 要求采用平板拍描方式，以保护档案原件。</w:t>
      </w:r>
    </w:p>
    <w:p w14:paraId="36A7A78A">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2、扫描色彩模式：</w:t>
      </w:r>
    </w:p>
    <w:p w14:paraId="4FDF04BE">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(1)页面为灰度、彩色两色，但字迹清晰度差或带有插图的档案，以及页面为多色文字的档案，采用灰度模式扫描。</w:t>
      </w:r>
    </w:p>
    <w:p w14:paraId="3DE97B16">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(2)页面中有彩色插图的档案（如《环境监察》杂志封面、编辑的图册等），可视需要釆用彩色模式进行扫描。</w:t>
      </w:r>
    </w:p>
    <w:p w14:paraId="00E6A327">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3、扫描分辨率</w:t>
      </w:r>
    </w:p>
    <w:p w14:paraId="01B81119">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纸质档案扫描影像文件的精度为300DPI；照片黑白影像文件的精度为300dpi，照片彩色影像文件的精度为300dpi，</w:t>
      </w:r>
    </w:p>
    <w:p w14:paraId="1750A951">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4、扫描登记</w:t>
      </w:r>
    </w:p>
    <w:p w14:paraId="08104F58">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认真填写纸质档案数字化转换过程交接登记表单，登记扫描档案的页数、色彩模式、分辨率等。在登记的同时应注意核对每份文件的实际扫描页数与档案整理登记单时填写的文件页数是否一致，发现漏扫或错扫时应及时补扫，并在登记表上注明原因和处理方法。</w:t>
      </w:r>
    </w:p>
    <w:p w14:paraId="42B8A3BB">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5、扫描加工要求</w:t>
      </w:r>
    </w:p>
    <w:p w14:paraId="5033635B">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（1）根据招标方提供的工作单核对目录，修改有错误的目录并将档案实体按照实际扫描页重新编号并填写到工作单中，作为文件和质检依据。</w:t>
      </w:r>
    </w:p>
    <w:p w14:paraId="5A61C896">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（2）启钉、拆分，保证纸张的平整、抚平边角。</w:t>
      </w:r>
    </w:p>
    <w:p w14:paraId="60A07956">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（3）采用最为可靠的扫描设备和扫描方式完成档案扫描，避免纸张褶皱、撕裂、破损等情况的发生。</w:t>
      </w:r>
    </w:p>
    <w:p w14:paraId="7A98AE51">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（4）如遇到档案纸张质地脆弱，不适合反复拆装订的档案，应采用不拆卷扫描设备和方式进行扫描。</w:t>
      </w:r>
    </w:p>
    <w:p w14:paraId="6603406E">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（5）扫描时，应根据纸张质地、底色、薄厚程度等因素，设置最佳的扫描明暗度、 对比度设置，保证原始扫描图像效果与原件吻合。</w:t>
      </w:r>
    </w:p>
    <w:p w14:paraId="4FB09D15">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（6）采用平板或高速进纸方式扫描，尽量确保纸张扫描时放置端正，从而保证原始扫描图像无歪斜，减少后期处理可能带来的图像失真。</w:t>
      </w:r>
    </w:p>
    <w:p w14:paraId="23831888">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（7）对于档案中折子页、图纸、表格等应整页扫描。超长页进行分页扫描后，要拼接成一页。同一页面有两个以上文件，需分别扫描。</w:t>
      </w:r>
    </w:p>
    <w:p w14:paraId="75BD5C5F">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扫描后的影像存储格式</w:t>
      </w:r>
    </w:p>
    <w:p w14:paraId="27B9B0B9">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照片档案及特殊档案，需采用灰度或彩色扫描或特殊处理，灰度和彩色影像采用JPEG格式，图像压缩格式为JPEG。单盘调阅存储光盘内为 Microsoft Access数据库；光盘单盘调阅的图像存储方式釆用多页TIFF格式；长久保存的光盘的图像存储方式采用单页TIFF格式。</w:t>
      </w:r>
    </w:p>
    <w:p w14:paraId="5F5EE12C">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562" w:firstLineChars="200"/>
        <w:jc w:val="both"/>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7.4</w:t>
      </w:r>
      <w:r>
        <w:rPr>
          <w:rFonts w:hint="eastAsia" w:ascii="仿宋" w:hAnsi="仿宋" w:eastAsia="仿宋" w:cs="仿宋"/>
          <w:b/>
          <w:bCs/>
          <w:color w:val="000000" w:themeColor="text1"/>
          <w:sz w:val="28"/>
          <w:szCs w:val="28"/>
          <w:highlight w:val="none"/>
          <w14:textFill>
            <w14:solidFill>
              <w14:schemeClr w14:val="tx1"/>
            </w14:solidFill>
          </w14:textFill>
        </w:rPr>
        <w:t>扫描图像处理</w:t>
      </w:r>
    </w:p>
    <w:p w14:paraId="4B2D1A01">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扫描后的原始图像需要进行优化处理，使得成品图像清晰、端正。根据档案扫描后的具体情况，要进行如下图像处理：</w:t>
      </w:r>
    </w:p>
    <w:p w14:paraId="35EBB095">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1、纠偏：采用自动或手动纠偏功能，调整图像角度。图像偏斜度不得大于2度，对方向不正确的图像应进行旋转还原，以符合阅读习惯。</w:t>
      </w:r>
    </w:p>
    <w:p w14:paraId="20370FC9">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2、去污及裁边处理：对图像页面中出现的影响图像质量的杂质如黑点、黑线、黑框、 黑边等应进行去污处理。处理过程中应遵循在不影响可懂度的前提下展现档案原貌的原则。为了节省存储空间，应对图像进行裁边处理，去除多余白边。</w:t>
      </w:r>
    </w:p>
    <w:p w14:paraId="7CFC5334">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3、字迹洇透：采用字迹锐化的功能，清晰字迹笔画。</w:t>
      </w:r>
    </w:p>
    <w:p w14:paraId="1E4A794E">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4、图像深浅不一：采用平衡功能，调整图像深浅一致。</w:t>
      </w:r>
    </w:p>
    <w:p w14:paraId="5B80E306">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5、图像拼接：对大幅面档案进行分区扫描形成的多幅图像，应进行拼接处理，合并为一个完整的图像，以保证档案数字化图像的整体性。</w:t>
      </w:r>
    </w:p>
    <w:p w14:paraId="3EBBA3AF">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7、图像数据质量检验</w:t>
      </w:r>
    </w:p>
    <w:p w14:paraId="637DA95A">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（1）对图像偏斜度、清晰度、失真度等进行检查。发现不符合图像质量要求时，应重新进行图像的处理。</w:t>
      </w:r>
    </w:p>
    <w:p w14:paraId="51B056E1">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（2）由于操作不当，造成扫描的图像文件不完整或无法清晰识别时，应重新扫描。</w:t>
      </w:r>
    </w:p>
    <w:p w14:paraId="058D4A55">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（3）发现文件漏扫时，应及时补扫并正确插入图像。</w:t>
      </w:r>
    </w:p>
    <w:p w14:paraId="5EB86BEA">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（4）发现扫描图像的排列顺序与档案原件不一致时，应及时进行调整。</w:t>
      </w:r>
    </w:p>
    <w:p w14:paraId="4445F798">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（5）认真填写相关表单，记录质检结果和处理意见。</w:t>
      </w:r>
    </w:p>
    <w:p w14:paraId="0885DA7A">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562" w:firstLineChars="200"/>
        <w:jc w:val="both"/>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7.5</w:t>
      </w:r>
      <w:r>
        <w:rPr>
          <w:rFonts w:hint="eastAsia" w:ascii="仿宋" w:hAnsi="仿宋" w:eastAsia="仿宋" w:cs="仿宋"/>
          <w:b/>
          <w:bCs/>
          <w:color w:val="000000" w:themeColor="text1"/>
          <w:sz w:val="28"/>
          <w:szCs w:val="28"/>
          <w:highlight w:val="none"/>
          <w14:textFill>
            <w14:solidFill>
              <w14:schemeClr w14:val="tx1"/>
            </w14:solidFill>
          </w14:textFill>
        </w:rPr>
        <w:t>图像存储</w:t>
      </w:r>
    </w:p>
    <w:p w14:paraId="7799B9C7">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1、存储格式</w:t>
      </w:r>
    </w:p>
    <w:p w14:paraId="248D42C4">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原始保存图像数据格式应为采用单页的TIFF或者JPG格式存储。同一全宗内，只能选择一种格式，不得混用。</w:t>
      </w:r>
    </w:p>
    <w:p w14:paraId="54C43AD2">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562" w:firstLineChars="200"/>
        <w:jc w:val="both"/>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7.6</w:t>
      </w:r>
      <w:r>
        <w:rPr>
          <w:rFonts w:hint="eastAsia" w:ascii="仿宋" w:hAnsi="仿宋" w:eastAsia="仿宋" w:cs="仿宋"/>
          <w:b/>
          <w:bCs/>
          <w:color w:val="000000" w:themeColor="text1"/>
          <w:sz w:val="28"/>
          <w:szCs w:val="28"/>
          <w:highlight w:val="none"/>
          <w14:textFill>
            <w14:solidFill>
              <w14:schemeClr w14:val="tx1"/>
            </w14:solidFill>
          </w14:textFill>
        </w:rPr>
        <w:t>目录建库及著录</w:t>
      </w:r>
    </w:p>
    <w:p w14:paraId="177EAC7D">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1、目录数据格式选择</w:t>
      </w:r>
    </w:p>
    <w:p w14:paraId="5C008648">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目录建库应选择通用的数据格式，所选定的数据格式应能通过XML文档进行数据交换。XML文档定义待加工企业签订合同时在有关技术附件中明确。</w:t>
      </w:r>
    </w:p>
    <w:p w14:paraId="1878493A">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目录数据在图像外单独存储，数据能导出DBF、EXCEL和HT格式进行保存。EXCEL 格式用于目录打印，XML格式用于数据交换浏览。</w:t>
      </w:r>
    </w:p>
    <w:p w14:paraId="4B61024D">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2、目录著录</w:t>
      </w:r>
    </w:p>
    <w:p w14:paraId="795F5BDB">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按照文书档案的《电子版档案数据接收规范及著录要求》形成案卷目录和卷内文件目录。</w:t>
      </w:r>
    </w:p>
    <w:p w14:paraId="54113246">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3、目录数据质量检查</w:t>
      </w:r>
    </w:p>
    <w:p w14:paraId="069CFF62">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采用人工校对或软件自动校对的方式，对目录数据库的建库质量进行检查，核对著录项目是否完整、著录内容是否规范、准确，发现不合格的数据进行修改或重录。</w:t>
      </w:r>
    </w:p>
    <w:p w14:paraId="6B744E9F">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4、加工企业在加工期间必须免费为自治区生态环境厅提供独立的目录数据质检系统和统计系统。</w:t>
      </w:r>
    </w:p>
    <w:p w14:paraId="481E4470">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562" w:firstLineChars="200"/>
        <w:jc w:val="both"/>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7.7</w:t>
      </w:r>
      <w:r>
        <w:rPr>
          <w:rFonts w:hint="eastAsia" w:ascii="仿宋" w:hAnsi="仿宋" w:eastAsia="仿宋" w:cs="仿宋"/>
          <w:b/>
          <w:bCs/>
          <w:color w:val="000000" w:themeColor="text1"/>
          <w:sz w:val="28"/>
          <w:szCs w:val="28"/>
          <w:highlight w:val="none"/>
          <w14:textFill>
            <w14:solidFill>
              <w14:schemeClr w14:val="tx1"/>
            </w14:solidFill>
          </w14:textFill>
        </w:rPr>
        <w:t>数据挂接</w:t>
      </w:r>
    </w:p>
    <w:p w14:paraId="3679E5C0">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扫描完成后的图像数据，需要与目录数据进行一一对应。其中，扫描文件以卷为单位进行存储，案卷目录应对应到相应图像文件所在的文件夹；卷内目录应对应到相应页 数的图像文件。</w:t>
      </w:r>
    </w:p>
    <w:p w14:paraId="7F5B6D0A">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1、汇总挂接</w:t>
      </w:r>
    </w:p>
    <w:p w14:paraId="4A1CB859">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档案数字化转换过程中形成的目录数据库与图像数据库，通过质检环节确认为“合格”后，通过在线或离线方式加载到数据服务器端汇总。通过编制程序或借助相应软件，实现目录数据对相关联的数字图像的批量、快速挂接。索引挂接要求兼容性良好，保证数据的安全性，防止数据泄漏和溢出。</w:t>
      </w:r>
    </w:p>
    <w:p w14:paraId="4FA63B7D">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2、数据关联</w:t>
      </w:r>
    </w:p>
    <w:p w14:paraId="5DA1C248">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纸质档案目录数据库为依据，将每一份纸质档案文件扫描所得的一个或多个图像存储为一份图像文件。将图像文件存储到相应文件夹时，要认真核查每一份图像文件的名称与档案目录数据库中该份文件的档号是否相同，图像文件的页数与档案目录数据库中该份文件的页数是否一致，图像文件的总数与目录数据库中文件的总数是否相同等。通过每一份图像文件的文件名与档案目录数据库中该份文件的档号的一致性和唯一性，建立起一一对应的关联关系，为实现档案目录数据库与图像文件的批量挂接提供条件。</w:t>
      </w:r>
    </w:p>
    <w:p w14:paraId="7450A946">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3、交接登记</w:t>
      </w:r>
    </w:p>
    <w:p w14:paraId="4F1F3E8E">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认真填写纸质档案数字化转换过程交接登记表单，记录数据关联后的页数，核对每</w:t>
      </w:r>
    </w:p>
    <w:p w14:paraId="5958473B">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一份文件关联后的页数与档案整理、扫描时填写的页数是否一致，不一致时应注明具体原 因和处理办法。</w:t>
      </w:r>
    </w:p>
    <w:p w14:paraId="0BADA133">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562" w:firstLineChars="200"/>
        <w:jc w:val="both"/>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7.8</w:t>
      </w:r>
      <w:r>
        <w:rPr>
          <w:rFonts w:hint="eastAsia" w:ascii="仿宋" w:hAnsi="仿宋" w:eastAsia="仿宋" w:cs="仿宋"/>
          <w:b/>
          <w:bCs/>
          <w:color w:val="000000" w:themeColor="text1"/>
          <w:sz w:val="28"/>
          <w:szCs w:val="28"/>
          <w:highlight w:val="none"/>
          <w14:textFill>
            <w14:solidFill>
              <w14:schemeClr w14:val="tx1"/>
            </w14:solidFill>
          </w14:textFill>
        </w:rPr>
        <w:t>数据验收</w:t>
      </w:r>
    </w:p>
    <w:p w14:paraId="0A926F50">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要建立严格的质量自检系统。可采用软件自动核对的方式以年度为单位进行 逐页检查，包括图像数据信息完整性检查、目录数据准确性检查、图像挂接准确性检查等。投标方应确保档案目录数据与档案扫描图像的一一对应，扫描图像与案卷目录、卷内目录100%挂接正确，并将正确的数据导入档案管理数据库中，确保加工扫描成果在招标方所使用的档案管理系统中有效检索和显示。加工企业必须根据自治区生态环境厅档案实际情况，提供有管理能力的数据质量管理检测系统来保证以下几个方面的数据加工质量。</w:t>
      </w:r>
    </w:p>
    <w:p w14:paraId="70C45C57">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1、目录数据验收</w:t>
      </w:r>
    </w:p>
    <w:p w14:paraId="5E83F89A">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以年度为单位，对条目数量及其著录项目内容的准确性进行逐页检查，要求：（1） 档号的合格率达到100%; 录入的合格率要求达到100%; (3)选择扫描的文件页码的准确率要达到95%，不得漏缺页 (著录必须与原件一致，若原件有误必须注明并进行修改，确保最后挂接时具有唯一性）。(4)其他项目合格率达到98%以上（含98%)。</w:t>
      </w:r>
    </w:p>
    <w:p w14:paraId="639E83C5">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2、图像数据验收</w:t>
      </w:r>
    </w:p>
    <w:p w14:paraId="368C19E1">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以年度为单位，对图像数量及其图像内容的准确性进行检查。图像应符合本规范中 所规定的扫描分辨率、文件格式及色彩模式。要求：（1）图像文件的命名必须与条自档号相一致，准确率100%; (2)扫描图像完整性要求100%正确，完整性包括顺序准确，不多页少页，保持档案原版原貌；（3）图像的倾斜度、清晰度、整洁度等技术指标符合要求，要求抽检合格率达到98%以上(含98%)。</w:t>
      </w:r>
    </w:p>
    <w:p w14:paraId="53EE0B02">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3、图文挂接准确率：档案目录数据（包含案卷目录和卷内目录）与扫描图像100%正确对应。</w:t>
      </w:r>
    </w:p>
    <w:p w14:paraId="3D51B204">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进行全检后的数据要及时提交</w:t>
      </w:r>
      <w:r>
        <w:rPr>
          <w:rFonts w:hint="eastAsia" w:ascii="仿宋" w:hAnsi="仿宋" w:eastAsia="仿宋" w:cs="仿宋"/>
          <w:color w:val="000000" w:themeColor="text1"/>
          <w:sz w:val="28"/>
          <w:szCs w:val="28"/>
          <w:highlight w:val="none"/>
          <w:lang w:eastAsia="zh-CN"/>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进行验收。以上要求如发现一条不合格的，</w:t>
      </w:r>
      <w:r>
        <w:rPr>
          <w:rFonts w:hint="eastAsia" w:ascii="仿宋" w:hAnsi="仿宋" w:eastAsia="仿宋" w:cs="仿宋"/>
          <w:color w:val="000000" w:themeColor="text1"/>
          <w:sz w:val="28"/>
          <w:szCs w:val="28"/>
          <w:highlight w:val="none"/>
          <w:lang w:eastAsia="zh-CN"/>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有权不予提供错误数据并且不再提供下一批案卷，并将该批案卷全部退回给投标方重新检查修改，直到质检合格，因此造成的后果由投标方负责。</w:t>
      </w:r>
      <w:r>
        <w:rPr>
          <w:rFonts w:hint="eastAsia" w:ascii="仿宋" w:hAnsi="仿宋" w:eastAsia="仿宋" w:cs="仿宋"/>
          <w:color w:val="000000" w:themeColor="text1"/>
          <w:sz w:val="28"/>
          <w:szCs w:val="28"/>
          <w:highlight w:val="none"/>
          <w:lang w:eastAsia="zh-CN"/>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对一批次加工成果质量验收合格后，双方在当批次数据的验收报告上签字确定，</w:t>
      </w:r>
      <w:r>
        <w:rPr>
          <w:rFonts w:hint="eastAsia" w:ascii="仿宋" w:hAnsi="仿宋" w:eastAsia="仿宋" w:cs="仿宋"/>
          <w:color w:val="000000" w:themeColor="text1"/>
          <w:sz w:val="28"/>
          <w:szCs w:val="28"/>
          <w:highlight w:val="none"/>
          <w:lang w:eastAsia="zh-CN"/>
          <w14:textFill>
            <w14:solidFill>
              <w14:schemeClr w14:val="tx1"/>
            </w14:solidFill>
          </w14:textFill>
        </w:rPr>
        <w:t>乙方</w:t>
      </w:r>
      <w:r>
        <w:rPr>
          <w:rFonts w:hint="eastAsia" w:ascii="仿宋" w:hAnsi="仿宋" w:eastAsia="仿宋" w:cs="仿宋"/>
          <w:color w:val="000000" w:themeColor="text1"/>
          <w:sz w:val="28"/>
          <w:szCs w:val="28"/>
          <w:highlight w:val="none"/>
          <w14:textFill>
            <w14:solidFill>
              <w14:schemeClr w14:val="tx1"/>
            </w14:solidFill>
          </w14:textFill>
        </w:rPr>
        <w:t>方能进入下一批次的档案接收扫描。</w:t>
      </w:r>
    </w:p>
    <w:p w14:paraId="09636DF6">
      <w:pPr>
        <w:pStyle w:val="16"/>
        <w:keepNext w:val="0"/>
        <w:keepLines w:val="0"/>
        <w:pageBreakBefore w:val="0"/>
        <w:kinsoku/>
        <w:wordWrap/>
        <w:overflowPunct/>
        <w:topLinePunct w:val="0"/>
        <w:autoSpaceDE/>
        <w:autoSpaceDN/>
        <w:bidi w:val="0"/>
        <w:adjustRightInd/>
        <w:snapToGrid/>
        <w:spacing w:beforeAutospacing="0" w:after="0" w:afterAutospacing="0" w:line="560" w:lineRule="exact"/>
        <w:jc w:val="both"/>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7.9</w:t>
      </w:r>
      <w:r>
        <w:rPr>
          <w:rFonts w:hint="eastAsia" w:ascii="仿宋" w:hAnsi="仿宋" w:eastAsia="仿宋" w:cs="仿宋"/>
          <w:b/>
          <w:bCs/>
          <w:color w:val="000000" w:themeColor="text1"/>
          <w:sz w:val="28"/>
          <w:szCs w:val="28"/>
          <w:highlight w:val="none"/>
          <w14:textFill>
            <w14:solidFill>
              <w14:schemeClr w14:val="tx1"/>
            </w14:solidFill>
          </w14:textFill>
        </w:rPr>
        <w:t>数据备份</w:t>
      </w:r>
    </w:p>
    <w:p w14:paraId="0EFA7050">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乙方</w:t>
      </w:r>
      <w:r>
        <w:rPr>
          <w:rFonts w:hint="eastAsia" w:ascii="仿宋" w:hAnsi="仿宋" w:eastAsia="仿宋" w:cs="仿宋"/>
          <w:color w:val="000000" w:themeColor="text1"/>
          <w:sz w:val="28"/>
          <w:szCs w:val="28"/>
          <w:highlight w:val="none"/>
          <w14:textFill>
            <w14:solidFill>
              <w14:schemeClr w14:val="tx1"/>
            </w14:solidFill>
          </w14:textFill>
        </w:rPr>
        <w:t>要将验收合格的完整数据及时进行备份，并向</w:t>
      </w:r>
      <w:r>
        <w:rPr>
          <w:rFonts w:hint="eastAsia" w:ascii="仿宋" w:hAnsi="仿宋" w:eastAsia="仿宋" w:cs="仿宋"/>
          <w:color w:val="000000" w:themeColor="text1"/>
          <w:sz w:val="28"/>
          <w:szCs w:val="28"/>
          <w:highlight w:val="none"/>
          <w:lang w:eastAsia="zh-CN"/>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移交。</w:t>
      </w:r>
    </w:p>
    <w:p w14:paraId="5FA22F56">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2、备份方式：</w:t>
      </w:r>
    </w:p>
    <w:p w14:paraId="0F2FEA95">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（1）验收合格的完整数据及时导入</w:t>
      </w:r>
      <w:r>
        <w:rPr>
          <w:rFonts w:hint="eastAsia" w:ascii="仿宋" w:hAnsi="仿宋" w:eastAsia="仿宋" w:cs="仿宋"/>
          <w:color w:val="000000" w:themeColor="text1"/>
          <w:sz w:val="28"/>
          <w:szCs w:val="28"/>
          <w:highlight w:val="none"/>
          <w:lang w:eastAsia="zh-CN"/>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专用服务器实行在线存储备份，保证档案的利用与安全。</w:t>
      </w:r>
    </w:p>
    <w:p w14:paraId="3D9BE6D9">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（2）刻录DVD光盘一式二份（普通光盘）：</w:t>
      </w:r>
    </w:p>
    <w:p w14:paraId="2045254D">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300dpi数据光盘应包括：本盘内所包含档案卷号及图像清单（Excel格式）；档案扫描图像文件数据和档案目录数据；</w:t>
      </w:r>
    </w:p>
    <w:p w14:paraId="2BEB81E0">
      <w:pPr>
        <w:pStyle w:val="16"/>
        <w:keepNext w:val="0"/>
        <w:keepLines w:val="0"/>
        <w:pageBreakBefore w:val="0"/>
        <w:kinsoku/>
        <w:wordWrap/>
        <w:overflowPunct/>
        <w:topLinePunct w:val="0"/>
        <w:autoSpaceDE/>
        <w:autoSpaceDN/>
        <w:bidi w:val="0"/>
        <w:adjustRightInd/>
        <w:snapToGrid/>
        <w:spacing w:beforeAutospacing="0" w:after="0" w:afterAutospacing="0" w:line="560" w:lineRule="exact"/>
        <w:jc w:val="both"/>
        <w:textAlignment w:val="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7.10</w:t>
      </w:r>
      <w:r>
        <w:rPr>
          <w:rFonts w:hint="eastAsia" w:ascii="仿宋" w:hAnsi="仿宋" w:eastAsia="仿宋" w:cs="仿宋"/>
          <w:b/>
          <w:bCs/>
          <w:color w:val="000000" w:themeColor="text1"/>
          <w:sz w:val="28"/>
          <w:szCs w:val="28"/>
          <w:highlight w:val="none"/>
          <w14:textFill>
            <w14:solidFill>
              <w14:schemeClr w14:val="tx1"/>
            </w14:solidFill>
          </w14:textFill>
        </w:rPr>
        <w:t>档案管理系统运维</w:t>
      </w:r>
    </w:p>
    <w:p w14:paraId="5EE3DE2C">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1、每月对自治区生态环境厅档案管理系统的应用和数据库运行情况进行巡检；</w:t>
      </w:r>
    </w:p>
    <w:p w14:paraId="58FABE38">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2、每周对档案管理系统的安全性进行检查，对数据库进行备份，确保应用安全和数据安全；</w:t>
      </w:r>
    </w:p>
    <w:p w14:paraId="46191EAA">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3、根据甲方实际需求做好系统用户的使用培训和技术支持工作；</w:t>
      </w:r>
    </w:p>
    <w:p w14:paraId="74B7D539">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4、根据工作要求不断完善平台功能，以满足自治区生态环境厅环境业务管理的需要；</w:t>
      </w:r>
    </w:p>
    <w:p w14:paraId="1DD505DB">
      <w:pPr>
        <w:pStyle w:val="16"/>
        <w:keepNext w:val="0"/>
        <w:keepLines w:val="0"/>
        <w:pageBreakBefore w:val="0"/>
        <w:kinsoku/>
        <w:wordWrap/>
        <w:overflowPunct/>
        <w:topLinePunct w:val="0"/>
        <w:autoSpaceDE/>
        <w:autoSpaceDN/>
        <w:bidi w:val="0"/>
        <w:adjustRightInd/>
        <w:snapToGrid/>
        <w:spacing w:beforeAutospacing="0" w:after="0" w:afterAutospacing="0" w:line="560" w:lineRule="exact"/>
        <w:ind w:firstLine="42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5、按照甲方要求，对系统开展档案管理系统等级保护测评和密码应用测评工作中发现的问题进行整改。</w:t>
      </w:r>
    </w:p>
    <w:p w14:paraId="53D76865">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jc w:val="both"/>
        <w:rPr>
          <w:rFonts w:ascii="仿宋" w:hAnsi="仿宋" w:eastAsia="仿宋" w:cs="仿宋"/>
          <w:b/>
          <w:color w:val="000000" w:themeColor="text1"/>
          <w:kern w:val="2"/>
          <w:sz w:val="28"/>
          <w:szCs w:val="28"/>
          <w:highlight w:val="none"/>
          <w14:textFill>
            <w14:solidFill>
              <w14:schemeClr w14:val="tx1"/>
            </w14:solidFill>
          </w14:textFill>
        </w:rPr>
      </w:pPr>
      <w:r>
        <w:rPr>
          <w:rFonts w:hint="eastAsia" w:ascii="仿宋" w:hAnsi="仿宋" w:eastAsia="仿宋" w:cs="仿宋"/>
          <w:b/>
          <w:color w:val="000000" w:themeColor="text1"/>
          <w:kern w:val="2"/>
          <w:sz w:val="28"/>
          <w:szCs w:val="28"/>
          <w:highlight w:val="none"/>
          <w:lang w:val="en-US" w:eastAsia="zh-CN"/>
          <w14:textFill>
            <w14:solidFill>
              <w14:schemeClr w14:val="tx1"/>
            </w14:solidFill>
          </w14:textFill>
        </w:rPr>
        <w:t xml:space="preserve">  7.11</w:t>
      </w:r>
      <w:r>
        <w:rPr>
          <w:rFonts w:hint="eastAsia" w:ascii="仿宋" w:hAnsi="仿宋" w:eastAsia="仿宋" w:cs="仿宋"/>
          <w:b/>
          <w:color w:val="000000" w:themeColor="text1"/>
          <w:kern w:val="2"/>
          <w:sz w:val="28"/>
          <w:szCs w:val="28"/>
          <w:highlight w:val="none"/>
          <w14:textFill>
            <w14:solidFill>
              <w14:schemeClr w14:val="tx1"/>
            </w14:solidFill>
          </w14:textFill>
        </w:rPr>
        <w:t>系统维护工作要求。</w:t>
      </w:r>
    </w:p>
    <w:p w14:paraId="32D6592E">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t>、系统维护响应时间要求</w:t>
      </w:r>
    </w:p>
    <w:p w14:paraId="24A9F2DD">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left="309" w:leftChars="114" w:hanging="70" w:hangingChars="25"/>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故障响应时间为</w:t>
      </w:r>
      <w:r>
        <w:rPr>
          <w:rFonts w:hint="eastAsia" w:ascii="仿宋" w:hAnsi="仿宋" w:eastAsia="仿宋" w:cs="仿宋"/>
          <w:bCs/>
          <w:color w:val="000000" w:themeColor="text1"/>
          <w:kern w:val="2"/>
          <w:sz w:val="28"/>
          <w:szCs w:val="28"/>
          <w:highlight w:val="none"/>
          <w:lang w:val="zh-TW" w:eastAsia="zh-TW"/>
          <w14:textFill>
            <w14:solidFill>
              <w14:schemeClr w14:val="tx1"/>
            </w14:solidFill>
          </w14:textFill>
        </w:rPr>
        <w:t>2</w:t>
      </w:r>
      <w:r>
        <w:rPr>
          <w:rFonts w:hint="eastAsia" w:ascii="仿宋" w:hAnsi="仿宋" w:eastAsia="仿宋" w:cs="仿宋"/>
          <w:bCs/>
          <w:color w:val="000000" w:themeColor="text1"/>
          <w:kern w:val="2"/>
          <w:sz w:val="28"/>
          <w:szCs w:val="28"/>
          <w:highlight w:val="none"/>
          <w14:textFill>
            <w14:solidFill>
              <w14:schemeClr w14:val="tx1"/>
            </w14:solidFill>
          </w14:textFill>
        </w:rPr>
        <w:t>小时，电话服务未能解决的问题乌鲁木齐市</w:t>
      </w:r>
      <w:r>
        <w:rPr>
          <w:rFonts w:hint="eastAsia" w:ascii="仿宋" w:hAnsi="仿宋" w:eastAsia="仿宋" w:cs="仿宋"/>
          <w:bCs/>
          <w:color w:val="000000" w:themeColor="text1"/>
          <w:kern w:val="2"/>
          <w:sz w:val="28"/>
          <w:szCs w:val="28"/>
          <w:highlight w:val="none"/>
          <w:lang w:val="zh-TW" w:eastAsia="zh-TW"/>
          <w14:textFill>
            <w14:solidFill>
              <w14:schemeClr w14:val="tx1"/>
            </w14:solidFill>
          </w14:textFill>
        </w:rPr>
        <w:t>2</w:t>
      </w:r>
      <w:r>
        <w:rPr>
          <w:rFonts w:hint="eastAsia" w:ascii="仿宋" w:hAnsi="仿宋" w:eastAsia="仿宋" w:cs="仿宋"/>
          <w:bCs/>
          <w:color w:val="000000" w:themeColor="text1"/>
          <w:kern w:val="2"/>
          <w:sz w:val="28"/>
          <w:szCs w:val="28"/>
          <w:highlight w:val="none"/>
          <w14:textFill>
            <w14:solidFill>
              <w14:schemeClr w14:val="tx1"/>
            </w14:solidFill>
          </w14:textFill>
        </w:rPr>
        <w:t>小时内提供上门服务。</w:t>
      </w:r>
    </w:p>
    <w:p w14:paraId="3D943C57">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left="309" w:leftChars="114" w:hanging="70" w:hangingChars="25"/>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14:textFill>
            <w14:solidFill>
              <w14:schemeClr w14:val="tx1"/>
            </w14:solidFill>
          </w14:textFill>
        </w:rPr>
        <w:t>、系统培训</w:t>
      </w:r>
    </w:p>
    <w:p w14:paraId="4583D68B">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乙方</w:t>
      </w:r>
      <w:r>
        <w:rPr>
          <w:rFonts w:hint="eastAsia" w:ascii="仿宋" w:hAnsi="仿宋" w:eastAsia="仿宋" w:cs="仿宋"/>
          <w:bCs/>
          <w:color w:val="000000" w:themeColor="text1"/>
          <w:kern w:val="2"/>
          <w:sz w:val="28"/>
          <w:szCs w:val="28"/>
          <w:highlight w:val="none"/>
          <w:lang w:val="zh-TW"/>
          <w14:textFill>
            <w14:solidFill>
              <w14:schemeClr w14:val="tx1"/>
            </w14:solidFill>
          </w14:textFill>
        </w:rPr>
        <w:t>的</w:t>
      </w:r>
      <w:r>
        <w:rPr>
          <w:rFonts w:hint="eastAsia" w:ascii="仿宋" w:hAnsi="仿宋" w:eastAsia="仿宋" w:cs="仿宋"/>
          <w:bCs/>
          <w:color w:val="000000" w:themeColor="text1"/>
          <w:kern w:val="2"/>
          <w:sz w:val="28"/>
          <w:szCs w:val="28"/>
          <w:highlight w:val="none"/>
          <w14:textFill>
            <w14:solidFill>
              <w14:schemeClr w14:val="tx1"/>
            </w14:solidFill>
          </w14:textFill>
        </w:rPr>
        <w:t>技术支持</w:t>
      </w:r>
      <w:r>
        <w:rPr>
          <w:rFonts w:hint="eastAsia" w:ascii="仿宋" w:hAnsi="仿宋" w:eastAsia="仿宋" w:cs="仿宋"/>
          <w:bCs/>
          <w:color w:val="000000" w:themeColor="text1"/>
          <w:kern w:val="2"/>
          <w:sz w:val="28"/>
          <w:szCs w:val="28"/>
          <w:highlight w:val="none"/>
          <w:lang w:val="zh-TW"/>
          <w14:textFill>
            <w14:solidFill>
              <w14:schemeClr w14:val="tx1"/>
            </w14:solidFill>
          </w14:textFill>
        </w:rPr>
        <w:t>人员有义务对</w:t>
      </w:r>
      <w:r>
        <w:rPr>
          <w:rFonts w:hint="eastAsia" w:ascii="仿宋" w:hAnsi="仿宋" w:eastAsia="仿宋" w:cs="仿宋"/>
          <w:bCs/>
          <w:color w:val="000000" w:themeColor="text1"/>
          <w:kern w:val="2"/>
          <w:sz w:val="28"/>
          <w:szCs w:val="28"/>
          <w:highlight w:val="none"/>
          <w14:textFill>
            <w14:solidFill>
              <w14:schemeClr w14:val="tx1"/>
            </w14:solidFill>
          </w14:textFill>
        </w:rPr>
        <w:t>用户</w:t>
      </w:r>
      <w:r>
        <w:rPr>
          <w:rFonts w:hint="eastAsia" w:ascii="仿宋" w:hAnsi="仿宋" w:eastAsia="仿宋" w:cs="仿宋"/>
          <w:bCs/>
          <w:color w:val="000000" w:themeColor="text1"/>
          <w:kern w:val="2"/>
          <w:sz w:val="28"/>
          <w:szCs w:val="28"/>
          <w:highlight w:val="none"/>
          <w:lang w:val="zh-TW"/>
          <w14:textFill>
            <w14:solidFill>
              <w14:schemeClr w14:val="tx1"/>
            </w14:solidFill>
          </w14:textFill>
        </w:rPr>
        <w:t>的</w:t>
      </w:r>
      <w:r>
        <w:rPr>
          <w:rFonts w:hint="eastAsia" w:ascii="仿宋" w:hAnsi="仿宋" w:eastAsia="仿宋" w:cs="仿宋"/>
          <w:bCs/>
          <w:color w:val="000000" w:themeColor="text1"/>
          <w:kern w:val="2"/>
          <w:sz w:val="28"/>
          <w:szCs w:val="28"/>
          <w:highlight w:val="none"/>
          <w14:textFill>
            <w14:solidFill>
              <w14:schemeClr w14:val="tx1"/>
            </w14:solidFill>
          </w14:textFill>
        </w:rPr>
        <w:t>系统管理</w:t>
      </w:r>
      <w:r>
        <w:rPr>
          <w:rFonts w:hint="eastAsia" w:ascii="仿宋" w:hAnsi="仿宋" w:eastAsia="仿宋" w:cs="仿宋"/>
          <w:bCs/>
          <w:color w:val="000000" w:themeColor="text1"/>
          <w:kern w:val="2"/>
          <w:sz w:val="28"/>
          <w:szCs w:val="28"/>
          <w:highlight w:val="none"/>
          <w:lang w:val="zh-TW"/>
          <w14:textFill>
            <w14:solidFill>
              <w14:schemeClr w14:val="tx1"/>
            </w14:solidFill>
          </w14:textFill>
        </w:rPr>
        <w:t>人员及使用人员进行培训，使</w:t>
      </w:r>
      <w:r>
        <w:rPr>
          <w:rFonts w:hint="eastAsia" w:ascii="仿宋" w:hAnsi="仿宋" w:eastAsia="仿宋" w:cs="仿宋"/>
          <w:bCs/>
          <w:color w:val="000000" w:themeColor="text1"/>
          <w:kern w:val="2"/>
          <w:sz w:val="28"/>
          <w:szCs w:val="28"/>
          <w:highlight w:val="none"/>
          <w14:textFill>
            <w14:solidFill>
              <w14:schemeClr w14:val="tx1"/>
            </w14:solidFill>
          </w14:textFill>
        </w:rPr>
        <w:t>管理</w:t>
      </w:r>
      <w:r>
        <w:rPr>
          <w:rFonts w:hint="eastAsia" w:ascii="仿宋" w:hAnsi="仿宋" w:eastAsia="仿宋" w:cs="仿宋"/>
          <w:bCs/>
          <w:color w:val="000000" w:themeColor="text1"/>
          <w:kern w:val="2"/>
          <w:sz w:val="28"/>
          <w:szCs w:val="28"/>
          <w:highlight w:val="none"/>
          <w:lang w:val="zh-TW"/>
          <w14:textFill>
            <w14:solidFill>
              <w14:schemeClr w14:val="tx1"/>
            </w14:solidFill>
          </w14:textFill>
        </w:rPr>
        <w:t>人员</w:t>
      </w:r>
      <w:r>
        <w:rPr>
          <w:rFonts w:hint="eastAsia" w:ascii="仿宋" w:hAnsi="仿宋" w:eastAsia="仿宋" w:cs="仿宋"/>
          <w:bCs/>
          <w:color w:val="000000" w:themeColor="text1"/>
          <w:kern w:val="2"/>
          <w:sz w:val="28"/>
          <w:szCs w:val="28"/>
          <w:highlight w:val="none"/>
          <w14:textFill>
            <w14:solidFill>
              <w14:schemeClr w14:val="tx1"/>
            </w14:solidFill>
          </w14:textFill>
        </w:rPr>
        <w:t>能够</w:t>
      </w:r>
      <w:r>
        <w:rPr>
          <w:rFonts w:hint="eastAsia" w:ascii="仿宋" w:hAnsi="仿宋" w:eastAsia="仿宋" w:cs="仿宋"/>
          <w:bCs/>
          <w:color w:val="000000" w:themeColor="text1"/>
          <w:kern w:val="2"/>
          <w:sz w:val="28"/>
          <w:szCs w:val="28"/>
          <w:highlight w:val="none"/>
          <w:lang w:val="zh-TW"/>
          <w14:textFill>
            <w14:solidFill>
              <w14:schemeClr w14:val="tx1"/>
            </w14:solidFill>
          </w14:textFill>
        </w:rPr>
        <w:t>进行日常维护和一般性故障的查找及故障的排除，使用人员能够熟练 掌握</w:t>
      </w:r>
      <w:r>
        <w:rPr>
          <w:rFonts w:hint="eastAsia" w:ascii="仿宋" w:hAnsi="仿宋" w:eastAsia="仿宋" w:cs="仿宋"/>
          <w:bCs/>
          <w:color w:val="000000" w:themeColor="text1"/>
          <w:kern w:val="2"/>
          <w:sz w:val="28"/>
          <w:szCs w:val="28"/>
          <w:highlight w:val="none"/>
          <w14:textFill>
            <w14:solidFill>
              <w14:schemeClr w14:val="tx1"/>
            </w14:solidFill>
          </w14:textFill>
        </w:rPr>
        <w:t>系统</w:t>
      </w:r>
      <w:r>
        <w:rPr>
          <w:rFonts w:hint="eastAsia" w:ascii="仿宋" w:hAnsi="仿宋" w:eastAsia="仿宋" w:cs="仿宋"/>
          <w:bCs/>
          <w:color w:val="000000" w:themeColor="text1"/>
          <w:kern w:val="2"/>
          <w:sz w:val="28"/>
          <w:szCs w:val="28"/>
          <w:highlight w:val="none"/>
          <w:lang w:val="zh-TW"/>
          <w14:textFill>
            <w14:solidFill>
              <w14:schemeClr w14:val="tx1"/>
            </w14:solidFill>
          </w14:textFill>
        </w:rPr>
        <w:t>的各项功能和操作。</w:t>
      </w:r>
      <w:r>
        <w:rPr>
          <w:rFonts w:hint="eastAsia" w:ascii="仿宋" w:hAnsi="仿宋" w:eastAsia="仿宋" w:cs="仿宋"/>
          <w:bCs/>
          <w:color w:val="000000" w:themeColor="text1"/>
          <w:kern w:val="2"/>
          <w:sz w:val="28"/>
          <w:szCs w:val="28"/>
          <w:highlight w:val="none"/>
          <w14:textFill>
            <w14:solidFill>
              <w14:schemeClr w14:val="tx1"/>
            </w14:solidFill>
          </w14:textFill>
        </w:rPr>
        <w:t>培训采用现场培训和网上培训相结合的方式进行。</w:t>
      </w:r>
    </w:p>
    <w:p w14:paraId="1D9CB52A">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jc w:val="both"/>
        <w:rPr>
          <w:rFonts w:ascii="仿宋" w:hAnsi="仿宋" w:eastAsia="仿宋" w:cs="仿宋"/>
          <w:b/>
          <w:color w:val="000000" w:themeColor="text1"/>
          <w:kern w:val="2"/>
          <w:sz w:val="28"/>
          <w:szCs w:val="28"/>
          <w:highlight w:val="none"/>
          <w14:textFill>
            <w14:solidFill>
              <w14:schemeClr w14:val="tx1"/>
            </w14:solidFill>
          </w14:textFill>
        </w:rPr>
      </w:pPr>
      <w:r>
        <w:rPr>
          <w:rFonts w:hint="eastAsia" w:ascii="仿宋" w:hAnsi="仿宋" w:eastAsia="仿宋" w:cs="仿宋"/>
          <w:b/>
          <w:color w:val="000000" w:themeColor="text1"/>
          <w:kern w:val="2"/>
          <w:sz w:val="28"/>
          <w:szCs w:val="28"/>
          <w:highlight w:val="none"/>
          <w:lang w:val="en-US" w:eastAsia="zh-CN"/>
          <w14:textFill>
            <w14:solidFill>
              <w14:schemeClr w14:val="tx1"/>
            </w14:solidFill>
          </w14:textFill>
        </w:rPr>
        <w:t>7.12</w:t>
      </w:r>
      <w:r>
        <w:rPr>
          <w:rFonts w:hint="eastAsia" w:ascii="仿宋" w:hAnsi="仿宋" w:eastAsia="仿宋" w:cs="仿宋"/>
          <w:b/>
          <w:color w:val="000000" w:themeColor="text1"/>
          <w:kern w:val="2"/>
          <w:sz w:val="28"/>
          <w:szCs w:val="28"/>
          <w:highlight w:val="none"/>
          <w14:textFill>
            <w14:solidFill>
              <w14:schemeClr w14:val="tx1"/>
            </w14:solidFill>
          </w14:textFill>
        </w:rPr>
        <w:t>档案管理系统升级技术要求</w:t>
      </w:r>
    </w:p>
    <w:p w14:paraId="65456A50">
      <w:pPr>
        <w:pStyle w:val="16"/>
        <w:keepNext w:val="0"/>
        <w:keepLines w:val="0"/>
        <w:pageBreakBefore w:val="0"/>
        <w:widowControl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为了适应新的数据、安全、利用等需求需对原档案管理系统进行必要的升级改造。</w:t>
      </w:r>
    </w:p>
    <w:p w14:paraId="3D09A22E">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kern w:val="2"/>
          <w:sz w:val="28"/>
          <w:szCs w:val="28"/>
          <w:highlight w:val="none"/>
          <w14:textFill>
            <w14:solidFill>
              <w14:schemeClr w14:val="tx1"/>
            </w14:solidFill>
          </w14:textFill>
        </w:rPr>
        <w:t>系统开发语言和技术架构的升级</w:t>
      </w:r>
      <w:r>
        <w:rPr>
          <w:rFonts w:hint="eastAsia" w:ascii="仿宋" w:hAnsi="仿宋" w:eastAsia="仿宋" w:cs="仿宋"/>
          <w:bCs/>
          <w:color w:val="000000" w:themeColor="text1"/>
          <w:kern w:val="2"/>
          <w:sz w:val="28"/>
          <w:szCs w:val="28"/>
          <w:highlight w:val="none"/>
          <w14:textFill>
            <w14:solidFill>
              <w14:schemeClr w14:val="tx1"/>
            </w14:solidFill>
          </w14:textFill>
        </w:rPr>
        <w:t>：</w:t>
      </w:r>
      <w:r>
        <w:rPr>
          <w:rFonts w:hint="eastAsia" w:ascii="仿宋" w:hAnsi="仿宋" w:eastAsia="仿宋" w:cs="仿宋"/>
          <w:bCs/>
          <w:color w:val="000000" w:themeColor="text1"/>
          <w:kern w:val="2"/>
          <w:sz w:val="28"/>
          <w:szCs w:val="28"/>
          <w:highlight w:val="none"/>
          <w:lang w:val="zh-TW"/>
          <w14:textFill>
            <w14:solidFill>
              <w14:schemeClr w14:val="tx1"/>
            </w14:solidFill>
          </w14:textFill>
        </w:rPr>
        <w:t>原有的系统无法实现跨平台部署，尤其是当前国产化环境不断推广的背景下，原有的系统已经无法在信创平台进行部署使用，系统升级采用JAVA语言开发，严格遵循J2EE规范构建，通过对系统架构的升级，合理集成以J2EE为标准的软件产品及采用中间件技术的组件或构件产品，建立面向服务的SOA架构体系，可以得到较好的稳定性、高可靠性和可扩充性，方便移植和重用。通过升级，</w:t>
      </w:r>
      <w:r>
        <w:rPr>
          <w:rFonts w:hint="eastAsia" w:ascii="仿宋" w:hAnsi="仿宋" w:eastAsia="仿宋" w:cs="仿宋"/>
          <w:bCs/>
          <w:color w:val="000000" w:themeColor="text1"/>
          <w:kern w:val="2"/>
          <w:sz w:val="28"/>
          <w:szCs w:val="28"/>
          <w:highlight w:val="none"/>
          <w14:textFill>
            <w14:solidFill>
              <w14:schemeClr w14:val="tx1"/>
            </w14:solidFill>
          </w14:textFill>
        </w:rPr>
        <w:t>应用系统不依赖任何特定操作系统、</w:t>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"https://baike.so.com/doc/2154861-2280034.html" \t "_blank" </w:instrText>
      </w:r>
      <w:r>
        <w:rPr>
          <w:color w:val="000000" w:themeColor="text1"/>
          <w:sz w:val="28"/>
          <w:szCs w:val="28"/>
          <w:highlight w:val="none"/>
          <w14:textFill>
            <w14:solidFill>
              <w14:schemeClr w14:val="tx1"/>
            </w14:solidFill>
          </w14:textFill>
        </w:rPr>
        <w:fldChar w:fldCharType="separate"/>
      </w:r>
      <w:r>
        <w:rPr>
          <w:rStyle w:val="25"/>
          <w:rFonts w:hint="eastAsia" w:ascii="仿宋" w:hAnsi="仿宋" w:eastAsia="仿宋" w:cs="仿宋"/>
          <w:bCs/>
          <w:color w:val="000000" w:themeColor="text1"/>
          <w:kern w:val="2"/>
          <w:sz w:val="28"/>
          <w:szCs w:val="28"/>
          <w:highlight w:val="none"/>
          <w:u w:val="none"/>
          <w14:textFill>
            <w14:solidFill>
              <w14:schemeClr w14:val="tx1"/>
            </w14:solidFill>
          </w14:textFill>
        </w:rPr>
        <w:t>中间件</w:t>
      </w:r>
      <w:r>
        <w:rPr>
          <w:rStyle w:val="25"/>
          <w:rFonts w:hint="eastAsia" w:ascii="仿宋" w:hAnsi="仿宋" w:eastAsia="仿宋" w:cs="仿宋"/>
          <w:bCs/>
          <w:color w:val="000000" w:themeColor="text1"/>
          <w:kern w:val="2"/>
          <w:sz w:val="28"/>
          <w:szCs w:val="28"/>
          <w:highlight w:val="none"/>
          <w:u w:val="none"/>
          <w14:textFill>
            <w14:solidFill>
              <w14:schemeClr w14:val="tx1"/>
            </w14:solidFill>
          </w14:textFill>
        </w:rPr>
        <w:fldChar w:fldCharType="end"/>
      </w:r>
      <w:r>
        <w:rPr>
          <w:rFonts w:hint="eastAsia" w:ascii="仿宋" w:hAnsi="仿宋" w:eastAsia="仿宋" w:cs="仿宋"/>
          <w:bCs/>
          <w:color w:val="000000" w:themeColor="text1"/>
          <w:kern w:val="2"/>
          <w:sz w:val="28"/>
          <w:szCs w:val="28"/>
          <w:highlight w:val="none"/>
          <w14:textFill>
            <w14:solidFill>
              <w14:schemeClr w14:val="tx1"/>
            </w14:solidFill>
          </w14:textFill>
        </w:rPr>
        <w:t>、硬件，可以实现系统在异构平台下的兼容性和移植性。</w:t>
      </w:r>
    </w:p>
    <w:p w14:paraId="71EBE023">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对原系统各功能模块进行全面升级，以满足新的需求和数据</w:t>
      </w:r>
    </w:p>
    <w:p w14:paraId="3AE84769">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开发档案管理系统和业务系统的接口。</w:t>
      </w:r>
      <w:r>
        <w:rPr>
          <w:rFonts w:hint="eastAsia" w:ascii="仿宋" w:hAnsi="仿宋" w:eastAsia="仿宋" w:cs="仿宋"/>
          <w:bCs/>
          <w:color w:val="000000" w:themeColor="text1"/>
          <w:kern w:val="2"/>
          <w:sz w:val="28"/>
          <w:szCs w:val="28"/>
          <w:highlight w:val="none"/>
          <w14:textFill>
            <w14:solidFill>
              <w14:schemeClr w14:val="tx1"/>
            </w14:solidFill>
          </w14:textFill>
        </w:rPr>
        <w:t>现有档案管理系统无法实现和业务系统的数据交换和数据同步，通过档案系统的升级改造实现业务系统和档案系统新增数据的关联和实时更新。如实现档案系统和业务系统企业基本信息、类型、状态的关联和实时更新，实现业务系统和档案系统数据的实时交换、相互调用，实现电子文件移交、变更等数据相互比对、验证、同步等。</w:t>
      </w:r>
    </w:p>
    <w:p w14:paraId="5CE37F78">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建立全面的系统安全防护体系。</w:t>
      </w:r>
      <w:r>
        <w:rPr>
          <w:rFonts w:hint="eastAsia" w:ascii="仿宋" w:hAnsi="仿宋" w:eastAsia="仿宋" w:cs="仿宋"/>
          <w:bCs/>
          <w:color w:val="000000" w:themeColor="text1"/>
          <w:kern w:val="2"/>
          <w:sz w:val="28"/>
          <w:szCs w:val="28"/>
          <w:highlight w:val="none"/>
          <w14:textFill>
            <w14:solidFill>
              <w14:schemeClr w14:val="tx1"/>
            </w14:solidFill>
          </w14:textFill>
        </w:rPr>
        <w:t>随着电子档案网络化查询应用的不断扩大和发展，尤其是要开通基于外网的在线查询服务，必须建立包括数据安全防护、组合式授权管理、文件传输下载、身份认证等在内的全面的系统安全防护体系，原有的安全机制远不能满足上述系统安全要求。</w:t>
      </w:r>
    </w:p>
    <w:p w14:paraId="7DEDB78F">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对业务流程的不断改进。</w:t>
      </w:r>
      <w:r>
        <w:rPr>
          <w:rFonts w:hint="eastAsia" w:ascii="仿宋" w:hAnsi="仿宋" w:eastAsia="仿宋" w:cs="仿宋"/>
          <w:bCs/>
          <w:color w:val="000000" w:themeColor="text1"/>
          <w:kern w:val="2"/>
          <w:sz w:val="28"/>
          <w:szCs w:val="28"/>
          <w:highlight w:val="none"/>
          <w14:textFill>
            <w14:solidFill>
              <w14:schemeClr w14:val="tx1"/>
            </w14:solidFill>
          </w14:textFill>
        </w:rPr>
        <w:t>为适应</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生态环境厅</w:t>
      </w:r>
      <w:r>
        <w:rPr>
          <w:rFonts w:hint="eastAsia" w:ascii="仿宋" w:hAnsi="仿宋" w:eastAsia="仿宋" w:cs="仿宋"/>
          <w:bCs/>
          <w:color w:val="000000" w:themeColor="text1"/>
          <w:kern w:val="2"/>
          <w:sz w:val="28"/>
          <w:szCs w:val="28"/>
          <w:highlight w:val="none"/>
          <w14:textFill>
            <w14:solidFill>
              <w14:schemeClr w14:val="tx1"/>
            </w14:solidFill>
          </w14:textFill>
        </w:rPr>
        <w:t>行政管理职能转变，积极推进</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生态环境</w:t>
      </w:r>
      <w:r>
        <w:rPr>
          <w:rFonts w:hint="eastAsia" w:ascii="仿宋" w:hAnsi="仿宋" w:eastAsia="仿宋" w:cs="仿宋"/>
          <w:bCs/>
          <w:color w:val="000000" w:themeColor="text1"/>
          <w:kern w:val="2"/>
          <w:sz w:val="28"/>
          <w:szCs w:val="28"/>
          <w:highlight w:val="none"/>
          <w14:textFill>
            <w14:solidFill>
              <w14:schemeClr w14:val="tx1"/>
            </w14:solidFill>
          </w14:textFill>
        </w:rPr>
        <w:t>管理创新，新疆</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生态环境厅</w:t>
      </w:r>
      <w:r>
        <w:rPr>
          <w:rFonts w:hint="eastAsia" w:ascii="仿宋" w:hAnsi="仿宋" w:eastAsia="仿宋" w:cs="仿宋"/>
          <w:bCs/>
          <w:color w:val="000000" w:themeColor="text1"/>
          <w:kern w:val="2"/>
          <w:sz w:val="28"/>
          <w:szCs w:val="28"/>
          <w:highlight w:val="none"/>
          <w14:textFill>
            <w14:solidFill>
              <w14:schemeClr w14:val="tx1"/>
            </w14:solidFill>
          </w14:textFill>
        </w:rPr>
        <w:t>正大力推行便民</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服务</w:t>
      </w:r>
      <w:r>
        <w:rPr>
          <w:rFonts w:hint="eastAsia" w:ascii="仿宋" w:hAnsi="仿宋" w:eastAsia="仿宋" w:cs="仿宋"/>
          <w:bCs/>
          <w:color w:val="000000" w:themeColor="text1"/>
          <w:kern w:val="2"/>
          <w:sz w:val="28"/>
          <w:szCs w:val="28"/>
          <w:highlight w:val="none"/>
          <w14:textFill>
            <w14:solidFill>
              <w14:schemeClr w14:val="tx1"/>
            </w14:solidFill>
          </w14:textFill>
        </w:rPr>
        <w:t>、提速增效措施，逐步实现“无纸化办公”。为适应“无纸化办公”发展趋势，系统需要实现对网上系统生成的电子文件进行归档的功能，实现从以上业务系统中获取电子文件数据，并通过数据转换、人工调整和校核等操作后及时归档为成品电子档案，提高档案的归档及查询利用效率。除此之外，</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生态环境厅</w:t>
      </w:r>
      <w:r>
        <w:rPr>
          <w:rFonts w:hint="eastAsia" w:ascii="仿宋" w:hAnsi="仿宋" w:eastAsia="仿宋" w:cs="仿宋"/>
          <w:bCs/>
          <w:color w:val="000000" w:themeColor="text1"/>
          <w:kern w:val="2"/>
          <w:sz w:val="28"/>
          <w:szCs w:val="28"/>
          <w:highlight w:val="none"/>
          <w14:textFill>
            <w14:solidFill>
              <w14:schemeClr w14:val="tx1"/>
            </w14:solidFill>
          </w14:textFill>
        </w:rPr>
        <w:t>管理业务中的多个业务流程都发生了改变，新系统需要适应新的业务流程。</w:t>
      </w:r>
    </w:p>
    <w:p w14:paraId="576F11D6">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数字化加工技术的升级。</w:t>
      </w:r>
      <w:r>
        <w:rPr>
          <w:rFonts w:hint="eastAsia" w:ascii="仿宋" w:hAnsi="仿宋" w:eastAsia="仿宋" w:cs="仿宋"/>
          <w:bCs/>
          <w:color w:val="000000" w:themeColor="text1"/>
          <w:kern w:val="2"/>
          <w:sz w:val="28"/>
          <w:szCs w:val="28"/>
          <w:highlight w:val="none"/>
          <w14:textFill>
            <w14:solidFill>
              <w14:schemeClr w14:val="tx1"/>
            </w14:solidFill>
          </w14:textFill>
        </w:rPr>
        <w:t>在扫描和影像处理技术上，目前的技术水平已有飞速发展和提高。系统有必要应用最新的图像压缩处理、自动加密存储和虚拟文件技术，以提高电子档案影像质量和数字化加工过程的安全性。</w:t>
      </w:r>
    </w:p>
    <w:p w14:paraId="3F9879AA">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8" w:firstLineChars="74"/>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2、性能需求</w:t>
      </w:r>
    </w:p>
    <w:p w14:paraId="6E98423C">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（1）可用性：系统操作灵活方便、好记易学、实用高效。</w:t>
      </w:r>
    </w:p>
    <w:p w14:paraId="0F68DAC3">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（2）可靠性：系统应经过完善的设计和充分的测试运行，具备在较长时间内连续无故障的运行能力。</w:t>
      </w:r>
    </w:p>
    <w:p w14:paraId="6F87CB12">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（3）健壮性：系统应具备较强的容错、数据恢复与稳定运行的能力。</w:t>
      </w:r>
    </w:p>
    <w:p w14:paraId="363FF39A">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（4）安全性：系统应提供全面、有效的系统安全机制，能有效防止数据外泄和非法用户入侵。</w:t>
      </w:r>
    </w:p>
    <w:p w14:paraId="4E2D95F8">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（5）开放性：系统具备开放的标准化体系结构，可方便地与其它业务系统衔接。</w:t>
      </w:r>
    </w:p>
    <w:p w14:paraId="0D6A08D4">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（6）扩展性：要求易于扩展和升级，能够根据用户的具体需求快速、方便地扩展原系统的功能，以更好地满足用户新增和变更的业务需求。</w:t>
      </w:r>
    </w:p>
    <w:p w14:paraId="1B7E6FB2">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8" w:firstLineChars="74"/>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3、安全需求</w:t>
      </w:r>
    </w:p>
    <w:p w14:paraId="79031FDE">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（1）统一登录和身份认证</w:t>
      </w:r>
    </w:p>
    <w:p w14:paraId="23FA25A7">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提供统一的认证服务器，建立统一的安全认证和访问控制机制，实现统一登录，确保系统安全。</w:t>
      </w:r>
    </w:p>
    <w:p w14:paraId="537CAFC2">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（2）访问控制</w:t>
      </w:r>
    </w:p>
    <w:p w14:paraId="5E2E5495">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用户所能够访问的信息需受到严格控制，确保控制用户在指定密级范围、在指定的查询范围，在指定的计算机资源，杜绝非法访问。</w:t>
      </w:r>
    </w:p>
    <w:p w14:paraId="65FB7CA0">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（3）安全日志</w:t>
      </w:r>
    </w:p>
    <w:p w14:paraId="747B534D">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系统能够记录每个用户所执行的操作并尽可能完整记录，不仅可以在平时进行调阅监控，在出现问题时还可以分清责任。</w:t>
      </w:r>
    </w:p>
    <w:p w14:paraId="4F1CDC4F">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8" w:firstLineChars="74"/>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4、接口需求</w:t>
      </w:r>
    </w:p>
    <w:p w14:paraId="036E766A">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系统在建设过程中，需要充分考虑内部和外部的各种接口，确保系统具有良好的可扩展性。有关需求分析如下：</w:t>
      </w:r>
    </w:p>
    <w:p w14:paraId="076CBD25">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（1）不同系统</w:t>
      </w:r>
    </w:p>
    <w:p w14:paraId="2D2FC86F">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在局域网，原有档案系统的数据、新的业务系统产生的电子档案都必须全部导入档案综合管理系统。</w:t>
      </w:r>
    </w:p>
    <w:p w14:paraId="3AFF6071">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（2）不同网域</w:t>
      </w:r>
    </w:p>
    <w:p w14:paraId="7B275534">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外网和</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生态环境厅</w:t>
      </w:r>
      <w:r>
        <w:rPr>
          <w:rFonts w:hint="eastAsia" w:ascii="仿宋" w:hAnsi="仿宋" w:eastAsia="仿宋" w:cs="仿宋"/>
          <w:bCs/>
          <w:color w:val="000000" w:themeColor="text1"/>
          <w:kern w:val="2"/>
          <w:sz w:val="28"/>
          <w:szCs w:val="28"/>
          <w:highlight w:val="none"/>
          <w14:textFill>
            <w14:solidFill>
              <w14:schemeClr w14:val="tx1"/>
            </w14:solidFill>
          </w14:textFill>
        </w:rPr>
        <w:t>内部网之间的访问、数据交换及数据导入。</w:t>
      </w:r>
    </w:p>
    <w:p w14:paraId="50782E83">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（3）不同单位</w:t>
      </w:r>
    </w:p>
    <w:p w14:paraId="5917C3B6">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自治区</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生态环境厅</w:t>
      </w:r>
      <w:r>
        <w:rPr>
          <w:rFonts w:hint="eastAsia" w:ascii="仿宋" w:hAnsi="仿宋" w:eastAsia="仿宋" w:cs="仿宋"/>
          <w:bCs/>
          <w:color w:val="000000" w:themeColor="text1"/>
          <w:kern w:val="2"/>
          <w:sz w:val="28"/>
          <w:szCs w:val="28"/>
          <w:highlight w:val="none"/>
          <w14:textFill>
            <w14:solidFill>
              <w14:schemeClr w14:val="tx1"/>
            </w14:solidFill>
          </w14:textFill>
        </w:rPr>
        <w:t>和所属的地市</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生态环境局</w:t>
      </w:r>
      <w:r>
        <w:rPr>
          <w:rFonts w:hint="eastAsia" w:ascii="仿宋" w:hAnsi="仿宋" w:eastAsia="仿宋" w:cs="仿宋"/>
          <w:bCs/>
          <w:color w:val="000000" w:themeColor="text1"/>
          <w:kern w:val="2"/>
          <w:sz w:val="28"/>
          <w:szCs w:val="28"/>
          <w:highlight w:val="none"/>
          <w14:textFill>
            <w14:solidFill>
              <w14:schemeClr w14:val="tx1"/>
            </w14:solidFill>
          </w14:textFill>
        </w:rPr>
        <w:t>企业信息和档案数据的实时同步和访问。</w:t>
      </w:r>
    </w:p>
    <w:p w14:paraId="012C5E31">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8" w:firstLineChars="74"/>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5、其它需求</w:t>
      </w:r>
    </w:p>
    <w:p w14:paraId="3F533B91">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（1）项目要求采用跨平台、标准的、开放的、技术成熟的、先进的应用集成技术进行系统建设。</w:t>
      </w:r>
    </w:p>
    <w:p w14:paraId="6064D7CA">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（2）项目设计应符合档案信息化建设长期发展战略要求，系统设计综合先进性、实用性与扩展性的特点。</w:t>
      </w:r>
    </w:p>
    <w:p w14:paraId="151C0612">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（3）各个应用系统虽在物理隔离的外网和内网，都是数字档案的组成部分，必须与现有、计划继续使用的应用软件一起整合，做到无缝衔接，构成一个完整的系统体系。</w:t>
      </w:r>
    </w:p>
    <w:p w14:paraId="5FC7D507">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（4）项目建设应确保应用系统与档案信息数据运行安全可靠。</w:t>
      </w:r>
    </w:p>
    <w:p w14:paraId="33E5B8BE">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（5）项目设计应支持多种结构与格式的档案数据管理。</w:t>
      </w:r>
    </w:p>
    <w:p w14:paraId="68A505C7">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（6）系统应提供档案数据各种标准化转换接口，按照本</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部门</w:t>
      </w:r>
      <w:r>
        <w:rPr>
          <w:rFonts w:hint="eastAsia" w:ascii="仿宋" w:hAnsi="仿宋" w:eastAsia="仿宋" w:cs="仿宋"/>
          <w:bCs/>
          <w:color w:val="000000" w:themeColor="text1"/>
          <w:kern w:val="2"/>
          <w:sz w:val="28"/>
          <w:szCs w:val="28"/>
          <w:highlight w:val="none"/>
          <w14:textFill>
            <w14:solidFill>
              <w14:schemeClr w14:val="tx1"/>
            </w14:solidFill>
          </w14:textFill>
        </w:rPr>
        <w:t>提供的相关数据格式交换标准，进行大批量的数据格式转换功能。</w:t>
      </w:r>
    </w:p>
    <w:p w14:paraId="03952E31">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（7）系统应支持海量（T级）的档案数据的运转与管理，支持海量数据库智能检索、跨库检索、二次检索等等多种检索途径。</w:t>
      </w:r>
    </w:p>
    <w:p w14:paraId="0EC6D3A4">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14:textFill>
            <w14:solidFill>
              <w14:schemeClr w14:val="tx1"/>
            </w14:solidFill>
          </w14:textFill>
        </w:rPr>
        <w:t>（8）系统应具有标准化的数据导出能力，按用户需要，全部或有选择地批量导出各种类型档案数据。</w:t>
      </w:r>
    </w:p>
    <w:p w14:paraId="000723B0">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8" w:firstLineChars="74"/>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6、功能需求</w:t>
      </w:r>
    </w:p>
    <w:p w14:paraId="5C840987">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8" w:firstLineChars="74"/>
        <w:rPr>
          <w:rFonts w:ascii="仿宋" w:hAnsi="仿宋" w:eastAsia="仿宋" w:cs="仿宋"/>
          <w:b/>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（1）对原系统功能模块进行全面升级，以满足新的要求。</w:t>
      </w:r>
    </w:p>
    <w:p w14:paraId="0F39B314">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随着</w:t>
      </w:r>
      <w:r>
        <w:rPr>
          <w:rFonts w:hint="eastAsia" w:ascii="仿宋" w:hAnsi="仿宋" w:eastAsia="仿宋" w:cs="仿宋"/>
          <w:bCs/>
          <w:color w:val="000000" w:themeColor="text1"/>
          <w:kern w:val="2"/>
          <w:sz w:val="28"/>
          <w:szCs w:val="28"/>
          <w:highlight w:val="none"/>
          <w14:textFill>
            <w14:solidFill>
              <w14:schemeClr w14:val="tx1"/>
            </w14:solidFill>
          </w14:textFill>
        </w:rPr>
        <w:t>近两年随着信息化的发展，档案的采集、管理、查询、利用等方式都发生了较大的改变，为了适应业务需求和应用效率提高的需要迫切需要对原系统的一些功能做一升级，主要包含一下几个方面：</w:t>
      </w:r>
    </w:p>
    <w:p w14:paraId="66D55321">
      <w:pPr>
        <w:pStyle w:val="16"/>
        <w:keepNext w:val="0"/>
        <w:keepLines w:val="0"/>
        <w:pageBreakBefore w:val="0"/>
        <w:shd w:val="clear" w:color="auto" w:fill="FFFFFF"/>
        <w:tabs>
          <w:tab w:val="left" w:pos="850"/>
        </w:tabs>
        <w:kinsoku/>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档案门类管理按照所见即所得的方式由用户自行定义，包括用户的各类界面、数据规则、档号规则等，通过门类的管理系统具有更好的扩展性和灵活性，可以满足各种业务类型的档案；</w:t>
      </w:r>
    </w:p>
    <w:p w14:paraId="1C7EE397">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增加在线归档、Excel导入和离线接收，档案的采集手段更加丰富；</w:t>
      </w:r>
    </w:p>
    <w:p w14:paraId="27F91CD0">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在档案的接收、归档、移交等环节增加四性检测功能，确保的档案的完整性、真实性、可用性和安全性；</w:t>
      </w:r>
    </w:p>
    <w:p w14:paraId="262FF6B0">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通过对档案元数据的采集，完善档案全生命周期的管理，实现对档案的追根朔源；</w:t>
      </w:r>
    </w:p>
    <w:p w14:paraId="2A857FF2">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组合式、卡片式、多关键字等检索手段的升级改造完善档案综合检索、全域检索、跨类检索和全库检索功能；</w:t>
      </w:r>
    </w:p>
    <w:p w14:paraId="29E4CE49">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档案的统计功能更加丰富，馆藏统计以柱状图、饼状图等直观的形式展现馆藏总量、年度归档的情况，利用统计按照用户浏览、下载、借用等情况分门别类进行统计。</w:t>
      </w:r>
    </w:p>
    <w:p w14:paraId="1755B76C">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按照档案馆的移交技术规范生成离线移交数据包，实现电子档案的离线移交。</w:t>
      </w:r>
    </w:p>
    <w:p w14:paraId="379F8821">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完成与CA接口的对接工作。一是档案管理系统接收CA推送的全程化业务过程中的相关数据，二是CA接收档案管理系统的返回信息，根据返回信息确保数据的一致性和完整性。</w:t>
      </w:r>
    </w:p>
    <w:p w14:paraId="44249574">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打印、下载方式升级。改变原来的按目录打印、下载升级为按卷、按企业下载、打印。</w:t>
      </w:r>
    </w:p>
    <w:p w14:paraId="402ECE2D">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显示、浏览模式升级。对档案的显示、浏览方式进行优化和升级，以适应不同格式的档案文件。</w:t>
      </w:r>
    </w:p>
    <w:p w14:paraId="027DDE9E">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kern w:val="2"/>
          <w:sz w:val="28"/>
          <w:szCs w:val="28"/>
          <w:highlight w:val="none"/>
          <w14:textFill>
            <w14:solidFill>
              <w14:schemeClr w14:val="tx1"/>
            </w14:solidFill>
          </w14:textFill>
        </w:rPr>
        <w:t>系统结构、数据接口、数据库的优化。目前原有系统中对查询文件、数据库都比较稳定，但因为系统中需要增加文件打包、整体文件下载以及其他并发任务功能，需要对系统的一些结构、数据接口、数据库等进行调整和优化，以提高系统运行效率。</w:t>
      </w:r>
    </w:p>
    <w:p w14:paraId="5436252A">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 xml:space="preserve">  （2）原有功能模块的优化。对原有系统中效率不高、使用不方便的一些功能模块进行优化，以改善用户体验。</w:t>
      </w:r>
    </w:p>
    <w:p w14:paraId="672D7A4E">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kern w:val="2"/>
          <w:sz w:val="28"/>
          <w:szCs w:val="28"/>
          <w:highlight w:val="none"/>
          <w14:textFill>
            <w14:solidFill>
              <w14:schemeClr w14:val="tx1"/>
            </w14:solidFill>
          </w14:textFill>
        </w:rPr>
        <w:t xml:space="preserve"> 在档案新建时，系统调取数据中心推送的基本信息自动填写新的信息。</w:t>
      </w:r>
    </w:p>
    <w:p w14:paraId="26A5F412">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kern w:val="2"/>
          <w:sz w:val="28"/>
          <w:szCs w:val="28"/>
          <w:highlight w:val="none"/>
          <w14:textFill>
            <w14:solidFill>
              <w14:schemeClr w14:val="tx1"/>
            </w14:solidFill>
          </w14:textFill>
        </w:rPr>
        <w:t xml:space="preserve"> 和业务系统对接环节业务流程做调整：迁移档案时先做档案迁移，检查后确认再做业务系统迁移。</w:t>
      </w:r>
    </w:p>
    <w:p w14:paraId="0863B979">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kern w:val="2"/>
          <w:sz w:val="28"/>
          <w:szCs w:val="28"/>
          <w:highlight w:val="none"/>
          <w14:textFill>
            <w14:solidFill>
              <w14:schemeClr w14:val="tx1"/>
            </w14:solidFill>
          </w14:textFill>
        </w:rPr>
        <w:t xml:space="preserve"> 通过接口方式实现</w:t>
      </w:r>
      <w:r>
        <w:rPr>
          <w:rFonts w:hint="eastAsia" w:ascii="仿宋" w:hAnsi="仿宋" w:eastAsia="仿宋" w:cs="仿宋"/>
          <w:bCs/>
          <w:color w:val="000000" w:themeColor="text1"/>
          <w:kern w:val="2"/>
          <w:sz w:val="28"/>
          <w:szCs w:val="28"/>
          <w:highlight w:val="none"/>
          <w:lang w:eastAsia="zh-CN"/>
          <w14:textFill>
            <w14:solidFill>
              <w14:schemeClr w14:val="tx1"/>
            </w14:solidFill>
          </w14:textFill>
        </w:rPr>
        <w:t>上下级</w:t>
      </w:r>
      <w:r>
        <w:rPr>
          <w:rFonts w:hint="eastAsia" w:ascii="仿宋" w:hAnsi="仿宋" w:eastAsia="仿宋" w:cs="仿宋"/>
          <w:bCs/>
          <w:color w:val="000000" w:themeColor="text1"/>
          <w:kern w:val="2"/>
          <w:sz w:val="28"/>
          <w:szCs w:val="28"/>
          <w:highlight w:val="none"/>
          <w14:textFill>
            <w14:solidFill>
              <w14:schemeClr w14:val="tx1"/>
            </w14:solidFill>
          </w14:textFill>
        </w:rPr>
        <w:t>档案系统之间的数据交换。</w:t>
      </w:r>
    </w:p>
    <w:p w14:paraId="1E9CFB4B">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bCs/>
          <w:color w:val="000000" w:themeColor="text1"/>
          <w:kern w:val="2"/>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kern w:val="2"/>
          <w:sz w:val="28"/>
          <w:szCs w:val="28"/>
          <w:highlight w:val="none"/>
          <w14:textFill>
            <w14:solidFill>
              <w14:schemeClr w14:val="tx1"/>
            </w14:solidFill>
          </w14:textFill>
        </w:rPr>
        <w:t xml:space="preserve"> 调取数据中心推送数据和档案管理系统对比，保证数据完整性。</w:t>
      </w:r>
    </w:p>
    <w:p w14:paraId="13F3DC49">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（3）新增部分功能</w:t>
      </w:r>
    </w:p>
    <w:p w14:paraId="07720FA8">
      <w:pPr>
        <w:pStyle w:val="7"/>
        <w:keepNext w:val="0"/>
        <w:keepLines w:val="0"/>
        <w:pageBreakBefore w:val="0"/>
        <w:numPr>
          <w:ilvl w:val="0"/>
          <w:numId w:val="2"/>
        </w:numPr>
        <w:wordWrap/>
        <w:overflowPunct/>
        <w:topLinePunct w:val="0"/>
        <w:autoSpaceDE/>
        <w:autoSpaceDN/>
        <w:bidi w:val="0"/>
        <w:spacing w:before="100" w:line="560" w:lineRule="exact"/>
        <w:ind w:firstLine="207" w:firstLineChars="74"/>
        <w:jc w:val="both"/>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卡片查询：一是条件查询：支持按自然人身份证号、统一社会信用代码、注册号等条件查询主体企业的基本信息。可以将查询出的结果导出Excel表格，可以按预设的卡片模板将查询出的所有数据生成PDF文件打包为ZIP，供客户下载使用。二是模板查询：系统预设3个模板：自然人身份证号、统一信用代码；用户可自主下载对应模板并填写数据后上传模板至前端浏览器，将会查出所上传模板数据相关的数据；可以将查询出的结果导出Excel表格，可以按预设的卡片模板将查询出的所有数据生成PDF文件、加盖登记机关公章后打包为ZIP，供客户下载使用。</w:t>
      </w:r>
    </w:p>
    <w:p w14:paraId="6AF769F4">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8" w:firstLineChars="74"/>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lang w:eastAsia="zh-CN"/>
          <w14:textFill>
            <w14:solidFill>
              <w14:schemeClr w14:val="tx1"/>
            </w14:solidFill>
          </w14:textFill>
        </w:rPr>
        <w:t>7</w:t>
      </w:r>
      <w:r>
        <w:rPr>
          <w:rFonts w:hint="eastAsia" w:ascii="仿宋" w:hAnsi="仿宋" w:eastAsia="仿宋" w:cs="仿宋"/>
          <w:b/>
          <w:bCs/>
          <w:color w:val="000000" w:themeColor="text1"/>
          <w:kern w:val="2"/>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14:textFill>
            <w14:solidFill>
              <w14:schemeClr w14:val="tx1"/>
            </w14:solidFill>
          </w14:textFill>
        </w:rPr>
        <w:t>电子档案接口开发</w:t>
      </w:r>
    </w:p>
    <w:p w14:paraId="241D1DA2">
      <w:pPr>
        <w:pStyle w:val="16"/>
        <w:keepNext w:val="0"/>
        <w:keepLines w:val="0"/>
        <w:pageBreakBefore w:val="0"/>
        <w:shd w:val="clear" w:color="auto" w:fill="FFFFFF"/>
        <w:tabs>
          <w:tab w:val="left" w:pos="850"/>
        </w:tabs>
        <w:wordWrap/>
        <w:overflowPunct/>
        <w:topLinePunct w:val="0"/>
        <w:bidi w:val="0"/>
        <w:spacing w:beforeAutospacing="0" w:after="0" w:afterAutospacing="0" w:line="560" w:lineRule="exact"/>
        <w:ind w:firstLine="207" w:firstLineChars="74"/>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电子档案接口开发，通过标准化接口技术，实现档案管理系统与OA系统、业务审批系统、上级档案平台、人事管理系统等三方系统的数据互通、文件互传、流程互联，完成电子文件自动采集、在线归档、授权利用、状态回传等功能，实现档案全流程电子化、无纸化管理。</w:t>
      </w:r>
    </w:p>
    <w:p w14:paraId="349F69E7">
      <w:pPr>
        <w:spacing w:line="360" w:lineRule="auto"/>
        <w:ind w:firstLine="562" w:firstLineChars="200"/>
        <w:rPr>
          <w:rFonts w:hint="eastAsia" w:ascii="仿宋" w:hAnsi="仿宋" w:eastAsia="仿宋" w:cs="仿宋"/>
          <w:b/>
          <w:color w:val="000000" w:themeColor="text1"/>
          <w:sz w:val="28"/>
          <w:szCs w:val="28"/>
          <w:highlight w:val="none"/>
          <w:lang w:val="en-US" w:eastAsia="zh-CN"/>
          <w14:textFill>
            <w14:solidFill>
              <w14:schemeClr w14:val="tx1"/>
            </w14:solidFill>
          </w14:textFill>
        </w:rPr>
      </w:pPr>
    </w:p>
    <w:p w14:paraId="6A243B33">
      <w:pPr>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8</w:t>
      </w:r>
      <w:r>
        <w:rPr>
          <w:rFonts w:hint="eastAsia" w:ascii="仿宋" w:hAnsi="仿宋" w:eastAsia="仿宋" w:cs="仿宋"/>
          <w:b/>
          <w:color w:val="000000" w:themeColor="text1"/>
          <w:sz w:val="28"/>
          <w:szCs w:val="28"/>
          <w:highlight w:val="none"/>
          <w14:textFill>
            <w14:solidFill>
              <w14:schemeClr w14:val="tx1"/>
            </w14:solidFill>
          </w14:textFill>
        </w:rPr>
        <w:t>. 合同的变更、修改、中止和终止</w:t>
      </w:r>
    </w:p>
    <w:p w14:paraId="4517AC08">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交货进度有重大影响时，乙方应在收到上述修改通知书后的14个工作日内，提出影响合同价格和／或交货（完工）期的详细说明。双方同意后经双方法人代表或授权代表签字并经主管部门审核盖章后生效。将修改后的有关部分抄送原合同有关单位。</w:t>
      </w:r>
    </w:p>
    <w:p w14:paraId="24B0A916">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.2 如果乙方有违反或拒绝执行本合同规定的行为时，甲方将用书面通知乙方，乙方在接到通知书后5个工作日内确认无误后应对违反或拒绝做出修正，如果认为在5个工作日内来不及纠正时，应提出修正计划。如果得不到纠正或提不出修正计划，甲方将保留暂停履行本合同的一部份或全部的权利。对于这种暂停，甲方将不出具变更通知书，由此而发生的一切费用、损失和索赔将由乙方负担。</w:t>
      </w:r>
    </w:p>
    <w:p w14:paraId="5F391FDB">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.3 根据</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.2条款规定，如果甲方行使暂停权利后，甲方有权停付到期应向乙方支付暂停部分的款项，并有权将在执行合同中，预付给乙方的暂停部分款项索回。</w:t>
      </w:r>
    </w:p>
    <w:p w14:paraId="683FC435">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.4 在合同执行过程中，若因国家计划调整而引起本合同无法正常执行时，乙方或甲方可以向对方提出暂停执行合同或修改合同有关条款的建议，与之有关的事宜双方协商办理。</w:t>
      </w:r>
    </w:p>
    <w:p w14:paraId="11CAAFF0">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.5 在合同执行过程中，若因乙方产品质量低劣或合同履行困难，甲方有权利终止合同并另择供货人。</w:t>
      </w:r>
    </w:p>
    <w:p w14:paraId="63102DDA">
      <w:pPr>
        <w:spacing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color w:val="000000" w:themeColor="text1"/>
          <w:sz w:val="28"/>
          <w:szCs w:val="28"/>
          <w:highlight w:val="none"/>
          <w14:textFill>
            <w14:solidFill>
              <w14:schemeClr w14:val="tx1"/>
            </w14:solidFill>
          </w14:textFill>
        </w:rPr>
        <w:t>. 不可抗力</w:t>
      </w:r>
    </w:p>
    <w:p w14:paraId="24FBC965">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.1 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14:paraId="0143E12D">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14:paraId="04C325EF">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.3 如双方对不可抗力事件的影响估计将延续到一百二十天以上时，双方应通过友好协商解决本合同的执行问题（包括交货，安装、试运行和验收等问题）。</w:t>
      </w:r>
    </w:p>
    <w:p w14:paraId="5D621A68">
      <w:pPr>
        <w:spacing w:line="360" w:lineRule="auto"/>
        <w:ind w:firstLine="560"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.4 如果不可抗力使交货时间严重影响了工程进度(如参与项目人员跟不上、投入设备数量不足等原因),甲方有权终止合同，遗留问题由双方通过友好协商妥善解决</w:t>
      </w:r>
      <w:r>
        <w:rPr>
          <w:rFonts w:hint="eastAsia" w:ascii="仿宋" w:hAnsi="仿宋" w:eastAsia="仿宋" w:cs="仿宋"/>
          <w:b/>
          <w:color w:val="000000" w:themeColor="text1"/>
          <w:sz w:val="28"/>
          <w:szCs w:val="28"/>
          <w:highlight w:val="none"/>
          <w14:textFill>
            <w14:solidFill>
              <w14:schemeClr w14:val="tx1"/>
            </w14:solidFill>
          </w14:textFill>
        </w:rPr>
        <w:t>。</w:t>
      </w:r>
    </w:p>
    <w:p w14:paraId="1384C047">
      <w:pPr>
        <w:spacing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b/>
          <w:color w:val="000000" w:themeColor="text1"/>
          <w:sz w:val="28"/>
          <w:szCs w:val="28"/>
          <w:highlight w:val="none"/>
          <w14:textFill>
            <w14:solidFill>
              <w14:schemeClr w14:val="tx1"/>
            </w14:solidFill>
          </w14:textFill>
        </w:rPr>
        <w:t>. 合同争议的解决</w:t>
      </w:r>
    </w:p>
    <w:p w14:paraId="3F80A5D8">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.1 本合同适用法律为中华人民共和国法律。</w:t>
      </w:r>
    </w:p>
    <w:p w14:paraId="18D27056">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.2 凡与本合同有关而引起的一切争议，双方应通过友好协商解决，如经协商仍不能达成协议时，任何一方均有权将争议提交人民法院审理。</w:t>
      </w:r>
    </w:p>
    <w:p w14:paraId="48059100">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.3 双方约定的有审判管辖权的审判机关为：甲方所在地法院</w:t>
      </w:r>
      <w:r>
        <w:rPr>
          <w:rFonts w:hint="eastAsia" w:ascii="仿宋" w:hAnsi="仿宋" w:eastAsia="仿宋" w:cs="仿宋"/>
          <w:color w:val="000000" w:themeColor="text1"/>
          <w:sz w:val="28"/>
          <w:szCs w:val="28"/>
          <w:highlight w:val="none"/>
          <w:shd w:val="clear" w:color="FFFFFF" w:fill="D9D9D9"/>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4FBD3DF2">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.4 法院判决对双方都有约束力。</w:t>
      </w:r>
    </w:p>
    <w:p w14:paraId="19597E69">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.5 上述过程发生的费用除另有规定外，应由败诉方承担。</w:t>
      </w:r>
    </w:p>
    <w:p w14:paraId="12704826">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.6 在法院判决期间，除提交法院判决的事项外，合同仍应继续履行。</w:t>
      </w:r>
    </w:p>
    <w:p w14:paraId="0BC96B6C">
      <w:pPr>
        <w:spacing w:line="360" w:lineRule="auto"/>
        <w:ind w:firstLine="562" w:firstLineChars="200"/>
        <w:outlineLvl w:val="1"/>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t>. 税费</w:t>
      </w:r>
    </w:p>
    <w:p w14:paraId="0C58FD44">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.1 根据国家有关税务的法律、法规和规定，乙方应该交纳的与本合同有关的税费，由乙方承担。</w:t>
      </w:r>
    </w:p>
    <w:p w14:paraId="2B188DE0">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.2 本合同价格为含税价。乙方提供的服务所有税费已全部包含在合同价格内，由乙方承担。</w:t>
      </w:r>
    </w:p>
    <w:p w14:paraId="489E08DF">
      <w:pPr>
        <w:spacing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b/>
          <w:color w:val="000000" w:themeColor="text1"/>
          <w:sz w:val="28"/>
          <w:szCs w:val="28"/>
          <w:highlight w:val="none"/>
          <w14:textFill>
            <w14:solidFill>
              <w14:schemeClr w14:val="tx1"/>
            </w14:solidFill>
          </w14:textFill>
        </w:rPr>
        <w:t>.本合同其它相关内容</w:t>
      </w:r>
    </w:p>
    <w:p w14:paraId="6C1822E5">
      <w:pPr>
        <w:spacing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w:t>
      </w:r>
      <w:r>
        <w:rPr>
          <w:rFonts w:hint="eastAsia" w:ascii="仿宋" w:hAnsi="仿宋" w:eastAsia="仿宋" w:cs="仿宋"/>
          <w:b/>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color w:val="000000" w:themeColor="text1"/>
          <w:sz w:val="28"/>
          <w:szCs w:val="28"/>
          <w:highlight w:val="none"/>
          <w14:textFill>
            <w14:solidFill>
              <w14:schemeClr w14:val="tx1"/>
            </w14:solidFill>
          </w14:textFill>
        </w:rPr>
        <w:t>.1安全、保密要求：</w:t>
      </w:r>
    </w:p>
    <w:p w14:paraId="21D448BF">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甲方审核乙方服务公司的背景情况，乙方为不得有外资背景和外籍人员的公司，乙方不得将加工服务的内容外包给第三方；双方必须签订安全保密协议，乙方公司负责对所有进行数字化加工的工作人员进行严格的考核、审查，进行保密教育、法律、法规教育，必须认真遵守国家保密法律、法规和规章制度，履行保密义务，实行军事化管理，不提供虚假个人信息，提供身份证原件及复印件、劳动合同复印件，随时备查，并不得随意更换工作人员，自愿接受保密审查，签订保密协议。</w:t>
      </w:r>
    </w:p>
    <w:p w14:paraId="2C0212A3">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乙方公司负责对全部工作场地工作时间无缝隙录音录像监控，全部工作完成后将视频录像资料刻录成光盘交招标单位留存。</w:t>
      </w:r>
    </w:p>
    <w:p w14:paraId="0FE37E55">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扫描现场的计算机及其他设备不能以任何方式连接广域网、局域网。封闭计算机上的所有输出接口（除扫描接口外），所有的设备外壳接地屏蔽，严防数据泄密。</w:t>
      </w:r>
    </w:p>
    <w:p w14:paraId="32EEEA78">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扫描现场的计算机上的存储设备（包括软驱、硬盘、MO驱动器、活动硬盘等）不能私自携带进出工作现场、不得违规记录、存储、复制秘密信息，不违规留存秘密载体。</w:t>
      </w:r>
    </w:p>
    <w:p w14:paraId="701D9CC7">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 在扫描过程中，要保证档案的完整，不得损坏、丢失，严禁将档案带出工作区域，严禁修改档案内容。</w:t>
      </w:r>
    </w:p>
    <w:p w14:paraId="5FB3DD32">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 加强数字化加工人员管理，工作时间禁止一切会客，禁止将外人带进工作现场。</w:t>
      </w:r>
    </w:p>
    <w:p w14:paraId="63642E4F">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 未经甲方单位同意不得对数据进行拷贝、备份。</w:t>
      </w:r>
    </w:p>
    <w:p w14:paraId="0B0FED24">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 工作结束后应将所有涉及客户方资料的数据或加工文档交其保管并签收。所有留在计算上的数据必须在客户的监督下做彻底销毁，不得以任何方式泄露所接触和知悉机关秘密信息。</w:t>
      </w:r>
    </w:p>
    <w:p w14:paraId="71CDCA99">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（9）严禁在工作场所接听电话，所有进场人员手机统一集中管理，进出场地所有人员必须进行移动通信设备和存储设备检查。</w:t>
      </w:r>
    </w:p>
    <w:p w14:paraId="52E56DC5">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（10）外包公司若违反上述承诺，自愿承担法律后果。</w:t>
      </w:r>
    </w:p>
    <w:p w14:paraId="47F3527D">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（11）中标方必须严格遵守《中华人民共和国保密法》、《保密守则》以及《中华人民共和国档案法》等有关保密工作的规定。</w:t>
      </w:r>
    </w:p>
    <w:p w14:paraId="6DC57916">
      <w:pPr>
        <w:spacing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w:t>
      </w:r>
      <w:r>
        <w:rPr>
          <w:rFonts w:hint="eastAsia" w:ascii="仿宋" w:hAnsi="仿宋" w:eastAsia="仿宋" w:cs="仿宋"/>
          <w:b/>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color w:val="000000" w:themeColor="text1"/>
          <w:sz w:val="28"/>
          <w:szCs w:val="28"/>
          <w:highlight w:val="none"/>
          <w14:textFill>
            <w14:solidFill>
              <w14:schemeClr w14:val="tx1"/>
            </w14:solidFill>
          </w14:textFill>
        </w:rPr>
        <w:t>.2技术服务总体要求</w:t>
      </w:r>
    </w:p>
    <w:p w14:paraId="0B69F974">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（1）严格按照国家档案局《中华人民共和国行业标准（DA/T31—2017）纸质档案数字化技术规范》进行数字化加工；</w:t>
      </w:r>
    </w:p>
    <w:p w14:paraId="7B59C591">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在数据加工过程中严格按照数据加工工艺和流程进行操作，将质量管理渗透到工作的每一个环节；</w:t>
      </w:r>
    </w:p>
    <w:p w14:paraId="3768845A">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图像与目录分类、文件索引相匹配；</w:t>
      </w:r>
    </w:p>
    <w:p w14:paraId="1D8438EE">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数据库索引挂接正确率达95%；</w:t>
      </w:r>
    </w:p>
    <w:p w14:paraId="73A450C2">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 扫描影像原版原貌，扫描影像的清晰度与原件相近；</w:t>
      </w:r>
    </w:p>
    <w:p w14:paraId="317AEDE3">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 签署保密协议，保证资料的保密性和安全性，负责对所有进行数字化加工的工作人员进行严格的考核、审查，进行保密教育，法律、法规教育；</w:t>
      </w:r>
    </w:p>
    <w:p w14:paraId="4F260F34">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 数字化加工过程中及加工结束后若发现电子数据有质量问题、有差错出现，无条件更正和返工；</w:t>
      </w:r>
    </w:p>
    <w:p w14:paraId="0576C1D6">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 保证产品的分类、编排、存储方法等专业指标的正确性，须按规范要求进行；</w:t>
      </w:r>
    </w:p>
    <w:p w14:paraId="5F2EC377">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 严格校验、校对规范，通过电子校对、专人手工校对、质量督导组抽校等质量检验工序保证产品质量，保证产品无差错；</w:t>
      </w:r>
    </w:p>
    <w:p w14:paraId="556AB17F">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 数据加工过程中的每一环节要有完整的登记、严格的交接手续。</w:t>
      </w:r>
    </w:p>
    <w:p w14:paraId="410CE5C2">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合同产品的技术规范、技术经济指标和性能按双方签订的《技术协议附件二》。</w:t>
      </w:r>
    </w:p>
    <w:p w14:paraId="131F8DE9">
      <w:pPr>
        <w:spacing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w:t>
      </w:r>
      <w:r>
        <w:rPr>
          <w:rFonts w:hint="eastAsia" w:ascii="仿宋" w:hAnsi="仿宋" w:eastAsia="仿宋" w:cs="仿宋"/>
          <w:b/>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color w:val="000000" w:themeColor="text1"/>
          <w:sz w:val="28"/>
          <w:szCs w:val="28"/>
          <w:highlight w:val="none"/>
          <w14:textFill>
            <w14:solidFill>
              <w14:schemeClr w14:val="tx1"/>
            </w14:solidFill>
          </w14:textFill>
        </w:rPr>
        <w:t>.3项目实施要求</w:t>
      </w:r>
    </w:p>
    <w:p w14:paraId="68C4C86C">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数字化加工技术要求</w:t>
      </w:r>
    </w:p>
    <w:p w14:paraId="6E69BF21">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数字化加工生成的目录索引、各种格式的影像能够批量导入、导出现有的各种数据库要能与管理软件数据库中的目录进行批量挂接。</w:t>
      </w:r>
    </w:p>
    <w:p w14:paraId="11F5638F">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数字加工流程管理系统。对数字加工的每一个环节实行软件管理、软件控制、软件登记。保障数字加工的准确性、降低数字加工的错误率。</w:t>
      </w:r>
    </w:p>
    <w:p w14:paraId="5B54D135">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（2）并严格按照相关保密规定进行操作。</w:t>
      </w:r>
    </w:p>
    <w:p w14:paraId="7D57A953">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（3）扫描、录入保密要求</w:t>
      </w:r>
    </w:p>
    <w:p w14:paraId="0F6F6CD9">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要签订保密协议，保证扫描资料和数据处理各个环节的安全性和保密性，工作人员不得以任何形式向外界泄露、散播，确保最终用户资料不会遗失和泄漏。</w:t>
      </w:r>
    </w:p>
    <w:p w14:paraId="2868062C">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扫描分辨率：300dpi，扫描模式：彩色、灰度。</w:t>
      </w:r>
    </w:p>
    <w:p w14:paraId="48FF00EE">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供应商要根据上述要求编制合理可行的图像扫描、录入、质量检查、人员安排、提供使用的设备型号等方案。</w:t>
      </w:r>
    </w:p>
    <w:p w14:paraId="2EA44D43">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（4）图片处理</w:t>
      </w:r>
    </w:p>
    <w:p w14:paraId="7D240728">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严格控制产品的质量，差错率不得超过工作量的5％。</w:t>
      </w:r>
    </w:p>
    <w:p w14:paraId="06B29884">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对扫描形成的图像文件进行处理。对出现偏斜的图像应进行纠偏处理，以达到视觉上基本不感觉偏斜为准。对图像页面中出现影响图像质量的杂质，如整体文字外部的黑线、黑框、黑边等应进行去污、裁边等处理，处理过程中应遵循展现档案原貌为主和兼顾美观的原则。质量要求视觉清晰、页面完整、无黑边、无歪斜，差错率不得超过工作量的5％。</w:t>
      </w:r>
    </w:p>
    <w:p w14:paraId="3D479BD0">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原件装订：装订前检查档案数量是否正确，原件是否齐全；档案目录是否清晰并与档案实体相符；检查盒内文档的各种编号与盒面各项是否相符；检查文件排列顺序是否正确，文件放置方向是否正确。按照拆卷前的标准原样装订，必须保证恢复拆卷前的状态，不得有任何差错。</w:t>
      </w:r>
    </w:p>
    <w:p w14:paraId="5BCEACB9">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（6）验收要求</w:t>
      </w:r>
    </w:p>
    <w:p w14:paraId="0D7ABF4E">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项目完成后30个工作日内组织验收，确定参与验收人员，依据总体解决方案、技术要求和功能要求进行验收，验收要求：档案装订：检查所有档案的装订还原情况，差错率5‰。扫描图像：漏扫率≤1‰。</w:t>
      </w:r>
    </w:p>
    <w:p w14:paraId="1CD10F44">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图像质量：图像质量情况完好率99%。格式封装：图像文件的命名差错率≤5‰。著录：以案卷（文件）为单位，字段录入错误率≤5‰。</w:t>
      </w:r>
    </w:p>
    <w:p w14:paraId="2E6AB49A">
      <w:pPr>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条目与图像挂接：挂接正确率100%，验收结束提出验收报告，双方签字盖章。</w:t>
      </w:r>
    </w:p>
    <w:p w14:paraId="54184CE7">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（7）其它</w:t>
      </w:r>
      <w:r>
        <w:rPr>
          <w:rFonts w:hint="eastAsia" w:ascii="仿宋" w:hAnsi="仿宋" w:eastAsia="仿宋" w:cs="仿宋"/>
          <w:color w:val="000000" w:themeColor="text1"/>
          <w:sz w:val="28"/>
          <w:szCs w:val="28"/>
          <w:highlight w:val="none"/>
          <w14:textFill>
            <w14:solidFill>
              <w14:schemeClr w14:val="tx1"/>
            </w14:solidFill>
          </w14:textFill>
        </w:rPr>
        <w:tab/>
      </w:r>
    </w:p>
    <w:p w14:paraId="6049334B">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完成本项目扫描、录入等所需的设备、材料、器材等均由供应商自备。合同签订后，将项目实施所需设备运往指定的实施地点，做好各项准备工作。设备、工作环境、安全措施由招标人认可后，方能开始实施。</w:t>
      </w:r>
    </w:p>
    <w:p w14:paraId="523247E7">
      <w:pPr>
        <w:spacing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w:t>
      </w:r>
      <w:r>
        <w:rPr>
          <w:rFonts w:hint="eastAsia" w:ascii="仿宋" w:hAnsi="仿宋" w:eastAsia="仿宋" w:cs="仿宋"/>
          <w:b/>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color w:val="000000" w:themeColor="text1"/>
          <w:sz w:val="28"/>
          <w:szCs w:val="28"/>
          <w:highlight w:val="none"/>
          <w14:textFill>
            <w14:solidFill>
              <w14:schemeClr w14:val="tx1"/>
            </w14:solidFill>
          </w14:textFill>
        </w:rPr>
        <w:t>合同生效</w:t>
      </w:r>
    </w:p>
    <w:p w14:paraId="26119068">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.1 本合同于</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日由买卖双方法人代表或授权代表在</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签字。本合同经双方法人或授权代表签字并加盖合同章后生效。</w:t>
      </w:r>
    </w:p>
    <w:p w14:paraId="4655C87A">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本合同有效期从合同生效之日起至合同双方责任和义务履行完毕之日止质保期满后货款及加工服务费结清时止。</w:t>
      </w:r>
    </w:p>
    <w:p w14:paraId="105A7EA7">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.2 本合同一式6份，其中乙方执1份，甲方执5份。</w:t>
      </w:r>
    </w:p>
    <w:p w14:paraId="5FB76860">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.3合同范围内的所有服务必须由乙方提供，不得转包。甲方在监控过程中若发现有转包行为的且已形成事实，按转包金额的两倍进行罚款，罚金从服务款中扣除。</w:t>
      </w:r>
    </w:p>
    <w:p w14:paraId="65EBDA9F">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.4本合同项下双方相互提供的文件、资料、双方除为履行合同的目的外，均不得泄漏给无关的第三方。</w:t>
      </w:r>
    </w:p>
    <w:p w14:paraId="6115D932">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.5 本合同明确了双方全部的权利和义务。任何一方不享有或承担合同规定以外的权利和义务。</w:t>
      </w:r>
    </w:p>
    <w:p w14:paraId="3E03E92B">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.6 买、卖双方签订的《服务协议》、乙方的评标答疑记录、及其澄清函、变更函（或通知等）均为本合同的补充文件，是与本合同不可分割的一部分，与本合同同等具有法律效力。</w:t>
      </w:r>
    </w:p>
    <w:p w14:paraId="075A991F">
      <w:pPr>
        <w:spacing w:line="360" w:lineRule="auto"/>
        <w:ind w:firstLine="560"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.7 本合同未尽事宜双方协商解决。</w:t>
      </w:r>
    </w:p>
    <w:p w14:paraId="3A1E1ED7">
      <w:pPr>
        <w:spacing w:line="360" w:lineRule="auto"/>
        <w:ind w:firstLine="562" w:firstLineChars="200"/>
        <w:outlineLvl w:val="1"/>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bCs/>
          <w:color w:val="000000" w:themeColor="text1"/>
          <w:sz w:val="28"/>
          <w:szCs w:val="28"/>
          <w:highlight w:val="none"/>
          <w14:textFill>
            <w14:solidFill>
              <w14:schemeClr w14:val="tx1"/>
            </w14:solidFill>
          </w14:textFill>
        </w:rPr>
        <w:t>.违约责任</w:t>
      </w:r>
    </w:p>
    <w:p w14:paraId="352895FA">
      <w:pPr>
        <w:spacing w:line="360" w:lineRule="auto"/>
        <w:ind w:firstLine="562" w:firstLineChars="200"/>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乙方逾期提供服务的，乙方应按照逾期天数向甲方支付每日本合同标的总额10%的违约金，逾期超过约定期限</w:t>
      </w:r>
      <w:r>
        <w:rPr>
          <w:rFonts w:hint="eastAsia" w:ascii="仿宋" w:hAnsi="仿宋" w:eastAsia="仿宋" w:cs="仿宋"/>
          <w:color w:val="000000" w:themeColor="text1"/>
          <w:sz w:val="28"/>
          <w:szCs w:val="28"/>
          <w:highlight w:val="none"/>
          <w:u w:val="single"/>
          <w14:textFill>
            <w14:solidFill>
              <w14:schemeClr w14:val="tx1"/>
            </w14:solidFill>
          </w14:textFill>
        </w:rPr>
        <w:t xml:space="preserve">  30 </w:t>
      </w:r>
      <w:r>
        <w:rPr>
          <w:rFonts w:hint="eastAsia" w:ascii="仿宋" w:hAnsi="仿宋" w:eastAsia="仿宋" w:cs="仿宋"/>
          <w:color w:val="000000" w:themeColor="text1"/>
          <w:sz w:val="28"/>
          <w:szCs w:val="28"/>
          <w:highlight w:val="none"/>
          <w14:textFill>
            <w14:solidFill>
              <w14:schemeClr w14:val="tx1"/>
            </w14:solidFill>
          </w14:textFill>
        </w:rPr>
        <w:t>日不能按合同内容交付或提供服务的，经过</w:t>
      </w:r>
      <w:r>
        <w:rPr>
          <w:rFonts w:hint="eastAsia" w:ascii="仿宋" w:hAnsi="仿宋" w:eastAsia="仿宋" w:cs="仿宋"/>
          <w:color w:val="000000" w:themeColor="text1"/>
          <w:sz w:val="28"/>
          <w:szCs w:val="28"/>
          <w:highlight w:val="none"/>
          <w:u w:val="single"/>
          <w14:textFill>
            <w14:solidFill>
              <w14:schemeClr w14:val="tx1"/>
            </w14:solidFill>
          </w14:textFill>
        </w:rPr>
        <w:t xml:space="preserve">  10 </w:t>
      </w:r>
      <w:r>
        <w:rPr>
          <w:rFonts w:hint="eastAsia" w:ascii="仿宋" w:hAnsi="仿宋" w:eastAsia="仿宋" w:cs="仿宋"/>
          <w:color w:val="000000" w:themeColor="text1"/>
          <w:sz w:val="28"/>
          <w:szCs w:val="28"/>
          <w:highlight w:val="none"/>
          <w14:textFill>
            <w14:solidFill>
              <w14:schemeClr w14:val="tx1"/>
            </w14:solidFill>
          </w14:textFill>
        </w:rPr>
        <w:t xml:space="preserve"> 天催告期后，甲方可以解除合同，乙方因违约行为造成甲方实际损失和预计损失超过违约金的，超出部分继续应当由乙方承担赔偿。</w:t>
      </w:r>
    </w:p>
    <w:p w14:paraId="1054E4DD">
      <w:pPr>
        <w:spacing w:line="360" w:lineRule="auto"/>
        <w:ind w:firstLine="562" w:firstLineChars="200"/>
        <w:outlineLvl w:val="1"/>
        <w:rPr>
          <w:rFonts w:ascii="仿宋" w:hAnsi="仿宋" w:eastAsia="仿宋" w:cs="仿宋"/>
          <w:color w:val="000000" w:themeColor="text1"/>
          <w:sz w:val="29"/>
          <w:szCs w:val="29"/>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bCs/>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乙方所提供的技术质量未达到双方约定标准，乙方应当向甲方支付本合同标的总额10%的违约金。</w:t>
      </w:r>
      <w:r>
        <w:rPr>
          <w:rFonts w:hint="eastAsia" w:ascii="仿宋" w:hAnsi="仿宋" w:eastAsia="仿宋" w:cs="仿宋"/>
          <w:color w:val="000000" w:themeColor="text1"/>
          <w:sz w:val="29"/>
          <w:szCs w:val="29"/>
          <w:highlight w:val="none"/>
          <w14:textFill>
            <w14:solidFill>
              <w14:schemeClr w14:val="tx1"/>
            </w14:solidFill>
          </w14:textFill>
        </w:rPr>
        <w:t>至乙方提供的项目成果符合甲方的技术要求时止。</w:t>
      </w:r>
    </w:p>
    <w:p w14:paraId="689FC8BC">
      <w:pPr>
        <w:pStyle w:val="2"/>
        <w:ind w:firstLine="5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9"/>
          <w:szCs w:val="29"/>
          <w:highlight w:val="none"/>
          <w14:textFill>
            <w14:solidFill>
              <w14:schemeClr w14:val="tx1"/>
            </w14:solidFill>
          </w14:textFill>
        </w:rPr>
        <w:t>1</w:t>
      </w:r>
      <w:r>
        <w:rPr>
          <w:rFonts w:hint="eastAsia" w:ascii="仿宋" w:hAnsi="仿宋" w:eastAsia="仿宋" w:cs="仿宋"/>
          <w:color w:val="000000" w:themeColor="text1"/>
          <w:sz w:val="29"/>
          <w:szCs w:val="29"/>
          <w:highlight w:val="none"/>
          <w:lang w:val="en-US" w:eastAsia="zh-CN"/>
          <w14:textFill>
            <w14:solidFill>
              <w14:schemeClr w14:val="tx1"/>
            </w14:solidFill>
          </w14:textFill>
        </w:rPr>
        <w:t>4</w:t>
      </w:r>
      <w:r>
        <w:rPr>
          <w:rFonts w:hint="eastAsia" w:ascii="仿宋" w:hAnsi="仿宋" w:eastAsia="仿宋" w:cs="仿宋"/>
          <w:color w:val="000000" w:themeColor="text1"/>
          <w:sz w:val="29"/>
          <w:szCs w:val="29"/>
          <w:highlight w:val="none"/>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本合同一式6份，其中乙方执2份，甲方执4份。</w:t>
      </w:r>
    </w:p>
    <w:p w14:paraId="065D3512">
      <w:pPr>
        <w:spacing w:line="360" w:lineRule="auto"/>
        <w:ind w:left="5600" w:hanging="5600" w:hangingChars="2000"/>
        <w:outlineLvl w:val="1"/>
        <w:rPr>
          <w:rFonts w:ascii="仿宋" w:hAnsi="仿宋" w:eastAsia="仿宋" w:cs="仿宋"/>
          <w:color w:val="000000" w:themeColor="text1"/>
          <w:sz w:val="28"/>
          <w:szCs w:val="28"/>
          <w:highlight w:val="none"/>
          <w14:textFill>
            <w14:solidFill>
              <w14:schemeClr w14:val="tx1"/>
            </w14:solidFill>
          </w14:textFill>
        </w:rPr>
      </w:pPr>
    </w:p>
    <w:p w14:paraId="453A3A68">
      <w:pPr>
        <w:spacing w:line="360" w:lineRule="auto"/>
        <w:ind w:left="5600" w:hanging="5600" w:hangingChars="2000"/>
        <w:outlineLvl w:val="1"/>
        <w:rPr>
          <w:rFonts w:ascii="仿宋" w:hAnsi="仿宋" w:eastAsia="仿宋" w:cs="仿宋"/>
          <w:color w:val="000000" w:themeColor="text1"/>
          <w:sz w:val="28"/>
          <w:szCs w:val="28"/>
          <w:highlight w:val="none"/>
          <w14:textFill>
            <w14:solidFill>
              <w14:schemeClr w14:val="tx1"/>
            </w14:solidFill>
          </w14:textFill>
        </w:rPr>
      </w:pPr>
    </w:p>
    <w:p w14:paraId="0F756698">
      <w:pPr>
        <w:spacing w:line="360" w:lineRule="auto"/>
        <w:ind w:left="6160" w:hanging="6160" w:hangingChars="2200"/>
        <w:outlineLvl w:val="1"/>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甲方：新疆维吾尔自治区生态环境厅       乙方：</w:t>
      </w:r>
    </w:p>
    <w:p w14:paraId="3B3E3EFD">
      <w:pPr>
        <w:spacing w:line="360" w:lineRule="auto"/>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法人代表：                              法人代表： </w:t>
      </w:r>
    </w:p>
    <w:p w14:paraId="4D814C76">
      <w:pPr>
        <w:spacing w:line="360" w:lineRule="auto"/>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委托代理人：                            委托代理人：</w:t>
      </w:r>
    </w:p>
    <w:p w14:paraId="66C01B22">
      <w:pPr>
        <w:spacing w:line="360" w:lineRule="auto"/>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    章：                              公    章：</w:t>
      </w:r>
    </w:p>
    <w:p w14:paraId="4A1736FF">
      <w:pPr>
        <w:spacing w:line="360" w:lineRule="auto"/>
        <w:outlineLvl w:val="1"/>
        <w:rPr>
          <w:rFonts w:ascii="仿宋" w:hAnsi="仿宋" w:eastAsia="仿宋" w:cs="仿宋"/>
          <w:color w:val="000000" w:themeColor="text1"/>
          <w:sz w:val="28"/>
          <w:szCs w:val="28"/>
          <w:highlight w:val="none"/>
          <w14:textFill>
            <w14:solidFill>
              <w14:schemeClr w14:val="tx1"/>
            </w14:solidFill>
          </w14:textFill>
        </w:rPr>
        <w:sectPr>
          <w:headerReference r:id="rId14" w:type="default"/>
          <w:footerReference r:id="rId15" w:type="default"/>
          <w:pgSz w:w="11907" w:h="16840"/>
          <w:pgMar w:top="1183" w:right="1133" w:bottom="1060" w:left="1701" w:header="841" w:footer="886" w:gutter="0"/>
          <w:cols w:space="720" w:num="1"/>
        </w:sectPr>
      </w:pPr>
      <w:r>
        <w:rPr>
          <w:rFonts w:hint="eastAsia" w:ascii="仿宋" w:hAnsi="仿宋" w:eastAsia="仿宋" w:cs="仿宋"/>
          <w:color w:val="000000" w:themeColor="text1"/>
          <w:sz w:val="28"/>
          <w:szCs w:val="28"/>
          <w:highlight w:val="none"/>
          <w14:textFill>
            <w14:solidFill>
              <w14:schemeClr w14:val="tx1"/>
            </w14:solidFill>
          </w14:textFill>
        </w:rPr>
        <w:t>签订日期：  年  月   日                 签订日期： 年 月  日</w:t>
      </w:r>
    </w:p>
    <w:p w14:paraId="73353AC3">
      <w:pPr>
        <w:ind w:left="-540" w:leftChars="-257"/>
        <w:rPr>
          <w:rStyle w:val="54"/>
          <w:rFonts w:ascii="仿宋" w:hAnsi="仿宋" w:eastAsia="仿宋" w:cs="仿宋"/>
          <w:b/>
          <w:color w:val="000000" w:themeColor="text1"/>
          <w:sz w:val="32"/>
          <w:szCs w:val="32"/>
          <w:highlight w:val="none"/>
          <w14:textFill>
            <w14:solidFill>
              <w14:schemeClr w14:val="tx1"/>
            </w14:solidFill>
          </w14:textFill>
        </w:rPr>
      </w:pPr>
    </w:p>
    <w:p w14:paraId="0A05CB4C">
      <w:pPr>
        <w:ind w:left="-540" w:leftChars="-257"/>
        <w:rPr>
          <w:rStyle w:val="54"/>
          <w:rFonts w:ascii="仿宋" w:hAnsi="仿宋" w:eastAsia="仿宋" w:cs="仿宋"/>
          <w:b/>
          <w:color w:val="000000" w:themeColor="text1"/>
          <w:sz w:val="32"/>
          <w:szCs w:val="32"/>
          <w:highlight w:val="none"/>
          <w14:textFill>
            <w14:solidFill>
              <w14:schemeClr w14:val="tx1"/>
            </w14:solidFill>
          </w14:textFill>
        </w:rPr>
      </w:pPr>
      <w:r>
        <w:rPr>
          <w:rStyle w:val="54"/>
          <w:rFonts w:hint="eastAsia" w:ascii="仿宋" w:hAnsi="仿宋" w:eastAsia="仿宋" w:cs="仿宋"/>
          <w:b/>
          <w:color w:val="000000" w:themeColor="text1"/>
          <w:sz w:val="32"/>
          <w:szCs w:val="32"/>
          <w:highlight w:val="none"/>
          <w14:textFill>
            <w14:solidFill>
              <w14:schemeClr w14:val="tx1"/>
            </w14:solidFill>
          </w14:textFill>
        </w:rPr>
        <w:t>附件：</w:t>
      </w:r>
    </w:p>
    <w:p w14:paraId="404505DF">
      <w:pPr>
        <w:ind w:left="-540" w:leftChars="-257"/>
        <w:jc w:val="center"/>
        <w:rPr>
          <w:rStyle w:val="54"/>
          <w:rFonts w:ascii="仿宋" w:hAnsi="仿宋" w:eastAsia="仿宋" w:cs="仿宋"/>
          <w:b/>
          <w:color w:val="000000" w:themeColor="text1"/>
          <w:sz w:val="32"/>
          <w:szCs w:val="32"/>
          <w:highlight w:val="none"/>
          <w14:textFill>
            <w14:solidFill>
              <w14:schemeClr w14:val="tx1"/>
            </w14:solidFill>
          </w14:textFill>
        </w:rPr>
      </w:pPr>
      <w:r>
        <w:rPr>
          <w:rStyle w:val="54"/>
          <w:rFonts w:hint="eastAsia" w:ascii="仿宋" w:hAnsi="仿宋" w:eastAsia="仿宋" w:cs="仿宋"/>
          <w:b/>
          <w:color w:val="000000" w:themeColor="text1"/>
          <w:sz w:val="32"/>
          <w:szCs w:val="32"/>
          <w:highlight w:val="none"/>
          <w14:textFill>
            <w14:solidFill>
              <w14:schemeClr w14:val="tx1"/>
            </w14:solidFill>
          </w14:textFill>
        </w:rPr>
        <w:t>保  密  协  议</w:t>
      </w:r>
    </w:p>
    <w:p w14:paraId="67E6E4D9">
      <w:pPr>
        <w:rPr>
          <w:rStyle w:val="54"/>
          <w:rFonts w:ascii="仿宋" w:hAnsi="仿宋" w:eastAsia="仿宋" w:cs="仿宋"/>
          <w:color w:val="000000" w:themeColor="text1"/>
          <w:highlight w:val="none"/>
          <w14:textFill>
            <w14:solidFill>
              <w14:schemeClr w14:val="tx1"/>
            </w14:solidFill>
          </w14:textFill>
        </w:rPr>
      </w:pPr>
    </w:p>
    <w:p w14:paraId="63EA46A5">
      <w:pPr>
        <w:spacing w:line="360" w:lineRule="auto"/>
        <w:ind w:left="2" w:leftChars="-256" w:hanging="540" w:hangingChars="168"/>
        <w:rPr>
          <w:rStyle w:val="54"/>
          <w:rFonts w:ascii="仿宋" w:hAnsi="仿宋" w:eastAsia="仿宋" w:cs="仿宋"/>
          <w:b/>
          <w:color w:val="000000" w:themeColor="text1"/>
          <w:sz w:val="28"/>
          <w:szCs w:val="28"/>
          <w:highlight w:val="none"/>
          <w14:textFill>
            <w14:solidFill>
              <w14:schemeClr w14:val="tx1"/>
            </w14:solidFill>
          </w14:textFill>
        </w:rPr>
      </w:pPr>
      <w:r>
        <w:rPr>
          <w:rStyle w:val="54"/>
          <w:rFonts w:hint="eastAsia" w:ascii="仿宋" w:hAnsi="仿宋" w:eastAsia="仿宋" w:cs="仿宋"/>
          <w:b/>
          <w:color w:val="000000" w:themeColor="text1"/>
          <w:sz w:val="32"/>
          <w:szCs w:val="32"/>
          <w:highlight w:val="none"/>
          <w14:textFill>
            <w14:solidFill>
              <w14:schemeClr w14:val="tx1"/>
            </w14:solidFill>
          </w14:textFill>
        </w:rPr>
        <w:t>甲方：</w:t>
      </w:r>
      <w:r>
        <w:rPr>
          <w:rFonts w:hint="eastAsia" w:ascii="仿宋" w:hAnsi="仿宋" w:eastAsia="仿宋" w:cs="仿宋"/>
          <w:b/>
          <w:color w:val="000000" w:themeColor="text1"/>
          <w:sz w:val="32"/>
          <w:szCs w:val="32"/>
          <w:highlight w:val="none"/>
          <w14:textFill>
            <w14:solidFill>
              <w14:schemeClr w14:val="tx1"/>
            </w14:solidFill>
          </w14:textFill>
        </w:rPr>
        <w:t>新疆维吾尔自治区生态环境厅</w:t>
      </w:r>
    </w:p>
    <w:p w14:paraId="757A221E">
      <w:pPr>
        <w:spacing w:line="360" w:lineRule="auto"/>
        <w:ind w:left="2" w:leftChars="-256" w:hanging="540" w:hangingChars="168"/>
        <w:rPr>
          <w:rStyle w:val="54"/>
          <w:rFonts w:ascii="仿宋" w:hAnsi="仿宋" w:eastAsia="仿宋" w:cs="仿宋"/>
          <w:b/>
          <w:color w:val="000000" w:themeColor="text1"/>
          <w:sz w:val="32"/>
          <w:szCs w:val="32"/>
          <w:highlight w:val="none"/>
          <w:lang w:eastAsia="zh-CN"/>
          <w14:textFill>
            <w14:solidFill>
              <w14:schemeClr w14:val="tx1"/>
            </w14:solidFill>
          </w14:textFill>
        </w:rPr>
      </w:pPr>
      <w:r>
        <w:rPr>
          <w:rStyle w:val="54"/>
          <w:rFonts w:hint="eastAsia" w:ascii="仿宋" w:hAnsi="仿宋" w:eastAsia="仿宋" w:cs="仿宋"/>
          <w:b/>
          <w:color w:val="000000" w:themeColor="text1"/>
          <w:sz w:val="32"/>
          <w:szCs w:val="32"/>
          <w:highlight w:val="none"/>
          <w14:textFill>
            <w14:solidFill>
              <w14:schemeClr w14:val="tx1"/>
            </w14:solidFill>
          </w14:textFill>
        </w:rPr>
        <w:t>乙方：</w:t>
      </w:r>
    </w:p>
    <w:p w14:paraId="47A6FF5D">
      <w:pPr>
        <w:spacing w:line="360" w:lineRule="auto"/>
        <w:ind w:left="-540" w:leftChars="-257" w:firstLine="560" w:firstLineChars="200"/>
        <w:rPr>
          <w:rStyle w:val="54"/>
          <w:rFonts w:ascii="仿宋" w:hAnsi="仿宋" w:eastAsia="仿宋" w:cs="仿宋"/>
          <w:color w:val="000000" w:themeColor="text1"/>
          <w:sz w:val="28"/>
          <w:szCs w:val="28"/>
          <w:highlight w:val="none"/>
          <w14:textFill>
            <w14:solidFill>
              <w14:schemeClr w14:val="tx1"/>
            </w14:solidFill>
          </w14:textFill>
        </w:rPr>
      </w:pPr>
      <w:r>
        <w:rPr>
          <w:rStyle w:val="54"/>
          <w:rFonts w:hint="eastAsia" w:ascii="仿宋" w:hAnsi="仿宋" w:eastAsia="仿宋" w:cs="仿宋"/>
          <w:color w:val="000000" w:themeColor="text1"/>
          <w:sz w:val="28"/>
          <w:szCs w:val="28"/>
          <w:highlight w:val="none"/>
          <w14:textFill>
            <w14:solidFill>
              <w14:schemeClr w14:val="tx1"/>
            </w14:solidFill>
          </w14:textFill>
        </w:rPr>
        <w:t>鉴于（以下简称乙方）为甲方提供档案整理、数字化扫描、档案信息目录服务，为在项目实施期间保证档案信息安全和项目实施期间以及实施完成以后保守因工作需要接触到甲方档案信息秘密等有关事项，经友好协商，达成如下条款，双方共同遵守：</w:t>
      </w:r>
    </w:p>
    <w:p w14:paraId="4ABC8157">
      <w:pPr>
        <w:spacing w:line="360" w:lineRule="auto"/>
        <w:ind w:left="-540" w:leftChars="-257"/>
        <w:rPr>
          <w:rStyle w:val="54"/>
          <w:rFonts w:ascii="仿宋" w:hAnsi="仿宋" w:eastAsia="仿宋" w:cs="仿宋"/>
          <w:color w:val="000000" w:themeColor="text1"/>
          <w:sz w:val="28"/>
          <w:szCs w:val="28"/>
          <w:highlight w:val="none"/>
          <w14:textFill>
            <w14:solidFill>
              <w14:schemeClr w14:val="tx1"/>
            </w14:solidFill>
          </w14:textFill>
        </w:rPr>
      </w:pPr>
      <w:r>
        <w:rPr>
          <w:rStyle w:val="54"/>
          <w:rFonts w:hint="eastAsia" w:ascii="仿宋" w:hAnsi="仿宋" w:eastAsia="仿宋" w:cs="仿宋"/>
          <w:color w:val="000000" w:themeColor="text1"/>
          <w:sz w:val="28"/>
          <w:szCs w:val="28"/>
          <w:highlight w:val="none"/>
          <w14:textFill>
            <w14:solidFill>
              <w14:schemeClr w14:val="tx1"/>
            </w14:solidFill>
          </w14:textFill>
        </w:rPr>
        <w:t xml:space="preserve">    一、双方确认：在项目实施期间，因工作需要接触到甲方的纸质档案、档案信息目录、工作秘密以及电子文件等，乙方必须保守秘密，不得以任何方式带出工作场所或向外泄露。乙方同时提供一切必要的方式和采取一切必要的行动，协助甲方保证档案安全和保守档案秘密。</w:t>
      </w:r>
    </w:p>
    <w:p w14:paraId="4E7A7061">
      <w:pPr>
        <w:spacing w:line="360" w:lineRule="auto"/>
        <w:ind w:left="-540" w:leftChars="-257" w:firstLine="560" w:firstLineChars="200"/>
        <w:rPr>
          <w:rStyle w:val="54"/>
          <w:rFonts w:ascii="仿宋" w:hAnsi="仿宋" w:eastAsia="仿宋" w:cs="仿宋"/>
          <w:color w:val="000000" w:themeColor="text1"/>
          <w:sz w:val="28"/>
          <w:szCs w:val="28"/>
          <w:highlight w:val="none"/>
          <w14:textFill>
            <w14:solidFill>
              <w14:schemeClr w14:val="tx1"/>
            </w14:solidFill>
          </w14:textFill>
        </w:rPr>
      </w:pPr>
      <w:r>
        <w:rPr>
          <w:rStyle w:val="54"/>
          <w:rFonts w:hint="eastAsia" w:ascii="仿宋" w:hAnsi="仿宋" w:eastAsia="仿宋" w:cs="仿宋"/>
          <w:color w:val="000000" w:themeColor="text1"/>
          <w:sz w:val="28"/>
          <w:szCs w:val="28"/>
          <w:highlight w:val="none"/>
          <w14:textFill>
            <w14:solidFill>
              <w14:schemeClr w14:val="tx1"/>
            </w14:solidFill>
          </w14:textFill>
        </w:rPr>
        <w:t>二、项目实施期间，乙方必须遵守甲方规定的任何成文或不成文的保密规章、制度，履行相应的保密职责。甲方的保密规章、制度没有规定或者规定不明确之处，乙方亦应本着谨慎、诚实的态度，采取任何必要、合理的措施，维护其在项目实施期间接触到的任何属于甲方或者虽属于第三方但甲方承诺有保密义务的档案相关材料，以保证其机密性。</w:t>
      </w:r>
    </w:p>
    <w:p w14:paraId="3AEA67F4">
      <w:pPr>
        <w:spacing w:line="360" w:lineRule="auto"/>
        <w:ind w:left="-540" w:leftChars="-257" w:firstLine="560" w:firstLineChars="200"/>
        <w:rPr>
          <w:rStyle w:val="54"/>
          <w:rFonts w:ascii="仿宋" w:hAnsi="仿宋" w:eastAsia="仿宋" w:cs="仿宋"/>
          <w:color w:val="000000" w:themeColor="text1"/>
          <w:sz w:val="28"/>
          <w:szCs w:val="28"/>
          <w:highlight w:val="none"/>
          <w14:textFill>
            <w14:solidFill>
              <w14:schemeClr w14:val="tx1"/>
            </w14:solidFill>
          </w14:textFill>
        </w:rPr>
      </w:pPr>
      <w:r>
        <w:rPr>
          <w:rStyle w:val="54"/>
          <w:rFonts w:hint="eastAsia" w:ascii="仿宋" w:hAnsi="仿宋" w:eastAsia="仿宋" w:cs="仿宋"/>
          <w:color w:val="000000" w:themeColor="text1"/>
          <w:sz w:val="28"/>
          <w:szCs w:val="28"/>
          <w:highlight w:val="none"/>
          <w14:textFill>
            <w14:solidFill>
              <w14:schemeClr w14:val="tx1"/>
            </w14:solidFill>
          </w14:textFill>
        </w:rPr>
        <w:t>三、除了项目实施期间必要的工作需要之外，乙方承诺：未经甲方同意，不得以泄露、告知、公布、发布、出版、传播、转让或者以其他任何方式，使任何第三方（包括按照保密制度的规定不得知悉该项秘密的其他工作人员）知悉属于甲方或者虽属于第三方，但甲方承诺有档案信息秘密及与档案信息相关的信息保密义务，也不得在项目实施期间或工作之外使用这些秘密信息。</w:t>
      </w:r>
    </w:p>
    <w:p w14:paraId="4A609AD5">
      <w:pPr>
        <w:spacing w:line="360" w:lineRule="auto"/>
        <w:ind w:left="-540" w:leftChars="-257" w:firstLine="560" w:firstLineChars="200"/>
        <w:rPr>
          <w:rStyle w:val="54"/>
          <w:rFonts w:ascii="仿宋" w:hAnsi="仿宋" w:eastAsia="仿宋" w:cs="仿宋"/>
          <w:color w:val="000000" w:themeColor="text1"/>
          <w:sz w:val="28"/>
          <w:szCs w:val="28"/>
          <w:highlight w:val="none"/>
          <w14:textFill>
            <w14:solidFill>
              <w14:schemeClr w14:val="tx1"/>
            </w14:solidFill>
          </w14:textFill>
        </w:rPr>
      </w:pPr>
      <w:r>
        <w:rPr>
          <w:rStyle w:val="54"/>
          <w:rFonts w:hint="eastAsia" w:ascii="仿宋" w:hAnsi="仿宋" w:eastAsia="仿宋" w:cs="仿宋"/>
          <w:color w:val="000000" w:themeColor="text1"/>
          <w:sz w:val="28"/>
          <w:szCs w:val="28"/>
          <w:highlight w:val="none"/>
          <w14:textFill>
            <w14:solidFill>
              <w14:schemeClr w14:val="tx1"/>
            </w14:solidFill>
          </w14:textFill>
        </w:rPr>
        <w:t>四、双方同意，乙方在项目完成后，仍对甲方档案加工期间接触或因接触而知悉的，属于甲方或者虽属于第三方，但甲方承诺有保密义务的档案信息秘密和其他与档案数字化加工相关的信息，承担有保密义务和不得以任何方式泄露的义务。</w:t>
      </w:r>
    </w:p>
    <w:p w14:paraId="771E8EF6">
      <w:pPr>
        <w:spacing w:line="360" w:lineRule="auto"/>
        <w:ind w:left="-544" w:leftChars="-259" w:firstLine="560" w:firstLineChars="200"/>
        <w:rPr>
          <w:rStyle w:val="54"/>
          <w:rFonts w:ascii="仿宋" w:hAnsi="仿宋" w:eastAsia="仿宋" w:cs="仿宋"/>
          <w:color w:val="000000" w:themeColor="text1"/>
          <w:sz w:val="28"/>
          <w:szCs w:val="28"/>
          <w:highlight w:val="none"/>
          <w14:textFill>
            <w14:solidFill>
              <w14:schemeClr w14:val="tx1"/>
            </w14:solidFill>
          </w14:textFill>
        </w:rPr>
      </w:pPr>
      <w:r>
        <w:rPr>
          <w:rStyle w:val="54"/>
          <w:rFonts w:hint="eastAsia" w:ascii="仿宋" w:hAnsi="仿宋" w:eastAsia="仿宋" w:cs="仿宋"/>
          <w:color w:val="000000" w:themeColor="text1"/>
          <w:sz w:val="28"/>
          <w:szCs w:val="28"/>
          <w:highlight w:val="none"/>
          <w14:textFill>
            <w14:solidFill>
              <w14:schemeClr w14:val="tx1"/>
            </w14:solidFill>
          </w14:textFill>
        </w:rPr>
        <w:t>五、乙方因项目实施工作上的需要所持有或保管的一切记录甲方档案信息的文件、资料、图表、笔记、报告、信件、及其他任何形式的载体，项目实施完成后必须及时处理。</w:t>
      </w:r>
    </w:p>
    <w:p w14:paraId="551096A9">
      <w:pPr>
        <w:spacing w:line="360" w:lineRule="auto"/>
        <w:ind w:left="-544" w:leftChars="-259" w:firstLine="560" w:firstLineChars="200"/>
        <w:rPr>
          <w:rStyle w:val="54"/>
          <w:rFonts w:ascii="仿宋" w:hAnsi="仿宋" w:eastAsia="仿宋" w:cs="仿宋"/>
          <w:color w:val="000000" w:themeColor="text1"/>
          <w:sz w:val="28"/>
          <w:szCs w:val="28"/>
          <w:highlight w:val="none"/>
          <w14:textFill>
            <w14:solidFill>
              <w14:schemeClr w14:val="tx1"/>
            </w14:solidFill>
          </w14:textFill>
        </w:rPr>
      </w:pPr>
    </w:p>
    <w:p w14:paraId="2BBD4A01">
      <w:pPr>
        <w:spacing w:line="360" w:lineRule="auto"/>
        <w:ind w:left="5771" w:leftChars="-257" w:hanging="6311" w:hangingChars="2254"/>
        <w:rPr>
          <w:rStyle w:val="54"/>
          <w:rFonts w:ascii="仿宋" w:hAnsi="仿宋" w:eastAsia="仿宋" w:cs="仿宋"/>
          <w:color w:val="000000" w:themeColor="text1"/>
          <w:sz w:val="28"/>
          <w:szCs w:val="28"/>
          <w:highlight w:val="none"/>
          <w:lang w:eastAsia="zh-CN"/>
          <w14:textFill>
            <w14:solidFill>
              <w14:schemeClr w14:val="tx1"/>
            </w14:solidFill>
          </w14:textFill>
        </w:rPr>
      </w:pPr>
      <w:r>
        <w:rPr>
          <w:rStyle w:val="54"/>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新疆维吾尔自治区生态环境厅</w:t>
      </w:r>
      <w:r>
        <w:rPr>
          <w:rStyle w:val="54"/>
          <w:rFonts w:hint="eastAsia" w:ascii="仿宋" w:hAnsi="仿宋" w:eastAsia="仿宋" w:cs="仿宋"/>
          <w:bCs/>
          <w:color w:val="000000" w:themeColor="text1"/>
          <w:sz w:val="28"/>
          <w:szCs w:val="28"/>
          <w:highlight w:val="none"/>
          <w14:textFill>
            <w14:solidFill>
              <w14:schemeClr w14:val="tx1"/>
            </w14:solidFill>
          </w14:textFill>
        </w:rPr>
        <w:t xml:space="preserve">       </w:t>
      </w:r>
      <w:r>
        <w:rPr>
          <w:rStyle w:val="54"/>
          <w:rFonts w:hint="eastAsia" w:ascii="仿宋" w:hAnsi="仿宋" w:eastAsia="仿宋" w:cs="仿宋"/>
          <w:color w:val="000000" w:themeColor="text1"/>
          <w:sz w:val="28"/>
          <w:szCs w:val="28"/>
          <w:highlight w:val="none"/>
          <w14:textFill>
            <w14:solidFill>
              <w14:schemeClr w14:val="tx1"/>
            </w14:solidFill>
          </w14:textFill>
        </w:rPr>
        <w:t>乙方：</w:t>
      </w:r>
    </w:p>
    <w:p w14:paraId="099ECA87">
      <w:pPr>
        <w:spacing w:line="360" w:lineRule="auto"/>
        <w:ind w:hanging="540"/>
        <w:rPr>
          <w:rStyle w:val="54"/>
          <w:rFonts w:ascii="仿宋" w:hAnsi="仿宋" w:eastAsia="仿宋" w:cs="仿宋"/>
          <w:color w:val="000000" w:themeColor="text1"/>
          <w:sz w:val="28"/>
          <w:szCs w:val="28"/>
          <w:highlight w:val="none"/>
          <w14:textFill>
            <w14:solidFill>
              <w14:schemeClr w14:val="tx1"/>
            </w14:solidFill>
          </w14:textFill>
        </w:rPr>
      </w:pPr>
      <w:r>
        <w:rPr>
          <w:rStyle w:val="54"/>
          <w:rFonts w:hint="eastAsia" w:ascii="仿宋" w:hAnsi="仿宋" w:eastAsia="仿宋" w:cs="仿宋"/>
          <w:color w:val="000000" w:themeColor="text1"/>
          <w:sz w:val="28"/>
          <w:szCs w:val="28"/>
          <w:highlight w:val="none"/>
          <w14:textFill>
            <w14:solidFill>
              <w14:schemeClr w14:val="tx1"/>
            </w14:solidFill>
          </w14:textFill>
        </w:rPr>
        <w:t>代表（签字）：                          代表（签字）：</w:t>
      </w:r>
    </w:p>
    <w:p w14:paraId="6B25314F">
      <w:pPr>
        <w:spacing w:line="360" w:lineRule="auto"/>
        <w:ind w:hanging="540"/>
        <w:rPr>
          <w:rStyle w:val="54"/>
          <w:rFonts w:ascii="仿宋" w:hAnsi="仿宋" w:eastAsia="仿宋" w:cs="仿宋"/>
          <w:color w:val="000000" w:themeColor="text1"/>
          <w:sz w:val="28"/>
          <w:szCs w:val="28"/>
          <w:highlight w:val="none"/>
          <w14:textFill>
            <w14:solidFill>
              <w14:schemeClr w14:val="tx1"/>
            </w14:solidFill>
          </w14:textFill>
        </w:rPr>
      </w:pPr>
    </w:p>
    <w:p w14:paraId="76CD1E6D">
      <w:pPr>
        <w:spacing w:line="360" w:lineRule="auto"/>
        <w:ind w:hanging="540"/>
        <w:rPr>
          <w:rStyle w:val="54"/>
          <w:rFonts w:ascii="仿宋" w:hAnsi="仿宋" w:eastAsia="仿宋" w:cs="仿宋"/>
          <w:color w:val="000000" w:themeColor="text1"/>
          <w:sz w:val="28"/>
          <w:szCs w:val="28"/>
          <w:highlight w:val="none"/>
          <w14:textFill>
            <w14:solidFill>
              <w14:schemeClr w14:val="tx1"/>
            </w14:solidFill>
          </w14:textFill>
        </w:rPr>
      </w:pPr>
      <w:r>
        <w:rPr>
          <w:rStyle w:val="54"/>
          <w:rFonts w:hint="eastAsia" w:ascii="仿宋" w:hAnsi="仿宋" w:eastAsia="仿宋" w:cs="仿宋"/>
          <w:color w:val="000000" w:themeColor="text1"/>
          <w:sz w:val="28"/>
          <w:szCs w:val="28"/>
          <w:highlight w:val="none"/>
          <w14:textFill>
            <w14:solidFill>
              <w14:schemeClr w14:val="tx1"/>
            </w14:solidFill>
          </w14:textFill>
        </w:rPr>
        <w:t>签订日期：   年  月  日                签订日期：  年  月  日</w:t>
      </w:r>
    </w:p>
    <w:p w14:paraId="20BF64A4">
      <w:pPr>
        <w:spacing w:line="360" w:lineRule="auto"/>
        <w:ind w:right="960"/>
        <w:rPr>
          <w:rStyle w:val="54"/>
          <w:rFonts w:ascii="仿宋" w:hAnsi="仿宋" w:eastAsia="仿宋" w:cs="仿宋"/>
          <w:color w:val="000000" w:themeColor="text1"/>
          <w:sz w:val="28"/>
          <w:szCs w:val="28"/>
          <w:highlight w:val="none"/>
          <w14:textFill>
            <w14:solidFill>
              <w14:schemeClr w14:val="tx1"/>
            </w14:solidFill>
          </w14:textFill>
        </w:rPr>
      </w:pPr>
    </w:p>
    <w:p w14:paraId="2450662D">
      <w:pPr>
        <w:spacing w:line="360" w:lineRule="auto"/>
        <w:ind w:right="960"/>
        <w:rPr>
          <w:rStyle w:val="54"/>
          <w:rFonts w:ascii="仿宋" w:hAnsi="仿宋" w:eastAsia="仿宋" w:cs="仿宋"/>
          <w:color w:val="000000" w:themeColor="text1"/>
          <w:sz w:val="28"/>
          <w:szCs w:val="28"/>
          <w:highlight w:val="none"/>
          <w14:textFill>
            <w14:solidFill>
              <w14:schemeClr w14:val="tx1"/>
            </w14:solidFill>
          </w14:textFill>
        </w:rPr>
      </w:pPr>
    </w:p>
    <w:p w14:paraId="45C04F61">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4455568B">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7CDAE51D">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63A57E15">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3E2A8340">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120CFDE7">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17A631AA">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0FF60ECD">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05AEA85F">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49439050">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11F97320">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68410AF6">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78289912">
      <w:pPr>
        <w:pStyle w:val="11"/>
        <w:spacing w:line="400" w:lineRule="exact"/>
        <w:outlineLvl w:val="0"/>
        <w:rPr>
          <w:rFonts w:ascii="仿宋" w:hAnsi="仿宋" w:eastAsia="仿宋" w:cs="仿宋"/>
          <w:b/>
          <w:color w:val="000000" w:themeColor="text1"/>
          <w:sz w:val="24"/>
          <w:highlight w:val="none"/>
          <w14:textFill>
            <w14:solidFill>
              <w14:schemeClr w14:val="tx1"/>
            </w14:solidFill>
          </w14:textFill>
        </w:rPr>
      </w:pPr>
    </w:p>
    <w:p w14:paraId="28E24726">
      <w:pPr>
        <w:spacing w:line="480" w:lineRule="exact"/>
        <w:outlineLvl w:val="1"/>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04339D85">
      <w:pPr>
        <w:pStyle w:val="2"/>
        <w:ind w:firstLine="560"/>
        <w:rPr>
          <w:rFonts w:ascii="仿宋" w:hAnsi="仿宋" w:eastAsia="仿宋" w:cs="仿宋"/>
          <w:color w:val="000000" w:themeColor="text1"/>
          <w:sz w:val="28"/>
          <w:szCs w:val="28"/>
          <w:highlight w:val="none"/>
          <w14:textFill>
            <w14:solidFill>
              <w14:schemeClr w14:val="tx1"/>
            </w14:solidFill>
          </w14:textFill>
        </w:rPr>
      </w:pPr>
    </w:p>
    <w:p w14:paraId="1F7F8DD7">
      <w:pPr>
        <w:pStyle w:val="2"/>
        <w:ind w:firstLine="560"/>
        <w:rPr>
          <w:rFonts w:ascii="仿宋" w:hAnsi="仿宋" w:eastAsia="仿宋" w:cs="仿宋"/>
          <w:color w:val="000000" w:themeColor="text1"/>
          <w:sz w:val="28"/>
          <w:szCs w:val="28"/>
          <w:highlight w:val="none"/>
          <w14:textFill>
            <w14:solidFill>
              <w14:schemeClr w14:val="tx1"/>
            </w14:solidFill>
          </w14:textFill>
        </w:rPr>
      </w:pPr>
    </w:p>
    <w:p w14:paraId="51FC1D56">
      <w:pPr>
        <w:pStyle w:val="2"/>
        <w:ind w:firstLine="560"/>
        <w:rPr>
          <w:rFonts w:ascii="仿宋" w:hAnsi="仿宋" w:eastAsia="仿宋" w:cs="仿宋"/>
          <w:color w:val="000000" w:themeColor="text1"/>
          <w:sz w:val="28"/>
          <w:szCs w:val="28"/>
          <w:highlight w:val="none"/>
          <w14:textFill>
            <w14:solidFill>
              <w14:schemeClr w14:val="tx1"/>
            </w14:solidFill>
          </w14:textFill>
        </w:rPr>
      </w:pPr>
    </w:p>
    <w:p w14:paraId="249F1658">
      <w:pPr>
        <w:pStyle w:val="2"/>
        <w:ind w:firstLine="560"/>
        <w:rPr>
          <w:rFonts w:ascii="仿宋" w:hAnsi="仿宋" w:eastAsia="仿宋" w:cs="仿宋"/>
          <w:color w:val="000000" w:themeColor="text1"/>
          <w:sz w:val="28"/>
          <w:szCs w:val="28"/>
          <w:highlight w:val="none"/>
          <w14:textFill>
            <w14:solidFill>
              <w14:schemeClr w14:val="tx1"/>
            </w14:solidFill>
          </w14:textFill>
        </w:rPr>
      </w:pPr>
    </w:p>
    <w:p w14:paraId="27ACA19E">
      <w:pPr>
        <w:pStyle w:val="2"/>
        <w:ind w:firstLine="560"/>
        <w:rPr>
          <w:rFonts w:ascii="仿宋" w:hAnsi="仿宋" w:eastAsia="仿宋" w:cs="仿宋"/>
          <w:color w:val="000000" w:themeColor="text1"/>
          <w:sz w:val="28"/>
          <w:szCs w:val="28"/>
          <w:highlight w:val="none"/>
          <w14:textFill>
            <w14:solidFill>
              <w14:schemeClr w14:val="tx1"/>
            </w14:solidFill>
          </w14:textFill>
        </w:rPr>
      </w:pPr>
    </w:p>
    <w:p w14:paraId="3723EA06">
      <w:pPr>
        <w:spacing w:before="295" w:line="205" w:lineRule="auto"/>
        <w:ind w:left="2644"/>
        <w:outlineLvl w:val="0"/>
        <w:rPr>
          <w:rFonts w:ascii="仿宋" w:hAnsi="仿宋" w:eastAsia="仿宋" w:cs="仿宋"/>
          <w:b/>
          <w:bCs/>
          <w:color w:val="000000" w:themeColor="text1"/>
          <w:spacing w:val="7"/>
          <w:sz w:val="35"/>
          <w:szCs w:val="35"/>
          <w:highlight w:val="none"/>
          <w:lang w:eastAsia="zh-CN"/>
          <w14:textFill>
            <w14:solidFill>
              <w14:schemeClr w14:val="tx1"/>
            </w14:solidFill>
          </w14:textFill>
        </w:rPr>
      </w:pPr>
      <w:bookmarkStart w:id="66" w:name="_Toc23905"/>
      <w:bookmarkStart w:id="67" w:name="_Toc15198"/>
      <w:bookmarkStart w:id="68" w:name="_Toc1401"/>
    </w:p>
    <w:p w14:paraId="1F7729D2">
      <w:pPr>
        <w:spacing w:before="295" w:line="205" w:lineRule="auto"/>
        <w:ind w:left="2644"/>
        <w:outlineLvl w:val="0"/>
        <w:rPr>
          <w:rFonts w:ascii="仿宋" w:hAnsi="仿宋" w:eastAsia="仿宋" w:cs="仿宋"/>
          <w:color w:val="000000" w:themeColor="text1"/>
          <w:sz w:val="35"/>
          <w:szCs w:val="35"/>
          <w:highlight w:val="none"/>
          <w:lang w:eastAsia="zh-CN"/>
          <w14:textFill>
            <w14:solidFill>
              <w14:schemeClr w14:val="tx1"/>
            </w14:solidFill>
          </w14:textFill>
        </w:rPr>
      </w:pPr>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t>第六章</w:t>
      </w:r>
      <w:r>
        <w:rPr>
          <w:rFonts w:hint="eastAsia" w:ascii="仿宋" w:hAnsi="仿宋" w:eastAsia="仿宋" w:cs="仿宋"/>
          <w:b/>
          <w:bCs/>
          <w:color w:val="000000" w:themeColor="text1"/>
          <w:spacing w:val="10"/>
          <w:sz w:val="35"/>
          <w:szCs w:val="35"/>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t>响应文件格式</w:t>
      </w:r>
      <w:bookmarkEnd w:id="66"/>
      <w:bookmarkEnd w:id="67"/>
      <w:bookmarkEnd w:id="68"/>
    </w:p>
    <w:p w14:paraId="6BB8F09B">
      <w:pPr>
        <w:pStyle w:val="7"/>
        <w:spacing w:line="280" w:lineRule="auto"/>
        <w:rPr>
          <w:rFonts w:ascii="仿宋" w:hAnsi="仿宋" w:eastAsia="仿宋" w:cs="仿宋"/>
          <w:color w:val="000000" w:themeColor="text1"/>
          <w:highlight w:val="none"/>
          <w:lang w:eastAsia="zh-CN"/>
          <w14:textFill>
            <w14:solidFill>
              <w14:schemeClr w14:val="tx1"/>
            </w14:solidFill>
          </w14:textFill>
        </w:rPr>
      </w:pPr>
    </w:p>
    <w:p w14:paraId="7F19D06D">
      <w:pPr>
        <w:pStyle w:val="7"/>
        <w:spacing w:line="281" w:lineRule="auto"/>
        <w:rPr>
          <w:rFonts w:ascii="仿宋" w:hAnsi="仿宋" w:eastAsia="仿宋" w:cs="仿宋"/>
          <w:color w:val="000000" w:themeColor="text1"/>
          <w:highlight w:val="none"/>
          <w:lang w:eastAsia="zh-CN"/>
          <w14:textFill>
            <w14:solidFill>
              <w14:schemeClr w14:val="tx1"/>
            </w14:solidFill>
          </w14:textFill>
        </w:rPr>
      </w:pPr>
    </w:p>
    <w:p w14:paraId="208C054A">
      <w:pPr>
        <w:spacing w:line="200" w:lineRule="auto"/>
        <w:rPr>
          <w:rFonts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供应商编制文件须知</w:t>
      </w:r>
    </w:p>
    <w:p w14:paraId="6C4FEB91">
      <w:pPr>
        <w:spacing w:line="200" w:lineRule="auto"/>
        <w:rPr>
          <w:rFonts w:ascii="仿宋" w:hAnsi="仿宋" w:eastAsia="仿宋" w:cs="仿宋"/>
          <w:b/>
          <w:bCs/>
          <w:color w:val="000000" w:themeColor="text1"/>
          <w:sz w:val="24"/>
          <w:szCs w:val="24"/>
          <w:highlight w:val="none"/>
          <w:lang w:eastAsia="zh-CN"/>
          <w14:textFill>
            <w14:solidFill>
              <w14:schemeClr w14:val="tx1"/>
            </w14:solidFill>
          </w14:textFill>
        </w:rPr>
      </w:pPr>
    </w:p>
    <w:p w14:paraId="11416D8A">
      <w:pPr>
        <w:spacing w:line="200" w:lineRule="auto"/>
        <w:rPr>
          <w:rFonts w:ascii="仿宋" w:hAnsi="仿宋" w:eastAsia="仿宋" w:cs="仿宋"/>
          <w:b/>
          <w:bCs/>
          <w:color w:val="000000" w:themeColor="text1"/>
          <w:sz w:val="24"/>
          <w:szCs w:val="24"/>
          <w:highlight w:val="none"/>
          <w:lang w:eastAsia="zh-CN"/>
          <w14:textFill>
            <w14:solidFill>
              <w14:schemeClr w14:val="tx1"/>
            </w14:solidFill>
          </w14:textFill>
        </w:rPr>
      </w:pPr>
    </w:p>
    <w:p w14:paraId="553DC748">
      <w:pPr>
        <w:spacing w:line="360" w:lineRule="auto"/>
        <w:rPr>
          <w:rFonts w:ascii="仿宋" w:hAnsi="仿宋" w:eastAsia="仿宋" w:cs="仿宋"/>
          <w:b/>
          <w:bCs/>
          <w:color w:val="000000" w:themeColor="text1"/>
          <w:sz w:val="24"/>
          <w:szCs w:val="24"/>
          <w:highlight w:val="none"/>
          <w:lang w:eastAsia="zh-CN"/>
          <w14:textFill>
            <w14:solidFill>
              <w14:schemeClr w14:val="tx1"/>
            </w14:solidFill>
          </w14:textFill>
        </w:rPr>
      </w:pPr>
    </w:p>
    <w:p w14:paraId="4EA2704C">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1、供应商按照本部分的顺序编制响应文件，编制中涉及格式资料的，应按照本部分提</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供的内容和格式（所有表格的格式可扩展）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填写提交。</w:t>
      </w:r>
    </w:p>
    <w:p w14:paraId="727567CB">
      <w:pPr>
        <w:pStyle w:val="7"/>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2、对于竞争性磋商文件中标记了“实质性格式</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”文件的，供应商不得改变格式中给定的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文字所表达的含义，不得删减格式中的实质性内容，不得自行添加与格式中给定的文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字内容相矛盾的内容，不得对应当填写的空格不填写或不实质性响应，</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否则响应无效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未标记“实质性格式</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”的文件和竞争性磋商文件未提供格式的内容，可由供应商自行编</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写。</w:t>
      </w:r>
    </w:p>
    <w:p w14:paraId="4E985FC8">
      <w:pPr>
        <w:spacing w:line="360" w:lineRule="auto"/>
        <w:rPr>
          <w:rFonts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3、全部声明和问题的回答及所附材料必须是真实的、准确的和完整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w:t>
      </w:r>
    </w:p>
    <w:p w14:paraId="7E6B8169">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08A29FC8">
      <w:pPr>
        <w:rPr>
          <w:rFonts w:ascii="仿宋" w:hAnsi="仿宋" w:eastAsia="仿宋" w:cs="仿宋"/>
          <w:color w:val="000000" w:themeColor="text1"/>
          <w:highlight w:val="none"/>
          <w:lang w:eastAsia="zh-CN"/>
          <w14:textFill>
            <w14:solidFill>
              <w14:schemeClr w14:val="tx1"/>
            </w14:solidFill>
          </w14:textFill>
        </w:rPr>
      </w:pPr>
    </w:p>
    <w:p w14:paraId="750CE559">
      <w:pPr>
        <w:rPr>
          <w:rFonts w:ascii="仿宋" w:hAnsi="仿宋" w:eastAsia="仿宋" w:cs="仿宋"/>
          <w:color w:val="000000" w:themeColor="text1"/>
          <w:highlight w:val="none"/>
          <w:lang w:eastAsia="zh-CN"/>
          <w14:textFill>
            <w14:solidFill>
              <w14:schemeClr w14:val="tx1"/>
            </w14:solidFill>
          </w14:textFill>
        </w:rPr>
      </w:pPr>
    </w:p>
    <w:p w14:paraId="4C56E717">
      <w:pPr>
        <w:rPr>
          <w:rFonts w:ascii="仿宋" w:hAnsi="仿宋" w:eastAsia="仿宋" w:cs="仿宋"/>
          <w:color w:val="000000" w:themeColor="text1"/>
          <w:highlight w:val="none"/>
          <w:lang w:eastAsia="zh-CN"/>
          <w14:textFill>
            <w14:solidFill>
              <w14:schemeClr w14:val="tx1"/>
            </w14:solidFill>
          </w14:textFill>
        </w:rPr>
      </w:pPr>
    </w:p>
    <w:p w14:paraId="41F605DD">
      <w:pPr>
        <w:rPr>
          <w:rFonts w:ascii="仿宋" w:hAnsi="仿宋" w:eastAsia="仿宋" w:cs="仿宋"/>
          <w:color w:val="000000" w:themeColor="text1"/>
          <w:highlight w:val="none"/>
          <w:lang w:eastAsia="zh-CN"/>
          <w14:textFill>
            <w14:solidFill>
              <w14:schemeClr w14:val="tx1"/>
            </w14:solidFill>
          </w14:textFill>
        </w:rPr>
      </w:pPr>
    </w:p>
    <w:p w14:paraId="63DC854E">
      <w:pPr>
        <w:rPr>
          <w:rFonts w:ascii="仿宋" w:hAnsi="仿宋" w:eastAsia="仿宋" w:cs="仿宋"/>
          <w:color w:val="000000" w:themeColor="text1"/>
          <w:highlight w:val="none"/>
          <w:lang w:eastAsia="zh-CN"/>
          <w14:textFill>
            <w14:solidFill>
              <w14:schemeClr w14:val="tx1"/>
            </w14:solidFill>
          </w14:textFill>
        </w:rPr>
      </w:pPr>
    </w:p>
    <w:p w14:paraId="47A46284">
      <w:pPr>
        <w:rPr>
          <w:rFonts w:ascii="仿宋" w:hAnsi="仿宋" w:eastAsia="仿宋" w:cs="仿宋"/>
          <w:color w:val="000000" w:themeColor="text1"/>
          <w:highlight w:val="none"/>
          <w:lang w:eastAsia="zh-CN"/>
          <w14:textFill>
            <w14:solidFill>
              <w14:schemeClr w14:val="tx1"/>
            </w14:solidFill>
          </w14:textFill>
        </w:rPr>
      </w:pPr>
    </w:p>
    <w:p w14:paraId="56D05CE6">
      <w:pPr>
        <w:rPr>
          <w:rFonts w:ascii="仿宋" w:hAnsi="仿宋" w:eastAsia="仿宋" w:cs="仿宋"/>
          <w:color w:val="000000" w:themeColor="text1"/>
          <w:highlight w:val="none"/>
          <w:lang w:eastAsia="zh-CN"/>
          <w14:textFill>
            <w14:solidFill>
              <w14:schemeClr w14:val="tx1"/>
            </w14:solidFill>
          </w14:textFill>
        </w:rPr>
      </w:pPr>
    </w:p>
    <w:p w14:paraId="58C7D56E">
      <w:pPr>
        <w:rPr>
          <w:rFonts w:ascii="仿宋" w:hAnsi="仿宋" w:eastAsia="仿宋" w:cs="仿宋"/>
          <w:color w:val="000000" w:themeColor="text1"/>
          <w:highlight w:val="none"/>
          <w:lang w:eastAsia="zh-CN"/>
          <w14:textFill>
            <w14:solidFill>
              <w14:schemeClr w14:val="tx1"/>
            </w14:solidFill>
          </w14:textFill>
        </w:rPr>
      </w:pPr>
    </w:p>
    <w:p w14:paraId="322650A2">
      <w:pPr>
        <w:rPr>
          <w:rFonts w:ascii="仿宋" w:hAnsi="仿宋" w:eastAsia="仿宋" w:cs="仿宋"/>
          <w:color w:val="000000" w:themeColor="text1"/>
          <w:highlight w:val="none"/>
          <w:lang w:eastAsia="zh-CN"/>
          <w14:textFill>
            <w14:solidFill>
              <w14:schemeClr w14:val="tx1"/>
            </w14:solidFill>
          </w14:textFill>
        </w:rPr>
      </w:pPr>
    </w:p>
    <w:p w14:paraId="7B61AA1F">
      <w:pPr>
        <w:rPr>
          <w:rFonts w:ascii="仿宋" w:hAnsi="仿宋" w:eastAsia="仿宋" w:cs="仿宋"/>
          <w:color w:val="000000" w:themeColor="text1"/>
          <w:highlight w:val="none"/>
          <w:lang w:eastAsia="zh-CN"/>
          <w14:textFill>
            <w14:solidFill>
              <w14:schemeClr w14:val="tx1"/>
            </w14:solidFill>
          </w14:textFill>
        </w:rPr>
      </w:pPr>
    </w:p>
    <w:p w14:paraId="2566029E">
      <w:pPr>
        <w:rPr>
          <w:rFonts w:ascii="仿宋" w:hAnsi="仿宋" w:eastAsia="仿宋" w:cs="仿宋"/>
          <w:color w:val="000000" w:themeColor="text1"/>
          <w:highlight w:val="none"/>
          <w:lang w:eastAsia="zh-CN"/>
          <w14:textFill>
            <w14:solidFill>
              <w14:schemeClr w14:val="tx1"/>
            </w14:solidFill>
          </w14:textFill>
        </w:rPr>
      </w:pPr>
    </w:p>
    <w:p w14:paraId="048B923E">
      <w:pPr>
        <w:rPr>
          <w:rFonts w:ascii="仿宋" w:hAnsi="仿宋" w:eastAsia="仿宋" w:cs="仿宋"/>
          <w:color w:val="000000" w:themeColor="text1"/>
          <w:highlight w:val="none"/>
          <w:lang w:eastAsia="zh-CN"/>
          <w14:textFill>
            <w14:solidFill>
              <w14:schemeClr w14:val="tx1"/>
            </w14:solidFill>
          </w14:textFill>
        </w:rPr>
      </w:pPr>
    </w:p>
    <w:p w14:paraId="3864742C">
      <w:pPr>
        <w:rPr>
          <w:rFonts w:ascii="仿宋" w:hAnsi="仿宋" w:eastAsia="仿宋" w:cs="仿宋"/>
          <w:color w:val="000000" w:themeColor="text1"/>
          <w:highlight w:val="none"/>
          <w:lang w:eastAsia="zh-CN"/>
          <w14:textFill>
            <w14:solidFill>
              <w14:schemeClr w14:val="tx1"/>
            </w14:solidFill>
          </w14:textFill>
        </w:rPr>
      </w:pPr>
    </w:p>
    <w:p w14:paraId="134188B7">
      <w:pPr>
        <w:rPr>
          <w:rFonts w:ascii="仿宋" w:hAnsi="仿宋" w:eastAsia="仿宋" w:cs="仿宋"/>
          <w:color w:val="000000" w:themeColor="text1"/>
          <w:highlight w:val="none"/>
          <w:lang w:eastAsia="zh-CN"/>
          <w14:textFill>
            <w14:solidFill>
              <w14:schemeClr w14:val="tx1"/>
            </w14:solidFill>
          </w14:textFill>
        </w:rPr>
      </w:pPr>
    </w:p>
    <w:p w14:paraId="1BE51692">
      <w:pPr>
        <w:rPr>
          <w:rFonts w:ascii="仿宋" w:hAnsi="仿宋" w:eastAsia="仿宋" w:cs="仿宋"/>
          <w:color w:val="000000" w:themeColor="text1"/>
          <w:highlight w:val="none"/>
          <w:lang w:eastAsia="zh-CN"/>
          <w14:textFill>
            <w14:solidFill>
              <w14:schemeClr w14:val="tx1"/>
            </w14:solidFill>
          </w14:textFill>
        </w:rPr>
      </w:pPr>
    </w:p>
    <w:p w14:paraId="7E1EBF5A">
      <w:pPr>
        <w:rPr>
          <w:rFonts w:ascii="仿宋" w:hAnsi="仿宋" w:eastAsia="仿宋" w:cs="仿宋"/>
          <w:color w:val="000000" w:themeColor="text1"/>
          <w:highlight w:val="none"/>
          <w:lang w:eastAsia="zh-CN"/>
          <w14:textFill>
            <w14:solidFill>
              <w14:schemeClr w14:val="tx1"/>
            </w14:solidFill>
          </w14:textFill>
        </w:rPr>
      </w:pPr>
    </w:p>
    <w:p w14:paraId="345FCAEE">
      <w:pPr>
        <w:rPr>
          <w:rFonts w:ascii="仿宋" w:hAnsi="仿宋" w:eastAsia="仿宋" w:cs="仿宋"/>
          <w:color w:val="000000" w:themeColor="text1"/>
          <w:highlight w:val="none"/>
          <w:lang w:eastAsia="zh-CN"/>
          <w14:textFill>
            <w14:solidFill>
              <w14:schemeClr w14:val="tx1"/>
            </w14:solidFill>
          </w14:textFill>
        </w:rPr>
      </w:pPr>
    </w:p>
    <w:p w14:paraId="6A6DEE3C">
      <w:pPr>
        <w:rPr>
          <w:rFonts w:ascii="仿宋" w:hAnsi="仿宋" w:eastAsia="仿宋" w:cs="仿宋"/>
          <w:color w:val="000000" w:themeColor="text1"/>
          <w:highlight w:val="none"/>
          <w:lang w:eastAsia="zh-CN"/>
          <w14:textFill>
            <w14:solidFill>
              <w14:schemeClr w14:val="tx1"/>
            </w14:solidFill>
          </w14:textFill>
        </w:rPr>
      </w:pPr>
    </w:p>
    <w:p w14:paraId="1E7316B7">
      <w:pPr>
        <w:rPr>
          <w:rFonts w:ascii="仿宋" w:hAnsi="仿宋" w:eastAsia="仿宋" w:cs="仿宋"/>
          <w:color w:val="000000" w:themeColor="text1"/>
          <w:highlight w:val="none"/>
          <w:lang w:eastAsia="zh-CN"/>
          <w14:textFill>
            <w14:solidFill>
              <w14:schemeClr w14:val="tx1"/>
            </w14:solidFill>
          </w14:textFill>
        </w:rPr>
      </w:pPr>
    </w:p>
    <w:p w14:paraId="6863B80F">
      <w:pPr>
        <w:rPr>
          <w:rFonts w:ascii="仿宋" w:hAnsi="仿宋" w:eastAsia="仿宋" w:cs="仿宋"/>
          <w:color w:val="000000" w:themeColor="text1"/>
          <w:highlight w:val="none"/>
          <w:lang w:eastAsia="zh-CN"/>
          <w14:textFill>
            <w14:solidFill>
              <w14:schemeClr w14:val="tx1"/>
            </w14:solidFill>
          </w14:textFill>
        </w:rPr>
      </w:pPr>
    </w:p>
    <w:p w14:paraId="7B5BB062">
      <w:pPr>
        <w:rPr>
          <w:rFonts w:ascii="仿宋" w:hAnsi="仿宋" w:eastAsia="仿宋" w:cs="仿宋"/>
          <w:color w:val="000000" w:themeColor="text1"/>
          <w:highlight w:val="none"/>
          <w:lang w:eastAsia="zh-CN"/>
          <w14:textFill>
            <w14:solidFill>
              <w14:schemeClr w14:val="tx1"/>
            </w14:solidFill>
          </w14:textFill>
        </w:rPr>
      </w:pPr>
    </w:p>
    <w:p w14:paraId="39972D3C">
      <w:pPr>
        <w:rPr>
          <w:rFonts w:ascii="仿宋" w:hAnsi="仿宋" w:eastAsia="仿宋" w:cs="仿宋"/>
          <w:color w:val="000000" w:themeColor="text1"/>
          <w:highlight w:val="none"/>
          <w:lang w:eastAsia="zh-CN"/>
          <w14:textFill>
            <w14:solidFill>
              <w14:schemeClr w14:val="tx1"/>
            </w14:solidFill>
          </w14:textFill>
        </w:rPr>
      </w:pPr>
    </w:p>
    <w:p w14:paraId="0F560C70">
      <w:pPr>
        <w:rPr>
          <w:rFonts w:ascii="仿宋" w:hAnsi="仿宋" w:eastAsia="仿宋" w:cs="仿宋"/>
          <w:color w:val="000000" w:themeColor="text1"/>
          <w:highlight w:val="none"/>
          <w:lang w:eastAsia="zh-CN"/>
          <w14:textFill>
            <w14:solidFill>
              <w14:schemeClr w14:val="tx1"/>
            </w14:solidFill>
          </w14:textFill>
        </w:rPr>
      </w:pPr>
    </w:p>
    <w:p w14:paraId="6F0D9C75">
      <w:pPr>
        <w:rPr>
          <w:rFonts w:ascii="仿宋" w:hAnsi="仿宋" w:eastAsia="仿宋" w:cs="仿宋"/>
          <w:color w:val="000000" w:themeColor="text1"/>
          <w:highlight w:val="none"/>
          <w:lang w:eastAsia="zh-CN"/>
          <w14:textFill>
            <w14:solidFill>
              <w14:schemeClr w14:val="tx1"/>
            </w14:solidFill>
          </w14:textFill>
        </w:rPr>
      </w:pPr>
    </w:p>
    <w:p w14:paraId="13CA9394">
      <w:pPr>
        <w:rPr>
          <w:rFonts w:ascii="仿宋" w:hAnsi="仿宋" w:eastAsia="仿宋" w:cs="仿宋"/>
          <w:color w:val="000000" w:themeColor="text1"/>
          <w:highlight w:val="none"/>
          <w:lang w:eastAsia="zh-CN"/>
          <w14:textFill>
            <w14:solidFill>
              <w14:schemeClr w14:val="tx1"/>
            </w14:solidFill>
          </w14:textFill>
        </w:rPr>
      </w:pPr>
    </w:p>
    <w:p w14:paraId="31B4DB54">
      <w:pPr>
        <w:rPr>
          <w:rFonts w:ascii="仿宋" w:hAnsi="仿宋" w:eastAsia="仿宋" w:cs="仿宋"/>
          <w:color w:val="000000" w:themeColor="text1"/>
          <w:highlight w:val="none"/>
          <w:lang w:eastAsia="zh-CN"/>
          <w14:textFill>
            <w14:solidFill>
              <w14:schemeClr w14:val="tx1"/>
            </w14:solidFill>
          </w14:textFill>
        </w:rPr>
      </w:pPr>
    </w:p>
    <w:p w14:paraId="62CE16ED">
      <w:pPr>
        <w:rPr>
          <w:rFonts w:ascii="仿宋" w:hAnsi="仿宋" w:eastAsia="仿宋" w:cs="仿宋"/>
          <w:color w:val="000000" w:themeColor="text1"/>
          <w:highlight w:val="none"/>
          <w:lang w:eastAsia="zh-CN"/>
          <w14:textFill>
            <w14:solidFill>
              <w14:schemeClr w14:val="tx1"/>
            </w14:solidFill>
          </w14:textFill>
        </w:rPr>
      </w:pPr>
    </w:p>
    <w:p w14:paraId="7000FA07">
      <w:pPr>
        <w:rPr>
          <w:rFonts w:ascii="仿宋" w:hAnsi="仿宋" w:eastAsia="仿宋" w:cs="仿宋"/>
          <w:color w:val="000000" w:themeColor="text1"/>
          <w:highlight w:val="none"/>
          <w:lang w:eastAsia="zh-CN"/>
          <w14:textFill>
            <w14:solidFill>
              <w14:schemeClr w14:val="tx1"/>
            </w14:solidFill>
          </w14:textFill>
        </w:rPr>
      </w:pPr>
    </w:p>
    <w:p w14:paraId="3F2A7227">
      <w:pPr>
        <w:spacing w:before="103" w:line="196" w:lineRule="auto"/>
        <w:ind w:left="19"/>
        <w:rPr>
          <w:rFonts w:ascii="仿宋" w:hAnsi="仿宋" w:eastAsia="仿宋" w:cs="仿宋"/>
          <w:b/>
          <w:bCs/>
          <w:color w:val="000000" w:themeColor="text1"/>
          <w:spacing w:val="-2"/>
          <w:sz w:val="24"/>
          <w:szCs w:val="24"/>
          <w:highlight w:val="none"/>
          <w:lang w:eastAsia="zh-CN"/>
          <w14:textFill>
            <w14:solidFill>
              <w14:schemeClr w14:val="tx1"/>
            </w14:solidFill>
          </w14:textFill>
        </w:rPr>
      </w:pPr>
    </w:p>
    <w:p w14:paraId="7FA96096">
      <w:pPr>
        <w:spacing w:before="103" w:line="196" w:lineRule="auto"/>
        <w:ind w:left="1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t>响应文件封面（非实质性格式）</w:t>
      </w:r>
    </w:p>
    <w:p w14:paraId="3DD6B4E2">
      <w:pPr>
        <w:spacing w:before="352" w:line="203" w:lineRule="auto"/>
        <w:ind w:left="1866"/>
        <w:rPr>
          <w:rFonts w:ascii="仿宋" w:hAnsi="仿宋" w:eastAsia="仿宋" w:cs="仿宋"/>
          <w:b/>
          <w:bCs/>
          <w:color w:val="000000" w:themeColor="text1"/>
          <w:spacing w:val="-19"/>
          <w:sz w:val="83"/>
          <w:szCs w:val="83"/>
          <w:highlight w:val="none"/>
          <w:lang w:eastAsia="zh-CN"/>
          <w14:textFill>
            <w14:solidFill>
              <w14:schemeClr w14:val="tx1"/>
            </w14:solidFill>
          </w14:textFill>
        </w:rPr>
      </w:pPr>
    </w:p>
    <w:p w14:paraId="1874AA7F">
      <w:pPr>
        <w:spacing w:before="352" w:line="203" w:lineRule="auto"/>
        <w:jc w:val="center"/>
        <w:rPr>
          <w:rFonts w:ascii="仿宋" w:hAnsi="仿宋" w:eastAsia="仿宋" w:cs="仿宋"/>
          <w:b/>
          <w:bCs/>
          <w:color w:val="000000" w:themeColor="text1"/>
          <w:sz w:val="83"/>
          <w:szCs w:val="83"/>
          <w:highlight w:val="none"/>
          <w:lang w:eastAsia="zh-CN"/>
          <w14:textFill>
            <w14:solidFill>
              <w14:schemeClr w14:val="tx1"/>
            </w14:solidFill>
          </w14:textFill>
        </w:rPr>
      </w:pPr>
      <w:r>
        <w:rPr>
          <w:rFonts w:hint="eastAsia" w:ascii="仿宋" w:hAnsi="仿宋" w:eastAsia="仿宋" w:cs="仿宋"/>
          <w:b/>
          <w:bCs/>
          <w:color w:val="000000" w:themeColor="text1"/>
          <w:spacing w:val="-19"/>
          <w:sz w:val="83"/>
          <w:szCs w:val="83"/>
          <w:highlight w:val="none"/>
          <w:lang w:eastAsia="zh-CN"/>
          <w14:textFill>
            <w14:solidFill>
              <w14:schemeClr w14:val="tx1"/>
            </w14:solidFill>
          </w14:textFill>
        </w:rPr>
        <w:t>响 应 文 件</w:t>
      </w:r>
    </w:p>
    <w:p w14:paraId="39B12255">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21BFDCCD">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0F1FB022">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05B23FF1">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7E7F0C67">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131B9963">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417E7E6F">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665B8D59">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232DF7E6">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4EA3A181">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7E2FA742">
      <w:pPr>
        <w:pStyle w:val="7"/>
        <w:spacing w:line="285" w:lineRule="auto"/>
        <w:rPr>
          <w:rFonts w:ascii="仿宋" w:hAnsi="仿宋" w:eastAsia="仿宋" w:cs="仿宋"/>
          <w:color w:val="000000" w:themeColor="text1"/>
          <w:highlight w:val="none"/>
          <w:lang w:eastAsia="zh-CN"/>
          <w14:textFill>
            <w14:solidFill>
              <w14:schemeClr w14:val="tx1"/>
            </w14:solidFill>
          </w14:textFill>
        </w:rPr>
      </w:pPr>
    </w:p>
    <w:p w14:paraId="2C7C46BF">
      <w:pPr>
        <w:pStyle w:val="7"/>
        <w:spacing w:line="286" w:lineRule="auto"/>
        <w:rPr>
          <w:rFonts w:ascii="仿宋" w:hAnsi="仿宋" w:eastAsia="仿宋" w:cs="仿宋"/>
          <w:color w:val="000000" w:themeColor="text1"/>
          <w:highlight w:val="none"/>
          <w:lang w:eastAsia="zh-CN"/>
          <w14:textFill>
            <w14:solidFill>
              <w14:schemeClr w14:val="tx1"/>
            </w14:solidFill>
          </w14:textFill>
        </w:rPr>
      </w:pPr>
    </w:p>
    <w:p w14:paraId="730B498E">
      <w:pPr>
        <w:pStyle w:val="7"/>
        <w:spacing w:before="133" w:line="205" w:lineRule="auto"/>
        <w:ind w:left="546"/>
        <w:rPr>
          <w:rFonts w:ascii="仿宋" w:hAnsi="仿宋" w:eastAsia="仿宋" w:cs="仿宋"/>
          <w:b/>
          <w:bCs/>
          <w:color w:val="000000" w:themeColor="text1"/>
          <w:spacing w:val="-1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t>项目名称:</w:t>
      </w:r>
    </w:p>
    <w:p w14:paraId="0933B80E">
      <w:pPr>
        <w:pStyle w:val="7"/>
        <w:spacing w:before="133" w:line="205" w:lineRule="auto"/>
        <w:ind w:left="546"/>
        <w:rPr>
          <w:rFonts w:ascii="仿宋" w:hAnsi="仿宋" w:eastAsia="仿宋" w:cs="仿宋"/>
          <w:b/>
          <w:bCs/>
          <w:color w:val="000000" w:themeColor="text1"/>
          <w:spacing w:val="-11"/>
          <w:sz w:val="31"/>
          <w:szCs w:val="31"/>
          <w:highlight w:val="none"/>
          <w:lang w:eastAsia="zh-CN"/>
          <w14:textFill>
            <w14:solidFill>
              <w14:schemeClr w14:val="tx1"/>
            </w14:solidFill>
          </w14:textFill>
        </w:rPr>
      </w:pPr>
    </w:p>
    <w:p w14:paraId="1D7592FF">
      <w:pPr>
        <w:pStyle w:val="7"/>
        <w:spacing w:before="8" w:line="205" w:lineRule="auto"/>
        <w:ind w:left="546"/>
        <w:rPr>
          <w:rFonts w:ascii="仿宋" w:hAnsi="仿宋" w:eastAsia="仿宋" w:cs="仿宋"/>
          <w:color w:val="000000" w:themeColor="text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
          <w:sz w:val="31"/>
          <w:szCs w:val="31"/>
          <w:highlight w:val="none"/>
          <w:lang w:eastAsia="zh-CN"/>
          <w14:textFill>
            <w14:solidFill>
              <w14:schemeClr w14:val="tx1"/>
            </w14:solidFill>
          </w14:textFill>
        </w:rPr>
        <w:t>项目编号/包号：</w:t>
      </w:r>
    </w:p>
    <w:p w14:paraId="33EDC39C">
      <w:pPr>
        <w:pStyle w:val="7"/>
        <w:spacing w:line="257" w:lineRule="auto"/>
        <w:rPr>
          <w:rFonts w:ascii="仿宋" w:hAnsi="仿宋" w:eastAsia="仿宋" w:cs="仿宋"/>
          <w:color w:val="000000" w:themeColor="text1"/>
          <w:highlight w:val="none"/>
          <w:lang w:eastAsia="zh-CN"/>
          <w14:textFill>
            <w14:solidFill>
              <w14:schemeClr w14:val="tx1"/>
            </w14:solidFill>
          </w14:textFill>
        </w:rPr>
      </w:pPr>
    </w:p>
    <w:p w14:paraId="2FC9BDE3">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1BC2B6A6">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54A030D5">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4DAC31A3">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25EBB015">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68556744">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011F28E0">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5579809D">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2989A7F0">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10DEFE55">
      <w:pPr>
        <w:pStyle w:val="7"/>
        <w:spacing w:line="258" w:lineRule="auto"/>
        <w:rPr>
          <w:rFonts w:ascii="仿宋" w:hAnsi="仿宋" w:eastAsia="仿宋" w:cs="仿宋"/>
          <w:color w:val="000000" w:themeColor="text1"/>
          <w:highlight w:val="none"/>
          <w:lang w:eastAsia="zh-CN"/>
          <w14:textFill>
            <w14:solidFill>
              <w14:schemeClr w14:val="tx1"/>
            </w14:solidFill>
          </w14:textFill>
        </w:rPr>
      </w:pPr>
    </w:p>
    <w:p w14:paraId="480EB7EB">
      <w:pPr>
        <w:spacing w:before="133" w:line="205" w:lineRule="auto"/>
        <w:ind w:left="1445"/>
        <w:rPr>
          <w:rFonts w:ascii="仿宋" w:hAnsi="仿宋" w:eastAsia="仿宋" w:cs="仿宋"/>
          <w:color w:val="000000" w:themeColor="text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34"/>
          <w:sz w:val="31"/>
          <w:szCs w:val="31"/>
          <w:highlight w:val="none"/>
          <w:lang w:eastAsia="zh-CN"/>
          <w14:textFill>
            <w14:solidFill>
              <w14:schemeClr w14:val="tx1"/>
            </w14:solidFill>
          </w14:textFill>
        </w:rPr>
        <w:t>供应商名称：</w:t>
      </w:r>
    </w:p>
    <w:p w14:paraId="4BD722D4">
      <w:pPr>
        <w:spacing w:line="205" w:lineRule="auto"/>
        <w:rPr>
          <w:rFonts w:ascii="仿宋" w:hAnsi="仿宋" w:eastAsia="仿宋" w:cs="仿宋"/>
          <w:color w:val="000000" w:themeColor="text1"/>
          <w:sz w:val="31"/>
          <w:szCs w:val="31"/>
          <w:highlight w:val="none"/>
          <w:lang w:eastAsia="zh-CN"/>
          <w14:textFill>
            <w14:solidFill>
              <w14:schemeClr w14:val="tx1"/>
            </w14:solidFill>
          </w14:textFill>
        </w:rPr>
        <w:sectPr>
          <w:pgSz w:w="11907" w:h="16840"/>
          <w:pgMar w:top="1183" w:right="1133" w:bottom="1060" w:left="1701" w:header="841" w:footer="886" w:gutter="0"/>
          <w:cols w:space="720" w:num="1"/>
        </w:sectPr>
      </w:pPr>
    </w:p>
    <w:p w14:paraId="5E353EC6">
      <w:pPr>
        <w:rPr>
          <w:rFonts w:ascii="仿宋" w:hAnsi="仿宋" w:eastAsia="仿宋" w:cs="仿宋"/>
          <w:color w:val="000000" w:themeColor="text1"/>
          <w:highlight w:val="none"/>
          <w:lang w:eastAsia="zh-CN"/>
          <w14:textFill>
            <w14:solidFill>
              <w14:schemeClr w14:val="tx1"/>
            </w14:solidFill>
          </w14:textFill>
        </w:rPr>
      </w:pPr>
    </w:p>
    <w:p w14:paraId="23149D2E">
      <w:pPr>
        <w:spacing w:line="360" w:lineRule="auto"/>
        <w:outlineLvl w:val="1"/>
        <w:rPr>
          <w:rFonts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 满足《中华人民共和国政府采购法》第二十二条规定</w:t>
      </w:r>
    </w:p>
    <w:p w14:paraId="67D384EF">
      <w:pPr>
        <w:spacing w:line="360" w:lineRule="auto"/>
        <w:outlineLvl w:val="2"/>
        <w:rPr>
          <w:rFonts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1-1  营业执照等证明文件</w:t>
      </w:r>
    </w:p>
    <w:p w14:paraId="34F9071F">
      <w:pPr>
        <w:rPr>
          <w:rFonts w:ascii="仿宋" w:hAnsi="仿宋" w:eastAsia="仿宋" w:cs="仿宋"/>
          <w:color w:val="000000" w:themeColor="text1"/>
          <w:highlight w:val="none"/>
          <w:lang w:eastAsia="zh-CN"/>
          <w14:textFill>
            <w14:solidFill>
              <w14:schemeClr w14:val="tx1"/>
            </w14:solidFill>
          </w14:textFill>
        </w:rPr>
      </w:pPr>
    </w:p>
    <w:p w14:paraId="3884F0E6">
      <w:pPr>
        <w:rPr>
          <w:rFonts w:ascii="仿宋" w:hAnsi="仿宋" w:eastAsia="仿宋" w:cs="仿宋"/>
          <w:color w:val="000000" w:themeColor="text1"/>
          <w:highlight w:val="none"/>
          <w:lang w:eastAsia="zh-CN"/>
          <w14:textFill>
            <w14:solidFill>
              <w14:schemeClr w14:val="tx1"/>
            </w14:solidFill>
          </w14:textFill>
        </w:rPr>
      </w:pPr>
    </w:p>
    <w:p w14:paraId="5E4CF1A2">
      <w:pPr>
        <w:rPr>
          <w:rFonts w:ascii="仿宋" w:hAnsi="仿宋" w:eastAsia="仿宋" w:cs="仿宋"/>
          <w:color w:val="000000" w:themeColor="text1"/>
          <w:highlight w:val="none"/>
          <w:lang w:eastAsia="zh-CN"/>
          <w14:textFill>
            <w14:solidFill>
              <w14:schemeClr w14:val="tx1"/>
            </w14:solidFill>
          </w14:textFill>
        </w:rPr>
      </w:pPr>
    </w:p>
    <w:p w14:paraId="2C81756C">
      <w:pPr>
        <w:rPr>
          <w:rFonts w:ascii="仿宋" w:hAnsi="仿宋" w:eastAsia="仿宋" w:cs="仿宋"/>
          <w:color w:val="000000" w:themeColor="text1"/>
          <w:highlight w:val="none"/>
          <w:lang w:eastAsia="zh-CN"/>
          <w14:textFill>
            <w14:solidFill>
              <w14:schemeClr w14:val="tx1"/>
            </w14:solidFill>
          </w14:textFill>
        </w:rPr>
      </w:pPr>
    </w:p>
    <w:p w14:paraId="3140011F">
      <w:pPr>
        <w:rPr>
          <w:rFonts w:ascii="仿宋" w:hAnsi="仿宋" w:eastAsia="仿宋" w:cs="仿宋"/>
          <w:color w:val="000000" w:themeColor="text1"/>
          <w:highlight w:val="none"/>
          <w:lang w:eastAsia="zh-CN"/>
          <w14:textFill>
            <w14:solidFill>
              <w14:schemeClr w14:val="tx1"/>
            </w14:solidFill>
          </w14:textFill>
        </w:rPr>
      </w:pPr>
    </w:p>
    <w:p w14:paraId="6A64CB7D">
      <w:pPr>
        <w:rPr>
          <w:rFonts w:ascii="仿宋" w:hAnsi="仿宋" w:eastAsia="仿宋" w:cs="仿宋"/>
          <w:color w:val="000000" w:themeColor="text1"/>
          <w:highlight w:val="none"/>
          <w:lang w:eastAsia="zh-CN"/>
          <w14:textFill>
            <w14:solidFill>
              <w14:schemeClr w14:val="tx1"/>
            </w14:solidFill>
          </w14:textFill>
        </w:rPr>
      </w:pPr>
    </w:p>
    <w:p w14:paraId="645C9A6B">
      <w:pPr>
        <w:rPr>
          <w:rFonts w:ascii="仿宋" w:hAnsi="仿宋" w:eastAsia="仿宋" w:cs="仿宋"/>
          <w:color w:val="000000" w:themeColor="text1"/>
          <w:highlight w:val="none"/>
          <w:lang w:eastAsia="zh-CN"/>
          <w14:textFill>
            <w14:solidFill>
              <w14:schemeClr w14:val="tx1"/>
            </w14:solidFill>
          </w14:textFill>
        </w:rPr>
      </w:pPr>
    </w:p>
    <w:p w14:paraId="77CA6761">
      <w:pPr>
        <w:rPr>
          <w:rFonts w:ascii="仿宋" w:hAnsi="仿宋" w:eastAsia="仿宋" w:cs="仿宋"/>
          <w:color w:val="000000" w:themeColor="text1"/>
          <w:highlight w:val="none"/>
          <w:lang w:eastAsia="zh-CN"/>
          <w14:textFill>
            <w14:solidFill>
              <w14:schemeClr w14:val="tx1"/>
            </w14:solidFill>
          </w14:textFill>
        </w:rPr>
      </w:pPr>
    </w:p>
    <w:p w14:paraId="5DCDF2E1">
      <w:pPr>
        <w:rPr>
          <w:rFonts w:ascii="仿宋" w:hAnsi="仿宋" w:eastAsia="仿宋" w:cs="仿宋"/>
          <w:color w:val="000000" w:themeColor="text1"/>
          <w:highlight w:val="none"/>
          <w:lang w:eastAsia="zh-CN"/>
          <w14:textFill>
            <w14:solidFill>
              <w14:schemeClr w14:val="tx1"/>
            </w14:solidFill>
          </w14:textFill>
        </w:rPr>
      </w:pPr>
    </w:p>
    <w:p w14:paraId="1D760914">
      <w:pPr>
        <w:rPr>
          <w:rFonts w:ascii="仿宋" w:hAnsi="仿宋" w:eastAsia="仿宋" w:cs="仿宋"/>
          <w:color w:val="000000" w:themeColor="text1"/>
          <w:highlight w:val="none"/>
          <w:lang w:eastAsia="zh-CN"/>
          <w14:textFill>
            <w14:solidFill>
              <w14:schemeClr w14:val="tx1"/>
            </w14:solidFill>
          </w14:textFill>
        </w:rPr>
      </w:pPr>
    </w:p>
    <w:p w14:paraId="6046531D">
      <w:pPr>
        <w:rPr>
          <w:rFonts w:ascii="仿宋" w:hAnsi="仿宋" w:eastAsia="仿宋" w:cs="仿宋"/>
          <w:color w:val="000000" w:themeColor="text1"/>
          <w:highlight w:val="none"/>
          <w:lang w:eastAsia="zh-CN"/>
          <w14:textFill>
            <w14:solidFill>
              <w14:schemeClr w14:val="tx1"/>
            </w14:solidFill>
          </w14:textFill>
        </w:rPr>
      </w:pPr>
    </w:p>
    <w:p w14:paraId="74FC86BB">
      <w:pPr>
        <w:rPr>
          <w:rFonts w:ascii="仿宋" w:hAnsi="仿宋" w:eastAsia="仿宋" w:cs="仿宋"/>
          <w:color w:val="000000" w:themeColor="text1"/>
          <w:highlight w:val="none"/>
          <w:lang w:eastAsia="zh-CN"/>
          <w14:textFill>
            <w14:solidFill>
              <w14:schemeClr w14:val="tx1"/>
            </w14:solidFill>
          </w14:textFill>
        </w:rPr>
      </w:pPr>
    </w:p>
    <w:p w14:paraId="76745EEE">
      <w:pPr>
        <w:rPr>
          <w:rFonts w:ascii="仿宋" w:hAnsi="仿宋" w:eastAsia="仿宋" w:cs="仿宋"/>
          <w:color w:val="000000" w:themeColor="text1"/>
          <w:highlight w:val="none"/>
          <w:lang w:eastAsia="zh-CN"/>
          <w14:textFill>
            <w14:solidFill>
              <w14:schemeClr w14:val="tx1"/>
            </w14:solidFill>
          </w14:textFill>
        </w:rPr>
      </w:pPr>
    </w:p>
    <w:p w14:paraId="0F16302D">
      <w:pPr>
        <w:rPr>
          <w:rFonts w:ascii="仿宋" w:hAnsi="仿宋" w:eastAsia="仿宋" w:cs="仿宋"/>
          <w:color w:val="000000" w:themeColor="text1"/>
          <w:highlight w:val="none"/>
          <w:lang w:eastAsia="zh-CN"/>
          <w14:textFill>
            <w14:solidFill>
              <w14:schemeClr w14:val="tx1"/>
            </w14:solidFill>
          </w14:textFill>
        </w:rPr>
      </w:pPr>
    </w:p>
    <w:p w14:paraId="00275508">
      <w:pPr>
        <w:rPr>
          <w:rFonts w:ascii="仿宋" w:hAnsi="仿宋" w:eastAsia="仿宋" w:cs="仿宋"/>
          <w:color w:val="000000" w:themeColor="text1"/>
          <w:highlight w:val="none"/>
          <w:lang w:eastAsia="zh-CN"/>
          <w14:textFill>
            <w14:solidFill>
              <w14:schemeClr w14:val="tx1"/>
            </w14:solidFill>
          </w14:textFill>
        </w:rPr>
      </w:pPr>
    </w:p>
    <w:p w14:paraId="25A872F5">
      <w:pPr>
        <w:rPr>
          <w:rFonts w:ascii="仿宋" w:hAnsi="仿宋" w:eastAsia="仿宋" w:cs="仿宋"/>
          <w:color w:val="000000" w:themeColor="text1"/>
          <w:highlight w:val="none"/>
          <w:lang w:eastAsia="zh-CN"/>
          <w14:textFill>
            <w14:solidFill>
              <w14:schemeClr w14:val="tx1"/>
            </w14:solidFill>
          </w14:textFill>
        </w:rPr>
      </w:pPr>
    </w:p>
    <w:p w14:paraId="24F7A1F3">
      <w:pPr>
        <w:rPr>
          <w:rFonts w:ascii="仿宋" w:hAnsi="仿宋" w:eastAsia="仿宋" w:cs="仿宋"/>
          <w:color w:val="000000" w:themeColor="text1"/>
          <w:highlight w:val="none"/>
          <w:lang w:eastAsia="zh-CN"/>
          <w14:textFill>
            <w14:solidFill>
              <w14:schemeClr w14:val="tx1"/>
            </w14:solidFill>
          </w14:textFill>
        </w:rPr>
      </w:pPr>
    </w:p>
    <w:p w14:paraId="032F6C69">
      <w:pPr>
        <w:rPr>
          <w:rFonts w:ascii="仿宋" w:hAnsi="仿宋" w:eastAsia="仿宋" w:cs="仿宋"/>
          <w:color w:val="000000" w:themeColor="text1"/>
          <w:highlight w:val="none"/>
          <w:lang w:eastAsia="zh-CN"/>
          <w14:textFill>
            <w14:solidFill>
              <w14:schemeClr w14:val="tx1"/>
            </w14:solidFill>
          </w14:textFill>
        </w:rPr>
      </w:pPr>
    </w:p>
    <w:p w14:paraId="616C32B4">
      <w:pPr>
        <w:rPr>
          <w:rFonts w:ascii="仿宋" w:hAnsi="仿宋" w:eastAsia="仿宋" w:cs="仿宋"/>
          <w:color w:val="000000" w:themeColor="text1"/>
          <w:highlight w:val="none"/>
          <w:lang w:eastAsia="zh-CN"/>
          <w14:textFill>
            <w14:solidFill>
              <w14:schemeClr w14:val="tx1"/>
            </w14:solidFill>
          </w14:textFill>
        </w:rPr>
      </w:pPr>
    </w:p>
    <w:p w14:paraId="666B8921">
      <w:pPr>
        <w:rPr>
          <w:rFonts w:ascii="仿宋" w:hAnsi="仿宋" w:eastAsia="仿宋" w:cs="仿宋"/>
          <w:color w:val="000000" w:themeColor="text1"/>
          <w:highlight w:val="none"/>
          <w:lang w:eastAsia="zh-CN"/>
          <w14:textFill>
            <w14:solidFill>
              <w14:schemeClr w14:val="tx1"/>
            </w14:solidFill>
          </w14:textFill>
        </w:rPr>
      </w:pPr>
    </w:p>
    <w:p w14:paraId="46AA3469">
      <w:pPr>
        <w:rPr>
          <w:rFonts w:ascii="仿宋" w:hAnsi="仿宋" w:eastAsia="仿宋" w:cs="仿宋"/>
          <w:color w:val="000000" w:themeColor="text1"/>
          <w:highlight w:val="none"/>
          <w:lang w:eastAsia="zh-CN"/>
          <w14:textFill>
            <w14:solidFill>
              <w14:schemeClr w14:val="tx1"/>
            </w14:solidFill>
          </w14:textFill>
        </w:rPr>
      </w:pPr>
    </w:p>
    <w:p w14:paraId="694EDA37">
      <w:pPr>
        <w:rPr>
          <w:rFonts w:ascii="仿宋" w:hAnsi="仿宋" w:eastAsia="仿宋" w:cs="仿宋"/>
          <w:color w:val="000000" w:themeColor="text1"/>
          <w:highlight w:val="none"/>
          <w:lang w:eastAsia="zh-CN"/>
          <w14:textFill>
            <w14:solidFill>
              <w14:schemeClr w14:val="tx1"/>
            </w14:solidFill>
          </w14:textFill>
        </w:rPr>
      </w:pPr>
    </w:p>
    <w:p w14:paraId="0150C4F6">
      <w:pPr>
        <w:rPr>
          <w:rFonts w:ascii="仿宋" w:hAnsi="仿宋" w:eastAsia="仿宋" w:cs="仿宋"/>
          <w:color w:val="000000" w:themeColor="text1"/>
          <w:highlight w:val="none"/>
          <w:lang w:eastAsia="zh-CN"/>
          <w14:textFill>
            <w14:solidFill>
              <w14:schemeClr w14:val="tx1"/>
            </w14:solidFill>
          </w14:textFill>
        </w:rPr>
      </w:pPr>
    </w:p>
    <w:p w14:paraId="25D72301">
      <w:pPr>
        <w:rPr>
          <w:rFonts w:ascii="仿宋" w:hAnsi="仿宋" w:eastAsia="仿宋" w:cs="仿宋"/>
          <w:color w:val="000000" w:themeColor="text1"/>
          <w:highlight w:val="none"/>
          <w:lang w:eastAsia="zh-CN"/>
          <w14:textFill>
            <w14:solidFill>
              <w14:schemeClr w14:val="tx1"/>
            </w14:solidFill>
          </w14:textFill>
        </w:rPr>
      </w:pPr>
    </w:p>
    <w:p w14:paraId="0D9CAB23">
      <w:pPr>
        <w:rPr>
          <w:rFonts w:ascii="仿宋" w:hAnsi="仿宋" w:eastAsia="仿宋" w:cs="仿宋"/>
          <w:color w:val="000000" w:themeColor="text1"/>
          <w:highlight w:val="none"/>
          <w:lang w:eastAsia="zh-CN"/>
          <w14:textFill>
            <w14:solidFill>
              <w14:schemeClr w14:val="tx1"/>
            </w14:solidFill>
          </w14:textFill>
        </w:rPr>
      </w:pPr>
    </w:p>
    <w:p w14:paraId="3E289B57">
      <w:pPr>
        <w:rPr>
          <w:rFonts w:ascii="仿宋" w:hAnsi="仿宋" w:eastAsia="仿宋" w:cs="仿宋"/>
          <w:color w:val="000000" w:themeColor="text1"/>
          <w:highlight w:val="none"/>
          <w:lang w:eastAsia="zh-CN"/>
          <w14:textFill>
            <w14:solidFill>
              <w14:schemeClr w14:val="tx1"/>
            </w14:solidFill>
          </w14:textFill>
        </w:rPr>
      </w:pPr>
    </w:p>
    <w:p w14:paraId="354B4ECF">
      <w:pPr>
        <w:rPr>
          <w:rFonts w:ascii="仿宋" w:hAnsi="仿宋" w:eastAsia="仿宋" w:cs="仿宋"/>
          <w:color w:val="000000" w:themeColor="text1"/>
          <w:highlight w:val="none"/>
          <w:lang w:eastAsia="zh-CN"/>
          <w14:textFill>
            <w14:solidFill>
              <w14:schemeClr w14:val="tx1"/>
            </w14:solidFill>
          </w14:textFill>
        </w:rPr>
      </w:pPr>
    </w:p>
    <w:p w14:paraId="5462C6D2">
      <w:pPr>
        <w:rPr>
          <w:rFonts w:ascii="仿宋" w:hAnsi="仿宋" w:eastAsia="仿宋" w:cs="仿宋"/>
          <w:color w:val="000000" w:themeColor="text1"/>
          <w:highlight w:val="none"/>
          <w:lang w:eastAsia="zh-CN"/>
          <w14:textFill>
            <w14:solidFill>
              <w14:schemeClr w14:val="tx1"/>
            </w14:solidFill>
          </w14:textFill>
        </w:rPr>
      </w:pPr>
    </w:p>
    <w:p w14:paraId="65A5541B">
      <w:pPr>
        <w:rPr>
          <w:rFonts w:ascii="仿宋" w:hAnsi="仿宋" w:eastAsia="仿宋" w:cs="仿宋"/>
          <w:color w:val="000000" w:themeColor="text1"/>
          <w:highlight w:val="none"/>
          <w:lang w:eastAsia="zh-CN"/>
          <w14:textFill>
            <w14:solidFill>
              <w14:schemeClr w14:val="tx1"/>
            </w14:solidFill>
          </w14:textFill>
        </w:rPr>
      </w:pPr>
    </w:p>
    <w:p w14:paraId="71334262">
      <w:pPr>
        <w:rPr>
          <w:rFonts w:ascii="仿宋" w:hAnsi="仿宋" w:eastAsia="仿宋" w:cs="仿宋"/>
          <w:color w:val="000000" w:themeColor="text1"/>
          <w:highlight w:val="none"/>
          <w:lang w:eastAsia="zh-CN"/>
          <w14:textFill>
            <w14:solidFill>
              <w14:schemeClr w14:val="tx1"/>
            </w14:solidFill>
          </w14:textFill>
        </w:rPr>
      </w:pPr>
    </w:p>
    <w:p w14:paraId="4DB50715">
      <w:pPr>
        <w:rPr>
          <w:rFonts w:ascii="仿宋" w:hAnsi="仿宋" w:eastAsia="仿宋" w:cs="仿宋"/>
          <w:color w:val="000000" w:themeColor="text1"/>
          <w:highlight w:val="none"/>
          <w:lang w:eastAsia="zh-CN"/>
          <w14:textFill>
            <w14:solidFill>
              <w14:schemeClr w14:val="tx1"/>
            </w14:solidFill>
          </w14:textFill>
        </w:rPr>
      </w:pPr>
    </w:p>
    <w:p w14:paraId="1E45BDD2">
      <w:pPr>
        <w:rPr>
          <w:rFonts w:ascii="仿宋" w:hAnsi="仿宋" w:eastAsia="仿宋" w:cs="仿宋"/>
          <w:color w:val="000000" w:themeColor="text1"/>
          <w:highlight w:val="none"/>
          <w:lang w:eastAsia="zh-CN"/>
          <w14:textFill>
            <w14:solidFill>
              <w14:schemeClr w14:val="tx1"/>
            </w14:solidFill>
          </w14:textFill>
        </w:rPr>
      </w:pPr>
    </w:p>
    <w:p w14:paraId="2AF2544F">
      <w:pPr>
        <w:rPr>
          <w:rFonts w:ascii="仿宋" w:hAnsi="仿宋" w:eastAsia="仿宋" w:cs="仿宋"/>
          <w:color w:val="000000" w:themeColor="text1"/>
          <w:highlight w:val="none"/>
          <w:lang w:eastAsia="zh-CN"/>
          <w14:textFill>
            <w14:solidFill>
              <w14:schemeClr w14:val="tx1"/>
            </w14:solidFill>
          </w14:textFill>
        </w:rPr>
      </w:pPr>
    </w:p>
    <w:p w14:paraId="62BF98D3">
      <w:pPr>
        <w:rPr>
          <w:rFonts w:ascii="仿宋" w:hAnsi="仿宋" w:eastAsia="仿宋" w:cs="仿宋"/>
          <w:color w:val="000000" w:themeColor="text1"/>
          <w:highlight w:val="none"/>
          <w:lang w:eastAsia="zh-CN"/>
          <w14:textFill>
            <w14:solidFill>
              <w14:schemeClr w14:val="tx1"/>
            </w14:solidFill>
          </w14:textFill>
        </w:rPr>
      </w:pPr>
    </w:p>
    <w:p w14:paraId="2FA93FC7">
      <w:pPr>
        <w:rPr>
          <w:rFonts w:ascii="仿宋" w:hAnsi="仿宋" w:eastAsia="仿宋" w:cs="仿宋"/>
          <w:color w:val="000000" w:themeColor="text1"/>
          <w:highlight w:val="none"/>
          <w:lang w:eastAsia="zh-CN"/>
          <w14:textFill>
            <w14:solidFill>
              <w14:schemeClr w14:val="tx1"/>
            </w14:solidFill>
          </w14:textFill>
        </w:rPr>
      </w:pPr>
    </w:p>
    <w:p w14:paraId="6C3BD191">
      <w:pPr>
        <w:rPr>
          <w:rFonts w:ascii="仿宋" w:hAnsi="仿宋" w:eastAsia="仿宋" w:cs="仿宋"/>
          <w:color w:val="000000" w:themeColor="text1"/>
          <w:highlight w:val="none"/>
          <w:lang w:eastAsia="zh-CN"/>
          <w14:textFill>
            <w14:solidFill>
              <w14:schemeClr w14:val="tx1"/>
            </w14:solidFill>
          </w14:textFill>
        </w:rPr>
      </w:pPr>
    </w:p>
    <w:p w14:paraId="78DCCD10">
      <w:pPr>
        <w:rPr>
          <w:rFonts w:ascii="仿宋" w:hAnsi="仿宋" w:eastAsia="仿宋" w:cs="仿宋"/>
          <w:color w:val="000000" w:themeColor="text1"/>
          <w:highlight w:val="none"/>
          <w:lang w:eastAsia="zh-CN"/>
          <w14:textFill>
            <w14:solidFill>
              <w14:schemeClr w14:val="tx1"/>
            </w14:solidFill>
          </w14:textFill>
        </w:rPr>
      </w:pPr>
    </w:p>
    <w:p w14:paraId="7C8483BB">
      <w:pPr>
        <w:rPr>
          <w:rFonts w:ascii="仿宋" w:hAnsi="仿宋" w:eastAsia="仿宋" w:cs="仿宋"/>
          <w:color w:val="000000" w:themeColor="text1"/>
          <w:highlight w:val="none"/>
          <w:lang w:eastAsia="zh-CN"/>
          <w14:textFill>
            <w14:solidFill>
              <w14:schemeClr w14:val="tx1"/>
            </w14:solidFill>
          </w14:textFill>
        </w:rPr>
      </w:pPr>
    </w:p>
    <w:p w14:paraId="06465DA8">
      <w:pPr>
        <w:rPr>
          <w:rFonts w:ascii="仿宋" w:hAnsi="仿宋" w:eastAsia="仿宋" w:cs="仿宋"/>
          <w:color w:val="000000" w:themeColor="text1"/>
          <w:highlight w:val="none"/>
          <w:lang w:eastAsia="zh-CN"/>
          <w14:textFill>
            <w14:solidFill>
              <w14:schemeClr w14:val="tx1"/>
            </w14:solidFill>
          </w14:textFill>
        </w:rPr>
      </w:pPr>
    </w:p>
    <w:p w14:paraId="5E962407">
      <w:pPr>
        <w:rPr>
          <w:rFonts w:ascii="仿宋" w:hAnsi="仿宋" w:eastAsia="仿宋" w:cs="仿宋"/>
          <w:color w:val="000000" w:themeColor="text1"/>
          <w:highlight w:val="none"/>
          <w:lang w:eastAsia="zh-CN"/>
          <w14:textFill>
            <w14:solidFill>
              <w14:schemeClr w14:val="tx1"/>
            </w14:solidFill>
          </w14:textFill>
        </w:rPr>
      </w:pPr>
    </w:p>
    <w:p w14:paraId="4702F858">
      <w:pPr>
        <w:rPr>
          <w:rFonts w:ascii="仿宋" w:hAnsi="仿宋" w:eastAsia="仿宋" w:cs="仿宋"/>
          <w:color w:val="000000" w:themeColor="text1"/>
          <w:highlight w:val="none"/>
          <w:lang w:eastAsia="zh-CN"/>
          <w14:textFill>
            <w14:solidFill>
              <w14:schemeClr w14:val="tx1"/>
            </w14:solidFill>
          </w14:textFill>
        </w:rPr>
      </w:pPr>
    </w:p>
    <w:p w14:paraId="0FF63889">
      <w:pPr>
        <w:rPr>
          <w:rFonts w:ascii="仿宋" w:hAnsi="仿宋" w:eastAsia="仿宋" w:cs="仿宋"/>
          <w:color w:val="000000" w:themeColor="text1"/>
          <w:highlight w:val="none"/>
          <w:lang w:eastAsia="zh-CN"/>
          <w14:textFill>
            <w14:solidFill>
              <w14:schemeClr w14:val="tx1"/>
            </w14:solidFill>
          </w14:textFill>
        </w:rPr>
      </w:pPr>
    </w:p>
    <w:p w14:paraId="584F20FD">
      <w:pPr>
        <w:rPr>
          <w:rFonts w:ascii="仿宋" w:hAnsi="仿宋" w:eastAsia="仿宋" w:cs="仿宋"/>
          <w:color w:val="000000" w:themeColor="text1"/>
          <w:highlight w:val="none"/>
          <w:lang w:eastAsia="zh-CN"/>
          <w14:textFill>
            <w14:solidFill>
              <w14:schemeClr w14:val="tx1"/>
            </w14:solidFill>
          </w14:textFill>
        </w:rPr>
      </w:pPr>
    </w:p>
    <w:p w14:paraId="299B96EA">
      <w:pPr>
        <w:rPr>
          <w:rFonts w:ascii="仿宋" w:hAnsi="仿宋" w:eastAsia="仿宋" w:cs="仿宋"/>
          <w:color w:val="000000" w:themeColor="text1"/>
          <w:highlight w:val="none"/>
          <w:lang w:eastAsia="zh-CN"/>
          <w14:textFill>
            <w14:solidFill>
              <w14:schemeClr w14:val="tx1"/>
            </w14:solidFill>
          </w14:textFill>
        </w:rPr>
      </w:pPr>
    </w:p>
    <w:p w14:paraId="4211CE0D">
      <w:pPr>
        <w:rPr>
          <w:rFonts w:ascii="仿宋" w:hAnsi="仿宋" w:eastAsia="仿宋" w:cs="仿宋"/>
          <w:color w:val="000000" w:themeColor="text1"/>
          <w:highlight w:val="none"/>
          <w:lang w:eastAsia="zh-CN"/>
          <w14:textFill>
            <w14:solidFill>
              <w14:schemeClr w14:val="tx1"/>
            </w14:solidFill>
          </w14:textFill>
        </w:rPr>
      </w:pPr>
    </w:p>
    <w:p w14:paraId="47E5A897">
      <w:pPr>
        <w:rPr>
          <w:rFonts w:ascii="仿宋" w:hAnsi="仿宋" w:eastAsia="仿宋" w:cs="仿宋"/>
          <w:color w:val="000000" w:themeColor="text1"/>
          <w:highlight w:val="none"/>
          <w:lang w:eastAsia="zh-CN"/>
          <w14:textFill>
            <w14:solidFill>
              <w14:schemeClr w14:val="tx1"/>
            </w14:solidFill>
          </w14:textFill>
        </w:rPr>
      </w:pPr>
    </w:p>
    <w:p w14:paraId="2ACD9EF7">
      <w:pPr>
        <w:rPr>
          <w:rFonts w:ascii="仿宋" w:hAnsi="仿宋" w:eastAsia="仿宋" w:cs="仿宋"/>
          <w:color w:val="000000" w:themeColor="text1"/>
          <w:highlight w:val="none"/>
          <w:lang w:eastAsia="zh-CN"/>
          <w14:textFill>
            <w14:solidFill>
              <w14:schemeClr w14:val="tx1"/>
            </w14:solidFill>
          </w14:textFill>
        </w:rPr>
      </w:pPr>
    </w:p>
    <w:p w14:paraId="25947F37">
      <w:pPr>
        <w:spacing w:line="360" w:lineRule="auto"/>
        <w:outlineLvl w:val="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1-2供应商资格声明书</w:t>
      </w:r>
    </w:p>
    <w:p w14:paraId="0E97C472">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6CA13F7A">
      <w:pPr>
        <w:spacing w:line="360" w:lineRule="auto"/>
        <w:ind w:firstLine="3093"/>
        <w:rPr>
          <w:rFonts w:ascii="仿宋" w:hAnsi="仿宋" w:eastAsia="仿宋" w:cs="仿宋"/>
          <w:color w:val="000000" w:themeColor="text1"/>
          <w:spacing w:val="5"/>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供应商资格声明书</w:t>
      </w:r>
      <w:r>
        <w:rPr>
          <w:rFonts w:hint="eastAsia" w:ascii="仿宋" w:hAnsi="仿宋" w:eastAsia="仿宋" w:cs="仿宋"/>
          <w:color w:val="000000" w:themeColor="text1"/>
          <w:spacing w:val="5"/>
          <w:sz w:val="36"/>
          <w:szCs w:val="36"/>
          <w:highlight w:val="none"/>
          <w:lang w:eastAsia="zh-CN"/>
          <w14:textFill>
            <w14:solidFill>
              <w14:schemeClr w14:val="tx1"/>
            </w14:solidFill>
          </w14:textFill>
        </w:rPr>
        <w:t xml:space="preserve"> </w:t>
      </w:r>
    </w:p>
    <w:p w14:paraId="30A7C1C9">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采购人 </w:t>
      </w:r>
    </w:p>
    <w:p w14:paraId="61665F60">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在参与本次项目磋商中 ，我单位承诺：</w:t>
      </w:r>
    </w:p>
    <w:p w14:paraId="7601B66B">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（一）具有良好的商业信誉和健全的财务会计制度；</w:t>
      </w:r>
    </w:p>
    <w:p w14:paraId="714F7343">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二 ）具有履行合同所必需的设备和专业技术能力；</w:t>
      </w:r>
    </w:p>
    <w:p w14:paraId="25DA17AC">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（三）有依法缴纳税收和社会保障资金的良好记录；</w:t>
      </w:r>
    </w:p>
    <w:p w14:paraId="77FEA283">
      <w:pPr>
        <w:spacing w:line="360" w:lineRule="auto"/>
        <w:ind w:left="944" w:hanging="928" w:hangingChars="400"/>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2F695C5">
      <w:pPr>
        <w:spacing w:line="360" w:lineRule="auto"/>
        <w:ind w:left="708" w:hanging="696" w:hangingChars="300"/>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（五）我单位不属于政府采购法律、行政法规规定的公益一类事业单位 、或使用事业编制且由财政拨款保障的群团组织（仅适用于政府购买服务项目）；</w:t>
      </w:r>
    </w:p>
    <w:p w14:paraId="07DAF1AC">
      <w:pPr>
        <w:spacing w:line="360" w:lineRule="auto"/>
        <w:ind w:left="708" w:hanging="696" w:hangingChars="300"/>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1BBBA42E">
      <w:pPr>
        <w:spacing w:line="360" w:lineRule="auto"/>
        <w:ind w:left="708" w:hanging="696" w:hangingChars="3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（七）与我单位存在 “单位负责人为同一人或者存在直接控股、管理关系”的其他法 人单位信息如下（如有 ，不论其是否参加同一合同项下的政府采购活动均须 填写）：</w:t>
      </w:r>
    </w:p>
    <w:tbl>
      <w:tblPr>
        <w:tblStyle w:val="29"/>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2C83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2E6A2AC8">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highlight w:val="none"/>
                <w14:textFill>
                  <w14:solidFill>
                    <w14:schemeClr w14:val="tx1"/>
                  </w14:solidFill>
                </w14:textFill>
              </w:rPr>
              <w:t>序号</w:t>
            </w:r>
          </w:p>
        </w:tc>
        <w:tc>
          <w:tcPr>
            <w:tcW w:w="4549" w:type="dxa"/>
          </w:tcPr>
          <w:p w14:paraId="090A8E4A">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单位名称</w:t>
            </w:r>
          </w:p>
        </w:tc>
        <w:tc>
          <w:tcPr>
            <w:tcW w:w="2997" w:type="dxa"/>
          </w:tcPr>
          <w:p w14:paraId="19F44A4B">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相互关系</w:t>
            </w:r>
          </w:p>
        </w:tc>
      </w:tr>
      <w:tr w14:paraId="1FC1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1283C435">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highlight w:val="none"/>
                <w14:textFill>
                  <w14:solidFill>
                    <w14:schemeClr w14:val="tx1"/>
                  </w14:solidFill>
                </w14:textFill>
              </w:rPr>
              <w:t>1</w:t>
            </w:r>
          </w:p>
        </w:tc>
        <w:tc>
          <w:tcPr>
            <w:tcW w:w="4549" w:type="dxa"/>
          </w:tcPr>
          <w:p w14:paraId="6C8D9A5A">
            <w:pPr>
              <w:spacing w:line="360" w:lineRule="auto"/>
              <w:jc w:val="center"/>
              <w:rPr>
                <w:rFonts w:ascii="仿宋" w:hAnsi="仿宋" w:eastAsia="仿宋" w:cs="仿宋"/>
                <w:color w:val="000000" w:themeColor="text1"/>
                <w:highlight w:val="none"/>
                <w14:textFill>
                  <w14:solidFill>
                    <w14:schemeClr w14:val="tx1"/>
                  </w14:solidFill>
                </w14:textFill>
              </w:rPr>
            </w:pPr>
          </w:p>
        </w:tc>
        <w:tc>
          <w:tcPr>
            <w:tcW w:w="2997" w:type="dxa"/>
          </w:tcPr>
          <w:p w14:paraId="6C475B95">
            <w:pPr>
              <w:spacing w:line="360" w:lineRule="auto"/>
              <w:jc w:val="center"/>
              <w:rPr>
                <w:rFonts w:ascii="仿宋" w:hAnsi="仿宋" w:eastAsia="仿宋" w:cs="仿宋"/>
                <w:color w:val="000000" w:themeColor="text1"/>
                <w:highlight w:val="none"/>
                <w14:textFill>
                  <w14:solidFill>
                    <w14:schemeClr w14:val="tx1"/>
                  </w14:solidFill>
                </w14:textFill>
              </w:rPr>
            </w:pPr>
          </w:p>
        </w:tc>
      </w:tr>
      <w:tr w14:paraId="6903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017CFFD5">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highlight w:val="none"/>
                <w14:textFill>
                  <w14:solidFill>
                    <w14:schemeClr w14:val="tx1"/>
                  </w14:solidFill>
                </w14:textFill>
              </w:rPr>
              <w:t>2</w:t>
            </w:r>
          </w:p>
        </w:tc>
        <w:tc>
          <w:tcPr>
            <w:tcW w:w="4549" w:type="dxa"/>
          </w:tcPr>
          <w:p w14:paraId="1CEF040D">
            <w:pPr>
              <w:spacing w:line="360" w:lineRule="auto"/>
              <w:jc w:val="center"/>
              <w:rPr>
                <w:rFonts w:ascii="仿宋" w:hAnsi="仿宋" w:eastAsia="仿宋" w:cs="仿宋"/>
                <w:color w:val="000000" w:themeColor="text1"/>
                <w:highlight w:val="none"/>
                <w14:textFill>
                  <w14:solidFill>
                    <w14:schemeClr w14:val="tx1"/>
                  </w14:solidFill>
                </w14:textFill>
              </w:rPr>
            </w:pPr>
          </w:p>
        </w:tc>
        <w:tc>
          <w:tcPr>
            <w:tcW w:w="2997" w:type="dxa"/>
          </w:tcPr>
          <w:p w14:paraId="26694521">
            <w:pPr>
              <w:spacing w:line="360" w:lineRule="auto"/>
              <w:jc w:val="center"/>
              <w:rPr>
                <w:rFonts w:ascii="仿宋" w:hAnsi="仿宋" w:eastAsia="仿宋" w:cs="仿宋"/>
                <w:color w:val="000000" w:themeColor="text1"/>
                <w:highlight w:val="none"/>
                <w14:textFill>
                  <w14:solidFill>
                    <w14:schemeClr w14:val="tx1"/>
                  </w14:solidFill>
                </w14:textFill>
              </w:rPr>
            </w:pPr>
          </w:p>
        </w:tc>
      </w:tr>
      <w:tr w14:paraId="24BB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1BEDD118">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position w:val="1"/>
                <w:highlight w:val="none"/>
                <w14:textFill>
                  <w14:solidFill>
                    <w14:schemeClr w14:val="tx1"/>
                  </w14:solidFill>
                </w14:textFill>
              </w:rPr>
              <w:t>…</w:t>
            </w:r>
          </w:p>
        </w:tc>
        <w:tc>
          <w:tcPr>
            <w:tcW w:w="4549" w:type="dxa"/>
          </w:tcPr>
          <w:p w14:paraId="4E2E8C2D">
            <w:pPr>
              <w:spacing w:line="360" w:lineRule="auto"/>
              <w:jc w:val="center"/>
              <w:rPr>
                <w:rFonts w:ascii="仿宋" w:hAnsi="仿宋" w:eastAsia="仿宋" w:cs="仿宋"/>
                <w:color w:val="000000" w:themeColor="text1"/>
                <w:highlight w:val="none"/>
                <w14:textFill>
                  <w14:solidFill>
                    <w14:schemeClr w14:val="tx1"/>
                  </w14:solidFill>
                </w14:textFill>
              </w:rPr>
            </w:pPr>
          </w:p>
        </w:tc>
        <w:tc>
          <w:tcPr>
            <w:tcW w:w="2997" w:type="dxa"/>
          </w:tcPr>
          <w:p w14:paraId="07D23D0C">
            <w:pPr>
              <w:spacing w:line="360" w:lineRule="auto"/>
              <w:jc w:val="center"/>
              <w:rPr>
                <w:rFonts w:ascii="仿宋" w:hAnsi="仿宋" w:eastAsia="仿宋" w:cs="仿宋"/>
                <w:color w:val="000000" w:themeColor="text1"/>
                <w:highlight w:val="none"/>
                <w14:textFill>
                  <w14:solidFill>
                    <w14:schemeClr w14:val="tx1"/>
                  </w14:solidFill>
                </w14:textFill>
              </w:rPr>
            </w:pPr>
          </w:p>
        </w:tc>
      </w:tr>
    </w:tbl>
    <w:p w14:paraId="5D292BB7">
      <w:pPr>
        <w:spacing w:line="360" w:lineRule="auto"/>
        <w:ind w:firstLine="464"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上述声明真实有效，否则我方负全部责任。</w:t>
      </w:r>
    </w:p>
    <w:p w14:paraId="06A6EE25">
      <w:pPr>
        <w:spacing w:before="25" w:after="25" w:line="360" w:lineRule="auto"/>
        <w:jc w:val="right"/>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____________</w:t>
      </w:r>
    </w:p>
    <w:p w14:paraId="2B949CB7">
      <w:pPr>
        <w:spacing w:line="360" w:lineRule="auto"/>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4"/>
          <w:sz w:val="24"/>
          <w:szCs w:val="24"/>
          <w:highlight w:val="none"/>
          <w:lang w:eastAsia="zh-CN"/>
          <w14:textFill>
            <w14:solidFill>
              <w14:schemeClr w14:val="tx1"/>
            </w14:solidFill>
          </w14:textFill>
        </w:rPr>
        <w:t xml:space="preserve">                                       日     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日</w:t>
      </w:r>
    </w:p>
    <w:p w14:paraId="03C19948">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说明：供应商承诺不实的，依据《政府采购法》第七十七条“提供虚假材料谋取中标、</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成交的”有关规定予以处理。</w:t>
      </w:r>
    </w:p>
    <w:p w14:paraId="47DAE8E6">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16" w:type="default"/>
          <w:footerReference r:id="rId17" w:type="default"/>
          <w:pgSz w:w="11907" w:h="16839"/>
          <w:pgMar w:top="1417" w:right="1417" w:bottom="1417" w:left="1417" w:header="1247" w:footer="964" w:gutter="0"/>
          <w:cols w:space="720" w:num="1"/>
        </w:sectPr>
      </w:pPr>
    </w:p>
    <w:p w14:paraId="7E91EC06">
      <w:pPr>
        <w:pStyle w:val="7"/>
        <w:spacing w:before="273" w:line="196" w:lineRule="auto"/>
        <w:ind w:left="22"/>
        <w:outlineLvl w:val="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59"/>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落实政府采购政策需满足的资格要求（如</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w:t>
      </w:r>
    </w:p>
    <w:p w14:paraId="5E06EAB0">
      <w:pPr>
        <w:pStyle w:val="7"/>
        <w:spacing w:before="184" w:line="201" w:lineRule="auto"/>
        <w:ind w:left="22"/>
        <w:outlineLvl w:val="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中小企业政策证明文件</w:t>
      </w:r>
    </w:p>
    <w:p w14:paraId="3A86C7C7">
      <w:pPr>
        <w:pStyle w:val="7"/>
        <w:spacing w:before="184" w:line="201" w:lineRule="auto"/>
        <w:ind w:left="22"/>
        <w:outlineLvl w:val="2"/>
        <w:rPr>
          <w:rFonts w:ascii="仿宋" w:hAnsi="仿宋" w:eastAsia="仿宋" w:cs="仿宋"/>
          <w:color w:val="000000" w:themeColor="text1"/>
          <w:sz w:val="24"/>
          <w:szCs w:val="24"/>
          <w:highlight w:val="none"/>
          <w:lang w:eastAsia="zh-CN"/>
          <w14:textFill>
            <w14:solidFill>
              <w14:schemeClr w14:val="tx1"/>
            </w14:solidFill>
          </w14:textFill>
        </w:rPr>
      </w:pPr>
    </w:p>
    <w:p w14:paraId="38556BBC">
      <w:pPr>
        <w:pStyle w:val="7"/>
        <w:spacing w:before="184" w:line="201" w:lineRule="auto"/>
        <w:ind w:left="22"/>
        <w:outlineLvl w:val="2"/>
        <w:rPr>
          <w:rFonts w:ascii="仿宋" w:hAnsi="仿宋" w:eastAsia="仿宋" w:cs="仿宋"/>
          <w:color w:val="000000" w:themeColor="text1"/>
          <w:sz w:val="24"/>
          <w:szCs w:val="24"/>
          <w:highlight w:val="none"/>
          <w:lang w:eastAsia="zh-CN"/>
          <w14:textFill>
            <w14:solidFill>
              <w14:schemeClr w14:val="tx1"/>
            </w14:solidFill>
          </w14:textFill>
        </w:rPr>
      </w:pPr>
    </w:p>
    <w:p w14:paraId="25BA0F49">
      <w:pPr>
        <w:spacing w:before="178" w:line="201" w:lineRule="auto"/>
        <w:ind w:left="8"/>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说明：</w:t>
      </w:r>
    </w:p>
    <w:p w14:paraId="0A5D28FA">
      <w:pPr>
        <w:pStyle w:val="7"/>
        <w:spacing w:before="176" w:line="278" w:lineRule="auto"/>
        <w:ind w:left="6" w:right="14" w:hanging="7"/>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（1）如本项目（包）不专门面向中小企业预留采购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份额，供应商无须提供《中小企业</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声明函》或《残疾人福利性单位声明函》或由省级以上监</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狱管理局、戒毒管理局（含新</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疆生产建设兵团）出具的属于监狱企业的证明文件；当供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应商拟享受中小企业扶持政策时，仍应提供上述证明文件</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，否则不享受相关中小企业扶持政策。</w:t>
      </w:r>
    </w:p>
    <w:p w14:paraId="05F1B274">
      <w:pPr>
        <w:pStyle w:val="7"/>
        <w:spacing w:before="177" w:line="268" w:lineRule="auto"/>
        <w:ind w:left="12" w:hanging="1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（2）如本项目（包）专门面向中小企业采购</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，响应文件中须提供《中小企业声</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明函》</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或《残疾人福利性单位声明函》，或提供由</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省级以上监狱管理局、戒毒管理局（含新疆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生产建设兵团）出具的属于监狱企业的证明文件。</w:t>
      </w:r>
    </w:p>
    <w:p w14:paraId="51E57044">
      <w:pPr>
        <w:pStyle w:val="7"/>
        <w:spacing w:before="184" w:line="284" w:lineRule="auto"/>
        <w:ind w:left="8" w:right="14" w:hanging="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（3）如本项目（包）预留部分采购项目预算专门面向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中小企业采购，且要求获得采购</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合同的供应商将采购项目中的一定比例分包给一家或者多家中小企业或要求供应商以</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联合体形式参加采购活动</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，响应文件中须提供《中小企业声明函》或《残疾人福利性单</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位声明函》或由省级以上监狱管理局、戒毒管理局（</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含新疆生产建设兵团）出具的属于</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监狱企业的证明文件。</w:t>
      </w:r>
    </w:p>
    <w:p w14:paraId="2AA03343">
      <w:pPr>
        <w:pStyle w:val="7"/>
        <w:spacing w:before="176" w:line="196"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（4）中小企业声明函填写注意事项</w:t>
      </w:r>
    </w:p>
    <w:p w14:paraId="13A58791">
      <w:pPr>
        <w:pStyle w:val="7"/>
        <w:spacing w:before="184" w:line="253" w:lineRule="auto"/>
        <w:ind w:left="9" w:right="14" w:firstLine="2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1）《中小企业声明函》</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由参加政府采购活动的供应商出具</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。联合体参与的，《中小</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企业</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声明函》可由牵头人出具。</w:t>
      </w:r>
    </w:p>
    <w:p w14:paraId="6C36CF80">
      <w:pPr>
        <w:pStyle w:val="7"/>
        <w:spacing w:before="175" w:line="270" w:lineRule="auto"/>
        <w:ind w:left="8" w:right="14" w:firstLine="14"/>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）对于联合体中由中小企业承担的部分</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，或者分包给中小</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企业的部分，必须全部由中</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小企业制造、承建或者承接。供应商应当在声明函</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“标的名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称</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”部分标明联合体中中小企</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业承担的具体内容或者中小企业的具体分包内容。</w:t>
      </w:r>
    </w:p>
    <w:p w14:paraId="70F72F08">
      <w:pPr>
        <w:pStyle w:val="7"/>
        <w:spacing w:before="176" w:line="251" w:lineRule="auto"/>
        <w:ind w:left="10" w:right="17" w:firstLine="13"/>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3）对于多标的采购项目，供应商应充分</w:t>
      </w:r>
      <w:r>
        <w:rPr>
          <w:rFonts w:hint="eastAsia" w:ascii="仿宋" w:hAnsi="仿宋" w:eastAsia="仿宋" w:cs="仿宋"/>
          <w:color w:val="000000" w:themeColor="text1"/>
          <w:spacing w:val="-2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、准确地了解所提供货物的制造企业</w:t>
      </w:r>
      <w:r>
        <w:rPr>
          <w:rFonts w:hint="eastAsia" w:ascii="仿宋" w:hAnsi="仿宋" w:eastAsia="仿宋" w:cs="仿宋"/>
          <w:color w:val="000000" w:themeColor="text1"/>
          <w:spacing w:val="-4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、提供服</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务的承接企业信息。对相关情况了解不清楚的，不建议填</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报本声明函。</w:t>
      </w:r>
    </w:p>
    <w:p w14:paraId="344C2A82">
      <w:pPr>
        <w:pStyle w:val="7"/>
        <w:spacing w:before="177" w:line="309" w:lineRule="auto"/>
        <w:ind w:left="8" w:right="14" w:hanging="9"/>
        <w:jc w:val="both"/>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（5）温馨提示</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：为方便广大中小企业识别企业规模类型</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，工业和信息化部组织开发了中小企业规模类型自测小程序，在国务院客户端和工</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业和信息化部网站上均有链接，供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应商填写所属的行业和指标数据可自动生成企业规模</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类型测试结果。本项目中小企业划</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分标准所属行业详见第二章《供应商须知资料</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表》，如在该程序中未找到本项目文件规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定的中小企业划分标准所属行业，则按照《关于印发</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中小企业划型标准规定的通知（工</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信部联企业﹝2011﹞</w:t>
      </w:r>
      <w:r>
        <w:rPr>
          <w:rFonts w:hint="eastAsia" w:ascii="仿宋" w:hAnsi="仿宋" w:eastAsia="仿宋" w:cs="仿宋"/>
          <w:color w:val="000000" w:themeColor="text1"/>
          <w:spacing w:val="-3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300 号）》及《金融业企业划型标准规定》（〔2015〕309</w:t>
      </w:r>
      <w:r>
        <w:rPr>
          <w:rFonts w:hint="eastAsia" w:ascii="仿宋" w:hAnsi="仿宋" w:eastAsia="仿宋" w:cs="仿宋"/>
          <w:color w:val="000000" w:themeColor="text1"/>
          <w:spacing w:val="6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号）等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国务院批准的中小企业划分标准执行。</w:t>
      </w:r>
    </w:p>
    <w:p w14:paraId="0B9A093E">
      <w:pPr>
        <w:spacing w:line="31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18" w:type="default"/>
          <w:footerReference r:id="rId19" w:type="default"/>
          <w:pgSz w:w="11907" w:h="16840"/>
          <w:pgMar w:top="1183" w:right="1121" w:bottom="1060" w:left="1701" w:header="841" w:footer="886" w:gutter="0"/>
          <w:cols w:space="720" w:num="1"/>
        </w:sectPr>
      </w:pPr>
    </w:p>
    <w:p w14:paraId="353B3F66">
      <w:pPr>
        <w:spacing w:line="360" w:lineRule="auto"/>
        <w:outlineLvl w:val="2"/>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2-1-1 中小企业证明文件</w:t>
      </w:r>
    </w:p>
    <w:p w14:paraId="185AB6D9">
      <w:pPr>
        <w:spacing w:line="360" w:lineRule="auto"/>
        <w:jc w:val="center"/>
        <w:rPr>
          <w:rFonts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  </w:t>
      </w:r>
      <w:r>
        <w:rPr>
          <w:rFonts w:hint="eastAsia" w:ascii="仿宋" w:hAnsi="仿宋" w:eastAsia="仿宋" w:cs="仿宋"/>
          <w:b/>
          <w:bCs/>
          <w:color w:val="000000" w:themeColor="text1"/>
          <w:sz w:val="36"/>
          <w:szCs w:val="36"/>
          <w:highlight w:val="none"/>
          <w:lang w:eastAsia="zh-CN"/>
          <w14:textFill>
            <w14:solidFill>
              <w14:schemeClr w14:val="tx1"/>
            </w14:solidFill>
          </w14:textFill>
        </w:rPr>
        <w:t>中小企业声明函（服务）格式</w:t>
      </w:r>
    </w:p>
    <w:p w14:paraId="4B0E4204">
      <w:pPr>
        <w:tabs>
          <w:tab w:val="left" w:pos="1276"/>
          <w:tab w:val="left" w:pos="5005"/>
          <w:tab w:val="left" w:pos="7227"/>
        </w:tabs>
        <w:spacing w:line="360" w:lineRule="auto"/>
        <w:ind w:left="284" w:right="236" w:firstLine="576"/>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000000" w:themeColor="text1"/>
          <w:w w:val="99"/>
          <w:sz w:val="24"/>
          <w:szCs w:val="24"/>
          <w:highlight w:val="none"/>
          <w:lang w:eastAsia="zh-CN"/>
          <w14:textFill>
            <w14:solidFill>
              <w14:schemeClr w14:val="tx1"/>
            </w14:solidFill>
          </w14:textFill>
        </w:rPr>
        <w:t>1</w:t>
      </w:r>
      <w:r>
        <w:rPr>
          <w:rFonts w:hint="eastAsia" w:ascii="仿宋" w:hAnsi="仿宋" w:eastAsia="仿宋" w:cs="仿宋"/>
          <w:color w:val="000000" w:themeColor="text1"/>
          <w:w w:val="99"/>
          <w:sz w:val="32"/>
          <w:szCs w:val="32"/>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position w:val="16"/>
          <w:sz w:val="24"/>
          <w:highlight w:val="none"/>
          <w:lang w:eastAsia="zh-CN"/>
          <w14:textFill>
            <w14:solidFill>
              <w14:schemeClr w14:val="tx1"/>
            </w14:solidFill>
          </w14:textFill>
        </w:rPr>
        <w:t>1</w:t>
      </w:r>
      <w:r>
        <w:rPr>
          <w:rFonts w:hint="eastAsia" w:ascii="仿宋" w:hAnsi="仿宋" w:eastAsia="仿宋" w:cs="仿宋"/>
          <w:color w:val="000000" w:themeColor="text1"/>
          <w:position w:val="16"/>
          <w:sz w:val="24"/>
          <w:highlight w:val="none"/>
          <w:lang w:eastAsia="zh-CN"/>
          <w14:textFill>
            <w14:solidFill>
              <w14:schemeClr w14:val="tx1"/>
            </w14:solidFill>
          </w14:textFill>
        </w:rPr>
        <w:fldChar w:fldCharType="end"/>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u w:val="single"/>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017C22F5">
      <w:pPr>
        <w:tabs>
          <w:tab w:val="left" w:pos="1243"/>
          <w:tab w:val="left" w:pos="1806"/>
          <w:tab w:val="left" w:pos="5005"/>
          <w:tab w:val="left" w:pos="7213"/>
        </w:tabs>
        <w:spacing w:line="360" w:lineRule="auto"/>
        <w:ind w:left="205" w:right="258" w:firstLine="655"/>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w w:val="99"/>
          <w:sz w:val="24"/>
          <w:szCs w:val="24"/>
          <w:highlight w:val="none"/>
          <w:lang w:eastAsia="zh-CN"/>
          <w14:textFill>
            <w14:solidFill>
              <w14:schemeClr w14:val="tx1"/>
            </w14:solidFill>
          </w14:textFill>
        </w:rPr>
        <w:t>2.</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万元，属于</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748E9825">
      <w:pPr>
        <w:spacing w:line="360" w:lineRule="auto"/>
        <w:ind w:left="8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p>
    <w:p w14:paraId="576E97A2">
      <w:pPr>
        <w:spacing w:line="360" w:lineRule="auto"/>
        <w:ind w:left="220" w:right="417" w:firstLine="645"/>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152EDE76">
      <w:pPr>
        <w:spacing w:line="360" w:lineRule="auto"/>
        <w:ind w:firstLine="504"/>
        <w:rPr>
          <w:rFonts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本企业对上述声明内容的真实性负责。如有虚假，将依法承担相应责任。</w:t>
      </w:r>
    </w:p>
    <w:p w14:paraId="4F5E4FF1">
      <w:pPr>
        <w:spacing w:line="360" w:lineRule="auto"/>
        <w:ind w:firstLine="504"/>
        <w:rPr>
          <w:rFonts w:ascii="仿宋" w:hAnsi="仿宋" w:eastAsia="仿宋" w:cs="仿宋"/>
          <w:color w:val="000000" w:themeColor="text1"/>
          <w:spacing w:val="6"/>
          <w:sz w:val="24"/>
          <w:highlight w:val="none"/>
          <w:lang w:eastAsia="zh-CN"/>
          <w14:textFill>
            <w14:solidFill>
              <w14:schemeClr w14:val="tx1"/>
            </w14:solidFill>
          </w14:textFill>
        </w:rPr>
      </w:pPr>
    </w:p>
    <w:p w14:paraId="2F3C52FB">
      <w:pPr>
        <w:spacing w:line="360" w:lineRule="auto"/>
        <w:ind w:right="360" w:firstLine="480"/>
        <w:jc w:val="right"/>
        <w:rPr>
          <w:rFonts w:ascii="仿宋" w:hAnsi="仿宋" w:eastAsia="仿宋" w:cs="仿宋"/>
          <w:color w:val="000000" w:themeColor="text1"/>
          <w:sz w:val="24"/>
          <w:highlight w:val="none"/>
          <w:lang w:eastAsia="zh-CN"/>
          <w14:textFill>
            <w14:solidFill>
              <w14:schemeClr w14:val="tx1"/>
            </w14:solidFill>
          </w14:textFill>
        </w:rPr>
      </w:pPr>
    </w:p>
    <w:p w14:paraId="7633969D">
      <w:pPr>
        <w:spacing w:line="360" w:lineRule="auto"/>
        <w:ind w:right="360" w:firstLine="480"/>
        <w:jc w:val="righ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企业名称（加盖公章）：________</w:t>
      </w:r>
    </w:p>
    <w:p w14:paraId="7B18718E">
      <w:pPr>
        <w:spacing w:line="360" w:lineRule="auto"/>
        <w:ind w:right="360" w:firstLine="480"/>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期：________</w:t>
      </w:r>
    </w:p>
    <w:p w14:paraId="325E39F3">
      <w:pPr>
        <w:spacing w:line="360" w:lineRule="auto"/>
        <w:ind w:right="360" w:firstLine="480"/>
        <w:jc w:val="right"/>
        <w:rPr>
          <w:rFonts w:ascii="仿宋" w:hAnsi="仿宋" w:eastAsia="仿宋" w:cs="仿宋"/>
          <w:color w:val="000000" w:themeColor="text1"/>
          <w:sz w:val="24"/>
          <w:highlight w:val="none"/>
          <w14:textFill>
            <w14:solidFill>
              <w14:schemeClr w14:val="tx1"/>
            </w14:solidFill>
          </w14:textFill>
        </w:rPr>
      </w:pPr>
    </w:p>
    <w:p w14:paraId="0F01621F">
      <w:pPr>
        <w:rPr>
          <w:rFonts w:ascii="仿宋" w:hAnsi="仿宋" w:eastAsia="仿宋" w:cs="仿宋"/>
          <w:color w:val="000000" w:themeColor="text1"/>
          <w:sz w:val="24"/>
          <w:highlight w:val="none"/>
          <w14:textFill>
            <w14:solidFill>
              <w14:schemeClr w14:val="tx1"/>
            </w14:solidFill>
          </w14:textFill>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43897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C78BC9A">
            <w:pP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vertAlign w:val="superscript"/>
                <w:lang w:eastAsia="zh-CN"/>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从业人员、营业收入、资产总额填报上一年度数据，无上一年度数据的新成立企业可不填报。</w:t>
            </w:r>
          </w:p>
        </w:tc>
      </w:tr>
    </w:tbl>
    <w:p w14:paraId="5EC6CC2D">
      <w:pPr>
        <w:rPr>
          <w:rFonts w:ascii="仿宋" w:hAnsi="仿宋" w:eastAsia="仿宋" w:cs="仿宋"/>
          <w:color w:val="000000" w:themeColor="text1"/>
          <w:highlight w:val="none"/>
          <w:vertAlign w:val="superscript"/>
          <w:lang w:eastAsia="zh-CN"/>
          <w14:textFill>
            <w14:solidFill>
              <w14:schemeClr w14:val="tx1"/>
            </w14:solidFill>
          </w14:textFill>
        </w:rPr>
      </w:pPr>
    </w:p>
    <w:p w14:paraId="789CF7A9">
      <w:pPr>
        <w:rPr>
          <w:rFonts w:ascii="仿宋" w:hAnsi="仿宋" w:eastAsia="仿宋" w:cs="仿宋"/>
          <w:color w:val="000000" w:themeColor="text1"/>
          <w:highlight w:val="none"/>
          <w:vertAlign w:val="superscript"/>
          <w:lang w:eastAsia="zh-CN"/>
          <w14:textFill>
            <w14:solidFill>
              <w14:schemeClr w14:val="tx1"/>
            </w14:solidFill>
          </w14:textFill>
        </w:rPr>
      </w:pPr>
    </w:p>
    <w:p w14:paraId="6EDAD483">
      <w:pPr>
        <w:spacing w:line="360" w:lineRule="auto"/>
        <w:ind w:right="360" w:firstLine="480"/>
        <w:jc w:val="right"/>
        <w:rPr>
          <w:rFonts w:ascii="仿宋" w:hAnsi="仿宋" w:eastAsia="仿宋" w:cs="仿宋"/>
          <w:color w:val="000000" w:themeColor="text1"/>
          <w:sz w:val="24"/>
          <w:highlight w:val="none"/>
          <w:lang w:eastAsia="zh-CN"/>
          <w14:textFill>
            <w14:solidFill>
              <w14:schemeClr w14:val="tx1"/>
            </w14:solidFill>
          </w14:textFill>
        </w:rPr>
      </w:pPr>
    </w:p>
    <w:p w14:paraId="274E1984">
      <w:pPr>
        <w:spacing w:line="360" w:lineRule="auto"/>
        <w:ind w:right="360" w:firstLine="480"/>
        <w:jc w:val="right"/>
        <w:rPr>
          <w:rFonts w:ascii="仿宋" w:hAnsi="仿宋" w:eastAsia="仿宋" w:cs="仿宋"/>
          <w:color w:val="000000" w:themeColor="text1"/>
          <w:sz w:val="24"/>
          <w:highlight w:val="none"/>
          <w:lang w:eastAsia="zh-CN"/>
          <w14:textFill>
            <w14:solidFill>
              <w14:schemeClr w14:val="tx1"/>
            </w14:solidFill>
          </w14:textFill>
        </w:rPr>
      </w:pPr>
    </w:p>
    <w:p w14:paraId="3EFB6BB5">
      <w:pPr>
        <w:spacing w:line="360" w:lineRule="auto"/>
        <w:ind w:right="360" w:firstLine="480"/>
        <w:jc w:val="right"/>
        <w:rPr>
          <w:rFonts w:ascii="仿宋" w:hAnsi="仿宋" w:eastAsia="仿宋" w:cs="仿宋"/>
          <w:color w:val="000000" w:themeColor="text1"/>
          <w:sz w:val="24"/>
          <w:highlight w:val="none"/>
          <w:lang w:eastAsia="zh-CN"/>
          <w14:textFill>
            <w14:solidFill>
              <w14:schemeClr w14:val="tx1"/>
            </w14:solidFill>
          </w14:textFill>
        </w:rPr>
      </w:pPr>
    </w:p>
    <w:p w14:paraId="4A8E5798">
      <w:pPr>
        <w:spacing w:line="360" w:lineRule="auto"/>
        <w:jc w:val="center"/>
        <w:rPr>
          <w:rFonts w:ascii="仿宋" w:hAnsi="仿宋" w:eastAsia="仿宋" w:cs="仿宋"/>
          <w:color w:val="000000" w:themeColor="text1"/>
          <w:sz w:val="24"/>
          <w:szCs w:val="20"/>
          <w:highlight w:val="none"/>
          <w:lang w:eastAsia="zh-CN"/>
          <w14:textFill>
            <w14:solidFill>
              <w14:schemeClr w14:val="tx1"/>
            </w14:solidFill>
          </w14:textFill>
        </w:rPr>
      </w:pPr>
    </w:p>
    <w:p w14:paraId="56B17648">
      <w:pPr>
        <w:spacing w:line="360" w:lineRule="auto"/>
        <w:jc w:val="center"/>
        <w:rPr>
          <w:rFonts w:ascii="仿宋" w:hAnsi="仿宋" w:eastAsia="仿宋" w:cs="仿宋"/>
          <w:color w:val="000000" w:themeColor="text1"/>
          <w:sz w:val="24"/>
          <w:szCs w:val="20"/>
          <w:highlight w:val="none"/>
          <w:lang w:eastAsia="zh-CN"/>
          <w14:textFill>
            <w14:solidFill>
              <w14:schemeClr w14:val="tx1"/>
            </w14:solidFill>
          </w14:textFill>
        </w:rPr>
      </w:pPr>
    </w:p>
    <w:p w14:paraId="413CF1DF">
      <w:pPr>
        <w:spacing w:line="360" w:lineRule="auto"/>
        <w:jc w:val="center"/>
        <w:rPr>
          <w:rFonts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eastAsia="zh-CN"/>
          <w14:textFill>
            <w14:solidFill>
              <w14:schemeClr w14:val="tx1"/>
            </w14:solidFill>
          </w14:textFill>
        </w:rPr>
        <w:t>残疾人福利性单位声明函</w:t>
      </w:r>
    </w:p>
    <w:p w14:paraId="66E73014">
      <w:pPr>
        <w:spacing w:line="588" w:lineRule="exact"/>
        <w:ind w:firstLine="504"/>
        <w:rPr>
          <w:rFonts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highlight w:val="none"/>
          <w:lang w:eastAsia="zh-CN"/>
          <w14:textFill>
            <w14:solidFill>
              <w14:schemeClr w14:val="tx1"/>
            </w14:solidFill>
          </w14:textFill>
        </w:rPr>
        <w:t>〔2017〕141</w:t>
      </w:r>
      <w:r>
        <w:rPr>
          <w:rFonts w:hint="eastAsia" w:ascii="仿宋" w:hAnsi="仿宋" w:eastAsia="仿宋" w:cs="仿宋"/>
          <w:color w:val="000000" w:themeColor="text1"/>
          <w:spacing w:val="6"/>
          <w:sz w:val="24"/>
          <w:highlight w:val="none"/>
          <w:lang w:eastAsia="zh-CN"/>
          <w14:textFill>
            <w14:solidFill>
              <w14:schemeClr w14:val="tx1"/>
            </w14:solidFill>
          </w14:textFill>
        </w:rPr>
        <w:t>号）的规定，本单位</w:t>
      </w:r>
      <w:r>
        <w:rPr>
          <w:rFonts w:hint="eastAsia" w:ascii="仿宋" w:hAnsi="仿宋" w:eastAsia="仿宋" w:cs="仿宋"/>
          <w:b/>
          <w:color w:val="000000" w:themeColor="text1"/>
          <w:sz w:val="24"/>
          <w:highlight w:val="none"/>
          <w:lang w:eastAsia="zh-CN"/>
          <w14:textFill>
            <w14:solidFill>
              <w14:schemeClr w14:val="tx1"/>
            </w14:solidFill>
          </w14:textFill>
        </w:rPr>
        <w:t>（请进行勾选）</w:t>
      </w:r>
      <w:r>
        <w:rPr>
          <w:rFonts w:hint="eastAsia" w:ascii="仿宋" w:hAnsi="仿宋" w:eastAsia="仿宋" w:cs="仿宋"/>
          <w:color w:val="000000" w:themeColor="text1"/>
          <w:spacing w:val="6"/>
          <w:sz w:val="24"/>
          <w:highlight w:val="none"/>
          <w:lang w:eastAsia="zh-CN"/>
          <w14:textFill>
            <w14:solidFill>
              <w14:schemeClr w14:val="tx1"/>
            </w14:solidFill>
          </w14:textFill>
        </w:rPr>
        <w:t>：</w:t>
      </w:r>
    </w:p>
    <w:p w14:paraId="189169B2">
      <w:pPr>
        <w:spacing w:line="588" w:lineRule="exact"/>
        <w:ind w:firstLine="482"/>
        <w:rPr>
          <w:rFonts w:ascii="仿宋" w:hAnsi="仿宋" w:eastAsia="仿宋" w:cs="仿宋"/>
          <w:b/>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不属于符合条件的残疾人福利性单位。</w:t>
      </w:r>
    </w:p>
    <w:p w14:paraId="1199A40B">
      <w:pPr>
        <w:spacing w:line="588" w:lineRule="exact"/>
        <w:ind w:firstLine="482"/>
        <w:rPr>
          <w:rFonts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属于符合条件的残疾人福利性单位，</w:t>
      </w:r>
      <w:r>
        <w:rPr>
          <w:rFonts w:hint="eastAsia" w:ascii="仿宋" w:hAnsi="仿宋" w:eastAsia="仿宋" w:cs="仿宋"/>
          <w:color w:val="000000" w:themeColor="text1"/>
          <w:spacing w:val="6"/>
          <w:sz w:val="24"/>
          <w:highlight w:val="none"/>
          <w:lang w:eastAsia="zh-CN"/>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4711650A">
      <w:pPr>
        <w:spacing w:line="588" w:lineRule="exact"/>
        <w:ind w:firstLine="506" w:firstLineChars="200"/>
        <w:rPr>
          <w:rFonts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pacing w:val="6"/>
          <w:sz w:val="24"/>
          <w:highlight w:val="none"/>
          <w:lang w:eastAsia="zh-CN"/>
          <w14:textFill>
            <w14:solidFill>
              <w14:schemeClr w14:val="tx1"/>
            </w14:solidFill>
          </w14:textFill>
        </w:rPr>
        <w:t>本单位对上述声明的真实性负责。如有虚假，将依法承担相应责任。</w:t>
      </w:r>
    </w:p>
    <w:p w14:paraId="3278A024">
      <w:pPr>
        <w:spacing w:line="588" w:lineRule="exact"/>
        <w:ind w:firstLine="504" w:firstLineChars="200"/>
        <w:rPr>
          <w:rFonts w:ascii="仿宋" w:hAnsi="仿宋" w:eastAsia="仿宋" w:cs="仿宋"/>
          <w:color w:val="000000" w:themeColor="text1"/>
          <w:spacing w:val="6"/>
          <w:sz w:val="24"/>
          <w:highlight w:val="none"/>
          <w:lang w:eastAsia="zh-CN"/>
          <w14:textFill>
            <w14:solidFill>
              <w14:schemeClr w14:val="tx1"/>
            </w14:solidFill>
          </w14:textFill>
        </w:rPr>
      </w:pPr>
    </w:p>
    <w:p w14:paraId="000BF0F5">
      <w:pPr>
        <w:spacing w:line="588" w:lineRule="exact"/>
        <w:ind w:firstLine="504" w:firstLineChars="200"/>
        <w:rPr>
          <w:rFonts w:ascii="仿宋" w:hAnsi="仿宋" w:eastAsia="仿宋" w:cs="仿宋"/>
          <w:color w:val="000000" w:themeColor="text1"/>
          <w:spacing w:val="6"/>
          <w:sz w:val="24"/>
          <w:highlight w:val="none"/>
          <w:lang w:eastAsia="zh-CN"/>
          <w14:textFill>
            <w14:solidFill>
              <w14:schemeClr w14:val="tx1"/>
            </w14:solidFill>
          </w14:textFill>
        </w:rPr>
      </w:pPr>
    </w:p>
    <w:p w14:paraId="66B635DE">
      <w:pPr>
        <w:tabs>
          <w:tab w:val="left" w:pos="4860"/>
        </w:tabs>
        <w:spacing w:line="588" w:lineRule="exact"/>
        <w:ind w:right="1560" w:firstLine="504" w:firstLineChars="200"/>
        <w:jc w:val="right"/>
        <w:rPr>
          <w:rFonts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 xml:space="preserve">               单位名称（加盖公章）：</w:t>
      </w:r>
    </w:p>
    <w:p w14:paraId="4157C251">
      <w:pPr>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 xml:space="preserve">                                  日  期：</w:t>
      </w:r>
    </w:p>
    <w:p w14:paraId="215AB7C8">
      <w:pPr>
        <w:rPr>
          <w:rFonts w:ascii="仿宋" w:hAnsi="仿宋" w:eastAsia="仿宋" w:cs="仿宋"/>
          <w:color w:val="000000" w:themeColor="text1"/>
          <w:highlight w:val="none"/>
          <w:lang w:eastAsia="zh-CN"/>
          <w14:textFill>
            <w14:solidFill>
              <w14:schemeClr w14:val="tx1"/>
            </w14:solidFill>
          </w14:textFill>
        </w:rPr>
      </w:pPr>
    </w:p>
    <w:p w14:paraId="238ECAAA">
      <w:pPr>
        <w:rPr>
          <w:rFonts w:ascii="仿宋" w:hAnsi="仿宋" w:eastAsia="仿宋" w:cs="仿宋"/>
          <w:color w:val="000000" w:themeColor="text1"/>
          <w:highlight w:val="none"/>
          <w:lang w:eastAsia="zh-CN"/>
          <w14:textFill>
            <w14:solidFill>
              <w14:schemeClr w14:val="tx1"/>
            </w14:solidFill>
          </w14:textFill>
        </w:rPr>
      </w:pPr>
    </w:p>
    <w:p w14:paraId="33CCE5D7">
      <w:pPr>
        <w:rPr>
          <w:rFonts w:ascii="仿宋" w:hAnsi="仿宋" w:eastAsia="仿宋" w:cs="仿宋"/>
          <w:color w:val="000000" w:themeColor="text1"/>
          <w:highlight w:val="none"/>
          <w:lang w:eastAsia="zh-CN"/>
          <w14:textFill>
            <w14:solidFill>
              <w14:schemeClr w14:val="tx1"/>
            </w14:solidFill>
          </w14:textFill>
        </w:rPr>
      </w:pPr>
    </w:p>
    <w:p w14:paraId="161BAD51">
      <w:pPr>
        <w:rPr>
          <w:rFonts w:ascii="仿宋" w:hAnsi="仿宋" w:eastAsia="仿宋" w:cs="仿宋"/>
          <w:color w:val="000000" w:themeColor="text1"/>
          <w:highlight w:val="none"/>
          <w:lang w:eastAsia="zh-CN"/>
          <w14:textFill>
            <w14:solidFill>
              <w14:schemeClr w14:val="tx1"/>
            </w14:solidFill>
          </w14:textFill>
        </w:rPr>
      </w:pPr>
    </w:p>
    <w:p w14:paraId="5D307CE7">
      <w:pPr>
        <w:rPr>
          <w:rFonts w:ascii="仿宋" w:hAnsi="仿宋" w:eastAsia="仿宋" w:cs="仿宋"/>
          <w:color w:val="000000" w:themeColor="text1"/>
          <w:highlight w:val="none"/>
          <w:lang w:eastAsia="zh-CN"/>
          <w14:textFill>
            <w14:solidFill>
              <w14:schemeClr w14:val="tx1"/>
            </w14:solidFill>
          </w14:textFill>
        </w:rPr>
      </w:pPr>
    </w:p>
    <w:p w14:paraId="2628CA7C">
      <w:pPr>
        <w:rPr>
          <w:rFonts w:ascii="仿宋" w:hAnsi="仿宋" w:eastAsia="仿宋" w:cs="仿宋"/>
          <w:color w:val="000000" w:themeColor="text1"/>
          <w:highlight w:val="none"/>
          <w:lang w:eastAsia="zh-CN"/>
          <w14:textFill>
            <w14:solidFill>
              <w14:schemeClr w14:val="tx1"/>
            </w14:solidFill>
          </w14:textFill>
        </w:rPr>
      </w:pPr>
    </w:p>
    <w:p w14:paraId="086234C6">
      <w:pPr>
        <w:rPr>
          <w:rFonts w:ascii="仿宋" w:hAnsi="仿宋" w:eastAsia="仿宋" w:cs="仿宋"/>
          <w:color w:val="000000" w:themeColor="text1"/>
          <w:highlight w:val="none"/>
          <w:lang w:eastAsia="zh-CN"/>
          <w14:textFill>
            <w14:solidFill>
              <w14:schemeClr w14:val="tx1"/>
            </w14:solidFill>
          </w14:textFill>
        </w:rPr>
      </w:pPr>
    </w:p>
    <w:p w14:paraId="300FE55C">
      <w:pPr>
        <w:rPr>
          <w:rFonts w:ascii="仿宋" w:hAnsi="仿宋" w:eastAsia="仿宋" w:cs="仿宋"/>
          <w:color w:val="000000" w:themeColor="text1"/>
          <w:highlight w:val="none"/>
          <w:lang w:eastAsia="zh-CN"/>
          <w14:textFill>
            <w14:solidFill>
              <w14:schemeClr w14:val="tx1"/>
            </w14:solidFill>
          </w14:textFill>
        </w:rPr>
      </w:pPr>
    </w:p>
    <w:p w14:paraId="4DAF64C4">
      <w:pPr>
        <w:rPr>
          <w:rFonts w:ascii="仿宋" w:hAnsi="仿宋" w:eastAsia="仿宋" w:cs="仿宋"/>
          <w:color w:val="000000" w:themeColor="text1"/>
          <w:highlight w:val="none"/>
          <w:lang w:eastAsia="zh-CN"/>
          <w14:textFill>
            <w14:solidFill>
              <w14:schemeClr w14:val="tx1"/>
            </w14:solidFill>
          </w14:textFill>
        </w:rPr>
      </w:pPr>
    </w:p>
    <w:p w14:paraId="3B0AFA32">
      <w:pPr>
        <w:rPr>
          <w:rFonts w:ascii="仿宋" w:hAnsi="仿宋" w:eastAsia="仿宋" w:cs="仿宋"/>
          <w:color w:val="000000" w:themeColor="text1"/>
          <w:highlight w:val="none"/>
          <w:lang w:eastAsia="zh-CN"/>
          <w14:textFill>
            <w14:solidFill>
              <w14:schemeClr w14:val="tx1"/>
            </w14:solidFill>
          </w14:textFill>
        </w:rPr>
      </w:pPr>
    </w:p>
    <w:p w14:paraId="35F1BEA6">
      <w:pPr>
        <w:rPr>
          <w:rFonts w:ascii="仿宋" w:hAnsi="仿宋" w:eastAsia="仿宋" w:cs="仿宋"/>
          <w:color w:val="000000" w:themeColor="text1"/>
          <w:highlight w:val="none"/>
          <w:lang w:eastAsia="zh-CN"/>
          <w14:textFill>
            <w14:solidFill>
              <w14:schemeClr w14:val="tx1"/>
            </w14:solidFill>
          </w14:textFill>
        </w:rPr>
      </w:pPr>
    </w:p>
    <w:p w14:paraId="5F854CA2">
      <w:pPr>
        <w:rPr>
          <w:rFonts w:ascii="仿宋" w:hAnsi="仿宋" w:eastAsia="仿宋" w:cs="仿宋"/>
          <w:color w:val="000000" w:themeColor="text1"/>
          <w:highlight w:val="none"/>
          <w:lang w:eastAsia="zh-CN"/>
          <w14:textFill>
            <w14:solidFill>
              <w14:schemeClr w14:val="tx1"/>
            </w14:solidFill>
          </w14:textFill>
        </w:rPr>
      </w:pPr>
    </w:p>
    <w:p w14:paraId="5EC0837D">
      <w:pPr>
        <w:rPr>
          <w:rFonts w:ascii="仿宋" w:hAnsi="仿宋" w:eastAsia="仿宋" w:cs="仿宋"/>
          <w:color w:val="000000" w:themeColor="text1"/>
          <w:highlight w:val="none"/>
          <w:lang w:eastAsia="zh-CN"/>
          <w14:textFill>
            <w14:solidFill>
              <w14:schemeClr w14:val="tx1"/>
            </w14:solidFill>
          </w14:textFill>
        </w:rPr>
      </w:pPr>
    </w:p>
    <w:p w14:paraId="7765021B">
      <w:pPr>
        <w:rPr>
          <w:rFonts w:ascii="仿宋" w:hAnsi="仿宋" w:eastAsia="仿宋" w:cs="仿宋"/>
          <w:color w:val="000000" w:themeColor="text1"/>
          <w:highlight w:val="none"/>
          <w:lang w:eastAsia="zh-CN"/>
          <w14:textFill>
            <w14:solidFill>
              <w14:schemeClr w14:val="tx1"/>
            </w14:solidFill>
          </w14:textFill>
        </w:rPr>
      </w:pPr>
    </w:p>
    <w:p w14:paraId="2D888344">
      <w:pPr>
        <w:rPr>
          <w:rFonts w:ascii="仿宋" w:hAnsi="仿宋" w:eastAsia="仿宋" w:cs="仿宋"/>
          <w:color w:val="000000" w:themeColor="text1"/>
          <w:highlight w:val="none"/>
          <w:lang w:eastAsia="zh-CN"/>
          <w14:textFill>
            <w14:solidFill>
              <w14:schemeClr w14:val="tx1"/>
            </w14:solidFill>
          </w14:textFill>
        </w:rPr>
      </w:pPr>
    </w:p>
    <w:p w14:paraId="5B6847B9">
      <w:pPr>
        <w:rPr>
          <w:rFonts w:ascii="仿宋" w:hAnsi="仿宋" w:eastAsia="仿宋" w:cs="仿宋"/>
          <w:color w:val="000000" w:themeColor="text1"/>
          <w:highlight w:val="none"/>
          <w:lang w:eastAsia="zh-CN"/>
          <w14:textFill>
            <w14:solidFill>
              <w14:schemeClr w14:val="tx1"/>
            </w14:solidFill>
          </w14:textFill>
        </w:rPr>
      </w:pPr>
    </w:p>
    <w:p w14:paraId="4B3C8279">
      <w:pPr>
        <w:rPr>
          <w:rFonts w:ascii="仿宋" w:hAnsi="仿宋" w:eastAsia="仿宋" w:cs="仿宋"/>
          <w:color w:val="000000" w:themeColor="text1"/>
          <w:highlight w:val="none"/>
          <w:lang w:eastAsia="zh-CN"/>
          <w14:textFill>
            <w14:solidFill>
              <w14:schemeClr w14:val="tx1"/>
            </w14:solidFill>
          </w14:textFill>
        </w:rPr>
      </w:pPr>
    </w:p>
    <w:p w14:paraId="3334CBA0">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p>
    <w:p w14:paraId="50D2119A">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p>
    <w:p w14:paraId="4D0833D3">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p>
    <w:p w14:paraId="2CE98E01">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p>
    <w:p w14:paraId="2E2400F1">
      <w:pPr>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br w:type="page"/>
      </w:r>
    </w:p>
    <w:p w14:paraId="3D8D3507">
      <w:pPr>
        <w:spacing w:line="360" w:lineRule="auto"/>
        <w:outlineLvl w:val="2"/>
        <w:rPr>
          <w:rFonts w:ascii="仿宋" w:hAnsi="仿宋" w:eastAsia="仿宋" w:cs="仿宋"/>
          <w:color w:val="000000" w:themeColor="text1"/>
          <w:spacing w:val="-4"/>
          <w:sz w:val="24"/>
          <w:szCs w:val="24"/>
          <w:highlight w:val="none"/>
          <w:lang w:eastAsia="zh-CN"/>
          <w14:textFill>
            <w14:solidFill>
              <w14:schemeClr w14:val="tx1"/>
            </w14:solidFill>
          </w14:textFill>
        </w:rPr>
        <w:sectPr>
          <w:headerReference r:id="rId20" w:type="default"/>
          <w:footerReference r:id="rId21" w:type="default"/>
          <w:pgSz w:w="11907" w:h="16839"/>
          <w:pgMar w:top="1417" w:right="1417" w:bottom="1417" w:left="1417" w:header="1191" w:footer="850" w:gutter="0"/>
          <w:cols w:space="720" w:num="1"/>
        </w:sectPr>
      </w:pPr>
    </w:p>
    <w:p w14:paraId="317B6922">
      <w:pPr>
        <w:spacing w:line="360" w:lineRule="auto"/>
        <w:outlineLvl w:val="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2-2其它落实政府采购政策的资格要求（如有）</w:t>
      </w:r>
    </w:p>
    <w:p w14:paraId="172B2929">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sectPr>
          <w:pgSz w:w="11907" w:h="16839"/>
          <w:pgMar w:top="1417" w:right="1417" w:bottom="1417" w:left="1417" w:header="1191" w:footer="850" w:gutter="0"/>
          <w:cols w:space="720" w:num="1"/>
        </w:sectPr>
      </w:pPr>
    </w:p>
    <w:p w14:paraId="7BB29E38">
      <w:pPr>
        <w:spacing w:line="360" w:lineRule="auto"/>
        <w:outlineLvl w:val="1"/>
        <w:rPr>
          <w:rFonts w:ascii="仿宋" w:hAnsi="仿宋" w:eastAsia="仿宋" w:cs="仿宋"/>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3</w:t>
      </w:r>
      <w:r>
        <w:rPr>
          <w:rFonts w:hint="eastAsia" w:ascii="仿宋" w:hAnsi="仿宋" w:eastAsia="仿宋" w:cs="仿宋"/>
          <w:color w:val="000000" w:themeColor="text1"/>
          <w:spacing w:val="-3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本项目的特定资格要求</w:t>
      </w:r>
    </w:p>
    <w:p w14:paraId="0A803422">
      <w:pPr>
        <w:outlineLvl w:val="2"/>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提供具有国家秘密载体印制资质证书(涉密档案数字化加工资质)乙级及以上（证书在有效期内）；</w:t>
      </w:r>
    </w:p>
    <w:p w14:paraId="62B50BC4">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4B916F23">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22B63651">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153B3294">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6EC69688">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715E721E">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420DF412">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6C2EF9B4">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0BF064B4">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2DF93CD9">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70DA6BB1">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217101C1">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0C775E33">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62949793">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2261E231">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59057E48">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2E82CFDC">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369C59DC">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6D7F130D">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5F33B692">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65431886">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5E08B8ED">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022D4ECD">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757B6571">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5138D92A">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2190DDB0">
      <w:pPr>
        <w:pStyle w:val="35"/>
        <w:spacing w:line="360" w:lineRule="auto"/>
        <w:rPr>
          <w:rFonts w:ascii="仿宋" w:hAnsi="仿宋" w:eastAsia="仿宋" w:cs="仿宋"/>
          <w:color w:val="000000" w:themeColor="text1"/>
          <w:szCs w:val="20"/>
          <w:highlight w:val="none"/>
          <w14:textFill>
            <w14:solidFill>
              <w14:schemeClr w14:val="tx1"/>
            </w14:solidFill>
          </w14:textFill>
        </w:rPr>
      </w:pPr>
    </w:p>
    <w:p w14:paraId="6DCE6DF6">
      <w:pPr>
        <w:spacing w:line="360" w:lineRule="auto"/>
        <w:rPr>
          <w:rFonts w:ascii="仿宋" w:hAnsi="仿宋" w:eastAsia="仿宋" w:cs="仿宋"/>
          <w:color w:val="000000" w:themeColor="text1"/>
          <w:spacing w:val="-5"/>
          <w:sz w:val="24"/>
          <w:szCs w:val="24"/>
          <w:highlight w:val="none"/>
          <w:lang w:eastAsia="zh-CN"/>
          <w14:textFill>
            <w14:solidFill>
              <w14:schemeClr w14:val="tx1"/>
            </w14:solidFill>
          </w14:textFill>
        </w:rPr>
      </w:pPr>
    </w:p>
    <w:p w14:paraId="01B8D5B9">
      <w:pPr>
        <w:spacing w:line="360" w:lineRule="auto"/>
        <w:rPr>
          <w:rFonts w:ascii="仿宋" w:hAnsi="仿宋" w:eastAsia="仿宋" w:cs="仿宋"/>
          <w:color w:val="000000" w:themeColor="text1"/>
          <w:spacing w:val="-5"/>
          <w:sz w:val="24"/>
          <w:szCs w:val="24"/>
          <w:highlight w:val="none"/>
          <w:lang w:eastAsia="zh-CN"/>
          <w14:textFill>
            <w14:solidFill>
              <w14:schemeClr w14:val="tx1"/>
            </w14:solidFill>
          </w14:textFill>
        </w:rPr>
      </w:pPr>
    </w:p>
    <w:p w14:paraId="6D88F1FB">
      <w:pPr>
        <w:spacing w:line="360" w:lineRule="auto"/>
        <w:outlineLvl w:val="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磋商保证金凭证/交款单据电子件</w:t>
      </w:r>
    </w:p>
    <w:p w14:paraId="502281D5">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01DFB985">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1689C963">
      <w:pPr>
        <w:spacing w:line="360" w:lineRule="auto"/>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说明：</w:t>
      </w:r>
    </w:p>
    <w:p w14:paraId="77DF3FD4">
      <w:pPr>
        <w:spacing w:line="360" w:lineRule="auto"/>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1.采用网上银行形式提交投标保证金的，应在投标截止时间前到账，同时建议在本部分放置凭证/交款单据复印件，否则导致的不利后果由投标人自行承担。2.采用支票、汇票、本票等形式提交投标保证金的，应在投标截止时间前到账，无需在本部分提供复印件。3.采用金融机构、担保机构出具的纸质保函形式提交投标保证金的，应确保在投标截止时间前将原件提交至采购代理机构，同时建议在本部分提供保函复印件。4.采用电子保函形式提交投标保证金的，需在投标截止时间前，通过电子交易平台上传电子保函，同时建议在本部分提供保函打印件。</w:t>
      </w:r>
    </w:p>
    <w:p w14:paraId="5D2D9CA8">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649BDC3C">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09FDBC76">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1292FD8A">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6D1A0BA5">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534DA2E8">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34BA20D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0C46EAE3">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227F4BD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61DF496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2409236A">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2677B5A9">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2F551056">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73AFFF5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2C7AA58E">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1A3AA97A">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15C1AE1D">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37307EE4">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36FF4523">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0AEE117F">
      <w:pPr>
        <w:spacing w:line="360" w:lineRule="auto"/>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5 获取竞争性磋商文件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ab/>
      </w:r>
    </w:p>
    <w:p w14:paraId="3E08E730">
      <w:pPr>
        <w:spacing w:line="360" w:lineRule="auto"/>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在规定期限内通过新疆政府采购电子交易平台获取所参与包的竞争性磋商文件。</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ab/>
      </w:r>
    </w:p>
    <w:p w14:paraId="5B973D73">
      <w:pPr>
        <w:spacing w:line="360" w:lineRule="auto"/>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p w14:paraId="52E36AAB">
      <w:pPr>
        <w:spacing w:line="360" w:lineRule="auto"/>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p w14:paraId="7708E6F0">
      <w:pPr>
        <w:spacing w:line="360" w:lineRule="auto"/>
        <w:outlineLvl w:val="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注：提供政采云平台的获取采购文件回执函</w:t>
      </w:r>
    </w:p>
    <w:p w14:paraId="1F76E8A9">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5903580F">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04BC3242">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1D9A7A67">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2294F263">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04A11078">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4C51F7B6">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2B8BF82C">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p w14:paraId="2713838B">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6C8386D2">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23013B12">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00AF0E61">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26CE4D17">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67105095">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44FB0B37">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3E05E8B2">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04B5FD2B">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2FD61149">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199E5A24">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002EE7C2">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4AA55DFA">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1B491DA2">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7C0A4C9F">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78CCCFFA">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220C080E">
      <w:pPr>
        <w:spacing w:line="360" w:lineRule="auto"/>
        <w:outlineLvl w:val="1"/>
        <w:rPr>
          <w:rFonts w:ascii="仿宋" w:hAnsi="仿宋" w:eastAsia="仿宋" w:cs="仿宋"/>
          <w:color w:val="000000" w:themeColor="text1"/>
          <w:spacing w:val="-37"/>
          <w:sz w:val="24"/>
          <w:szCs w:val="24"/>
          <w:highlight w:val="none"/>
          <w:lang w:eastAsia="zh-CN"/>
          <w14:textFill>
            <w14:solidFill>
              <w14:schemeClr w14:val="tx1"/>
            </w14:solidFill>
          </w14:textFill>
        </w:rPr>
      </w:pPr>
    </w:p>
    <w:p w14:paraId="0EF4EF91">
      <w:pPr>
        <w:spacing w:line="360" w:lineRule="auto"/>
        <w:outlineLvl w:val="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6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响应书（实质性格式）</w:t>
      </w:r>
    </w:p>
    <w:p w14:paraId="33342C3E">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77D38A91">
      <w:pPr>
        <w:spacing w:line="360" w:lineRule="auto"/>
        <w:jc w:val="center"/>
        <w:rPr>
          <w:rFonts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14"/>
          <w:sz w:val="36"/>
          <w:szCs w:val="36"/>
          <w:highlight w:val="none"/>
          <w:lang w:eastAsia="zh-CN"/>
          <w14:textFill>
            <w14:solidFill>
              <w14:schemeClr w14:val="tx1"/>
            </w14:solidFill>
          </w14:textFill>
        </w:rPr>
        <w:t>响应书</w:t>
      </w:r>
    </w:p>
    <w:p w14:paraId="13C3638D">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7"/>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采购人 ）</w:t>
      </w:r>
    </w:p>
    <w:p w14:paraId="55DC79E5">
      <w:pPr>
        <w:spacing w:line="360" w:lineRule="auto"/>
        <w:ind w:firstLine="41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我方参加你方就</w:t>
      </w:r>
      <w:r>
        <w:rPr>
          <w:rFonts w:hint="eastAsia" w:ascii="仿宋" w:hAnsi="仿宋" w:eastAsia="仿宋" w:cs="仿宋"/>
          <w:color w:val="000000" w:themeColor="text1"/>
          <w:spacing w:val="-6"/>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（项目名称，项目编号/包号）组织的采购活动，并对此项目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进行磋商。</w:t>
      </w:r>
    </w:p>
    <w:p w14:paraId="1A5F647B">
      <w:pPr>
        <w:spacing w:line="360" w:lineRule="auto"/>
        <w:ind w:firstLine="460"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1.我方已详细审查全部竞争性磋商文件，</w:t>
      </w:r>
      <w:r>
        <w:rPr>
          <w:rFonts w:hint="eastAsia" w:ascii="仿宋" w:hAnsi="仿宋" w:eastAsia="仿宋" w:cs="仿宋"/>
          <w:color w:val="000000" w:themeColor="text1"/>
          <w:spacing w:val="-7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自愿参与磋商并承诺如下：</w:t>
      </w:r>
    </w:p>
    <w:p w14:paraId="2E328595">
      <w:pPr>
        <w:spacing w:line="360" w:lineRule="auto"/>
        <w:ind w:firstLine="464" w:firstLineChars="200"/>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（1）本响应有效期为自响应文件提交截止之日起</w:t>
      </w:r>
      <w:r>
        <w:rPr>
          <w:rFonts w:hint="eastAsia" w:ascii="仿宋" w:hAnsi="仿宋" w:eastAsia="仿宋" w:cs="仿宋"/>
          <w:color w:val="000000" w:themeColor="text1"/>
          <w:spacing w:val="-4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个日历日。</w:t>
      </w:r>
    </w:p>
    <w:p w14:paraId="74B3F725">
      <w:pPr>
        <w:spacing w:line="360" w:lineRule="auto"/>
        <w:ind w:firstLine="452" w:firstLineChars="200"/>
        <w:rPr>
          <w:rFonts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（2）除合同条款及采购需求偏离表列出的偏离外 ，我方响应竞争性磋商文件的全 部要求。</w:t>
      </w:r>
    </w:p>
    <w:p w14:paraId="5C8B7E61">
      <w:pPr>
        <w:spacing w:line="360" w:lineRule="auto"/>
        <w:ind w:firstLine="452" w:firstLineChars="200"/>
        <w:rPr>
          <w:rFonts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（3）我方已提供的全部文件资料是真实、准确的，并对此承担一切法律后果。</w:t>
      </w:r>
    </w:p>
    <w:p w14:paraId="23BD00B6">
      <w:pPr>
        <w:spacing w:line="360" w:lineRule="auto"/>
        <w:ind w:firstLine="452" w:firstLineChars="200"/>
        <w:rPr>
          <w:rFonts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（4）如我方成交 ，我方将在法律规定的期限内与你方签订合同，按照竞争性磋商 文件要求提交履约保证金，并在合同约定的期限内完成合同规定的全部义务。</w:t>
      </w:r>
    </w:p>
    <w:p w14:paraId="2A5BB2FB">
      <w:pPr>
        <w:spacing w:line="360" w:lineRule="auto"/>
        <w:ind w:firstLine="464"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2.其他补充条款（如有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201EA3A7">
      <w:pPr>
        <w:spacing w:line="360" w:lineRule="auto"/>
        <w:ind w:firstLine="464"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与本磋商有关的一切正式往来信函请寄：</w:t>
      </w:r>
    </w:p>
    <w:p w14:paraId="6D9EB4C5">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622D386A">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7D79386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地址</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传真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5AE68B45">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电话</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8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电子函件</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04319734">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45FD864B">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2701F62C">
      <w:pPr>
        <w:spacing w:line="360" w:lineRule="auto"/>
        <w:ind w:left="239" w:leftChars="114" w:firstLine="185" w:firstLineChars="80"/>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p>
    <w:p w14:paraId="3D76101E">
      <w:pPr>
        <w:spacing w:line="360" w:lineRule="auto"/>
        <w:ind w:left="239" w:leftChars="114" w:firstLine="166" w:firstLineChars="8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4F56C00E">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22" w:type="default"/>
          <w:footerReference r:id="rId23" w:type="default"/>
          <w:pgSz w:w="11907" w:h="16839"/>
          <w:pgMar w:top="1417" w:right="1417" w:bottom="1417" w:left="1417" w:header="1191" w:footer="850" w:gutter="0"/>
          <w:cols w:space="720" w:num="1"/>
        </w:sectPr>
      </w:pPr>
    </w:p>
    <w:p w14:paraId="62958DC1">
      <w:pPr>
        <w:spacing w:line="360" w:lineRule="auto"/>
        <w:outlineLvl w:val="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授权委托书（实质性格式）</w:t>
      </w:r>
    </w:p>
    <w:p w14:paraId="46D0FA2A">
      <w:pPr>
        <w:spacing w:line="360" w:lineRule="auto"/>
        <w:jc w:val="center"/>
        <w:rPr>
          <w:rFonts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授权委托书</w:t>
      </w:r>
    </w:p>
    <w:p w14:paraId="6B9570A3">
      <w:pPr>
        <w:tabs>
          <w:tab w:val="left" w:pos="9187"/>
        </w:tabs>
        <w:spacing w:line="360" w:lineRule="auto"/>
        <w:ind w:firstLine="420"/>
        <w:jc w:val="both"/>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本人</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（姓名）系</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（供应商名称）的法定代表</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人（单位负责人</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现委托</w:t>
      </w:r>
      <w:r>
        <w:rPr>
          <w:rFonts w:hint="eastAsia" w:ascii="仿宋" w:hAnsi="仿宋" w:eastAsia="仿宋" w:cs="仿宋"/>
          <w:color w:val="000000" w:themeColor="text1"/>
          <w:spacing w:val="-10"/>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（姓名）为我方代理人。代理人根据授权，以我方名义签署、澄清确认、提交、撤回、</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修改</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（项目名称）响应文件和处理有关事宜，其法律后果由我方承担。</w:t>
      </w:r>
    </w:p>
    <w:p w14:paraId="78F69DA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委托期限：</w:t>
      </w:r>
      <w:r>
        <w:rPr>
          <w:rFonts w:hint="eastAsia" w:ascii="仿宋" w:hAnsi="仿宋" w:eastAsia="仿宋" w:cs="仿宋"/>
          <w:color w:val="000000" w:themeColor="text1"/>
          <w:spacing w:val="-6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自本授权委托书签署之日起至响应有效期届满之日止。</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p>
    <w:p w14:paraId="7824C62C">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代理人无转委托权。</w:t>
      </w:r>
    </w:p>
    <w:p w14:paraId="536C82DA">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35947A7F">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2F095E89">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6B8CBA6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委托代理人（签字或签章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4B79FFE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4AD66CBA">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09113FAD">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122A3385">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附：法定代表人及委托代理人身份证明文件电子件：</w:t>
      </w:r>
    </w:p>
    <w:p w14:paraId="73BA68F0">
      <w:pPr>
        <w:spacing w:line="360" w:lineRule="auto"/>
        <w:rPr>
          <w:rFonts w:ascii="仿宋" w:hAnsi="仿宋" w:eastAsia="仿宋" w:cs="仿宋"/>
          <w:color w:val="000000" w:themeColor="text1"/>
          <w:highlight w:val="none"/>
          <w:lang w:eastAsia="zh-CN"/>
          <w14:textFill>
            <w14:solidFill>
              <w14:schemeClr w14:val="tx1"/>
            </w14:solidFill>
          </w14:textFill>
        </w:rPr>
      </w:pPr>
    </w:p>
    <w:tbl>
      <w:tblPr>
        <w:tblStyle w:val="29"/>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1F4909D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0C1D1C82">
            <w:pPr>
              <w:spacing w:line="360" w:lineRule="auto"/>
              <w:rPr>
                <w:rFonts w:ascii="仿宋" w:hAnsi="仿宋" w:eastAsia="仿宋" w:cs="仿宋"/>
                <w:color w:val="000000" w:themeColor="text1"/>
                <w:highlight w:val="none"/>
                <w:lang w:eastAsia="zh-CN"/>
                <w14:textFill>
                  <w14:solidFill>
                    <w14:schemeClr w14:val="tx1"/>
                  </w14:solidFill>
                </w14:textFill>
              </w:rPr>
            </w:pPr>
          </w:p>
        </w:tc>
      </w:tr>
    </w:tbl>
    <w:p w14:paraId="400D0DE3">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说明：</w:t>
      </w:r>
    </w:p>
    <w:p w14:paraId="475C6386">
      <w:pPr>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1.若供应商为事业单位或其他组织或分支机构，则法定代表人（单位负责人）处的签署</w:t>
      </w:r>
    </w:p>
    <w:p w14:paraId="1B8C34E5">
      <w:pPr>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人可为单位负责人。</w:t>
      </w:r>
    </w:p>
    <w:p w14:paraId="20C89B90">
      <w:pPr>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2.若响应文件中签字之处均为法定代表人（单位负责人）本人签署，则可不提供本《授</w:t>
      </w:r>
    </w:p>
    <w:p w14:paraId="63DCD298">
      <w:pPr>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权委托书》，但须提供《法定代表人（单位负责人）身份证明》；否则，不需要提供《法定代表人（单位负责人）身份证明》。</w:t>
      </w:r>
    </w:p>
    <w:p w14:paraId="5D0EC56F">
      <w:pPr>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3.供应商为自然人的情形，可不提供本《授权委托书》。</w:t>
      </w:r>
    </w:p>
    <w:p w14:paraId="63C35D42">
      <w:pPr>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4.供应商应随本《授权委托书》同时提供法定代表人（单位负责人）及委托代理人的有</w:t>
      </w:r>
    </w:p>
    <w:p w14:paraId="0D3F1068">
      <w:pP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效的身份证或护照等身份证明文件电子件。提供身份证的，应同时提供身份证双面电子件</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2C96FC3A">
      <w:pPr>
        <w:rPr>
          <w:rFonts w:ascii="仿宋" w:hAnsi="仿宋" w:eastAsia="仿宋" w:cs="仿宋"/>
          <w:color w:val="000000" w:themeColor="text1"/>
          <w:sz w:val="24"/>
          <w:szCs w:val="24"/>
          <w:highlight w:val="none"/>
          <w:lang w:eastAsia="zh-CN"/>
          <w14:textFill>
            <w14:solidFill>
              <w14:schemeClr w14:val="tx1"/>
            </w14:solidFill>
          </w14:textFill>
        </w:rPr>
        <w:sectPr>
          <w:headerReference r:id="rId24" w:type="default"/>
          <w:footerReference r:id="rId25" w:type="default"/>
          <w:pgSz w:w="11907" w:h="16839"/>
          <w:pgMar w:top="1417" w:right="1417" w:bottom="1417" w:left="1417" w:header="1191" w:footer="794" w:gutter="0"/>
          <w:cols w:space="720" w:num="1"/>
        </w:sectPr>
      </w:pPr>
    </w:p>
    <w:p w14:paraId="654D52B1">
      <w:pPr>
        <w:spacing w:line="360" w:lineRule="auto"/>
        <w:jc w:val="center"/>
        <w:rPr>
          <w:rFonts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法定代表人（单位负责人）身份证明</w:t>
      </w:r>
    </w:p>
    <w:p w14:paraId="52E13123">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57901D7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w:t>
      </w:r>
    </w:p>
    <w:p w14:paraId="599191E4">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1FABA185">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兹证明，</w:t>
      </w:r>
    </w:p>
    <w:p w14:paraId="4BC5CDDD">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姓名：</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性别：</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年龄：</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职</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务：</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7EE7BEF2">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5DF93EF4">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67C69F28">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系</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（供应商名称）的法定代表人（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单位负责人）。</w:t>
      </w:r>
    </w:p>
    <w:p w14:paraId="1A502209">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0E7B7A7E">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62FD88D5">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附：法定代表人（单位负责人）身份证、护照等身份证明文件电子件。</w:t>
      </w:r>
    </w:p>
    <w:p w14:paraId="3E3ED9D5">
      <w:pPr>
        <w:spacing w:line="360" w:lineRule="auto"/>
        <w:rPr>
          <w:rFonts w:ascii="仿宋" w:hAnsi="仿宋" w:eastAsia="仿宋" w:cs="仿宋"/>
          <w:color w:val="000000" w:themeColor="text1"/>
          <w:highlight w:val="none"/>
          <w:lang w:eastAsia="zh-CN"/>
          <w14:textFill>
            <w14:solidFill>
              <w14:schemeClr w14:val="tx1"/>
            </w14:solidFill>
          </w14:textFill>
        </w:rPr>
      </w:pPr>
    </w:p>
    <w:tbl>
      <w:tblPr>
        <w:tblStyle w:val="29"/>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22BBD12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376F053E">
            <w:pPr>
              <w:spacing w:line="360" w:lineRule="auto"/>
              <w:rPr>
                <w:rFonts w:ascii="仿宋" w:hAnsi="仿宋" w:eastAsia="仿宋" w:cs="仿宋"/>
                <w:color w:val="000000" w:themeColor="text1"/>
                <w:highlight w:val="none"/>
                <w:lang w:eastAsia="zh-CN"/>
                <w14:textFill>
                  <w14:solidFill>
                    <w14:schemeClr w14:val="tx1"/>
                  </w14:solidFill>
                </w14:textFill>
              </w:rPr>
            </w:pPr>
          </w:p>
        </w:tc>
      </w:tr>
    </w:tbl>
    <w:p w14:paraId="707BEDFF">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5208D32B">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0407F047">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55B0203E">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0159DB93">
      <w:pPr>
        <w:spacing w:line="360" w:lineRule="auto"/>
        <w:ind w:hanging="40"/>
        <w:rPr>
          <w:rFonts w:ascii="仿宋" w:hAnsi="仿宋" w:eastAsia="仿宋" w:cs="仿宋"/>
          <w:color w:val="000000" w:themeColor="text1"/>
          <w:spacing w:val="-23"/>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p>
    <w:p w14:paraId="2203CD99">
      <w:pPr>
        <w:spacing w:line="360" w:lineRule="auto"/>
        <w:ind w:hanging="4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03995F95">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26" w:type="default"/>
          <w:footerReference r:id="rId27" w:type="default"/>
          <w:pgSz w:w="11907" w:h="16839"/>
          <w:pgMar w:top="1417" w:right="1417" w:bottom="1417" w:left="1417" w:header="1247" w:footer="794" w:gutter="0"/>
          <w:cols w:space="720" w:num="1"/>
        </w:sectPr>
      </w:pPr>
    </w:p>
    <w:p w14:paraId="1A092CCC">
      <w:pPr>
        <w:spacing w:line="360" w:lineRule="auto"/>
        <w:outlineLvl w:val="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8  报价一览表</w:t>
      </w:r>
    </w:p>
    <w:p w14:paraId="35989E95">
      <w:pPr>
        <w:spacing w:line="360" w:lineRule="auto"/>
        <w:jc w:val="center"/>
        <w:rPr>
          <w:rFonts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报价一览表</w:t>
      </w:r>
    </w:p>
    <w:p w14:paraId="521C0944">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5E40D17A">
      <w:pPr>
        <w:tabs>
          <w:tab w:val="left" w:pos="1800"/>
          <w:tab w:val="left" w:pos="5580"/>
        </w:tabs>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报价单位：人民币 元</w:t>
      </w:r>
    </w:p>
    <w:p w14:paraId="54768330">
      <w:pPr>
        <w:spacing w:line="360" w:lineRule="auto"/>
        <w:rPr>
          <w:rFonts w:ascii="仿宋" w:hAnsi="仿宋" w:eastAsia="仿宋" w:cs="仿宋"/>
          <w:color w:val="000000" w:themeColor="text1"/>
          <w:highlight w:val="none"/>
          <w:lang w:eastAsia="zh-CN"/>
          <w14:textFill>
            <w14:solidFill>
              <w14:schemeClr w14:val="tx1"/>
            </w14:solidFill>
          </w14:textFill>
        </w:rPr>
      </w:pPr>
    </w:p>
    <w:tbl>
      <w:tblPr>
        <w:tblStyle w:val="29"/>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4215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5770B157">
            <w:pPr>
              <w:spacing w:line="360" w:lineRule="auto"/>
              <w:jc w:val="center"/>
              <w:rPr>
                <w:rFonts w:ascii="仿宋" w:hAnsi="仿宋" w:eastAsia="仿宋" w:cs="仿宋"/>
                <w:color w:val="000000" w:themeColor="text1"/>
                <w:highlight w:val="none"/>
                <w:lang w:eastAsia="zh-CN"/>
                <w14:textFill>
                  <w14:solidFill>
                    <w14:schemeClr w14:val="tx1"/>
                  </w14:solidFill>
                </w14:textFill>
              </w:rPr>
            </w:pPr>
          </w:p>
          <w:p w14:paraId="10F99044">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704E8EB9">
            <w:pPr>
              <w:spacing w:line="360" w:lineRule="auto"/>
              <w:jc w:val="center"/>
              <w:rPr>
                <w:rFonts w:ascii="仿宋" w:hAnsi="仿宋" w:eastAsia="仿宋" w:cs="仿宋"/>
                <w:color w:val="000000" w:themeColor="text1"/>
                <w:highlight w:val="none"/>
                <w14:textFill>
                  <w14:solidFill>
                    <w14:schemeClr w14:val="tx1"/>
                  </w14:solidFill>
                </w14:textFill>
              </w:rPr>
            </w:pPr>
          </w:p>
          <w:p w14:paraId="31A4CD89">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16B71A6D">
            <w:pPr>
              <w:pStyle w:val="30"/>
              <w:spacing w:line="360" w:lineRule="auto"/>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报价（元）</w:t>
            </w:r>
          </w:p>
        </w:tc>
      </w:tr>
      <w:tr w14:paraId="31567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1A63767B">
            <w:pPr>
              <w:spacing w:line="360" w:lineRule="auto"/>
              <w:rPr>
                <w:rFonts w:ascii="仿宋" w:hAnsi="仿宋" w:eastAsia="仿宋" w:cs="仿宋"/>
                <w:color w:val="000000" w:themeColor="text1"/>
                <w:highlight w:val="none"/>
                <w14:textFill>
                  <w14:solidFill>
                    <w14:schemeClr w14:val="tx1"/>
                  </w14:solidFill>
                </w14:textFill>
              </w:rPr>
            </w:pPr>
          </w:p>
        </w:tc>
        <w:tc>
          <w:tcPr>
            <w:tcW w:w="3201" w:type="dxa"/>
            <w:vMerge w:val="continue"/>
            <w:tcBorders>
              <w:top w:val="single" w:color="auto" w:sz="4" w:space="0"/>
              <w:left w:val="single" w:color="auto" w:sz="4" w:space="0"/>
              <w:bottom w:val="single" w:color="auto" w:sz="4" w:space="0"/>
              <w:right w:val="single" w:color="auto" w:sz="4" w:space="0"/>
            </w:tcBorders>
          </w:tcPr>
          <w:p w14:paraId="05F33BDD">
            <w:pPr>
              <w:spacing w:line="360" w:lineRule="auto"/>
              <w:rPr>
                <w:rFonts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383C44CE">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0FE98959">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0"/>
                <w:highlight w:val="none"/>
                <w14:textFill>
                  <w14:solidFill>
                    <w14:schemeClr w14:val="tx1"/>
                  </w14:solidFill>
                </w14:textFill>
              </w:rPr>
              <w:t>小写</w:t>
            </w:r>
          </w:p>
        </w:tc>
      </w:tr>
      <w:tr w14:paraId="338AC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529D48CB">
            <w:pPr>
              <w:spacing w:line="360" w:lineRule="auto"/>
              <w:jc w:val="center"/>
              <w:rPr>
                <w:rFonts w:ascii="仿宋" w:hAnsi="仿宋" w:eastAsia="仿宋" w:cs="仿宋"/>
                <w:color w:val="000000" w:themeColor="text1"/>
                <w:highlight w:val="none"/>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14:paraId="275ACC4D">
            <w:pPr>
              <w:spacing w:line="360" w:lineRule="auto"/>
              <w:jc w:val="center"/>
              <w:rPr>
                <w:rFonts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1FD4F913">
            <w:pPr>
              <w:spacing w:line="360" w:lineRule="auto"/>
              <w:jc w:val="center"/>
              <w:rPr>
                <w:rFonts w:ascii="仿宋" w:hAnsi="仿宋" w:eastAsia="仿宋" w:cs="仿宋"/>
                <w:color w:val="000000" w:themeColor="text1"/>
                <w:highlight w:val="none"/>
                <w:lang w:eastAsia="zh-CN"/>
                <w14:textFill>
                  <w14:solidFill>
                    <w14:schemeClr w14:val="tx1"/>
                  </w14:solidFill>
                </w14:textFill>
              </w:rPr>
            </w:pPr>
          </w:p>
        </w:tc>
        <w:tc>
          <w:tcPr>
            <w:tcW w:w="2134" w:type="dxa"/>
            <w:tcBorders>
              <w:top w:val="single" w:color="auto" w:sz="4" w:space="0"/>
              <w:left w:val="single" w:color="auto" w:sz="4" w:space="0"/>
              <w:bottom w:val="single" w:color="auto" w:sz="4" w:space="0"/>
              <w:right w:val="single" w:color="auto" w:sz="4" w:space="0"/>
            </w:tcBorders>
            <w:vAlign w:val="center"/>
          </w:tcPr>
          <w:p w14:paraId="74A54B50">
            <w:pPr>
              <w:spacing w:line="360" w:lineRule="auto"/>
              <w:jc w:val="center"/>
              <w:rPr>
                <w:rFonts w:ascii="仿宋" w:hAnsi="仿宋" w:eastAsia="仿宋" w:cs="仿宋"/>
                <w:color w:val="000000" w:themeColor="text1"/>
                <w:highlight w:val="none"/>
                <w:lang w:eastAsia="zh-CN"/>
                <w14:textFill>
                  <w14:solidFill>
                    <w14:schemeClr w14:val="tx1"/>
                  </w14:solidFill>
                </w14:textFill>
              </w:rPr>
            </w:pPr>
          </w:p>
        </w:tc>
      </w:tr>
    </w:tbl>
    <w:p w14:paraId="7E540819">
      <w:pPr>
        <w:pStyle w:val="7"/>
        <w:spacing w:line="360" w:lineRule="auto"/>
        <w:rPr>
          <w:rFonts w:ascii="仿宋" w:hAnsi="仿宋" w:eastAsia="仿宋" w:cs="仿宋"/>
          <w:color w:val="000000" w:themeColor="text1"/>
          <w:highlight w:val="none"/>
          <w14:textFill>
            <w14:solidFill>
              <w14:schemeClr w14:val="tx1"/>
            </w14:solidFill>
          </w14:textFill>
        </w:rPr>
      </w:pPr>
    </w:p>
    <w:p w14:paraId="669EDB47">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注：1.此表中，每包的报价应和《分项报价表》中的总价相一致。</w:t>
      </w:r>
    </w:p>
    <w:p w14:paraId="0F7BD121">
      <w:pPr>
        <w:spacing w:line="360" w:lineRule="auto"/>
        <w:ind w:firstLine="464"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2.本表必须按包分别填写。</w:t>
      </w:r>
    </w:p>
    <w:p w14:paraId="11AE5DC4">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0165151D">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790B7C18">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5BCBFA2C">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77DE439E">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158C3A4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3F1D05E7">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2AD362AD">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28" w:type="default"/>
          <w:footerReference r:id="rId29" w:type="default"/>
          <w:pgSz w:w="11907" w:h="16839"/>
          <w:pgMar w:top="1417" w:right="1417" w:bottom="1417" w:left="1417" w:header="1191" w:footer="794" w:gutter="0"/>
          <w:cols w:space="720" w:num="1"/>
        </w:sectPr>
      </w:pPr>
    </w:p>
    <w:p w14:paraId="513EFF77">
      <w:pPr>
        <w:spacing w:line="360" w:lineRule="auto"/>
        <w:outlineLvl w:val="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9分项报价表</w:t>
      </w:r>
    </w:p>
    <w:p w14:paraId="2B9FFFB4">
      <w:pPr>
        <w:spacing w:line="360" w:lineRule="auto"/>
        <w:jc w:val="center"/>
        <w:rPr>
          <w:rFonts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6"/>
          <w:sz w:val="36"/>
          <w:szCs w:val="36"/>
          <w:highlight w:val="none"/>
          <w:lang w:eastAsia="zh-CN"/>
          <w14:textFill>
            <w14:solidFill>
              <w14:schemeClr w14:val="tx1"/>
            </w14:solidFill>
          </w14:textFill>
        </w:rPr>
        <w:t>分项报价表</w:t>
      </w:r>
    </w:p>
    <w:p w14:paraId="1C299AA0">
      <w:pPr>
        <w:tabs>
          <w:tab w:val="left" w:pos="1800"/>
          <w:tab w:val="left" w:pos="5580"/>
        </w:tabs>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项目编号/包号：____________项目名称：____________报价单位： 人民币 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34D7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1EFA5A70">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242" w:type="pct"/>
            <w:vAlign w:val="center"/>
          </w:tcPr>
          <w:p w14:paraId="207A638B">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分项名称</w:t>
            </w:r>
          </w:p>
        </w:tc>
        <w:tc>
          <w:tcPr>
            <w:tcW w:w="920" w:type="pct"/>
            <w:vAlign w:val="center"/>
          </w:tcPr>
          <w:p w14:paraId="5F7D8E8F">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单价（元）</w:t>
            </w:r>
          </w:p>
        </w:tc>
        <w:tc>
          <w:tcPr>
            <w:tcW w:w="847" w:type="pct"/>
            <w:vAlign w:val="center"/>
          </w:tcPr>
          <w:p w14:paraId="2F6DC9F9">
            <w:pPr>
              <w:jc w:val="center"/>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数量</w:t>
            </w:r>
          </w:p>
        </w:tc>
        <w:tc>
          <w:tcPr>
            <w:tcW w:w="822" w:type="pct"/>
            <w:vAlign w:val="center"/>
          </w:tcPr>
          <w:p w14:paraId="30ED291B">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合价（元）</w:t>
            </w:r>
          </w:p>
        </w:tc>
        <w:tc>
          <w:tcPr>
            <w:tcW w:w="919" w:type="pct"/>
            <w:vAlign w:val="center"/>
          </w:tcPr>
          <w:p w14:paraId="742EDEC5">
            <w:pPr>
              <w:jc w:val="both"/>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备注/说明</w:t>
            </w:r>
          </w:p>
        </w:tc>
      </w:tr>
      <w:tr w14:paraId="0377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3F355422">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242" w:type="pct"/>
            <w:vAlign w:val="center"/>
          </w:tcPr>
          <w:p w14:paraId="36F7A6A0">
            <w:pPr>
              <w:rPr>
                <w:rFonts w:ascii="仿宋" w:hAnsi="仿宋" w:eastAsia="仿宋" w:cs="仿宋"/>
                <w:color w:val="000000" w:themeColor="text1"/>
                <w:sz w:val="24"/>
                <w:highlight w:val="none"/>
                <w14:textFill>
                  <w14:solidFill>
                    <w14:schemeClr w14:val="tx1"/>
                  </w14:solidFill>
                </w14:textFill>
              </w:rPr>
            </w:pPr>
          </w:p>
        </w:tc>
        <w:tc>
          <w:tcPr>
            <w:tcW w:w="920" w:type="pct"/>
            <w:vAlign w:val="center"/>
          </w:tcPr>
          <w:p w14:paraId="77A76D6E">
            <w:pPr>
              <w:rPr>
                <w:rFonts w:ascii="仿宋" w:hAnsi="仿宋" w:eastAsia="仿宋" w:cs="仿宋"/>
                <w:color w:val="000000" w:themeColor="text1"/>
                <w:sz w:val="24"/>
                <w:highlight w:val="none"/>
                <w14:textFill>
                  <w14:solidFill>
                    <w14:schemeClr w14:val="tx1"/>
                  </w14:solidFill>
                </w14:textFill>
              </w:rPr>
            </w:pPr>
          </w:p>
        </w:tc>
        <w:tc>
          <w:tcPr>
            <w:tcW w:w="847" w:type="pct"/>
            <w:vAlign w:val="center"/>
          </w:tcPr>
          <w:p w14:paraId="3FF9BBE6">
            <w:pPr>
              <w:rPr>
                <w:rFonts w:ascii="仿宋" w:hAnsi="仿宋" w:eastAsia="仿宋" w:cs="仿宋"/>
                <w:color w:val="000000" w:themeColor="text1"/>
                <w:sz w:val="24"/>
                <w:highlight w:val="none"/>
                <w14:textFill>
                  <w14:solidFill>
                    <w14:schemeClr w14:val="tx1"/>
                  </w14:solidFill>
                </w14:textFill>
              </w:rPr>
            </w:pPr>
          </w:p>
        </w:tc>
        <w:tc>
          <w:tcPr>
            <w:tcW w:w="822" w:type="pct"/>
            <w:vAlign w:val="center"/>
          </w:tcPr>
          <w:p w14:paraId="3DE47FAE">
            <w:pPr>
              <w:rPr>
                <w:rFonts w:ascii="仿宋" w:hAnsi="仿宋" w:eastAsia="仿宋" w:cs="仿宋"/>
                <w:color w:val="000000" w:themeColor="text1"/>
                <w:sz w:val="24"/>
                <w:highlight w:val="none"/>
                <w14:textFill>
                  <w14:solidFill>
                    <w14:schemeClr w14:val="tx1"/>
                  </w14:solidFill>
                </w14:textFill>
              </w:rPr>
            </w:pPr>
          </w:p>
        </w:tc>
        <w:tc>
          <w:tcPr>
            <w:tcW w:w="919" w:type="pct"/>
            <w:vAlign w:val="center"/>
          </w:tcPr>
          <w:p w14:paraId="7F7F2CDC">
            <w:pPr>
              <w:rPr>
                <w:rFonts w:ascii="仿宋" w:hAnsi="仿宋" w:eastAsia="仿宋" w:cs="仿宋"/>
                <w:color w:val="000000" w:themeColor="text1"/>
                <w:sz w:val="24"/>
                <w:highlight w:val="none"/>
                <w14:textFill>
                  <w14:solidFill>
                    <w14:schemeClr w14:val="tx1"/>
                  </w14:solidFill>
                </w14:textFill>
              </w:rPr>
            </w:pPr>
          </w:p>
        </w:tc>
      </w:tr>
      <w:tr w14:paraId="3C1F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678970A9">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242" w:type="pct"/>
            <w:vAlign w:val="center"/>
          </w:tcPr>
          <w:p w14:paraId="6BC7CDFB">
            <w:pPr>
              <w:rPr>
                <w:rFonts w:ascii="仿宋" w:hAnsi="仿宋" w:eastAsia="仿宋" w:cs="仿宋"/>
                <w:color w:val="000000" w:themeColor="text1"/>
                <w:sz w:val="24"/>
                <w:highlight w:val="none"/>
                <w14:textFill>
                  <w14:solidFill>
                    <w14:schemeClr w14:val="tx1"/>
                  </w14:solidFill>
                </w14:textFill>
              </w:rPr>
            </w:pPr>
          </w:p>
        </w:tc>
        <w:tc>
          <w:tcPr>
            <w:tcW w:w="920" w:type="pct"/>
            <w:vAlign w:val="center"/>
          </w:tcPr>
          <w:p w14:paraId="2A9C3433">
            <w:pPr>
              <w:rPr>
                <w:rFonts w:ascii="仿宋" w:hAnsi="仿宋" w:eastAsia="仿宋" w:cs="仿宋"/>
                <w:color w:val="000000" w:themeColor="text1"/>
                <w:sz w:val="24"/>
                <w:highlight w:val="none"/>
                <w14:textFill>
                  <w14:solidFill>
                    <w14:schemeClr w14:val="tx1"/>
                  </w14:solidFill>
                </w14:textFill>
              </w:rPr>
            </w:pPr>
          </w:p>
        </w:tc>
        <w:tc>
          <w:tcPr>
            <w:tcW w:w="847" w:type="pct"/>
            <w:vAlign w:val="center"/>
          </w:tcPr>
          <w:p w14:paraId="1D278092">
            <w:pPr>
              <w:rPr>
                <w:rFonts w:ascii="仿宋" w:hAnsi="仿宋" w:eastAsia="仿宋" w:cs="仿宋"/>
                <w:color w:val="000000" w:themeColor="text1"/>
                <w:sz w:val="24"/>
                <w:highlight w:val="none"/>
                <w14:textFill>
                  <w14:solidFill>
                    <w14:schemeClr w14:val="tx1"/>
                  </w14:solidFill>
                </w14:textFill>
              </w:rPr>
            </w:pPr>
          </w:p>
        </w:tc>
        <w:tc>
          <w:tcPr>
            <w:tcW w:w="822" w:type="pct"/>
            <w:vAlign w:val="center"/>
          </w:tcPr>
          <w:p w14:paraId="44511C19">
            <w:pPr>
              <w:rPr>
                <w:rFonts w:ascii="仿宋" w:hAnsi="仿宋" w:eastAsia="仿宋" w:cs="仿宋"/>
                <w:color w:val="000000" w:themeColor="text1"/>
                <w:sz w:val="24"/>
                <w:highlight w:val="none"/>
                <w14:textFill>
                  <w14:solidFill>
                    <w14:schemeClr w14:val="tx1"/>
                  </w14:solidFill>
                </w14:textFill>
              </w:rPr>
            </w:pPr>
          </w:p>
        </w:tc>
        <w:tc>
          <w:tcPr>
            <w:tcW w:w="919" w:type="pct"/>
            <w:vAlign w:val="center"/>
          </w:tcPr>
          <w:p w14:paraId="3B4404A9">
            <w:pPr>
              <w:rPr>
                <w:rFonts w:ascii="仿宋" w:hAnsi="仿宋" w:eastAsia="仿宋" w:cs="仿宋"/>
                <w:color w:val="000000" w:themeColor="text1"/>
                <w:sz w:val="24"/>
                <w:highlight w:val="none"/>
                <w14:textFill>
                  <w14:solidFill>
                    <w14:schemeClr w14:val="tx1"/>
                  </w14:solidFill>
                </w14:textFill>
              </w:rPr>
            </w:pPr>
          </w:p>
        </w:tc>
      </w:tr>
      <w:tr w14:paraId="7EB2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26B1599F">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242" w:type="pct"/>
            <w:vAlign w:val="center"/>
          </w:tcPr>
          <w:p w14:paraId="5FD7FC38">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920" w:type="pct"/>
            <w:vAlign w:val="center"/>
          </w:tcPr>
          <w:p w14:paraId="6FB86EFD">
            <w:pPr>
              <w:rPr>
                <w:rFonts w:ascii="仿宋" w:hAnsi="仿宋" w:eastAsia="仿宋" w:cs="仿宋"/>
                <w:color w:val="000000" w:themeColor="text1"/>
                <w:sz w:val="24"/>
                <w:highlight w:val="none"/>
                <w14:textFill>
                  <w14:solidFill>
                    <w14:schemeClr w14:val="tx1"/>
                  </w14:solidFill>
                </w14:textFill>
              </w:rPr>
            </w:pPr>
          </w:p>
        </w:tc>
        <w:tc>
          <w:tcPr>
            <w:tcW w:w="847" w:type="pct"/>
            <w:vAlign w:val="center"/>
          </w:tcPr>
          <w:p w14:paraId="67401F46">
            <w:pPr>
              <w:rPr>
                <w:rFonts w:ascii="仿宋" w:hAnsi="仿宋" w:eastAsia="仿宋" w:cs="仿宋"/>
                <w:color w:val="000000" w:themeColor="text1"/>
                <w:sz w:val="24"/>
                <w:highlight w:val="none"/>
                <w14:textFill>
                  <w14:solidFill>
                    <w14:schemeClr w14:val="tx1"/>
                  </w14:solidFill>
                </w14:textFill>
              </w:rPr>
            </w:pPr>
          </w:p>
        </w:tc>
        <w:tc>
          <w:tcPr>
            <w:tcW w:w="822" w:type="pct"/>
            <w:vAlign w:val="center"/>
          </w:tcPr>
          <w:p w14:paraId="640B61EE">
            <w:pPr>
              <w:rPr>
                <w:rFonts w:ascii="仿宋" w:hAnsi="仿宋" w:eastAsia="仿宋" w:cs="仿宋"/>
                <w:color w:val="000000" w:themeColor="text1"/>
                <w:sz w:val="24"/>
                <w:highlight w:val="none"/>
                <w14:textFill>
                  <w14:solidFill>
                    <w14:schemeClr w14:val="tx1"/>
                  </w14:solidFill>
                </w14:textFill>
              </w:rPr>
            </w:pPr>
          </w:p>
        </w:tc>
        <w:tc>
          <w:tcPr>
            <w:tcW w:w="919" w:type="pct"/>
            <w:vAlign w:val="center"/>
          </w:tcPr>
          <w:p w14:paraId="4E5F092B">
            <w:pPr>
              <w:rPr>
                <w:rFonts w:ascii="仿宋" w:hAnsi="仿宋" w:eastAsia="仿宋" w:cs="仿宋"/>
                <w:color w:val="000000" w:themeColor="text1"/>
                <w:sz w:val="24"/>
                <w:highlight w:val="none"/>
                <w14:textFill>
                  <w14:solidFill>
                    <w14:schemeClr w14:val="tx1"/>
                  </w14:solidFill>
                </w14:textFill>
              </w:rPr>
            </w:pPr>
          </w:p>
        </w:tc>
      </w:tr>
      <w:tr w14:paraId="7387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7F38E82A">
            <w:pPr>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总价（元）</w:t>
            </w:r>
          </w:p>
        </w:tc>
        <w:tc>
          <w:tcPr>
            <w:tcW w:w="822" w:type="pct"/>
            <w:vAlign w:val="center"/>
          </w:tcPr>
          <w:p w14:paraId="0A9CC953">
            <w:pPr>
              <w:rPr>
                <w:rFonts w:ascii="仿宋" w:hAnsi="仿宋" w:eastAsia="仿宋" w:cs="仿宋"/>
                <w:color w:val="000000" w:themeColor="text1"/>
                <w:sz w:val="24"/>
                <w:highlight w:val="none"/>
                <w14:textFill>
                  <w14:solidFill>
                    <w14:schemeClr w14:val="tx1"/>
                  </w14:solidFill>
                </w14:textFill>
              </w:rPr>
            </w:pPr>
          </w:p>
        </w:tc>
        <w:tc>
          <w:tcPr>
            <w:tcW w:w="919" w:type="pct"/>
            <w:vAlign w:val="center"/>
          </w:tcPr>
          <w:p w14:paraId="79D3EAD9">
            <w:pPr>
              <w:rPr>
                <w:rFonts w:ascii="仿宋" w:hAnsi="仿宋" w:eastAsia="仿宋" w:cs="仿宋"/>
                <w:color w:val="000000" w:themeColor="text1"/>
                <w:sz w:val="24"/>
                <w:highlight w:val="none"/>
                <w14:textFill>
                  <w14:solidFill>
                    <w14:schemeClr w14:val="tx1"/>
                  </w14:solidFill>
                </w14:textFill>
              </w:rPr>
            </w:pPr>
          </w:p>
        </w:tc>
      </w:tr>
    </w:tbl>
    <w:p w14:paraId="0366F682">
      <w:pPr>
        <w:tabs>
          <w:tab w:val="left" w:pos="1800"/>
          <w:tab w:val="left" w:pos="5580"/>
        </w:tabs>
        <w:rPr>
          <w:rFonts w:ascii="仿宋" w:hAnsi="仿宋" w:eastAsia="仿宋" w:cs="仿宋"/>
          <w:color w:val="000000" w:themeColor="text1"/>
          <w:sz w:val="24"/>
          <w:highlight w:val="none"/>
          <w14:textFill>
            <w14:solidFill>
              <w14:schemeClr w14:val="tx1"/>
            </w14:solidFill>
          </w14:textFill>
        </w:rPr>
      </w:pPr>
    </w:p>
    <w:p w14:paraId="2BA239BC">
      <w:pPr>
        <w:pStyle w:val="7"/>
        <w:spacing w:line="360" w:lineRule="auto"/>
        <w:rPr>
          <w:rFonts w:ascii="仿宋" w:hAnsi="仿宋" w:eastAsia="仿宋" w:cs="仿宋"/>
          <w:color w:val="000000" w:themeColor="text1"/>
          <w:highlight w:val="none"/>
          <w14:textFill>
            <w14:solidFill>
              <w14:schemeClr w14:val="tx1"/>
            </w14:solidFill>
          </w14:textFill>
        </w:rPr>
      </w:pPr>
    </w:p>
    <w:p w14:paraId="38E22C8D">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注：1.本表应按包分别填写。</w:t>
      </w:r>
    </w:p>
    <w:p w14:paraId="45A86B82">
      <w:pPr>
        <w:spacing w:line="360" w:lineRule="auto"/>
        <w:ind w:left="239" w:leftChars="114" w:firstLine="229" w:firstLineChars="9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2.如果不提供分项报价将视为没有实质性响应竞争性</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磋商文件。</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p>
    <w:p w14:paraId="0D585575">
      <w:pPr>
        <w:spacing w:line="360" w:lineRule="auto"/>
        <w:ind w:left="239" w:leftChars="114" w:firstLine="229" w:firstLineChars="99"/>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3.上述各项的详细规格（如有</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可另页描述。</w:t>
      </w:r>
    </w:p>
    <w:p w14:paraId="4648206E">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5826492C">
      <w:pPr>
        <w:spacing w:before="25" w:after="25" w:line="360" w:lineRule="auto"/>
        <w:rPr>
          <w:rFonts w:ascii="仿宋" w:hAnsi="仿宋" w:eastAsia="仿宋" w:cs="仿宋"/>
          <w:color w:val="000000" w:themeColor="text1"/>
          <w:sz w:val="24"/>
          <w:highlight w:val="none"/>
          <w:u w:val="singl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lang w:val="zh-CN" w:eastAsia="zh-CN"/>
          <w14:textFill>
            <w14:solidFill>
              <w14:schemeClr w14:val="tx1"/>
            </w14:solidFill>
          </w14:textFill>
        </w:rPr>
        <w:t>____________</w:t>
      </w:r>
    </w:p>
    <w:p w14:paraId="6652C4FA">
      <w:pPr>
        <w:spacing w:line="360" w:lineRule="auto"/>
        <w:ind w:hanging="4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2FA8F258">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30" w:type="default"/>
          <w:footerReference r:id="rId31" w:type="default"/>
          <w:pgSz w:w="11907" w:h="16839"/>
          <w:pgMar w:top="1417" w:right="1417" w:bottom="1417" w:left="1417" w:header="1191" w:footer="907" w:gutter="0"/>
          <w:cols w:space="720" w:num="1"/>
        </w:sectPr>
      </w:pPr>
    </w:p>
    <w:p w14:paraId="660DB73B">
      <w:pPr>
        <w:spacing w:line="360" w:lineRule="auto"/>
        <w:outlineLvl w:val="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10  合同条款偏离表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340A1E66">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32C0821A">
      <w:pPr>
        <w:spacing w:line="360" w:lineRule="auto"/>
        <w:jc w:val="center"/>
        <w:rPr>
          <w:rFonts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合同条款偏离表</w:t>
      </w:r>
    </w:p>
    <w:p w14:paraId="35AA0501">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4796835F">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278BEF2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29"/>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7C2E7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37362643">
            <w:pPr>
              <w:pStyle w:val="30"/>
              <w:spacing w:line="36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4E4DD8AD">
            <w:pPr>
              <w:pStyle w:val="30"/>
              <w:spacing w:line="360" w:lineRule="auto"/>
              <w:jc w:val="center"/>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eastAsia="zh-CN"/>
                <w14:textFill>
                  <w14:solidFill>
                    <w14:schemeClr w14:val="tx1"/>
                  </w14:solidFill>
                </w14:textFill>
              </w:rPr>
              <w:t>竞争性磋</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商文件条</w:t>
            </w:r>
          </w:p>
          <w:p w14:paraId="669D75F0">
            <w:pPr>
              <w:pStyle w:val="30"/>
              <w:spacing w:line="360" w:lineRule="auto"/>
              <w:ind w:hanging="193"/>
              <w:jc w:val="center"/>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17"/>
                <w:sz w:val="21"/>
                <w:szCs w:val="21"/>
                <w:highlight w:val="none"/>
                <w:lang w:eastAsia="zh-CN"/>
                <w14:textFill>
                  <w14:solidFill>
                    <w14:schemeClr w14:val="tx1"/>
                  </w14:solidFill>
                </w14:textFill>
              </w:rPr>
              <w:t>目号（页</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65274A4E">
            <w:pPr>
              <w:spacing w:line="360" w:lineRule="auto"/>
              <w:jc w:val="center"/>
              <w:rPr>
                <w:rFonts w:ascii="仿宋" w:hAnsi="仿宋" w:eastAsia="仿宋" w:cs="仿宋"/>
                <w:color w:val="000000" w:themeColor="text1"/>
                <w:highlight w:val="none"/>
                <w:lang w:eastAsia="zh-CN"/>
                <w14:textFill>
                  <w14:solidFill>
                    <w14:schemeClr w14:val="tx1"/>
                  </w14:solidFill>
                </w14:textFill>
              </w:rPr>
            </w:pPr>
          </w:p>
          <w:p w14:paraId="72360904">
            <w:pPr>
              <w:pStyle w:val="30"/>
              <w:spacing w:line="36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竞争性磋商文件</w:t>
            </w:r>
            <w:r>
              <w:rPr>
                <w:rFonts w:hint="eastAsia" w:ascii="仿宋" w:hAnsi="仿宋" w:eastAsia="仿宋" w:cs="仿宋"/>
                <w:color w:val="000000" w:themeColor="text1"/>
                <w:spacing w:val="-8"/>
                <w:sz w:val="21"/>
                <w:szCs w:val="21"/>
                <w:highlight w:val="none"/>
                <w14:textFill>
                  <w14:solidFill>
                    <w14:schemeClr w14:val="tx1"/>
                  </w14:solidFill>
                </w14:textFill>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0E6D4EB3">
            <w:pPr>
              <w:spacing w:line="360" w:lineRule="auto"/>
              <w:jc w:val="center"/>
              <w:rPr>
                <w:rFonts w:ascii="仿宋" w:hAnsi="仿宋" w:eastAsia="仿宋" w:cs="仿宋"/>
                <w:color w:val="000000" w:themeColor="text1"/>
                <w:highlight w:val="none"/>
                <w14:textFill>
                  <w14:solidFill>
                    <w14:schemeClr w14:val="tx1"/>
                  </w14:solidFill>
                </w14:textFill>
              </w:rPr>
            </w:pPr>
          </w:p>
          <w:p w14:paraId="6FEDF1EC">
            <w:pPr>
              <w:pStyle w:val="30"/>
              <w:spacing w:line="36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7E9A5B7F">
            <w:pPr>
              <w:spacing w:line="360" w:lineRule="auto"/>
              <w:jc w:val="center"/>
              <w:rPr>
                <w:rFonts w:ascii="仿宋" w:hAnsi="仿宋" w:eastAsia="仿宋" w:cs="仿宋"/>
                <w:color w:val="000000" w:themeColor="text1"/>
                <w:highlight w:val="none"/>
                <w14:textFill>
                  <w14:solidFill>
                    <w14:schemeClr w14:val="tx1"/>
                  </w14:solidFill>
                </w14:textFill>
              </w:rPr>
            </w:pPr>
          </w:p>
          <w:p w14:paraId="0E522B2B">
            <w:pPr>
              <w:pStyle w:val="30"/>
              <w:spacing w:line="36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12377C69">
            <w:pPr>
              <w:spacing w:line="360" w:lineRule="auto"/>
              <w:jc w:val="center"/>
              <w:rPr>
                <w:rFonts w:ascii="仿宋" w:hAnsi="仿宋" w:eastAsia="仿宋" w:cs="仿宋"/>
                <w:color w:val="000000" w:themeColor="text1"/>
                <w:highlight w:val="none"/>
                <w14:textFill>
                  <w14:solidFill>
                    <w14:schemeClr w14:val="tx1"/>
                  </w14:solidFill>
                </w14:textFill>
              </w:rPr>
            </w:pPr>
          </w:p>
          <w:p w14:paraId="6AFC2364">
            <w:pPr>
              <w:pStyle w:val="30"/>
              <w:spacing w:line="36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9"/>
                <w:sz w:val="21"/>
                <w:szCs w:val="21"/>
                <w:highlight w:val="none"/>
                <w14:textFill>
                  <w14:solidFill>
                    <w14:schemeClr w14:val="tx1"/>
                  </w14:solidFill>
                </w14:textFill>
              </w:rPr>
              <w:t>说明</w:t>
            </w:r>
          </w:p>
        </w:tc>
      </w:tr>
      <w:tr w14:paraId="4420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56AA0F12">
            <w:pPr>
              <w:spacing w:before="40" w:line="196" w:lineRule="auto"/>
              <w:ind w:left="112"/>
              <w:rPr>
                <w:rFonts w:ascii="仿宋" w:hAnsi="仿宋" w:eastAsia="仿宋" w:cs="仿宋"/>
                <w:b/>
                <w:bCs/>
                <w:color w:val="000000" w:themeColor="text1"/>
                <w:spacing w:val="-5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对本项目合同条款的偏离情况（</w:t>
            </w:r>
            <w:r>
              <w:rPr>
                <w:rFonts w:hint="eastAsia" w:ascii="仿宋" w:hAnsi="仿宋" w:eastAsia="仿宋" w:cs="仿宋"/>
                <w:color w:val="000000" w:themeColor="text1"/>
                <w:sz w:val="24"/>
                <w:szCs w:val="24"/>
                <w:highlight w:val="none"/>
                <w:lang w:eastAsia="zh-CN"/>
                <w14:textFill>
                  <w14:solidFill>
                    <w14:schemeClr w14:val="tx1"/>
                  </w14:solidFill>
                </w14:textFill>
              </w:rPr>
              <w:t>应进行选择，未选择</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b/>
                <w:bCs/>
                <w:color w:val="000000" w:themeColor="text1"/>
                <w:spacing w:val="-51"/>
                <w:sz w:val="24"/>
                <w:szCs w:val="24"/>
                <w:highlight w:val="none"/>
                <w:lang w:eastAsia="zh-CN"/>
                <w14:textFill>
                  <w14:solidFill>
                    <w14:schemeClr w14:val="tx1"/>
                  </w14:solidFill>
                </w14:textFill>
              </w:rPr>
              <w:t>）：</w:t>
            </w:r>
          </w:p>
          <w:p w14:paraId="68BC7254">
            <w:pPr>
              <w:spacing w:before="40" w:line="196" w:lineRule="auto"/>
              <w:ind w:left="112" w:firstLine="486"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（如无偏离，仅选择无偏离即可；无偏离即为</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对合同条款中的所有要求，均视</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作供应商已对之理解和响应。）</w:t>
            </w:r>
          </w:p>
          <w:p w14:paraId="47761356">
            <w:pPr>
              <w:spacing w:before="40" w:line="196" w:lineRule="auto"/>
              <w:ind w:left="112" w:firstLine="48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□有偏离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（如有偏离，则应在本表中对负偏离项逐一列</w:t>
            </w:r>
            <w:r>
              <w:rPr>
                <w:rFonts w:hint="eastAsia" w:ascii="仿宋" w:hAnsi="仿宋" w:eastAsia="仿宋" w:cs="仿宋"/>
                <w:color w:val="000000" w:themeColor="text1"/>
                <w:sz w:val="24"/>
                <w:szCs w:val="24"/>
                <w:highlight w:val="none"/>
                <w:lang w:eastAsia="zh-CN"/>
                <w14:textFill>
                  <w14:solidFill>
                    <w14:schemeClr w14:val="tx1"/>
                  </w14:solidFill>
                </w14:textFill>
              </w:rPr>
              <w:t>明，否则</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中的所有要求，除本表列明的偏离外</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，均视作供应商已对之理解</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和响应。</w:t>
            </w:r>
            <w:r>
              <w:rPr>
                <w:rFonts w:hint="eastAsia" w:ascii="仿宋" w:hAnsi="仿宋" w:eastAsia="仿宋" w:cs="仿宋"/>
                <w:color w:val="000000" w:themeColor="text1"/>
                <w:spacing w:val="-6"/>
                <w:sz w:val="24"/>
                <w:szCs w:val="24"/>
                <w:highlight w:val="none"/>
                <w14:textFill>
                  <w14:solidFill>
                    <w14:schemeClr w14:val="tx1"/>
                  </w14:solidFill>
                </w14:textFill>
              </w:rPr>
              <w:t>）</w:t>
            </w:r>
          </w:p>
        </w:tc>
      </w:tr>
      <w:tr w14:paraId="0443D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36291323">
            <w:pPr>
              <w:spacing w:line="360" w:lineRule="auto"/>
              <w:rPr>
                <w:rFonts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76848330">
            <w:pPr>
              <w:spacing w:line="360" w:lineRule="auto"/>
              <w:rPr>
                <w:rFonts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7BE22FDB">
            <w:pPr>
              <w:spacing w:line="360" w:lineRule="auto"/>
              <w:rPr>
                <w:rFonts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5B3D814D">
            <w:pPr>
              <w:spacing w:line="360" w:lineRule="auto"/>
              <w:rPr>
                <w:rFonts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47EB5038">
            <w:pPr>
              <w:spacing w:line="360" w:lineRule="auto"/>
              <w:rPr>
                <w:rFonts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75A53402">
            <w:pPr>
              <w:spacing w:line="360" w:lineRule="auto"/>
              <w:rPr>
                <w:rFonts w:ascii="仿宋" w:hAnsi="仿宋" w:eastAsia="仿宋" w:cs="仿宋"/>
                <w:color w:val="000000" w:themeColor="text1"/>
                <w:highlight w:val="none"/>
                <w14:textFill>
                  <w14:solidFill>
                    <w14:schemeClr w14:val="tx1"/>
                  </w14:solidFill>
                </w14:textFill>
              </w:rPr>
            </w:pPr>
          </w:p>
        </w:tc>
      </w:tr>
      <w:tr w14:paraId="59CA7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4FE5DAF6">
            <w:pPr>
              <w:spacing w:line="360" w:lineRule="auto"/>
              <w:rPr>
                <w:rFonts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447C8519">
            <w:pPr>
              <w:spacing w:line="360" w:lineRule="auto"/>
              <w:rPr>
                <w:rFonts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5E0106FF">
            <w:pPr>
              <w:spacing w:line="360" w:lineRule="auto"/>
              <w:rPr>
                <w:rFonts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0AF81796">
            <w:pPr>
              <w:spacing w:line="360" w:lineRule="auto"/>
              <w:rPr>
                <w:rFonts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62654494">
            <w:pPr>
              <w:spacing w:line="360" w:lineRule="auto"/>
              <w:rPr>
                <w:rFonts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444219BB">
            <w:pPr>
              <w:spacing w:line="360" w:lineRule="auto"/>
              <w:rPr>
                <w:rFonts w:ascii="仿宋" w:hAnsi="仿宋" w:eastAsia="仿宋" w:cs="仿宋"/>
                <w:color w:val="000000" w:themeColor="text1"/>
                <w:highlight w:val="none"/>
                <w14:textFill>
                  <w14:solidFill>
                    <w14:schemeClr w14:val="tx1"/>
                  </w14:solidFill>
                </w14:textFill>
              </w:rPr>
            </w:pPr>
          </w:p>
        </w:tc>
      </w:tr>
      <w:tr w14:paraId="0C26B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71BC8149">
            <w:pPr>
              <w:spacing w:line="360" w:lineRule="auto"/>
              <w:rPr>
                <w:rFonts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011C1A45">
            <w:pPr>
              <w:spacing w:line="360" w:lineRule="auto"/>
              <w:rPr>
                <w:rFonts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353BD617">
            <w:pPr>
              <w:spacing w:line="360" w:lineRule="auto"/>
              <w:rPr>
                <w:rFonts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55C632B2">
            <w:pPr>
              <w:spacing w:line="360" w:lineRule="auto"/>
              <w:rPr>
                <w:rFonts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75EAB930">
            <w:pPr>
              <w:spacing w:line="360" w:lineRule="auto"/>
              <w:rPr>
                <w:rFonts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07629E68">
            <w:pPr>
              <w:spacing w:line="360" w:lineRule="auto"/>
              <w:rPr>
                <w:rFonts w:ascii="仿宋" w:hAnsi="仿宋" w:eastAsia="仿宋" w:cs="仿宋"/>
                <w:color w:val="000000" w:themeColor="text1"/>
                <w:highlight w:val="none"/>
                <w14:textFill>
                  <w14:solidFill>
                    <w14:schemeClr w14:val="tx1"/>
                  </w14:solidFill>
                </w14:textFill>
              </w:rPr>
            </w:pPr>
          </w:p>
        </w:tc>
      </w:tr>
      <w:tr w14:paraId="43A0F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3879586F">
            <w:pPr>
              <w:spacing w:line="360" w:lineRule="auto"/>
              <w:rPr>
                <w:rFonts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2675A240">
            <w:pPr>
              <w:spacing w:line="360" w:lineRule="auto"/>
              <w:rPr>
                <w:rFonts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78730C73">
            <w:pPr>
              <w:spacing w:line="360" w:lineRule="auto"/>
              <w:rPr>
                <w:rFonts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19DEBFA1">
            <w:pPr>
              <w:spacing w:line="360" w:lineRule="auto"/>
              <w:rPr>
                <w:rFonts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3A7BD888">
            <w:pPr>
              <w:spacing w:line="360" w:lineRule="auto"/>
              <w:rPr>
                <w:rFonts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1320D373">
            <w:pPr>
              <w:spacing w:line="360" w:lineRule="auto"/>
              <w:rPr>
                <w:rFonts w:ascii="仿宋" w:hAnsi="仿宋" w:eastAsia="仿宋" w:cs="仿宋"/>
                <w:color w:val="000000" w:themeColor="text1"/>
                <w:highlight w:val="none"/>
                <w14:textFill>
                  <w14:solidFill>
                    <w14:schemeClr w14:val="tx1"/>
                  </w14:solidFill>
                </w14:textFill>
              </w:rPr>
            </w:pPr>
          </w:p>
        </w:tc>
      </w:tr>
      <w:tr w14:paraId="1AA32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2E9D198B">
            <w:pPr>
              <w:spacing w:line="360" w:lineRule="auto"/>
              <w:rPr>
                <w:rFonts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tcBorders>
          </w:tcPr>
          <w:p w14:paraId="52FBEBDF">
            <w:pPr>
              <w:spacing w:line="360" w:lineRule="auto"/>
              <w:rPr>
                <w:rFonts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tcBorders>
          </w:tcPr>
          <w:p w14:paraId="27DB1FAA">
            <w:pPr>
              <w:spacing w:line="360" w:lineRule="auto"/>
              <w:rPr>
                <w:rFonts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tcBorders>
          </w:tcPr>
          <w:p w14:paraId="5BC44FE0">
            <w:pPr>
              <w:spacing w:line="360" w:lineRule="auto"/>
              <w:rPr>
                <w:rFonts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tcBorders>
          </w:tcPr>
          <w:p w14:paraId="1E5133B5">
            <w:pPr>
              <w:spacing w:line="360" w:lineRule="auto"/>
              <w:rPr>
                <w:rFonts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tcBorders>
          </w:tcPr>
          <w:p w14:paraId="2AAA7E08">
            <w:pPr>
              <w:spacing w:line="360" w:lineRule="auto"/>
              <w:rPr>
                <w:rFonts w:ascii="仿宋" w:hAnsi="仿宋" w:eastAsia="仿宋" w:cs="仿宋"/>
                <w:color w:val="000000" w:themeColor="text1"/>
                <w:highlight w:val="none"/>
                <w14:textFill>
                  <w14:solidFill>
                    <w14:schemeClr w14:val="tx1"/>
                  </w14:solidFill>
                </w14:textFill>
              </w:rPr>
            </w:pPr>
          </w:p>
        </w:tc>
      </w:tr>
    </w:tbl>
    <w:p w14:paraId="3B765844">
      <w:pPr>
        <w:pStyle w:val="7"/>
        <w:spacing w:line="360" w:lineRule="auto"/>
        <w:rPr>
          <w:rFonts w:ascii="仿宋" w:hAnsi="仿宋" w:eastAsia="仿宋" w:cs="仿宋"/>
          <w:color w:val="000000" w:themeColor="text1"/>
          <w:highlight w:val="none"/>
          <w14:textFill>
            <w14:solidFill>
              <w14:schemeClr w14:val="tx1"/>
            </w14:solidFill>
          </w14:textFill>
        </w:rPr>
      </w:pPr>
    </w:p>
    <w:p w14:paraId="3BE3F279">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注：“偏离情况”列应据实填写“正偏离”或“负偏离”。</w:t>
      </w:r>
    </w:p>
    <w:p w14:paraId="6655E264">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544F8314">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49E9BD2C">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70E369F4">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32" w:type="default"/>
          <w:footerReference r:id="rId33" w:type="default"/>
          <w:pgSz w:w="11907" w:h="16839"/>
          <w:pgMar w:top="1417" w:right="1417" w:bottom="1417" w:left="1417" w:header="1191" w:footer="850" w:gutter="0"/>
          <w:cols w:space="720" w:num="1"/>
        </w:sectPr>
      </w:pPr>
    </w:p>
    <w:p w14:paraId="5EB7FB3A">
      <w:pPr>
        <w:spacing w:line="360" w:lineRule="auto"/>
        <w:outlineLvl w:val="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11</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采购需求偏离表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64C99D8E">
      <w:pPr>
        <w:spacing w:line="360" w:lineRule="auto"/>
        <w:jc w:val="center"/>
        <w:rPr>
          <w:rFonts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采购需求偏离表</w:t>
      </w:r>
    </w:p>
    <w:p w14:paraId="5CD8E5DD">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29"/>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6FE2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6F0BC7F7">
            <w:pPr>
              <w:spacing w:line="360" w:lineRule="auto"/>
              <w:jc w:val="center"/>
              <w:rPr>
                <w:rFonts w:ascii="仿宋" w:hAnsi="仿宋" w:eastAsia="仿宋" w:cs="仿宋"/>
                <w:color w:val="000000" w:themeColor="text1"/>
                <w:highlight w:val="none"/>
                <w:lang w:eastAsia="zh-CN"/>
                <w14:textFill>
                  <w14:solidFill>
                    <w14:schemeClr w14:val="tx1"/>
                  </w14:solidFill>
                </w14:textFill>
              </w:rPr>
            </w:pPr>
          </w:p>
          <w:p w14:paraId="42DCA581">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highlight w:val="none"/>
                <w14:textFill>
                  <w14:solidFill>
                    <w14:schemeClr w14:val="tx1"/>
                  </w14:solidFill>
                </w14:textFill>
              </w:rPr>
              <w:t>序号</w:t>
            </w:r>
          </w:p>
        </w:tc>
        <w:tc>
          <w:tcPr>
            <w:tcW w:w="1481" w:type="dxa"/>
            <w:tcBorders>
              <w:top w:val="single" w:color="auto" w:sz="4" w:space="0"/>
              <w:left w:val="single" w:color="auto" w:sz="4" w:space="0"/>
              <w:bottom w:val="single" w:color="auto" w:sz="4" w:space="0"/>
              <w:right w:val="single" w:color="auto" w:sz="4" w:space="0"/>
            </w:tcBorders>
          </w:tcPr>
          <w:p w14:paraId="721439C0">
            <w:pPr>
              <w:pStyle w:val="30"/>
              <w:spacing w:line="360" w:lineRule="auto"/>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竞争性磋商</w:t>
            </w:r>
          </w:p>
          <w:p w14:paraId="37DCC3DE">
            <w:pPr>
              <w:pStyle w:val="30"/>
              <w:spacing w:line="360" w:lineRule="auto"/>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文件条目号</w:t>
            </w:r>
          </w:p>
          <w:p w14:paraId="4003DAD2">
            <w:pPr>
              <w:pStyle w:val="30"/>
              <w:spacing w:line="360" w:lineRule="auto"/>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16"/>
                <w:highlight w:val="none"/>
                <w:lang w:eastAsia="zh-CN"/>
                <w14:textFill>
                  <w14:solidFill>
                    <w14:schemeClr w14:val="tx1"/>
                  </w14:solidFill>
                </w14:textFill>
              </w:rPr>
              <w:t>(页码)</w:t>
            </w:r>
          </w:p>
        </w:tc>
        <w:tc>
          <w:tcPr>
            <w:tcW w:w="2381" w:type="dxa"/>
            <w:tcBorders>
              <w:top w:val="single" w:color="auto" w:sz="4" w:space="0"/>
              <w:left w:val="single" w:color="auto" w:sz="4" w:space="0"/>
              <w:bottom w:val="single" w:color="auto" w:sz="4" w:space="0"/>
              <w:right w:val="single" w:color="auto" w:sz="4" w:space="0"/>
            </w:tcBorders>
          </w:tcPr>
          <w:p w14:paraId="7BA873F1">
            <w:pPr>
              <w:spacing w:line="360" w:lineRule="auto"/>
              <w:jc w:val="center"/>
              <w:rPr>
                <w:rFonts w:ascii="仿宋" w:hAnsi="仿宋" w:eastAsia="仿宋" w:cs="仿宋"/>
                <w:color w:val="000000" w:themeColor="text1"/>
                <w:highlight w:val="none"/>
                <w:lang w:eastAsia="zh-CN"/>
                <w14:textFill>
                  <w14:solidFill>
                    <w14:schemeClr w14:val="tx1"/>
                  </w14:solidFill>
                </w14:textFill>
              </w:rPr>
            </w:pPr>
          </w:p>
          <w:p w14:paraId="5CFF4615">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1AB51C80">
            <w:pPr>
              <w:spacing w:line="360" w:lineRule="auto"/>
              <w:jc w:val="center"/>
              <w:rPr>
                <w:rFonts w:ascii="仿宋" w:hAnsi="仿宋" w:eastAsia="仿宋" w:cs="仿宋"/>
                <w:color w:val="000000" w:themeColor="text1"/>
                <w:highlight w:val="none"/>
                <w14:textFill>
                  <w14:solidFill>
                    <w14:schemeClr w14:val="tx1"/>
                  </w14:solidFill>
                </w14:textFill>
              </w:rPr>
            </w:pPr>
          </w:p>
          <w:p w14:paraId="1DD0539A">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响应内容</w:t>
            </w:r>
          </w:p>
        </w:tc>
        <w:tc>
          <w:tcPr>
            <w:tcW w:w="1852" w:type="dxa"/>
            <w:tcBorders>
              <w:top w:val="single" w:color="auto" w:sz="4" w:space="0"/>
              <w:left w:val="single" w:color="auto" w:sz="4" w:space="0"/>
              <w:bottom w:val="single" w:color="auto" w:sz="4" w:space="0"/>
              <w:right w:val="single" w:color="auto" w:sz="4" w:space="0"/>
            </w:tcBorders>
          </w:tcPr>
          <w:p w14:paraId="53FFF83C">
            <w:pPr>
              <w:spacing w:line="360" w:lineRule="auto"/>
              <w:jc w:val="center"/>
              <w:rPr>
                <w:rFonts w:ascii="仿宋" w:hAnsi="仿宋" w:eastAsia="仿宋" w:cs="仿宋"/>
                <w:color w:val="000000" w:themeColor="text1"/>
                <w:highlight w:val="none"/>
                <w14:textFill>
                  <w14:solidFill>
                    <w14:schemeClr w14:val="tx1"/>
                  </w14:solidFill>
                </w14:textFill>
              </w:rPr>
            </w:pPr>
          </w:p>
          <w:p w14:paraId="5D4D75E1">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偏离情况</w:t>
            </w:r>
          </w:p>
        </w:tc>
        <w:tc>
          <w:tcPr>
            <w:tcW w:w="1032" w:type="dxa"/>
            <w:tcBorders>
              <w:top w:val="single" w:color="auto" w:sz="4" w:space="0"/>
              <w:left w:val="single" w:color="auto" w:sz="4" w:space="0"/>
              <w:bottom w:val="single" w:color="auto" w:sz="4" w:space="0"/>
              <w:right w:val="single" w:color="auto" w:sz="4" w:space="0"/>
            </w:tcBorders>
          </w:tcPr>
          <w:p w14:paraId="526F4B9D">
            <w:pPr>
              <w:spacing w:line="360" w:lineRule="auto"/>
              <w:jc w:val="center"/>
              <w:rPr>
                <w:rFonts w:ascii="仿宋" w:hAnsi="仿宋" w:eastAsia="仿宋" w:cs="仿宋"/>
                <w:color w:val="000000" w:themeColor="text1"/>
                <w:highlight w:val="none"/>
                <w14:textFill>
                  <w14:solidFill>
                    <w14:schemeClr w14:val="tx1"/>
                  </w14:solidFill>
                </w14:textFill>
              </w:rPr>
            </w:pPr>
          </w:p>
          <w:p w14:paraId="2E2F14FB">
            <w:pPr>
              <w:pStyle w:val="3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9"/>
                <w:highlight w:val="none"/>
                <w14:textFill>
                  <w14:solidFill>
                    <w14:schemeClr w14:val="tx1"/>
                  </w14:solidFill>
                </w14:textFill>
              </w:rPr>
              <w:t>说明</w:t>
            </w:r>
          </w:p>
        </w:tc>
      </w:tr>
      <w:tr w14:paraId="46DD6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7DEBECB7">
            <w:pPr>
              <w:spacing w:line="360" w:lineRule="auto"/>
              <w:rPr>
                <w:rFonts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7B5B2744">
            <w:pPr>
              <w:spacing w:line="360" w:lineRule="auto"/>
              <w:rPr>
                <w:rFonts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479D2B3B">
            <w:pPr>
              <w:spacing w:line="360" w:lineRule="auto"/>
              <w:rPr>
                <w:rFonts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6F20F0B7">
            <w:pPr>
              <w:spacing w:line="360" w:lineRule="auto"/>
              <w:rPr>
                <w:rFonts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06D0591B">
            <w:pPr>
              <w:spacing w:line="360" w:lineRule="auto"/>
              <w:rPr>
                <w:rFonts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2E542A25">
            <w:pPr>
              <w:spacing w:line="360" w:lineRule="auto"/>
              <w:rPr>
                <w:rFonts w:ascii="仿宋" w:hAnsi="仿宋" w:eastAsia="仿宋" w:cs="仿宋"/>
                <w:color w:val="000000" w:themeColor="text1"/>
                <w:highlight w:val="none"/>
                <w14:textFill>
                  <w14:solidFill>
                    <w14:schemeClr w14:val="tx1"/>
                  </w14:solidFill>
                </w14:textFill>
              </w:rPr>
            </w:pPr>
          </w:p>
        </w:tc>
      </w:tr>
      <w:tr w14:paraId="2EB3B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01A1F92F">
            <w:pPr>
              <w:spacing w:line="360" w:lineRule="auto"/>
              <w:rPr>
                <w:rFonts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083DA2BA">
            <w:pPr>
              <w:spacing w:line="360" w:lineRule="auto"/>
              <w:rPr>
                <w:rFonts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7D53489B">
            <w:pPr>
              <w:spacing w:line="360" w:lineRule="auto"/>
              <w:rPr>
                <w:rFonts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2EE2A71A">
            <w:pPr>
              <w:spacing w:line="360" w:lineRule="auto"/>
              <w:rPr>
                <w:rFonts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3C988508">
            <w:pPr>
              <w:spacing w:line="360" w:lineRule="auto"/>
              <w:rPr>
                <w:rFonts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34250F5B">
            <w:pPr>
              <w:spacing w:line="360" w:lineRule="auto"/>
              <w:rPr>
                <w:rFonts w:ascii="仿宋" w:hAnsi="仿宋" w:eastAsia="仿宋" w:cs="仿宋"/>
                <w:color w:val="000000" w:themeColor="text1"/>
                <w:highlight w:val="none"/>
                <w14:textFill>
                  <w14:solidFill>
                    <w14:schemeClr w14:val="tx1"/>
                  </w14:solidFill>
                </w14:textFill>
              </w:rPr>
            </w:pPr>
          </w:p>
        </w:tc>
      </w:tr>
      <w:tr w14:paraId="4832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787F93BE">
            <w:pPr>
              <w:spacing w:line="360" w:lineRule="auto"/>
              <w:rPr>
                <w:rFonts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5A253AE3">
            <w:pPr>
              <w:spacing w:line="360" w:lineRule="auto"/>
              <w:rPr>
                <w:rFonts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0E8F7EFC">
            <w:pPr>
              <w:spacing w:line="360" w:lineRule="auto"/>
              <w:rPr>
                <w:rFonts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27BA3749">
            <w:pPr>
              <w:spacing w:line="360" w:lineRule="auto"/>
              <w:rPr>
                <w:rFonts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0756B505">
            <w:pPr>
              <w:spacing w:line="360" w:lineRule="auto"/>
              <w:rPr>
                <w:rFonts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3D7A5C7B">
            <w:pPr>
              <w:spacing w:line="360" w:lineRule="auto"/>
              <w:rPr>
                <w:rFonts w:ascii="仿宋" w:hAnsi="仿宋" w:eastAsia="仿宋" w:cs="仿宋"/>
                <w:color w:val="000000" w:themeColor="text1"/>
                <w:highlight w:val="none"/>
                <w14:textFill>
                  <w14:solidFill>
                    <w14:schemeClr w14:val="tx1"/>
                  </w14:solidFill>
                </w14:textFill>
              </w:rPr>
            </w:pPr>
          </w:p>
        </w:tc>
      </w:tr>
      <w:tr w14:paraId="4891E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055D79EA">
            <w:pPr>
              <w:spacing w:line="360" w:lineRule="auto"/>
              <w:rPr>
                <w:rFonts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759B9DCB">
            <w:pPr>
              <w:spacing w:line="360" w:lineRule="auto"/>
              <w:rPr>
                <w:rFonts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47D8B91D">
            <w:pPr>
              <w:spacing w:line="360" w:lineRule="auto"/>
              <w:rPr>
                <w:rFonts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3FA92B59">
            <w:pPr>
              <w:spacing w:line="360" w:lineRule="auto"/>
              <w:rPr>
                <w:rFonts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27916E30">
            <w:pPr>
              <w:spacing w:line="360" w:lineRule="auto"/>
              <w:rPr>
                <w:rFonts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4840E55E">
            <w:pPr>
              <w:spacing w:line="360" w:lineRule="auto"/>
              <w:rPr>
                <w:rFonts w:ascii="仿宋" w:hAnsi="仿宋" w:eastAsia="仿宋" w:cs="仿宋"/>
                <w:color w:val="000000" w:themeColor="text1"/>
                <w:highlight w:val="none"/>
                <w14:textFill>
                  <w14:solidFill>
                    <w14:schemeClr w14:val="tx1"/>
                  </w14:solidFill>
                </w14:textFill>
              </w:rPr>
            </w:pPr>
          </w:p>
        </w:tc>
      </w:tr>
      <w:tr w14:paraId="3B590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39245727">
            <w:pPr>
              <w:spacing w:line="360" w:lineRule="auto"/>
              <w:rPr>
                <w:rFonts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5C24B020">
            <w:pPr>
              <w:spacing w:line="360" w:lineRule="auto"/>
              <w:rPr>
                <w:rFonts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2C26BCC8">
            <w:pPr>
              <w:spacing w:line="360" w:lineRule="auto"/>
              <w:rPr>
                <w:rFonts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61769AD8">
            <w:pPr>
              <w:spacing w:line="360" w:lineRule="auto"/>
              <w:rPr>
                <w:rFonts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2F88E1E6">
            <w:pPr>
              <w:spacing w:line="360" w:lineRule="auto"/>
              <w:rPr>
                <w:rFonts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5871FCFA">
            <w:pPr>
              <w:spacing w:line="360" w:lineRule="auto"/>
              <w:rPr>
                <w:rFonts w:ascii="仿宋" w:hAnsi="仿宋" w:eastAsia="仿宋" w:cs="仿宋"/>
                <w:color w:val="000000" w:themeColor="text1"/>
                <w:highlight w:val="none"/>
                <w14:textFill>
                  <w14:solidFill>
                    <w14:schemeClr w14:val="tx1"/>
                  </w14:solidFill>
                </w14:textFill>
              </w:rPr>
            </w:pPr>
          </w:p>
        </w:tc>
      </w:tr>
      <w:tr w14:paraId="23729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06355F76">
            <w:pPr>
              <w:spacing w:line="360" w:lineRule="auto"/>
              <w:rPr>
                <w:rFonts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6B8D0CEE">
            <w:pPr>
              <w:spacing w:line="360" w:lineRule="auto"/>
              <w:rPr>
                <w:rFonts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0570EF7C">
            <w:pPr>
              <w:spacing w:line="360" w:lineRule="auto"/>
              <w:rPr>
                <w:rFonts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07A624E5">
            <w:pPr>
              <w:spacing w:line="360" w:lineRule="auto"/>
              <w:rPr>
                <w:rFonts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027E20ED">
            <w:pPr>
              <w:spacing w:line="360" w:lineRule="auto"/>
              <w:rPr>
                <w:rFonts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66D29D69">
            <w:pPr>
              <w:spacing w:line="360" w:lineRule="auto"/>
              <w:rPr>
                <w:rFonts w:ascii="仿宋" w:hAnsi="仿宋" w:eastAsia="仿宋" w:cs="仿宋"/>
                <w:color w:val="000000" w:themeColor="text1"/>
                <w:highlight w:val="none"/>
                <w14:textFill>
                  <w14:solidFill>
                    <w14:schemeClr w14:val="tx1"/>
                  </w14:solidFill>
                </w14:textFill>
              </w:rPr>
            </w:pPr>
          </w:p>
        </w:tc>
      </w:tr>
    </w:tbl>
    <w:p w14:paraId="121167FF">
      <w:pPr>
        <w:spacing w:before="103" w:line="203" w:lineRule="auto"/>
        <w:ind w:left="305"/>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w:t>
      </w:r>
    </w:p>
    <w:p w14:paraId="0BE94485">
      <w:pPr>
        <w:pStyle w:val="7"/>
        <w:spacing w:before="2" w:line="201" w:lineRule="auto"/>
        <w:ind w:left="299" w:right="377" w:firstLine="2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1.对竞争性磋商文件中的所有商务、技术要求</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，除本表</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所列明的所有偏离外</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，均视作</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供应商已对之理解和响应。此表中若无任何文字说明，</w:t>
      </w:r>
      <w:r>
        <w:rPr>
          <w:rFonts w:hint="eastAsia" w:ascii="仿宋" w:hAnsi="仿宋" w:eastAsia="仿宋" w:cs="仿宋"/>
          <w:color w:val="000000" w:themeColor="text1"/>
          <w:spacing w:val="-4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内容为空白的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p>
    <w:p w14:paraId="54482491">
      <w:pPr>
        <w:pStyle w:val="7"/>
        <w:spacing w:before="5" w:line="200" w:lineRule="auto"/>
        <w:ind w:left="31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2.“偏离情况”列应据实填写</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“无偏离”、“正偏离”或</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“负偏离”。</w:t>
      </w:r>
    </w:p>
    <w:p w14:paraId="6A11440F">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1320C401">
      <w:pPr>
        <w:spacing w:line="360" w:lineRule="auto"/>
        <w:ind w:hanging="41"/>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3832086C">
      <w:pPr>
        <w:spacing w:line="360" w:lineRule="auto"/>
        <w:ind w:hanging="4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5F9ACA12">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sectPr>
          <w:headerReference r:id="rId34" w:type="default"/>
          <w:footerReference r:id="rId35" w:type="default"/>
          <w:pgSz w:w="11907" w:h="16839"/>
          <w:pgMar w:top="1417" w:right="1417" w:bottom="1417" w:left="1417" w:header="1191" w:footer="850" w:gutter="0"/>
          <w:cols w:space="720" w:num="1"/>
        </w:sectPr>
      </w:pPr>
    </w:p>
    <w:p w14:paraId="11A1D077">
      <w:pPr>
        <w:spacing w:line="360" w:lineRule="auto"/>
        <w:outlineLvl w:val="1"/>
        <w:rPr>
          <w:rFonts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12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竞争性磋商文件要求提供或供应商认为应附的其他</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材料</w:t>
      </w:r>
    </w:p>
    <w:p w14:paraId="6B910272">
      <w:pPr>
        <w:tabs>
          <w:tab w:val="left" w:pos="360"/>
        </w:tabs>
        <w:spacing w:line="360" w:lineRule="auto"/>
        <w:rPr>
          <w:rFonts w:ascii="仿宋" w:hAnsi="仿宋" w:eastAsia="仿宋" w:cs="仿宋"/>
          <w:color w:val="000000" w:themeColor="text1"/>
          <w:sz w:val="24"/>
          <w:highlight w:val="none"/>
          <w:lang w:eastAsia="zh-CN"/>
          <w14:textFill>
            <w14:solidFill>
              <w14:schemeClr w14:val="tx1"/>
            </w14:solidFill>
          </w14:textFill>
        </w:rPr>
      </w:pPr>
    </w:p>
    <w:p w14:paraId="79B0C4C8">
      <w:pPr>
        <w:spacing w:line="240" w:lineRule="exact"/>
        <w:jc w:val="center"/>
        <w:rPr>
          <w:rFonts w:ascii="仿宋" w:hAnsi="仿宋" w:eastAsia="仿宋" w:cs="仿宋"/>
          <w:b/>
          <w:bCs/>
          <w:color w:val="000000" w:themeColor="text1"/>
          <w:highlight w:val="none"/>
          <w:shd w:val="clear" w:color="auto" w:fill="FFFFFF"/>
          <w:lang w:eastAsia="zh-CN"/>
          <w14:textFill>
            <w14:solidFill>
              <w14:schemeClr w14:val="tx1"/>
            </w14:solidFill>
          </w14:textFill>
        </w:rPr>
      </w:pPr>
    </w:p>
    <w:p w14:paraId="317E1D5B">
      <w:pPr>
        <w:spacing w:line="240" w:lineRule="exact"/>
        <w:jc w:val="center"/>
        <w:rPr>
          <w:rFonts w:ascii="仿宋" w:hAnsi="仿宋" w:eastAsia="仿宋" w:cs="仿宋"/>
          <w:b/>
          <w:bCs/>
          <w:color w:val="000000" w:themeColor="text1"/>
          <w:highlight w:val="none"/>
          <w:shd w:val="clear" w:color="auto" w:fill="FFFFFF"/>
          <w:lang w:eastAsia="zh-CN"/>
          <w14:textFill>
            <w14:solidFill>
              <w14:schemeClr w14:val="tx1"/>
            </w14:solidFill>
          </w14:textFill>
        </w:rPr>
      </w:pPr>
    </w:p>
    <w:p w14:paraId="6986593E">
      <w:pPr>
        <w:spacing w:line="240" w:lineRule="exact"/>
        <w:jc w:val="center"/>
        <w:rPr>
          <w:rFonts w:ascii="仿宋" w:hAnsi="仿宋" w:eastAsia="仿宋" w:cs="仿宋"/>
          <w:b/>
          <w:bCs/>
          <w:color w:val="000000" w:themeColor="text1"/>
          <w:highlight w:val="none"/>
          <w:shd w:val="clear" w:color="auto" w:fill="FFFFFF"/>
          <w:lang w:eastAsia="zh-CN"/>
          <w14:textFill>
            <w14:solidFill>
              <w14:schemeClr w14:val="tx1"/>
            </w14:solidFill>
          </w14:textFill>
        </w:rPr>
      </w:pPr>
    </w:p>
    <w:p w14:paraId="2AAC7D86">
      <w:pPr>
        <w:spacing w:line="240" w:lineRule="exact"/>
        <w:jc w:val="center"/>
        <w:rPr>
          <w:rFonts w:ascii="仿宋" w:hAnsi="仿宋" w:eastAsia="仿宋" w:cs="仿宋"/>
          <w:b/>
          <w:bCs/>
          <w:color w:val="000000" w:themeColor="text1"/>
          <w:highlight w:val="none"/>
          <w:shd w:val="clear" w:color="auto" w:fill="FFFFFF"/>
          <w:lang w:eastAsia="zh-CN"/>
          <w14:textFill>
            <w14:solidFill>
              <w14:schemeClr w14:val="tx1"/>
            </w14:solidFill>
          </w14:textFill>
        </w:rPr>
      </w:pPr>
    </w:p>
    <w:p w14:paraId="6CBD1683">
      <w:pPr>
        <w:spacing w:line="240" w:lineRule="exact"/>
        <w:jc w:val="center"/>
        <w:rPr>
          <w:rFonts w:ascii="仿宋" w:hAnsi="仿宋" w:eastAsia="仿宋" w:cs="仿宋"/>
          <w:b/>
          <w:bCs/>
          <w:color w:val="000000" w:themeColor="text1"/>
          <w:highlight w:val="none"/>
          <w:shd w:val="clear" w:color="auto" w:fill="FFFFFF"/>
          <w:lang w:eastAsia="zh-CN"/>
          <w14:textFill>
            <w14:solidFill>
              <w14:schemeClr w14:val="tx1"/>
            </w14:solidFill>
          </w14:textFill>
        </w:rPr>
      </w:pPr>
    </w:p>
    <w:p w14:paraId="32EE371A">
      <w:pPr>
        <w:spacing w:line="360" w:lineRule="auto"/>
        <w:rPr>
          <w:rFonts w:ascii="仿宋" w:hAnsi="仿宋" w:eastAsia="仿宋" w:cs="仿宋"/>
          <w:color w:val="000000" w:themeColor="text1"/>
          <w:spacing w:val="-5"/>
          <w:sz w:val="24"/>
          <w:szCs w:val="24"/>
          <w:highlight w:val="none"/>
          <w:lang w:eastAsia="zh-CN"/>
          <w14:textFill>
            <w14:solidFill>
              <w14:schemeClr w14:val="tx1"/>
            </w14:solidFill>
          </w14:textFill>
        </w:rPr>
        <w:sectPr>
          <w:headerReference r:id="rId36" w:type="default"/>
          <w:footerReference r:id="rId37" w:type="default"/>
          <w:pgSz w:w="11907" w:h="16839"/>
          <w:pgMar w:top="1417" w:right="1417" w:bottom="1417" w:left="1417" w:header="1191" w:footer="964" w:gutter="0"/>
          <w:cols w:space="720" w:num="1"/>
        </w:sectPr>
      </w:pPr>
    </w:p>
    <w:p w14:paraId="4FFB59DE">
      <w:pPr>
        <w:spacing w:line="360" w:lineRule="auto"/>
        <w:outlineLvl w:val="1"/>
        <w:rPr>
          <w:rFonts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13 最后报价一览表（实质性格式、磋商后提交）</w:t>
      </w:r>
    </w:p>
    <w:p w14:paraId="0875BAB7">
      <w:pPr>
        <w:spacing w:line="360" w:lineRule="auto"/>
        <w:rPr>
          <w:rFonts w:ascii="仿宋" w:hAnsi="仿宋" w:eastAsia="仿宋" w:cs="仿宋"/>
          <w:color w:val="000000" w:themeColor="text1"/>
          <w:spacing w:val="-5"/>
          <w:sz w:val="24"/>
          <w:szCs w:val="24"/>
          <w:highlight w:val="none"/>
          <w:lang w:eastAsia="zh-CN"/>
          <w14:textFill>
            <w14:solidFill>
              <w14:schemeClr w14:val="tx1"/>
            </w14:solidFill>
          </w14:textFill>
        </w:rPr>
      </w:pPr>
    </w:p>
    <w:p w14:paraId="3DFB0F77">
      <w:pPr>
        <w:spacing w:line="360" w:lineRule="auto"/>
        <w:jc w:val="center"/>
        <w:rPr>
          <w:rFonts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最后报价一览表</w:t>
      </w:r>
    </w:p>
    <w:p w14:paraId="7B31AF32">
      <w:pPr>
        <w:spacing w:line="360" w:lineRule="auto"/>
        <w:jc w:val="center"/>
        <w:rPr>
          <w:rFonts w:ascii="仿宋" w:hAnsi="仿宋" w:eastAsia="仿宋" w:cs="仿宋"/>
          <w:b/>
          <w:bCs/>
          <w:color w:val="000000" w:themeColor="text1"/>
          <w:spacing w:val="-5"/>
          <w:sz w:val="24"/>
          <w:szCs w:val="24"/>
          <w:highlight w:val="none"/>
          <w:lang w:eastAsia="zh-CN"/>
          <w14:textFill>
            <w14:solidFill>
              <w14:schemeClr w14:val="tx1"/>
            </w14:solidFill>
          </w14:textFill>
        </w:rPr>
      </w:pPr>
    </w:p>
    <w:p w14:paraId="4B9F0BB0">
      <w:pPr>
        <w:tabs>
          <w:tab w:val="left" w:pos="1800"/>
          <w:tab w:val="left" w:pos="5580"/>
        </w:tabs>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报价单位：人民币元</w:t>
      </w:r>
    </w:p>
    <w:p w14:paraId="58C82340">
      <w:pPr>
        <w:spacing w:line="360" w:lineRule="auto"/>
        <w:rPr>
          <w:rFonts w:ascii="仿宋" w:hAnsi="仿宋" w:eastAsia="仿宋" w:cs="仿宋"/>
          <w:color w:val="000000" w:themeColor="text1"/>
          <w:sz w:val="24"/>
          <w:szCs w:val="24"/>
          <w:highlight w:val="none"/>
          <w:lang w:eastAsia="zh-CN"/>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8"/>
        <w:gridCol w:w="1858"/>
        <w:gridCol w:w="1858"/>
        <w:gridCol w:w="1858"/>
      </w:tblGrid>
      <w:tr w14:paraId="5487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64092033">
            <w:pPr>
              <w:widowControl w:val="0"/>
              <w:spacing w:line="360" w:lineRule="auto"/>
              <w:jc w:val="center"/>
              <w:rPr>
                <w:rFonts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序号</w:t>
            </w:r>
          </w:p>
        </w:tc>
        <w:tc>
          <w:tcPr>
            <w:tcW w:w="1858" w:type="dxa"/>
            <w:vMerge w:val="restart"/>
            <w:vAlign w:val="center"/>
          </w:tcPr>
          <w:p w14:paraId="51363E8C">
            <w:pPr>
              <w:widowControl w:val="0"/>
              <w:spacing w:line="360" w:lineRule="auto"/>
              <w:jc w:val="center"/>
              <w:rPr>
                <w:rFonts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供应商名称</w:t>
            </w:r>
          </w:p>
        </w:tc>
        <w:tc>
          <w:tcPr>
            <w:tcW w:w="3716" w:type="dxa"/>
            <w:gridSpan w:val="2"/>
            <w:vAlign w:val="center"/>
          </w:tcPr>
          <w:p w14:paraId="07CDCB7F">
            <w:pPr>
              <w:widowControl w:val="0"/>
              <w:spacing w:line="360" w:lineRule="auto"/>
              <w:jc w:val="center"/>
              <w:rPr>
                <w:rFonts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最后报价（元）</w:t>
            </w:r>
          </w:p>
        </w:tc>
        <w:tc>
          <w:tcPr>
            <w:tcW w:w="1858" w:type="dxa"/>
            <w:vMerge w:val="restart"/>
            <w:vAlign w:val="center"/>
          </w:tcPr>
          <w:p w14:paraId="06F66C5E">
            <w:pPr>
              <w:widowControl w:val="0"/>
              <w:spacing w:line="360" w:lineRule="auto"/>
              <w:jc w:val="center"/>
              <w:rPr>
                <w:rFonts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其他声明</w:t>
            </w:r>
          </w:p>
        </w:tc>
      </w:tr>
      <w:tr w14:paraId="7EEE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25C040E3">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Merge w:val="continue"/>
          </w:tcPr>
          <w:p w14:paraId="685237CD">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Align w:val="center"/>
          </w:tcPr>
          <w:p w14:paraId="04F41381">
            <w:pPr>
              <w:widowControl w:val="0"/>
              <w:spacing w:line="360" w:lineRule="auto"/>
              <w:jc w:val="center"/>
              <w:rPr>
                <w:rFonts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大写</w:t>
            </w:r>
          </w:p>
        </w:tc>
        <w:tc>
          <w:tcPr>
            <w:tcW w:w="1858" w:type="dxa"/>
            <w:vAlign w:val="center"/>
          </w:tcPr>
          <w:p w14:paraId="0BE3F888">
            <w:pPr>
              <w:widowControl w:val="0"/>
              <w:spacing w:line="360" w:lineRule="auto"/>
              <w:jc w:val="center"/>
              <w:rPr>
                <w:rFonts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小写</w:t>
            </w:r>
          </w:p>
        </w:tc>
        <w:tc>
          <w:tcPr>
            <w:tcW w:w="1858" w:type="dxa"/>
            <w:vMerge w:val="continue"/>
          </w:tcPr>
          <w:p w14:paraId="2E82EB96">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r>
      <w:tr w14:paraId="52B0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C7B366B">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87A8D94">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D2B0EF9">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D12615F">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DC8C563">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r>
      <w:tr w14:paraId="5457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5BFCB13">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2BBA2AE">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2313690E">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A1D7FAE">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D80CE7F">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r>
      <w:tr w14:paraId="3F07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BB1017B">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E067001">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704222DE">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635A441C">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6822FAD9">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r>
      <w:tr w14:paraId="0CB2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22D08D67">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68E3FE14">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62BCEDD4">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EBC6AA6">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EBAE1EC">
            <w:pPr>
              <w:widowControl w:val="0"/>
              <w:spacing w:line="360" w:lineRule="auto"/>
              <w:jc w:val="both"/>
              <w:rPr>
                <w:rFonts w:ascii="仿宋" w:hAnsi="仿宋" w:eastAsia="仿宋" w:cs="仿宋"/>
                <w:color w:val="000000" w:themeColor="text1"/>
                <w:spacing w:val="-5"/>
                <w:sz w:val="24"/>
                <w:szCs w:val="24"/>
                <w:highlight w:val="none"/>
                <w:lang w:eastAsia="zh-CN"/>
                <w14:textFill>
                  <w14:solidFill>
                    <w14:schemeClr w14:val="tx1"/>
                  </w14:solidFill>
                </w14:textFill>
              </w:rPr>
            </w:pPr>
          </w:p>
        </w:tc>
      </w:tr>
    </w:tbl>
    <w:p w14:paraId="2D54A15A">
      <w:pPr>
        <w:spacing w:line="360" w:lineRule="auto"/>
        <w:rPr>
          <w:rFonts w:ascii="仿宋" w:hAnsi="仿宋" w:eastAsia="仿宋" w:cs="仿宋"/>
          <w:color w:val="000000" w:themeColor="text1"/>
          <w:spacing w:val="-5"/>
          <w:sz w:val="24"/>
          <w:szCs w:val="24"/>
          <w:highlight w:val="none"/>
          <w:lang w:eastAsia="zh-CN"/>
          <w14:textFill>
            <w14:solidFill>
              <w14:schemeClr w14:val="tx1"/>
            </w14:solidFill>
          </w14:textFill>
        </w:rPr>
      </w:pPr>
    </w:p>
    <w:p w14:paraId="5B6740A6">
      <w:pPr>
        <w:spacing w:line="360" w:lineRule="auto"/>
        <w:rPr>
          <w:rFonts w:ascii="仿宋" w:hAnsi="仿宋" w:eastAsia="仿宋" w:cs="仿宋"/>
          <w:color w:val="000000" w:themeColor="text1"/>
          <w:spacing w:val="-5"/>
          <w:sz w:val="24"/>
          <w:szCs w:val="24"/>
          <w:highlight w:val="none"/>
          <w:lang w:eastAsia="zh-CN"/>
          <w14:textFill>
            <w14:solidFill>
              <w14:schemeClr w14:val="tx1"/>
            </w14:solidFill>
          </w14:textFill>
        </w:rPr>
      </w:pPr>
    </w:p>
    <w:p w14:paraId="52D57111">
      <w:pPr>
        <w:spacing w:line="360" w:lineRule="auto"/>
        <w:rPr>
          <w:rFonts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注: 1.此表中 ，每包的最后报价应和《最后分项报价表》 中的总价相一致。</w:t>
      </w:r>
    </w:p>
    <w:p w14:paraId="78F99918">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2.本表必须按包分别填写。</w:t>
      </w:r>
    </w:p>
    <w:p w14:paraId="0325A3F9">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3.此表无需在响应文件中提交，磋商后供应商按磋商小组要求提交。</w:t>
      </w:r>
    </w:p>
    <w:p w14:paraId="10A36323">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3DF0E71B">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185A94AC">
      <w:pPr>
        <w:spacing w:line="360" w:lineRule="auto"/>
        <w:ind w:hanging="41"/>
        <w:rPr>
          <w:rFonts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7A7C5A25">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5313666B">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71531E33">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6352FAD0">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45F6575C">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39D9FE71">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4D7E6E44">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2D37865A">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2D2FF245">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47BD0DBF">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43E68D27">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59A6BD9F">
      <w:pPr>
        <w:spacing w:line="360" w:lineRule="auto"/>
        <w:jc w:val="both"/>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14  最后分项报价表（实质性格式，磋商后提交）</w:t>
      </w:r>
    </w:p>
    <w:p w14:paraId="5A390947">
      <w:pPr>
        <w:spacing w:line="360" w:lineRule="auto"/>
        <w:jc w:val="center"/>
        <w:rPr>
          <w:rFonts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6"/>
          <w:sz w:val="36"/>
          <w:szCs w:val="36"/>
          <w:highlight w:val="none"/>
          <w:lang w:eastAsia="zh-CN"/>
          <w14:textFill>
            <w14:solidFill>
              <w14:schemeClr w14:val="tx1"/>
            </w14:solidFill>
          </w14:textFill>
        </w:rPr>
        <w:t>分项报价表</w:t>
      </w:r>
    </w:p>
    <w:p w14:paraId="0B24EF56">
      <w:pPr>
        <w:tabs>
          <w:tab w:val="left" w:pos="1800"/>
          <w:tab w:val="left" w:pos="5580"/>
        </w:tabs>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682B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327D19D2">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242" w:type="pct"/>
            <w:vAlign w:val="center"/>
          </w:tcPr>
          <w:p w14:paraId="278537F4">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分项名称</w:t>
            </w:r>
          </w:p>
        </w:tc>
        <w:tc>
          <w:tcPr>
            <w:tcW w:w="920" w:type="pct"/>
            <w:vAlign w:val="center"/>
          </w:tcPr>
          <w:p w14:paraId="53A01135">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单价（元）</w:t>
            </w:r>
          </w:p>
        </w:tc>
        <w:tc>
          <w:tcPr>
            <w:tcW w:w="847" w:type="pct"/>
            <w:vAlign w:val="center"/>
          </w:tcPr>
          <w:p w14:paraId="14EF7898">
            <w:pPr>
              <w:jc w:val="center"/>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数量</w:t>
            </w:r>
          </w:p>
        </w:tc>
        <w:tc>
          <w:tcPr>
            <w:tcW w:w="822" w:type="pct"/>
            <w:vAlign w:val="center"/>
          </w:tcPr>
          <w:p w14:paraId="53C08AD1">
            <w:pPr>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合价（元）</w:t>
            </w:r>
          </w:p>
        </w:tc>
        <w:tc>
          <w:tcPr>
            <w:tcW w:w="919" w:type="pct"/>
            <w:vAlign w:val="center"/>
          </w:tcPr>
          <w:p w14:paraId="422AB6AB">
            <w:pPr>
              <w:jc w:val="both"/>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备注/说明</w:t>
            </w:r>
          </w:p>
        </w:tc>
      </w:tr>
      <w:tr w14:paraId="6C77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33843E63">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242" w:type="pct"/>
            <w:vAlign w:val="center"/>
          </w:tcPr>
          <w:p w14:paraId="092A8883">
            <w:pPr>
              <w:rPr>
                <w:rFonts w:ascii="仿宋" w:hAnsi="仿宋" w:eastAsia="仿宋" w:cs="仿宋"/>
                <w:color w:val="000000" w:themeColor="text1"/>
                <w:sz w:val="24"/>
                <w:highlight w:val="none"/>
                <w14:textFill>
                  <w14:solidFill>
                    <w14:schemeClr w14:val="tx1"/>
                  </w14:solidFill>
                </w14:textFill>
              </w:rPr>
            </w:pPr>
          </w:p>
        </w:tc>
        <w:tc>
          <w:tcPr>
            <w:tcW w:w="920" w:type="pct"/>
            <w:vAlign w:val="center"/>
          </w:tcPr>
          <w:p w14:paraId="298EDF38">
            <w:pPr>
              <w:rPr>
                <w:rFonts w:ascii="仿宋" w:hAnsi="仿宋" w:eastAsia="仿宋" w:cs="仿宋"/>
                <w:color w:val="000000" w:themeColor="text1"/>
                <w:sz w:val="24"/>
                <w:highlight w:val="none"/>
                <w14:textFill>
                  <w14:solidFill>
                    <w14:schemeClr w14:val="tx1"/>
                  </w14:solidFill>
                </w14:textFill>
              </w:rPr>
            </w:pPr>
          </w:p>
        </w:tc>
        <w:tc>
          <w:tcPr>
            <w:tcW w:w="847" w:type="pct"/>
            <w:vAlign w:val="center"/>
          </w:tcPr>
          <w:p w14:paraId="7B717352">
            <w:pPr>
              <w:rPr>
                <w:rFonts w:ascii="仿宋" w:hAnsi="仿宋" w:eastAsia="仿宋" w:cs="仿宋"/>
                <w:color w:val="000000" w:themeColor="text1"/>
                <w:sz w:val="24"/>
                <w:highlight w:val="none"/>
                <w14:textFill>
                  <w14:solidFill>
                    <w14:schemeClr w14:val="tx1"/>
                  </w14:solidFill>
                </w14:textFill>
              </w:rPr>
            </w:pPr>
          </w:p>
        </w:tc>
        <w:tc>
          <w:tcPr>
            <w:tcW w:w="822" w:type="pct"/>
            <w:vAlign w:val="center"/>
          </w:tcPr>
          <w:p w14:paraId="60994900">
            <w:pPr>
              <w:rPr>
                <w:rFonts w:ascii="仿宋" w:hAnsi="仿宋" w:eastAsia="仿宋" w:cs="仿宋"/>
                <w:color w:val="000000" w:themeColor="text1"/>
                <w:sz w:val="24"/>
                <w:highlight w:val="none"/>
                <w14:textFill>
                  <w14:solidFill>
                    <w14:schemeClr w14:val="tx1"/>
                  </w14:solidFill>
                </w14:textFill>
              </w:rPr>
            </w:pPr>
          </w:p>
        </w:tc>
        <w:tc>
          <w:tcPr>
            <w:tcW w:w="919" w:type="pct"/>
            <w:vAlign w:val="center"/>
          </w:tcPr>
          <w:p w14:paraId="21128DD6">
            <w:pPr>
              <w:rPr>
                <w:rFonts w:ascii="仿宋" w:hAnsi="仿宋" w:eastAsia="仿宋" w:cs="仿宋"/>
                <w:color w:val="000000" w:themeColor="text1"/>
                <w:sz w:val="24"/>
                <w:highlight w:val="none"/>
                <w14:textFill>
                  <w14:solidFill>
                    <w14:schemeClr w14:val="tx1"/>
                  </w14:solidFill>
                </w14:textFill>
              </w:rPr>
            </w:pPr>
          </w:p>
        </w:tc>
      </w:tr>
      <w:tr w14:paraId="111F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0DEDFCC3">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242" w:type="pct"/>
            <w:vAlign w:val="center"/>
          </w:tcPr>
          <w:p w14:paraId="37D20014">
            <w:pPr>
              <w:rPr>
                <w:rFonts w:ascii="仿宋" w:hAnsi="仿宋" w:eastAsia="仿宋" w:cs="仿宋"/>
                <w:color w:val="000000" w:themeColor="text1"/>
                <w:sz w:val="24"/>
                <w:highlight w:val="none"/>
                <w14:textFill>
                  <w14:solidFill>
                    <w14:schemeClr w14:val="tx1"/>
                  </w14:solidFill>
                </w14:textFill>
              </w:rPr>
            </w:pPr>
          </w:p>
        </w:tc>
        <w:tc>
          <w:tcPr>
            <w:tcW w:w="920" w:type="pct"/>
            <w:vAlign w:val="center"/>
          </w:tcPr>
          <w:p w14:paraId="3E131CF8">
            <w:pPr>
              <w:rPr>
                <w:rFonts w:ascii="仿宋" w:hAnsi="仿宋" w:eastAsia="仿宋" w:cs="仿宋"/>
                <w:color w:val="000000" w:themeColor="text1"/>
                <w:sz w:val="24"/>
                <w:highlight w:val="none"/>
                <w14:textFill>
                  <w14:solidFill>
                    <w14:schemeClr w14:val="tx1"/>
                  </w14:solidFill>
                </w14:textFill>
              </w:rPr>
            </w:pPr>
          </w:p>
        </w:tc>
        <w:tc>
          <w:tcPr>
            <w:tcW w:w="847" w:type="pct"/>
            <w:vAlign w:val="center"/>
          </w:tcPr>
          <w:p w14:paraId="21D84F31">
            <w:pPr>
              <w:rPr>
                <w:rFonts w:ascii="仿宋" w:hAnsi="仿宋" w:eastAsia="仿宋" w:cs="仿宋"/>
                <w:color w:val="000000" w:themeColor="text1"/>
                <w:sz w:val="24"/>
                <w:highlight w:val="none"/>
                <w14:textFill>
                  <w14:solidFill>
                    <w14:schemeClr w14:val="tx1"/>
                  </w14:solidFill>
                </w14:textFill>
              </w:rPr>
            </w:pPr>
          </w:p>
        </w:tc>
        <w:tc>
          <w:tcPr>
            <w:tcW w:w="822" w:type="pct"/>
            <w:vAlign w:val="center"/>
          </w:tcPr>
          <w:p w14:paraId="707E98E8">
            <w:pPr>
              <w:rPr>
                <w:rFonts w:ascii="仿宋" w:hAnsi="仿宋" w:eastAsia="仿宋" w:cs="仿宋"/>
                <w:color w:val="000000" w:themeColor="text1"/>
                <w:sz w:val="24"/>
                <w:highlight w:val="none"/>
                <w14:textFill>
                  <w14:solidFill>
                    <w14:schemeClr w14:val="tx1"/>
                  </w14:solidFill>
                </w14:textFill>
              </w:rPr>
            </w:pPr>
          </w:p>
        </w:tc>
        <w:tc>
          <w:tcPr>
            <w:tcW w:w="919" w:type="pct"/>
            <w:vAlign w:val="center"/>
          </w:tcPr>
          <w:p w14:paraId="54BA08B4">
            <w:pPr>
              <w:rPr>
                <w:rFonts w:ascii="仿宋" w:hAnsi="仿宋" w:eastAsia="仿宋" w:cs="仿宋"/>
                <w:color w:val="000000" w:themeColor="text1"/>
                <w:sz w:val="24"/>
                <w:highlight w:val="none"/>
                <w14:textFill>
                  <w14:solidFill>
                    <w14:schemeClr w14:val="tx1"/>
                  </w14:solidFill>
                </w14:textFill>
              </w:rPr>
            </w:pPr>
          </w:p>
        </w:tc>
      </w:tr>
      <w:tr w14:paraId="4611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52D47614">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242" w:type="pct"/>
            <w:vAlign w:val="center"/>
          </w:tcPr>
          <w:p w14:paraId="301512E6">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920" w:type="pct"/>
            <w:vAlign w:val="center"/>
          </w:tcPr>
          <w:p w14:paraId="005BD543">
            <w:pPr>
              <w:rPr>
                <w:rFonts w:ascii="仿宋" w:hAnsi="仿宋" w:eastAsia="仿宋" w:cs="仿宋"/>
                <w:color w:val="000000" w:themeColor="text1"/>
                <w:sz w:val="24"/>
                <w:highlight w:val="none"/>
                <w14:textFill>
                  <w14:solidFill>
                    <w14:schemeClr w14:val="tx1"/>
                  </w14:solidFill>
                </w14:textFill>
              </w:rPr>
            </w:pPr>
          </w:p>
        </w:tc>
        <w:tc>
          <w:tcPr>
            <w:tcW w:w="847" w:type="pct"/>
            <w:vAlign w:val="center"/>
          </w:tcPr>
          <w:p w14:paraId="3A0335D6">
            <w:pPr>
              <w:rPr>
                <w:rFonts w:ascii="仿宋" w:hAnsi="仿宋" w:eastAsia="仿宋" w:cs="仿宋"/>
                <w:color w:val="000000" w:themeColor="text1"/>
                <w:sz w:val="24"/>
                <w:highlight w:val="none"/>
                <w14:textFill>
                  <w14:solidFill>
                    <w14:schemeClr w14:val="tx1"/>
                  </w14:solidFill>
                </w14:textFill>
              </w:rPr>
            </w:pPr>
          </w:p>
        </w:tc>
        <w:tc>
          <w:tcPr>
            <w:tcW w:w="822" w:type="pct"/>
            <w:vAlign w:val="center"/>
          </w:tcPr>
          <w:p w14:paraId="7E2952C9">
            <w:pPr>
              <w:rPr>
                <w:rFonts w:ascii="仿宋" w:hAnsi="仿宋" w:eastAsia="仿宋" w:cs="仿宋"/>
                <w:color w:val="000000" w:themeColor="text1"/>
                <w:sz w:val="24"/>
                <w:highlight w:val="none"/>
                <w14:textFill>
                  <w14:solidFill>
                    <w14:schemeClr w14:val="tx1"/>
                  </w14:solidFill>
                </w14:textFill>
              </w:rPr>
            </w:pPr>
          </w:p>
        </w:tc>
        <w:tc>
          <w:tcPr>
            <w:tcW w:w="919" w:type="pct"/>
            <w:vAlign w:val="center"/>
          </w:tcPr>
          <w:p w14:paraId="742A6578">
            <w:pPr>
              <w:rPr>
                <w:rFonts w:ascii="仿宋" w:hAnsi="仿宋" w:eastAsia="仿宋" w:cs="仿宋"/>
                <w:color w:val="000000" w:themeColor="text1"/>
                <w:sz w:val="24"/>
                <w:highlight w:val="none"/>
                <w14:textFill>
                  <w14:solidFill>
                    <w14:schemeClr w14:val="tx1"/>
                  </w14:solidFill>
                </w14:textFill>
              </w:rPr>
            </w:pPr>
          </w:p>
        </w:tc>
      </w:tr>
      <w:tr w14:paraId="0911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33BB5BF9">
            <w:pPr>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总价（元）</w:t>
            </w:r>
          </w:p>
        </w:tc>
        <w:tc>
          <w:tcPr>
            <w:tcW w:w="822" w:type="pct"/>
            <w:vAlign w:val="center"/>
          </w:tcPr>
          <w:p w14:paraId="5C7C4AF8">
            <w:pPr>
              <w:rPr>
                <w:rFonts w:ascii="仿宋" w:hAnsi="仿宋" w:eastAsia="仿宋" w:cs="仿宋"/>
                <w:color w:val="000000" w:themeColor="text1"/>
                <w:sz w:val="24"/>
                <w:highlight w:val="none"/>
                <w14:textFill>
                  <w14:solidFill>
                    <w14:schemeClr w14:val="tx1"/>
                  </w14:solidFill>
                </w14:textFill>
              </w:rPr>
            </w:pPr>
          </w:p>
        </w:tc>
        <w:tc>
          <w:tcPr>
            <w:tcW w:w="919" w:type="pct"/>
            <w:vAlign w:val="center"/>
          </w:tcPr>
          <w:p w14:paraId="75D65E74">
            <w:pPr>
              <w:rPr>
                <w:rFonts w:ascii="仿宋" w:hAnsi="仿宋" w:eastAsia="仿宋" w:cs="仿宋"/>
                <w:color w:val="000000" w:themeColor="text1"/>
                <w:sz w:val="24"/>
                <w:highlight w:val="none"/>
                <w14:textFill>
                  <w14:solidFill>
                    <w14:schemeClr w14:val="tx1"/>
                  </w14:solidFill>
                </w14:textFill>
              </w:rPr>
            </w:pPr>
          </w:p>
        </w:tc>
      </w:tr>
    </w:tbl>
    <w:p w14:paraId="40A00DD5">
      <w:pPr>
        <w:tabs>
          <w:tab w:val="left" w:pos="1800"/>
          <w:tab w:val="left" w:pos="5580"/>
        </w:tabs>
        <w:rPr>
          <w:rFonts w:ascii="仿宋" w:hAnsi="仿宋" w:eastAsia="仿宋" w:cs="仿宋"/>
          <w:color w:val="000000" w:themeColor="text1"/>
          <w:sz w:val="24"/>
          <w:highlight w:val="none"/>
          <w14:textFill>
            <w14:solidFill>
              <w14:schemeClr w14:val="tx1"/>
            </w14:solidFill>
          </w14:textFill>
        </w:rPr>
      </w:pPr>
    </w:p>
    <w:p w14:paraId="3DDA2B27">
      <w:pPr>
        <w:pStyle w:val="7"/>
        <w:spacing w:line="360" w:lineRule="auto"/>
        <w:rPr>
          <w:rFonts w:ascii="仿宋" w:hAnsi="仿宋" w:eastAsia="仿宋" w:cs="仿宋"/>
          <w:color w:val="000000" w:themeColor="text1"/>
          <w:highlight w:val="none"/>
          <w14:textFill>
            <w14:solidFill>
              <w14:schemeClr w14:val="tx1"/>
            </w14:solidFill>
          </w14:textFill>
        </w:rPr>
      </w:pPr>
    </w:p>
    <w:p w14:paraId="1AE8E1C4">
      <w:pPr>
        <w:spacing w:line="360" w:lineRule="auto"/>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注：1.本表应按包分别填写。</w:t>
      </w:r>
    </w:p>
    <w:p w14:paraId="428261E8">
      <w:pPr>
        <w:spacing w:line="360" w:lineRule="auto"/>
        <w:ind w:left="239" w:leftChars="114" w:firstLine="229" w:firstLineChars="99"/>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2.上述各项的详细规格（如有），可另页描述。</w:t>
      </w:r>
    </w:p>
    <w:p w14:paraId="579905C0">
      <w:pPr>
        <w:spacing w:line="360" w:lineRule="auto"/>
        <w:ind w:left="239" w:leftChars="114" w:firstLine="229" w:firstLineChars="99"/>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3.此表无需在响应文件中提交，磋商后供应商按磋商小组要求提交。</w:t>
      </w:r>
    </w:p>
    <w:p w14:paraId="703F07A5">
      <w:pPr>
        <w:pStyle w:val="7"/>
        <w:spacing w:line="360" w:lineRule="auto"/>
        <w:rPr>
          <w:rFonts w:ascii="仿宋" w:hAnsi="仿宋" w:eastAsia="仿宋" w:cs="仿宋"/>
          <w:color w:val="000000" w:themeColor="text1"/>
          <w:highlight w:val="none"/>
          <w:lang w:eastAsia="zh-CN"/>
          <w14:textFill>
            <w14:solidFill>
              <w14:schemeClr w14:val="tx1"/>
            </w14:solidFill>
          </w14:textFill>
        </w:rPr>
      </w:pPr>
    </w:p>
    <w:p w14:paraId="741FA641">
      <w:pPr>
        <w:spacing w:before="25" w:after="25"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____________</w:t>
      </w:r>
    </w:p>
    <w:p w14:paraId="4B85C1AC">
      <w:pPr>
        <w:spacing w:line="360" w:lineRule="auto"/>
        <w:ind w:hanging="41"/>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40F78ED7">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5FDFA872">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335FA7E4">
      <w:pPr>
        <w:spacing w:line="360" w:lineRule="auto"/>
        <w:ind w:hanging="41"/>
        <w:rPr>
          <w:rFonts w:ascii="仿宋" w:hAnsi="仿宋" w:eastAsia="仿宋" w:cs="仿宋"/>
          <w:color w:val="000000" w:themeColor="text1"/>
          <w:spacing w:val="-16"/>
          <w:sz w:val="24"/>
          <w:szCs w:val="24"/>
          <w:highlight w:val="none"/>
          <w:lang w:eastAsia="zh-CN"/>
          <w14:textFill>
            <w14:solidFill>
              <w14:schemeClr w14:val="tx1"/>
            </w14:solidFill>
          </w14:textFill>
        </w:rPr>
      </w:pPr>
    </w:p>
    <w:p w14:paraId="33BD966A">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328807ED">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6AE39796">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61466774">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056214F4">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74D225BF">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369685CA">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06D26790">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5B8579A8">
      <w:pPr>
        <w:spacing w:line="360" w:lineRule="auto"/>
        <w:ind w:firstLine="460" w:firstLineChars="200"/>
        <w:rPr>
          <w:rFonts w:ascii="仿宋" w:hAnsi="仿宋" w:eastAsia="仿宋" w:cs="仿宋"/>
          <w:color w:val="000000" w:themeColor="text1"/>
          <w:spacing w:val="-5"/>
          <w:sz w:val="24"/>
          <w:szCs w:val="24"/>
          <w:highlight w:val="none"/>
          <w:lang w:eastAsia="zh-CN"/>
          <w14:textFill>
            <w14:solidFill>
              <w14:schemeClr w14:val="tx1"/>
            </w14:solidFill>
          </w14:textFill>
        </w:rPr>
      </w:pPr>
    </w:p>
    <w:p w14:paraId="42448B04">
      <w:pPr>
        <w:pStyle w:val="7"/>
        <w:spacing w:before="273" w:line="196" w:lineRule="auto"/>
        <w:ind w:left="26"/>
        <w:outlineLvl w:val="1"/>
        <w:rPr>
          <w:rFonts w:ascii="仿宋" w:hAnsi="仿宋" w:eastAsia="仿宋" w:cs="仿宋"/>
          <w:color w:val="000000" w:themeColor="text1"/>
          <w:spacing w:val="-4"/>
          <w:sz w:val="32"/>
          <w:szCs w:val="32"/>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15  最后报价构成表（如有，磋商后提交）</w:t>
      </w:r>
    </w:p>
    <w:p w14:paraId="22FB32F8">
      <w:pPr>
        <w:pStyle w:val="7"/>
        <w:spacing w:before="273" w:line="196" w:lineRule="auto"/>
        <w:jc w:val="both"/>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15-1 联合体最终报价情况说明</w:t>
      </w:r>
    </w:p>
    <w:tbl>
      <w:tblPr>
        <w:tblStyle w:val="29"/>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19185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132FA595">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序号</w:t>
            </w:r>
          </w:p>
        </w:tc>
        <w:tc>
          <w:tcPr>
            <w:tcW w:w="3931" w:type="dxa"/>
          </w:tcPr>
          <w:p w14:paraId="734FA8CB">
            <w:pPr>
              <w:pStyle w:val="7"/>
              <w:spacing w:before="273" w:line="196" w:lineRule="auto"/>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联合体成员名称</w:t>
            </w:r>
          </w:p>
        </w:tc>
        <w:tc>
          <w:tcPr>
            <w:tcW w:w="2164" w:type="dxa"/>
          </w:tcPr>
          <w:p w14:paraId="12BF51CE">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联合体成员类型</w:t>
            </w:r>
          </w:p>
          <w:p w14:paraId="5084DEE9">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（选择）</w:t>
            </w:r>
          </w:p>
        </w:tc>
        <w:tc>
          <w:tcPr>
            <w:tcW w:w="1876" w:type="dxa"/>
          </w:tcPr>
          <w:p w14:paraId="681D2FD8">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合同金额</w:t>
            </w:r>
          </w:p>
          <w:p w14:paraId="3AFB2618">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（人民币元）</w:t>
            </w:r>
          </w:p>
        </w:tc>
      </w:tr>
      <w:tr w14:paraId="5F17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0566D7A9">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p w14:paraId="577A307A">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w:t>
            </w:r>
          </w:p>
        </w:tc>
        <w:tc>
          <w:tcPr>
            <w:tcW w:w="3931" w:type="dxa"/>
          </w:tcPr>
          <w:p w14:paraId="06AE8D8A">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58C70072">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□中型企业</w:t>
            </w:r>
          </w:p>
          <w:p w14:paraId="40419130">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□小微企业</w:t>
            </w:r>
          </w:p>
          <w:p w14:paraId="5E3EB30B">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□其他</w:t>
            </w:r>
          </w:p>
        </w:tc>
        <w:tc>
          <w:tcPr>
            <w:tcW w:w="1876" w:type="dxa"/>
          </w:tcPr>
          <w:p w14:paraId="64842FC7">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tc>
      </w:tr>
      <w:tr w14:paraId="682C3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4A1A0330">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p w14:paraId="23B6550D">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w:t>
            </w:r>
          </w:p>
        </w:tc>
        <w:tc>
          <w:tcPr>
            <w:tcW w:w="3931" w:type="dxa"/>
          </w:tcPr>
          <w:p w14:paraId="2D6DA2BF">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186BC98F">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□中型企业</w:t>
            </w:r>
          </w:p>
          <w:p w14:paraId="41C6663F">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□小微企业</w:t>
            </w:r>
          </w:p>
          <w:p w14:paraId="07516EE6">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□其他</w:t>
            </w:r>
          </w:p>
        </w:tc>
        <w:tc>
          <w:tcPr>
            <w:tcW w:w="1876" w:type="dxa"/>
          </w:tcPr>
          <w:p w14:paraId="37EAEE73">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tc>
      </w:tr>
      <w:tr w14:paraId="433E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2F54EC00">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tc>
        <w:tc>
          <w:tcPr>
            <w:tcW w:w="3931" w:type="dxa"/>
          </w:tcPr>
          <w:p w14:paraId="6C0A2910">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358C89A5">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tc>
        <w:tc>
          <w:tcPr>
            <w:tcW w:w="1876" w:type="dxa"/>
          </w:tcPr>
          <w:p w14:paraId="7B8B1A61">
            <w:pPr>
              <w:pStyle w:val="7"/>
              <w:spacing w:before="273" w:line="196" w:lineRule="auto"/>
              <w:ind w:left="26"/>
              <w:jc w:val="center"/>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tc>
      </w:tr>
      <w:tr w14:paraId="3082C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6796ED9E">
            <w:pPr>
              <w:pStyle w:val="7"/>
              <w:spacing w:before="273" w:line="196" w:lineRule="auto"/>
              <w:ind w:left="26"/>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合计</w:t>
            </w:r>
          </w:p>
        </w:tc>
        <w:tc>
          <w:tcPr>
            <w:tcW w:w="1876" w:type="dxa"/>
          </w:tcPr>
          <w:p w14:paraId="3D3EF92D">
            <w:pPr>
              <w:pStyle w:val="7"/>
              <w:spacing w:before="273" w:line="196" w:lineRule="auto"/>
              <w:ind w:left="26"/>
              <w:outlineLvl w:val="1"/>
              <w:rPr>
                <w:rFonts w:ascii="仿宋" w:hAnsi="仿宋" w:eastAsia="仿宋" w:cs="仿宋"/>
                <w:color w:val="000000" w:themeColor="text1"/>
                <w:spacing w:val="-4"/>
                <w:sz w:val="24"/>
                <w:szCs w:val="24"/>
                <w:highlight w:val="none"/>
                <w:lang w:eastAsia="zh-CN"/>
                <w14:textFill>
                  <w14:solidFill>
                    <w14:schemeClr w14:val="tx1"/>
                  </w14:solidFill>
                </w14:textFill>
              </w:rPr>
            </w:pPr>
          </w:p>
        </w:tc>
      </w:tr>
    </w:tbl>
    <w:p w14:paraId="0FF6E829">
      <w:pPr>
        <w:pStyle w:val="7"/>
        <w:spacing w:before="273" w:line="196" w:lineRule="auto"/>
        <w:ind w:left="26"/>
        <w:outlineLvl w:val="1"/>
        <w:rPr>
          <w:rFonts w:ascii="仿宋" w:hAnsi="仿宋" w:eastAsia="仿宋" w:cs="仿宋"/>
          <w:color w:val="000000" w:themeColor="text1"/>
          <w:highlight w:val="none"/>
          <w:lang w:eastAsia="zh-CN"/>
          <w14:textFill>
            <w14:solidFill>
              <w14:schemeClr w14:val="tx1"/>
            </w14:solidFill>
          </w14:textFill>
        </w:rPr>
      </w:pPr>
    </w:p>
    <w:p w14:paraId="122EE52E">
      <w:pPr>
        <w:pStyle w:val="7"/>
        <w:spacing w:before="273" w:line="196" w:lineRule="auto"/>
        <w:ind w:left="26"/>
        <w:outlineLvl w:val="1"/>
        <w:rPr>
          <w:rFonts w:ascii="仿宋" w:hAnsi="仿宋" w:eastAsia="仿宋" w:cs="仿宋"/>
          <w:color w:val="000000" w:themeColor="text1"/>
          <w:highlight w:val="none"/>
          <w:lang w:eastAsia="zh-CN"/>
          <w14:textFill>
            <w14:solidFill>
              <w14:schemeClr w14:val="tx1"/>
            </w14:solidFill>
          </w14:textFill>
        </w:rPr>
      </w:pPr>
    </w:p>
    <w:p w14:paraId="3A65FFB5">
      <w:pPr>
        <w:spacing w:line="360" w:lineRule="auto"/>
        <w:ind w:left="239" w:leftChars="114" w:firstLine="229" w:firstLineChars="99"/>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 如供应商为联合体或拟进行合同分包，则必须选择一种表格填报 ，否则响应无效。</w:t>
      </w:r>
    </w:p>
    <w:p w14:paraId="50004762">
      <w:pPr>
        <w:spacing w:line="360" w:lineRule="auto"/>
        <w:ind w:left="239" w:leftChars="114" w:firstLine="229" w:firstLineChars="99"/>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2.本表应按包分别填写。</w:t>
      </w:r>
    </w:p>
    <w:p w14:paraId="64A35540">
      <w:pPr>
        <w:spacing w:line="360" w:lineRule="auto"/>
        <w:ind w:left="239" w:leftChars="114" w:firstLine="229" w:firstLineChars="99"/>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3.此表无需在响应文件中提交，磋商后供应商按磋商小组要求提交。</w:t>
      </w:r>
    </w:p>
    <w:p w14:paraId="574706E1">
      <w:pPr>
        <w:spacing w:line="360" w:lineRule="auto"/>
        <w:ind w:left="239" w:leftChars="114" w:firstLine="229" w:firstLineChars="99"/>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p>
    <w:p w14:paraId="0BDAD024">
      <w:pPr>
        <w:spacing w:line="360" w:lineRule="auto"/>
        <w:ind w:left="239" w:leftChars="114" w:firstLine="229" w:firstLineChars="99"/>
        <w:rPr>
          <w:rFonts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日期：</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年</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月</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日</w:t>
      </w:r>
    </w:p>
    <w:p w14:paraId="40CFFE10">
      <w:pPr>
        <w:rPr>
          <w:rFonts w:ascii="仿宋" w:hAnsi="仿宋" w:eastAsia="仿宋" w:cs="仿宋"/>
          <w:color w:val="000000" w:themeColor="text1"/>
          <w:highlight w:val="none"/>
          <w14:textFill>
            <w14:solidFill>
              <w14:schemeClr w14:val="tx1"/>
            </w14:solidFill>
          </w14:textFill>
        </w:rPr>
      </w:pPr>
    </w:p>
    <w:p w14:paraId="6D5A141D">
      <w:pPr>
        <w:spacing w:line="360" w:lineRule="auto"/>
        <w:rPr>
          <w:rFonts w:ascii="仿宋" w:hAnsi="仿宋" w:eastAsia="仿宋" w:cs="仿宋"/>
          <w:color w:val="000000" w:themeColor="text1"/>
          <w:spacing w:val="-5"/>
          <w:sz w:val="24"/>
          <w:szCs w:val="24"/>
          <w:highlight w:val="none"/>
          <w:lang w:eastAsia="zh-CN"/>
          <w14:textFill>
            <w14:solidFill>
              <w14:schemeClr w14:val="tx1"/>
            </w14:solidFill>
          </w14:textFill>
        </w:rPr>
      </w:pPr>
    </w:p>
    <w:sectPr>
      <w:pgSz w:w="11907" w:h="16839"/>
      <w:pgMar w:top="1417" w:right="1417" w:bottom="1417" w:left="1417" w:header="1191"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46D6">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4B9C">
    <w:pPr>
      <w:pStyle w:val="13"/>
    </w:pPr>
    <w:r>
      <w:pict>
        <v:shape id="_x0000_s1034" o:spid="_x0000_s1034"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5037DCDF">
                <w:pPr>
                  <w:pStyle w:val="13"/>
                </w:pPr>
                <w:r>
                  <w:fldChar w:fldCharType="begin"/>
                </w:r>
                <w:r>
                  <w:instrText xml:space="preserve"> PAGE  \* MERGEFORMAT </w:instrText>
                </w:r>
                <w:r>
                  <w:fldChar w:fldCharType="separate"/>
                </w:r>
                <w:r>
                  <w:t>62</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A0F2">
    <w:pPr>
      <w:pStyle w:val="13"/>
    </w:pPr>
    <w:r>
      <w:pict>
        <v:shape id="_x0000_s1033" o:spid="_x0000_s1033"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62F0498D">
                <w:pPr>
                  <w:pStyle w:val="13"/>
                </w:pPr>
                <w:r>
                  <w:fldChar w:fldCharType="begin"/>
                </w:r>
                <w:r>
                  <w:instrText xml:space="preserve"> PAGE  \* MERGEFORMAT </w:instrText>
                </w:r>
                <w:r>
                  <w:fldChar w:fldCharType="separate"/>
                </w:r>
                <w:r>
                  <w:t>63</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9430">
    <w:pPr>
      <w:pStyle w:val="13"/>
    </w:pPr>
    <w:r>
      <w:pict>
        <v:shape id="_x0000_s1032" o:spid="_x0000_s1032"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5730392F">
                <w:pPr>
                  <w:pStyle w:val="13"/>
                </w:pPr>
                <w:r>
                  <w:fldChar w:fldCharType="begin"/>
                </w:r>
                <w:r>
                  <w:instrText xml:space="preserve"> PAGE  \* MERGEFORMAT </w:instrText>
                </w:r>
                <w:r>
                  <w:fldChar w:fldCharType="separate"/>
                </w:r>
                <w:r>
                  <w:t>64</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67CE">
    <w:pPr>
      <w:pStyle w:val="13"/>
    </w:pPr>
    <w:r>
      <w:pict>
        <v:shape id="_x0000_s1031" o:spid="_x0000_s1031"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14:paraId="6C353EC4">
                <w:pPr>
                  <w:pStyle w:val="13"/>
                </w:pPr>
                <w:r>
                  <w:fldChar w:fldCharType="begin"/>
                </w:r>
                <w:r>
                  <w:instrText xml:space="preserve"> PAGE  \* MERGEFORMAT </w:instrText>
                </w:r>
                <w:r>
                  <w:fldChar w:fldCharType="separate"/>
                </w:r>
                <w:r>
                  <w:t>65</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E777">
    <w:pPr>
      <w:pStyle w:val="13"/>
    </w:pPr>
    <w:r>
      <w:pict>
        <v:shape id="_x0000_s1030" o:spid="_x0000_s1030"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30B15F28">
                <w:pPr>
                  <w:pStyle w:val="13"/>
                </w:pPr>
                <w:r>
                  <w:fldChar w:fldCharType="begin"/>
                </w:r>
                <w:r>
                  <w:instrText xml:space="preserve"> PAGE  \* MERGEFORMAT </w:instrText>
                </w:r>
                <w:r>
                  <w:fldChar w:fldCharType="separate"/>
                </w:r>
                <w:r>
                  <w:t>66</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E90A">
    <w:pPr>
      <w:pStyle w:val="13"/>
    </w:pPr>
    <w:r>
      <w:pict>
        <v:shape id="_x0000_s1029" o:spid="_x0000_s1029"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18BBFAE8">
                <w:pPr>
                  <w:pStyle w:val="13"/>
                </w:pPr>
                <w:r>
                  <w:fldChar w:fldCharType="begin"/>
                </w:r>
                <w:r>
                  <w:instrText xml:space="preserve"> PAGE  \* MERGEFORMAT </w:instrText>
                </w:r>
                <w:r>
                  <w:fldChar w:fldCharType="separate"/>
                </w:r>
                <w:r>
                  <w:t>67</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3B50">
    <w:pPr>
      <w:pStyle w:val="13"/>
    </w:pPr>
    <w:r>
      <w:pict>
        <v:shape id="_x0000_s1028" o:spid="_x0000_s1028"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p w14:paraId="612D5EC4">
                <w:pPr>
                  <w:pStyle w:val="13"/>
                </w:pPr>
                <w:r>
                  <w:fldChar w:fldCharType="begin"/>
                </w:r>
                <w:r>
                  <w:instrText xml:space="preserve"> PAGE  \* MERGEFORMAT </w:instrText>
                </w:r>
                <w:r>
                  <w:fldChar w:fldCharType="separate"/>
                </w:r>
                <w:r>
                  <w:t>68</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7123">
    <w:pPr>
      <w:pStyle w:val="13"/>
    </w:pPr>
    <w:r>
      <w:pict>
        <v:shape id="_x0000_s1027" o:spid="_x0000_s1027"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6E0DE2CC">
                <w:pPr>
                  <w:pStyle w:val="13"/>
                </w:pPr>
                <w:r>
                  <w:fldChar w:fldCharType="begin"/>
                </w:r>
                <w:r>
                  <w:instrText xml:space="preserve"> PAGE  \* MERGEFORMAT </w:instrText>
                </w:r>
                <w:r>
                  <w:fldChar w:fldCharType="separate"/>
                </w:r>
                <w:r>
                  <w:t>72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BD7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F83FC">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00E83E1">
                <w:pPr>
                  <w:pStyle w:val="13"/>
                </w:pPr>
                <w:r>
                  <w:fldChar w:fldCharType="begin"/>
                </w:r>
                <w:r>
                  <w:instrText xml:space="preserve"> PAGE  \* MERGEFORMAT </w:instrText>
                </w:r>
                <w:r>
                  <w:fldChar w:fldCharType="separate"/>
                </w:r>
                <w:r>
                  <w:t>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98F2">
    <w:pPr>
      <w:pStyle w:val="7"/>
      <w:spacing w:line="187" w:lineRule="auto"/>
      <w:rPr>
        <w:rFonts w:eastAsia="宋体"/>
        <w:sz w:val="18"/>
        <w:szCs w:val="18"/>
        <w:lang w:eastAsia="zh-CN"/>
      </w:rPr>
    </w:pPr>
    <w:r>
      <w:rPr>
        <w:sz w:val="18"/>
      </w:rPr>
      <w:pict>
        <v:shape id="_x0000_s1041" o:spid="_x0000_s104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39B84AD8">
                <w:pPr>
                  <w:pStyle w:val="13"/>
                </w:pPr>
                <w:r>
                  <w:fldChar w:fldCharType="begin"/>
                </w:r>
                <w:r>
                  <w:instrText xml:space="preserve"> PAGE  \* MERGEFORMAT </w:instrText>
                </w:r>
                <w:r>
                  <w:fldChar w:fldCharType="separate"/>
                </w:r>
                <w:r>
                  <w:t>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79FD">
    <w:pPr>
      <w:pStyle w:val="7"/>
      <w:spacing w:line="189" w:lineRule="auto"/>
      <w:ind w:left="4434"/>
      <w:rPr>
        <w:rFonts w:eastAsia="宋体"/>
        <w:sz w:val="18"/>
        <w:szCs w:val="18"/>
        <w:lang w:eastAsia="zh-CN"/>
      </w:rPr>
    </w:pPr>
    <w:r>
      <w:rPr>
        <w:sz w:val="18"/>
      </w:rPr>
      <w:pict>
        <v:shape id="_x0000_s1040" o:spid="_x0000_s104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6F0CAAC1">
                <w:pPr>
                  <w:pStyle w:val="13"/>
                </w:pPr>
                <w:r>
                  <w:fldChar w:fldCharType="begin"/>
                </w:r>
                <w:r>
                  <w:instrText xml:space="preserve"> PAGE  \* MERGEFORMAT </w:instrText>
                </w:r>
                <w:r>
                  <w:fldChar w:fldCharType="separate"/>
                </w:r>
                <w:r>
                  <w:t>17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23368">
    <w:pPr>
      <w:pStyle w:val="7"/>
      <w:spacing w:line="189" w:lineRule="auto"/>
      <w:ind w:left="4435"/>
      <w:rPr>
        <w:rFonts w:ascii="Times New Roman" w:hAnsi="Times New Roman" w:cs="Times New Roman"/>
        <w:sz w:val="18"/>
        <w:szCs w:val="18"/>
      </w:rPr>
    </w:pPr>
    <w:r>
      <w:rPr>
        <w:sz w:val="18"/>
      </w:rPr>
      <w:pict>
        <v:shape id="_x0000_s1039" o:spid="_x0000_s103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0BAD70C5">
                <w:pPr>
                  <w:pStyle w:val="13"/>
                </w:pPr>
                <w:r>
                  <w:fldChar w:fldCharType="begin"/>
                </w:r>
                <w:r>
                  <w:instrText xml:space="preserve"> PAGE  \* MERGEFORMAT </w:instrText>
                </w:r>
                <w:r>
                  <w:fldChar w:fldCharType="separate"/>
                </w:r>
                <w:r>
                  <w:t>25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96CC">
    <w:pPr>
      <w:pStyle w:val="13"/>
    </w:pPr>
    <w:r>
      <w:pict>
        <v:shape id="_x0000_s1038" o:spid="_x0000_s1038"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14CE33B2">
                <w:pPr>
                  <w:pStyle w:val="13"/>
                </w:pPr>
                <w:r>
                  <w:fldChar w:fldCharType="begin"/>
                </w:r>
                <w:r>
                  <w:instrText xml:space="preserve"> PAGE  \* MERGEFORMAT </w:instrText>
                </w:r>
                <w:r>
                  <w:fldChar w:fldCharType="separate"/>
                </w:r>
                <w:r>
                  <w:t>53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4F4C">
    <w:pPr>
      <w:pStyle w:val="7"/>
      <w:spacing w:line="189" w:lineRule="auto"/>
      <w:ind w:left="4430"/>
      <w:rPr>
        <w:sz w:val="18"/>
        <w:szCs w:val="18"/>
      </w:rPr>
    </w:pPr>
    <w:r>
      <w:rPr>
        <w:sz w:val="18"/>
      </w:rPr>
      <w:pict>
        <v:shape id="_x0000_s1036" o:spid="_x0000_s103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041B2F24">
                <w:pPr>
                  <w:pStyle w:val="13"/>
                </w:pPr>
                <w:r>
                  <w:fldChar w:fldCharType="begin"/>
                </w:r>
                <w:r>
                  <w:instrText xml:space="preserve"> PAGE  \* MERGEFORMAT </w:instrText>
                </w:r>
                <w:r>
                  <w:fldChar w:fldCharType="separate"/>
                </w:r>
                <w:r>
                  <w:t>54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2E4F">
    <w:pPr>
      <w:pStyle w:val="13"/>
    </w:pPr>
    <w:r>
      <w:pict>
        <v:shape id="_x0000_s1035" o:spid="_x0000_s1035"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37B1B42F">
                <w:pPr>
                  <w:pStyle w:val="13"/>
                </w:pPr>
                <w:r>
                  <w:fldChar w:fldCharType="begin"/>
                </w:r>
                <w:r>
                  <w:instrText xml:space="preserve"> PAGE  \* MERGEFORMAT </w:instrText>
                </w:r>
                <w:r>
                  <w:fldChar w:fldCharType="separate"/>
                </w:r>
                <w:r>
                  <w:t>58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9A0E">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6DE4">
    <w:pPr>
      <w:pStyle w:val="14"/>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046C">
    <w:pPr>
      <w:pStyle w:val="14"/>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6D97">
    <w:pPr>
      <w:pStyle w:val="14"/>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1CC38">
    <w:pPr>
      <w:pStyle w:val="14"/>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C17C">
    <w:pPr>
      <w:pStyle w:val="14"/>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496B">
    <w:pPr>
      <w:pStyle w:val="1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9D3F">
    <w:pPr>
      <w:pStyle w:val="14"/>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74E3">
    <w:pPr>
      <w:pStyle w:val="14"/>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4D83">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14C45">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2DAF">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9CAF">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A2EB">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4CBF">
    <w:pPr>
      <w:pStyle w:val="14"/>
      <w:rPr>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0900E">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BF4F">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EDAC">
    <w:pPr>
      <w:spacing w:before="37" w:line="200" w:lineRule="auto"/>
      <w:ind w:right="12"/>
      <w:jc w:val="right"/>
      <w:rPr>
        <w:rFonts w:ascii="微软雅黑" w:hAnsi="微软雅黑" w:eastAsia="微软雅黑" w:cs="微软雅黑"/>
        <w:sz w:val="18"/>
        <w:szCs w:val="18"/>
      </w:rPr>
    </w:pPr>
    <w:r>
      <w:rPr>
        <w:lang w:eastAsia="zh-CN"/>
      </w:rPr>
      <w:pict>
        <v:shape id="任意多边形 35" o:spid="_x0000_s1037"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path o:connecttype="segments"/>
          <v:fill on="t" focussize="0,0"/>
          <v:stroke on="f" joinstyle="round"/>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EB2EA"/>
    <w:multiLevelType w:val="singleLevel"/>
    <w:tmpl w:val="AA8EB2EA"/>
    <w:lvl w:ilvl="0" w:tentative="0">
      <w:start w:val="0"/>
      <w:numFmt w:val="decimal"/>
      <w:suff w:val="space"/>
      <w:lvlText w:val=""/>
      <w:lvlJc w:val="left"/>
      <w:pPr>
        <w:ind w:left="0" w:firstLine="480"/>
      </w:pPr>
      <w:rPr>
        <w:rFonts w:hint="default"/>
      </w:rPr>
    </w:lvl>
  </w:abstractNum>
  <w:abstractNum w:abstractNumId="1">
    <w:nsid w:val="302B1C40"/>
    <w:multiLevelType w:val="singleLevel"/>
    <w:tmpl w:val="302B1C4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spaceForUL/>
    <w:ulTrailSpace/>
    <w:doNotExpandShiftReturn/>
    <w:useFELayout/>
    <w:compatSetting w:name="compatibilityMode" w:uri="http://schemas.microsoft.com/office/word" w:val="12"/>
  </w:compat>
  <w:rsids>
    <w:rsidRoot w:val="00711263"/>
    <w:rsid w:val="00022238"/>
    <w:rsid w:val="000335EC"/>
    <w:rsid w:val="000378A2"/>
    <w:rsid w:val="000D2195"/>
    <w:rsid w:val="000D39E0"/>
    <w:rsid w:val="00186BF0"/>
    <w:rsid w:val="0024527F"/>
    <w:rsid w:val="002630BB"/>
    <w:rsid w:val="00282860"/>
    <w:rsid w:val="00283EB8"/>
    <w:rsid w:val="00331853"/>
    <w:rsid w:val="003641D1"/>
    <w:rsid w:val="003C5A2A"/>
    <w:rsid w:val="00472258"/>
    <w:rsid w:val="004B444B"/>
    <w:rsid w:val="004F4AA0"/>
    <w:rsid w:val="00532FFE"/>
    <w:rsid w:val="00597EB8"/>
    <w:rsid w:val="005A785A"/>
    <w:rsid w:val="00636549"/>
    <w:rsid w:val="006A7C32"/>
    <w:rsid w:val="00711263"/>
    <w:rsid w:val="00796F7E"/>
    <w:rsid w:val="007E2EF7"/>
    <w:rsid w:val="00827655"/>
    <w:rsid w:val="008C163E"/>
    <w:rsid w:val="00910115"/>
    <w:rsid w:val="00911349"/>
    <w:rsid w:val="009339C7"/>
    <w:rsid w:val="00980DD0"/>
    <w:rsid w:val="00A32DD5"/>
    <w:rsid w:val="00A83046"/>
    <w:rsid w:val="00AB62F7"/>
    <w:rsid w:val="00B51674"/>
    <w:rsid w:val="00B60F5C"/>
    <w:rsid w:val="00B9786B"/>
    <w:rsid w:val="00BB071F"/>
    <w:rsid w:val="00BF706B"/>
    <w:rsid w:val="00C756C6"/>
    <w:rsid w:val="00C77DC7"/>
    <w:rsid w:val="00CC28F4"/>
    <w:rsid w:val="00D2030D"/>
    <w:rsid w:val="00E17C2F"/>
    <w:rsid w:val="00E64275"/>
    <w:rsid w:val="00E710D0"/>
    <w:rsid w:val="00F11D3C"/>
    <w:rsid w:val="00F13C42"/>
    <w:rsid w:val="00F742D5"/>
    <w:rsid w:val="00F824B0"/>
    <w:rsid w:val="00FD3715"/>
    <w:rsid w:val="010817C6"/>
    <w:rsid w:val="011473B7"/>
    <w:rsid w:val="0149727D"/>
    <w:rsid w:val="022A64DC"/>
    <w:rsid w:val="028E4F47"/>
    <w:rsid w:val="02A227A1"/>
    <w:rsid w:val="02C1356F"/>
    <w:rsid w:val="02DD029C"/>
    <w:rsid w:val="03304250"/>
    <w:rsid w:val="03AE3AF3"/>
    <w:rsid w:val="03E03323"/>
    <w:rsid w:val="03EA08A3"/>
    <w:rsid w:val="03F92894"/>
    <w:rsid w:val="042518DB"/>
    <w:rsid w:val="04371FAD"/>
    <w:rsid w:val="04642403"/>
    <w:rsid w:val="04673CA2"/>
    <w:rsid w:val="046B5540"/>
    <w:rsid w:val="047168CE"/>
    <w:rsid w:val="0495639A"/>
    <w:rsid w:val="04DD74D4"/>
    <w:rsid w:val="05121E5F"/>
    <w:rsid w:val="053E7F1C"/>
    <w:rsid w:val="05485881"/>
    <w:rsid w:val="0559183C"/>
    <w:rsid w:val="056D353A"/>
    <w:rsid w:val="05D45367"/>
    <w:rsid w:val="05F23A3F"/>
    <w:rsid w:val="06304C93"/>
    <w:rsid w:val="06431872"/>
    <w:rsid w:val="06D00631"/>
    <w:rsid w:val="06D33870"/>
    <w:rsid w:val="06FC2DC7"/>
    <w:rsid w:val="071A324D"/>
    <w:rsid w:val="072E6CF9"/>
    <w:rsid w:val="07300CC3"/>
    <w:rsid w:val="0730481F"/>
    <w:rsid w:val="073360BD"/>
    <w:rsid w:val="075C1AB8"/>
    <w:rsid w:val="078D3A1F"/>
    <w:rsid w:val="0790372C"/>
    <w:rsid w:val="07A73C2E"/>
    <w:rsid w:val="07CD4764"/>
    <w:rsid w:val="084F5179"/>
    <w:rsid w:val="08805332"/>
    <w:rsid w:val="08BF496D"/>
    <w:rsid w:val="098B21E0"/>
    <w:rsid w:val="09AF2373"/>
    <w:rsid w:val="0A1C108A"/>
    <w:rsid w:val="0A486323"/>
    <w:rsid w:val="0A491D58"/>
    <w:rsid w:val="0A656ED5"/>
    <w:rsid w:val="0ABB4D47"/>
    <w:rsid w:val="0ACC0D02"/>
    <w:rsid w:val="0B1526A9"/>
    <w:rsid w:val="0B8D0BBC"/>
    <w:rsid w:val="0C001C4A"/>
    <w:rsid w:val="0C030754"/>
    <w:rsid w:val="0C060244"/>
    <w:rsid w:val="0C2B1A59"/>
    <w:rsid w:val="0C6A2581"/>
    <w:rsid w:val="0CC47F74"/>
    <w:rsid w:val="0D301714"/>
    <w:rsid w:val="0D725B91"/>
    <w:rsid w:val="0DB735A4"/>
    <w:rsid w:val="0DB8556E"/>
    <w:rsid w:val="0DC65EDD"/>
    <w:rsid w:val="0DF43961"/>
    <w:rsid w:val="0E682AF0"/>
    <w:rsid w:val="0E6D6359"/>
    <w:rsid w:val="0F225395"/>
    <w:rsid w:val="0F2E29B6"/>
    <w:rsid w:val="0F4D1A8A"/>
    <w:rsid w:val="0F837E14"/>
    <w:rsid w:val="0F9F0794"/>
    <w:rsid w:val="0FA20284"/>
    <w:rsid w:val="0FB75ADD"/>
    <w:rsid w:val="0FF00997"/>
    <w:rsid w:val="105276E7"/>
    <w:rsid w:val="10D34B99"/>
    <w:rsid w:val="10E2188E"/>
    <w:rsid w:val="10E51B6D"/>
    <w:rsid w:val="11BC387F"/>
    <w:rsid w:val="11F53406"/>
    <w:rsid w:val="11FF2F15"/>
    <w:rsid w:val="128A572B"/>
    <w:rsid w:val="13734411"/>
    <w:rsid w:val="13BB7E54"/>
    <w:rsid w:val="13F015BE"/>
    <w:rsid w:val="13F55B42"/>
    <w:rsid w:val="146B333A"/>
    <w:rsid w:val="14863CD0"/>
    <w:rsid w:val="14BD4D61"/>
    <w:rsid w:val="14CF7D83"/>
    <w:rsid w:val="14F50E56"/>
    <w:rsid w:val="1547312A"/>
    <w:rsid w:val="1553305D"/>
    <w:rsid w:val="15785D0F"/>
    <w:rsid w:val="157C32A8"/>
    <w:rsid w:val="15913C53"/>
    <w:rsid w:val="15A00DC2"/>
    <w:rsid w:val="15F134B4"/>
    <w:rsid w:val="160A437D"/>
    <w:rsid w:val="161767F2"/>
    <w:rsid w:val="17D26FEE"/>
    <w:rsid w:val="180612BF"/>
    <w:rsid w:val="18252379"/>
    <w:rsid w:val="18477C1A"/>
    <w:rsid w:val="18737B4B"/>
    <w:rsid w:val="189955B2"/>
    <w:rsid w:val="19486A98"/>
    <w:rsid w:val="195E521C"/>
    <w:rsid w:val="197378D3"/>
    <w:rsid w:val="197778F9"/>
    <w:rsid w:val="19AC242B"/>
    <w:rsid w:val="19BD0194"/>
    <w:rsid w:val="1A2F0F08"/>
    <w:rsid w:val="1A4077C6"/>
    <w:rsid w:val="1A4D795A"/>
    <w:rsid w:val="1A9D12FA"/>
    <w:rsid w:val="1B2D209C"/>
    <w:rsid w:val="1B591843"/>
    <w:rsid w:val="1BB2184F"/>
    <w:rsid w:val="1C142509"/>
    <w:rsid w:val="1C330BE1"/>
    <w:rsid w:val="1C7A39D9"/>
    <w:rsid w:val="1C7B60E4"/>
    <w:rsid w:val="1CB272DF"/>
    <w:rsid w:val="1CC47A8B"/>
    <w:rsid w:val="1CF77E61"/>
    <w:rsid w:val="1D003EA7"/>
    <w:rsid w:val="1D0E2495"/>
    <w:rsid w:val="1D5F1562"/>
    <w:rsid w:val="1DCF66E8"/>
    <w:rsid w:val="1E025871"/>
    <w:rsid w:val="1E314019"/>
    <w:rsid w:val="1E426EBA"/>
    <w:rsid w:val="1E562965"/>
    <w:rsid w:val="1EBB08B5"/>
    <w:rsid w:val="1F100D66"/>
    <w:rsid w:val="1F745799"/>
    <w:rsid w:val="1FA33F62"/>
    <w:rsid w:val="1FC35DD8"/>
    <w:rsid w:val="1FE50445"/>
    <w:rsid w:val="1FEF3071"/>
    <w:rsid w:val="200A3A07"/>
    <w:rsid w:val="20216FA3"/>
    <w:rsid w:val="208F4C4A"/>
    <w:rsid w:val="20931C4F"/>
    <w:rsid w:val="20FE1D77"/>
    <w:rsid w:val="211A357D"/>
    <w:rsid w:val="21393401"/>
    <w:rsid w:val="21937A2C"/>
    <w:rsid w:val="21A165ED"/>
    <w:rsid w:val="2302130E"/>
    <w:rsid w:val="23305E7B"/>
    <w:rsid w:val="234822FE"/>
    <w:rsid w:val="23503E27"/>
    <w:rsid w:val="242B6642"/>
    <w:rsid w:val="249B7324"/>
    <w:rsid w:val="25096983"/>
    <w:rsid w:val="251D5F8B"/>
    <w:rsid w:val="25262F8B"/>
    <w:rsid w:val="255045B2"/>
    <w:rsid w:val="25AB7A3A"/>
    <w:rsid w:val="25EB7E37"/>
    <w:rsid w:val="263712CE"/>
    <w:rsid w:val="26667E05"/>
    <w:rsid w:val="26B24DF9"/>
    <w:rsid w:val="26B75F6B"/>
    <w:rsid w:val="26D94133"/>
    <w:rsid w:val="26E256DE"/>
    <w:rsid w:val="26E322A8"/>
    <w:rsid w:val="270C275B"/>
    <w:rsid w:val="275F42F2"/>
    <w:rsid w:val="2766100D"/>
    <w:rsid w:val="277F76C7"/>
    <w:rsid w:val="278C389C"/>
    <w:rsid w:val="28506677"/>
    <w:rsid w:val="289202C1"/>
    <w:rsid w:val="28CD229B"/>
    <w:rsid w:val="295C2DFA"/>
    <w:rsid w:val="298A5BB9"/>
    <w:rsid w:val="29AA0009"/>
    <w:rsid w:val="2A283A55"/>
    <w:rsid w:val="2A854AAC"/>
    <w:rsid w:val="2A977AFA"/>
    <w:rsid w:val="2A9A62D0"/>
    <w:rsid w:val="2AF544B9"/>
    <w:rsid w:val="2B5B780D"/>
    <w:rsid w:val="2BA72A52"/>
    <w:rsid w:val="2BCA4992"/>
    <w:rsid w:val="2C2C2F57"/>
    <w:rsid w:val="2C7F577D"/>
    <w:rsid w:val="2CE26AA9"/>
    <w:rsid w:val="2D0771C8"/>
    <w:rsid w:val="2D0A13DA"/>
    <w:rsid w:val="2D1265F1"/>
    <w:rsid w:val="2D1B54A6"/>
    <w:rsid w:val="2D3622E0"/>
    <w:rsid w:val="2D3E1194"/>
    <w:rsid w:val="2D3E73E6"/>
    <w:rsid w:val="2D8F23BE"/>
    <w:rsid w:val="2DAC07F4"/>
    <w:rsid w:val="2DEC6E42"/>
    <w:rsid w:val="2E527668"/>
    <w:rsid w:val="2E67296D"/>
    <w:rsid w:val="2E6E7857"/>
    <w:rsid w:val="2E894691"/>
    <w:rsid w:val="2E960B5C"/>
    <w:rsid w:val="2EB45BB2"/>
    <w:rsid w:val="2EC97183"/>
    <w:rsid w:val="2EDC6EB7"/>
    <w:rsid w:val="2F326AD7"/>
    <w:rsid w:val="2F6A2714"/>
    <w:rsid w:val="2FB67708"/>
    <w:rsid w:val="2FD46D46"/>
    <w:rsid w:val="304765B2"/>
    <w:rsid w:val="305667F5"/>
    <w:rsid w:val="307153DD"/>
    <w:rsid w:val="30D03A8B"/>
    <w:rsid w:val="30DC4F4C"/>
    <w:rsid w:val="31342FDA"/>
    <w:rsid w:val="313E1348"/>
    <w:rsid w:val="32032452"/>
    <w:rsid w:val="322C5A5F"/>
    <w:rsid w:val="32342B66"/>
    <w:rsid w:val="32843AED"/>
    <w:rsid w:val="32BF0681"/>
    <w:rsid w:val="32EA443C"/>
    <w:rsid w:val="32FD11AA"/>
    <w:rsid w:val="332C1A8F"/>
    <w:rsid w:val="33B73BA1"/>
    <w:rsid w:val="33C95515"/>
    <w:rsid w:val="33CA19D4"/>
    <w:rsid w:val="33F42819"/>
    <w:rsid w:val="34937F79"/>
    <w:rsid w:val="349B061F"/>
    <w:rsid w:val="34B306BA"/>
    <w:rsid w:val="34D568A0"/>
    <w:rsid w:val="34D5719F"/>
    <w:rsid w:val="34FD7B87"/>
    <w:rsid w:val="35064C8D"/>
    <w:rsid w:val="352315D1"/>
    <w:rsid w:val="35452190"/>
    <w:rsid w:val="35611EC4"/>
    <w:rsid w:val="35B53F72"/>
    <w:rsid w:val="35B9585C"/>
    <w:rsid w:val="36633A19"/>
    <w:rsid w:val="36833137"/>
    <w:rsid w:val="369C290D"/>
    <w:rsid w:val="36C1716F"/>
    <w:rsid w:val="374455F9"/>
    <w:rsid w:val="376260A7"/>
    <w:rsid w:val="37A461DA"/>
    <w:rsid w:val="37B15A15"/>
    <w:rsid w:val="384344D3"/>
    <w:rsid w:val="3862667F"/>
    <w:rsid w:val="386F48F8"/>
    <w:rsid w:val="38926838"/>
    <w:rsid w:val="38ED1BEF"/>
    <w:rsid w:val="39074B30"/>
    <w:rsid w:val="39237490"/>
    <w:rsid w:val="396C0E37"/>
    <w:rsid w:val="396E4BAF"/>
    <w:rsid w:val="39A65D0B"/>
    <w:rsid w:val="39E60BE9"/>
    <w:rsid w:val="3A3951BD"/>
    <w:rsid w:val="3A412794"/>
    <w:rsid w:val="3A6471A5"/>
    <w:rsid w:val="3A797CAF"/>
    <w:rsid w:val="3AAC1E33"/>
    <w:rsid w:val="3AAD1707"/>
    <w:rsid w:val="3B9B5A04"/>
    <w:rsid w:val="3BA64AD4"/>
    <w:rsid w:val="3BEE1FD7"/>
    <w:rsid w:val="3C11581F"/>
    <w:rsid w:val="3C770992"/>
    <w:rsid w:val="3C836BC3"/>
    <w:rsid w:val="3C9F1D6D"/>
    <w:rsid w:val="3CEA09F1"/>
    <w:rsid w:val="3D205BB3"/>
    <w:rsid w:val="3D22018A"/>
    <w:rsid w:val="3DD23C8F"/>
    <w:rsid w:val="3DDC2A2F"/>
    <w:rsid w:val="3DE878A0"/>
    <w:rsid w:val="3DF57811"/>
    <w:rsid w:val="3E11697C"/>
    <w:rsid w:val="3E90381A"/>
    <w:rsid w:val="3E921340"/>
    <w:rsid w:val="3EF40282"/>
    <w:rsid w:val="3F1461F9"/>
    <w:rsid w:val="3F1D32FF"/>
    <w:rsid w:val="3F3107F4"/>
    <w:rsid w:val="3F520ACF"/>
    <w:rsid w:val="3F6E1604"/>
    <w:rsid w:val="3FB452E6"/>
    <w:rsid w:val="3FB5178A"/>
    <w:rsid w:val="40093AB5"/>
    <w:rsid w:val="401A339B"/>
    <w:rsid w:val="4044604D"/>
    <w:rsid w:val="40644F5E"/>
    <w:rsid w:val="40A92971"/>
    <w:rsid w:val="412C6E0B"/>
    <w:rsid w:val="417D0085"/>
    <w:rsid w:val="42187DAE"/>
    <w:rsid w:val="42803286"/>
    <w:rsid w:val="42D02437"/>
    <w:rsid w:val="42E63A08"/>
    <w:rsid w:val="42F75C15"/>
    <w:rsid w:val="431F63BB"/>
    <w:rsid w:val="43721740"/>
    <w:rsid w:val="43B6162D"/>
    <w:rsid w:val="43CA332A"/>
    <w:rsid w:val="44F52628"/>
    <w:rsid w:val="44FC5DAB"/>
    <w:rsid w:val="45A55DFD"/>
    <w:rsid w:val="45ED00D2"/>
    <w:rsid w:val="45EF39DA"/>
    <w:rsid w:val="46236D21"/>
    <w:rsid w:val="4668385B"/>
    <w:rsid w:val="46841EB6"/>
    <w:rsid w:val="469C2FA7"/>
    <w:rsid w:val="46A75BA4"/>
    <w:rsid w:val="46B21F99"/>
    <w:rsid w:val="46BF6A4A"/>
    <w:rsid w:val="46DD3374"/>
    <w:rsid w:val="471D77D7"/>
    <w:rsid w:val="473016F6"/>
    <w:rsid w:val="4779309D"/>
    <w:rsid w:val="47881532"/>
    <w:rsid w:val="47F22E4F"/>
    <w:rsid w:val="484F02A2"/>
    <w:rsid w:val="488C5052"/>
    <w:rsid w:val="48CE799F"/>
    <w:rsid w:val="48D06EBC"/>
    <w:rsid w:val="48F352BC"/>
    <w:rsid w:val="49296D45"/>
    <w:rsid w:val="495426F7"/>
    <w:rsid w:val="49555444"/>
    <w:rsid w:val="499C0B00"/>
    <w:rsid w:val="49B065B3"/>
    <w:rsid w:val="4A3414FD"/>
    <w:rsid w:val="4A403EEA"/>
    <w:rsid w:val="4ACE3700"/>
    <w:rsid w:val="4AE100E3"/>
    <w:rsid w:val="4B1F03FF"/>
    <w:rsid w:val="4B5736F5"/>
    <w:rsid w:val="4B7F49FA"/>
    <w:rsid w:val="4BF3029F"/>
    <w:rsid w:val="4C0D0258"/>
    <w:rsid w:val="4C2832E3"/>
    <w:rsid w:val="4C9170DB"/>
    <w:rsid w:val="4D426699"/>
    <w:rsid w:val="4E0F02B7"/>
    <w:rsid w:val="4E35329E"/>
    <w:rsid w:val="4E463FEA"/>
    <w:rsid w:val="4E8D5680"/>
    <w:rsid w:val="4E994025"/>
    <w:rsid w:val="4E9B5FEF"/>
    <w:rsid w:val="4ED10C4A"/>
    <w:rsid w:val="4F701229"/>
    <w:rsid w:val="4FB355BA"/>
    <w:rsid w:val="4FE6773D"/>
    <w:rsid w:val="4FFC382F"/>
    <w:rsid w:val="506D5769"/>
    <w:rsid w:val="51257DF2"/>
    <w:rsid w:val="514E559A"/>
    <w:rsid w:val="51703763"/>
    <w:rsid w:val="51DF2696"/>
    <w:rsid w:val="51E4190D"/>
    <w:rsid w:val="521A2795"/>
    <w:rsid w:val="52AF02BB"/>
    <w:rsid w:val="53677B05"/>
    <w:rsid w:val="53A616BE"/>
    <w:rsid w:val="53DC2107"/>
    <w:rsid w:val="541303D5"/>
    <w:rsid w:val="543F566E"/>
    <w:rsid w:val="547215A0"/>
    <w:rsid w:val="54AD358A"/>
    <w:rsid w:val="54DA0EF3"/>
    <w:rsid w:val="54DF6509"/>
    <w:rsid w:val="54E81970"/>
    <w:rsid w:val="551F69C9"/>
    <w:rsid w:val="552D3F4B"/>
    <w:rsid w:val="55384597"/>
    <w:rsid w:val="55B23C34"/>
    <w:rsid w:val="560B1430"/>
    <w:rsid w:val="56116B96"/>
    <w:rsid w:val="56181120"/>
    <w:rsid w:val="5645019F"/>
    <w:rsid w:val="567E7209"/>
    <w:rsid w:val="569A4DDE"/>
    <w:rsid w:val="56F75D8C"/>
    <w:rsid w:val="57711530"/>
    <w:rsid w:val="57805D82"/>
    <w:rsid w:val="57945CD1"/>
    <w:rsid w:val="57B45A75"/>
    <w:rsid w:val="57C74048"/>
    <w:rsid w:val="5884755E"/>
    <w:rsid w:val="58917020"/>
    <w:rsid w:val="5894149F"/>
    <w:rsid w:val="58E40592"/>
    <w:rsid w:val="59126EAD"/>
    <w:rsid w:val="59A321FB"/>
    <w:rsid w:val="59DE1485"/>
    <w:rsid w:val="5A307F33"/>
    <w:rsid w:val="5ADF54B5"/>
    <w:rsid w:val="5B7707FA"/>
    <w:rsid w:val="5B7B5CBA"/>
    <w:rsid w:val="5BA04C44"/>
    <w:rsid w:val="5BA900E2"/>
    <w:rsid w:val="5BC53F6F"/>
    <w:rsid w:val="5BF45C9C"/>
    <w:rsid w:val="5C000CBF"/>
    <w:rsid w:val="5C182A2D"/>
    <w:rsid w:val="5C2C64D8"/>
    <w:rsid w:val="5C655B7C"/>
    <w:rsid w:val="5C9D73D6"/>
    <w:rsid w:val="5CA72002"/>
    <w:rsid w:val="5CF1327E"/>
    <w:rsid w:val="5D017965"/>
    <w:rsid w:val="5D0D455B"/>
    <w:rsid w:val="5DC56BE4"/>
    <w:rsid w:val="5E6261E1"/>
    <w:rsid w:val="5E714120"/>
    <w:rsid w:val="5E85118E"/>
    <w:rsid w:val="5F334021"/>
    <w:rsid w:val="5F3A6138"/>
    <w:rsid w:val="5F942D12"/>
    <w:rsid w:val="5FFC2665"/>
    <w:rsid w:val="604C539B"/>
    <w:rsid w:val="607E12CC"/>
    <w:rsid w:val="60805044"/>
    <w:rsid w:val="608A3672"/>
    <w:rsid w:val="60A1482F"/>
    <w:rsid w:val="60C969EB"/>
    <w:rsid w:val="615D7134"/>
    <w:rsid w:val="617C3A5E"/>
    <w:rsid w:val="61E635CD"/>
    <w:rsid w:val="62145A44"/>
    <w:rsid w:val="621F43E9"/>
    <w:rsid w:val="623E192C"/>
    <w:rsid w:val="62BB2364"/>
    <w:rsid w:val="630D059A"/>
    <w:rsid w:val="631A352E"/>
    <w:rsid w:val="63C872E4"/>
    <w:rsid w:val="63D8564E"/>
    <w:rsid w:val="63D90113"/>
    <w:rsid w:val="64155AA4"/>
    <w:rsid w:val="6461518D"/>
    <w:rsid w:val="64835103"/>
    <w:rsid w:val="64CA4AE0"/>
    <w:rsid w:val="6554084E"/>
    <w:rsid w:val="655B398A"/>
    <w:rsid w:val="65786FF2"/>
    <w:rsid w:val="65A73073"/>
    <w:rsid w:val="65CC6636"/>
    <w:rsid w:val="65DA51F7"/>
    <w:rsid w:val="661204ED"/>
    <w:rsid w:val="663C37BC"/>
    <w:rsid w:val="66552ACF"/>
    <w:rsid w:val="667F0788"/>
    <w:rsid w:val="66BD775C"/>
    <w:rsid w:val="66DB4D83"/>
    <w:rsid w:val="670047E9"/>
    <w:rsid w:val="674548F2"/>
    <w:rsid w:val="676F47CA"/>
    <w:rsid w:val="6787315C"/>
    <w:rsid w:val="679F63EA"/>
    <w:rsid w:val="67A90AA2"/>
    <w:rsid w:val="67F500C6"/>
    <w:rsid w:val="681744E0"/>
    <w:rsid w:val="68617509"/>
    <w:rsid w:val="68750C6C"/>
    <w:rsid w:val="68B30AF3"/>
    <w:rsid w:val="68C36103"/>
    <w:rsid w:val="68DC198B"/>
    <w:rsid w:val="6929217D"/>
    <w:rsid w:val="694F14B1"/>
    <w:rsid w:val="69603C65"/>
    <w:rsid w:val="69626FB7"/>
    <w:rsid w:val="69B33D95"/>
    <w:rsid w:val="6A3D3FA6"/>
    <w:rsid w:val="6A427C3D"/>
    <w:rsid w:val="6AFE7E7F"/>
    <w:rsid w:val="6B051CFD"/>
    <w:rsid w:val="6B0E38E3"/>
    <w:rsid w:val="6B397FBC"/>
    <w:rsid w:val="6C101972"/>
    <w:rsid w:val="6C9C4FB4"/>
    <w:rsid w:val="6CCD33BF"/>
    <w:rsid w:val="6CF50B68"/>
    <w:rsid w:val="6D33265C"/>
    <w:rsid w:val="6D6F524A"/>
    <w:rsid w:val="6DE035C6"/>
    <w:rsid w:val="6E276545"/>
    <w:rsid w:val="6E4C0C5C"/>
    <w:rsid w:val="6E5C7E3A"/>
    <w:rsid w:val="6E9E14B7"/>
    <w:rsid w:val="6ED705F1"/>
    <w:rsid w:val="6F213E96"/>
    <w:rsid w:val="6F235101"/>
    <w:rsid w:val="6F407C23"/>
    <w:rsid w:val="6F481423"/>
    <w:rsid w:val="6F6873CF"/>
    <w:rsid w:val="6F6F58B2"/>
    <w:rsid w:val="6F803AC7"/>
    <w:rsid w:val="6FC77524"/>
    <w:rsid w:val="6FDA77D8"/>
    <w:rsid w:val="702A0D3C"/>
    <w:rsid w:val="70384FF4"/>
    <w:rsid w:val="704621CB"/>
    <w:rsid w:val="705D42D4"/>
    <w:rsid w:val="713E3704"/>
    <w:rsid w:val="714D47BD"/>
    <w:rsid w:val="71587F9A"/>
    <w:rsid w:val="7169030C"/>
    <w:rsid w:val="717B5AE0"/>
    <w:rsid w:val="71FB4625"/>
    <w:rsid w:val="72133F6A"/>
    <w:rsid w:val="723839D1"/>
    <w:rsid w:val="7249173A"/>
    <w:rsid w:val="72655E48"/>
    <w:rsid w:val="72B62B48"/>
    <w:rsid w:val="72E25662"/>
    <w:rsid w:val="7388043F"/>
    <w:rsid w:val="738E55EB"/>
    <w:rsid w:val="73920EBF"/>
    <w:rsid w:val="739D1444"/>
    <w:rsid w:val="73A8345D"/>
    <w:rsid w:val="73B47087"/>
    <w:rsid w:val="73BE7F06"/>
    <w:rsid w:val="742970E4"/>
    <w:rsid w:val="743326A2"/>
    <w:rsid w:val="75076A10"/>
    <w:rsid w:val="752B1309"/>
    <w:rsid w:val="756E3266"/>
    <w:rsid w:val="75933B94"/>
    <w:rsid w:val="75E35A02"/>
    <w:rsid w:val="75F54F37"/>
    <w:rsid w:val="76050C77"/>
    <w:rsid w:val="766703E1"/>
    <w:rsid w:val="774F7907"/>
    <w:rsid w:val="77A70BEA"/>
    <w:rsid w:val="77EC0CCE"/>
    <w:rsid w:val="77F71C38"/>
    <w:rsid w:val="78472812"/>
    <w:rsid w:val="787119EB"/>
    <w:rsid w:val="787D213D"/>
    <w:rsid w:val="788C1FA9"/>
    <w:rsid w:val="78BF7D2B"/>
    <w:rsid w:val="79001B14"/>
    <w:rsid w:val="79167E9C"/>
    <w:rsid w:val="792213E1"/>
    <w:rsid w:val="795409C4"/>
    <w:rsid w:val="795C61F7"/>
    <w:rsid w:val="79880165"/>
    <w:rsid w:val="79D33FDF"/>
    <w:rsid w:val="79D97847"/>
    <w:rsid w:val="79F75F20"/>
    <w:rsid w:val="7A4D1FE3"/>
    <w:rsid w:val="7A736669"/>
    <w:rsid w:val="7A9343F5"/>
    <w:rsid w:val="7AC202DC"/>
    <w:rsid w:val="7ACD1EB2"/>
    <w:rsid w:val="7B2F3497"/>
    <w:rsid w:val="7BA93249"/>
    <w:rsid w:val="7C17180C"/>
    <w:rsid w:val="7CC75495"/>
    <w:rsid w:val="7D605B8A"/>
    <w:rsid w:val="7D693CB1"/>
    <w:rsid w:val="7D9121E7"/>
    <w:rsid w:val="7E157EA9"/>
    <w:rsid w:val="7E4454AB"/>
    <w:rsid w:val="7E6D4A02"/>
    <w:rsid w:val="7EA146AC"/>
    <w:rsid w:val="7EC34622"/>
    <w:rsid w:val="7ECD54A1"/>
    <w:rsid w:val="7EF50D3F"/>
    <w:rsid w:val="7F185E45"/>
    <w:rsid w:val="7F233313"/>
    <w:rsid w:val="7F313C82"/>
    <w:rsid w:val="7F405C73"/>
    <w:rsid w:val="7F4B1BAE"/>
    <w:rsid w:val="7F527E54"/>
    <w:rsid w:val="7F765B38"/>
    <w:rsid w:val="7F923FF5"/>
    <w:rsid w:val="FC3F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2"/>
    <w:qFormat/>
    <w:uiPriority w:val="0"/>
    <w:pPr>
      <w:keepNext/>
      <w:keepLines/>
      <w:spacing w:before="120" w:line="300" w:lineRule="auto"/>
      <w:jc w:val="center"/>
      <w:outlineLvl w:val="1"/>
    </w:pPr>
    <w:rPr>
      <w:rFonts w:eastAsia="黑体"/>
      <w:b/>
      <w:sz w:val="30"/>
      <w:szCs w:val="20"/>
    </w:rPr>
  </w:style>
  <w:style w:type="paragraph" w:styleId="4">
    <w:name w:val="heading 4"/>
    <w:basedOn w:val="1"/>
    <w:next w:val="1"/>
    <w:qFormat/>
    <w:uiPriority w:val="0"/>
    <w:pPr>
      <w:keepNext/>
      <w:keepLines/>
      <w:spacing w:before="280" w:after="290" w:line="376" w:lineRule="atLeast"/>
      <w:outlineLvl w:val="3"/>
    </w:pPr>
    <w:rPr>
      <w:rFonts w:eastAsia="黑体"/>
      <w:b/>
      <w:sz w:val="28"/>
      <w:szCs w:val="20"/>
    </w:rPr>
  </w:style>
  <w:style w:type="paragraph" w:styleId="5">
    <w:name w:val="heading 6"/>
    <w:basedOn w:val="1"/>
    <w:next w:val="1"/>
    <w:qFormat/>
    <w:uiPriority w:val="1"/>
    <w:pPr>
      <w:outlineLvl w:val="5"/>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sz w:val="24"/>
    </w:rPr>
  </w:style>
  <w:style w:type="paragraph" w:styleId="6">
    <w:name w:val="annotation text"/>
    <w:basedOn w:val="1"/>
    <w:link w:val="48"/>
    <w:qFormat/>
    <w:uiPriority w:val="0"/>
  </w:style>
  <w:style w:type="paragraph" w:styleId="7">
    <w:name w:val="Body Text"/>
    <w:basedOn w:val="1"/>
    <w:qFormat/>
    <w:uiPriority w:val="0"/>
  </w:style>
  <w:style w:type="paragraph" w:styleId="8">
    <w:name w:val="Body Text Indent"/>
    <w:basedOn w:val="1"/>
    <w:qFormat/>
    <w:uiPriority w:val="0"/>
    <w:pPr>
      <w:spacing w:line="360" w:lineRule="auto"/>
      <w:ind w:firstLine="570"/>
    </w:pPr>
    <w:rPr>
      <w:sz w:val="24"/>
    </w:rPr>
  </w:style>
  <w:style w:type="paragraph" w:styleId="9">
    <w:name w:val="toc 3"/>
    <w:basedOn w:val="1"/>
    <w:next w:val="1"/>
    <w:qFormat/>
    <w:uiPriority w:val="39"/>
    <w:pPr>
      <w:ind w:left="420"/>
    </w:pPr>
    <w:rPr>
      <w:rFonts w:cs="Calibri"/>
      <w:i/>
      <w:iCs/>
      <w:sz w:val="20"/>
      <w:szCs w:val="20"/>
    </w:rPr>
  </w:style>
  <w:style w:type="paragraph" w:styleId="10">
    <w:name w:val="Plain Text"/>
    <w:basedOn w:val="1"/>
    <w:qFormat/>
    <w:uiPriority w:val="0"/>
    <w:rPr>
      <w:rFonts w:hint="eastAsia" w:ascii="宋体" w:hAnsi="Courier New"/>
      <w:szCs w:val="20"/>
    </w:rPr>
  </w:style>
  <w:style w:type="paragraph" w:styleId="11">
    <w:name w:val="Body Text Indent 2"/>
    <w:basedOn w:val="1"/>
    <w:qFormat/>
    <w:uiPriority w:val="99"/>
    <w:pPr>
      <w:spacing w:after="120" w:line="480" w:lineRule="auto"/>
      <w:ind w:left="420" w:leftChars="200"/>
    </w:pPr>
    <w:rPr>
      <w:rFonts w:ascii="Times New Roman" w:hAnsi="Times New Roman" w:eastAsia="仿宋_GB2312"/>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0"/>
  </w:style>
  <w:style w:type="paragraph" w:styleId="16">
    <w:name w:val="Normal (Web)"/>
    <w:basedOn w:val="1"/>
    <w:qFormat/>
    <w:uiPriority w:val="99"/>
    <w:pPr>
      <w:spacing w:before="100" w:beforeAutospacing="1" w:after="100" w:afterAutospacing="1"/>
    </w:pPr>
    <w:rPr>
      <w:rFonts w:ascii="宋体" w:hAnsi="宋体" w:cs="宋体"/>
      <w:sz w:val="24"/>
    </w:rPr>
  </w:style>
  <w:style w:type="paragraph" w:styleId="17">
    <w:name w:val="annotation subject"/>
    <w:basedOn w:val="6"/>
    <w:next w:val="6"/>
    <w:link w:val="49"/>
    <w:qFormat/>
    <w:uiPriority w:val="0"/>
    <w:rPr>
      <w:b/>
      <w:bCs/>
    </w:rPr>
  </w:style>
  <w:style w:type="paragraph" w:styleId="18">
    <w:name w:val="Body Text First Indent"/>
    <w:basedOn w:val="7"/>
    <w:next w:val="19"/>
    <w:qFormat/>
    <w:uiPriority w:val="0"/>
    <w:pPr>
      <w:spacing w:line="360" w:lineRule="auto"/>
      <w:ind w:firstLine="420" w:firstLineChars="200"/>
    </w:pPr>
  </w:style>
  <w:style w:type="paragraph" w:styleId="19">
    <w:name w:val="Body Text First Indent 2"/>
    <w:basedOn w:val="8"/>
    <w:next w:val="18"/>
    <w:qFormat/>
    <w:uiPriority w:val="0"/>
    <w:pPr>
      <w:spacing w:after="120" w:line="480" w:lineRule="exact"/>
      <w:ind w:left="420" w:leftChars="200" w:firstLine="420" w:firstLineChars="200"/>
    </w:pPr>
    <w:rPr>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正文首行缩进 2 Char Char"/>
    <w:basedOn w:val="28"/>
    <w:qFormat/>
    <w:uiPriority w:val="99"/>
    <w:pPr>
      <w:ind w:firstLine="420"/>
    </w:pPr>
  </w:style>
  <w:style w:type="paragraph" w:customStyle="1" w:styleId="28">
    <w:name w:val="正文文本缩进 Char Char"/>
    <w:basedOn w:val="1"/>
    <w:qFormat/>
    <w:uiPriority w:val="99"/>
    <w:pPr>
      <w:spacing w:after="120"/>
      <w:ind w:left="420" w:leftChars="200"/>
    </w:p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Table Text"/>
    <w:basedOn w:val="1"/>
    <w:qFormat/>
    <w:uiPriority w:val="0"/>
    <w:rPr>
      <w:rFonts w:ascii="宋体" w:hAnsi="宋体" w:eastAsia="宋体" w:cs="宋体"/>
      <w:sz w:val="24"/>
      <w:szCs w:val="24"/>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1"/>
    <w:pPr>
      <w:ind w:left="396" w:hanging="602"/>
    </w:pPr>
    <w:rPr>
      <w:rFonts w:ascii="宋体" w:hAnsi="宋体" w:eastAsia="宋体" w:cs="宋体"/>
      <w:lang w:val="zh-CN" w:eastAsia="zh-CN" w:bidi="zh-CN"/>
    </w:rPr>
  </w:style>
  <w:style w:type="character" w:customStyle="1" w:styleId="33">
    <w:name w:val="font31"/>
    <w:basedOn w:val="22"/>
    <w:qFormat/>
    <w:uiPriority w:val="0"/>
    <w:rPr>
      <w:rFonts w:hint="eastAsia" w:ascii="宋体" w:hAnsi="宋体" w:eastAsia="宋体" w:cs="宋体"/>
      <w:color w:val="FF0000"/>
      <w:sz w:val="16"/>
      <w:szCs w:val="16"/>
      <w:u w:val="none"/>
    </w:rPr>
  </w:style>
  <w:style w:type="character" w:customStyle="1" w:styleId="34">
    <w:name w:val="font21"/>
    <w:basedOn w:val="22"/>
    <w:qFormat/>
    <w:uiPriority w:val="0"/>
    <w:rPr>
      <w:rFonts w:hint="eastAsia" w:ascii="宋体" w:hAnsi="宋体" w:eastAsia="宋体" w:cs="宋体"/>
      <w:color w:val="000000"/>
      <w:sz w:val="16"/>
      <w:szCs w:val="16"/>
      <w:u w:val="none"/>
    </w:rPr>
  </w:style>
  <w:style w:type="paragraph" w:customStyle="1" w:styleId="3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6">
    <w:name w:val="font81"/>
    <w:basedOn w:val="22"/>
    <w:qFormat/>
    <w:uiPriority w:val="0"/>
    <w:rPr>
      <w:rFonts w:hint="eastAsia" w:ascii="宋体" w:hAnsi="宋体" w:eastAsia="宋体" w:cs="宋体"/>
      <w:color w:val="000000"/>
      <w:sz w:val="19"/>
      <w:szCs w:val="19"/>
      <w:u w:val="none"/>
    </w:rPr>
  </w:style>
  <w:style w:type="character" w:customStyle="1" w:styleId="37">
    <w:name w:val="font91"/>
    <w:basedOn w:val="22"/>
    <w:qFormat/>
    <w:uiPriority w:val="0"/>
    <w:rPr>
      <w:rFonts w:hint="eastAsia" w:ascii="宋体" w:hAnsi="宋体" w:eastAsia="宋体" w:cs="宋体"/>
      <w:color w:val="000000"/>
      <w:sz w:val="16"/>
      <w:szCs w:val="16"/>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列出段落1"/>
    <w:basedOn w:val="1"/>
    <w:qFormat/>
    <w:uiPriority w:val="0"/>
    <w:pPr>
      <w:spacing w:before="151"/>
      <w:ind w:left="112" w:hanging="486"/>
    </w:pPr>
    <w:rPr>
      <w:rFonts w:ascii="宋体" w:hAnsi="宋体" w:cs="Times New Roman"/>
      <w:sz w:val="22"/>
    </w:rPr>
  </w:style>
  <w:style w:type="character" w:customStyle="1" w:styleId="40">
    <w:name w:val="批注框文本 Char"/>
    <w:basedOn w:val="22"/>
    <w:link w:val="12"/>
    <w:qFormat/>
    <w:uiPriority w:val="0"/>
    <w:rPr>
      <w:rFonts w:ascii="Arial" w:hAnsi="Arial" w:eastAsia="Arial" w:cs="Arial"/>
      <w:snapToGrid w:val="0"/>
      <w:color w:val="000000"/>
      <w:sz w:val="18"/>
      <w:szCs w:val="18"/>
      <w:lang w:eastAsia="en-US"/>
    </w:rPr>
  </w:style>
  <w:style w:type="paragraph" w:customStyle="1" w:styleId="41">
    <w:name w:val="Normal_0"/>
    <w:qFormat/>
    <w:uiPriority w:val="0"/>
    <w:rPr>
      <w:rFonts w:ascii="Times New Roman" w:hAnsi="Times New Roman" w:eastAsia="Times New Roman" w:cs="Times New Roman"/>
      <w:sz w:val="24"/>
      <w:szCs w:val="24"/>
      <w:lang w:val="en-US" w:eastAsia="zh-CN" w:bidi="ar-SA"/>
    </w:rPr>
  </w:style>
  <w:style w:type="character" w:customStyle="1" w:styleId="42">
    <w:name w:val="font112"/>
    <w:basedOn w:val="22"/>
    <w:qFormat/>
    <w:uiPriority w:val="0"/>
    <w:rPr>
      <w:rFonts w:hint="eastAsia" w:ascii="黑体" w:hAnsi="宋体" w:eastAsia="黑体" w:cs="黑体"/>
      <w:color w:val="000000"/>
      <w:sz w:val="24"/>
      <w:szCs w:val="24"/>
      <w:u w:val="none"/>
    </w:rPr>
  </w:style>
  <w:style w:type="character" w:customStyle="1" w:styleId="43">
    <w:name w:val="font121"/>
    <w:basedOn w:val="22"/>
    <w:qFormat/>
    <w:uiPriority w:val="0"/>
    <w:rPr>
      <w:rFonts w:hint="eastAsia" w:ascii="黑体" w:hAnsi="宋体" w:eastAsia="黑体" w:cs="黑体"/>
      <w:color w:val="000000"/>
      <w:sz w:val="24"/>
      <w:szCs w:val="24"/>
      <w:u w:val="none"/>
      <w:vertAlign w:val="superscript"/>
    </w:rPr>
  </w:style>
  <w:style w:type="character" w:customStyle="1" w:styleId="44">
    <w:name w:val="font171"/>
    <w:basedOn w:val="22"/>
    <w:qFormat/>
    <w:uiPriority w:val="0"/>
    <w:rPr>
      <w:rFonts w:ascii="仿宋" w:hAnsi="仿宋" w:eastAsia="仿宋" w:cs="仿宋"/>
      <w:color w:val="000000"/>
      <w:sz w:val="24"/>
      <w:szCs w:val="24"/>
      <w:u w:val="none"/>
    </w:rPr>
  </w:style>
  <w:style w:type="character" w:customStyle="1" w:styleId="45">
    <w:name w:val="font181"/>
    <w:basedOn w:val="22"/>
    <w:qFormat/>
    <w:uiPriority w:val="0"/>
    <w:rPr>
      <w:rFonts w:hint="default" w:ascii="Times New Roman" w:hAnsi="Times New Roman" w:cs="Times New Roman"/>
      <w:color w:val="000000"/>
      <w:sz w:val="24"/>
      <w:szCs w:val="24"/>
      <w:u w:val="none"/>
    </w:rPr>
  </w:style>
  <w:style w:type="paragraph" w:styleId="4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48">
    <w:name w:val="批注文字 Char"/>
    <w:basedOn w:val="22"/>
    <w:link w:val="6"/>
    <w:qFormat/>
    <w:uiPriority w:val="0"/>
    <w:rPr>
      <w:rFonts w:ascii="Arial" w:hAnsi="Arial" w:eastAsia="Arial" w:cs="Arial"/>
      <w:snapToGrid w:val="0"/>
      <w:color w:val="000000"/>
      <w:sz w:val="21"/>
      <w:szCs w:val="21"/>
      <w:lang w:eastAsia="en-US"/>
    </w:rPr>
  </w:style>
  <w:style w:type="character" w:customStyle="1" w:styleId="49">
    <w:name w:val="批注主题 Char"/>
    <w:basedOn w:val="48"/>
    <w:link w:val="17"/>
    <w:qFormat/>
    <w:uiPriority w:val="0"/>
    <w:rPr>
      <w:rFonts w:ascii="Arial" w:hAnsi="Arial" w:eastAsia="Arial" w:cs="Arial"/>
      <w:b/>
      <w:bCs/>
      <w:snapToGrid w:val="0"/>
      <w:color w:val="000000"/>
      <w:sz w:val="21"/>
      <w:szCs w:val="21"/>
      <w:lang w:eastAsia="en-US"/>
    </w:rPr>
  </w:style>
  <w:style w:type="paragraph" w:customStyle="1" w:styleId="50">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 w:type="paragraph" w:customStyle="1" w:styleId="51">
    <w:name w:val="Char Char Char Char Char Char Char1 Char"/>
    <w:basedOn w:val="1"/>
    <w:qFormat/>
    <w:uiPriority w:val="0"/>
    <w:rPr>
      <w:rFonts w:ascii="Tahoma" w:hAnsi="Tahoma"/>
      <w:sz w:val="24"/>
      <w:szCs w:val="20"/>
    </w:rPr>
  </w:style>
  <w:style w:type="paragraph" w:customStyle="1" w:styleId="52">
    <w:name w:val="普通(网站)1"/>
    <w:basedOn w:val="1"/>
    <w:qFormat/>
    <w:uiPriority w:val="0"/>
    <w:rPr>
      <w:rFonts w:ascii="Times New Roman" w:hAnsi="Times New Roman" w:eastAsia="宋体"/>
      <w:sz w:val="24"/>
      <w:szCs w:val="20"/>
    </w:rPr>
  </w:style>
  <w:style w:type="paragraph" w:customStyle="1" w:styleId="53">
    <w:name w:val="段落正文"/>
    <w:basedOn w:val="1"/>
    <w:qFormat/>
    <w:uiPriority w:val="0"/>
    <w:pPr>
      <w:autoSpaceDE/>
      <w:autoSpaceDN/>
      <w:spacing w:line="360" w:lineRule="auto"/>
      <w:ind w:firstLine="200" w:firstLineChars="200"/>
      <w:jc w:val="both"/>
    </w:pPr>
    <w:rPr>
      <w:rFonts w:ascii="Times New Roman" w:hAnsi="Times New Roman" w:cs="Times New Roman"/>
      <w:kern w:val="2"/>
      <w:sz w:val="24"/>
    </w:rPr>
  </w:style>
  <w:style w:type="character" w:customStyle="1" w:styleId="5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17.xml"/><Relationship Id="rId36" Type="http://schemas.openxmlformats.org/officeDocument/2006/relationships/header" Target="header18.xml"/><Relationship Id="rId35" Type="http://schemas.openxmlformats.org/officeDocument/2006/relationships/footer" Target="footer16.xml"/><Relationship Id="rId34" Type="http://schemas.openxmlformats.org/officeDocument/2006/relationships/header" Target="header17.xml"/><Relationship Id="rId33" Type="http://schemas.openxmlformats.org/officeDocument/2006/relationships/footer" Target="footer15.xml"/><Relationship Id="rId32" Type="http://schemas.openxmlformats.org/officeDocument/2006/relationships/header" Target="header16.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13060</Words>
  <Characters>14058</Characters>
  <Lines>329</Lines>
  <Paragraphs>92</Paragraphs>
  <TotalTime>72</TotalTime>
  <ScaleCrop>false</ScaleCrop>
  <LinksUpToDate>false</LinksUpToDate>
  <CharactersWithSpaces>14502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2026-03-12T22:33:00Z</dcterms:created>
  <dc:creator>Lenovo</dc:creator>
  <cp:lastModifiedBy>NTKO</cp:lastModifiedBy>
  <cp:lastPrinted>2025-11-28T02:32:00Z</cp:lastPrinted>
  <dcterms:modified xsi:type="dcterms:W3CDTF">2026-04-17T10:56:57Z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2052-12.1.0.25865</vt:lpwstr>
  </property>
  <property fmtid="{D5CDD505-2E9C-101B-9397-08002B2CF9AE}" pid="5" name="ICV">
    <vt:lpwstr>E8D7BB5B27BB4F0ABCBDC49C569A9B31_13</vt:lpwstr>
  </property>
  <property fmtid="{D5CDD505-2E9C-101B-9397-08002B2CF9AE}" pid="6" name="KSOTemplateDocerSaveRecord">
    <vt:lpwstr>eyJoZGlkIjoiM2UwYzAyYWQxMzRkZDJkMzcxMDRhOTMzZDdhZmM3NjkiLCJ1c2VySWQiOiIxMjU1NDk3MjkyIn0=</vt:lpwstr>
  </property>
</Properties>
</file>