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51A11">
      <w:pPr>
        <w:pageBreakBefore w:val="0"/>
        <w:kinsoku/>
        <w:wordWrap w:val="0"/>
        <w:bidi w:val="0"/>
        <w:spacing w:beforeAutospacing="0" w:afterAutospacing="0"/>
        <w:ind w:left="0" w:leftChars="0" w:right="0" w:rightChars="0"/>
        <w:jc w:val="center"/>
        <w:rPr>
          <w:rStyle w:val="216"/>
          <w:rFonts w:ascii="宋体" w:hAnsi="宋体" w:cs="宋体"/>
          <w:color w:val="000000" w:themeColor="text1"/>
          <w:sz w:val="21"/>
          <w:szCs w:val="21"/>
          <w:highlight w:val="none"/>
          <w14:textFill>
            <w14:solidFill>
              <w14:schemeClr w14:val="tx1"/>
            </w14:solidFill>
          </w14:textFill>
        </w:rPr>
      </w:pPr>
      <w:r>
        <w:rPr>
          <w:rStyle w:val="216"/>
          <w:rFonts w:hint="eastAsia" w:ascii="宋体" w:hAnsi="宋体" w:cs="宋体"/>
          <w:color w:val="000000" w:themeColor="text1"/>
          <w:sz w:val="21"/>
          <w:szCs w:val="21"/>
          <w:highlight w:val="none"/>
          <w14:textFill>
            <w14:solidFill>
              <w14:schemeClr w14:val="tx1"/>
            </w14:solidFill>
          </w14:textFill>
        </w:rPr>
        <w:tab/>
      </w:r>
    </w:p>
    <w:p w14:paraId="5076D9B7">
      <w:pPr>
        <w:pageBreakBefore w:val="0"/>
        <w:kinsoku/>
        <w:wordWrap w:val="0"/>
        <w:bidi w:val="0"/>
        <w:spacing w:beforeAutospacing="0" w:afterAutospacing="0" w:line="700" w:lineRule="exact"/>
        <w:ind w:left="0" w:leftChars="0" w:right="0" w:rightChars="0"/>
        <w:jc w:val="center"/>
        <w:rPr>
          <w:rFonts w:ascii="宋体" w:hAnsi="宋体" w:cs="宋体"/>
          <w:color w:val="000000" w:themeColor="text1"/>
          <w:highlight w:val="none"/>
          <w14:textFill>
            <w14:solidFill>
              <w14:schemeClr w14:val="tx1"/>
            </w14:solidFill>
          </w14:textFill>
        </w:rPr>
      </w:pPr>
      <w:bookmarkStart w:id="0" w:name="_Hlk159609191"/>
    </w:p>
    <w:p w14:paraId="08EB287F">
      <w:pPr>
        <w:pageBreakBefore w:val="0"/>
        <w:kinsoku/>
        <w:wordWrap w:val="0"/>
        <w:bidi w:val="0"/>
        <w:spacing w:beforeAutospacing="0" w:afterAutospacing="0" w:line="360" w:lineRule="auto"/>
        <w:ind w:left="0" w:leftChars="0" w:right="0" w:rightChars="0"/>
        <w:jc w:val="center"/>
        <w:rPr>
          <w:rFonts w:hint="eastAsia" w:ascii="宋体" w:hAnsi="宋体" w:eastAsia="宋体" w:cs="宋体"/>
          <w:b/>
          <w:color w:val="000000" w:themeColor="text1"/>
          <w:sz w:val="56"/>
          <w:szCs w:val="56"/>
          <w:highlight w:val="none"/>
          <w:lang w:eastAsia="zh-CN"/>
          <w14:textFill>
            <w14:solidFill>
              <w14:schemeClr w14:val="tx1"/>
            </w14:solidFill>
          </w14:textFill>
        </w:rPr>
      </w:pPr>
      <w:bookmarkStart w:id="1" w:name="_Hlk35251820"/>
      <w:bookmarkStart w:id="2" w:name="_Hlk159595042"/>
      <w:r>
        <w:rPr>
          <w:rFonts w:hint="eastAsia" w:ascii="宋体" w:hAnsi="宋体" w:cs="宋体"/>
          <w:b/>
          <w:color w:val="000000" w:themeColor="text1"/>
          <w:sz w:val="56"/>
          <w:szCs w:val="56"/>
          <w:highlight w:val="none"/>
          <w:lang w:eastAsia="zh-CN"/>
          <w14:textFill>
            <w14:solidFill>
              <w14:schemeClr w14:val="tx1"/>
            </w14:solidFill>
          </w14:textFill>
        </w:rPr>
        <w:t>昆明市西山区第一幼儿园2026-2029年餐饮服务采购</w:t>
      </w:r>
    </w:p>
    <w:bookmarkEnd w:id="0"/>
    <w:bookmarkEnd w:id="1"/>
    <w:bookmarkEnd w:id="2"/>
    <w:p w14:paraId="66985FDB">
      <w:pPr>
        <w:pageBreakBefore w:val="0"/>
        <w:kinsoku/>
        <w:wordWrap w:val="0"/>
        <w:bidi w:val="0"/>
        <w:spacing w:beforeAutospacing="0" w:afterAutospacing="0" w:line="700" w:lineRule="exact"/>
        <w:ind w:left="0" w:leftChars="0" w:right="0" w:rightChars="0"/>
        <w:jc w:val="center"/>
        <w:rPr>
          <w:rFonts w:ascii="宋体" w:hAnsi="宋体" w:cs="宋体"/>
          <w:color w:val="000000" w:themeColor="text1"/>
          <w:highlight w:val="none"/>
          <w14:textFill>
            <w14:solidFill>
              <w14:schemeClr w14:val="tx1"/>
            </w14:solidFill>
          </w14:textFill>
        </w:rPr>
      </w:pPr>
    </w:p>
    <w:p w14:paraId="33E0A988">
      <w:pPr>
        <w:pageBreakBefore w:val="0"/>
        <w:kinsoku/>
        <w:wordWrap w:val="0"/>
        <w:bidi w:val="0"/>
        <w:spacing w:beforeAutospacing="0" w:afterAutospacing="0" w:line="700" w:lineRule="exact"/>
        <w:ind w:left="0" w:leftChars="0" w:right="0" w:rightChars="0"/>
        <w:jc w:val="center"/>
        <w:rPr>
          <w:rFonts w:ascii="宋体" w:hAnsi="宋体" w:cs="宋体"/>
          <w:color w:val="000000" w:themeColor="text1"/>
          <w:highlight w:val="none"/>
          <w14:textFill>
            <w14:solidFill>
              <w14:schemeClr w14:val="tx1"/>
            </w14:solidFill>
          </w14:textFill>
        </w:rPr>
      </w:pPr>
    </w:p>
    <w:p w14:paraId="6197F400">
      <w:pPr>
        <w:pageBreakBefore w:val="0"/>
        <w:kinsoku/>
        <w:wordWrap w:val="0"/>
        <w:bidi w:val="0"/>
        <w:spacing w:beforeAutospacing="0" w:afterAutospacing="0" w:line="1000" w:lineRule="exact"/>
        <w:ind w:left="0" w:leftChars="0" w:right="0" w:rightChars="0"/>
        <w:jc w:val="center"/>
        <w:rPr>
          <w:rFonts w:ascii="宋体" w:hAnsi="宋体" w:cs="宋体"/>
          <w:b/>
          <w:bCs/>
          <w:color w:val="000000" w:themeColor="text1"/>
          <w:sz w:val="96"/>
          <w:szCs w:val="96"/>
          <w:highlight w:val="none"/>
          <w14:textFill>
            <w14:solidFill>
              <w14:schemeClr w14:val="tx1"/>
            </w14:solidFill>
          </w14:textFill>
        </w:rPr>
      </w:pPr>
      <w:r>
        <w:rPr>
          <w:rFonts w:hint="eastAsia" w:ascii="宋体" w:hAnsi="宋体" w:cs="宋体"/>
          <w:b/>
          <w:bCs/>
          <w:color w:val="000000" w:themeColor="text1"/>
          <w:sz w:val="96"/>
          <w:szCs w:val="96"/>
          <w:highlight w:val="none"/>
          <w14:textFill>
            <w14:solidFill>
              <w14:schemeClr w14:val="tx1"/>
            </w14:solidFill>
          </w14:textFill>
        </w:rPr>
        <w:t>招 标 文 件</w:t>
      </w:r>
    </w:p>
    <w:p w14:paraId="2F104914">
      <w:pPr>
        <w:pageBreakBefore w:val="0"/>
        <w:kinsoku/>
        <w:wordWrap w:val="0"/>
        <w:bidi w:val="0"/>
        <w:spacing w:beforeAutospacing="0" w:afterAutospacing="0"/>
        <w:ind w:left="0" w:leftChars="0" w:right="0" w:rightChars="0"/>
        <w:jc w:val="center"/>
        <w:rPr>
          <w:rFonts w:ascii="宋体" w:hAnsi="宋体" w:cs="宋体"/>
          <w:b/>
          <w:bCs/>
          <w:color w:val="000000" w:themeColor="text1"/>
          <w:sz w:val="28"/>
          <w:szCs w:val="28"/>
          <w:highlight w:val="none"/>
          <w14:textFill>
            <w14:solidFill>
              <w14:schemeClr w14:val="tx1"/>
            </w14:solidFill>
          </w14:textFill>
        </w:rPr>
      </w:pPr>
    </w:p>
    <w:p w14:paraId="7D0B1AB6">
      <w:pPr>
        <w:pageBreakBefore w:val="0"/>
        <w:kinsoku/>
        <w:wordWrap w:val="0"/>
        <w:bidi w:val="0"/>
        <w:spacing w:beforeAutospacing="0" w:afterAutospacing="0"/>
        <w:ind w:left="0" w:leftChars="0" w:right="0" w:rightChars="0"/>
        <w:jc w:val="center"/>
        <w:rPr>
          <w:rFonts w:hint="eastAsia" w:ascii="宋体" w:hAnsi="宋体" w:eastAsia="宋体" w:cs="宋体"/>
          <w:b/>
          <w:bCs/>
          <w:color w:val="000000" w:themeColor="text1"/>
          <w:sz w:val="36"/>
          <w:szCs w:val="36"/>
          <w:highlight w:val="none"/>
          <w:lang w:eastAsia="zh-CN"/>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项目编号：</w:t>
      </w:r>
      <w:r>
        <w:rPr>
          <w:rFonts w:hint="eastAsia" w:ascii="宋体" w:hAnsi="宋体" w:cs="宋体"/>
          <w:b/>
          <w:bCs/>
          <w:color w:val="000000" w:themeColor="text1"/>
          <w:sz w:val="36"/>
          <w:szCs w:val="36"/>
          <w:highlight w:val="none"/>
          <w:lang w:eastAsia="zh-CN"/>
          <w14:textFill>
            <w14:solidFill>
              <w14:schemeClr w14:val="tx1"/>
            </w14:solidFill>
          </w14:textFill>
        </w:rPr>
        <w:t>CS202605120454</w:t>
      </w:r>
    </w:p>
    <w:p w14:paraId="55868EA2">
      <w:pPr>
        <w:pageBreakBefore w:val="0"/>
        <w:kinsoku/>
        <w:wordWrap w:val="0"/>
        <w:bidi w:val="0"/>
        <w:spacing w:beforeAutospacing="0" w:afterAutospacing="0" w:line="700" w:lineRule="exact"/>
        <w:ind w:left="0" w:leftChars="0" w:right="0" w:rightChars="0"/>
        <w:jc w:val="center"/>
        <w:rPr>
          <w:rFonts w:ascii="宋体" w:hAnsi="宋体" w:cs="宋体"/>
          <w:color w:val="000000" w:themeColor="text1"/>
          <w:highlight w:val="none"/>
          <w14:textFill>
            <w14:solidFill>
              <w14:schemeClr w14:val="tx1"/>
            </w14:solidFill>
          </w14:textFill>
        </w:rPr>
      </w:pPr>
    </w:p>
    <w:p w14:paraId="08070157">
      <w:pPr>
        <w:pageBreakBefore w:val="0"/>
        <w:kinsoku/>
        <w:wordWrap w:val="0"/>
        <w:bidi w:val="0"/>
        <w:spacing w:beforeAutospacing="0" w:afterAutospacing="0" w:line="700" w:lineRule="exact"/>
        <w:ind w:left="0" w:leftChars="0" w:right="0" w:rightChars="0"/>
        <w:jc w:val="center"/>
        <w:rPr>
          <w:rFonts w:ascii="宋体" w:hAnsi="宋体" w:cs="宋体"/>
          <w:color w:val="000000" w:themeColor="text1"/>
          <w:highlight w:val="none"/>
          <w14:textFill>
            <w14:solidFill>
              <w14:schemeClr w14:val="tx1"/>
            </w14:solidFill>
          </w14:textFill>
        </w:rPr>
      </w:pPr>
      <w:bookmarkStart w:id="506" w:name="_GoBack"/>
      <w:bookmarkEnd w:id="506"/>
    </w:p>
    <w:p w14:paraId="54F716F3">
      <w:pPr>
        <w:pageBreakBefore w:val="0"/>
        <w:kinsoku/>
        <w:wordWrap w:val="0"/>
        <w:bidi w:val="0"/>
        <w:spacing w:beforeAutospacing="0" w:afterAutospacing="0" w:line="700" w:lineRule="exact"/>
        <w:ind w:left="0" w:leftChars="0" w:right="0" w:rightChars="0"/>
        <w:jc w:val="center"/>
        <w:rPr>
          <w:rFonts w:ascii="宋体" w:hAnsi="宋体" w:cs="宋体"/>
          <w:color w:val="000000" w:themeColor="text1"/>
          <w:highlight w:val="none"/>
          <w14:textFill>
            <w14:solidFill>
              <w14:schemeClr w14:val="tx1"/>
            </w14:solidFill>
          </w14:textFill>
        </w:rPr>
      </w:pPr>
    </w:p>
    <w:p w14:paraId="2B158CC3">
      <w:pPr>
        <w:pageBreakBefore w:val="0"/>
        <w:kinsoku/>
        <w:wordWrap w:val="0"/>
        <w:bidi w:val="0"/>
        <w:spacing w:beforeAutospacing="0" w:afterAutospacing="0" w:line="700" w:lineRule="exact"/>
        <w:ind w:left="0" w:leftChars="0" w:right="0" w:rightChars="0"/>
        <w:jc w:val="center"/>
        <w:rPr>
          <w:rFonts w:ascii="宋体" w:hAnsi="宋体" w:cs="宋体"/>
          <w:color w:val="000000" w:themeColor="text1"/>
          <w:highlight w:val="none"/>
          <w14:textFill>
            <w14:solidFill>
              <w14:schemeClr w14:val="tx1"/>
            </w14:solidFill>
          </w14:textFill>
        </w:rPr>
      </w:pPr>
    </w:p>
    <w:p w14:paraId="52E0728A">
      <w:pPr>
        <w:pageBreakBefore w:val="0"/>
        <w:kinsoku/>
        <w:bidi w:val="0"/>
        <w:spacing w:beforeAutospacing="0" w:afterAutospacing="0"/>
        <w:ind w:left="0" w:leftChars="0" w:right="0" w:rightChars="0"/>
        <w:rPr>
          <w:rFonts w:ascii="宋体" w:hAnsi="宋体" w:cs="宋体"/>
          <w:color w:val="000000" w:themeColor="text1"/>
          <w:highlight w:val="none"/>
          <w14:textFill>
            <w14:solidFill>
              <w14:schemeClr w14:val="tx1"/>
            </w14:solidFill>
          </w14:textFill>
        </w:rPr>
      </w:pPr>
    </w:p>
    <w:p w14:paraId="57E49C68">
      <w:pPr>
        <w:pageBreakBefore w:val="0"/>
        <w:kinsoku/>
        <w:wordWrap w:val="0"/>
        <w:bidi w:val="0"/>
        <w:spacing w:beforeAutospacing="0" w:afterAutospacing="0" w:line="700" w:lineRule="exact"/>
        <w:ind w:left="0" w:leftChars="0" w:right="0" w:rightChars="0"/>
        <w:jc w:val="center"/>
        <w:rPr>
          <w:rFonts w:ascii="宋体" w:hAnsi="宋体" w:cs="宋体"/>
          <w:color w:val="000000" w:themeColor="text1"/>
          <w:highlight w:val="none"/>
          <w14:textFill>
            <w14:solidFill>
              <w14:schemeClr w14:val="tx1"/>
            </w14:solidFill>
          </w14:textFill>
        </w:rPr>
      </w:pPr>
    </w:p>
    <w:p w14:paraId="7A997B79">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p>
    <w:p w14:paraId="066723F6">
      <w:pPr>
        <w:pageBreakBefore w:val="0"/>
        <w:kinsoku/>
        <w:bidi w:val="0"/>
        <w:spacing w:beforeAutospacing="0" w:afterAutospacing="0" w:line="700" w:lineRule="exact"/>
        <w:ind w:left="0" w:leftChars="0" w:right="0" w:rightChars="0" w:firstLine="643" w:firstLineChars="200"/>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采 购 人：</w:t>
      </w:r>
      <w:r>
        <w:rPr>
          <w:rFonts w:hint="eastAsia" w:ascii="宋体" w:hAnsi="宋体" w:cs="宋体"/>
          <w:b/>
          <w:bCs/>
          <w:color w:val="000000" w:themeColor="text1"/>
          <w:sz w:val="32"/>
          <w:szCs w:val="32"/>
          <w:highlight w:val="none"/>
          <w:lang w:eastAsia="zh-CN"/>
          <w14:textFill>
            <w14:solidFill>
              <w14:schemeClr w14:val="tx1"/>
            </w14:solidFill>
          </w14:textFill>
        </w:rPr>
        <w:t>昆明市西山区第一幼儿园</w:t>
      </w:r>
    </w:p>
    <w:p w14:paraId="4BE1B0AB">
      <w:pPr>
        <w:pageBreakBefore w:val="0"/>
        <w:kinsoku/>
        <w:wordWrap w:val="0"/>
        <w:bidi w:val="0"/>
        <w:spacing w:beforeAutospacing="0" w:afterAutospacing="0" w:line="700" w:lineRule="exact"/>
        <w:ind w:left="0" w:leftChars="0" w:right="0" w:rightChars="0" w:firstLine="643" w:firstLineChars="20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采购代理机构：云南晨晟招标咨询有限公司</w:t>
      </w:r>
    </w:p>
    <w:p w14:paraId="3FDA695B">
      <w:pPr>
        <w:pageBreakBefore w:val="0"/>
        <w:kinsoku/>
        <w:wordWrap w:val="0"/>
        <w:bidi w:val="0"/>
        <w:spacing w:beforeAutospacing="0" w:afterAutospacing="0" w:line="700" w:lineRule="exact"/>
        <w:ind w:left="0" w:leftChars="0" w:right="0" w:rightChars="0" w:firstLine="643" w:firstLineChars="20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日    期：二〇二六年</w:t>
      </w:r>
      <w:r>
        <w:rPr>
          <w:rFonts w:hint="eastAsia" w:ascii="宋体" w:hAnsi="宋体" w:cs="宋体"/>
          <w:b/>
          <w:bCs/>
          <w:color w:val="000000" w:themeColor="text1"/>
          <w:sz w:val="32"/>
          <w:szCs w:val="32"/>
          <w:highlight w:val="none"/>
          <w:lang w:val="en-US" w:eastAsia="zh-CN"/>
          <w14:textFill>
            <w14:solidFill>
              <w14:schemeClr w14:val="tx1"/>
            </w14:solidFill>
          </w14:textFill>
        </w:rPr>
        <w:t>五</w:t>
      </w:r>
      <w:r>
        <w:rPr>
          <w:rFonts w:hint="eastAsia" w:ascii="宋体" w:hAnsi="宋体" w:cs="宋体"/>
          <w:b/>
          <w:bCs/>
          <w:color w:val="000000" w:themeColor="text1"/>
          <w:sz w:val="32"/>
          <w:szCs w:val="32"/>
          <w:highlight w:val="none"/>
          <w14:textFill>
            <w14:solidFill>
              <w14:schemeClr w14:val="tx1"/>
            </w14:solidFill>
          </w14:textFill>
        </w:rPr>
        <w:t>月</w:t>
      </w:r>
    </w:p>
    <w:p w14:paraId="73C08544">
      <w:pPr>
        <w:pageBreakBefore w:val="0"/>
        <w:kinsoku/>
        <w:wordWrap w:val="0"/>
        <w:bidi w:val="0"/>
        <w:spacing w:beforeAutospacing="0" w:afterAutospacing="0" w:line="360" w:lineRule="auto"/>
        <w:ind w:left="0" w:leftChars="0" w:right="0" w:rightChars="0"/>
        <w:jc w:val="center"/>
        <w:rPr>
          <w:rFonts w:hint="eastAsia" w:ascii="宋体" w:hAnsi="宋体" w:cs="宋体"/>
          <w:b/>
          <w:bCs/>
          <w:color w:val="000000" w:themeColor="text1"/>
          <w:sz w:val="21"/>
          <w:szCs w:val="21"/>
          <w:highlight w:val="none"/>
          <w14:textFill>
            <w14:solidFill>
              <w14:schemeClr w14:val="tx1"/>
            </w14:solidFill>
          </w14:textFill>
        </w:rPr>
        <w:sectPr>
          <w:headerReference r:id="rId4" w:type="first"/>
          <w:headerReference r:id="rId3" w:type="default"/>
          <w:footerReference r:id="rId5" w:type="default"/>
          <w:pgSz w:w="11906" w:h="16839"/>
          <w:pgMar w:top="1247" w:right="1247" w:bottom="1247" w:left="1247" w:header="680" w:footer="680" w:gutter="0"/>
          <w:pgNumType w:fmt="decimal"/>
          <w:cols w:space="720" w:num="1"/>
          <w:titlePg/>
          <w:rtlGutter w:val="0"/>
          <w:docGrid w:linePitch="0" w:charSpace="0"/>
        </w:sectPr>
      </w:pPr>
    </w:p>
    <w:p w14:paraId="585C008F">
      <w:pPr>
        <w:pageBreakBefore w:val="0"/>
        <w:kinsoku/>
        <w:wordWrap w:val="0"/>
        <w:bidi w:val="0"/>
        <w:spacing w:beforeAutospacing="0" w:afterAutospacing="0" w:line="360" w:lineRule="auto"/>
        <w:ind w:left="0" w:leftChars="0" w:right="0" w:rightChars="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目   录</w:t>
      </w:r>
    </w:p>
    <w:p w14:paraId="385D7553">
      <w:pPr>
        <w:pStyle w:val="27"/>
        <w:tabs>
          <w:tab w:val="right" w:leader="dot" w:pos="9411"/>
          <w:tab w:val="clear" w:pos="9288"/>
        </w:tabs>
        <w:rPr>
          <w:rFonts w:hint="eastAsia" w:asciiTheme="minorEastAsia" w:hAnsiTheme="minorEastAsia" w:eastAsiaTheme="minorEastAsia" w:cstheme="minorEastAsia"/>
        </w:rPr>
      </w:pPr>
      <w:r>
        <w:rPr>
          <w:rStyle w:val="51"/>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Style w:val="51"/>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TOC \o "1-3" \h \z \u </w:instrText>
      </w:r>
      <w:r>
        <w:rPr>
          <w:rStyle w:val="51"/>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_Toc10329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2"/>
          <w:highlight w:val="none"/>
        </w:rPr>
        <w:t>第一章 招标公告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_Toc10329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E6352EF">
      <w:pPr>
        <w:pStyle w:val="27"/>
        <w:tabs>
          <w:tab w:val="right" w:leader="dot" w:pos="9411"/>
          <w:tab w:val="clear" w:pos="9288"/>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_Toc25338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bCs/>
          <w:szCs w:val="32"/>
          <w:highlight w:val="none"/>
        </w:rPr>
        <w:t>第二章 供应商须知及供应商须知前附表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_Toc25338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46F0BC3D">
      <w:pPr>
        <w:pStyle w:val="35"/>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_Toc3020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8"/>
          <w:highlight w:val="none"/>
        </w:rPr>
        <w:t>一、供应商须知前附表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_Toc3020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0968D8AE">
      <w:pPr>
        <w:pStyle w:val="35"/>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_Toc19042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8"/>
          <w:highlight w:val="none"/>
        </w:rPr>
        <w:t>二、供应商须知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_Toc19042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6A4609E1">
      <w:pPr>
        <w:pStyle w:val="27"/>
        <w:tabs>
          <w:tab w:val="right" w:leader="dot" w:pos="9411"/>
          <w:tab w:val="clear" w:pos="9288"/>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_Toc6767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32"/>
          <w:highlight w:val="none"/>
        </w:rPr>
        <w:t>第三章 评标办法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_Toc6767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5A881135">
      <w:pPr>
        <w:pStyle w:val="35"/>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_Toc18294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8"/>
          <w:highlight w:val="none"/>
        </w:rPr>
        <w:t>一、评标办法前附表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_Toc18294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7FDAF677">
      <w:pPr>
        <w:pStyle w:val="35"/>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_Toc15118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8"/>
          <w:highlight w:val="none"/>
        </w:rPr>
        <w:t>二、评标办法正文部分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_Toc15118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76F94C25">
      <w:pPr>
        <w:pStyle w:val="27"/>
        <w:tabs>
          <w:tab w:val="right" w:leader="dot" w:pos="9411"/>
          <w:tab w:val="clear" w:pos="9288"/>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_Toc9502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32"/>
          <w:highlight w:val="none"/>
        </w:rPr>
        <w:t>第四章 合同格式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_Toc9502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21556224">
      <w:pPr>
        <w:pStyle w:val="27"/>
        <w:tabs>
          <w:tab w:val="right" w:leader="dot" w:pos="9411"/>
          <w:tab w:val="clear" w:pos="9288"/>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_Toc13064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8"/>
          <w:highlight w:val="none"/>
        </w:rPr>
        <w:t>第五章 技术标准及要求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_Toc13064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2D4AC45C">
      <w:pPr>
        <w:pStyle w:val="27"/>
        <w:tabs>
          <w:tab w:val="right" w:leader="dot" w:pos="9411"/>
          <w:tab w:val="clear" w:pos="9288"/>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_Toc17192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32"/>
          <w:highlight w:val="none"/>
        </w:rPr>
        <w:t>第六章 投标文件格式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_Toc17192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0BF840FB">
      <w:pPr>
        <w:pStyle w:val="35"/>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_Toc15837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8"/>
          <w:highlight w:val="none"/>
        </w:rPr>
        <w:t>一、投标函部分格式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_Toc15837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5515DC13">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_Toc624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（一）投标函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_Toc624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5D48808A">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_Toc13522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（二）法定代表人证明书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_Toc13522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4C40C6F9">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_Toc715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（三）投标文件签署授权委托书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_Toc715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6D5DDE3B">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_Toc31025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（四）投标保证金缴费凭证复印件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_Toc31025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0FF93C15">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_Toc1536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（五）供应商其他材料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_Toc1536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1392FD3E">
      <w:pPr>
        <w:pStyle w:val="35"/>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_Toc7358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8"/>
          <w:highlight w:val="none"/>
        </w:rPr>
        <w:t>二、投标文件报价部分格式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_Toc7358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781CE1C3">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_Toc14707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（一）投标报价一览表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_Toc14707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26AC94FD">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_Toc14138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szCs w:val="24"/>
          <w:highlight w:val="none"/>
          <w:lang w:val="en-US" w:eastAsia="zh-CN"/>
        </w:rPr>
        <w:t>二</w:t>
      </w:r>
      <w:r>
        <w:rPr>
          <w:rFonts w:hint="eastAsia" w:asciiTheme="minorEastAsia" w:hAnsiTheme="minorEastAsia" w:eastAsiaTheme="minorEastAsia" w:cstheme="minorEastAsia"/>
          <w:szCs w:val="24"/>
          <w:highlight w:val="none"/>
        </w:rPr>
        <w:t>）中小企业声明函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_Toc14138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57A7B461">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_Toc7713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szCs w:val="24"/>
          <w:highlight w:val="none"/>
          <w:lang w:val="en-US" w:eastAsia="zh-CN"/>
        </w:rPr>
        <w:t>三</w:t>
      </w:r>
      <w:r>
        <w:rPr>
          <w:rFonts w:hint="eastAsia" w:asciiTheme="minorEastAsia" w:hAnsiTheme="minorEastAsia" w:eastAsiaTheme="minorEastAsia" w:cstheme="minorEastAsia"/>
          <w:szCs w:val="24"/>
          <w:highlight w:val="none"/>
        </w:rPr>
        <w:t>）残疾人福利性单位声明函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_Toc7713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210C5CFD">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_Toc29925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szCs w:val="24"/>
          <w:highlight w:val="none"/>
          <w:lang w:val="en-US" w:eastAsia="zh-CN"/>
        </w:rPr>
        <w:t>三</w:t>
      </w:r>
      <w:r>
        <w:rPr>
          <w:rFonts w:hint="eastAsia" w:asciiTheme="minorEastAsia" w:hAnsiTheme="minorEastAsia" w:eastAsiaTheme="minorEastAsia" w:cstheme="minorEastAsia"/>
          <w:szCs w:val="24"/>
          <w:highlight w:val="none"/>
        </w:rPr>
        <w:t>）监狱企业声明函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_Toc29925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6A98B984">
      <w:pPr>
        <w:pStyle w:val="35"/>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_Toc2466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8"/>
          <w:highlight w:val="none"/>
        </w:rPr>
        <w:t>三、投标文件技术及商务部分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_Toc2466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55CDCF9D">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_Toc3587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（一）服务方案</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_Toc3587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353FDAE6">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_Toc20486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lang w:eastAsia="zh-CN"/>
        </w:rPr>
        <w:t>（</w:t>
      </w:r>
      <w:r>
        <w:rPr>
          <w:rFonts w:hint="eastAsia" w:asciiTheme="minorEastAsia" w:hAnsiTheme="minorEastAsia" w:eastAsiaTheme="minorEastAsia" w:cstheme="minorEastAsia"/>
          <w:szCs w:val="24"/>
          <w:highlight w:val="none"/>
          <w:lang w:val="en-US" w:eastAsia="zh-CN"/>
        </w:rPr>
        <w:t>二</w:t>
      </w:r>
      <w:r>
        <w:rPr>
          <w:rFonts w:hint="eastAsia" w:asciiTheme="minorEastAsia" w:hAnsiTheme="minorEastAsia" w:eastAsiaTheme="minorEastAsia" w:cstheme="minorEastAsia"/>
          <w:szCs w:val="24"/>
          <w:highlight w:val="none"/>
          <w:lang w:eastAsia="zh-CN"/>
        </w:rPr>
        <w:t>）</w:t>
      </w:r>
      <w:r>
        <w:rPr>
          <w:rFonts w:hint="eastAsia" w:asciiTheme="minorEastAsia" w:hAnsiTheme="minorEastAsia" w:eastAsiaTheme="minorEastAsia" w:cstheme="minorEastAsia"/>
          <w:szCs w:val="24"/>
          <w:highlight w:val="none"/>
        </w:rPr>
        <w:t>食品安全方案</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_Toc20486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1CB34218">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_Toc6077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lang w:eastAsia="zh-CN"/>
        </w:rPr>
        <w:t>（</w:t>
      </w:r>
      <w:r>
        <w:rPr>
          <w:rFonts w:hint="eastAsia" w:asciiTheme="minorEastAsia" w:hAnsiTheme="minorEastAsia" w:eastAsiaTheme="minorEastAsia" w:cstheme="minorEastAsia"/>
          <w:szCs w:val="24"/>
          <w:highlight w:val="none"/>
          <w:lang w:val="en-US" w:eastAsia="zh-CN"/>
        </w:rPr>
        <w:t>三</w:t>
      </w:r>
      <w:r>
        <w:rPr>
          <w:rFonts w:hint="eastAsia" w:asciiTheme="minorEastAsia" w:hAnsiTheme="minorEastAsia" w:eastAsiaTheme="minorEastAsia" w:cstheme="minorEastAsia"/>
          <w:szCs w:val="24"/>
          <w:highlight w:val="none"/>
          <w:lang w:eastAsia="zh-CN"/>
        </w:rPr>
        <w:t>）</w:t>
      </w:r>
      <w:r>
        <w:rPr>
          <w:rFonts w:hint="eastAsia" w:asciiTheme="minorEastAsia" w:hAnsiTheme="minorEastAsia" w:eastAsiaTheme="minorEastAsia" w:cstheme="minorEastAsia"/>
          <w:szCs w:val="24"/>
          <w:highlight w:val="none"/>
        </w:rPr>
        <w:t>服务质量保证措施及承诺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_Toc6077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4274EAAE">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_Toc26054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lang w:eastAsia="zh-CN"/>
        </w:rPr>
        <w:t>（</w:t>
      </w:r>
      <w:r>
        <w:rPr>
          <w:rFonts w:hint="eastAsia" w:asciiTheme="minorEastAsia" w:hAnsiTheme="minorEastAsia" w:eastAsiaTheme="minorEastAsia" w:cstheme="minorEastAsia"/>
          <w:szCs w:val="24"/>
          <w:highlight w:val="none"/>
          <w:lang w:val="en-US" w:eastAsia="zh-CN"/>
        </w:rPr>
        <w:t>四</w:t>
      </w:r>
      <w:r>
        <w:rPr>
          <w:rFonts w:hint="eastAsia" w:asciiTheme="minorEastAsia" w:hAnsiTheme="minorEastAsia" w:eastAsiaTheme="minorEastAsia" w:cstheme="minorEastAsia"/>
          <w:szCs w:val="24"/>
          <w:highlight w:val="none"/>
          <w:lang w:eastAsia="zh-CN"/>
        </w:rPr>
        <w:t>）</w:t>
      </w:r>
      <w:r>
        <w:rPr>
          <w:rFonts w:hint="eastAsia" w:asciiTheme="minorEastAsia" w:hAnsiTheme="minorEastAsia" w:eastAsiaTheme="minorEastAsia" w:cstheme="minorEastAsia"/>
          <w:szCs w:val="24"/>
          <w:highlight w:val="none"/>
        </w:rPr>
        <w:t>消防、食品安全事故应急处理方案评审评分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_Toc26054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13281346">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_Toc24786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lang w:eastAsia="zh-CN"/>
        </w:rPr>
        <w:t>（</w:t>
      </w:r>
      <w:r>
        <w:rPr>
          <w:rFonts w:hint="eastAsia" w:asciiTheme="minorEastAsia" w:hAnsiTheme="minorEastAsia" w:eastAsiaTheme="minorEastAsia" w:cstheme="minorEastAsia"/>
          <w:szCs w:val="24"/>
          <w:highlight w:val="none"/>
          <w:lang w:val="en-US" w:eastAsia="zh-CN"/>
        </w:rPr>
        <w:t>五</w:t>
      </w:r>
      <w:r>
        <w:rPr>
          <w:rFonts w:hint="eastAsia" w:asciiTheme="minorEastAsia" w:hAnsiTheme="minorEastAsia" w:eastAsiaTheme="minorEastAsia" w:cstheme="minorEastAsia"/>
          <w:szCs w:val="24"/>
          <w:highlight w:val="none"/>
          <w:lang w:eastAsia="zh-CN"/>
        </w:rPr>
        <w:t>）</w:t>
      </w:r>
      <w:r>
        <w:rPr>
          <w:rFonts w:hint="eastAsia" w:asciiTheme="minorEastAsia" w:hAnsiTheme="minorEastAsia" w:eastAsiaTheme="minorEastAsia" w:cstheme="minorEastAsia"/>
          <w:szCs w:val="24"/>
          <w:highlight w:val="none"/>
        </w:rPr>
        <w:t>薪酬发放及时性措施及违约承诺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_Toc24786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69E5D339">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_Toc551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lang w:val="en-US" w:eastAsia="zh-CN"/>
        </w:rPr>
        <w:t>（六）服务优势、可向采购人提供的后续服务或增值服务</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_Toc551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1B887016">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_Toc24813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bCs/>
          <w:szCs w:val="24"/>
          <w:highlight w:val="none"/>
        </w:rPr>
        <w:t>（</w:t>
      </w:r>
      <w:r>
        <w:rPr>
          <w:rFonts w:hint="eastAsia" w:asciiTheme="minorEastAsia" w:hAnsiTheme="minorEastAsia" w:eastAsiaTheme="minorEastAsia" w:cstheme="minorEastAsia"/>
          <w:bCs/>
          <w:szCs w:val="24"/>
          <w:highlight w:val="none"/>
          <w:lang w:val="en-US" w:eastAsia="zh-CN"/>
        </w:rPr>
        <w:t>七</w:t>
      </w:r>
      <w:r>
        <w:rPr>
          <w:rFonts w:hint="eastAsia" w:asciiTheme="minorEastAsia" w:hAnsiTheme="minorEastAsia" w:eastAsiaTheme="minorEastAsia" w:cstheme="minorEastAsia"/>
          <w:bCs/>
          <w:szCs w:val="24"/>
          <w:highlight w:val="none"/>
        </w:rPr>
        <w:t>）类似项目业绩</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_Toc24813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5241D6B7">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_Toc19899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lang w:eastAsia="zh-CN"/>
        </w:rPr>
        <w:t>（</w:t>
      </w:r>
      <w:r>
        <w:rPr>
          <w:rFonts w:hint="eastAsia" w:asciiTheme="minorEastAsia" w:hAnsiTheme="minorEastAsia" w:eastAsiaTheme="minorEastAsia" w:cstheme="minorEastAsia"/>
          <w:szCs w:val="24"/>
          <w:highlight w:val="none"/>
          <w:lang w:val="en-US" w:eastAsia="zh-CN"/>
        </w:rPr>
        <w:t>八</w:t>
      </w:r>
      <w:r>
        <w:rPr>
          <w:rFonts w:hint="eastAsia" w:asciiTheme="minorEastAsia" w:hAnsiTheme="minorEastAsia" w:eastAsiaTheme="minorEastAsia" w:cstheme="minorEastAsia"/>
          <w:szCs w:val="24"/>
          <w:highlight w:val="none"/>
          <w:lang w:eastAsia="zh-CN"/>
        </w:rPr>
        <w:t>）</w:t>
      </w:r>
      <w:r>
        <w:rPr>
          <w:rFonts w:hint="eastAsia" w:asciiTheme="minorEastAsia" w:hAnsiTheme="minorEastAsia" w:eastAsiaTheme="minorEastAsia" w:cstheme="minorEastAsia"/>
          <w:szCs w:val="24"/>
          <w:highlight w:val="none"/>
        </w:rPr>
        <w:t>本项目拟投入人员表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_Toc19899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73332C1C">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_Toc14242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szCs w:val="24"/>
          <w:highlight w:val="none"/>
          <w:lang w:val="en-US" w:eastAsia="zh-CN"/>
        </w:rPr>
        <w:t>九</w:t>
      </w:r>
      <w:r>
        <w:rPr>
          <w:rFonts w:hint="eastAsia" w:asciiTheme="minorEastAsia" w:hAnsiTheme="minorEastAsia" w:eastAsiaTheme="minorEastAsia" w:cstheme="minorEastAsia"/>
          <w:szCs w:val="24"/>
          <w:highlight w:val="none"/>
        </w:rPr>
        <w:t>）构成投标文件的其他资料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_Toc14242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643CFDAC">
      <w:pPr>
        <w:pStyle w:val="35"/>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_Toc17894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8"/>
          <w:highlight w:val="none"/>
        </w:rPr>
        <w:t>四、资格审查部分格式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_Toc17894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2391EE2C">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_Toc24671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（一）供应商一般情况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_Toc24671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15B3D93F">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_Toc1426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（二）营业执照或其他法定凭证</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_Toc1426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62AE54B7">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_Toc10963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（三）财务状况证明材料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_Toc10963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4A1BAA11">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_Toc25715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（四）依法缴纳税收和社会保障资金证明材料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_Toc25715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59C5A8EA">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_Toc17303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（五）具有履行合同所必需的设备和专业技术能力承诺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_Toc17303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66C95094">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_Toc10641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（六）企业信誉情况承诺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_Toc10641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160FBF08">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_Toc14113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（七）本项目的特定资格要求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_Toc14113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0A4BB6CC">
      <w:pPr>
        <w:pStyle w:val="19"/>
        <w:tabs>
          <w:tab w:val="right" w:leader="dot" w:pos="9411"/>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bCs/>
          <w:szCs w:val="21"/>
          <w:highlight w:val="none"/>
        </w:rPr>
        <w:instrText xml:space="preserve"> HYPERLINK \l _Toc13037 </w:instrText>
      </w:r>
      <w:r>
        <w:rPr>
          <w:rFonts w:hint="eastAsia" w:asciiTheme="minorEastAsia" w:hAnsiTheme="minorEastAsia" w:eastAsiaTheme="minorEastAsia" w:cstheme="minorEastAsia"/>
          <w:bCs/>
          <w:szCs w:val="21"/>
          <w:highlight w:val="none"/>
        </w:rPr>
        <w:fldChar w:fldCharType="separate"/>
      </w:r>
      <w:r>
        <w:rPr>
          <w:rFonts w:hint="eastAsia" w:asciiTheme="minorEastAsia" w:hAnsiTheme="minorEastAsia" w:eastAsiaTheme="minorEastAsia" w:cstheme="minorEastAsia"/>
          <w:szCs w:val="24"/>
          <w:highlight w:val="none"/>
        </w:rPr>
        <w:t>（八）供应商认为需要提交的其他材料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_Toc13037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494D846A">
      <w:pPr>
        <w:pStyle w:val="19"/>
        <w:pageBreakBefore w:val="0"/>
        <w:tabs>
          <w:tab w:val="right" w:leader="dot" w:pos="9071"/>
        </w:tabs>
        <w:kinsoku/>
        <w:bidi w:val="0"/>
        <w:spacing w:beforeAutospacing="0" w:afterAutospacing="0" w:line="240" w:lineRule="auto"/>
        <w:ind w:left="0" w:leftChars="0" w:right="0" w:rightChars="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fldChar w:fldCharType="end"/>
      </w:r>
    </w:p>
    <w:p w14:paraId="7B6A5609">
      <w:pPr>
        <w:pStyle w:val="2"/>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br w:type="page"/>
      </w:r>
      <w:bookmarkStart w:id="3" w:name="_Toc432697149"/>
      <w:bookmarkStart w:id="4" w:name="_Toc11022"/>
      <w:bookmarkStart w:id="5" w:name="_Toc10329"/>
      <w:r>
        <w:rPr>
          <w:rFonts w:hint="eastAsia" w:ascii="宋体" w:hAnsi="宋体" w:cs="宋体"/>
          <w:color w:val="000000" w:themeColor="text1"/>
          <w:sz w:val="32"/>
          <w:szCs w:val="32"/>
          <w:highlight w:val="none"/>
          <w14:textFill>
            <w14:solidFill>
              <w14:schemeClr w14:val="tx1"/>
            </w14:solidFill>
          </w14:textFill>
        </w:rPr>
        <w:t xml:space="preserve">第一章 </w:t>
      </w:r>
      <w:bookmarkStart w:id="6" w:name="_Hlk129876649"/>
      <w:r>
        <w:rPr>
          <w:rFonts w:hint="eastAsia" w:ascii="宋体" w:hAnsi="宋体" w:cs="宋体"/>
          <w:color w:val="000000" w:themeColor="text1"/>
          <w:sz w:val="32"/>
          <w:szCs w:val="32"/>
          <w:highlight w:val="none"/>
          <w14:textFill>
            <w14:solidFill>
              <w14:schemeClr w14:val="tx1"/>
            </w14:solidFill>
          </w14:textFill>
        </w:rPr>
        <w:t>招标公告</w:t>
      </w:r>
      <w:bookmarkEnd w:id="3"/>
      <w:bookmarkEnd w:id="4"/>
      <w:bookmarkEnd w:id="5"/>
    </w:p>
    <w:p w14:paraId="063F4138">
      <w:pPr>
        <w:pageBreakBefore w:val="0"/>
        <w:widowControl w:val="0"/>
        <w:pBdr>
          <w:top w:val="single" w:color="auto" w:sz="4" w:space="1"/>
          <w:left w:val="single" w:color="auto" w:sz="4" w:space="4"/>
          <w:bottom w:val="single" w:color="auto" w:sz="4" w:space="1"/>
          <w:right w:val="single" w:color="auto" w:sz="4" w:space="4"/>
        </w:pBdr>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7" w:name="_Toc277764103"/>
      <w:bookmarkStart w:id="8" w:name="_Toc277764800"/>
      <w:bookmarkStart w:id="9" w:name="_Toc277239384"/>
      <w:bookmarkStart w:id="10" w:name="_Toc277090263"/>
      <w:bookmarkStart w:id="11" w:name="_Toc277753727"/>
      <w:bookmarkStart w:id="12" w:name="_Hlk55294087"/>
      <w:bookmarkStart w:id="13" w:name="_Toc229583198"/>
      <w:bookmarkStart w:id="14" w:name="_Toc432697150"/>
      <w:r>
        <w:rPr>
          <w:rFonts w:hint="eastAsia" w:ascii="宋体" w:hAnsi="宋体" w:cs="宋体"/>
          <w:color w:val="000000" w:themeColor="text1"/>
          <w:sz w:val="21"/>
          <w:szCs w:val="21"/>
          <w:highlight w:val="none"/>
          <w14:textFill>
            <w14:solidFill>
              <w14:schemeClr w14:val="tx1"/>
            </w14:solidFill>
          </w14:textFill>
        </w:rPr>
        <w:t>项目概况</w:t>
      </w:r>
    </w:p>
    <w:p w14:paraId="63CFB29C">
      <w:pPr>
        <w:pageBreakBefore w:val="0"/>
        <w:widowControl w:val="0"/>
        <w:pBdr>
          <w:top w:val="single" w:color="auto" w:sz="4" w:space="1"/>
          <w:left w:val="single" w:color="auto" w:sz="4" w:space="4"/>
          <w:bottom w:val="single" w:color="auto" w:sz="4" w:space="1"/>
          <w:right w:val="single" w:color="auto" w:sz="4" w:space="4"/>
        </w:pBdr>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15" w:name="_Hlk159609289"/>
      <w:r>
        <w:rPr>
          <w:rFonts w:hint="eastAsia" w:ascii="宋体" w:hAnsi="宋体" w:cs="宋体"/>
          <w:color w:val="000000" w:themeColor="text1"/>
          <w:sz w:val="21"/>
          <w:szCs w:val="21"/>
          <w:highlight w:val="none"/>
          <w:lang w:eastAsia="zh-CN"/>
          <w14:textFill>
            <w14:solidFill>
              <w14:schemeClr w14:val="tx1"/>
            </w14:solidFill>
          </w14:textFill>
        </w:rPr>
        <w:t>昆明市西山区第一幼儿园2026-2029年餐饮服务采购</w:t>
      </w:r>
      <w:r>
        <w:rPr>
          <w:rFonts w:hint="eastAsia" w:ascii="宋体" w:hAnsi="宋体" w:cs="宋体"/>
          <w:color w:val="000000" w:themeColor="text1"/>
          <w:sz w:val="21"/>
          <w:szCs w:val="21"/>
          <w:highlight w:val="none"/>
          <w14:textFill>
            <w14:solidFill>
              <w14:schemeClr w14:val="tx1"/>
            </w14:solidFill>
          </w14:textFill>
        </w:rPr>
        <w:t>的潜在供应商应在政采云平台（https://www.zcygov.cn/）获取招标文件，并于本公告第4款规定的时间前</w:t>
      </w:r>
      <w:r>
        <w:rPr>
          <w:rFonts w:hint="eastAsia" w:ascii="宋体" w:hAnsi="宋体" w:cs="宋体"/>
          <w:bCs/>
          <w:color w:val="000000" w:themeColor="text1"/>
          <w:sz w:val="21"/>
          <w:szCs w:val="21"/>
          <w:highlight w:val="none"/>
          <w14:textFill>
            <w14:solidFill>
              <w14:schemeClr w14:val="tx1"/>
            </w14:solidFill>
          </w14:textFill>
        </w:rPr>
        <w:t>（具体以“政采云”平台承载时间为准）在政采云平台提交响应文件</w:t>
      </w:r>
      <w:r>
        <w:rPr>
          <w:rFonts w:hint="eastAsia" w:ascii="宋体" w:hAnsi="宋体" w:cs="宋体"/>
          <w:color w:val="000000" w:themeColor="text1"/>
          <w:sz w:val="21"/>
          <w:szCs w:val="21"/>
          <w:highlight w:val="none"/>
          <w14:textFill>
            <w14:solidFill>
              <w14:schemeClr w14:val="tx1"/>
            </w14:solidFill>
          </w14:textFill>
        </w:rPr>
        <w:t>。</w:t>
      </w:r>
      <w:bookmarkEnd w:id="15"/>
    </w:p>
    <w:p w14:paraId="6B1C0C10">
      <w:pPr>
        <w:pageBreakBefore w:val="0"/>
        <w:widowControl w:val="0"/>
        <w:kinsoku/>
        <w:wordWrap w:val="0"/>
        <w:bidi w:val="0"/>
        <w:spacing w:beforeAutospacing="0" w:afterAutospacing="0" w:line="360" w:lineRule="auto"/>
        <w:ind w:left="0" w:leftChars="0" w:right="0" w:rightChars="0" w:firstLine="310" w:firstLineChars="147"/>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一、项目基本情况</w:t>
      </w:r>
      <w:bookmarkEnd w:id="7"/>
      <w:bookmarkEnd w:id="8"/>
      <w:bookmarkEnd w:id="9"/>
      <w:bookmarkEnd w:id="10"/>
      <w:bookmarkEnd w:id="11"/>
      <w:bookmarkStart w:id="16" w:name="_Hlk127136572"/>
    </w:p>
    <w:p w14:paraId="377AA1AE">
      <w:pPr>
        <w:pageBreakBefore w:val="0"/>
        <w:widowControl w:val="0"/>
        <w:kinsoku/>
        <w:wordWrap w:val="0"/>
        <w:bidi w:val="0"/>
        <w:spacing w:beforeAutospacing="0" w:afterAutospacing="0" w:line="360" w:lineRule="auto"/>
        <w:ind w:left="0" w:leftChars="0" w:right="0" w:rightChars="0"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1.1项目编号：</w:t>
      </w:r>
      <w:bookmarkStart w:id="17" w:name="_Hlk127137218"/>
      <w:r>
        <w:rPr>
          <w:rFonts w:hint="eastAsia" w:ascii="宋体" w:hAnsi="宋体" w:cs="宋体"/>
          <w:b/>
          <w:bCs/>
          <w:color w:val="000000" w:themeColor="text1"/>
          <w:sz w:val="21"/>
          <w:szCs w:val="21"/>
          <w:highlight w:val="none"/>
          <w:lang w:eastAsia="zh-CN"/>
          <w14:textFill>
            <w14:solidFill>
              <w14:schemeClr w14:val="tx1"/>
            </w14:solidFill>
          </w14:textFill>
        </w:rPr>
        <w:t>CS202605120454</w:t>
      </w:r>
    </w:p>
    <w:p w14:paraId="7B7060D7">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1.2项目名称：</w:t>
      </w:r>
      <w:r>
        <w:rPr>
          <w:rFonts w:hint="eastAsia" w:ascii="宋体" w:hAnsi="宋体" w:cs="宋体"/>
          <w:color w:val="000000" w:themeColor="text1"/>
          <w:sz w:val="21"/>
          <w:szCs w:val="21"/>
          <w:highlight w:val="none"/>
          <w:lang w:eastAsia="zh-CN"/>
          <w14:textFill>
            <w14:solidFill>
              <w14:schemeClr w14:val="tx1"/>
            </w14:solidFill>
          </w14:textFill>
        </w:rPr>
        <w:t>昆明市西山区第一幼儿园2026-2029年餐饮服务采购</w:t>
      </w:r>
      <w:r>
        <w:rPr>
          <w:rFonts w:hint="eastAsia" w:ascii="宋体" w:hAnsi="宋体" w:cs="宋体"/>
          <w:color w:val="000000" w:themeColor="text1"/>
          <w:sz w:val="21"/>
          <w:szCs w:val="21"/>
          <w:highlight w:val="none"/>
          <w14:textFill>
            <w14:solidFill>
              <w14:schemeClr w14:val="tx1"/>
            </w14:solidFill>
          </w14:textFill>
        </w:rPr>
        <w:t>。</w:t>
      </w:r>
    </w:p>
    <w:p w14:paraId="304216AC">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1.3资金来源：</w:t>
      </w:r>
      <w:r>
        <w:rPr>
          <w:rFonts w:hint="eastAsia" w:ascii="宋体" w:hAnsi="宋体" w:cs="宋体"/>
          <w:color w:val="000000" w:themeColor="text1"/>
          <w:sz w:val="21"/>
          <w:szCs w:val="21"/>
          <w:highlight w:val="none"/>
          <w14:textFill>
            <w14:solidFill>
              <w14:schemeClr w14:val="tx1"/>
            </w14:solidFill>
          </w14:textFill>
        </w:rPr>
        <w:t>财政资金，已到位。</w:t>
      </w:r>
      <w:bookmarkStart w:id="18" w:name="_Hlk159440355"/>
    </w:p>
    <w:p w14:paraId="131B1C54">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1.4预算金额：</w:t>
      </w:r>
      <w:r>
        <w:rPr>
          <w:rFonts w:hint="eastAsia" w:ascii="宋体" w:hAnsi="宋体" w:cs="宋体"/>
          <w:b w:val="0"/>
          <w:bCs w:val="0"/>
          <w:color w:val="000000" w:themeColor="text1"/>
          <w:sz w:val="21"/>
          <w:szCs w:val="21"/>
          <w:highlight w:val="none"/>
          <w14:textFill>
            <w14:solidFill>
              <w14:schemeClr w14:val="tx1"/>
            </w14:solidFill>
          </w14:textFill>
        </w:rPr>
        <w:t>72.2925万元（第一年），其余年度按照当年度财政预算核算，差额不超过10%。</w:t>
      </w:r>
    </w:p>
    <w:p w14:paraId="73B43D87">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1.5最高限价：</w:t>
      </w:r>
      <w:r>
        <w:rPr>
          <w:rFonts w:hint="eastAsia" w:ascii="宋体" w:hAnsi="宋体" w:cs="宋体"/>
          <w:b w:val="0"/>
          <w:bCs w:val="0"/>
          <w:color w:val="000000" w:themeColor="text1"/>
          <w:sz w:val="21"/>
          <w:szCs w:val="21"/>
          <w:highlight w:val="none"/>
          <w14:textFill>
            <w14:solidFill>
              <w14:schemeClr w14:val="tx1"/>
            </w14:solidFill>
          </w14:textFill>
        </w:rPr>
        <w:t>72.2925万元</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/年</w:t>
      </w:r>
      <w:r>
        <w:rPr>
          <w:rFonts w:hint="eastAsia" w:ascii="宋体" w:hAnsi="宋体" w:cs="宋体"/>
          <w:color w:val="000000" w:themeColor="text1"/>
          <w:sz w:val="21"/>
          <w:szCs w:val="21"/>
          <w:highlight w:val="none"/>
          <w14:textFill>
            <w14:solidFill>
              <w14:schemeClr w14:val="tx1"/>
            </w14:solidFill>
          </w14:textFill>
        </w:rPr>
        <w:t>。</w:t>
      </w:r>
      <w:bookmarkEnd w:id="18"/>
    </w:p>
    <w:p w14:paraId="7504E251">
      <w:pPr>
        <w:pageBreakBefore w:val="0"/>
        <w:widowControl w:val="0"/>
        <w:kinsoku/>
        <w:bidi w:val="0"/>
        <w:spacing w:beforeAutospacing="0" w:afterAutospacing="0" w:line="360" w:lineRule="auto"/>
        <w:ind w:left="0" w:leftChars="0" w:right="0" w:rightChars="0" w:firstLine="422" w:firstLineChars="200"/>
        <w:rPr>
          <w:rFonts w:hint="eastAsia" w:ascii="宋体" w:hAnsi="宋体" w:eastAsia="宋体" w:cs="宋体"/>
          <w:color w:val="auto"/>
          <w:kern w:val="2"/>
          <w:sz w:val="21"/>
          <w:szCs w:val="21"/>
          <w:highlight w:val="none"/>
          <w:lang w:val="en-US" w:eastAsia="zh-CN" w:bidi="ar"/>
        </w:rPr>
      </w:pPr>
      <w:r>
        <w:rPr>
          <w:rFonts w:hint="eastAsia" w:ascii="宋体" w:hAnsi="宋体" w:cs="宋体"/>
          <w:b/>
          <w:bCs/>
          <w:color w:val="000000" w:themeColor="text1"/>
          <w:sz w:val="21"/>
          <w:szCs w:val="21"/>
          <w:highlight w:val="none"/>
          <w14:textFill>
            <w14:solidFill>
              <w14:schemeClr w14:val="tx1"/>
            </w14:solidFill>
          </w14:textFill>
        </w:rPr>
        <w:t>1.6采购需求</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eastAsia="宋体" w:cs="宋体"/>
          <w:color w:val="auto"/>
          <w:kern w:val="2"/>
          <w:sz w:val="21"/>
          <w:szCs w:val="21"/>
          <w:lang w:val="en-US" w:eastAsia="zh-CN" w:bidi="ar"/>
        </w:rPr>
        <w:t>由餐饮服务企业提供餐饮服务团队，负责昆明市西山区第一幼儿园（东西两园区）食堂厨房设备使用和管理，以及菜品加工制作、餐饮人员成本管控、食品安全管理、环境卫生管理及食堂整体管理等，为在校师生就餐供餐服务</w:t>
      </w:r>
      <w:r>
        <w:rPr>
          <w:rFonts w:hint="eastAsia" w:ascii="宋体" w:hAnsi="宋体" w:cs="宋体"/>
          <w:color w:val="auto"/>
          <w:kern w:val="2"/>
          <w:sz w:val="21"/>
          <w:szCs w:val="21"/>
          <w:lang w:val="en-US" w:eastAsia="zh-CN" w:bidi="ar"/>
        </w:rPr>
        <w:t>。</w:t>
      </w:r>
    </w:p>
    <w:p w14:paraId="0E000681">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注：本项目共设一个标段，</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必须对所有内容作出完整唯一的投标报价，不得出现缺项、漏项或无报价的情况，否则投标文件将按无效处理，具体要求等详见本招标文件第五章《采购需求》。</w:t>
      </w:r>
    </w:p>
    <w:p w14:paraId="125F4C05">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1.7</w:t>
      </w:r>
      <w:bookmarkStart w:id="19" w:name="_Hlk55218940"/>
      <w:r>
        <w:rPr>
          <w:rFonts w:hint="eastAsia" w:ascii="宋体" w:hAnsi="宋体" w:cs="宋体"/>
          <w:b/>
          <w:bCs/>
          <w:color w:val="000000" w:themeColor="text1"/>
          <w:sz w:val="21"/>
          <w:szCs w:val="21"/>
          <w:highlight w:val="none"/>
          <w14:textFill>
            <w14:solidFill>
              <w14:schemeClr w14:val="tx1"/>
            </w14:solidFill>
          </w14:textFill>
        </w:rPr>
        <w:t>服务期限：</w:t>
      </w:r>
      <w:bookmarkEnd w:id="19"/>
      <w:r>
        <w:rPr>
          <w:rFonts w:hint="eastAsia" w:ascii="宋体" w:hAnsi="宋体" w:eastAsia="宋体" w:cs="宋体"/>
          <w:szCs w:val="21"/>
          <w:highlight w:val="none"/>
        </w:rPr>
        <w:t>自合同生效日起至</w:t>
      </w:r>
      <w:r>
        <w:rPr>
          <w:rFonts w:hint="eastAsia" w:ascii="宋体" w:hAnsi="宋体" w:eastAsia="宋体" w:cs="宋体"/>
          <w:color w:val="auto"/>
          <w:kern w:val="2"/>
          <w:sz w:val="21"/>
          <w:szCs w:val="21"/>
          <w:highlight w:val="none"/>
          <w:lang w:val="en-US" w:eastAsia="zh-CN" w:bidi="ar"/>
        </w:rPr>
        <w:t>2029年5月31日</w:t>
      </w:r>
      <w:r>
        <w:rPr>
          <w:rFonts w:hint="eastAsia" w:ascii="宋体" w:hAnsi="宋体" w:cs="宋体"/>
          <w:color w:val="auto"/>
          <w:kern w:val="2"/>
          <w:sz w:val="21"/>
          <w:szCs w:val="21"/>
          <w:highlight w:val="none"/>
          <w:lang w:val="en-US" w:eastAsia="zh-CN" w:bidi="ar"/>
        </w:rPr>
        <w:t>。</w:t>
      </w:r>
      <w:r>
        <w:rPr>
          <w:rFonts w:hint="eastAsia" w:ascii="宋体" w:hAnsi="宋体" w:cs="宋体"/>
          <w:color w:val="auto"/>
          <w:sz w:val="21"/>
          <w:szCs w:val="21"/>
          <w:highlight w:val="none"/>
          <w:lang w:eastAsia="zh-CN"/>
        </w:rPr>
        <w:t>合同一年一签</w:t>
      </w:r>
      <w:r>
        <w:rPr>
          <w:rFonts w:hint="eastAsia" w:ascii="宋体" w:hAnsi="宋体" w:eastAsia="宋体" w:cs="宋体"/>
          <w:color w:val="auto"/>
          <w:sz w:val="21"/>
          <w:szCs w:val="21"/>
          <w:highlight w:val="none"/>
        </w:rPr>
        <w:t>。</w:t>
      </w:r>
    </w:p>
    <w:p w14:paraId="2647EB50">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1.8实施的地点：</w:t>
      </w:r>
      <w:r>
        <w:rPr>
          <w:rFonts w:hint="eastAsia" w:ascii="宋体" w:hAnsi="宋体" w:eastAsia="宋体" w:cs="宋体"/>
          <w:color w:val="auto"/>
          <w:kern w:val="2"/>
          <w:sz w:val="21"/>
          <w:szCs w:val="21"/>
          <w:highlight w:val="none"/>
          <w:lang w:val="en-US" w:eastAsia="zh-CN" w:bidi="ar"/>
        </w:rPr>
        <w:t>昆明市西山区第一幼儿园东园区、西园区</w:t>
      </w:r>
      <w:r>
        <w:rPr>
          <w:rFonts w:hint="eastAsia" w:ascii="宋体" w:hAnsi="宋体" w:cs="宋体"/>
          <w:color w:val="000000" w:themeColor="text1"/>
          <w:sz w:val="21"/>
          <w:szCs w:val="21"/>
          <w:highlight w:val="none"/>
          <w14:textFill>
            <w14:solidFill>
              <w14:schemeClr w14:val="tx1"/>
            </w14:solidFill>
          </w14:textFill>
        </w:rPr>
        <w:t>。</w:t>
      </w:r>
    </w:p>
    <w:p w14:paraId="466BF61B">
      <w:pPr>
        <w:pageBreakBefore w:val="0"/>
        <w:kinsoku/>
        <w:bidi w:val="0"/>
        <w:spacing w:beforeAutospacing="0" w:afterAutospacing="0" w:line="371" w:lineRule="auto"/>
        <w:ind w:left="0" w:leftChars="0" w:right="0" w:rightChars="0" w:firstLine="4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1.9质量要求：</w:t>
      </w:r>
      <w:bookmarkEnd w:id="16"/>
      <w:bookmarkStart w:id="20" w:name="_Hlk159438893"/>
      <w:r>
        <w:rPr>
          <w:rFonts w:hint="eastAsia" w:ascii="宋体" w:hAnsi="宋体" w:cs="宋体"/>
          <w:color w:val="000000" w:themeColor="text1"/>
          <w:sz w:val="21"/>
          <w:szCs w:val="21"/>
          <w:highlight w:val="none"/>
          <w14:textFill>
            <w14:solidFill>
              <w14:schemeClr w14:val="tx1"/>
            </w14:solidFill>
          </w14:textFill>
        </w:rPr>
        <w:t>符合国家现行相关标准，满足招标人的服务要求</w:t>
      </w:r>
      <w:r>
        <w:rPr>
          <w:rFonts w:hint="eastAsia" w:ascii="宋体" w:hAnsi="宋体" w:cs="宋体"/>
          <w:color w:val="000000" w:themeColor="text1"/>
          <w:spacing w:val="8"/>
          <w:sz w:val="21"/>
          <w:szCs w:val="21"/>
          <w:highlight w:val="none"/>
          <w14:textFill>
            <w14:solidFill>
              <w14:schemeClr w14:val="tx1"/>
            </w14:solidFill>
          </w14:textFill>
        </w:rPr>
        <w:t>。</w:t>
      </w:r>
    </w:p>
    <w:p w14:paraId="1F557B94">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1.10标段划分：本项目不划分标段</w:t>
      </w:r>
      <w:bookmarkEnd w:id="17"/>
      <w:r>
        <w:rPr>
          <w:rFonts w:hint="eastAsia" w:ascii="宋体" w:hAnsi="宋体" w:cs="宋体"/>
          <w:b/>
          <w:bCs/>
          <w:color w:val="000000" w:themeColor="text1"/>
          <w:sz w:val="21"/>
          <w:szCs w:val="21"/>
          <w:highlight w:val="none"/>
          <w14:textFill>
            <w14:solidFill>
              <w14:schemeClr w14:val="tx1"/>
            </w14:solidFill>
          </w14:textFill>
        </w:rPr>
        <w:t>。</w:t>
      </w:r>
    </w:p>
    <w:p w14:paraId="5F408078">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1.11</w:t>
      </w:r>
      <w:bookmarkEnd w:id="20"/>
      <w:r>
        <w:rPr>
          <w:rFonts w:hint="eastAsia" w:ascii="宋体" w:hAnsi="宋体" w:cs="宋体"/>
          <w:b/>
          <w:bCs/>
          <w:color w:val="000000" w:themeColor="text1"/>
          <w:sz w:val="21"/>
          <w:szCs w:val="21"/>
          <w:highlight w:val="none"/>
          <w14:textFill>
            <w14:solidFill>
              <w14:schemeClr w14:val="tx1"/>
            </w14:solidFill>
          </w14:textFill>
        </w:rPr>
        <w:t>本项目不接受联合体投标。</w:t>
      </w:r>
    </w:p>
    <w:p w14:paraId="3599E44B">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二、供应商的资格要求：</w:t>
      </w:r>
    </w:p>
    <w:p w14:paraId="23D6E72A">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21" w:name="_Hlk48490385"/>
      <w:r>
        <w:rPr>
          <w:rFonts w:hint="eastAsia" w:ascii="宋体" w:hAnsi="宋体" w:cs="宋体"/>
          <w:color w:val="000000" w:themeColor="text1"/>
          <w:sz w:val="21"/>
          <w:szCs w:val="21"/>
          <w:highlight w:val="none"/>
          <w14:textFill>
            <w14:solidFill>
              <w14:schemeClr w14:val="tx1"/>
            </w14:solidFill>
          </w14:textFill>
        </w:rPr>
        <w:t>2.1供应商具备《中华人民共和国政府采购法》第二十二条规定的条件，且提供以下证明文件：</w:t>
      </w:r>
    </w:p>
    <w:p w14:paraId="00EF2780">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（1）具有独立承担民事责任的能力的在中华人民共和国境内注册的企业（事业）法人或者非法人组织，提供营业执照或其他法定证明文件；</w:t>
      </w:r>
      <w:bookmarkEnd w:id="21"/>
      <w:r>
        <w:rPr>
          <w:rFonts w:hint="eastAsia" w:ascii="宋体" w:hAnsi="宋体" w:cs="宋体"/>
          <w:color w:val="000000" w:themeColor="text1"/>
          <w:sz w:val="21"/>
          <w:szCs w:val="21"/>
          <w:highlight w:val="none"/>
          <w14:textFill>
            <w14:solidFill>
              <w14:schemeClr w14:val="tx1"/>
            </w14:solidFill>
          </w14:textFill>
        </w:rPr>
        <w:t xml:space="preserve"> </w:t>
      </w:r>
    </w:p>
    <w:p w14:paraId="51E7406E">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（2）供应商须具有良好的商业信誉和健全的财务会计制度，</w:t>
      </w:r>
      <w:bookmarkStart w:id="22" w:name="_Hlk46053837"/>
      <w:r>
        <w:rPr>
          <w:rFonts w:hint="eastAsia" w:ascii="宋体" w:hAnsi="宋体" w:cs="宋体"/>
          <w:color w:val="000000" w:themeColor="text1"/>
          <w:sz w:val="21"/>
          <w:szCs w:val="21"/>
          <w:highlight w:val="none"/>
          <w14:textFill>
            <w14:solidFill>
              <w14:schemeClr w14:val="tx1"/>
            </w14:solidFill>
          </w14:textFill>
        </w:rPr>
        <w:t>提供</w:t>
      </w:r>
      <w:bookmarkStart w:id="23" w:name="_Hlk103935973"/>
      <w:r>
        <w:rPr>
          <w:rFonts w:hint="eastAsia" w:ascii="宋体" w:hAnsi="宋体" w:cs="宋体"/>
          <w:color w:val="000000" w:themeColor="text1"/>
          <w:sz w:val="21"/>
          <w:szCs w:val="21"/>
          <w:highlight w:val="none"/>
          <w14:textFill>
            <w14:solidFill>
              <w14:schemeClr w14:val="tx1"/>
            </w14:solidFill>
          </w14:textFill>
        </w:rPr>
        <w:t>（2023或2024）</w:t>
      </w:r>
      <w:bookmarkEnd w:id="23"/>
      <w:r>
        <w:rPr>
          <w:rFonts w:hint="eastAsia" w:ascii="宋体" w:hAnsi="宋体" w:cs="宋体"/>
          <w:color w:val="000000" w:themeColor="text1"/>
          <w:sz w:val="21"/>
          <w:szCs w:val="21"/>
          <w:highlight w:val="none"/>
          <w14:textFill>
            <w14:solidFill>
              <w14:schemeClr w14:val="tx1"/>
            </w14:solidFill>
          </w14:textFill>
        </w:rPr>
        <w:t>年度经会计师事务所审计的财务状况报告（包括但不限于资产负债表、现金流量表、利润表），未经审计的公司提供（2023或2024）年度公司内部自行编制的财务报表。若为2025年新成立公司，提供银行开具的资信证明文件或资金证明文件</w:t>
      </w:r>
      <w:bookmarkEnd w:id="22"/>
      <w:r>
        <w:rPr>
          <w:rFonts w:hint="eastAsia" w:ascii="宋体" w:hAnsi="宋体" w:cs="宋体"/>
          <w:color w:val="000000" w:themeColor="text1"/>
          <w:sz w:val="21"/>
          <w:szCs w:val="21"/>
          <w:highlight w:val="none"/>
          <w14:textFill>
            <w14:solidFill>
              <w14:schemeClr w14:val="tx1"/>
            </w14:solidFill>
          </w14:textFill>
        </w:rPr>
        <w:t>；</w:t>
      </w:r>
    </w:p>
    <w:p w14:paraId="10E36CD1">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（3）供应商有依法缴纳税收和社会保障资金的良好记录：</w:t>
      </w:r>
    </w:p>
    <w:p w14:paraId="2B9C96BA">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24" w:name="_Hlk88320326"/>
      <w:r>
        <w:rPr>
          <w:rFonts w:hint="eastAsia" w:ascii="宋体" w:hAnsi="宋体" w:cs="宋体"/>
          <w:color w:val="000000" w:themeColor="text1"/>
          <w:sz w:val="21"/>
          <w:szCs w:val="21"/>
          <w:highlight w:val="none"/>
          <w14:textFill>
            <w14:solidFill>
              <w14:schemeClr w14:val="tx1"/>
            </w14:solidFill>
          </w14:textFill>
        </w:rPr>
        <w:t>A、纳税证明材料：缴税所属时间在2025年3月至投标截止日期前任意1个月的税务局税收通用缴款书扫描件或银行电子缴税（费）凭证扫描件或税务局出具纳税情况的相关证明扫描件；</w:t>
      </w:r>
    </w:p>
    <w:p w14:paraId="6948EBF9">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B、缴纳社会保险证明材料：缴费所属时间在2025年3月至投标截止日期前任意1个月的社会保险费缴款书扫描件或银行电子缴税（费）凭证扫描件或社保管理部门出具的有效的缴款证明扫描件。</w:t>
      </w:r>
    </w:p>
    <w:p w14:paraId="68885324">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依法免税、新成立不满一个月或不需要缴纳社会保障资金的供应商，应提供相应文件证明其依法免税、新成立企业情况说明或不需要缴纳社会保障资金的证明材料。</w:t>
      </w:r>
    </w:p>
    <w:bookmarkEnd w:id="24"/>
    <w:p w14:paraId="0F6AFE90">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w:t>
      </w:r>
      <w:bookmarkStart w:id="25" w:name="_Hlk49356563"/>
      <w:r>
        <w:rPr>
          <w:rFonts w:hint="eastAsia" w:ascii="宋体" w:hAnsi="宋体" w:cs="宋体"/>
          <w:color w:val="000000" w:themeColor="text1"/>
          <w:sz w:val="21"/>
          <w:szCs w:val="21"/>
          <w:highlight w:val="none"/>
          <w14:textFill>
            <w14:solidFill>
              <w14:schemeClr w14:val="tx1"/>
            </w14:solidFill>
          </w14:textFill>
        </w:rPr>
        <w:t>供应商必须具有履行合同所必需的设备和专业技术能力（提供承诺书）</w:t>
      </w:r>
      <w:bookmarkEnd w:id="25"/>
      <w:r>
        <w:rPr>
          <w:rFonts w:hint="eastAsia" w:ascii="宋体" w:hAnsi="宋体" w:cs="宋体"/>
          <w:color w:val="000000" w:themeColor="text1"/>
          <w:sz w:val="21"/>
          <w:szCs w:val="21"/>
          <w:highlight w:val="none"/>
          <w14:textFill>
            <w14:solidFill>
              <w14:schemeClr w14:val="tx1"/>
            </w14:solidFill>
          </w14:textFill>
        </w:rPr>
        <w:t>；</w:t>
      </w:r>
    </w:p>
    <w:p w14:paraId="57669BC9">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（5）信誉要求：</w:t>
      </w:r>
    </w:p>
    <w:p w14:paraId="62447845">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①供应商必须提供“参加本项目政府采购活动前3年内在经营活动中没有重大违法记录的书面声明”（重大违法记录是指：因违法经营受到刑事处罚或者责令停产停业、吊销许可证或者执照、较大数额罚款等行政处罚）。</w:t>
      </w:r>
    </w:p>
    <w:p w14:paraId="3F2E5270">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②供应商未列入“信用中国”网站（www.creditchina.gov.cn）失信被执行人名单，重大税收违法案件当事人名单及中国政府采购网（www.ccgp.gov.cn）的政府采购严重违法失信行为记录名单。</w:t>
      </w:r>
    </w:p>
    <w:p w14:paraId="7EBBAA60">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（6）单位负责人为同一人或者存在直接控股、管理关系的不同</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，不得参加同一合同项下的政府采购活动；为本采购项目提供整体设计、规范编制或者项目管理、监理、检测等服务的</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，不得再参加本采购项目的其他采购活动（提供书面声明加盖</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公章）。</w:t>
      </w:r>
    </w:p>
    <w:p w14:paraId="497C1D05">
      <w:pPr>
        <w:pageBreakBefore w:val="0"/>
        <w:widowControl w:val="0"/>
        <w:kinsoku/>
        <w:bidi w:val="0"/>
        <w:spacing w:beforeAutospacing="0" w:afterAutospacing="0" w:line="360" w:lineRule="auto"/>
        <w:ind w:left="0" w:leftChars="0" w:right="0" w:rightChars="0"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2.2落实政府采购政策需满足的资格要求：</w:t>
      </w:r>
      <w:r>
        <w:rPr>
          <w:rFonts w:hint="eastAsia" w:ascii="宋体" w:hAnsi="宋体" w:cs="宋体"/>
          <w:color w:val="000000" w:themeColor="text1"/>
          <w:sz w:val="21"/>
          <w:szCs w:val="21"/>
          <w:highlight w:val="none"/>
          <w14:textFill>
            <w14:solidFill>
              <w14:schemeClr w14:val="tx1"/>
            </w14:solidFill>
          </w14:textFill>
        </w:rPr>
        <w:t>本项目为专门面向中小企业采购项目。</w:t>
      </w:r>
    </w:p>
    <w:p w14:paraId="65406008">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rPr>
        <w:t>供应商应为中小微企业，须按要求提供《中小企业声明函》（残疾人福利性单位声明函、监狱企业证明文件），监狱企业、残疾人福利性单位视同小型或微型企业。</w:t>
      </w:r>
    </w:p>
    <w:p w14:paraId="1993D62F">
      <w:pPr>
        <w:pageBreakBefore w:val="0"/>
        <w:widowControl w:val="0"/>
        <w:kinsoku/>
        <w:bidi w:val="0"/>
        <w:spacing w:beforeAutospacing="0" w:afterAutospacing="0" w:line="360" w:lineRule="auto"/>
        <w:ind w:left="0" w:leftChars="0" w:right="0" w:rightChars="0" w:firstLine="422"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2.3本项目的特定资格要求：</w:t>
      </w:r>
      <w:bookmarkStart w:id="26" w:name="_Hlk49358483"/>
      <w:r>
        <w:rPr>
          <w:rFonts w:hint="eastAsia" w:ascii="宋体" w:hAnsi="宋体" w:cs="宋体"/>
          <w:color w:val="auto"/>
          <w:sz w:val="21"/>
          <w:szCs w:val="21"/>
          <w:highlight w:val="none"/>
          <w:lang w:eastAsia="zh-CN"/>
        </w:rPr>
        <w:t>供应商需具有有效的《食品经营许可证》。</w:t>
      </w:r>
    </w:p>
    <w:bookmarkEnd w:id="12"/>
    <w:bookmarkEnd w:id="26"/>
    <w:p w14:paraId="11772E4D">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三、</w:t>
      </w:r>
      <w:bookmarkStart w:id="27" w:name="_Hlk45618128"/>
      <w:r>
        <w:rPr>
          <w:rFonts w:hint="eastAsia" w:ascii="宋体" w:hAnsi="宋体" w:cs="宋体"/>
          <w:b/>
          <w:bCs/>
          <w:color w:val="000000" w:themeColor="text1"/>
          <w:sz w:val="21"/>
          <w:szCs w:val="21"/>
          <w:highlight w:val="none"/>
          <w14:textFill>
            <w14:solidFill>
              <w14:schemeClr w14:val="tx1"/>
            </w14:solidFill>
          </w14:textFill>
        </w:rPr>
        <w:t>获取</w:t>
      </w:r>
      <w:bookmarkEnd w:id="27"/>
      <w:r>
        <w:rPr>
          <w:rFonts w:hint="eastAsia" w:ascii="宋体" w:hAnsi="宋体" w:cs="宋体"/>
          <w:b/>
          <w:bCs/>
          <w:color w:val="000000" w:themeColor="text1"/>
          <w:sz w:val="21"/>
          <w:szCs w:val="21"/>
          <w:highlight w:val="none"/>
          <w14:textFill>
            <w14:solidFill>
              <w14:schemeClr w14:val="tx1"/>
            </w14:solidFill>
          </w14:textFill>
        </w:rPr>
        <w:t>采购文件</w:t>
      </w:r>
    </w:p>
    <w:p w14:paraId="50AC185F">
      <w:pPr>
        <w:pageBreakBefore w:val="0"/>
        <w:widowControl w:val="0"/>
        <w:kinsoku/>
        <w:wordWrap w:val="0"/>
        <w:topLinePunct/>
        <w:bidi w:val="0"/>
        <w:snapToGrid w:val="0"/>
        <w:spacing w:beforeAutospacing="0" w:afterAutospacing="0" w:line="360" w:lineRule="auto"/>
        <w:ind w:left="0" w:leftChars="0" w:right="0" w:rightChars="0" w:firstLine="420" w:firstLineChars="200"/>
        <w:textAlignment w:val="baseline"/>
        <w:rPr>
          <w:rFonts w:ascii="宋体" w:hAnsi="宋体" w:cs="宋体"/>
          <w:color w:val="000000" w:themeColor="text1"/>
          <w:sz w:val="21"/>
          <w:szCs w:val="21"/>
          <w:highlight w:val="none"/>
          <w14:textFill>
            <w14:solidFill>
              <w14:schemeClr w14:val="tx1"/>
            </w14:solidFill>
          </w14:textFill>
        </w:rPr>
      </w:pPr>
      <w:bookmarkStart w:id="28" w:name="_Hlk159598686"/>
      <w:bookmarkStart w:id="29" w:name="_Toc184704559"/>
      <w:r>
        <w:rPr>
          <w:rFonts w:hint="eastAsia" w:ascii="宋体" w:hAnsi="宋体" w:cs="宋体"/>
          <w:color w:val="000000" w:themeColor="text1"/>
          <w:sz w:val="21"/>
          <w:szCs w:val="21"/>
          <w:highlight w:val="none"/>
          <w14:textFill>
            <w14:solidFill>
              <w14:schemeClr w14:val="tx1"/>
            </w14:solidFill>
          </w14:textFill>
        </w:rPr>
        <w:t>3.1获取时间：凡有意参加投标者，请于2026年</w:t>
      </w:r>
      <w:r>
        <w:rPr>
          <w:rFonts w:hint="eastAsia" w:ascii="宋体" w:hAnsi="宋体" w:cs="宋体"/>
          <w:color w:val="000000" w:themeColor="text1"/>
          <w:sz w:val="21"/>
          <w:szCs w:val="21"/>
          <w:highlight w:val="none"/>
          <w:lang w:val="en-US" w:eastAsia="zh-CN"/>
          <w14:textFill>
            <w14:solidFill>
              <w14:schemeClr w14:val="tx1"/>
            </w14:solidFill>
          </w14:textFill>
        </w:rPr>
        <w:t>05</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19</w:t>
      </w:r>
      <w:r>
        <w:rPr>
          <w:rFonts w:hint="eastAsia" w:ascii="宋体" w:hAnsi="宋体" w:cs="宋体"/>
          <w:color w:val="000000" w:themeColor="text1"/>
          <w:sz w:val="21"/>
          <w:szCs w:val="21"/>
          <w:highlight w:val="none"/>
          <w14:textFill>
            <w14:solidFill>
              <w14:schemeClr w14:val="tx1"/>
            </w14:solidFill>
          </w14:textFill>
        </w:rPr>
        <w:t>日至2026年</w:t>
      </w:r>
      <w:r>
        <w:rPr>
          <w:rFonts w:hint="eastAsia" w:ascii="宋体" w:hAnsi="宋体" w:cs="宋体"/>
          <w:color w:val="000000" w:themeColor="text1"/>
          <w:sz w:val="21"/>
          <w:szCs w:val="21"/>
          <w:highlight w:val="none"/>
          <w:lang w:val="en-US" w:eastAsia="zh-CN"/>
          <w14:textFill>
            <w14:solidFill>
              <w14:schemeClr w14:val="tx1"/>
            </w14:solidFill>
          </w14:textFill>
        </w:rPr>
        <w:t>05</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26</w:t>
      </w:r>
      <w:r>
        <w:rPr>
          <w:rFonts w:hint="eastAsia" w:ascii="宋体" w:hAnsi="宋体" w:cs="宋体"/>
          <w:color w:val="000000" w:themeColor="text1"/>
          <w:sz w:val="21"/>
          <w:szCs w:val="21"/>
          <w:highlight w:val="none"/>
          <w14:textFill>
            <w14:solidFill>
              <w14:schemeClr w14:val="tx1"/>
            </w14:solidFill>
          </w14:textFill>
        </w:rPr>
        <w:t>日23时59分(北京时间，下同)，登录政采云平台（https://www.zcygov.cn/），凭企业数字证书（CA）在网上获取电子采购文件及其它采购资料，此为获取采购文件的唯一途径。</w:t>
      </w:r>
    </w:p>
    <w:p w14:paraId="7E94B351">
      <w:pPr>
        <w:pageBreakBefore w:val="0"/>
        <w:widowControl w:val="0"/>
        <w:kinsoku/>
        <w:wordWrap w:val="0"/>
        <w:topLinePunct/>
        <w:bidi w:val="0"/>
        <w:snapToGrid w:val="0"/>
        <w:spacing w:beforeAutospacing="0" w:afterAutospacing="0" w:line="360" w:lineRule="auto"/>
        <w:ind w:left="0" w:leftChars="0" w:right="0" w:rightChars="0"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3.2获取地点：本项目不发放纸质采购文件，供应商可自行政采云”平台（http：//www.zcygov.cn）（操作路径：登录“政采云”平台-项目采购-获取采购文件 -找到本项目-点击“申请获取采购文件”）。</w:t>
      </w:r>
    </w:p>
    <w:p w14:paraId="6EAF224E">
      <w:pPr>
        <w:pageBreakBefore w:val="0"/>
        <w:widowControl w:val="0"/>
        <w:kinsoku/>
        <w:wordWrap w:val="0"/>
        <w:topLinePunct/>
        <w:bidi w:val="0"/>
        <w:snapToGrid w:val="0"/>
        <w:spacing w:beforeAutospacing="0" w:afterAutospacing="0" w:line="360" w:lineRule="auto"/>
        <w:ind w:left="0" w:leftChars="0" w:right="0" w:rightChars="0"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3.3获取方式：凡有意参加投标者，须在政采云平台办理数字证书（CA)，CA申领链接:http://yzt.ynsmartcert.cn/cms/yztyncszb.html，数字证书（CA）办理完成后需在政采云平台绑定数字证书(CA)并在平台获取采购文件及其它采购资料。</w:t>
      </w:r>
    </w:p>
    <w:p w14:paraId="050EB3ED">
      <w:pPr>
        <w:pageBreakBefore w:val="0"/>
        <w:widowControl w:val="0"/>
        <w:kinsoku/>
        <w:wordWrap w:val="0"/>
        <w:topLinePunct/>
        <w:bidi w:val="0"/>
        <w:snapToGrid w:val="0"/>
        <w:spacing w:beforeAutospacing="0" w:afterAutospacing="0" w:line="360" w:lineRule="auto"/>
        <w:ind w:left="0" w:leftChars="0" w:right="0" w:rightChars="0"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按上述要求获取文件的供应商视为合法获取了本项目采购文件，具备本项目的投标资格。各供应商应在开标前确保成为政采云平台供应商，并完成CA数字证书申领。因未注册入库，未办理CA数字证书等原因造成无法投标或投标失败等由供应商自行承担,有意参加投标的供应商，须在政采云平办理数字证书(CA)，CA申领链接http://yzt.ynsmartcert.cn/cms/yztyncszb.html。</w:t>
      </w:r>
    </w:p>
    <w:p w14:paraId="791DE55F">
      <w:pPr>
        <w:pageBreakBefore w:val="0"/>
        <w:widowControl w:val="0"/>
        <w:kinsoku/>
        <w:wordWrap w:val="0"/>
        <w:topLinePunct/>
        <w:bidi w:val="0"/>
        <w:snapToGrid w:val="0"/>
        <w:spacing w:beforeAutospacing="0" w:afterAutospacing="0" w:line="360" w:lineRule="auto"/>
        <w:ind w:left="0" w:leftChars="0" w:right="0" w:rightChars="0"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（1）如有问题可拨打政采云客户服务热线95763进一咨询，数字证书问题可咨询云南壹证通CA：0871-67276028（紧急可拨19988166369）。</w:t>
      </w:r>
    </w:p>
    <w:p w14:paraId="6341FF23">
      <w:pPr>
        <w:pageBreakBefore w:val="0"/>
        <w:widowControl w:val="0"/>
        <w:kinsoku/>
        <w:wordWrap w:val="0"/>
        <w:topLinePunct/>
        <w:bidi w:val="0"/>
        <w:snapToGrid w:val="0"/>
        <w:spacing w:beforeAutospacing="0" w:afterAutospacing="0" w:line="360" w:lineRule="auto"/>
        <w:ind w:left="0" w:leftChars="0" w:right="0" w:rightChars="0"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如因供应商自身原因导致在规定时间内无法正常解密的(如:浏览器故障、未安装相关驱动、网络故障、加密CA与解密CA不一致等），视为供应商自动弃标，代理机构不予处理。</w:t>
      </w:r>
    </w:p>
    <w:p w14:paraId="047C994B">
      <w:pPr>
        <w:pageBreakBefore w:val="0"/>
        <w:widowControl w:val="0"/>
        <w:kinsoku/>
        <w:wordWrap w:val="0"/>
        <w:topLinePunct/>
        <w:bidi w:val="0"/>
        <w:snapToGrid w:val="0"/>
        <w:spacing w:beforeAutospacing="0" w:afterAutospacing="0" w:line="360" w:lineRule="auto"/>
        <w:ind w:left="0" w:leftChars="0" w:right="0" w:rightChars="0"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（2）云南本地供应商如之前已在云南CA在线数字证书办理网进行过注册并办理过企业数字证书（CA），直接绑定即可，无需重复办理（2022年1月1日前办理的云南CA需到云南CA办理处进行升级）。</w:t>
      </w:r>
      <w:bookmarkEnd w:id="28"/>
    </w:p>
    <w:p w14:paraId="1F55C99B">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四、提交投标文件截止时间、开标时间和地点</w:t>
      </w:r>
    </w:p>
    <w:bookmarkEnd w:id="29"/>
    <w:p w14:paraId="4A5E7E6A">
      <w:pPr>
        <w:pageBreakBefore w:val="0"/>
        <w:widowControl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30" w:name="_Hlk159598699"/>
      <w:bookmarkStart w:id="31" w:name="_Toc35393625"/>
      <w:bookmarkStart w:id="32" w:name="_Toc28359084"/>
      <w:bookmarkStart w:id="33" w:name="_Toc28359007"/>
      <w:bookmarkStart w:id="34" w:name="_Toc35393794"/>
      <w:r>
        <w:rPr>
          <w:rFonts w:hint="eastAsia" w:ascii="宋体" w:hAnsi="宋体" w:cs="宋体"/>
          <w:color w:val="000000" w:themeColor="text1"/>
          <w:sz w:val="21"/>
          <w:szCs w:val="21"/>
          <w:highlight w:val="none"/>
          <w14:textFill>
            <w14:solidFill>
              <w14:schemeClr w14:val="tx1"/>
            </w14:solidFill>
          </w14:textFill>
        </w:rPr>
        <w:t>4.1投标文件递交的截止及开标时间（投标截止时间，下同）为2026年</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09</w:t>
      </w:r>
      <w:r>
        <w:rPr>
          <w:rFonts w:hint="eastAsia" w:ascii="宋体" w:hAnsi="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cs="宋体"/>
          <w:color w:val="000000" w:themeColor="text1"/>
          <w:sz w:val="21"/>
          <w:szCs w:val="21"/>
          <w:highlight w:val="none"/>
          <w14:textFill>
            <w14:solidFill>
              <w14:schemeClr w14:val="tx1"/>
            </w14:solidFill>
          </w14:textFill>
        </w:rPr>
        <w:t>分</w:t>
      </w:r>
      <w:r>
        <w:rPr>
          <w:rFonts w:hint="eastAsia" w:ascii="宋体" w:hAnsi="宋体" w:cs="宋体"/>
          <w:bCs/>
          <w:color w:val="000000" w:themeColor="text1"/>
          <w:sz w:val="21"/>
          <w:szCs w:val="21"/>
          <w:highlight w:val="none"/>
          <w14:textFill>
            <w14:solidFill>
              <w14:schemeClr w14:val="tx1"/>
            </w14:solidFill>
          </w14:textFill>
        </w:rPr>
        <w:t>（具体以“政采云”平台承载时间为准）</w:t>
      </w:r>
      <w:r>
        <w:rPr>
          <w:rFonts w:hint="eastAsia" w:ascii="宋体" w:hAnsi="宋体" w:cs="宋体"/>
          <w:color w:val="000000" w:themeColor="text1"/>
          <w:sz w:val="21"/>
          <w:szCs w:val="21"/>
          <w:highlight w:val="none"/>
          <w14:textFill>
            <w14:solidFill>
              <w14:schemeClr w14:val="tx1"/>
            </w14:solidFill>
          </w14:textFill>
        </w:rPr>
        <w:t>。</w:t>
      </w:r>
    </w:p>
    <w:p w14:paraId="00A20A92">
      <w:pPr>
        <w:pageBreakBefore w:val="0"/>
        <w:widowControl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4.2投标文件递交：网上递交：网上递交网址为政采云平台（https://www.zcygov.cn/），各供应商应在开标前应确保成为政采云平台供应商，并完成CA数字证书申领。因未注册入库、未办理CA数字证书等原因造成无法投标或投标失败等后果由供应商自行承担。供应商须在投标截止时间前完成所有投标文件的上传，投标截止时间前未完成投标文件上传的，视为撤回投标文件。若供应商未在规定时间完成解密的（如：无法解密、网络故障、未安装相关驱动、浏览器故障、加密CA与解密CA不一致等），则视为撤销其投标文件，不再进入评标阶段。开标过程中如有问题，可以发起在线异议，由代理机构给予对应的回复，在规定的异议询问时间内未提出异议的，则视为对开标结果无异议。</w:t>
      </w:r>
    </w:p>
    <w:p w14:paraId="19F10B2C">
      <w:pPr>
        <w:pageBreakBefore w:val="0"/>
        <w:widowControl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注：任何因忽视或误解而导致投标文件未上传或已上传但未按规定的操作流程及时间要求进行解密的，由供应商自行负责。</w:t>
      </w:r>
    </w:p>
    <w:p w14:paraId="450BC0B3">
      <w:pPr>
        <w:pageBreakBefore w:val="0"/>
        <w:widowControl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4.3投标文件开启：通过“政采云”平台在线提交（政采云平台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rStyle w:val="51"/>
          <w:rFonts w:hint="eastAsia" w:ascii="宋体" w:hAnsi="宋体" w:cs="宋体"/>
          <w:color w:val="000000" w:themeColor="text1"/>
          <w:sz w:val="21"/>
          <w:szCs w:val="21"/>
          <w:highlight w:val="none"/>
          <w14:textFill>
            <w14:solidFill>
              <w14:schemeClr w14:val="tx1"/>
            </w14:solidFill>
          </w14:textFill>
        </w:rPr>
        <w:t>https://www.zcygov.cn/</w:t>
      </w:r>
      <w:r>
        <w:rPr>
          <w:rStyle w:val="51"/>
          <w:rFonts w:hint="eastAsia" w:ascii="宋体" w:hAnsi="宋体" w:cs="宋体"/>
          <w:color w:val="000000" w:themeColor="text1"/>
          <w:sz w:val="21"/>
          <w:szCs w:val="21"/>
          <w:highlight w:val="none"/>
          <w14:textFill>
            <w14:solidFill>
              <w14:schemeClr w14:val="tx1"/>
            </w14:solidFill>
          </w14:textFill>
        </w:rPr>
        <w:fldChar w:fldCharType="end"/>
      </w:r>
      <w:r>
        <w:rPr>
          <w:rFonts w:hint="eastAsia" w:ascii="宋体" w:hAnsi="宋体" w:cs="宋体"/>
          <w:color w:val="000000" w:themeColor="text1"/>
          <w:sz w:val="21"/>
          <w:szCs w:val="21"/>
          <w:highlight w:val="none"/>
          <w14:textFill>
            <w14:solidFill>
              <w14:schemeClr w14:val="tx1"/>
            </w14:solidFill>
          </w14:textFill>
        </w:rPr>
        <w:t>）。</w:t>
      </w:r>
      <w:bookmarkEnd w:id="30"/>
    </w:p>
    <w:p w14:paraId="0CD93395">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五、公告期限</w:t>
      </w:r>
      <w:bookmarkEnd w:id="31"/>
      <w:bookmarkEnd w:id="32"/>
      <w:bookmarkEnd w:id="33"/>
      <w:bookmarkEnd w:id="34"/>
    </w:p>
    <w:p w14:paraId="134ECFAE">
      <w:pPr>
        <w:pageBreakBefore w:val="0"/>
        <w:widowControl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自本公告发布之日起</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个工作日。</w:t>
      </w:r>
    </w:p>
    <w:p w14:paraId="1D7E77A3">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35" w:name="_Toc35393795"/>
      <w:bookmarkStart w:id="36" w:name="_Toc35393626"/>
      <w:r>
        <w:rPr>
          <w:rFonts w:hint="eastAsia" w:ascii="宋体" w:hAnsi="宋体" w:cs="宋体"/>
          <w:b/>
          <w:bCs/>
          <w:color w:val="000000" w:themeColor="text1"/>
          <w:sz w:val="21"/>
          <w:szCs w:val="21"/>
          <w:highlight w:val="none"/>
          <w14:textFill>
            <w14:solidFill>
              <w14:schemeClr w14:val="tx1"/>
            </w14:solidFill>
          </w14:textFill>
        </w:rPr>
        <w:t>六、其他补充事宜</w:t>
      </w:r>
      <w:bookmarkEnd w:id="35"/>
      <w:bookmarkEnd w:id="36"/>
    </w:p>
    <w:p w14:paraId="5A04C9F5">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37" w:name="_Hlk159598707"/>
      <w:bookmarkStart w:id="38" w:name="_Toc35393796"/>
      <w:bookmarkStart w:id="39" w:name="_Toc35393627"/>
      <w:bookmarkStart w:id="40" w:name="_Toc28359008"/>
      <w:bookmarkStart w:id="41" w:name="_Toc28359085"/>
      <w:r>
        <w:rPr>
          <w:rFonts w:hint="eastAsia" w:ascii="宋体" w:hAnsi="宋体" w:cs="宋体"/>
          <w:color w:val="000000" w:themeColor="text1"/>
          <w:sz w:val="21"/>
          <w:szCs w:val="21"/>
          <w:highlight w:val="none"/>
          <w14:textFill>
            <w14:solidFill>
              <w14:schemeClr w14:val="tx1"/>
            </w14:solidFill>
          </w14:textFill>
        </w:rPr>
        <w:t>6.1发布公告的媒介：本次招标公告同时在《云南省政府采购网》上发布，我公司对其他网站或媒体转载的公告及公告内容不承担任何责任。</w:t>
      </w:r>
    </w:p>
    <w:p w14:paraId="04C4AE6C">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6.2开标方式：本项目为不见面开标，投标单位无需到达开标现场。</w:t>
      </w:r>
    </w:p>
    <w:p w14:paraId="086426BA">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6.3本项目实行网上投标，采用电子响应文件；</w:t>
      </w:r>
    </w:p>
    <w:p w14:paraId="55CAED17">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6.4供应商将政采云电子交易客户端下载、安装完成后，可通过账号密码或CA登录客户端进行响应文件的制作。在使用政采云投标客户端时，建议使用WIN7（64位）及以上操作系统。客户端请至政采云公司网站（https://edu.zcygov.cn/luban/yunnan-dzjy-gys）进行查看下载，如有问题可拨打政采云客户服务热线400-881-7190进行咨询以及云南CA操作问题：请致电云南CA，4006727666； 云南CA紧急联系方式：15288315056，云南壹证通CA操作问题请致电：4000040628；云南壹证通CA紧急联系方式：19988166369。如因供应商自身原因导致在规定时间内无法正常解密的（如：浏览器故障、未安装相关驱动、网络故障、加密CA与解密CA不一致等），采购中心/代理机构不予异常处理，视为供应商自动弃标。</w:t>
      </w:r>
    </w:p>
    <w:bookmarkEnd w:id="37"/>
    <w:p w14:paraId="7B0C82ED">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七、对本次招标提出询问，请按以下方式联系。</w:t>
      </w:r>
      <w:bookmarkEnd w:id="38"/>
      <w:bookmarkEnd w:id="39"/>
      <w:bookmarkEnd w:id="40"/>
      <w:bookmarkEnd w:id="41"/>
    </w:p>
    <w:p w14:paraId="145905FE">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42" w:name="_Hlk55294353"/>
      <w:r>
        <w:rPr>
          <w:rFonts w:hint="eastAsia" w:ascii="宋体" w:hAnsi="宋体" w:cs="宋体"/>
          <w:color w:val="000000" w:themeColor="text1"/>
          <w:sz w:val="21"/>
          <w:szCs w:val="21"/>
          <w:highlight w:val="none"/>
          <w14:textFill>
            <w14:solidFill>
              <w14:schemeClr w14:val="tx1"/>
            </w14:solidFill>
          </w14:textFill>
        </w:rPr>
        <w:t>7.1.采购人信息</w:t>
      </w:r>
    </w:p>
    <w:p w14:paraId="71A453B6">
      <w:pPr>
        <w:pageBreakBefore w:val="0"/>
        <w:widowControl w:val="0"/>
        <w:kinsoku/>
        <w:bidi w:val="0"/>
        <w:spacing w:beforeAutospacing="0" w:afterAutospacing="0" w:line="400" w:lineRule="exact"/>
        <w:ind w:left="0" w:leftChars="0" w:right="0" w:rightChars="0"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43" w:name="_Toc28359009"/>
      <w:bookmarkStart w:id="44" w:name="_Toc28359086"/>
      <w:r>
        <w:rPr>
          <w:rFonts w:hint="eastAsia" w:ascii="宋体" w:hAnsi="宋体" w:cs="宋体"/>
          <w:color w:val="000000" w:themeColor="text1"/>
          <w:sz w:val="21"/>
          <w:szCs w:val="21"/>
          <w:highlight w:val="none"/>
          <w14:textFill>
            <w14:solidFill>
              <w14:schemeClr w14:val="tx1"/>
            </w14:solidFill>
          </w14:textFill>
        </w:rPr>
        <w:t>名称：</w:t>
      </w:r>
      <w:r>
        <w:rPr>
          <w:rFonts w:hint="eastAsia" w:ascii="宋体" w:hAnsi="宋体" w:cs="宋体"/>
          <w:color w:val="000000" w:themeColor="text1"/>
          <w:sz w:val="21"/>
          <w:szCs w:val="21"/>
          <w:highlight w:val="none"/>
          <w:lang w:eastAsia="zh-CN"/>
          <w14:textFill>
            <w14:solidFill>
              <w14:schemeClr w14:val="tx1"/>
            </w14:solidFill>
          </w14:textFill>
        </w:rPr>
        <w:t>昆明市西山区第一幼儿园</w:t>
      </w:r>
    </w:p>
    <w:p w14:paraId="0719CC99">
      <w:pPr>
        <w:pageBreakBefore w:val="0"/>
        <w:widowControl w:val="0"/>
        <w:kinsoku/>
        <w:bidi w:val="0"/>
        <w:spacing w:beforeAutospacing="0" w:afterAutospacing="0" w:line="400" w:lineRule="exact"/>
        <w:ind w:left="0" w:leftChars="0" w:right="0" w:rightChars="0"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地址：</w:t>
      </w:r>
      <w:r>
        <w:rPr>
          <w:rFonts w:hint="eastAsia" w:ascii="宋体" w:hAnsi="宋体" w:cs="宋体"/>
          <w:color w:val="000000" w:themeColor="text1"/>
          <w:sz w:val="21"/>
          <w:szCs w:val="21"/>
          <w:highlight w:val="none"/>
          <w:lang w:eastAsia="zh-CN"/>
          <w14:textFill>
            <w14:solidFill>
              <w14:schemeClr w14:val="tx1"/>
            </w14:solidFill>
          </w14:textFill>
        </w:rPr>
        <w:t>昆明市西山区融创山语海花园南区明善街161号</w:t>
      </w:r>
    </w:p>
    <w:p w14:paraId="4F6A946D">
      <w:pPr>
        <w:pageBreakBefore w:val="0"/>
        <w:widowControl w:val="0"/>
        <w:kinsoku/>
        <w:bidi w:val="0"/>
        <w:spacing w:beforeAutospacing="0" w:afterAutospacing="0" w:line="400" w:lineRule="exact"/>
        <w:ind w:left="0" w:leftChars="0" w:right="0" w:rightChars="0"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联系人：</w:t>
      </w:r>
      <w:r>
        <w:rPr>
          <w:rFonts w:hint="eastAsia" w:ascii="宋体" w:hAnsi="宋体" w:cs="宋体"/>
          <w:color w:val="000000" w:themeColor="text1"/>
          <w:sz w:val="21"/>
          <w:szCs w:val="21"/>
          <w:highlight w:val="none"/>
          <w:lang w:eastAsia="zh-CN"/>
          <w14:textFill>
            <w14:solidFill>
              <w14:schemeClr w14:val="tx1"/>
            </w14:solidFill>
          </w14:textFill>
        </w:rPr>
        <w:t>段老师</w:t>
      </w:r>
    </w:p>
    <w:p w14:paraId="71228D24">
      <w:pPr>
        <w:pageBreakBefore w:val="0"/>
        <w:widowControl w:val="0"/>
        <w:kinsoku/>
        <w:bidi w:val="0"/>
        <w:spacing w:beforeAutospacing="0" w:afterAutospacing="0" w:line="400" w:lineRule="exact"/>
        <w:ind w:left="0" w:leftChars="0" w:right="0" w:rightChars="0"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联系电话：</w:t>
      </w:r>
      <w:r>
        <w:rPr>
          <w:rFonts w:hint="eastAsia" w:ascii="宋体" w:hAnsi="宋体" w:cs="宋体"/>
          <w:color w:val="000000" w:themeColor="text1"/>
          <w:sz w:val="21"/>
          <w:szCs w:val="21"/>
          <w:highlight w:val="none"/>
          <w:lang w:eastAsia="zh-CN"/>
          <w14:textFill>
            <w14:solidFill>
              <w14:schemeClr w14:val="tx1"/>
            </w14:solidFill>
          </w14:textFill>
        </w:rPr>
        <w:t>0871-68102083</w:t>
      </w:r>
    </w:p>
    <w:p w14:paraId="02C31344">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7.2.采购代理机构信息</w:t>
      </w:r>
      <w:bookmarkEnd w:id="43"/>
      <w:bookmarkEnd w:id="44"/>
    </w:p>
    <w:p w14:paraId="3B61E69F">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招标代理机构：云南晨晟招标咨询有限公司</w:t>
      </w:r>
    </w:p>
    <w:p w14:paraId="76741AD6">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地址：云南省昆明市五华区科普路固地尚诚商务中心B座24层</w:t>
      </w:r>
    </w:p>
    <w:p w14:paraId="79B64B63">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联系方式：</w:t>
      </w:r>
      <w:bookmarkStart w:id="45" w:name="_Toc28359010"/>
      <w:bookmarkStart w:id="46" w:name="_Toc28359087"/>
      <w:r>
        <w:rPr>
          <w:rFonts w:hint="eastAsia" w:ascii="宋体" w:hAnsi="宋体" w:cs="宋体"/>
          <w:color w:val="000000" w:themeColor="text1"/>
          <w:sz w:val="21"/>
          <w:szCs w:val="21"/>
          <w:highlight w:val="none"/>
          <w14:textFill>
            <w14:solidFill>
              <w14:schemeClr w14:val="tx1"/>
            </w14:solidFill>
          </w14:textFill>
        </w:rPr>
        <w:t>0871-63139599  63139566</w:t>
      </w:r>
    </w:p>
    <w:p w14:paraId="1CBF758E">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47" w:name="_Hlk180100824"/>
      <w:r>
        <w:rPr>
          <w:rFonts w:hint="eastAsia" w:ascii="宋体" w:hAnsi="宋体" w:cs="宋体"/>
          <w:color w:val="000000" w:themeColor="text1"/>
          <w:sz w:val="21"/>
          <w:szCs w:val="21"/>
          <w:highlight w:val="none"/>
          <w14:textFill>
            <w14:solidFill>
              <w14:schemeClr w14:val="tx1"/>
            </w14:solidFill>
          </w14:textFill>
        </w:rPr>
        <w:t>7</w:t>
      </w:r>
      <w:bookmarkEnd w:id="45"/>
      <w:bookmarkEnd w:id="46"/>
      <w:r>
        <w:rPr>
          <w:rFonts w:hint="eastAsia" w:ascii="宋体" w:hAnsi="宋体" w:cs="宋体"/>
          <w:color w:val="000000" w:themeColor="text1"/>
          <w:sz w:val="21"/>
          <w:szCs w:val="21"/>
          <w:highlight w:val="none"/>
          <w14:textFill>
            <w14:solidFill>
              <w14:schemeClr w14:val="tx1"/>
            </w14:solidFill>
          </w14:textFill>
        </w:rPr>
        <w:t>.3项目联系方式</w:t>
      </w:r>
    </w:p>
    <w:p w14:paraId="39B880A3">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项目联系人：李咏倩、王佳、田迪、罗朝辉、蒋伟鸿、何侃、杜凡</w:t>
      </w:r>
    </w:p>
    <w:p w14:paraId="70B68C6E">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电　话：</w:t>
      </w:r>
      <w:bookmarkStart w:id="48" w:name="_Hlk180087594"/>
      <w:r>
        <w:rPr>
          <w:rFonts w:hint="eastAsia" w:ascii="宋体" w:hAnsi="宋体" w:cs="宋体"/>
          <w:color w:val="000000" w:themeColor="text1"/>
          <w:sz w:val="21"/>
          <w:szCs w:val="21"/>
          <w:highlight w:val="none"/>
          <w14:textFill>
            <w14:solidFill>
              <w14:schemeClr w14:val="tx1"/>
            </w14:solidFill>
          </w14:textFill>
        </w:rPr>
        <w:t>0871-63139599  63139566</w:t>
      </w:r>
      <w:bookmarkEnd w:id="48"/>
    </w:p>
    <w:p w14:paraId="7A16A898">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7.4监督部门联系方式</w:t>
      </w:r>
    </w:p>
    <w:bookmarkEnd w:id="6"/>
    <w:bookmarkEnd w:id="47"/>
    <w:p w14:paraId="5029B4B0">
      <w:pPr>
        <w:pageBreakBefore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昆明市财政局   联系电话：0871-63544951</w:t>
      </w:r>
    </w:p>
    <w:bookmarkEnd w:id="42"/>
    <w:p w14:paraId="1EA2568E">
      <w:pPr>
        <w:pageBreakBefore w:val="0"/>
        <w:kinsoku/>
        <w:bidi w:val="0"/>
        <w:spacing w:beforeAutospacing="0" w:afterAutospacing="0" w:line="400" w:lineRule="exact"/>
        <w:ind w:left="0" w:leftChars="0" w:right="0" w:rightChars="0" w:firstLine="420" w:firstLineChars="200"/>
        <w:jc w:val="center"/>
        <w:outlineLvl w:val="0"/>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bookmarkStart w:id="49" w:name="_Toc9879"/>
      <w:bookmarkStart w:id="50" w:name="_Toc25338"/>
      <w:r>
        <w:rPr>
          <w:rFonts w:hint="eastAsia" w:ascii="宋体" w:hAnsi="宋体" w:cs="宋体"/>
          <w:b/>
          <w:bCs/>
          <w:color w:val="000000" w:themeColor="text1"/>
          <w:sz w:val="32"/>
          <w:szCs w:val="32"/>
          <w:highlight w:val="none"/>
          <w14:textFill>
            <w14:solidFill>
              <w14:schemeClr w14:val="tx1"/>
            </w14:solidFill>
          </w14:textFill>
        </w:rPr>
        <w:t>第二章 供应商须知及供应商须知前附表</w:t>
      </w:r>
      <w:bookmarkEnd w:id="13"/>
      <w:bookmarkEnd w:id="14"/>
      <w:bookmarkEnd w:id="49"/>
      <w:bookmarkEnd w:id="50"/>
    </w:p>
    <w:p w14:paraId="066CCEF8">
      <w:pPr>
        <w:pStyle w:val="3"/>
        <w:pageBreakBefore w:val="0"/>
        <w:kinsoku/>
        <w:wordWrap w:val="0"/>
        <w:bidi w:val="0"/>
        <w:spacing w:before="0" w:beforeAutospacing="0" w:after="0" w:afterAutospacing="0" w:line="360" w:lineRule="auto"/>
        <w:ind w:left="0" w:leftChars="0" w:right="0" w:rightChars="0"/>
        <w:jc w:val="center"/>
        <w:rPr>
          <w:rFonts w:ascii="宋体" w:hAnsi="宋体" w:eastAsia="宋体" w:cs="宋体"/>
          <w:color w:val="000000" w:themeColor="text1"/>
          <w:sz w:val="28"/>
          <w:szCs w:val="28"/>
          <w:highlight w:val="none"/>
          <w14:textFill>
            <w14:solidFill>
              <w14:schemeClr w14:val="tx1"/>
            </w14:solidFill>
          </w14:textFill>
        </w:rPr>
      </w:pPr>
      <w:bookmarkStart w:id="51" w:name="_Toc432697151"/>
      <w:bookmarkStart w:id="52" w:name="_Toc229583199"/>
      <w:bookmarkStart w:id="53" w:name="_Toc14549"/>
      <w:bookmarkStart w:id="54" w:name="_Toc3020"/>
      <w:r>
        <w:rPr>
          <w:rFonts w:hint="eastAsia" w:ascii="宋体" w:hAnsi="宋体" w:eastAsia="宋体" w:cs="宋体"/>
          <w:color w:val="000000" w:themeColor="text1"/>
          <w:sz w:val="28"/>
          <w:szCs w:val="28"/>
          <w:highlight w:val="none"/>
          <w14:textFill>
            <w14:solidFill>
              <w14:schemeClr w14:val="tx1"/>
            </w14:solidFill>
          </w14:textFill>
        </w:rPr>
        <w:t>一、供应商须知前附表</w:t>
      </w:r>
      <w:bookmarkEnd w:id="51"/>
      <w:bookmarkEnd w:id="52"/>
      <w:bookmarkEnd w:id="53"/>
      <w:bookmarkEnd w:id="54"/>
    </w:p>
    <w:tbl>
      <w:tblPr>
        <w:tblStyle w:val="43"/>
        <w:tblpPr w:leftFromText="180" w:rightFromText="180" w:vertAnchor="text" w:tblpXSpec="center" w:tblpY="1"/>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33"/>
        <w:gridCol w:w="7061"/>
      </w:tblGrid>
      <w:tr w14:paraId="2A6E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7BB7E7AD">
            <w:pPr>
              <w:pageBreakBefore w:val="0"/>
              <w:kinsoku/>
              <w:wordWrap w:val="0"/>
              <w:bidi w:val="0"/>
              <w:spacing w:beforeAutospacing="0" w:afterAutospacing="0"/>
              <w:ind w:left="0" w:leftChars="0" w:right="0" w:rightChars="0"/>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条款号</w:t>
            </w:r>
          </w:p>
        </w:tc>
        <w:tc>
          <w:tcPr>
            <w:tcW w:w="2233" w:type="dxa"/>
            <w:vAlign w:val="center"/>
          </w:tcPr>
          <w:p w14:paraId="3DEB899A">
            <w:pPr>
              <w:pageBreakBefore w:val="0"/>
              <w:kinsoku/>
              <w:wordWrap w:val="0"/>
              <w:bidi w:val="0"/>
              <w:spacing w:beforeAutospacing="0" w:afterAutospacing="0"/>
              <w:ind w:left="0" w:leftChars="0" w:right="0" w:rightChars="0"/>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条款名称</w:t>
            </w:r>
          </w:p>
        </w:tc>
        <w:tc>
          <w:tcPr>
            <w:tcW w:w="7061" w:type="dxa"/>
            <w:vAlign w:val="center"/>
          </w:tcPr>
          <w:p w14:paraId="6F65C9EF">
            <w:pPr>
              <w:pageBreakBefore w:val="0"/>
              <w:kinsoku/>
              <w:wordWrap w:val="0"/>
              <w:bidi w:val="0"/>
              <w:spacing w:beforeAutospacing="0" w:afterAutospacing="0"/>
              <w:ind w:left="0" w:leftChars="0" w:right="0" w:rightChars="0"/>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说明与要求</w:t>
            </w:r>
          </w:p>
        </w:tc>
      </w:tr>
      <w:tr w14:paraId="5D47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1FEDD4E3">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1.1.2</w:t>
            </w:r>
          </w:p>
        </w:tc>
        <w:tc>
          <w:tcPr>
            <w:tcW w:w="2233" w:type="dxa"/>
            <w:vAlign w:val="center"/>
          </w:tcPr>
          <w:p w14:paraId="1006EB88">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采购人</w:t>
            </w:r>
          </w:p>
        </w:tc>
        <w:tc>
          <w:tcPr>
            <w:tcW w:w="7061" w:type="dxa"/>
            <w:vAlign w:val="center"/>
          </w:tcPr>
          <w:p w14:paraId="13313F1C">
            <w:pPr>
              <w:pageBreakBefore w:val="0"/>
              <w:kinsoku/>
              <w:wordWrap w:val="0"/>
              <w:bidi w:val="0"/>
              <w:spacing w:beforeAutospacing="0" w:afterAutospacing="0"/>
              <w:ind w:left="0" w:leftChars="0" w:right="0" w:rightChars="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昆明市西山区第一幼儿园</w:t>
            </w:r>
          </w:p>
        </w:tc>
      </w:tr>
      <w:tr w14:paraId="0EFF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3638808E">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1.1.3</w:t>
            </w:r>
          </w:p>
        </w:tc>
        <w:tc>
          <w:tcPr>
            <w:tcW w:w="2233" w:type="dxa"/>
            <w:vAlign w:val="center"/>
          </w:tcPr>
          <w:p w14:paraId="5F153E1C">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采购代理机构</w:t>
            </w:r>
          </w:p>
        </w:tc>
        <w:tc>
          <w:tcPr>
            <w:tcW w:w="7061" w:type="dxa"/>
            <w:vAlign w:val="center"/>
          </w:tcPr>
          <w:p w14:paraId="7672C87B">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云南晨晟招标咨询有限公司</w:t>
            </w:r>
          </w:p>
        </w:tc>
      </w:tr>
      <w:tr w14:paraId="0B44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16787C4A">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1.1.4</w:t>
            </w:r>
          </w:p>
        </w:tc>
        <w:tc>
          <w:tcPr>
            <w:tcW w:w="2233" w:type="dxa"/>
            <w:vAlign w:val="center"/>
          </w:tcPr>
          <w:p w14:paraId="31C6D85B">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项目名称</w:t>
            </w:r>
          </w:p>
        </w:tc>
        <w:tc>
          <w:tcPr>
            <w:tcW w:w="7061" w:type="dxa"/>
            <w:vAlign w:val="center"/>
          </w:tcPr>
          <w:p w14:paraId="3B509EBF">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昆明市西山区第一幼儿园2026-2029年餐饮服务采购</w:t>
            </w:r>
            <w:r>
              <w:rPr>
                <w:rFonts w:hint="eastAsia" w:ascii="宋体" w:hAnsi="宋体" w:cs="宋体"/>
                <w:color w:val="000000" w:themeColor="text1"/>
                <w:sz w:val="21"/>
                <w:szCs w:val="21"/>
                <w:highlight w:val="none"/>
                <w14:textFill>
                  <w14:solidFill>
                    <w14:schemeClr w14:val="tx1"/>
                  </w14:solidFill>
                </w14:textFill>
              </w:rPr>
              <w:t xml:space="preserve"> </w:t>
            </w:r>
          </w:p>
        </w:tc>
      </w:tr>
      <w:tr w14:paraId="3337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1706BCE7">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1.1.5</w:t>
            </w:r>
          </w:p>
        </w:tc>
        <w:tc>
          <w:tcPr>
            <w:tcW w:w="2233" w:type="dxa"/>
            <w:vAlign w:val="center"/>
          </w:tcPr>
          <w:p w14:paraId="62D0DDC5">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预算金额</w:t>
            </w:r>
          </w:p>
        </w:tc>
        <w:tc>
          <w:tcPr>
            <w:tcW w:w="7061" w:type="dxa"/>
            <w:vAlign w:val="center"/>
          </w:tcPr>
          <w:p w14:paraId="45E43E67">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详见招标公告“1.4预算金额”。</w:t>
            </w:r>
          </w:p>
        </w:tc>
      </w:tr>
      <w:tr w14:paraId="33A4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4B7927CE">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1.2.1</w:t>
            </w:r>
          </w:p>
        </w:tc>
        <w:tc>
          <w:tcPr>
            <w:tcW w:w="2233" w:type="dxa"/>
            <w:vAlign w:val="center"/>
          </w:tcPr>
          <w:p w14:paraId="18FD097A">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资金来源</w:t>
            </w:r>
          </w:p>
        </w:tc>
        <w:tc>
          <w:tcPr>
            <w:tcW w:w="7061" w:type="dxa"/>
            <w:vAlign w:val="center"/>
          </w:tcPr>
          <w:p w14:paraId="2F6A3B0D">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财政资金</w:t>
            </w:r>
          </w:p>
        </w:tc>
      </w:tr>
      <w:tr w14:paraId="102D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0FE52EB3">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1.2.2</w:t>
            </w:r>
          </w:p>
        </w:tc>
        <w:tc>
          <w:tcPr>
            <w:tcW w:w="2233" w:type="dxa"/>
            <w:vAlign w:val="center"/>
          </w:tcPr>
          <w:p w14:paraId="2259AD7B">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出资比例</w:t>
            </w:r>
          </w:p>
        </w:tc>
        <w:tc>
          <w:tcPr>
            <w:tcW w:w="7061" w:type="dxa"/>
            <w:vAlign w:val="center"/>
          </w:tcPr>
          <w:p w14:paraId="639F0FA4">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100%。</w:t>
            </w:r>
          </w:p>
        </w:tc>
      </w:tr>
      <w:tr w14:paraId="3A8D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3520553E">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1.2.3</w:t>
            </w:r>
          </w:p>
        </w:tc>
        <w:tc>
          <w:tcPr>
            <w:tcW w:w="2233" w:type="dxa"/>
            <w:vAlign w:val="center"/>
          </w:tcPr>
          <w:p w14:paraId="21F53D8F">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资金落实情况</w:t>
            </w:r>
          </w:p>
        </w:tc>
        <w:tc>
          <w:tcPr>
            <w:tcW w:w="7061" w:type="dxa"/>
            <w:vAlign w:val="center"/>
          </w:tcPr>
          <w:p w14:paraId="793FFA16">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已落实。</w:t>
            </w:r>
          </w:p>
        </w:tc>
      </w:tr>
      <w:tr w14:paraId="4D26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088A0C0B">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1.3.1</w:t>
            </w:r>
          </w:p>
        </w:tc>
        <w:tc>
          <w:tcPr>
            <w:tcW w:w="2233" w:type="dxa"/>
            <w:vAlign w:val="center"/>
          </w:tcPr>
          <w:p w14:paraId="5E9F9C38">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采购需求</w:t>
            </w:r>
          </w:p>
        </w:tc>
        <w:tc>
          <w:tcPr>
            <w:tcW w:w="7061" w:type="dxa"/>
            <w:vAlign w:val="center"/>
          </w:tcPr>
          <w:p w14:paraId="7AF6536A">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详见招标公告“1.6采购需求”。</w:t>
            </w:r>
          </w:p>
        </w:tc>
      </w:tr>
      <w:tr w14:paraId="3995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639D9AF8">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1.3.2</w:t>
            </w:r>
          </w:p>
        </w:tc>
        <w:tc>
          <w:tcPr>
            <w:tcW w:w="2233" w:type="dxa"/>
            <w:vAlign w:val="center"/>
          </w:tcPr>
          <w:p w14:paraId="7692D6D0">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服务期限</w:t>
            </w:r>
          </w:p>
        </w:tc>
        <w:tc>
          <w:tcPr>
            <w:tcW w:w="7061" w:type="dxa"/>
            <w:vAlign w:val="center"/>
          </w:tcPr>
          <w:p w14:paraId="4DFCB004">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详见招标公告“1.7服务期限”。</w:t>
            </w:r>
          </w:p>
        </w:tc>
      </w:tr>
      <w:tr w14:paraId="217D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0177D892">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1.3.3</w:t>
            </w:r>
          </w:p>
        </w:tc>
        <w:tc>
          <w:tcPr>
            <w:tcW w:w="2233" w:type="dxa"/>
            <w:vAlign w:val="center"/>
          </w:tcPr>
          <w:p w14:paraId="4842BBA4">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质量要求</w:t>
            </w:r>
          </w:p>
        </w:tc>
        <w:tc>
          <w:tcPr>
            <w:tcW w:w="7061" w:type="dxa"/>
            <w:vAlign w:val="center"/>
          </w:tcPr>
          <w:p w14:paraId="29D20824">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详见招标公告“1.9质量要求”。</w:t>
            </w:r>
          </w:p>
        </w:tc>
      </w:tr>
      <w:tr w14:paraId="0A09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308998C1">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1.3.4</w:t>
            </w:r>
          </w:p>
        </w:tc>
        <w:tc>
          <w:tcPr>
            <w:tcW w:w="2233" w:type="dxa"/>
            <w:vAlign w:val="center"/>
          </w:tcPr>
          <w:p w14:paraId="4EEE70D6">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标段划分</w:t>
            </w:r>
          </w:p>
        </w:tc>
        <w:tc>
          <w:tcPr>
            <w:tcW w:w="7061" w:type="dxa"/>
            <w:vAlign w:val="center"/>
          </w:tcPr>
          <w:p w14:paraId="36CEEC53">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详见招标公告“1.10标段划分”。</w:t>
            </w:r>
          </w:p>
        </w:tc>
      </w:tr>
      <w:tr w14:paraId="0514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72DDFFA5">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1.4.1</w:t>
            </w:r>
          </w:p>
        </w:tc>
        <w:tc>
          <w:tcPr>
            <w:tcW w:w="2233" w:type="dxa"/>
            <w:vAlign w:val="center"/>
          </w:tcPr>
          <w:p w14:paraId="2236BB3F">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资格要求</w:t>
            </w:r>
          </w:p>
        </w:tc>
        <w:tc>
          <w:tcPr>
            <w:tcW w:w="7061" w:type="dxa"/>
            <w:vAlign w:val="center"/>
          </w:tcPr>
          <w:p w14:paraId="3C3A7276">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详见招标公告“二、供应商的资格要求”。</w:t>
            </w:r>
          </w:p>
        </w:tc>
      </w:tr>
      <w:tr w14:paraId="1CE0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1EBD8703">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1.4.4</w:t>
            </w:r>
          </w:p>
        </w:tc>
        <w:tc>
          <w:tcPr>
            <w:tcW w:w="2233" w:type="dxa"/>
            <w:vAlign w:val="center"/>
          </w:tcPr>
          <w:p w14:paraId="4931C220">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是否接受联合体投标</w:t>
            </w:r>
          </w:p>
        </w:tc>
        <w:tc>
          <w:tcPr>
            <w:tcW w:w="7061" w:type="dxa"/>
            <w:vAlign w:val="center"/>
          </w:tcPr>
          <w:p w14:paraId="057E651D">
            <w:pPr>
              <w:pageBreakBefore w:val="0"/>
              <w:kinsoku/>
              <w:bidi w:val="0"/>
              <w:spacing w:beforeAutospacing="0" w:afterAutospacing="0"/>
              <w:ind w:left="0" w:leftChars="0" w:right="0" w:rightChars="0"/>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不接受</w:t>
            </w:r>
          </w:p>
        </w:tc>
      </w:tr>
      <w:tr w14:paraId="14F2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10C12AD7">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1.5.3</w:t>
            </w:r>
          </w:p>
        </w:tc>
        <w:tc>
          <w:tcPr>
            <w:tcW w:w="2233" w:type="dxa"/>
            <w:vAlign w:val="center"/>
          </w:tcPr>
          <w:p w14:paraId="428FE59B">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招标代理服务费</w:t>
            </w:r>
          </w:p>
        </w:tc>
        <w:tc>
          <w:tcPr>
            <w:tcW w:w="7061" w:type="dxa"/>
            <w:vAlign w:val="center"/>
          </w:tcPr>
          <w:p w14:paraId="7437D137">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招标代理服务费由中标人在领取中标通知书时向采购代理机构支付。计费标准为：按照国家及云南省有关规定，以中标金额为基数，参照《云南省招标代理服务收费指导标准》中“服务类”项目收费标准计算，并在此基础上下浮 20%。请各供应商在进行报价时充分考虑此部分费用，该项费用综合包含在总报价中但不单独列报。</w:t>
            </w:r>
          </w:p>
        </w:tc>
      </w:tr>
      <w:tr w14:paraId="0BAB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56E304DA">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1.9.1</w:t>
            </w:r>
          </w:p>
        </w:tc>
        <w:tc>
          <w:tcPr>
            <w:tcW w:w="2233" w:type="dxa"/>
            <w:vAlign w:val="center"/>
          </w:tcPr>
          <w:p w14:paraId="6394068E">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踏勘现场</w:t>
            </w:r>
          </w:p>
        </w:tc>
        <w:tc>
          <w:tcPr>
            <w:tcW w:w="7061" w:type="dxa"/>
            <w:vAlign w:val="center"/>
          </w:tcPr>
          <w:p w14:paraId="4607E54C">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不组织</w:t>
            </w:r>
          </w:p>
        </w:tc>
      </w:tr>
      <w:tr w14:paraId="4483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4F2D9EF4">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1.10.1</w:t>
            </w:r>
          </w:p>
        </w:tc>
        <w:tc>
          <w:tcPr>
            <w:tcW w:w="2233" w:type="dxa"/>
            <w:vAlign w:val="center"/>
          </w:tcPr>
          <w:p w14:paraId="37817FE5">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投标预备会</w:t>
            </w:r>
          </w:p>
        </w:tc>
        <w:tc>
          <w:tcPr>
            <w:tcW w:w="7061" w:type="dxa"/>
            <w:vAlign w:val="center"/>
          </w:tcPr>
          <w:p w14:paraId="25A1B74A">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不组织</w:t>
            </w:r>
          </w:p>
        </w:tc>
      </w:tr>
      <w:tr w14:paraId="2AA1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36CDF2A5">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1.11</w:t>
            </w:r>
          </w:p>
        </w:tc>
        <w:tc>
          <w:tcPr>
            <w:tcW w:w="2233" w:type="dxa"/>
            <w:vAlign w:val="center"/>
          </w:tcPr>
          <w:p w14:paraId="503EE7FC">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分包</w:t>
            </w:r>
          </w:p>
        </w:tc>
        <w:tc>
          <w:tcPr>
            <w:tcW w:w="7061" w:type="dxa"/>
            <w:vAlign w:val="center"/>
          </w:tcPr>
          <w:p w14:paraId="22ABA0D8">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不允许。</w:t>
            </w:r>
          </w:p>
        </w:tc>
      </w:tr>
      <w:tr w14:paraId="0615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4404C4F6">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1.12</w:t>
            </w:r>
          </w:p>
        </w:tc>
        <w:tc>
          <w:tcPr>
            <w:tcW w:w="2233" w:type="dxa"/>
            <w:vAlign w:val="center"/>
          </w:tcPr>
          <w:p w14:paraId="3D8AD86C">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偏离</w:t>
            </w:r>
          </w:p>
        </w:tc>
        <w:tc>
          <w:tcPr>
            <w:tcW w:w="7061" w:type="dxa"/>
            <w:vAlign w:val="center"/>
          </w:tcPr>
          <w:p w14:paraId="6164020D">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不允许。</w:t>
            </w:r>
          </w:p>
        </w:tc>
      </w:tr>
      <w:tr w14:paraId="14C5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33463A57">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2.1.1</w:t>
            </w:r>
          </w:p>
        </w:tc>
        <w:tc>
          <w:tcPr>
            <w:tcW w:w="2233" w:type="dxa"/>
            <w:vAlign w:val="center"/>
          </w:tcPr>
          <w:p w14:paraId="686B318A">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构成招标文件的其他文件</w:t>
            </w:r>
          </w:p>
        </w:tc>
        <w:tc>
          <w:tcPr>
            <w:tcW w:w="7061" w:type="dxa"/>
            <w:vAlign w:val="center"/>
          </w:tcPr>
          <w:p w14:paraId="52DD7E9E">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根据本章第2.2款和第2.3款对招标文件所作的澄清、修改，构成招标文件的组成部分。</w:t>
            </w:r>
          </w:p>
        </w:tc>
      </w:tr>
      <w:tr w14:paraId="0EBC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44B976F1">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2.2.1</w:t>
            </w:r>
          </w:p>
        </w:tc>
        <w:tc>
          <w:tcPr>
            <w:tcW w:w="2233" w:type="dxa"/>
            <w:vAlign w:val="center"/>
          </w:tcPr>
          <w:p w14:paraId="2AD29495">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供应商要求澄清招标文件的截止时间</w:t>
            </w:r>
          </w:p>
        </w:tc>
        <w:tc>
          <w:tcPr>
            <w:tcW w:w="7061" w:type="dxa"/>
            <w:vAlign w:val="center"/>
          </w:tcPr>
          <w:p w14:paraId="4DEE56C5">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投标截止时间10天之前。</w:t>
            </w:r>
          </w:p>
        </w:tc>
      </w:tr>
      <w:tr w14:paraId="6E57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2C6F92C0">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2.2.2</w:t>
            </w:r>
          </w:p>
        </w:tc>
        <w:tc>
          <w:tcPr>
            <w:tcW w:w="2233" w:type="dxa"/>
            <w:vAlign w:val="center"/>
          </w:tcPr>
          <w:p w14:paraId="1A4F13EC">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投标截止时间</w:t>
            </w:r>
          </w:p>
        </w:tc>
        <w:tc>
          <w:tcPr>
            <w:tcW w:w="7061" w:type="dxa"/>
            <w:vAlign w:val="center"/>
          </w:tcPr>
          <w:p w14:paraId="523CBE4C">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详见招标公告投标文件递交的截止时间（投标截止时间）</w:t>
            </w:r>
          </w:p>
        </w:tc>
      </w:tr>
      <w:tr w14:paraId="1CC8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11988C80">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2.2.3</w:t>
            </w:r>
          </w:p>
        </w:tc>
        <w:tc>
          <w:tcPr>
            <w:tcW w:w="2233" w:type="dxa"/>
            <w:vAlign w:val="center"/>
          </w:tcPr>
          <w:p w14:paraId="1B7E7605">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供应商确认收到招标文件澄清的时间</w:t>
            </w:r>
          </w:p>
        </w:tc>
        <w:tc>
          <w:tcPr>
            <w:tcW w:w="7061" w:type="dxa"/>
            <w:vAlign w:val="center"/>
          </w:tcPr>
          <w:p w14:paraId="433AC7AC">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澄清和补遗全部通过网络送达，请供应商在开标截止日前，务必查询政采云平台（https://www.zcygov.cn/），供应商自行登录政采云平台（https://www.zcygov.cn/）获取澄清，无须回复确认已收到该澄清，采购人不再另行通知。</w:t>
            </w:r>
          </w:p>
        </w:tc>
      </w:tr>
      <w:tr w14:paraId="64B4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6E3B0657">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2.3.2</w:t>
            </w:r>
          </w:p>
        </w:tc>
        <w:tc>
          <w:tcPr>
            <w:tcW w:w="2233" w:type="dxa"/>
            <w:vAlign w:val="center"/>
          </w:tcPr>
          <w:p w14:paraId="3BB23DA0">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供应商确认收到招标文件修改的时间</w:t>
            </w:r>
          </w:p>
        </w:tc>
        <w:tc>
          <w:tcPr>
            <w:tcW w:w="7061" w:type="dxa"/>
            <w:vAlign w:val="center"/>
          </w:tcPr>
          <w:p w14:paraId="6C86EF60">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人自行登录政采云平台（https://www.zcygov.cn/）收取修改内容，无须回复确认已收到该修改。供应商应在截标时间前随时查看政采云平台（https://www.zcygov.cn/）中有关该招标文件的答疑、补遗内容。否则，由此引起的投标损失自负。</w:t>
            </w:r>
          </w:p>
        </w:tc>
      </w:tr>
      <w:tr w14:paraId="04A2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5B390CC9">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3.2.1</w:t>
            </w:r>
          </w:p>
        </w:tc>
        <w:tc>
          <w:tcPr>
            <w:tcW w:w="2233" w:type="dxa"/>
            <w:vAlign w:val="center"/>
          </w:tcPr>
          <w:p w14:paraId="0B4C8621">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投标报价方式</w:t>
            </w:r>
          </w:p>
        </w:tc>
        <w:tc>
          <w:tcPr>
            <w:tcW w:w="7061" w:type="dxa"/>
            <w:vAlign w:val="center"/>
          </w:tcPr>
          <w:p w14:paraId="73F7E0D1">
            <w:pPr>
              <w:pageBreakBefore w:val="0"/>
              <w:kinsoku/>
              <w:wordWrap w:val="0"/>
              <w:bidi w:val="0"/>
              <w:spacing w:beforeAutospacing="0" w:afterAutospacing="0"/>
              <w:ind w:left="0" w:leftChars="0" w:right="0" w:rightChars="0"/>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供应商以包干总价（含税）的方式进行报价。</w:t>
            </w:r>
          </w:p>
        </w:tc>
      </w:tr>
      <w:tr w14:paraId="3C4A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0CE49A0F">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3.2.5</w:t>
            </w:r>
          </w:p>
        </w:tc>
        <w:tc>
          <w:tcPr>
            <w:tcW w:w="2233" w:type="dxa"/>
            <w:vAlign w:val="center"/>
          </w:tcPr>
          <w:p w14:paraId="1BBCD2E4">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最高限价</w:t>
            </w:r>
          </w:p>
        </w:tc>
        <w:tc>
          <w:tcPr>
            <w:tcW w:w="7061" w:type="dxa"/>
            <w:vAlign w:val="center"/>
          </w:tcPr>
          <w:p w14:paraId="0EEA9424">
            <w:pPr>
              <w:pageBreakBefore w:val="0"/>
              <w:kinsoku/>
              <w:wordWrap w:val="0"/>
              <w:bidi w:val="0"/>
              <w:spacing w:beforeAutospacing="0" w:afterAutospacing="0"/>
              <w:ind w:left="0" w:leftChars="0" w:right="0" w:rightChars="0"/>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本项目招标控制价总价：72.2925万元/年。</w:t>
            </w:r>
          </w:p>
          <w:p w14:paraId="68FC8CEF">
            <w:pPr>
              <w:pageBreakBefore w:val="0"/>
              <w:kinsoku/>
              <w:wordWrap w:val="0"/>
              <w:bidi w:val="0"/>
              <w:spacing w:beforeAutospacing="0" w:afterAutospacing="0"/>
              <w:ind w:left="0" w:leftChars="0" w:right="0" w:rightChars="0"/>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供应商的投标报价高于最高总价限价（预算金额）的，其投标文件将被否决。</w:t>
            </w:r>
          </w:p>
        </w:tc>
      </w:tr>
      <w:tr w14:paraId="41B1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284E7A42">
            <w:pPr>
              <w:pageBreakBefore w:val="0"/>
              <w:kinsoku/>
              <w:wordWrap w:val="0"/>
              <w:bidi w:val="0"/>
              <w:spacing w:beforeAutospacing="0" w:afterAutospacing="0"/>
              <w:ind w:left="0" w:leftChars="0" w:right="0" w:rightChars="0"/>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3.3.1</w:t>
            </w:r>
          </w:p>
        </w:tc>
        <w:tc>
          <w:tcPr>
            <w:tcW w:w="2233" w:type="dxa"/>
            <w:vAlign w:val="center"/>
          </w:tcPr>
          <w:p w14:paraId="62133826">
            <w:pPr>
              <w:pageBreakBefore w:val="0"/>
              <w:kinsoku/>
              <w:wordWrap w:val="0"/>
              <w:bidi w:val="0"/>
              <w:spacing w:beforeAutospacing="0" w:afterAutospacing="0"/>
              <w:ind w:left="0" w:leftChars="0" w:right="0" w:rightChars="0"/>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投标有效期</w:t>
            </w:r>
          </w:p>
        </w:tc>
        <w:tc>
          <w:tcPr>
            <w:tcW w:w="7061" w:type="dxa"/>
            <w:vAlign w:val="center"/>
          </w:tcPr>
          <w:p w14:paraId="073DE4F4">
            <w:pPr>
              <w:pageBreakBefore w:val="0"/>
              <w:kinsoku/>
              <w:wordWrap w:val="0"/>
              <w:bidi w:val="0"/>
              <w:spacing w:beforeAutospacing="0" w:afterAutospacing="0"/>
              <w:ind w:left="0" w:leftChars="0" w:right="0" w:rightChars="0"/>
              <w:jc w:val="both"/>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90日历天，从投标截止之日算起。</w:t>
            </w:r>
          </w:p>
        </w:tc>
      </w:tr>
      <w:tr w14:paraId="1E69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6071B475">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3.4.1</w:t>
            </w:r>
          </w:p>
        </w:tc>
        <w:tc>
          <w:tcPr>
            <w:tcW w:w="2233" w:type="dxa"/>
            <w:vAlign w:val="center"/>
          </w:tcPr>
          <w:p w14:paraId="733262DB">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投标保证金</w:t>
            </w:r>
          </w:p>
        </w:tc>
        <w:tc>
          <w:tcPr>
            <w:tcW w:w="7061" w:type="dxa"/>
            <w:vAlign w:val="center"/>
          </w:tcPr>
          <w:p w14:paraId="4DA0ABBC">
            <w:pPr>
              <w:pageBreakBefore w:val="0"/>
              <w:kinsoku/>
              <w:wordWrap w:val="0"/>
              <w:bidi w:val="0"/>
              <w:spacing w:beforeAutospacing="0" w:afterAutospacing="0"/>
              <w:ind w:left="0" w:leftChars="0" w:right="0" w:rightChars="0"/>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无</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sz w:val="21"/>
                <w:szCs w:val="21"/>
                <w:highlight w:val="none"/>
              </w:rPr>
              <w:t>依据云南省财政厅关于进一步规范政府采购相关收费行为的通知（云财规〔2023〕13号）文件精神，本项目无需缴纳</w:t>
            </w:r>
            <w:r>
              <w:rPr>
                <w:rFonts w:hint="eastAsia" w:ascii="宋体" w:hAnsi="宋体" w:eastAsia="宋体" w:cs="宋体"/>
                <w:b/>
                <w:bCs/>
                <w:color w:val="000000"/>
                <w:sz w:val="21"/>
                <w:szCs w:val="21"/>
                <w:highlight w:val="none"/>
                <w:lang w:val="en-US" w:eastAsia="zh-CN"/>
              </w:rPr>
              <w:t>磋商</w:t>
            </w:r>
            <w:r>
              <w:rPr>
                <w:rFonts w:hint="eastAsia" w:ascii="宋体" w:hAnsi="宋体" w:eastAsia="宋体" w:cs="宋体"/>
                <w:b/>
                <w:bCs/>
                <w:color w:val="000000"/>
                <w:sz w:val="21"/>
                <w:szCs w:val="21"/>
                <w:highlight w:val="none"/>
              </w:rPr>
              <w:t>保证金。</w:t>
            </w:r>
          </w:p>
        </w:tc>
      </w:tr>
      <w:tr w14:paraId="684E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14ADD0CE">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3.4.3</w:t>
            </w:r>
          </w:p>
        </w:tc>
        <w:tc>
          <w:tcPr>
            <w:tcW w:w="2233" w:type="dxa"/>
            <w:vAlign w:val="center"/>
          </w:tcPr>
          <w:p w14:paraId="0DFFD7AE">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投标保证金的退还</w:t>
            </w:r>
          </w:p>
        </w:tc>
        <w:tc>
          <w:tcPr>
            <w:tcW w:w="7061" w:type="dxa"/>
            <w:vAlign w:val="center"/>
          </w:tcPr>
          <w:p w14:paraId="2AE941AB">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投标保证金退还到供应商的基本账户。</w:t>
            </w:r>
          </w:p>
        </w:tc>
      </w:tr>
      <w:tr w14:paraId="77E1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2C8878CD">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3.6</w:t>
            </w:r>
          </w:p>
        </w:tc>
        <w:tc>
          <w:tcPr>
            <w:tcW w:w="2233" w:type="dxa"/>
            <w:vAlign w:val="center"/>
          </w:tcPr>
          <w:p w14:paraId="0C596834">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备选投标方案</w:t>
            </w:r>
          </w:p>
        </w:tc>
        <w:tc>
          <w:tcPr>
            <w:tcW w:w="7061" w:type="dxa"/>
            <w:vAlign w:val="center"/>
          </w:tcPr>
          <w:p w14:paraId="15F9127A">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不允许</w:t>
            </w:r>
          </w:p>
        </w:tc>
      </w:tr>
      <w:tr w14:paraId="4747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19DF93B2">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3.7.1</w:t>
            </w:r>
          </w:p>
        </w:tc>
        <w:tc>
          <w:tcPr>
            <w:tcW w:w="2233" w:type="dxa"/>
            <w:vAlign w:val="center"/>
          </w:tcPr>
          <w:p w14:paraId="73EDD5DE">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投标文件格式</w:t>
            </w:r>
          </w:p>
        </w:tc>
        <w:tc>
          <w:tcPr>
            <w:tcW w:w="7061" w:type="dxa"/>
            <w:vAlign w:val="center"/>
          </w:tcPr>
          <w:p w14:paraId="19E698AF">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投标文件全部采用电子文档，按照"政采云"平台的要求编制、加密后在投标文件提交截止时间前上传至"政采云"平台，投标文件提交截止时间前未完成投标文件上传的，视为撤回投标文件。</w:t>
            </w:r>
          </w:p>
        </w:tc>
      </w:tr>
      <w:tr w14:paraId="1CCA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3A963529">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3.7.3</w:t>
            </w:r>
          </w:p>
        </w:tc>
        <w:tc>
          <w:tcPr>
            <w:tcW w:w="2233" w:type="dxa"/>
            <w:vAlign w:val="center"/>
          </w:tcPr>
          <w:p w14:paraId="2207647F">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投标文件的签署</w:t>
            </w:r>
          </w:p>
        </w:tc>
        <w:tc>
          <w:tcPr>
            <w:tcW w:w="7061" w:type="dxa"/>
            <w:vAlign w:val="center"/>
          </w:tcPr>
          <w:p w14:paraId="46F144E0">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按照投标文件格式，采用企业、法定代表人电子签章及数字证书电子签名。</w:t>
            </w:r>
          </w:p>
        </w:tc>
      </w:tr>
      <w:tr w14:paraId="1621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572C73D3">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3.7.4</w:t>
            </w:r>
          </w:p>
        </w:tc>
        <w:tc>
          <w:tcPr>
            <w:tcW w:w="2233" w:type="dxa"/>
            <w:vAlign w:val="center"/>
          </w:tcPr>
          <w:p w14:paraId="5A503C30">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投标文件递交及有关内容</w:t>
            </w:r>
          </w:p>
        </w:tc>
        <w:tc>
          <w:tcPr>
            <w:tcW w:w="7061" w:type="dxa"/>
            <w:vAlign w:val="center"/>
          </w:tcPr>
          <w:p w14:paraId="403F89BF">
            <w:pPr>
              <w:pageBreakBefore w:val="0"/>
              <w:kinsoku/>
              <w:wordWrap w:val="0"/>
              <w:bidi w:val="0"/>
              <w:snapToGrid w:val="0"/>
              <w:spacing w:beforeAutospacing="0" w:afterAutospacing="0"/>
              <w:ind w:left="0" w:leftChars="0" w:right="0" w:rightChars="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网上递交：网上递交网址为政采云平台（https://www.zcygov.cn/），各供应商应在开标前应确保成为政采云平台供应商，并完成CA数字证书申领。因未注册入库、未办理CA数字证书等原因造成无法投标或投标失败等后果由供应商自行承担。供应商须在投标截止时间前完成所有投标文件的上传，投标截止时间前未完成投标文件上传的，视为撤回投标文件。若供应商未在规定时间完成解密的（如：无法解密、网络故障、未安装相关驱动、浏览器故障、加密CA与解密CA不一致等），则视为撤销其投标文件，不再进入评标阶段。开标过程中如有问题，可以发起在线异议，由代理机构给予对应的回复，在规定的异议询问时间内未提出异议的，则视为对开标结果无异议。</w:t>
            </w:r>
          </w:p>
          <w:p w14:paraId="7625B8DA">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注：任何因忽视或误解而导致投标文件未上传或已上传但未按规定的操作流程及时间要求进行解密的，由供应商自行负责。</w:t>
            </w:r>
          </w:p>
        </w:tc>
      </w:tr>
      <w:tr w14:paraId="5404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7243FDEC">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4.1.1</w:t>
            </w:r>
          </w:p>
        </w:tc>
        <w:tc>
          <w:tcPr>
            <w:tcW w:w="2233" w:type="dxa"/>
            <w:vAlign w:val="center"/>
          </w:tcPr>
          <w:p w14:paraId="77B7906F">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投标文件提交的截止时间</w:t>
            </w:r>
          </w:p>
        </w:tc>
        <w:tc>
          <w:tcPr>
            <w:tcW w:w="7061" w:type="dxa"/>
            <w:vAlign w:val="center"/>
          </w:tcPr>
          <w:p w14:paraId="72E54B3F">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同招标公告投标文件的递交截止时间</w:t>
            </w:r>
          </w:p>
        </w:tc>
      </w:tr>
      <w:tr w14:paraId="174B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51F1EECF">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4.1.2</w:t>
            </w:r>
          </w:p>
        </w:tc>
        <w:tc>
          <w:tcPr>
            <w:tcW w:w="2233" w:type="dxa"/>
            <w:vAlign w:val="center"/>
          </w:tcPr>
          <w:p w14:paraId="34A6058B">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供应商递交投标文件的地点</w:t>
            </w:r>
          </w:p>
        </w:tc>
        <w:tc>
          <w:tcPr>
            <w:tcW w:w="7061" w:type="dxa"/>
            <w:vAlign w:val="center"/>
          </w:tcPr>
          <w:p w14:paraId="67FAF726">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同招标公告投标文件的递交地点。</w:t>
            </w:r>
          </w:p>
        </w:tc>
      </w:tr>
      <w:tr w14:paraId="17F3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04AC9F6E">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4.1.3</w:t>
            </w:r>
          </w:p>
        </w:tc>
        <w:tc>
          <w:tcPr>
            <w:tcW w:w="2233" w:type="dxa"/>
            <w:vAlign w:val="center"/>
          </w:tcPr>
          <w:p w14:paraId="096EED47">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是否退还投标文件</w:t>
            </w:r>
          </w:p>
        </w:tc>
        <w:tc>
          <w:tcPr>
            <w:tcW w:w="7061" w:type="dxa"/>
            <w:vAlign w:val="center"/>
          </w:tcPr>
          <w:p w14:paraId="43404A7A">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否</w:t>
            </w:r>
          </w:p>
        </w:tc>
      </w:tr>
      <w:tr w14:paraId="0A31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3349FC39">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5.1</w:t>
            </w:r>
          </w:p>
        </w:tc>
        <w:tc>
          <w:tcPr>
            <w:tcW w:w="2233" w:type="dxa"/>
            <w:vAlign w:val="center"/>
          </w:tcPr>
          <w:p w14:paraId="07865361">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开标时间和地点</w:t>
            </w:r>
          </w:p>
        </w:tc>
        <w:tc>
          <w:tcPr>
            <w:tcW w:w="7061" w:type="dxa"/>
            <w:vAlign w:val="center"/>
          </w:tcPr>
          <w:p w14:paraId="590B4184">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开标时间：同招标公告投标文件递交的截止时间</w:t>
            </w:r>
          </w:p>
          <w:p w14:paraId="64DE7903">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开标地点：同招标公告开标地址。</w:t>
            </w:r>
          </w:p>
        </w:tc>
      </w:tr>
      <w:tr w14:paraId="38FF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150E045D">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6.1.1</w:t>
            </w:r>
          </w:p>
        </w:tc>
        <w:tc>
          <w:tcPr>
            <w:tcW w:w="2233" w:type="dxa"/>
            <w:vAlign w:val="center"/>
          </w:tcPr>
          <w:p w14:paraId="1478AC6E">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评标委员会的组建</w:t>
            </w:r>
          </w:p>
        </w:tc>
        <w:tc>
          <w:tcPr>
            <w:tcW w:w="7061" w:type="dxa"/>
            <w:vAlign w:val="center"/>
          </w:tcPr>
          <w:p w14:paraId="3C8D4CC5">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评标委员会构成：5人以上单数，其中技术、经济等方面的专家不得少于成员总人数的三分之二。</w:t>
            </w:r>
          </w:p>
        </w:tc>
      </w:tr>
      <w:tr w14:paraId="70A5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4059A6C4">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6.3</w:t>
            </w:r>
          </w:p>
        </w:tc>
        <w:tc>
          <w:tcPr>
            <w:tcW w:w="2233" w:type="dxa"/>
            <w:vAlign w:val="center"/>
          </w:tcPr>
          <w:p w14:paraId="079EA5D7">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评审办法</w:t>
            </w:r>
          </w:p>
        </w:tc>
        <w:tc>
          <w:tcPr>
            <w:tcW w:w="7061" w:type="dxa"/>
            <w:vAlign w:val="center"/>
          </w:tcPr>
          <w:p w14:paraId="2923F4CF">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综合评估法，详见招标文件第三章“评标办法”</w:t>
            </w:r>
          </w:p>
        </w:tc>
      </w:tr>
      <w:tr w14:paraId="7105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3490724A">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7.1</w:t>
            </w:r>
          </w:p>
        </w:tc>
        <w:tc>
          <w:tcPr>
            <w:tcW w:w="2233" w:type="dxa"/>
            <w:vAlign w:val="center"/>
          </w:tcPr>
          <w:p w14:paraId="02F0E0C8">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是否授权评标委员会</w:t>
            </w:r>
          </w:p>
          <w:p w14:paraId="00249267">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确定中标人</w:t>
            </w:r>
          </w:p>
        </w:tc>
        <w:tc>
          <w:tcPr>
            <w:tcW w:w="7061" w:type="dxa"/>
            <w:vAlign w:val="center"/>
          </w:tcPr>
          <w:p w14:paraId="0EC32B78">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w:t>
            </w:r>
          </w:p>
          <w:p w14:paraId="34A01F54">
            <w:pPr>
              <w:pageBreakBefore w:val="0"/>
              <w:kinsoku/>
              <w:wordWrap w:val="0"/>
              <w:bidi w:val="0"/>
              <w:spacing w:beforeAutospacing="0" w:afterAutospacing="0"/>
              <w:ind w:left="0" w:leftChars="0" w:right="0" w:rightChars="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■否，推荐的中标候选人数：三名。</w:t>
            </w:r>
          </w:p>
        </w:tc>
      </w:tr>
      <w:tr w14:paraId="03BD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463D2ED0">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7.3</w:t>
            </w:r>
          </w:p>
        </w:tc>
        <w:tc>
          <w:tcPr>
            <w:tcW w:w="2233" w:type="dxa"/>
            <w:vAlign w:val="center"/>
          </w:tcPr>
          <w:p w14:paraId="000DD99E">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履约担保</w:t>
            </w:r>
          </w:p>
        </w:tc>
        <w:tc>
          <w:tcPr>
            <w:tcW w:w="7061" w:type="dxa"/>
            <w:vAlign w:val="center"/>
          </w:tcPr>
          <w:p w14:paraId="32CEBA78">
            <w:pPr>
              <w:pageBreakBefore w:val="0"/>
              <w:kinsoku/>
              <w:wordWrap w:val="0"/>
              <w:bidi w:val="0"/>
              <w:spacing w:beforeAutospacing="0" w:afterAutospacing="0"/>
              <w:ind w:left="0" w:leftChars="0" w:right="0" w:rightChars="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本项目无须缴纳</w:t>
            </w:r>
          </w:p>
        </w:tc>
      </w:tr>
      <w:tr w14:paraId="3B49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446EC5E6">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w:t>
            </w:r>
          </w:p>
        </w:tc>
        <w:tc>
          <w:tcPr>
            <w:tcW w:w="2233" w:type="dxa"/>
            <w:vAlign w:val="center"/>
          </w:tcPr>
          <w:p w14:paraId="5C609C2D">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需要补充的其他内容</w:t>
            </w:r>
          </w:p>
        </w:tc>
        <w:tc>
          <w:tcPr>
            <w:tcW w:w="7061" w:type="dxa"/>
            <w:vAlign w:val="center"/>
          </w:tcPr>
          <w:p w14:paraId="58B6EB7C">
            <w:pPr>
              <w:pageBreakBefore w:val="0"/>
              <w:kinsoku/>
              <w:wordWrap w:val="0"/>
              <w:bidi w:val="0"/>
              <w:adjustRightInd w:val="0"/>
              <w:snapToGrid w:val="0"/>
              <w:spacing w:beforeAutospacing="0" w:afterAutospacing="0"/>
              <w:ind w:left="0" w:leftChars="0" w:right="0" w:rightChars="0"/>
              <w:rPr>
                <w:rFonts w:ascii="宋体" w:hAnsi="宋体" w:cs="宋体"/>
                <w:b/>
                <w:bCs/>
                <w:color w:val="000000" w:themeColor="text1"/>
                <w:sz w:val="21"/>
                <w:szCs w:val="21"/>
                <w:highlight w:val="none"/>
                <w14:textFill>
                  <w14:solidFill>
                    <w14:schemeClr w14:val="tx1"/>
                  </w14:solidFill>
                </w14:textFill>
              </w:rPr>
            </w:pPr>
            <w:bookmarkStart w:id="55" w:name="_Hlk31631537"/>
            <w:r>
              <w:rPr>
                <w:rFonts w:hint="eastAsia" w:ascii="宋体" w:hAnsi="宋体" w:cs="宋体"/>
                <w:b/>
                <w:bCs/>
                <w:color w:val="000000" w:themeColor="text1"/>
                <w:sz w:val="21"/>
                <w:szCs w:val="21"/>
                <w:highlight w:val="none"/>
                <w14:textFill>
                  <w14:solidFill>
                    <w14:schemeClr w14:val="tx1"/>
                  </w14:solidFill>
                </w14:textFill>
              </w:rPr>
              <w:t>补充内容1：</w:t>
            </w:r>
          </w:p>
          <w:p w14:paraId="3C9ED4DC">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bookmarkEnd w:id="55"/>
          <w:p w14:paraId="3CB4B98F">
            <w:pPr>
              <w:pageBreakBefore w:val="0"/>
              <w:kinsoku/>
              <w:wordWrap w:val="0"/>
              <w:bidi w:val="0"/>
              <w:adjustRightInd w:val="0"/>
              <w:snapToGrid w:val="0"/>
              <w:spacing w:beforeAutospacing="0" w:afterAutospacing="0"/>
              <w:ind w:left="0" w:leftChars="0" w:right="0" w:rightChars="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补充内容2：</w:t>
            </w:r>
          </w:p>
          <w:p w14:paraId="0EF9B53B">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如供应商为非法人组织，本招标文件中的“法定代表人”按负责人理解。</w:t>
            </w:r>
          </w:p>
          <w:p w14:paraId="5368BFAE">
            <w:pPr>
              <w:pageBreakBefore w:val="0"/>
              <w:kinsoku/>
              <w:wordWrap w:val="0"/>
              <w:bidi w:val="0"/>
              <w:adjustRightInd w:val="0"/>
              <w:snapToGrid w:val="0"/>
              <w:spacing w:beforeAutospacing="0" w:afterAutospacing="0"/>
              <w:ind w:left="0" w:leftChars="0" w:right="0" w:rightChars="0"/>
              <w:rPr>
                <w:rFonts w:ascii="宋体" w:hAnsi="宋体" w:cs="宋体"/>
                <w:b/>
                <w:bCs/>
                <w:color w:val="000000" w:themeColor="text1"/>
                <w:sz w:val="21"/>
                <w:szCs w:val="21"/>
                <w:highlight w:val="none"/>
                <w14:textFill>
                  <w14:solidFill>
                    <w14:schemeClr w14:val="tx1"/>
                  </w14:solidFill>
                </w14:textFill>
              </w:rPr>
            </w:pPr>
            <w:bookmarkStart w:id="56" w:name="_Toc321836356"/>
            <w:r>
              <w:rPr>
                <w:rFonts w:hint="eastAsia" w:ascii="宋体" w:hAnsi="宋体" w:cs="宋体"/>
                <w:b/>
                <w:bCs/>
                <w:color w:val="000000" w:themeColor="text1"/>
                <w:sz w:val="21"/>
                <w:szCs w:val="21"/>
                <w:highlight w:val="none"/>
                <w14:textFill>
                  <w14:solidFill>
                    <w14:schemeClr w14:val="tx1"/>
                  </w14:solidFill>
                </w14:textFill>
              </w:rPr>
              <w:t>补充内容3：</w:t>
            </w:r>
            <w:bookmarkEnd w:id="56"/>
          </w:p>
          <w:p w14:paraId="36B36DB0">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供应商认为招标文件、招标过程和中标结果使自己的权益受到损害的，应当在知其权益受到损害之日起七个工作日内，以书面形式向采购人或采购代理机构提出质疑，质疑内容不得含有虚假、恶意成分。当事人对自己提出的主张，有责任提供证据，提出质疑时应同时提交相关证据材料和注明事实的确切来源且证据合法、真实、有效。采购人或采购代理机构应当在7个工作日内对供应商依法提出的质疑作出书面答复，但答复的内容不得涉及商业秘密。</w:t>
            </w:r>
          </w:p>
          <w:p w14:paraId="0B159BBB">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供应商知其权益受到损害之日，是指：</w:t>
            </w:r>
          </w:p>
          <w:p w14:paraId="4F04E7FE">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（一）对可以质疑的招标件提出质疑的，为收到招标文件之日或者招标文件公告期限届满之日；</w:t>
            </w:r>
          </w:p>
          <w:p w14:paraId="13A1BFF6">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（二）对采购过程提出质疑的，为各采购程序环节结束之日；</w:t>
            </w:r>
          </w:p>
          <w:p w14:paraId="3ED97558">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（三）对中标结果提出质疑的，中标公告发布之日起七个工作日内。</w:t>
            </w:r>
          </w:p>
          <w:p w14:paraId="01FA76A1">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2、供应商提供的质疑书（如材料中有外文资料应同时附上中文译本）应当包括以下主要内容：</w:t>
            </w:r>
          </w:p>
          <w:p w14:paraId="68D9B229">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（1）供应商的姓名或者名称、地址、邮编、联系人及联系电话；</w:t>
            </w:r>
          </w:p>
          <w:p w14:paraId="6DEBE490">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（2）质疑项目的名称、；</w:t>
            </w:r>
          </w:p>
          <w:p w14:paraId="53444C0B">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（3）具体、明确的质疑事项和与质疑事项相关的请求；</w:t>
            </w:r>
          </w:p>
          <w:p w14:paraId="7501619C">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（4）事实依据；</w:t>
            </w:r>
          </w:p>
          <w:p w14:paraId="6C51A233">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（5）必要的法律依据；</w:t>
            </w:r>
          </w:p>
          <w:p w14:paraId="29F1E97F">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（6）提出质疑的日期。</w:t>
            </w:r>
          </w:p>
          <w:p w14:paraId="130AC6F8">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质疑书实行实名制，并提交由法定代表人或其委托代理人签字且盖单位章的原件。</w:t>
            </w:r>
          </w:p>
          <w:p w14:paraId="542C20FB">
            <w:pPr>
              <w:pageBreakBefore w:val="0"/>
              <w:kinsoku/>
              <w:wordWrap w:val="0"/>
              <w:bidi w:val="0"/>
              <w:adjustRightInd w:val="0"/>
              <w:snapToGrid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bookmarkStart w:id="57" w:name="_Toc416715974"/>
            <w:r>
              <w:rPr>
                <w:rFonts w:hint="eastAsia" w:ascii="宋体" w:hAnsi="宋体" w:cs="宋体"/>
                <w:color w:val="000000" w:themeColor="text1"/>
                <w:sz w:val="21"/>
                <w:szCs w:val="21"/>
                <w:highlight w:val="none"/>
                <w14:textFill>
                  <w14:solidFill>
                    <w14:schemeClr w14:val="tx1"/>
                  </w14:solidFill>
                </w14:textFill>
              </w:rPr>
              <w:t>3、当事人提出的投诉事项必须首先经过质疑程序。质疑人对采购人、采购代理机构的答复不满意，或者采购人、采购代理机构未在规定的时间内做出答复的，可以在答复期满后十五个工作日内书面向同级财政部门提出投诉。</w:t>
            </w:r>
          </w:p>
          <w:p w14:paraId="3856526A">
            <w:pPr>
              <w:pageBreakBefore w:val="0"/>
              <w:kinsoku/>
              <w:wordWrap w:val="0"/>
              <w:bidi w:val="0"/>
              <w:adjustRightInd w:val="0"/>
              <w:snapToGrid w:val="0"/>
              <w:spacing w:beforeAutospacing="0" w:afterAutospacing="0"/>
              <w:ind w:left="0" w:leftChars="0" w:right="0" w:rightChars="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补充内容4：</w:t>
            </w:r>
          </w:p>
          <w:p w14:paraId="7F1396F2">
            <w:pPr>
              <w:pageBreakBefore w:val="0"/>
              <w:widowControl w:val="0"/>
              <w:kinsoku/>
              <w:bidi w:val="0"/>
              <w:spacing w:beforeAutospacing="0" w:afterAutospacing="0" w:line="276" w:lineRule="auto"/>
              <w:ind w:left="0" w:leftChars="0" w:right="0" w:rightChars="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（1）小微企业：供应商应为中小微企业，须按要求提供《中小企业声明函》（残疾人福利性单位声明函、监狱企业证明文件），监狱企业、残疾人福利性单位视同小型或微型企业。</w:t>
            </w:r>
          </w:p>
          <w:p w14:paraId="33272773">
            <w:pPr>
              <w:pageBreakBefore w:val="0"/>
              <w:kinsoku/>
              <w:wordWrap w:val="0"/>
              <w:bidi w:val="0"/>
              <w:adjustRightInd w:val="0"/>
              <w:snapToGrid w:val="0"/>
              <w:spacing w:beforeAutospacing="0" w:afterAutospacing="0"/>
              <w:ind w:left="0" w:leftChars="0" w:right="0" w:rightChars="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（2）本项目所属行业：本项目所属行业为“</w:t>
            </w:r>
            <w:r>
              <w:rPr>
                <w:rFonts w:hint="eastAsia" w:ascii="宋体" w:hAnsi="宋体" w:cs="宋体"/>
                <w:b/>
                <w:bCs/>
                <w:color w:val="000000" w:themeColor="text1"/>
                <w:sz w:val="21"/>
                <w:szCs w:val="21"/>
                <w:highlight w:val="none"/>
                <w:lang w:val="en-US" w:eastAsia="zh-CN"/>
                <w14:textFill>
                  <w14:solidFill>
                    <w14:schemeClr w14:val="tx1"/>
                  </w14:solidFill>
                </w14:textFill>
              </w:rPr>
              <w:t>餐饮业</w:t>
            </w:r>
            <w:r>
              <w:rPr>
                <w:rFonts w:hint="eastAsia" w:ascii="宋体" w:hAnsi="宋体" w:cs="宋体"/>
                <w:b/>
                <w:bCs/>
                <w:color w:val="000000" w:themeColor="text1"/>
                <w:sz w:val="21"/>
                <w:szCs w:val="21"/>
                <w:highlight w:val="none"/>
                <w14:textFill>
                  <w14:solidFill>
                    <w14:schemeClr w14:val="tx1"/>
                  </w14:solidFill>
                </w14:textFill>
              </w:rPr>
              <w:t>”，符合条件的供应商应根据《关于印发中小企业划型标准规定的通知》中行业划型标准进行划型。</w:t>
            </w:r>
            <w:bookmarkEnd w:id="57"/>
          </w:p>
        </w:tc>
      </w:tr>
    </w:tbl>
    <w:p w14:paraId="470ED104">
      <w:pPr>
        <w:pStyle w:val="3"/>
        <w:pageBreakBefore w:val="0"/>
        <w:kinsoku/>
        <w:wordWrap w:val="0"/>
        <w:bidi w:val="0"/>
        <w:spacing w:before="0" w:beforeAutospacing="0" w:after="0" w:afterAutospacing="0" w:line="360" w:lineRule="auto"/>
        <w:ind w:left="0" w:leftChars="0" w:right="0" w:rightChars="0"/>
        <w:jc w:val="center"/>
        <w:rPr>
          <w:rFonts w:ascii="宋体" w:hAnsi="宋体" w:eastAsia="宋体" w:cs="宋体"/>
          <w:color w:val="000000" w:themeColor="text1"/>
          <w:sz w:val="28"/>
          <w:szCs w:val="28"/>
          <w:highlight w:val="none"/>
          <w14:textFill>
            <w14:solidFill>
              <w14:schemeClr w14:val="tx1"/>
            </w14:solidFill>
          </w14:textFill>
        </w:rPr>
      </w:pPr>
      <w:bookmarkStart w:id="58" w:name="_Toc432697152"/>
      <w:r>
        <w:rPr>
          <w:rFonts w:hint="eastAsia" w:ascii="宋体" w:hAnsi="宋体" w:eastAsia="宋体" w:cs="宋体"/>
          <w:color w:val="000000" w:themeColor="text1"/>
          <w:sz w:val="21"/>
          <w:szCs w:val="21"/>
          <w:highlight w:val="none"/>
          <w14:textFill>
            <w14:solidFill>
              <w14:schemeClr w14:val="tx1"/>
            </w14:solidFill>
          </w14:textFill>
        </w:rPr>
        <w:br w:type="page"/>
      </w:r>
      <w:bookmarkStart w:id="59" w:name="_Toc2688"/>
      <w:bookmarkStart w:id="60" w:name="_Toc19042"/>
      <w:r>
        <w:rPr>
          <w:rFonts w:hint="eastAsia" w:ascii="宋体" w:hAnsi="宋体" w:eastAsia="宋体" w:cs="宋体"/>
          <w:color w:val="000000" w:themeColor="text1"/>
          <w:sz w:val="28"/>
          <w:szCs w:val="28"/>
          <w:highlight w:val="none"/>
          <w14:textFill>
            <w14:solidFill>
              <w14:schemeClr w14:val="tx1"/>
            </w14:solidFill>
          </w14:textFill>
        </w:rPr>
        <w:t>二、供应商须知</w:t>
      </w:r>
      <w:bookmarkEnd w:id="58"/>
      <w:bookmarkEnd w:id="59"/>
      <w:bookmarkEnd w:id="60"/>
    </w:p>
    <w:p w14:paraId="70BC3DEC">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61" w:name="_Toc8934"/>
      <w:bookmarkStart w:id="62" w:name="_Toc432697153"/>
      <w:bookmarkStart w:id="63" w:name="_Toc30591"/>
      <w:bookmarkStart w:id="64" w:name="_Toc23024"/>
      <w:r>
        <w:rPr>
          <w:rFonts w:hint="eastAsia" w:ascii="宋体" w:hAnsi="宋体" w:cs="宋体"/>
          <w:color w:val="000000" w:themeColor="text1"/>
          <w:sz w:val="24"/>
          <w:szCs w:val="24"/>
          <w:highlight w:val="none"/>
          <w14:textFill>
            <w14:solidFill>
              <w14:schemeClr w14:val="tx1"/>
            </w14:solidFill>
          </w14:textFill>
        </w:rPr>
        <w:t>（一）总则</w:t>
      </w:r>
      <w:bookmarkEnd w:id="61"/>
      <w:bookmarkEnd w:id="62"/>
      <w:bookmarkEnd w:id="63"/>
      <w:bookmarkEnd w:id="64"/>
    </w:p>
    <w:p w14:paraId="6F1E7CD2">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65" w:name="_Toc432697154"/>
      <w:bookmarkStart w:id="66" w:name="_Toc492994426"/>
      <w:bookmarkStart w:id="67" w:name="_Toc493062261"/>
      <w:bookmarkStart w:id="68" w:name="_Toc492994594"/>
      <w:r>
        <w:rPr>
          <w:rFonts w:hint="eastAsia" w:ascii="宋体" w:hAnsi="宋体" w:cs="宋体"/>
          <w:b/>
          <w:bCs/>
          <w:color w:val="000000" w:themeColor="text1"/>
          <w:sz w:val="21"/>
          <w:szCs w:val="21"/>
          <w:highlight w:val="none"/>
          <w14:textFill>
            <w14:solidFill>
              <w14:schemeClr w14:val="tx1"/>
            </w14:solidFill>
          </w14:textFill>
        </w:rPr>
        <w:t>1.1 项目概况</w:t>
      </w:r>
      <w:bookmarkEnd w:id="65"/>
      <w:bookmarkEnd w:id="66"/>
      <w:bookmarkEnd w:id="67"/>
      <w:bookmarkEnd w:id="68"/>
    </w:p>
    <w:p w14:paraId="0F113DA6">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1.1.1根据《中华人民共和国政府采购法》、《中华人民共和国政府采购法实施条例》、《政府采购货物和服务招标投标管理办法（财政部令第87号）》等有关法律、法规和规章的规定，本招标项目已具备招标条件，现对本项目采购进行招标。</w:t>
      </w:r>
    </w:p>
    <w:p w14:paraId="4BFB7760">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1.1.2 本招标项目采购人：见供应商须知前附表。</w:t>
      </w:r>
    </w:p>
    <w:p w14:paraId="7DFECEEF">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1.1.3 本项目采购代理机构：见供应商须知前附表。</w:t>
      </w:r>
    </w:p>
    <w:p w14:paraId="32E6C098">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69" w:name="_Toc493062264"/>
      <w:bookmarkStart w:id="70" w:name="_Toc492994429"/>
      <w:bookmarkStart w:id="71" w:name="_Toc432697157"/>
      <w:bookmarkStart w:id="72" w:name="_Toc492994597"/>
      <w:r>
        <w:rPr>
          <w:rFonts w:hint="eastAsia" w:ascii="宋体" w:hAnsi="宋体" w:cs="宋体"/>
          <w:color w:val="000000" w:themeColor="text1"/>
          <w:sz w:val="21"/>
          <w:szCs w:val="21"/>
          <w:highlight w:val="none"/>
          <w14:textFill>
            <w14:solidFill>
              <w14:schemeClr w14:val="tx1"/>
            </w14:solidFill>
          </w14:textFill>
        </w:rPr>
        <w:t>1.1.4 本项目名称：见供应商须知前附表。</w:t>
      </w:r>
    </w:p>
    <w:p w14:paraId="10B6111F">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1.1.5 本项目预算金额：见供应商须知前附表。</w:t>
      </w:r>
    </w:p>
    <w:p w14:paraId="6ED4C12B">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73" w:name="_Toc432697155"/>
      <w:bookmarkStart w:id="74" w:name="_Toc492994595"/>
      <w:bookmarkStart w:id="75" w:name="_Toc492994427"/>
      <w:bookmarkStart w:id="76" w:name="_Toc493062262"/>
      <w:r>
        <w:rPr>
          <w:rFonts w:hint="eastAsia" w:ascii="宋体" w:hAnsi="宋体" w:cs="宋体"/>
          <w:b/>
          <w:bCs/>
          <w:color w:val="000000" w:themeColor="text1"/>
          <w:sz w:val="21"/>
          <w:szCs w:val="21"/>
          <w:highlight w:val="none"/>
          <w14:textFill>
            <w14:solidFill>
              <w14:schemeClr w14:val="tx1"/>
            </w14:solidFill>
          </w14:textFill>
        </w:rPr>
        <w:t>1.2 资金来源和落实情况</w:t>
      </w:r>
      <w:bookmarkEnd w:id="73"/>
      <w:bookmarkEnd w:id="74"/>
      <w:bookmarkEnd w:id="75"/>
      <w:bookmarkEnd w:id="76"/>
    </w:p>
    <w:p w14:paraId="32A91DDE">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1.2.1 本招标项目的资金来源：见供应商须知前附表。</w:t>
      </w:r>
    </w:p>
    <w:p w14:paraId="2C388752">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1.2.2 本招标项目的出资比例：见供应商须知前附表。</w:t>
      </w:r>
    </w:p>
    <w:p w14:paraId="4590A06C">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1.2.3 本招标项目的资金落实情况：见供应商须知前附表。</w:t>
      </w:r>
    </w:p>
    <w:p w14:paraId="2F7387DC">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77" w:name="_Toc432697156"/>
      <w:bookmarkStart w:id="78" w:name="_Toc493062263"/>
      <w:bookmarkStart w:id="79" w:name="_Toc492994428"/>
      <w:bookmarkStart w:id="80" w:name="_Toc492994596"/>
      <w:bookmarkStart w:id="81" w:name="_Hlk159439140"/>
      <w:r>
        <w:rPr>
          <w:rFonts w:hint="eastAsia" w:ascii="宋体" w:hAnsi="宋体" w:cs="宋体"/>
          <w:b/>
          <w:bCs/>
          <w:color w:val="000000" w:themeColor="text1"/>
          <w:sz w:val="21"/>
          <w:szCs w:val="21"/>
          <w:highlight w:val="none"/>
          <w14:textFill>
            <w14:solidFill>
              <w14:schemeClr w14:val="tx1"/>
            </w14:solidFill>
          </w14:textFill>
        </w:rPr>
        <w:t>1.3</w:t>
      </w:r>
      <w:bookmarkEnd w:id="77"/>
      <w:r>
        <w:rPr>
          <w:rFonts w:hint="eastAsia" w:ascii="宋体" w:hAnsi="宋体" w:cs="宋体"/>
          <w:b/>
          <w:bCs/>
          <w:color w:val="000000" w:themeColor="text1"/>
          <w:sz w:val="21"/>
          <w:szCs w:val="21"/>
          <w:highlight w:val="none"/>
          <w14:textFill>
            <w14:solidFill>
              <w14:schemeClr w14:val="tx1"/>
            </w14:solidFill>
          </w14:textFill>
        </w:rPr>
        <w:t>采购需求、服务期限、质量要求</w:t>
      </w:r>
      <w:bookmarkEnd w:id="78"/>
      <w:bookmarkEnd w:id="79"/>
      <w:bookmarkEnd w:id="80"/>
      <w:r>
        <w:rPr>
          <w:rFonts w:hint="eastAsia" w:ascii="宋体" w:hAnsi="宋体" w:cs="宋体"/>
          <w:b/>
          <w:bCs/>
          <w:color w:val="000000" w:themeColor="text1"/>
          <w:sz w:val="21"/>
          <w:szCs w:val="21"/>
          <w:highlight w:val="none"/>
          <w14:textFill>
            <w14:solidFill>
              <w14:schemeClr w14:val="tx1"/>
            </w14:solidFill>
          </w14:textFill>
        </w:rPr>
        <w:t>及标段划分</w:t>
      </w:r>
    </w:p>
    <w:p w14:paraId="4C955CD4">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1.3.1本招标项目的采购需求：见供应商须知前附表。</w:t>
      </w:r>
    </w:p>
    <w:p w14:paraId="778A26D0">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1.3.2本招标项目的服务期限：见供应商须知前附表。</w:t>
      </w:r>
    </w:p>
    <w:p w14:paraId="53556FE0">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1.3.3本招标项目的质量要求：见供应商须知前附表。</w:t>
      </w:r>
    </w:p>
    <w:p w14:paraId="18D1072A">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1.3.4本招标项目的标段划分：见供应商须知前附表。</w:t>
      </w:r>
    </w:p>
    <w:bookmarkEnd w:id="81"/>
    <w:p w14:paraId="392B8006">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1.4 供应商资格要求</w:t>
      </w:r>
      <w:bookmarkEnd w:id="69"/>
      <w:bookmarkEnd w:id="70"/>
      <w:bookmarkEnd w:id="71"/>
      <w:bookmarkEnd w:id="72"/>
    </w:p>
    <w:p w14:paraId="20B17A14">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1.4.1 供应商资格及要求：见供应商须知前附表。</w:t>
      </w:r>
    </w:p>
    <w:p w14:paraId="64E0953E">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1.4.2 供应商不得存在下列情形之一：</w:t>
      </w:r>
    </w:p>
    <w:p w14:paraId="03628054">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（1）为供应商不具有独立法人资格的附属机构（单位）；</w:t>
      </w:r>
    </w:p>
    <w:p w14:paraId="0B084CCC">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（2）为本项目的采购人；</w:t>
      </w:r>
    </w:p>
    <w:p w14:paraId="0819E605">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（3）为本项目提供招标代理服务的；</w:t>
      </w:r>
    </w:p>
    <w:p w14:paraId="2924B135">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（4）与本项目的</w:t>
      </w:r>
      <w:bookmarkStart w:id="82" w:name="OLE_LINK1"/>
      <w:r>
        <w:rPr>
          <w:rFonts w:hint="eastAsia" w:ascii="宋体" w:hAnsi="宋体" w:cs="宋体"/>
          <w:color w:val="000000" w:themeColor="text1"/>
          <w:sz w:val="21"/>
          <w:szCs w:val="21"/>
          <w:highlight w:val="none"/>
          <w14:textFill>
            <w14:solidFill>
              <w14:schemeClr w14:val="tx1"/>
            </w14:solidFill>
          </w14:textFill>
        </w:rPr>
        <w:t>采购人或采购代理机构或</w:t>
      </w:r>
      <w:bookmarkEnd w:id="82"/>
      <w:r>
        <w:rPr>
          <w:rFonts w:hint="eastAsia" w:ascii="宋体" w:hAnsi="宋体" w:cs="宋体"/>
          <w:color w:val="000000" w:themeColor="text1"/>
          <w:sz w:val="21"/>
          <w:szCs w:val="21"/>
          <w:highlight w:val="none"/>
          <w14:textFill>
            <w14:solidFill>
              <w14:schemeClr w14:val="tx1"/>
            </w14:solidFill>
          </w14:textFill>
        </w:rPr>
        <w:t>供应商同为一个法定代表人的；</w:t>
      </w:r>
    </w:p>
    <w:p w14:paraId="226E5919">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（5）与本项目的采购人或采购代理机构或供应商相互控股或参股的；</w:t>
      </w:r>
    </w:p>
    <w:p w14:paraId="2B50CDB0">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（6）与本项目的采购人或采购代理机构或供应商相互任职或工作的；</w:t>
      </w:r>
    </w:p>
    <w:p w14:paraId="0207B46B">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（7）被责令停业的；</w:t>
      </w:r>
    </w:p>
    <w:p w14:paraId="5174BC33">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（8）被暂停或取消投标资格的；</w:t>
      </w:r>
    </w:p>
    <w:p w14:paraId="3636A038">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（9）财产被接受或取消投标资格的；</w:t>
      </w:r>
    </w:p>
    <w:p w14:paraId="1E538C75">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（10）在最近三年内有骗取中标或严重违约的。</w:t>
      </w:r>
    </w:p>
    <w:p w14:paraId="3221C2E8">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1.4.3 本项目招标的资格审查方式：资格后审。</w:t>
      </w:r>
    </w:p>
    <w:p w14:paraId="1FF7C9EB">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83" w:name="_Toc493062265"/>
      <w:bookmarkStart w:id="84" w:name="_Toc432697158"/>
      <w:bookmarkStart w:id="85" w:name="_Toc492994430"/>
      <w:bookmarkStart w:id="86" w:name="_Toc492994598"/>
      <w:bookmarkStart w:id="87" w:name="_Toc320473366"/>
      <w:r>
        <w:rPr>
          <w:rFonts w:hint="eastAsia" w:ascii="宋体" w:hAnsi="宋体" w:cs="宋体"/>
          <w:color w:val="000000" w:themeColor="text1"/>
          <w:sz w:val="21"/>
          <w:szCs w:val="21"/>
          <w:highlight w:val="none"/>
          <w14:textFill>
            <w14:solidFill>
              <w14:schemeClr w14:val="tx1"/>
            </w14:solidFill>
          </w14:textFill>
        </w:rPr>
        <w:t>1.4.4 本项目招标是否接受联合体投标：见供应商须知前附表。</w:t>
      </w:r>
    </w:p>
    <w:p w14:paraId="70755B19">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1.5 费用承担</w:t>
      </w:r>
      <w:bookmarkEnd w:id="83"/>
      <w:bookmarkEnd w:id="84"/>
      <w:bookmarkEnd w:id="85"/>
      <w:bookmarkEnd w:id="86"/>
      <w:bookmarkEnd w:id="87"/>
    </w:p>
    <w:p w14:paraId="2691B793">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1.5.1 供应商准备和参加投标活动发生的费用自理。</w:t>
      </w:r>
    </w:p>
    <w:p w14:paraId="1CA47B6F">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1.5.2 中标人须承担招标代理服务费，依据采购人与代理单位约定，代理服务费按供应商须知前附表有关规定办理。</w:t>
      </w:r>
    </w:p>
    <w:p w14:paraId="20017603">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88" w:name="_Toc493062266"/>
      <w:bookmarkStart w:id="89" w:name="_Toc492994599"/>
      <w:bookmarkStart w:id="90" w:name="_Toc320473367"/>
      <w:bookmarkStart w:id="91" w:name="_Toc492994431"/>
      <w:bookmarkStart w:id="92" w:name="_Toc432697159"/>
      <w:r>
        <w:rPr>
          <w:rFonts w:hint="eastAsia" w:ascii="宋体" w:hAnsi="宋体" w:cs="宋体"/>
          <w:b/>
          <w:bCs/>
          <w:color w:val="000000" w:themeColor="text1"/>
          <w:sz w:val="21"/>
          <w:szCs w:val="21"/>
          <w:highlight w:val="none"/>
          <w14:textFill>
            <w14:solidFill>
              <w14:schemeClr w14:val="tx1"/>
            </w14:solidFill>
          </w14:textFill>
        </w:rPr>
        <w:t>1.6 保密</w:t>
      </w:r>
      <w:bookmarkEnd w:id="88"/>
      <w:bookmarkEnd w:id="89"/>
      <w:bookmarkEnd w:id="90"/>
      <w:bookmarkEnd w:id="91"/>
      <w:bookmarkEnd w:id="92"/>
    </w:p>
    <w:p w14:paraId="07C2F7A4">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参与招标投标活动的各方应对招标文件和投标文件中的商业和技术等秘密保密，违者应对由此造成的后果承担法律责任。</w:t>
      </w:r>
    </w:p>
    <w:p w14:paraId="1C4F67B7">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93" w:name="_Toc492994600"/>
      <w:bookmarkStart w:id="94" w:name="_Toc492994432"/>
      <w:bookmarkStart w:id="95" w:name="_Toc493062267"/>
      <w:bookmarkStart w:id="96" w:name="_Toc320473368"/>
      <w:bookmarkStart w:id="97" w:name="_Toc432697160"/>
      <w:r>
        <w:rPr>
          <w:rFonts w:hint="eastAsia" w:ascii="宋体" w:hAnsi="宋体" w:cs="宋体"/>
          <w:b/>
          <w:bCs/>
          <w:color w:val="000000" w:themeColor="text1"/>
          <w:sz w:val="21"/>
          <w:szCs w:val="21"/>
          <w:highlight w:val="none"/>
          <w14:textFill>
            <w14:solidFill>
              <w14:schemeClr w14:val="tx1"/>
            </w14:solidFill>
          </w14:textFill>
        </w:rPr>
        <w:t>1.7 语言文字</w:t>
      </w:r>
      <w:bookmarkEnd w:id="93"/>
      <w:bookmarkEnd w:id="94"/>
      <w:bookmarkEnd w:id="95"/>
      <w:bookmarkEnd w:id="96"/>
      <w:bookmarkEnd w:id="97"/>
    </w:p>
    <w:p w14:paraId="54E42618">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除专用术语外，与招标投标有关的语言均使用中文。必要时专用术语应附中文注释。</w:t>
      </w:r>
    </w:p>
    <w:p w14:paraId="52A4EE1E">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98" w:name="_Toc493062268"/>
      <w:bookmarkStart w:id="99" w:name="_Toc432697161"/>
      <w:bookmarkStart w:id="100" w:name="_Toc320473369"/>
      <w:bookmarkStart w:id="101" w:name="_Toc492994601"/>
      <w:bookmarkStart w:id="102" w:name="_Toc492994433"/>
      <w:r>
        <w:rPr>
          <w:rFonts w:hint="eastAsia" w:ascii="宋体" w:hAnsi="宋体" w:cs="宋体"/>
          <w:b/>
          <w:bCs/>
          <w:color w:val="000000" w:themeColor="text1"/>
          <w:sz w:val="21"/>
          <w:szCs w:val="21"/>
          <w:highlight w:val="none"/>
          <w14:textFill>
            <w14:solidFill>
              <w14:schemeClr w14:val="tx1"/>
            </w14:solidFill>
          </w14:textFill>
        </w:rPr>
        <w:t>1.8 计量单位</w:t>
      </w:r>
      <w:bookmarkEnd w:id="98"/>
      <w:bookmarkEnd w:id="99"/>
      <w:bookmarkEnd w:id="100"/>
      <w:bookmarkEnd w:id="101"/>
      <w:bookmarkEnd w:id="102"/>
    </w:p>
    <w:p w14:paraId="6A34AEB5">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所有计量均采用中华人民共和国法定计量单位。</w:t>
      </w:r>
    </w:p>
    <w:p w14:paraId="58756D4D">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103" w:name="_Toc493062269"/>
      <w:bookmarkStart w:id="104" w:name="_Toc320473370"/>
      <w:bookmarkStart w:id="105" w:name="_Toc492994602"/>
      <w:bookmarkStart w:id="106" w:name="_Toc432697162"/>
      <w:bookmarkStart w:id="107" w:name="_Toc492994434"/>
      <w:r>
        <w:rPr>
          <w:rFonts w:hint="eastAsia" w:ascii="宋体" w:hAnsi="宋体" w:cs="宋体"/>
          <w:b/>
          <w:bCs/>
          <w:color w:val="000000" w:themeColor="text1"/>
          <w:sz w:val="21"/>
          <w:szCs w:val="21"/>
          <w:highlight w:val="none"/>
          <w14:textFill>
            <w14:solidFill>
              <w14:schemeClr w14:val="tx1"/>
            </w14:solidFill>
          </w14:textFill>
        </w:rPr>
        <w:t>1.9 踏勘现场</w:t>
      </w:r>
      <w:bookmarkEnd w:id="103"/>
      <w:bookmarkEnd w:id="104"/>
      <w:bookmarkEnd w:id="105"/>
      <w:bookmarkEnd w:id="106"/>
      <w:bookmarkEnd w:id="107"/>
    </w:p>
    <w:p w14:paraId="1A573F25">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1.9.1 供应商须知前附表规定组织踏勘现场的，采购人按供应商须知前附表规定的时间、地点组织供应商踏勘项目现场。</w:t>
      </w:r>
    </w:p>
    <w:p w14:paraId="69D88243">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1.9.2 供应商踏勘现场发生的费用自理。</w:t>
      </w:r>
    </w:p>
    <w:p w14:paraId="1B2CD40C">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1.9.3 除采购人的原因外，供应商自行负责在踏勘现场中所发生的人员伤亡和财产损失。</w:t>
      </w:r>
    </w:p>
    <w:p w14:paraId="183668FC">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1.9.4 采购人在踏勘现场中介绍的工程场地和相关的周边环境情况，供应商在编制投标文件时参考，采购人不对供应商据此作出的判断和决策负责。</w:t>
      </w:r>
    </w:p>
    <w:p w14:paraId="704E57C2">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108" w:name="_Toc320473371"/>
      <w:bookmarkStart w:id="109" w:name="_Toc493062270"/>
      <w:bookmarkStart w:id="110" w:name="_Toc492994435"/>
      <w:bookmarkStart w:id="111" w:name="_Toc432697163"/>
      <w:bookmarkStart w:id="112" w:name="_Toc492994603"/>
      <w:r>
        <w:rPr>
          <w:rFonts w:hint="eastAsia" w:ascii="宋体" w:hAnsi="宋体" w:cs="宋体"/>
          <w:b/>
          <w:bCs/>
          <w:color w:val="000000" w:themeColor="text1"/>
          <w:sz w:val="21"/>
          <w:szCs w:val="21"/>
          <w:highlight w:val="none"/>
          <w14:textFill>
            <w14:solidFill>
              <w14:schemeClr w14:val="tx1"/>
            </w14:solidFill>
          </w14:textFill>
        </w:rPr>
        <w:t>1.10 投标预备会</w:t>
      </w:r>
      <w:bookmarkEnd w:id="108"/>
      <w:bookmarkEnd w:id="109"/>
      <w:bookmarkEnd w:id="110"/>
      <w:bookmarkEnd w:id="111"/>
      <w:bookmarkEnd w:id="112"/>
    </w:p>
    <w:p w14:paraId="0FE1ABE6">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113" w:name="_Toc320473372"/>
      <w:bookmarkStart w:id="114" w:name="_Toc492994436"/>
      <w:bookmarkStart w:id="115" w:name="_Toc492994604"/>
      <w:bookmarkStart w:id="116" w:name="_Toc432697164"/>
      <w:bookmarkStart w:id="117" w:name="_Toc493062271"/>
      <w:r>
        <w:rPr>
          <w:rFonts w:hint="eastAsia" w:ascii="宋体" w:hAnsi="宋体" w:cs="宋体"/>
          <w:color w:val="000000" w:themeColor="text1"/>
          <w:sz w:val="21"/>
          <w:szCs w:val="21"/>
          <w:highlight w:val="none"/>
          <w14:textFill>
            <w14:solidFill>
              <w14:schemeClr w14:val="tx1"/>
            </w14:solidFill>
          </w14:textFill>
        </w:rPr>
        <w:t>1.10.1 供应商须知前附表规定召开投标预备会的，采购人按供应商须知前附表规定的时间和地点召开投标预备会，澄清供应商提出的问题。</w:t>
      </w:r>
    </w:p>
    <w:p w14:paraId="5C585B4C">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1.10.2 供应商应在投标预备会召开前以书面形式将提出的问题送达采购人，以便采购人在会议期间澄清。</w:t>
      </w:r>
    </w:p>
    <w:p w14:paraId="520B677B">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1.10.3 投标预备会后，采购人将对供应商所提问题的澄清，以书面方式通知所有购买招标文件的供应商。该澄清内容为招标文件的组成部分。</w:t>
      </w:r>
    </w:p>
    <w:p w14:paraId="043F2D10">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1.11 分包</w:t>
      </w:r>
      <w:bookmarkEnd w:id="113"/>
      <w:bookmarkEnd w:id="114"/>
      <w:bookmarkEnd w:id="115"/>
      <w:bookmarkEnd w:id="116"/>
      <w:bookmarkEnd w:id="117"/>
    </w:p>
    <w:p w14:paraId="418AC09F">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本招标项目是否允许分包：见供应商须知前附表。</w:t>
      </w:r>
    </w:p>
    <w:p w14:paraId="3DFBC206">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118" w:name="_Toc492994605"/>
      <w:bookmarkStart w:id="119" w:name="_Toc493062272"/>
      <w:bookmarkStart w:id="120" w:name="_Toc320473373"/>
      <w:bookmarkStart w:id="121" w:name="_Toc432697165"/>
      <w:bookmarkStart w:id="122" w:name="_Toc492994437"/>
      <w:r>
        <w:rPr>
          <w:rFonts w:hint="eastAsia" w:ascii="宋体" w:hAnsi="宋体" w:cs="宋体"/>
          <w:b/>
          <w:bCs/>
          <w:color w:val="000000" w:themeColor="text1"/>
          <w:sz w:val="21"/>
          <w:szCs w:val="21"/>
          <w:highlight w:val="none"/>
          <w14:textFill>
            <w14:solidFill>
              <w14:schemeClr w14:val="tx1"/>
            </w14:solidFill>
          </w14:textFill>
        </w:rPr>
        <w:t>1.12 偏离</w:t>
      </w:r>
      <w:bookmarkEnd w:id="118"/>
      <w:bookmarkEnd w:id="119"/>
      <w:bookmarkEnd w:id="120"/>
      <w:bookmarkEnd w:id="121"/>
      <w:bookmarkEnd w:id="122"/>
    </w:p>
    <w:p w14:paraId="721E005F">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供应商须知前附表允许供应商偏离招标文件某些要求的，偏离应当符合招标文件规定的偏离范围和幅度。</w:t>
      </w:r>
    </w:p>
    <w:p w14:paraId="7768480B">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123" w:name="_Toc22768"/>
      <w:bookmarkStart w:id="124" w:name="_Toc9736"/>
      <w:bookmarkStart w:id="125" w:name="_Toc320473374"/>
      <w:bookmarkStart w:id="126" w:name="_Toc432697166"/>
      <w:bookmarkStart w:id="127" w:name="_Toc17992"/>
      <w:r>
        <w:rPr>
          <w:rFonts w:hint="eastAsia" w:ascii="宋体" w:hAnsi="宋体" w:cs="宋体"/>
          <w:color w:val="000000" w:themeColor="text1"/>
          <w:sz w:val="24"/>
          <w:szCs w:val="24"/>
          <w:highlight w:val="none"/>
          <w14:textFill>
            <w14:solidFill>
              <w14:schemeClr w14:val="tx1"/>
            </w14:solidFill>
          </w14:textFill>
        </w:rPr>
        <w:t>（二）招标文件</w:t>
      </w:r>
      <w:bookmarkEnd w:id="123"/>
      <w:bookmarkEnd w:id="124"/>
      <w:bookmarkEnd w:id="125"/>
      <w:bookmarkEnd w:id="126"/>
      <w:bookmarkEnd w:id="127"/>
    </w:p>
    <w:p w14:paraId="1F6F3BE9">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128" w:name="_Toc432697167"/>
      <w:bookmarkStart w:id="129" w:name="_Toc320473375"/>
      <w:bookmarkStart w:id="130" w:name="_Toc492994607"/>
      <w:bookmarkStart w:id="131" w:name="_Toc492994439"/>
      <w:bookmarkStart w:id="132" w:name="_Toc493062274"/>
      <w:bookmarkStart w:id="133" w:name="_Hlk159609447"/>
      <w:r>
        <w:rPr>
          <w:rFonts w:hint="eastAsia" w:ascii="宋体" w:hAnsi="宋体" w:cs="宋体"/>
          <w:b/>
          <w:bCs/>
          <w:color w:val="000000" w:themeColor="text1"/>
          <w:sz w:val="21"/>
          <w:szCs w:val="21"/>
          <w:highlight w:val="none"/>
          <w14:textFill>
            <w14:solidFill>
              <w14:schemeClr w14:val="tx1"/>
            </w14:solidFill>
          </w14:textFill>
        </w:rPr>
        <w:t>2.1 招标文件的组成</w:t>
      </w:r>
      <w:bookmarkEnd w:id="128"/>
      <w:bookmarkEnd w:id="129"/>
      <w:bookmarkEnd w:id="130"/>
      <w:bookmarkEnd w:id="131"/>
      <w:bookmarkEnd w:id="132"/>
    </w:p>
    <w:p w14:paraId="029B7C0F">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2.1.1 招标文件包括下列内容：</w:t>
      </w:r>
    </w:p>
    <w:p w14:paraId="2A5F7558">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134" w:name="_Hlk159598819"/>
      <w:r>
        <w:rPr>
          <w:rFonts w:hint="eastAsia" w:ascii="宋体" w:hAnsi="宋体" w:cs="宋体"/>
          <w:color w:val="000000" w:themeColor="text1"/>
          <w:sz w:val="21"/>
          <w:szCs w:val="21"/>
          <w:highlight w:val="none"/>
          <w14:textFill>
            <w14:solidFill>
              <w14:schemeClr w14:val="tx1"/>
            </w14:solidFill>
          </w14:textFill>
        </w:rPr>
        <w:t>(1)电子招标文件，包含招标公告（或投标邀请书）、供应商须知、评标办法、技术规范和要求、合同条款及格式、投标文件格式、供应商须知前附表规定的其他材料；</w:t>
      </w:r>
    </w:p>
    <w:bookmarkEnd w:id="134"/>
    <w:p w14:paraId="50CE610E">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(2)其他附件（电子版）。</w:t>
      </w:r>
    </w:p>
    <w:p w14:paraId="51448077">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根据本章第1.10款、第2.2款和第2.3款对招标文件所作的澄清、修改，构成招标文件的组成部分。</w:t>
      </w:r>
    </w:p>
    <w:p w14:paraId="5F66EBA7">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135" w:name="_Toc320473376"/>
      <w:bookmarkStart w:id="136" w:name="_Toc432697168"/>
      <w:bookmarkStart w:id="137" w:name="_Toc492994608"/>
      <w:bookmarkStart w:id="138" w:name="_Toc492994440"/>
      <w:bookmarkStart w:id="139" w:name="_Toc493062275"/>
      <w:r>
        <w:rPr>
          <w:rFonts w:hint="eastAsia" w:ascii="宋体" w:hAnsi="宋体" w:cs="宋体"/>
          <w:b/>
          <w:bCs/>
          <w:color w:val="000000" w:themeColor="text1"/>
          <w:sz w:val="21"/>
          <w:szCs w:val="21"/>
          <w:highlight w:val="none"/>
          <w14:textFill>
            <w14:solidFill>
              <w14:schemeClr w14:val="tx1"/>
            </w14:solidFill>
          </w14:textFill>
        </w:rPr>
        <w:t>2.2 招标文件的澄清</w:t>
      </w:r>
      <w:bookmarkEnd w:id="135"/>
      <w:bookmarkEnd w:id="136"/>
      <w:bookmarkEnd w:id="137"/>
      <w:bookmarkEnd w:id="138"/>
      <w:bookmarkEnd w:id="139"/>
    </w:p>
    <w:p w14:paraId="4EBD50E3">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140" w:name="_Hlk159598853"/>
      <w:bookmarkStart w:id="141" w:name="_Toc432697169"/>
      <w:bookmarkStart w:id="142" w:name="_Toc493062276"/>
      <w:bookmarkStart w:id="143" w:name="_Toc320473377"/>
      <w:bookmarkStart w:id="144" w:name="_Toc492994441"/>
      <w:bookmarkStart w:id="145" w:name="_Toc492994609"/>
      <w:r>
        <w:rPr>
          <w:rFonts w:hint="eastAsia" w:ascii="宋体" w:hAnsi="宋体" w:cs="宋体"/>
          <w:color w:val="000000" w:themeColor="text1"/>
          <w:sz w:val="21"/>
          <w:szCs w:val="21"/>
          <w:highlight w:val="none"/>
          <w14:textFill>
            <w14:solidFill>
              <w14:schemeClr w14:val="tx1"/>
            </w14:solidFill>
          </w14:textFill>
        </w:rPr>
        <w:t>2.2.1供应商应仔细阅读和检查招标文件的全部内容。如发现缺项或内容不全，应在供应商须知和前附表规定的截止时间前凭身份认证密匙登录“政采云平台（https://www.zcygov.cn/）”，通过网络在线方式进行匿名提问。</w:t>
      </w:r>
    </w:p>
    <w:p w14:paraId="05945C17">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2.2.2投标截止时间：见供应商须知前附表。</w:t>
      </w:r>
    </w:p>
    <w:p w14:paraId="37DE1EFC">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2.2.3供应商确认收到招标文件澄清的时间：见供应商须知前附表。</w:t>
      </w:r>
    </w:p>
    <w:p w14:paraId="13D8C18D">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2.2.4澄清和补遗全部通过网络送达，请供应商务必查询政采云平台（https://www.zcygov.cn/），供应商自行登录政采云平台（https://www.zcygov.cn/）获取澄清，无须回复确认已收到该澄清，采购人不再另行通知。</w:t>
      </w:r>
      <w:bookmarkEnd w:id="140"/>
    </w:p>
    <w:p w14:paraId="0650270D">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2.3 招标文件的修改</w:t>
      </w:r>
      <w:bookmarkEnd w:id="141"/>
      <w:bookmarkEnd w:id="142"/>
      <w:bookmarkEnd w:id="143"/>
      <w:bookmarkEnd w:id="144"/>
      <w:bookmarkEnd w:id="145"/>
    </w:p>
    <w:p w14:paraId="77050DD9">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146" w:name="_Hlk159598876"/>
      <w:bookmarkStart w:id="147" w:name="_Toc229583203"/>
      <w:bookmarkStart w:id="148" w:name="_Toc432697170"/>
      <w:r>
        <w:rPr>
          <w:rFonts w:hint="eastAsia" w:ascii="宋体" w:hAnsi="宋体" w:cs="宋体"/>
          <w:color w:val="000000" w:themeColor="text1"/>
          <w:sz w:val="21"/>
          <w:szCs w:val="21"/>
          <w:highlight w:val="none"/>
          <w14:textFill>
            <w14:solidFill>
              <w14:schemeClr w14:val="tx1"/>
            </w14:solidFill>
          </w14:textFill>
        </w:rPr>
        <w:t>2.3.1 在投标截止时间15日前，采购人确需要变更招标文件内容的，采购人可主动或在解答供应商提出的澄清问题时对招标文件进行修改，不足15日的，采购人或者采购代理机构应当顺延提交投标文件的截止时间。招标文件的修改将在政采云平台（https://www.zcygov.cn/）发布，招标文件的修改作为招标文件的组成部分，并具有约束力。</w:t>
      </w:r>
      <w:bookmarkEnd w:id="146"/>
    </w:p>
    <w:p w14:paraId="2BFA4855">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2.3.2供应商确认收到招标文件修改的时间：见供应商须知前附表。</w:t>
      </w:r>
    </w:p>
    <w:p w14:paraId="6B62CC3B">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2.3.3招标文件、招标文件澄清、招标文件修改文件内容均以网上发布的为准，当招标文件、招标文件澄清、招标文件修改文件内容相互矛盾时，以最后发出的为准。</w:t>
      </w:r>
      <w:bookmarkEnd w:id="133"/>
    </w:p>
    <w:p w14:paraId="6A01149E">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149" w:name="_Toc31595"/>
      <w:bookmarkStart w:id="150" w:name="_Toc578"/>
      <w:bookmarkStart w:id="151" w:name="_Toc4098"/>
      <w:r>
        <w:rPr>
          <w:rFonts w:hint="eastAsia" w:ascii="宋体" w:hAnsi="宋体" w:cs="宋体"/>
          <w:color w:val="000000" w:themeColor="text1"/>
          <w:sz w:val="24"/>
          <w:szCs w:val="24"/>
          <w:highlight w:val="none"/>
          <w14:textFill>
            <w14:solidFill>
              <w14:schemeClr w14:val="tx1"/>
            </w14:solidFill>
          </w14:textFill>
        </w:rPr>
        <w:t>（三）投标文件的编制</w:t>
      </w:r>
      <w:bookmarkEnd w:id="147"/>
      <w:bookmarkEnd w:id="148"/>
      <w:bookmarkEnd w:id="149"/>
      <w:bookmarkEnd w:id="150"/>
      <w:bookmarkEnd w:id="151"/>
    </w:p>
    <w:p w14:paraId="5F5FE594">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152" w:name="_Toc492994611"/>
      <w:bookmarkStart w:id="153" w:name="_Toc493062278"/>
      <w:bookmarkStart w:id="154" w:name="_Toc492994443"/>
      <w:bookmarkStart w:id="155" w:name="_Toc432697171"/>
      <w:r>
        <w:rPr>
          <w:rFonts w:hint="eastAsia" w:ascii="宋体" w:hAnsi="宋体" w:cs="宋体"/>
          <w:b/>
          <w:bCs/>
          <w:color w:val="000000" w:themeColor="text1"/>
          <w:sz w:val="21"/>
          <w:szCs w:val="21"/>
          <w:highlight w:val="none"/>
          <w14:textFill>
            <w14:solidFill>
              <w14:schemeClr w14:val="tx1"/>
            </w14:solidFill>
          </w14:textFill>
        </w:rPr>
        <w:t>3.1 投标文件的组成</w:t>
      </w:r>
      <w:bookmarkEnd w:id="152"/>
      <w:bookmarkEnd w:id="153"/>
      <w:bookmarkEnd w:id="154"/>
      <w:bookmarkEnd w:id="155"/>
    </w:p>
    <w:p w14:paraId="57956765">
      <w:pPr>
        <w:pageBreakBefore w:val="0"/>
        <w:kinsoku/>
        <w:wordWrap w:val="0"/>
        <w:bidi w:val="0"/>
        <w:spacing w:beforeAutospacing="0" w:afterAutospacing="0" w:line="360" w:lineRule="auto"/>
        <w:ind w:left="0" w:leftChars="0" w:right="0" w:rightChars="0" w:firstLine="498" w:firstLineChars="236"/>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3.1.1 投标文件应包括投标函部分、商务部分、技术部分和资格审查部分四部分组成，格式详见第六章“投标文件格式”。</w:t>
      </w:r>
    </w:p>
    <w:p w14:paraId="5FBAD981">
      <w:pPr>
        <w:pageBreakBefore w:val="0"/>
        <w:kinsoku/>
        <w:wordWrap w:val="0"/>
        <w:bidi w:val="0"/>
        <w:spacing w:beforeAutospacing="0" w:afterAutospacing="0" w:line="360" w:lineRule="auto"/>
        <w:ind w:left="0" w:leftChars="0" w:right="0" w:rightChars="0" w:firstLine="495" w:firstLineChars="236"/>
        <w:rPr>
          <w:rFonts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3.1.2 投标文件包括本须知第3.1.1条中规定的内容，投标提交的投标文件应当使用招标文件所提供的投标文件全部格式（表格可以按同样格式扩展）。</w:t>
      </w:r>
    </w:p>
    <w:p w14:paraId="2B7CE3B8">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156" w:name="_Toc492994444"/>
      <w:bookmarkStart w:id="157" w:name="_Toc492994612"/>
      <w:bookmarkStart w:id="158" w:name="_Toc493062279"/>
      <w:bookmarkStart w:id="159" w:name="_Toc432697172"/>
      <w:r>
        <w:rPr>
          <w:rFonts w:hint="eastAsia" w:ascii="宋体" w:hAnsi="宋体" w:cs="宋体"/>
          <w:b/>
          <w:bCs/>
          <w:color w:val="000000" w:themeColor="text1"/>
          <w:sz w:val="21"/>
          <w:szCs w:val="21"/>
          <w:highlight w:val="none"/>
          <w14:textFill>
            <w14:solidFill>
              <w14:schemeClr w14:val="tx1"/>
            </w14:solidFill>
          </w14:textFill>
        </w:rPr>
        <w:t>3.2 投标报价</w:t>
      </w:r>
      <w:bookmarkEnd w:id="156"/>
      <w:bookmarkEnd w:id="157"/>
      <w:bookmarkEnd w:id="158"/>
      <w:bookmarkEnd w:id="159"/>
    </w:p>
    <w:p w14:paraId="72DCC50F">
      <w:pPr>
        <w:pageBreakBefore w:val="0"/>
        <w:kinsoku/>
        <w:wordWrap w:val="0"/>
        <w:bidi w:val="0"/>
        <w:spacing w:beforeAutospacing="0" w:afterAutospacing="0" w:line="360" w:lineRule="auto"/>
        <w:ind w:left="0" w:leftChars="0" w:right="0" w:rightChars="0" w:firstLine="495" w:firstLineChars="236"/>
        <w:rPr>
          <w:rFonts w:ascii="宋体" w:hAnsi="宋体" w:cs="宋体"/>
          <w:color w:val="000000" w:themeColor="text1"/>
          <w:sz w:val="21"/>
          <w:szCs w:val="21"/>
          <w:highlight w:val="none"/>
          <w14:textFill>
            <w14:solidFill>
              <w14:schemeClr w14:val="tx1"/>
            </w14:solidFill>
          </w14:textFill>
        </w:rPr>
      </w:pPr>
      <w:bookmarkStart w:id="160" w:name="_Hlk37417794"/>
      <w:bookmarkStart w:id="161" w:name="_Hlk37752754"/>
      <w:bookmarkStart w:id="162" w:name="_Toc492994613"/>
      <w:bookmarkStart w:id="163" w:name="_Toc493062280"/>
      <w:bookmarkStart w:id="164" w:name="_Toc492994445"/>
      <w:bookmarkStart w:id="165" w:name="_Toc432697173"/>
      <w:r>
        <w:rPr>
          <w:rFonts w:hint="eastAsia" w:ascii="宋体" w:hAnsi="宋体" w:cs="宋体"/>
          <w:color w:val="000000" w:themeColor="text1"/>
          <w:sz w:val="21"/>
          <w:szCs w:val="21"/>
          <w:highlight w:val="none"/>
          <w14:textFill>
            <w14:solidFill>
              <w14:schemeClr w14:val="tx1"/>
            </w14:solidFill>
          </w14:textFill>
        </w:rPr>
        <w:t>3.2.1 报价方式：按</w:t>
      </w:r>
      <w:r>
        <w:rPr>
          <w:rFonts w:hint="eastAsia" w:ascii="宋体" w:hAnsi="宋体" w:cs="宋体"/>
          <w:color w:val="000000" w:themeColor="text1"/>
          <w:sz w:val="21"/>
          <w:szCs w:val="21"/>
          <w:highlight w:val="none"/>
          <w:lang w:val="en-US" w:eastAsia="zh-CN"/>
          <w14:textFill>
            <w14:solidFill>
              <w14:schemeClr w14:val="tx1"/>
            </w14:solidFill>
          </w14:textFill>
        </w:rPr>
        <w:t>年度含税</w:t>
      </w:r>
      <w:r>
        <w:rPr>
          <w:rFonts w:hint="eastAsia" w:ascii="宋体" w:hAnsi="宋体" w:cs="宋体"/>
          <w:color w:val="000000" w:themeColor="text1"/>
          <w:sz w:val="21"/>
          <w:szCs w:val="21"/>
          <w:highlight w:val="none"/>
          <w14:textFill>
            <w14:solidFill>
              <w14:schemeClr w14:val="tx1"/>
            </w14:solidFill>
          </w14:textFill>
        </w:rPr>
        <w:t>包干总价形式进行报价。</w:t>
      </w:r>
    </w:p>
    <w:p w14:paraId="731FE749">
      <w:pPr>
        <w:pStyle w:val="5"/>
        <w:pageBreakBefore w:val="0"/>
        <w:kinsoku/>
        <w:bidi w:val="0"/>
        <w:spacing w:beforeAutospacing="0" w:afterAutospacing="0" w:line="360" w:lineRule="auto"/>
        <w:ind w:left="0" w:leftChars="0" w:right="0" w:rightChars="0" w:firstLine="369" w:firstLineChars="176"/>
        <w:rPr>
          <w:rFonts w:hint="eastAsia" w:ascii="宋体" w:hAnsi="宋体" w:cs="宋体"/>
          <w:b w:val="0"/>
          <w:bCs/>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14:textFill>
            <w14:solidFill>
              <w14:schemeClr w14:val="tx1"/>
            </w14:solidFill>
          </w14:textFill>
        </w:rPr>
        <w:t>投标报价应包含完成采购人约定的工作内容和合同条款所列工作范围的全部费用，包括但不限于材料费、人工费、交通费、管理费、食宿费、保险费、利润、税金等一切费用，供应商应充分考虑合同履行期限内可能发生的各种风险因素；任何有选择的报价将不予接受，本次采购只允许供应商只有一个有效的投标报价。在投标文件中，供应商投报两个或多个方案或有两个或多个投标报价，又未书面声明其中哪一个有效的，投标文件按否决处理。</w:t>
      </w:r>
    </w:p>
    <w:p w14:paraId="2E124508">
      <w:pPr>
        <w:pStyle w:val="5"/>
        <w:pageBreakBefore w:val="0"/>
        <w:numPr>
          <w:ilvl w:val="0"/>
          <w:numId w:val="0"/>
        </w:numPr>
        <w:kinsoku/>
        <w:bidi w:val="0"/>
        <w:spacing w:beforeAutospacing="0" w:afterAutospacing="0" w:line="360" w:lineRule="auto"/>
        <w:ind w:left="0" w:leftChars="0" w:right="0" w:rightChars="0" w:firstLine="371" w:firstLineChars="176"/>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3.2.2本项目招标控制价：详见供应商须知前附表。</w:t>
      </w:r>
    </w:p>
    <w:p w14:paraId="6EB6D2CB">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3.2.4 报价应本着合理的原则，采购人不保证报价最低者一定中标。</w:t>
      </w:r>
    </w:p>
    <w:p w14:paraId="3FCF2970">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3.2.5 供应商投标报价应为人民币报价，保留小数点后两位小数。</w:t>
      </w:r>
    </w:p>
    <w:p w14:paraId="77C0ADB2">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3.2.6 供应商应充分了解该项目的总体情况以及影响投标报价的其他要素。</w:t>
      </w:r>
    </w:p>
    <w:bookmarkEnd w:id="160"/>
    <w:bookmarkEnd w:id="161"/>
    <w:p w14:paraId="70A3F7DA">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3.3 投标有效期</w:t>
      </w:r>
      <w:bookmarkEnd w:id="162"/>
      <w:bookmarkEnd w:id="163"/>
      <w:bookmarkEnd w:id="164"/>
      <w:bookmarkEnd w:id="165"/>
    </w:p>
    <w:p w14:paraId="4B5AF5CA">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3.3.1 在供应商须知前附表规定的投标有效期内，供应商不得要求撤销或修改其投标文件。</w:t>
      </w:r>
    </w:p>
    <w:p w14:paraId="34198524">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3.3.2 出现特殊情况需要延长投标有效期的，采购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14:paraId="757CA5D3">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166" w:name="_Toc492994614"/>
      <w:bookmarkStart w:id="167" w:name="_Toc432697174"/>
      <w:bookmarkStart w:id="168" w:name="_Toc492994446"/>
      <w:bookmarkStart w:id="169" w:name="_Toc493062281"/>
      <w:r>
        <w:rPr>
          <w:rFonts w:hint="eastAsia" w:ascii="宋体" w:hAnsi="宋体" w:cs="宋体"/>
          <w:b/>
          <w:bCs/>
          <w:color w:val="000000" w:themeColor="text1"/>
          <w:sz w:val="21"/>
          <w:szCs w:val="21"/>
          <w:highlight w:val="none"/>
          <w14:textFill>
            <w14:solidFill>
              <w14:schemeClr w14:val="tx1"/>
            </w14:solidFill>
          </w14:textFill>
        </w:rPr>
        <w:t>3.4投标保证金</w:t>
      </w:r>
      <w:bookmarkEnd w:id="166"/>
      <w:bookmarkEnd w:id="167"/>
      <w:bookmarkEnd w:id="168"/>
      <w:bookmarkEnd w:id="169"/>
    </w:p>
    <w:p w14:paraId="67C64FE7">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170" w:name="_Toc432697175"/>
      <w:bookmarkStart w:id="171" w:name="_Toc320473383"/>
      <w:bookmarkStart w:id="172" w:name="_Toc493062282"/>
      <w:bookmarkStart w:id="173" w:name="_Toc492994615"/>
      <w:bookmarkStart w:id="174" w:name="_Toc492994447"/>
      <w:r>
        <w:rPr>
          <w:rFonts w:hint="eastAsia" w:ascii="宋体" w:hAnsi="宋体" w:cs="宋体"/>
          <w:color w:val="000000" w:themeColor="text1"/>
          <w:sz w:val="21"/>
          <w:szCs w:val="21"/>
          <w:highlight w:val="none"/>
          <w14:textFill>
            <w14:solidFill>
              <w14:schemeClr w14:val="tx1"/>
            </w14:solidFill>
          </w14:textFill>
        </w:rPr>
        <w:t>详见供应商须知前附表规定。</w:t>
      </w:r>
    </w:p>
    <w:p w14:paraId="2525FC97">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3.5 资格审查资料</w:t>
      </w:r>
      <w:bookmarkEnd w:id="170"/>
      <w:bookmarkEnd w:id="171"/>
      <w:bookmarkEnd w:id="172"/>
      <w:bookmarkEnd w:id="173"/>
      <w:bookmarkEnd w:id="174"/>
    </w:p>
    <w:p w14:paraId="26B20B91">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详见投标文件第六章“投标文件资格审查部分格式”。</w:t>
      </w:r>
    </w:p>
    <w:p w14:paraId="036672EA">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175" w:name="_Toc432697176"/>
      <w:bookmarkStart w:id="176" w:name="_Toc492994616"/>
      <w:bookmarkStart w:id="177" w:name="_Toc493062283"/>
      <w:bookmarkStart w:id="178" w:name="_Toc492994448"/>
      <w:bookmarkStart w:id="179" w:name="_Toc320473384"/>
      <w:r>
        <w:rPr>
          <w:rFonts w:hint="eastAsia" w:ascii="宋体" w:hAnsi="宋体" w:cs="宋体"/>
          <w:b/>
          <w:bCs/>
          <w:color w:val="000000" w:themeColor="text1"/>
          <w:sz w:val="21"/>
          <w:szCs w:val="21"/>
          <w:highlight w:val="none"/>
          <w14:textFill>
            <w14:solidFill>
              <w14:schemeClr w14:val="tx1"/>
            </w14:solidFill>
          </w14:textFill>
        </w:rPr>
        <w:t>3.6 备选投标方案</w:t>
      </w:r>
      <w:bookmarkEnd w:id="175"/>
      <w:bookmarkEnd w:id="176"/>
      <w:bookmarkEnd w:id="177"/>
      <w:bookmarkEnd w:id="178"/>
      <w:bookmarkEnd w:id="179"/>
    </w:p>
    <w:p w14:paraId="36A1E851">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除供应商须知前附表另有规定外，供应商不得递交备选投标方案。允许供应商递交备选投标方案的，只有中标人所递交的备选投标方案方可予以考虑。评标委员会认为中标人的备选投标方案优于其按照招标文件要求编制的投标方案的，采购人可以接受该备选投标方案。</w:t>
      </w:r>
    </w:p>
    <w:p w14:paraId="312345FD">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180" w:name="_Toc320473385"/>
      <w:bookmarkStart w:id="181" w:name="_Toc492994449"/>
      <w:bookmarkStart w:id="182" w:name="_Toc432697177"/>
      <w:bookmarkStart w:id="183" w:name="_Toc492994617"/>
      <w:bookmarkStart w:id="184" w:name="_Toc493062284"/>
      <w:r>
        <w:rPr>
          <w:rFonts w:hint="eastAsia" w:ascii="宋体" w:hAnsi="宋体" w:cs="宋体"/>
          <w:b/>
          <w:bCs/>
          <w:color w:val="000000" w:themeColor="text1"/>
          <w:sz w:val="21"/>
          <w:szCs w:val="21"/>
          <w:highlight w:val="none"/>
          <w14:textFill>
            <w14:solidFill>
              <w14:schemeClr w14:val="tx1"/>
            </w14:solidFill>
          </w14:textFill>
        </w:rPr>
        <w:t>3.7 投标文件的编制</w:t>
      </w:r>
      <w:bookmarkEnd w:id="180"/>
      <w:bookmarkEnd w:id="181"/>
      <w:bookmarkEnd w:id="182"/>
      <w:bookmarkEnd w:id="183"/>
      <w:bookmarkEnd w:id="184"/>
    </w:p>
    <w:p w14:paraId="4C11C61D">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185" w:name="_Toc229583204"/>
      <w:bookmarkStart w:id="186" w:name="_Toc320473386"/>
      <w:bookmarkStart w:id="187" w:name="_Toc432697178"/>
      <w:r>
        <w:rPr>
          <w:rFonts w:hint="eastAsia" w:ascii="宋体" w:hAnsi="宋体" w:cs="宋体"/>
          <w:color w:val="000000" w:themeColor="text1"/>
          <w:sz w:val="21"/>
          <w:szCs w:val="21"/>
          <w:highlight w:val="none"/>
          <w14:textFill>
            <w14:solidFill>
              <w14:schemeClr w14:val="tx1"/>
            </w14:solidFill>
          </w14:textFill>
        </w:rPr>
        <w:t>3.7.1投标文件应按第六章“投标文件格式”进行编写，如有必要，可以增加附页，作为投标文件的组成部分。</w:t>
      </w:r>
    </w:p>
    <w:p w14:paraId="45013084">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3.7.2投标文件应当对招标文件有关服务期限、投标有效期、质量要求、采购范围等实质性内容作出响应。投标文件在满足招标文件实质性要求的基础上，可以提出比招标文件要求更有利于采购人的承诺。</w:t>
      </w:r>
    </w:p>
    <w:p w14:paraId="3824B5CE">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3.7.3投标文件的签署：见供应商须知前附表。</w:t>
      </w:r>
    </w:p>
    <w:p w14:paraId="0895C332">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3.7.4投标文件递交及有关内容：见供应商须知前附表。</w:t>
      </w:r>
    </w:p>
    <w:p w14:paraId="2EFC02F4">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188" w:name="_Toc4209"/>
      <w:bookmarkStart w:id="189" w:name="_Toc6789"/>
      <w:bookmarkStart w:id="190" w:name="_Toc14879"/>
      <w:r>
        <w:rPr>
          <w:rFonts w:hint="eastAsia" w:ascii="宋体" w:hAnsi="宋体" w:cs="宋体"/>
          <w:color w:val="000000" w:themeColor="text1"/>
          <w:sz w:val="24"/>
          <w:szCs w:val="24"/>
          <w:highlight w:val="none"/>
          <w14:textFill>
            <w14:solidFill>
              <w14:schemeClr w14:val="tx1"/>
            </w14:solidFill>
          </w14:textFill>
        </w:rPr>
        <w:t>（四）投标</w:t>
      </w:r>
      <w:bookmarkEnd w:id="185"/>
      <w:bookmarkEnd w:id="186"/>
      <w:bookmarkEnd w:id="187"/>
      <w:bookmarkEnd w:id="188"/>
      <w:bookmarkEnd w:id="189"/>
      <w:bookmarkEnd w:id="190"/>
    </w:p>
    <w:p w14:paraId="19AD88C0">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191" w:name="_Toc320473388"/>
      <w:bookmarkStart w:id="192" w:name="_Toc493062287"/>
      <w:bookmarkStart w:id="193" w:name="_Toc432697180"/>
      <w:bookmarkStart w:id="194" w:name="_Toc492994620"/>
      <w:bookmarkStart w:id="195" w:name="_Toc492994452"/>
      <w:bookmarkStart w:id="196" w:name="_Hlk159594559"/>
      <w:bookmarkStart w:id="197" w:name="_Hlk159598926"/>
      <w:bookmarkStart w:id="198" w:name="_Toc320473390"/>
      <w:bookmarkStart w:id="199" w:name="_Toc229583205"/>
      <w:r>
        <w:rPr>
          <w:rFonts w:hint="eastAsia" w:ascii="宋体" w:hAnsi="宋体" w:cs="宋体"/>
          <w:b/>
          <w:bCs/>
          <w:color w:val="000000" w:themeColor="text1"/>
          <w:sz w:val="21"/>
          <w:szCs w:val="21"/>
          <w:highlight w:val="none"/>
          <w14:textFill>
            <w14:solidFill>
              <w14:schemeClr w14:val="tx1"/>
            </w14:solidFill>
          </w14:textFill>
        </w:rPr>
        <w:t>4.1 投标文件的递交</w:t>
      </w:r>
      <w:bookmarkEnd w:id="191"/>
      <w:bookmarkEnd w:id="192"/>
      <w:bookmarkEnd w:id="193"/>
      <w:bookmarkEnd w:id="194"/>
      <w:bookmarkEnd w:id="195"/>
    </w:p>
    <w:p w14:paraId="4EBDA6CB">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200" w:name="_Toc432697181"/>
      <w:bookmarkStart w:id="201" w:name="_Toc298756601"/>
      <w:bookmarkStart w:id="202" w:name="_Toc492994453"/>
      <w:bookmarkStart w:id="203" w:name="_Toc286926313"/>
      <w:bookmarkStart w:id="204" w:name="_Toc492994621"/>
      <w:bookmarkStart w:id="205" w:name="_Toc297588090"/>
      <w:bookmarkStart w:id="206" w:name="_Toc493062288"/>
      <w:bookmarkStart w:id="207" w:name="_Toc319673076"/>
      <w:bookmarkStart w:id="208" w:name="_Toc320473389"/>
      <w:bookmarkStart w:id="209" w:name="_Toc319440076"/>
      <w:bookmarkStart w:id="210" w:name="_Toc276263731"/>
      <w:r>
        <w:rPr>
          <w:rFonts w:hint="eastAsia" w:ascii="宋体" w:hAnsi="宋体" w:cs="宋体"/>
          <w:color w:val="000000" w:themeColor="text1"/>
          <w:sz w:val="21"/>
          <w:szCs w:val="21"/>
          <w:highlight w:val="none"/>
          <w14:textFill>
            <w14:solidFill>
              <w14:schemeClr w14:val="tx1"/>
            </w14:solidFill>
          </w14:textFill>
        </w:rPr>
        <w:t>4.1.1供应商在投标须知前附表规定的截止时间前递交投标文件。</w:t>
      </w:r>
    </w:p>
    <w:p w14:paraId="4EC4FBFB">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4.1.2 供应商在投标须知前附表规定的地点递交投标文件。</w:t>
      </w:r>
    </w:p>
    <w:p w14:paraId="0807BA81">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4.1.3 除投标须知前附表另有规定外，供应商所递交的投标文件不予退还。</w:t>
      </w:r>
    </w:p>
    <w:p w14:paraId="27AEF2DF">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4.1.4 逾期送达的或者未送达指定地点的投标文件，采购人不予受理。</w:t>
      </w:r>
    </w:p>
    <w:p w14:paraId="0886FB32">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4.2 投标文件的补充、修改</w:t>
      </w:r>
      <w:bookmarkEnd w:id="200"/>
      <w:bookmarkEnd w:id="201"/>
      <w:bookmarkEnd w:id="202"/>
      <w:bookmarkEnd w:id="203"/>
      <w:bookmarkEnd w:id="204"/>
      <w:bookmarkEnd w:id="205"/>
      <w:bookmarkEnd w:id="206"/>
      <w:bookmarkEnd w:id="207"/>
      <w:bookmarkEnd w:id="208"/>
      <w:bookmarkEnd w:id="209"/>
      <w:bookmarkEnd w:id="210"/>
    </w:p>
    <w:p w14:paraId="174FFD8F">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4.2.1 在供应商须知前附表4.1.1项规定的投标截止时间前，供应商可以修改或撤回已递交的投标文件，但应以书面形式通知采购人。</w:t>
      </w:r>
    </w:p>
    <w:p w14:paraId="24E5C981">
      <w:pPr>
        <w:pageBreakBefore w:val="0"/>
        <w:kinsoku/>
        <w:wordWrap w:val="0"/>
        <w:bidi w:val="0"/>
        <w:spacing w:beforeAutospacing="0" w:afterAutospacing="0" w:line="360" w:lineRule="auto"/>
        <w:ind w:left="0" w:leftChars="0" w:right="0" w:rightChars="0" w:firstLine="420"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4.2.2 修改的内容为投标文件的组成部分。修改的投标文件应按照本章第3条、第4条规定进行编制、密封、标记和递交，并标明“修改”字样。</w:t>
      </w:r>
      <w:bookmarkEnd w:id="196"/>
    </w:p>
    <w:bookmarkEnd w:id="197"/>
    <w:p w14:paraId="71D3D16A">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211" w:name="_Toc29848"/>
      <w:bookmarkStart w:id="212" w:name="_Toc432697182"/>
      <w:bookmarkStart w:id="213" w:name="_Toc2878"/>
      <w:bookmarkStart w:id="214" w:name="_Toc26115"/>
      <w:r>
        <w:rPr>
          <w:rFonts w:hint="eastAsia" w:ascii="宋体" w:hAnsi="宋体" w:cs="宋体"/>
          <w:color w:val="000000" w:themeColor="text1"/>
          <w:sz w:val="24"/>
          <w:szCs w:val="24"/>
          <w:highlight w:val="none"/>
          <w14:textFill>
            <w14:solidFill>
              <w14:schemeClr w14:val="tx1"/>
            </w14:solidFill>
          </w14:textFill>
        </w:rPr>
        <w:t>（五）开标</w:t>
      </w:r>
      <w:bookmarkEnd w:id="198"/>
      <w:bookmarkEnd w:id="199"/>
      <w:bookmarkEnd w:id="211"/>
      <w:bookmarkEnd w:id="212"/>
      <w:bookmarkEnd w:id="213"/>
      <w:bookmarkEnd w:id="214"/>
    </w:p>
    <w:p w14:paraId="0EB03170">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215" w:name="_Toc432697183"/>
      <w:bookmarkStart w:id="216" w:name="_Toc492994455"/>
      <w:bookmarkStart w:id="217" w:name="_Toc492994623"/>
      <w:bookmarkStart w:id="218" w:name="_Toc320473391"/>
      <w:bookmarkStart w:id="219" w:name="_Toc493062290"/>
      <w:r>
        <w:rPr>
          <w:rFonts w:hint="eastAsia" w:ascii="宋体" w:hAnsi="宋体" w:cs="宋体"/>
          <w:b/>
          <w:bCs/>
          <w:color w:val="000000" w:themeColor="text1"/>
          <w:sz w:val="21"/>
          <w:szCs w:val="21"/>
          <w:highlight w:val="none"/>
          <w14:textFill>
            <w14:solidFill>
              <w14:schemeClr w14:val="tx1"/>
            </w14:solidFill>
          </w14:textFill>
        </w:rPr>
        <w:t>5.1 开标时间和地点</w:t>
      </w:r>
      <w:bookmarkEnd w:id="215"/>
      <w:bookmarkEnd w:id="216"/>
      <w:bookmarkEnd w:id="217"/>
      <w:bookmarkEnd w:id="218"/>
      <w:bookmarkEnd w:id="219"/>
    </w:p>
    <w:p w14:paraId="0FB0B2B5">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220" w:name="_Toc319673079"/>
      <w:bookmarkStart w:id="221" w:name="_Toc493062291"/>
      <w:bookmarkStart w:id="222" w:name="_Toc298756604"/>
      <w:bookmarkStart w:id="223" w:name="_Toc320473392"/>
      <w:bookmarkStart w:id="224" w:name="_Toc319440079"/>
      <w:bookmarkStart w:id="225" w:name="_Toc492994456"/>
      <w:bookmarkStart w:id="226" w:name="_Toc492994624"/>
      <w:bookmarkStart w:id="227" w:name="_Toc432697184"/>
      <w:r>
        <w:rPr>
          <w:rFonts w:hint="eastAsia" w:ascii="宋体" w:hAnsi="宋体" w:cs="宋体"/>
          <w:color w:val="000000" w:themeColor="text1"/>
          <w:sz w:val="21"/>
          <w:szCs w:val="21"/>
          <w:highlight w:val="none"/>
          <w14:textFill>
            <w14:solidFill>
              <w14:schemeClr w14:val="tx1"/>
            </w14:solidFill>
          </w14:textFill>
        </w:rPr>
        <w:t>采购人在供应商须知前附表规定的时间和地点公开进行开标，并邀请所有供应商准时参加。</w:t>
      </w:r>
    </w:p>
    <w:p w14:paraId="6F468DE3">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5.2 开标程序</w:t>
      </w:r>
      <w:bookmarkEnd w:id="220"/>
      <w:bookmarkEnd w:id="221"/>
      <w:bookmarkEnd w:id="222"/>
      <w:bookmarkEnd w:id="223"/>
      <w:bookmarkEnd w:id="224"/>
      <w:bookmarkEnd w:id="225"/>
      <w:bookmarkEnd w:id="226"/>
      <w:bookmarkEnd w:id="227"/>
    </w:p>
    <w:p w14:paraId="3A4282F8">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主持人按下列程序进行开标：</w:t>
      </w:r>
    </w:p>
    <w:p w14:paraId="0EE43D60">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（1）宣布开标纪律；</w:t>
      </w:r>
    </w:p>
    <w:p w14:paraId="79B6E2B4">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（2）公布在投标截止时间前递交投标文件的供应商名称，并确认供应商是否派人参与；</w:t>
      </w:r>
    </w:p>
    <w:p w14:paraId="0FC957A6">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（3）宣布开标人、唱标人、记录人、监标人等有关人员姓名；</w:t>
      </w:r>
    </w:p>
    <w:p w14:paraId="7D5BFA7F">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（4）按照随机顺序当众开标，公布供应商名称、标段名称、投标保证金的递交情况、投标报价及其他内容，并记录在案；</w:t>
      </w:r>
    </w:p>
    <w:p w14:paraId="365B8137">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（5）供应商代表、采购人代表、监标人、记录人等有关人员在开标记录上签字确认；</w:t>
      </w:r>
    </w:p>
    <w:p w14:paraId="275CF8F4">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（6）开标结束。</w:t>
      </w:r>
    </w:p>
    <w:p w14:paraId="7B2414B1">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228" w:name="_Toc276263735"/>
      <w:bookmarkStart w:id="229" w:name="_Toc320473393"/>
      <w:bookmarkStart w:id="230" w:name="_Toc493062292"/>
      <w:bookmarkStart w:id="231" w:name="_Toc319440080"/>
      <w:bookmarkStart w:id="232" w:name="_Toc319673080"/>
      <w:bookmarkStart w:id="233" w:name="_Toc492994457"/>
      <w:bookmarkStart w:id="234" w:name="_Toc432697185"/>
      <w:bookmarkStart w:id="235" w:name="_Toc492994625"/>
      <w:bookmarkStart w:id="236" w:name="_Toc297588094"/>
      <w:bookmarkStart w:id="237" w:name="_Toc286926317"/>
      <w:bookmarkStart w:id="238" w:name="_Toc298756605"/>
      <w:r>
        <w:rPr>
          <w:rFonts w:hint="eastAsia" w:ascii="宋体" w:hAnsi="宋体" w:cs="宋体"/>
          <w:b/>
          <w:bCs/>
          <w:color w:val="000000" w:themeColor="text1"/>
          <w:sz w:val="21"/>
          <w:szCs w:val="21"/>
          <w:highlight w:val="none"/>
          <w14:textFill>
            <w14:solidFill>
              <w14:schemeClr w14:val="tx1"/>
            </w14:solidFill>
          </w14:textFill>
        </w:rPr>
        <w:t>5.3 投标文件的有效性</w:t>
      </w:r>
      <w:bookmarkEnd w:id="228"/>
      <w:bookmarkEnd w:id="229"/>
      <w:bookmarkEnd w:id="230"/>
      <w:bookmarkEnd w:id="231"/>
      <w:bookmarkEnd w:id="232"/>
      <w:bookmarkEnd w:id="233"/>
      <w:bookmarkEnd w:id="234"/>
      <w:bookmarkEnd w:id="235"/>
      <w:bookmarkEnd w:id="236"/>
      <w:bookmarkEnd w:id="237"/>
      <w:bookmarkEnd w:id="238"/>
    </w:p>
    <w:p w14:paraId="518F6F32">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评审时，投标文件出现下列情形之一的，应当作为无效投标文件，不得进入下一步的评审：</w:t>
      </w:r>
    </w:p>
    <w:p w14:paraId="437BDCA1">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5.3.1逾期送达的或者未送达指定地点的。</w:t>
      </w:r>
    </w:p>
    <w:p w14:paraId="2673127D">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5.3.2投标文件未按照本须知第3.7.4条的要求递交的。</w:t>
      </w:r>
    </w:p>
    <w:p w14:paraId="3AE43FCC">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239" w:name="_Toc16612"/>
      <w:bookmarkStart w:id="240" w:name="_Toc320473394"/>
      <w:bookmarkStart w:id="241" w:name="_Toc229583206"/>
      <w:bookmarkStart w:id="242" w:name="_Toc5095"/>
      <w:bookmarkStart w:id="243" w:name="_Toc28333"/>
      <w:bookmarkStart w:id="244" w:name="_Toc432697186"/>
      <w:r>
        <w:rPr>
          <w:rFonts w:hint="eastAsia" w:ascii="宋体" w:hAnsi="宋体" w:cs="宋体"/>
          <w:color w:val="000000" w:themeColor="text1"/>
          <w:sz w:val="24"/>
          <w:szCs w:val="24"/>
          <w:highlight w:val="none"/>
          <w14:textFill>
            <w14:solidFill>
              <w14:schemeClr w14:val="tx1"/>
            </w14:solidFill>
          </w14:textFill>
        </w:rPr>
        <w:t>（六）评标</w:t>
      </w:r>
      <w:bookmarkEnd w:id="239"/>
      <w:bookmarkEnd w:id="240"/>
      <w:bookmarkEnd w:id="241"/>
      <w:bookmarkEnd w:id="242"/>
      <w:bookmarkEnd w:id="243"/>
      <w:bookmarkEnd w:id="244"/>
    </w:p>
    <w:p w14:paraId="5308E60A">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245" w:name="_Toc493062294"/>
      <w:bookmarkStart w:id="246" w:name="_Toc492994627"/>
      <w:bookmarkStart w:id="247" w:name="_Toc492994459"/>
      <w:bookmarkStart w:id="248" w:name="_Toc320473395"/>
      <w:bookmarkStart w:id="249" w:name="_Toc432697187"/>
      <w:r>
        <w:rPr>
          <w:rFonts w:hint="eastAsia" w:ascii="宋体" w:hAnsi="宋体" w:cs="宋体"/>
          <w:b/>
          <w:bCs/>
          <w:color w:val="000000" w:themeColor="text1"/>
          <w:sz w:val="21"/>
          <w:szCs w:val="21"/>
          <w:highlight w:val="none"/>
          <w14:textFill>
            <w14:solidFill>
              <w14:schemeClr w14:val="tx1"/>
            </w14:solidFill>
          </w14:textFill>
        </w:rPr>
        <w:t>6.1 评标委员会</w:t>
      </w:r>
      <w:bookmarkEnd w:id="245"/>
      <w:bookmarkEnd w:id="246"/>
      <w:bookmarkEnd w:id="247"/>
      <w:bookmarkEnd w:id="248"/>
      <w:bookmarkEnd w:id="249"/>
    </w:p>
    <w:p w14:paraId="50075429">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6.1.1 评标委员会由采购人代表和评审专家组成，成员人数应当为5人以上单数，其中评审专家不得少于成员总数的三分之二。评标委员会应当推选组长，但采购人代表不得担任组长。</w:t>
      </w:r>
    </w:p>
    <w:p w14:paraId="3FB8D0CF">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6.1.2 评标委员会成员有下列情形之一的，应当回避：</w:t>
      </w:r>
    </w:p>
    <w:p w14:paraId="031E301A">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（1）采购人或供应商的主要负责人的近亲属。</w:t>
      </w:r>
    </w:p>
    <w:p w14:paraId="102DB9A7">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（2）项目主管部门或者行政监督部门的人员。</w:t>
      </w:r>
    </w:p>
    <w:p w14:paraId="709EA4CB">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（3）与供应商有经济利益关系，可能影响对投标公正评审的；</w:t>
      </w:r>
    </w:p>
    <w:p w14:paraId="1ABE9EE7">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（4）曾因在招标、评标以及其他与招标投标有关活动中从事违法行为而受过行政处罚或刑事处罚的。</w:t>
      </w:r>
    </w:p>
    <w:p w14:paraId="04B7DB55">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250" w:name="_Toc492994628"/>
      <w:bookmarkStart w:id="251" w:name="_Toc492994460"/>
      <w:bookmarkStart w:id="252" w:name="_Toc320473396"/>
      <w:bookmarkStart w:id="253" w:name="_Toc493062295"/>
      <w:bookmarkStart w:id="254" w:name="_Toc432697188"/>
      <w:r>
        <w:rPr>
          <w:rFonts w:hint="eastAsia" w:ascii="宋体" w:hAnsi="宋体" w:cs="宋体"/>
          <w:b/>
          <w:bCs/>
          <w:color w:val="000000" w:themeColor="text1"/>
          <w:sz w:val="21"/>
          <w:szCs w:val="21"/>
          <w:highlight w:val="none"/>
          <w14:textFill>
            <w14:solidFill>
              <w14:schemeClr w14:val="tx1"/>
            </w14:solidFill>
          </w14:textFill>
        </w:rPr>
        <w:t>6.2 评标原则</w:t>
      </w:r>
      <w:bookmarkEnd w:id="250"/>
      <w:bookmarkEnd w:id="251"/>
      <w:bookmarkEnd w:id="252"/>
      <w:bookmarkEnd w:id="253"/>
      <w:bookmarkEnd w:id="254"/>
    </w:p>
    <w:p w14:paraId="673F69AB">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评标活动应遵循公平、公正、科学、择优的原则，任何单位或个人不得非法干预或者影响评标过程和结果。</w:t>
      </w:r>
    </w:p>
    <w:p w14:paraId="7604954D">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255" w:name="_Toc492994461"/>
      <w:bookmarkStart w:id="256" w:name="_Toc432697189"/>
      <w:bookmarkStart w:id="257" w:name="_Toc493062296"/>
      <w:bookmarkStart w:id="258" w:name="_Toc320473397"/>
      <w:bookmarkStart w:id="259" w:name="_Toc492994629"/>
      <w:r>
        <w:rPr>
          <w:rFonts w:hint="eastAsia" w:ascii="宋体" w:hAnsi="宋体" w:cs="宋体"/>
          <w:b/>
          <w:bCs/>
          <w:color w:val="000000" w:themeColor="text1"/>
          <w:sz w:val="21"/>
          <w:szCs w:val="21"/>
          <w:highlight w:val="none"/>
          <w14:textFill>
            <w14:solidFill>
              <w14:schemeClr w14:val="tx1"/>
            </w14:solidFill>
          </w14:textFill>
        </w:rPr>
        <w:t>6.3 评标</w:t>
      </w:r>
      <w:bookmarkEnd w:id="255"/>
      <w:bookmarkEnd w:id="256"/>
      <w:bookmarkEnd w:id="257"/>
      <w:bookmarkEnd w:id="258"/>
      <w:bookmarkEnd w:id="259"/>
    </w:p>
    <w:p w14:paraId="0C1D9A37">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260" w:name="_Toc432697190"/>
      <w:bookmarkStart w:id="261" w:name="_Toc320473398"/>
      <w:bookmarkStart w:id="262" w:name="_Toc229583207"/>
      <w:r>
        <w:rPr>
          <w:rFonts w:hint="eastAsia" w:ascii="宋体" w:hAnsi="宋体" w:cs="宋体"/>
          <w:color w:val="000000" w:themeColor="text1"/>
          <w:sz w:val="21"/>
          <w:szCs w:val="21"/>
          <w:highlight w:val="none"/>
          <w14:textFill>
            <w14:solidFill>
              <w14:schemeClr w14:val="tx1"/>
            </w14:solidFill>
          </w14:textFill>
        </w:rPr>
        <w:t>评标委员会按照第三章“评标办法”规定的方法、评审因素、标准和程序对投标文件进行评审。第三章“评标办法”没有规定的方法、评审因素和标准，不作为评标依据。</w:t>
      </w:r>
    </w:p>
    <w:p w14:paraId="0130AC7E">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6.4评标过程的保密：</w:t>
      </w:r>
    </w:p>
    <w:p w14:paraId="0AB95B10">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263" w:name="_Toc417913976"/>
      <w:r>
        <w:rPr>
          <w:rFonts w:hint="eastAsia" w:ascii="宋体" w:hAnsi="宋体" w:cs="宋体"/>
          <w:color w:val="000000" w:themeColor="text1"/>
          <w:sz w:val="21"/>
          <w:szCs w:val="21"/>
          <w:highlight w:val="none"/>
          <w14:textFill>
            <w14:solidFill>
              <w14:schemeClr w14:val="tx1"/>
            </w14:solidFill>
          </w14:textFill>
        </w:rPr>
        <w:t>（1）评标在严格</w:t>
      </w:r>
      <w:bookmarkEnd w:id="263"/>
      <w:r>
        <w:rPr>
          <w:rFonts w:hint="eastAsia" w:ascii="宋体" w:hAnsi="宋体" w:cs="宋体"/>
          <w:color w:val="000000" w:themeColor="text1"/>
          <w:sz w:val="21"/>
          <w:szCs w:val="21"/>
          <w:highlight w:val="none"/>
          <w14:textFill>
            <w14:solidFill>
              <w14:schemeClr w14:val="tx1"/>
            </w14:solidFill>
          </w14:textFill>
        </w:rPr>
        <w:t>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6A680037">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任何单位和个人不得非法干预、影响评审工作。采购人、招标代理机构和评审委员会在评审工作中，依法相互监督和制约，并自觉接受财政部门的监督。对非法干预评审工作等违法违规行为，将及时向财政部门报告。</w:t>
      </w:r>
    </w:p>
    <w:p w14:paraId="0E117A4C">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6.1.7投标文件中出现含义不明确、同类问题表述不一致或者有明显文字和计算错误的内容，评标委员会将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14:paraId="2487D3B3">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264" w:name="_Toc21729"/>
      <w:bookmarkStart w:id="265" w:name="_Toc9421"/>
      <w:bookmarkStart w:id="266" w:name="_Toc29372"/>
      <w:r>
        <w:rPr>
          <w:rFonts w:hint="eastAsia" w:ascii="宋体" w:hAnsi="宋体" w:cs="宋体"/>
          <w:color w:val="000000" w:themeColor="text1"/>
          <w:sz w:val="24"/>
          <w:szCs w:val="24"/>
          <w:highlight w:val="none"/>
          <w14:textFill>
            <w14:solidFill>
              <w14:schemeClr w14:val="tx1"/>
            </w14:solidFill>
          </w14:textFill>
        </w:rPr>
        <w:t>（七）合同授予</w:t>
      </w:r>
      <w:bookmarkEnd w:id="260"/>
      <w:bookmarkEnd w:id="261"/>
      <w:bookmarkEnd w:id="262"/>
      <w:bookmarkEnd w:id="264"/>
      <w:bookmarkEnd w:id="265"/>
      <w:bookmarkEnd w:id="266"/>
    </w:p>
    <w:p w14:paraId="444D464F">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267" w:name="_Toc320473399"/>
      <w:bookmarkStart w:id="268" w:name="_Toc432697191"/>
      <w:bookmarkStart w:id="269" w:name="_Toc492994463"/>
      <w:bookmarkStart w:id="270" w:name="_Toc492994631"/>
      <w:bookmarkStart w:id="271" w:name="_Toc493062298"/>
      <w:r>
        <w:rPr>
          <w:rFonts w:hint="eastAsia" w:ascii="宋体" w:hAnsi="宋体" w:cs="宋体"/>
          <w:b/>
          <w:bCs/>
          <w:color w:val="000000" w:themeColor="text1"/>
          <w:sz w:val="21"/>
          <w:szCs w:val="21"/>
          <w:highlight w:val="none"/>
          <w14:textFill>
            <w14:solidFill>
              <w14:schemeClr w14:val="tx1"/>
            </w14:solidFill>
          </w14:textFill>
        </w:rPr>
        <w:t>7.1 定标方式</w:t>
      </w:r>
      <w:bookmarkEnd w:id="267"/>
      <w:bookmarkEnd w:id="268"/>
      <w:bookmarkEnd w:id="269"/>
      <w:bookmarkEnd w:id="270"/>
      <w:bookmarkEnd w:id="271"/>
    </w:p>
    <w:p w14:paraId="568FEAC2">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272" w:name="_Toc492994632"/>
      <w:bookmarkStart w:id="273" w:name="_Toc493062299"/>
      <w:bookmarkStart w:id="274" w:name="_Toc492994464"/>
      <w:bookmarkStart w:id="275" w:name="_Toc320473400"/>
      <w:bookmarkStart w:id="276" w:name="_Toc432697192"/>
      <w:r>
        <w:rPr>
          <w:rFonts w:hint="eastAsia" w:ascii="宋体" w:hAnsi="宋体" w:cs="宋体"/>
          <w:color w:val="000000" w:themeColor="text1"/>
          <w:sz w:val="21"/>
          <w:szCs w:val="21"/>
          <w:highlight w:val="none"/>
          <w14:textFill>
            <w14:solidFill>
              <w14:schemeClr w14:val="tx1"/>
            </w14:solidFill>
          </w14:textFill>
        </w:rPr>
        <w:t>除非供应商须知前附表规定授权评标委员会确定中标人，采购人依据评标委员会推荐的中标候选人确定中标人，评标委员会推荐中标候选人的人数见供应商须知前附表。采购人保留接受和拒绝任何或所有投标的权力。</w:t>
      </w:r>
    </w:p>
    <w:p w14:paraId="31BB5A7B">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7.2 中标通知</w:t>
      </w:r>
      <w:bookmarkEnd w:id="272"/>
      <w:bookmarkEnd w:id="273"/>
      <w:bookmarkEnd w:id="274"/>
      <w:bookmarkEnd w:id="275"/>
      <w:bookmarkEnd w:id="276"/>
    </w:p>
    <w:p w14:paraId="3F8A8A6D">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277" w:name="_Hlk159609488"/>
      <w:bookmarkStart w:id="278" w:name="_Hlk159598939"/>
      <w:bookmarkStart w:id="279" w:name="_Toc320473401"/>
      <w:r>
        <w:rPr>
          <w:rFonts w:hint="eastAsia" w:ascii="宋体" w:hAnsi="宋体" w:cs="宋体"/>
          <w:color w:val="000000" w:themeColor="text1"/>
          <w:sz w:val="21"/>
          <w:szCs w:val="21"/>
          <w:highlight w:val="none"/>
          <w14:textFill>
            <w14:solidFill>
              <w14:schemeClr w14:val="tx1"/>
            </w14:solidFill>
          </w14:textFill>
        </w:rPr>
        <w:t>7.2.1采购代理机构应当自中标人确定之日起2个工作日内，采购代理机构在省级以上财政部门指定的媒体上公告中标结果，中标公告期限为1个工作日，同时向中标人发出中标通知书，向未中标人发出招标结果通知书。</w:t>
      </w:r>
      <w:bookmarkEnd w:id="277"/>
    </w:p>
    <w:bookmarkEnd w:id="278"/>
    <w:p w14:paraId="2CD78821">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280" w:name="_Toc493062300"/>
      <w:bookmarkStart w:id="281" w:name="_Toc492994633"/>
      <w:bookmarkStart w:id="282" w:name="_Toc492994465"/>
      <w:r>
        <w:rPr>
          <w:rFonts w:hint="eastAsia" w:ascii="宋体" w:hAnsi="宋体" w:cs="宋体"/>
          <w:b/>
          <w:bCs/>
          <w:color w:val="000000" w:themeColor="text1"/>
          <w:sz w:val="21"/>
          <w:szCs w:val="21"/>
          <w:highlight w:val="none"/>
          <w14:textFill>
            <w14:solidFill>
              <w14:schemeClr w14:val="tx1"/>
            </w14:solidFill>
          </w14:textFill>
        </w:rPr>
        <w:t>7.3 履约担保</w:t>
      </w:r>
      <w:bookmarkEnd w:id="279"/>
      <w:bookmarkEnd w:id="280"/>
      <w:bookmarkEnd w:id="281"/>
      <w:bookmarkEnd w:id="282"/>
    </w:p>
    <w:p w14:paraId="4831FE98">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283" w:name="_Toc320473406"/>
      <w:bookmarkStart w:id="284" w:name="_Toc184635079"/>
      <w:bookmarkStart w:id="285" w:name="_Toc432697193"/>
      <w:r>
        <w:rPr>
          <w:rFonts w:hint="eastAsia" w:ascii="宋体" w:hAnsi="宋体" w:cs="宋体"/>
          <w:color w:val="000000" w:themeColor="text1"/>
          <w:sz w:val="21"/>
          <w:szCs w:val="21"/>
          <w:highlight w:val="none"/>
          <w14:textFill>
            <w14:solidFill>
              <w14:schemeClr w14:val="tx1"/>
            </w14:solidFill>
          </w14:textFill>
        </w:rPr>
        <w:t>见供应商须知前附表。</w:t>
      </w:r>
    </w:p>
    <w:p w14:paraId="32C5B09F">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286" w:name="_Toc22021"/>
      <w:bookmarkStart w:id="287" w:name="_Toc32596"/>
      <w:bookmarkStart w:id="288" w:name="_Toc29216"/>
      <w:r>
        <w:rPr>
          <w:rFonts w:hint="eastAsia" w:ascii="宋体" w:hAnsi="宋体" w:cs="宋体"/>
          <w:color w:val="000000" w:themeColor="text1"/>
          <w:sz w:val="24"/>
          <w:szCs w:val="24"/>
          <w:highlight w:val="none"/>
          <w14:textFill>
            <w14:solidFill>
              <w14:schemeClr w14:val="tx1"/>
            </w14:solidFill>
          </w14:textFill>
        </w:rPr>
        <w:t>（八）纪律和监督</w:t>
      </w:r>
      <w:bookmarkEnd w:id="283"/>
      <w:bookmarkEnd w:id="284"/>
      <w:bookmarkEnd w:id="285"/>
      <w:bookmarkEnd w:id="286"/>
      <w:bookmarkEnd w:id="287"/>
      <w:bookmarkEnd w:id="288"/>
    </w:p>
    <w:p w14:paraId="69FCE2C2">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289" w:name="_Toc492994467"/>
      <w:bookmarkStart w:id="290" w:name="_Toc492994635"/>
      <w:bookmarkStart w:id="291" w:name="_Toc320473407"/>
      <w:bookmarkStart w:id="292" w:name="_Toc432697194"/>
      <w:bookmarkStart w:id="293" w:name="_Toc493062302"/>
      <w:r>
        <w:rPr>
          <w:rFonts w:hint="eastAsia" w:ascii="宋体" w:hAnsi="宋体" w:cs="宋体"/>
          <w:b/>
          <w:bCs/>
          <w:color w:val="000000" w:themeColor="text1"/>
          <w:sz w:val="21"/>
          <w:szCs w:val="21"/>
          <w:highlight w:val="none"/>
          <w14:textFill>
            <w14:solidFill>
              <w14:schemeClr w14:val="tx1"/>
            </w14:solidFill>
          </w14:textFill>
        </w:rPr>
        <w:t>8.1 对采购人的纪律要求</w:t>
      </w:r>
      <w:bookmarkEnd w:id="289"/>
      <w:bookmarkEnd w:id="290"/>
      <w:bookmarkEnd w:id="291"/>
      <w:bookmarkEnd w:id="292"/>
      <w:bookmarkEnd w:id="293"/>
    </w:p>
    <w:p w14:paraId="22B81DF6">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采购人不得泄漏招标投标活动中应当保密的情况和资料，不得与供应商串通损害国家利益、社会公共利益或者他人合法权益。</w:t>
      </w:r>
    </w:p>
    <w:p w14:paraId="2CF5E471">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294" w:name="_Toc493062303"/>
      <w:bookmarkStart w:id="295" w:name="_Toc492994468"/>
      <w:bookmarkStart w:id="296" w:name="_Toc320473408"/>
      <w:bookmarkStart w:id="297" w:name="_Toc492994636"/>
      <w:bookmarkStart w:id="298" w:name="_Toc432697195"/>
      <w:r>
        <w:rPr>
          <w:rFonts w:hint="eastAsia" w:ascii="宋体" w:hAnsi="宋体" w:cs="宋体"/>
          <w:b/>
          <w:bCs/>
          <w:color w:val="000000" w:themeColor="text1"/>
          <w:sz w:val="21"/>
          <w:szCs w:val="21"/>
          <w:highlight w:val="none"/>
          <w14:textFill>
            <w14:solidFill>
              <w14:schemeClr w14:val="tx1"/>
            </w14:solidFill>
          </w14:textFill>
        </w:rPr>
        <w:t>8.2 对供应商的纪律要求</w:t>
      </w:r>
      <w:bookmarkEnd w:id="294"/>
      <w:bookmarkEnd w:id="295"/>
      <w:bookmarkEnd w:id="296"/>
      <w:bookmarkEnd w:id="297"/>
      <w:bookmarkEnd w:id="298"/>
    </w:p>
    <w:p w14:paraId="61520D65">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5D2C6444">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299" w:name="_Toc493062304"/>
      <w:bookmarkStart w:id="300" w:name="_Toc320473409"/>
      <w:bookmarkStart w:id="301" w:name="_Toc492994469"/>
      <w:bookmarkStart w:id="302" w:name="_Toc492994637"/>
      <w:bookmarkStart w:id="303" w:name="_Toc432697196"/>
      <w:r>
        <w:rPr>
          <w:rFonts w:hint="eastAsia" w:ascii="宋体" w:hAnsi="宋体" w:cs="宋体"/>
          <w:b/>
          <w:bCs/>
          <w:color w:val="000000" w:themeColor="text1"/>
          <w:sz w:val="21"/>
          <w:szCs w:val="21"/>
          <w:highlight w:val="none"/>
          <w14:textFill>
            <w14:solidFill>
              <w14:schemeClr w14:val="tx1"/>
            </w14:solidFill>
          </w14:textFill>
        </w:rPr>
        <w:t>8.3 对评标委员会成员的纪律要求</w:t>
      </w:r>
      <w:bookmarkEnd w:id="299"/>
      <w:bookmarkEnd w:id="300"/>
      <w:bookmarkEnd w:id="301"/>
      <w:bookmarkEnd w:id="302"/>
      <w:bookmarkEnd w:id="303"/>
    </w:p>
    <w:p w14:paraId="247B52D6">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6953C3F">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304" w:name="_Toc492994638"/>
      <w:bookmarkStart w:id="305" w:name="_Toc492994470"/>
      <w:bookmarkStart w:id="306" w:name="_Toc432697197"/>
      <w:bookmarkStart w:id="307" w:name="_Toc493062305"/>
      <w:r>
        <w:rPr>
          <w:rFonts w:hint="eastAsia" w:ascii="宋体" w:hAnsi="宋体" w:cs="宋体"/>
          <w:b/>
          <w:bCs/>
          <w:color w:val="000000" w:themeColor="text1"/>
          <w:sz w:val="21"/>
          <w:szCs w:val="21"/>
          <w:highlight w:val="none"/>
          <w14:textFill>
            <w14:solidFill>
              <w14:schemeClr w14:val="tx1"/>
            </w14:solidFill>
          </w14:textFill>
        </w:rPr>
        <w:t>8.4 对与评标活动有关的工作人员的纪律要求</w:t>
      </w:r>
      <w:bookmarkEnd w:id="304"/>
      <w:bookmarkEnd w:id="305"/>
      <w:bookmarkEnd w:id="306"/>
      <w:bookmarkEnd w:id="307"/>
    </w:p>
    <w:p w14:paraId="74498D14">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EFB678A">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308" w:name="_Toc432697198"/>
      <w:bookmarkStart w:id="309" w:name="_Toc492994471"/>
      <w:bookmarkStart w:id="310" w:name="_Toc320473411"/>
      <w:bookmarkStart w:id="311" w:name="_Toc492994639"/>
      <w:bookmarkStart w:id="312" w:name="_Toc493062306"/>
      <w:r>
        <w:rPr>
          <w:rFonts w:hint="eastAsia" w:ascii="宋体" w:hAnsi="宋体" w:cs="宋体"/>
          <w:b/>
          <w:bCs/>
          <w:color w:val="000000" w:themeColor="text1"/>
          <w:sz w:val="21"/>
          <w:szCs w:val="21"/>
          <w:highlight w:val="none"/>
          <w14:textFill>
            <w14:solidFill>
              <w14:schemeClr w14:val="tx1"/>
            </w14:solidFill>
          </w14:textFill>
        </w:rPr>
        <w:t>8.5 投诉</w:t>
      </w:r>
      <w:bookmarkEnd w:id="308"/>
      <w:bookmarkEnd w:id="309"/>
      <w:bookmarkEnd w:id="310"/>
      <w:bookmarkEnd w:id="311"/>
      <w:bookmarkEnd w:id="312"/>
    </w:p>
    <w:p w14:paraId="74DE81F1">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供应商和其他利害关系人认为本次招标活动违反法律、法规和规章规定的，有权向有关行政监督部门投诉。</w:t>
      </w:r>
    </w:p>
    <w:p w14:paraId="4DF90F60">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313" w:name="_Toc320473412"/>
      <w:bookmarkStart w:id="314" w:name="_Toc28999"/>
      <w:bookmarkStart w:id="315" w:name="_Toc833"/>
      <w:bookmarkStart w:id="316" w:name="_Toc11818"/>
      <w:bookmarkStart w:id="317" w:name="_Toc184635080"/>
      <w:bookmarkStart w:id="318" w:name="_Toc432697199"/>
      <w:r>
        <w:rPr>
          <w:rFonts w:hint="eastAsia" w:ascii="宋体" w:hAnsi="宋体" w:cs="宋体"/>
          <w:color w:val="000000" w:themeColor="text1"/>
          <w:sz w:val="24"/>
          <w:szCs w:val="24"/>
          <w:highlight w:val="none"/>
          <w14:textFill>
            <w14:solidFill>
              <w14:schemeClr w14:val="tx1"/>
            </w14:solidFill>
          </w14:textFill>
        </w:rPr>
        <w:t>（九）需要补充的其它内容</w:t>
      </w:r>
      <w:bookmarkEnd w:id="313"/>
      <w:bookmarkEnd w:id="314"/>
      <w:bookmarkEnd w:id="315"/>
      <w:bookmarkEnd w:id="316"/>
      <w:bookmarkEnd w:id="317"/>
      <w:bookmarkEnd w:id="318"/>
    </w:p>
    <w:p w14:paraId="54EB3BBD">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9.1需要补充的其他内容：见“供应商须知前附表”。</w:t>
      </w:r>
    </w:p>
    <w:p w14:paraId="3BA8434D">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9.2本招标文件是根据《中华人民共和国政府采购法》及相关法律法规编制，解释权属采购人及采购代理机构。</w:t>
      </w:r>
    </w:p>
    <w:p w14:paraId="492CAB8D">
      <w:pPr>
        <w:pageBreakBefore w:val="0"/>
        <w:kinsoku/>
        <w:wordWrap w:val="0"/>
        <w:bidi w:val="0"/>
        <w:spacing w:beforeAutospacing="0" w:afterAutospacing="0"/>
        <w:ind w:left="0" w:leftChars="0" w:right="0" w:rightChars="0"/>
        <w:rPr>
          <w:rFonts w:ascii="宋体" w:hAnsi="宋体" w:cs="宋体"/>
          <w:b/>
          <w:bCs/>
          <w:color w:val="000000" w:themeColor="text1"/>
          <w:kern w:val="44"/>
          <w:sz w:val="21"/>
          <w:szCs w:val="21"/>
          <w:highlight w:val="none"/>
          <w14:textFill>
            <w14:solidFill>
              <w14:schemeClr w14:val="tx1"/>
            </w14:solidFill>
          </w14:textFill>
        </w:rPr>
      </w:pPr>
      <w:r>
        <w:rPr>
          <w:rFonts w:hint="eastAsia" w:ascii="宋体" w:hAnsi="宋体" w:cs="宋体"/>
          <w:color w:val="000000" w:themeColor="text1"/>
          <w:szCs w:val="21"/>
          <w:highlight w:val="none"/>
          <w:shd w:val="clear" w:color="auto" w:fill="FFFFFF"/>
          <w:lang w:bidi="ar"/>
          <w14:textFill>
            <w14:solidFill>
              <w14:schemeClr w14:val="tx1"/>
            </w14:solidFill>
          </w14:textFill>
        </w:rPr>
        <w:br w:type="page"/>
      </w:r>
      <w:bookmarkStart w:id="319" w:name="_Toc432697200"/>
      <w:bookmarkStart w:id="320" w:name="_Toc224363895"/>
      <w:bookmarkStart w:id="321" w:name="_Toc229583208"/>
    </w:p>
    <w:p w14:paraId="3A77816D">
      <w:pPr>
        <w:pStyle w:val="2"/>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32"/>
          <w:szCs w:val="32"/>
          <w:highlight w:val="none"/>
          <w14:textFill>
            <w14:solidFill>
              <w14:schemeClr w14:val="tx1"/>
            </w14:solidFill>
          </w14:textFill>
        </w:rPr>
      </w:pPr>
      <w:bookmarkStart w:id="322" w:name="_Toc6767"/>
      <w:bookmarkStart w:id="323" w:name="_Toc23372"/>
      <w:r>
        <w:rPr>
          <w:rFonts w:hint="eastAsia" w:ascii="宋体" w:hAnsi="宋体" w:cs="宋体"/>
          <w:color w:val="000000" w:themeColor="text1"/>
          <w:sz w:val="32"/>
          <w:szCs w:val="32"/>
          <w:highlight w:val="none"/>
          <w14:textFill>
            <w14:solidFill>
              <w14:schemeClr w14:val="tx1"/>
            </w14:solidFill>
          </w14:textFill>
        </w:rPr>
        <w:t>第三章 评标办法</w:t>
      </w:r>
      <w:bookmarkEnd w:id="319"/>
      <w:bookmarkEnd w:id="320"/>
      <w:bookmarkEnd w:id="321"/>
      <w:bookmarkEnd w:id="322"/>
      <w:bookmarkEnd w:id="323"/>
      <w:bookmarkStart w:id="324" w:name="_Toc276263758"/>
      <w:bookmarkStart w:id="325" w:name="_Toc286926341"/>
      <w:bookmarkStart w:id="326" w:name="_Toc297588116"/>
      <w:bookmarkStart w:id="327" w:name="_Toc271536259"/>
      <w:bookmarkStart w:id="328" w:name="_Toc319673101"/>
    </w:p>
    <w:p w14:paraId="71A27A83">
      <w:pPr>
        <w:pStyle w:val="3"/>
        <w:pageBreakBefore w:val="0"/>
        <w:kinsoku/>
        <w:wordWrap w:val="0"/>
        <w:bidi w:val="0"/>
        <w:spacing w:before="0" w:beforeAutospacing="0" w:after="0" w:afterAutospacing="0" w:line="360" w:lineRule="auto"/>
        <w:ind w:left="0" w:leftChars="0" w:right="0" w:rightChars="0"/>
        <w:jc w:val="center"/>
        <w:rPr>
          <w:rFonts w:ascii="宋体" w:hAnsi="宋体" w:eastAsia="宋体" w:cs="宋体"/>
          <w:color w:val="000000" w:themeColor="text1"/>
          <w:sz w:val="28"/>
          <w:szCs w:val="28"/>
          <w:highlight w:val="none"/>
          <w14:textFill>
            <w14:solidFill>
              <w14:schemeClr w14:val="tx1"/>
            </w14:solidFill>
          </w14:textFill>
        </w:rPr>
      </w:pPr>
      <w:bookmarkStart w:id="329" w:name="_Toc432697201"/>
      <w:bookmarkStart w:id="330" w:name="_Toc18294"/>
      <w:bookmarkStart w:id="331" w:name="_Toc20566"/>
      <w:r>
        <w:rPr>
          <w:rFonts w:hint="eastAsia" w:ascii="宋体" w:hAnsi="宋体" w:eastAsia="宋体" w:cs="宋体"/>
          <w:color w:val="000000" w:themeColor="text1"/>
          <w:sz w:val="28"/>
          <w:szCs w:val="28"/>
          <w:highlight w:val="none"/>
          <w14:textFill>
            <w14:solidFill>
              <w14:schemeClr w14:val="tx1"/>
            </w14:solidFill>
          </w14:textFill>
        </w:rPr>
        <w:t>一、评标办法前附表</w:t>
      </w:r>
      <w:bookmarkEnd w:id="324"/>
      <w:bookmarkEnd w:id="325"/>
      <w:bookmarkEnd w:id="326"/>
      <w:bookmarkEnd w:id="327"/>
      <w:bookmarkEnd w:id="328"/>
      <w:bookmarkEnd w:id="329"/>
      <w:bookmarkEnd w:id="330"/>
      <w:bookmarkEnd w:id="331"/>
    </w:p>
    <w:tbl>
      <w:tblPr>
        <w:tblStyle w:val="43"/>
        <w:tblW w:w="10452"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89"/>
        <w:gridCol w:w="963"/>
        <w:gridCol w:w="1701"/>
        <w:gridCol w:w="6999"/>
      </w:tblGrid>
      <w:tr w14:paraId="26E4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blHeader/>
        </w:trPr>
        <w:tc>
          <w:tcPr>
            <w:tcW w:w="789" w:type="dxa"/>
            <w:tcMar>
              <w:top w:w="57" w:type="dxa"/>
              <w:left w:w="57" w:type="dxa"/>
              <w:bottom w:w="57" w:type="dxa"/>
              <w:right w:w="57" w:type="dxa"/>
            </w:tcMar>
            <w:vAlign w:val="center"/>
          </w:tcPr>
          <w:p w14:paraId="136BB084">
            <w:pPr>
              <w:pageBreakBefore w:val="0"/>
              <w:kinsoku/>
              <w:wordWrap w:val="0"/>
              <w:bidi w:val="0"/>
              <w:spacing w:beforeAutospacing="0" w:afterAutospacing="0" w:line="240" w:lineRule="exact"/>
              <w:ind w:left="0" w:leftChars="0" w:right="0" w:rightChars="0"/>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条款号</w:t>
            </w:r>
          </w:p>
        </w:tc>
        <w:tc>
          <w:tcPr>
            <w:tcW w:w="963" w:type="dxa"/>
            <w:tcMar>
              <w:top w:w="57" w:type="dxa"/>
              <w:left w:w="57" w:type="dxa"/>
              <w:bottom w:w="57" w:type="dxa"/>
              <w:right w:w="57" w:type="dxa"/>
            </w:tcMar>
            <w:vAlign w:val="center"/>
          </w:tcPr>
          <w:p w14:paraId="71EAE411">
            <w:pPr>
              <w:pageBreakBefore w:val="0"/>
              <w:kinsoku/>
              <w:wordWrap w:val="0"/>
              <w:bidi w:val="0"/>
              <w:spacing w:beforeAutospacing="0" w:afterAutospacing="0" w:line="240" w:lineRule="exact"/>
              <w:ind w:left="0" w:leftChars="0" w:right="0" w:rightChars="0"/>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评审</w:t>
            </w:r>
          </w:p>
          <w:p w14:paraId="1D4697C7">
            <w:pPr>
              <w:pageBreakBefore w:val="0"/>
              <w:kinsoku/>
              <w:wordWrap w:val="0"/>
              <w:bidi w:val="0"/>
              <w:spacing w:beforeAutospacing="0" w:afterAutospacing="0" w:line="240" w:lineRule="exact"/>
              <w:ind w:left="0" w:leftChars="0" w:right="0" w:rightChars="0"/>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内容</w:t>
            </w:r>
          </w:p>
        </w:tc>
        <w:tc>
          <w:tcPr>
            <w:tcW w:w="1701" w:type="dxa"/>
            <w:tcMar>
              <w:top w:w="57" w:type="dxa"/>
              <w:left w:w="57" w:type="dxa"/>
              <w:bottom w:w="57" w:type="dxa"/>
              <w:right w:w="57" w:type="dxa"/>
            </w:tcMar>
            <w:vAlign w:val="center"/>
          </w:tcPr>
          <w:p w14:paraId="2E0F0472">
            <w:pPr>
              <w:pageBreakBefore w:val="0"/>
              <w:kinsoku/>
              <w:wordWrap w:val="0"/>
              <w:bidi w:val="0"/>
              <w:spacing w:beforeAutospacing="0" w:afterAutospacing="0" w:line="240" w:lineRule="exact"/>
              <w:ind w:left="0" w:leftChars="0" w:right="0" w:rightChars="0"/>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评审条款</w:t>
            </w:r>
          </w:p>
        </w:tc>
        <w:tc>
          <w:tcPr>
            <w:tcW w:w="6999" w:type="dxa"/>
            <w:tcMar>
              <w:top w:w="57" w:type="dxa"/>
              <w:left w:w="57" w:type="dxa"/>
              <w:bottom w:w="57" w:type="dxa"/>
              <w:right w:w="57" w:type="dxa"/>
            </w:tcMar>
            <w:vAlign w:val="center"/>
          </w:tcPr>
          <w:p w14:paraId="7466A732">
            <w:pPr>
              <w:pageBreakBefore w:val="0"/>
              <w:kinsoku/>
              <w:wordWrap w:val="0"/>
              <w:bidi w:val="0"/>
              <w:spacing w:beforeAutospacing="0" w:afterAutospacing="0" w:line="240" w:lineRule="exact"/>
              <w:ind w:left="0" w:leftChars="0" w:right="0" w:rightChars="0"/>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评审标准</w:t>
            </w:r>
          </w:p>
        </w:tc>
      </w:tr>
      <w:tr w14:paraId="470E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 w:hRule="atLeast"/>
        </w:trPr>
        <w:tc>
          <w:tcPr>
            <w:tcW w:w="789" w:type="dxa"/>
            <w:tcMar>
              <w:top w:w="57" w:type="dxa"/>
              <w:left w:w="57" w:type="dxa"/>
              <w:bottom w:w="57" w:type="dxa"/>
              <w:right w:w="57" w:type="dxa"/>
            </w:tcMar>
            <w:vAlign w:val="center"/>
          </w:tcPr>
          <w:p w14:paraId="290E3FDC">
            <w:pPr>
              <w:pageBreakBefore w:val="0"/>
              <w:kinsoku/>
              <w:wordWrap w:val="0"/>
              <w:bidi w:val="0"/>
              <w:spacing w:beforeAutospacing="0" w:afterAutospacing="0" w:line="240" w:lineRule="exact"/>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2.1.2</w:t>
            </w:r>
          </w:p>
        </w:tc>
        <w:tc>
          <w:tcPr>
            <w:tcW w:w="963" w:type="dxa"/>
            <w:tcMar>
              <w:top w:w="57" w:type="dxa"/>
              <w:left w:w="57" w:type="dxa"/>
              <w:bottom w:w="57" w:type="dxa"/>
              <w:right w:w="57" w:type="dxa"/>
            </w:tcMar>
            <w:vAlign w:val="center"/>
          </w:tcPr>
          <w:p w14:paraId="282492DA">
            <w:pPr>
              <w:pageBreakBefore w:val="0"/>
              <w:kinsoku/>
              <w:wordWrap w:val="0"/>
              <w:bidi w:val="0"/>
              <w:spacing w:beforeAutospacing="0" w:afterAutospacing="0" w:line="240" w:lineRule="exact"/>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资格审查评审标准</w:t>
            </w:r>
          </w:p>
        </w:tc>
        <w:tc>
          <w:tcPr>
            <w:tcW w:w="1701" w:type="dxa"/>
            <w:tcMar>
              <w:top w:w="57" w:type="dxa"/>
              <w:left w:w="57" w:type="dxa"/>
              <w:bottom w:w="57" w:type="dxa"/>
              <w:right w:w="57" w:type="dxa"/>
            </w:tcMar>
            <w:vAlign w:val="center"/>
          </w:tcPr>
          <w:p w14:paraId="68A43282">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资格条件</w:t>
            </w:r>
          </w:p>
        </w:tc>
        <w:tc>
          <w:tcPr>
            <w:tcW w:w="6999" w:type="dxa"/>
            <w:tcMar>
              <w:top w:w="57" w:type="dxa"/>
              <w:left w:w="57" w:type="dxa"/>
              <w:bottom w:w="57" w:type="dxa"/>
              <w:right w:w="57" w:type="dxa"/>
            </w:tcMar>
            <w:vAlign w:val="center"/>
          </w:tcPr>
          <w:p w14:paraId="10FE6464">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符合第二章“供应商须知”第1.4.1项规定，且提供了招标文件要求提供的证明材料。（该部分内容，由代理机构进行审核。）</w:t>
            </w:r>
          </w:p>
        </w:tc>
      </w:tr>
      <w:tr w14:paraId="7FD8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789" w:type="dxa"/>
            <w:vMerge w:val="restart"/>
            <w:tcMar>
              <w:top w:w="57" w:type="dxa"/>
              <w:left w:w="57" w:type="dxa"/>
              <w:bottom w:w="57" w:type="dxa"/>
              <w:right w:w="57" w:type="dxa"/>
            </w:tcMar>
            <w:vAlign w:val="center"/>
          </w:tcPr>
          <w:p w14:paraId="40F746A7">
            <w:pPr>
              <w:pageBreakBefore w:val="0"/>
              <w:kinsoku/>
              <w:wordWrap w:val="0"/>
              <w:bidi w:val="0"/>
              <w:spacing w:beforeAutospacing="0" w:afterAutospacing="0" w:line="240" w:lineRule="exact"/>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2.2.2</w:t>
            </w:r>
          </w:p>
        </w:tc>
        <w:tc>
          <w:tcPr>
            <w:tcW w:w="963" w:type="dxa"/>
            <w:vMerge w:val="restart"/>
            <w:tcMar>
              <w:top w:w="57" w:type="dxa"/>
              <w:left w:w="57" w:type="dxa"/>
              <w:bottom w:w="57" w:type="dxa"/>
              <w:right w:w="57" w:type="dxa"/>
            </w:tcMar>
            <w:vAlign w:val="center"/>
          </w:tcPr>
          <w:p w14:paraId="764AB68F">
            <w:pPr>
              <w:pageBreakBefore w:val="0"/>
              <w:kinsoku/>
              <w:wordWrap w:val="0"/>
              <w:bidi w:val="0"/>
              <w:spacing w:beforeAutospacing="0" w:afterAutospacing="0" w:line="240" w:lineRule="exact"/>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符合性审查标准</w:t>
            </w:r>
          </w:p>
        </w:tc>
        <w:tc>
          <w:tcPr>
            <w:tcW w:w="1701" w:type="dxa"/>
            <w:tcMar>
              <w:top w:w="57" w:type="dxa"/>
              <w:left w:w="57" w:type="dxa"/>
              <w:bottom w:w="57" w:type="dxa"/>
              <w:right w:w="57" w:type="dxa"/>
            </w:tcMar>
            <w:vAlign w:val="center"/>
          </w:tcPr>
          <w:p w14:paraId="74A8BB4E">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供应商名称</w:t>
            </w:r>
          </w:p>
        </w:tc>
        <w:tc>
          <w:tcPr>
            <w:tcW w:w="6999" w:type="dxa"/>
            <w:tcMar>
              <w:top w:w="57" w:type="dxa"/>
              <w:left w:w="57" w:type="dxa"/>
              <w:bottom w:w="57" w:type="dxa"/>
              <w:right w:w="57" w:type="dxa"/>
            </w:tcMar>
            <w:vAlign w:val="center"/>
          </w:tcPr>
          <w:p w14:paraId="56B18749">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与营业执照或其他类似的法定证明文件一致。</w:t>
            </w:r>
          </w:p>
        </w:tc>
      </w:tr>
      <w:tr w14:paraId="714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789" w:type="dxa"/>
            <w:vMerge w:val="continue"/>
            <w:tcMar>
              <w:top w:w="57" w:type="dxa"/>
              <w:left w:w="57" w:type="dxa"/>
              <w:bottom w:w="57" w:type="dxa"/>
              <w:right w:w="57" w:type="dxa"/>
            </w:tcMar>
          </w:tcPr>
          <w:p w14:paraId="1C768210">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963" w:type="dxa"/>
            <w:vMerge w:val="continue"/>
            <w:tcMar>
              <w:top w:w="57" w:type="dxa"/>
              <w:left w:w="57" w:type="dxa"/>
              <w:bottom w:w="57" w:type="dxa"/>
              <w:right w:w="57" w:type="dxa"/>
            </w:tcMar>
          </w:tcPr>
          <w:p w14:paraId="01FF3D2B">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1701" w:type="dxa"/>
            <w:tcMar>
              <w:top w:w="57" w:type="dxa"/>
              <w:left w:w="57" w:type="dxa"/>
              <w:bottom w:w="57" w:type="dxa"/>
              <w:right w:w="57" w:type="dxa"/>
            </w:tcMar>
            <w:vAlign w:val="center"/>
          </w:tcPr>
          <w:p w14:paraId="09234C8E">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签署、盖章</w:t>
            </w:r>
          </w:p>
        </w:tc>
        <w:tc>
          <w:tcPr>
            <w:tcW w:w="6999" w:type="dxa"/>
            <w:tcMar>
              <w:top w:w="57" w:type="dxa"/>
              <w:left w:w="57" w:type="dxa"/>
              <w:bottom w:w="57" w:type="dxa"/>
              <w:right w:w="57" w:type="dxa"/>
            </w:tcMar>
            <w:vAlign w:val="center"/>
          </w:tcPr>
          <w:p w14:paraId="164B13A4">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按招标文件要求签署、盖章的。</w:t>
            </w:r>
          </w:p>
        </w:tc>
      </w:tr>
      <w:tr w14:paraId="7E14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789" w:type="dxa"/>
            <w:vMerge w:val="continue"/>
            <w:tcMar>
              <w:top w:w="57" w:type="dxa"/>
              <w:left w:w="57" w:type="dxa"/>
              <w:bottom w:w="57" w:type="dxa"/>
              <w:right w:w="57" w:type="dxa"/>
            </w:tcMar>
          </w:tcPr>
          <w:p w14:paraId="02544D69">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963" w:type="dxa"/>
            <w:vMerge w:val="continue"/>
            <w:tcMar>
              <w:top w:w="57" w:type="dxa"/>
              <w:left w:w="57" w:type="dxa"/>
              <w:bottom w:w="57" w:type="dxa"/>
              <w:right w:w="57" w:type="dxa"/>
            </w:tcMar>
          </w:tcPr>
          <w:p w14:paraId="772A7727">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1701" w:type="dxa"/>
            <w:tcMar>
              <w:top w:w="57" w:type="dxa"/>
              <w:left w:w="57" w:type="dxa"/>
              <w:bottom w:w="57" w:type="dxa"/>
              <w:right w:w="57" w:type="dxa"/>
            </w:tcMar>
            <w:vAlign w:val="center"/>
          </w:tcPr>
          <w:p w14:paraId="332A1459">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投标文件格式</w:t>
            </w:r>
          </w:p>
        </w:tc>
        <w:tc>
          <w:tcPr>
            <w:tcW w:w="6999" w:type="dxa"/>
            <w:tcMar>
              <w:top w:w="57" w:type="dxa"/>
              <w:left w:w="57" w:type="dxa"/>
              <w:bottom w:w="57" w:type="dxa"/>
              <w:right w:w="57" w:type="dxa"/>
            </w:tcMar>
            <w:vAlign w:val="center"/>
          </w:tcPr>
          <w:p w14:paraId="705B6A94">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按第六章“投标文件格式”的要求填写，内容齐全、关键字迹清晰（可辨）的。 </w:t>
            </w:r>
          </w:p>
        </w:tc>
      </w:tr>
      <w:tr w14:paraId="20DC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789" w:type="dxa"/>
            <w:vMerge w:val="continue"/>
            <w:tcMar>
              <w:top w:w="57" w:type="dxa"/>
              <w:left w:w="57" w:type="dxa"/>
              <w:bottom w:w="57" w:type="dxa"/>
              <w:right w:w="57" w:type="dxa"/>
            </w:tcMar>
          </w:tcPr>
          <w:p w14:paraId="4BB0A91F">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963" w:type="dxa"/>
            <w:vMerge w:val="continue"/>
            <w:tcMar>
              <w:top w:w="57" w:type="dxa"/>
              <w:left w:w="57" w:type="dxa"/>
              <w:bottom w:w="57" w:type="dxa"/>
              <w:right w:w="57" w:type="dxa"/>
            </w:tcMar>
          </w:tcPr>
          <w:p w14:paraId="0B5ACBD1">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1701" w:type="dxa"/>
            <w:tcMar>
              <w:top w:w="57" w:type="dxa"/>
              <w:left w:w="57" w:type="dxa"/>
              <w:bottom w:w="57" w:type="dxa"/>
              <w:right w:w="57" w:type="dxa"/>
            </w:tcMar>
            <w:vAlign w:val="center"/>
          </w:tcPr>
          <w:p w14:paraId="0DFBE3E7">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投标报价</w:t>
            </w:r>
          </w:p>
        </w:tc>
        <w:tc>
          <w:tcPr>
            <w:tcW w:w="6999" w:type="dxa"/>
            <w:tcMar>
              <w:top w:w="57" w:type="dxa"/>
              <w:left w:w="57" w:type="dxa"/>
              <w:bottom w:w="57" w:type="dxa"/>
              <w:right w:w="57" w:type="dxa"/>
            </w:tcMar>
            <w:vAlign w:val="center"/>
          </w:tcPr>
          <w:p w14:paraId="2FF96123">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完整，只有一个有效报价且报价未超过招标文件中规定的最高限价。</w:t>
            </w:r>
          </w:p>
        </w:tc>
      </w:tr>
      <w:tr w14:paraId="25EB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789" w:type="dxa"/>
            <w:vMerge w:val="continue"/>
            <w:tcMar>
              <w:top w:w="57" w:type="dxa"/>
              <w:left w:w="57" w:type="dxa"/>
              <w:bottom w:w="57" w:type="dxa"/>
              <w:right w:w="57" w:type="dxa"/>
            </w:tcMar>
          </w:tcPr>
          <w:p w14:paraId="294C6FB8">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963" w:type="dxa"/>
            <w:vMerge w:val="continue"/>
            <w:tcMar>
              <w:top w:w="57" w:type="dxa"/>
              <w:left w:w="57" w:type="dxa"/>
              <w:bottom w:w="57" w:type="dxa"/>
              <w:right w:w="57" w:type="dxa"/>
            </w:tcMar>
          </w:tcPr>
          <w:p w14:paraId="30F74212">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1701" w:type="dxa"/>
            <w:tcMar>
              <w:top w:w="57" w:type="dxa"/>
              <w:left w:w="57" w:type="dxa"/>
              <w:bottom w:w="57" w:type="dxa"/>
              <w:right w:w="57" w:type="dxa"/>
            </w:tcMar>
            <w:vAlign w:val="center"/>
          </w:tcPr>
          <w:p w14:paraId="26E569E3">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w:t>
            </w:r>
          </w:p>
        </w:tc>
        <w:tc>
          <w:tcPr>
            <w:tcW w:w="6999" w:type="dxa"/>
            <w:tcMar>
              <w:top w:w="57" w:type="dxa"/>
              <w:left w:w="57" w:type="dxa"/>
              <w:bottom w:w="57" w:type="dxa"/>
              <w:right w:w="57" w:type="dxa"/>
            </w:tcMar>
            <w:vAlign w:val="center"/>
          </w:tcPr>
          <w:p w14:paraId="177359C6">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符合第二章“供应商须知”第3.3.1项规定。</w:t>
            </w:r>
          </w:p>
        </w:tc>
      </w:tr>
      <w:tr w14:paraId="3E1B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8" w:hRule="atLeast"/>
        </w:trPr>
        <w:tc>
          <w:tcPr>
            <w:tcW w:w="789" w:type="dxa"/>
            <w:vMerge w:val="continue"/>
            <w:tcMar>
              <w:top w:w="57" w:type="dxa"/>
              <w:left w:w="57" w:type="dxa"/>
              <w:bottom w:w="57" w:type="dxa"/>
              <w:right w:w="57" w:type="dxa"/>
            </w:tcMar>
          </w:tcPr>
          <w:p w14:paraId="26771E30">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963" w:type="dxa"/>
            <w:vMerge w:val="continue"/>
            <w:tcMar>
              <w:top w:w="57" w:type="dxa"/>
              <w:left w:w="57" w:type="dxa"/>
              <w:bottom w:w="57" w:type="dxa"/>
              <w:right w:w="57" w:type="dxa"/>
            </w:tcMar>
          </w:tcPr>
          <w:p w14:paraId="53EF5A26">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1701" w:type="dxa"/>
            <w:tcMar>
              <w:top w:w="57" w:type="dxa"/>
              <w:left w:w="57" w:type="dxa"/>
              <w:bottom w:w="57" w:type="dxa"/>
              <w:right w:w="57" w:type="dxa"/>
            </w:tcMar>
            <w:vAlign w:val="center"/>
          </w:tcPr>
          <w:p w14:paraId="246F2484">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投标保证金</w:t>
            </w:r>
          </w:p>
        </w:tc>
        <w:tc>
          <w:tcPr>
            <w:tcW w:w="6999" w:type="dxa"/>
            <w:tcMar>
              <w:top w:w="57" w:type="dxa"/>
              <w:left w:w="57" w:type="dxa"/>
              <w:bottom w:w="57" w:type="dxa"/>
              <w:right w:w="57" w:type="dxa"/>
            </w:tcMar>
            <w:vAlign w:val="center"/>
          </w:tcPr>
          <w:p w14:paraId="24610FFA">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符合第二章“</w:t>
            </w:r>
            <w:r>
              <w:rPr>
                <w:rFonts w:hint="eastAsia" w:ascii="宋体" w:hAnsi="宋体" w:cs="宋体"/>
                <w:bCs/>
                <w:color w:val="000000" w:themeColor="text1"/>
                <w:sz w:val="21"/>
                <w:szCs w:val="21"/>
                <w:highlight w:val="none"/>
                <w14:textFill>
                  <w14:solidFill>
                    <w14:schemeClr w14:val="tx1"/>
                  </w14:solidFill>
                </w14:textFill>
              </w:rPr>
              <w:t>供应商须知</w:t>
            </w:r>
            <w:r>
              <w:rPr>
                <w:rFonts w:hint="eastAsia" w:ascii="宋体" w:hAnsi="宋体" w:cs="宋体"/>
                <w:color w:val="000000" w:themeColor="text1"/>
                <w:sz w:val="21"/>
                <w:szCs w:val="21"/>
                <w:highlight w:val="none"/>
                <w14:textFill>
                  <w14:solidFill>
                    <w14:schemeClr w14:val="tx1"/>
                  </w14:solidFill>
                </w14:textFill>
              </w:rPr>
              <w:t>”第3.4.1项规定。</w:t>
            </w:r>
          </w:p>
        </w:tc>
      </w:tr>
      <w:tr w14:paraId="6F44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8" w:hRule="atLeast"/>
        </w:trPr>
        <w:tc>
          <w:tcPr>
            <w:tcW w:w="789" w:type="dxa"/>
            <w:vMerge w:val="continue"/>
            <w:tcMar>
              <w:top w:w="57" w:type="dxa"/>
              <w:left w:w="57" w:type="dxa"/>
              <w:bottom w:w="57" w:type="dxa"/>
              <w:right w:w="57" w:type="dxa"/>
            </w:tcMar>
          </w:tcPr>
          <w:p w14:paraId="4B03A66C">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963" w:type="dxa"/>
            <w:vMerge w:val="continue"/>
            <w:tcMar>
              <w:top w:w="57" w:type="dxa"/>
              <w:left w:w="57" w:type="dxa"/>
              <w:bottom w:w="57" w:type="dxa"/>
              <w:right w:w="57" w:type="dxa"/>
            </w:tcMar>
          </w:tcPr>
          <w:p w14:paraId="39079E9A">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1701" w:type="dxa"/>
            <w:tcMar>
              <w:top w:w="57" w:type="dxa"/>
              <w:left w:w="57" w:type="dxa"/>
              <w:bottom w:w="57" w:type="dxa"/>
              <w:right w:w="57" w:type="dxa"/>
            </w:tcMar>
            <w:vAlign w:val="center"/>
          </w:tcPr>
          <w:p w14:paraId="078D07A0">
            <w:pPr>
              <w:keepNext w:val="0"/>
              <w:keepLines w:val="0"/>
              <w:widowControl/>
              <w:suppressLineNumbers w:val="0"/>
              <w:spacing w:before="0" w:beforeAutospacing="0" w:after="0" w:afterAutospacing="0" w:line="276"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szCs w:val="21"/>
              </w:rPr>
              <w:t>其他</w:t>
            </w:r>
          </w:p>
        </w:tc>
        <w:tc>
          <w:tcPr>
            <w:tcW w:w="6999" w:type="dxa"/>
            <w:tcMar>
              <w:top w:w="57" w:type="dxa"/>
              <w:left w:w="57" w:type="dxa"/>
              <w:bottom w:w="57" w:type="dxa"/>
              <w:right w:w="57" w:type="dxa"/>
            </w:tcMar>
            <w:vAlign w:val="center"/>
          </w:tcPr>
          <w:p w14:paraId="6377F2B3">
            <w:pPr>
              <w:keepNext w:val="0"/>
              <w:keepLines w:val="0"/>
              <w:widowControl/>
              <w:suppressLineNumbers w:val="0"/>
              <w:spacing w:before="0" w:beforeAutospacing="0" w:after="0" w:afterAutospacing="0" w:line="276" w:lineRule="auto"/>
              <w:ind w:left="0" w:leftChars="0" w:right="0" w:rightChars="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szCs w:val="21"/>
              </w:rPr>
              <w:t>投标文件未出现其他不满足招标文件中的实质性条款或含有采购人不能接受的附加条件的，未出现招标文件规定的其他投标无效情形。</w:t>
            </w:r>
          </w:p>
        </w:tc>
      </w:tr>
      <w:tr w14:paraId="602A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3" w:hRule="atLeast"/>
        </w:trPr>
        <w:tc>
          <w:tcPr>
            <w:tcW w:w="789" w:type="dxa"/>
            <w:vMerge w:val="continue"/>
            <w:tcMar>
              <w:top w:w="57" w:type="dxa"/>
              <w:left w:w="57" w:type="dxa"/>
              <w:bottom w:w="57" w:type="dxa"/>
              <w:right w:w="57" w:type="dxa"/>
            </w:tcMar>
          </w:tcPr>
          <w:p w14:paraId="2A4202E0">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963" w:type="dxa"/>
            <w:vMerge w:val="continue"/>
            <w:tcMar>
              <w:top w:w="57" w:type="dxa"/>
              <w:left w:w="57" w:type="dxa"/>
              <w:bottom w:w="57" w:type="dxa"/>
              <w:right w:w="57" w:type="dxa"/>
            </w:tcMar>
          </w:tcPr>
          <w:p w14:paraId="6991F234">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1701" w:type="dxa"/>
            <w:tcMar>
              <w:top w:w="57" w:type="dxa"/>
              <w:left w:w="57" w:type="dxa"/>
              <w:bottom w:w="57" w:type="dxa"/>
              <w:right w:w="57" w:type="dxa"/>
            </w:tcMar>
            <w:vAlign w:val="center"/>
          </w:tcPr>
          <w:p w14:paraId="424D8989">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实质性条件</w:t>
            </w:r>
          </w:p>
        </w:tc>
        <w:tc>
          <w:tcPr>
            <w:tcW w:w="6999" w:type="dxa"/>
            <w:tcMar>
              <w:top w:w="57" w:type="dxa"/>
              <w:left w:w="57" w:type="dxa"/>
              <w:bottom w:w="57" w:type="dxa"/>
              <w:right w:w="57" w:type="dxa"/>
            </w:tcMar>
            <w:vAlign w:val="center"/>
          </w:tcPr>
          <w:p w14:paraId="11DFA74A">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1、投标文件含有采购人不能接受的附加条件的；</w:t>
            </w:r>
          </w:p>
          <w:p w14:paraId="429ADE73">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2、法律、法规和招标文件明确规定的其他无效情形。</w:t>
            </w:r>
          </w:p>
        </w:tc>
      </w:tr>
      <w:tr w14:paraId="1975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789" w:type="dxa"/>
            <w:vMerge w:val="continue"/>
            <w:tcMar>
              <w:top w:w="57" w:type="dxa"/>
              <w:left w:w="57" w:type="dxa"/>
              <w:bottom w:w="57" w:type="dxa"/>
              <w:right w:w="57" w:type="dxa"/>
            </w:tcMar>
          </w:tcPr>
          <w:p w14:paraId="7EF6B21B">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963" w:type="dxa"/>
            <w:vMerge w:val="continue"/>
            <w:tcMar>
              <w:top w:w="57" w:type="dxa"/>
              <w:left w:w="57" w:type="dxa"/>
              <w:bottom w:w="57" w:type="dxa"/>
              <w:right w:w="57" w:type="dxa"/>
            </w:tcMar>
          </w:tcPr>
          <w:p w14:paraId="1061D6EB">
            <w:pPr>
              <w:pageBreakBefore w:val="0"/>
              <w:kinsoku/>
              <w:wordWrap w:val="0"/>
              <w:bidi w:val="0"/>
              <w:spacing w:beforeAutospacing="0" w:afterAutospacing="0" w:line="240" w:lineRule="exact"/>
              <w:ind w:left="0" w:leftChars="0" w:right="0" w:rightChars="0"/>
              <w:rPr>
                <w:rFonts w:ascii="宋体" w:hAnsi="宋体" w:cs="宋体"/>
                <w:color w:val="000000" w:themeColor="text1"/>
                <w:sz w:val="21"/>
                <w:szCs w:val="21"/>
                <w:highlight w:val="none"/>
                <w14:textFill>
                  <w14:solidFill>
                    <w14:schemeClr w14:val="tx1"/>
                  </w14:solidFill>
                </w14:textFill>
              </w:rPr>
            </w:pPr>
          </w:p>
        </w:tc>
        <w:tc>
          <w:tcPr>
            <w:tcW w:w="1701" w:type="dxa"/>
            <w:tcMar>
              <w:top w:w="57" w:type="dxa"/>
              <w:left w:w="57" w:type="dxa"/>
              <w:bottom w:w="57" w:type="dxa"/>
              <w:right w:w="57" w:type="dxa"/>
            </w:tcMar>
            <w:vAlign w:val="center"/>
          </w:tcPr>
          <w:p w14:paraId="4E685347">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串通投标</w:t>
            </w:r>
          </w:p>
        </w:tc>
        <w:tc>
          <w:tcPr>
            <w:tcW w:w="6999" w:type="dxa"/>
            <w:tcMar>
              <w:top w:w="57" w:type="dxa"/>
              <w:left w:w="57" w:type="dxa"/>
              <w:bottom w:w="57" w:type="dxa"/>
              <w:right w:w="57" w:type="dxa"/>
            </w:tcMar>
            <w:vAlign w:val="center"/>
          </w:tcPr>
          <w:p w14:paraId="08D55573">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1、不同供应商的投标文件由同一单位或者个人编制；</w:t>
            </w:r>
          </w:p>
          <w:p w14:paraId="7922BF47">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2、不同供应商委托同一单位或者个人办理投标事宜；</w:t>
            </w:r>
          </w:p>
          <w:p w14:paraId="5F389899">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3、不同供应商的投标文件载明的项目管理成员或者联系人员为同一人；</w:t>
            </w:r>
          </w:p>
          <w:p w14:paraId="47DB91E5">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4、不同供应商的投标文件异常一致或者投标报价呈规律性差异；</w:t>
            </w:r>
          </w:p>
          <w:p w14:paraId="6B7E4CE2">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5、不同供应商的投标文件相互混装；</w:t>
            </w:r>
          </w:p>
          <w:p w14:paraId="5A068418">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6、不同供应商的投标保证金从同一单位或者个人的账户转出。</w:t>
            </w:r>
          </w:p>
        </w:tc>
      </w:tr>
    </w:tbl>
    <w:p w14:paraId="276AF2C4">
      <w:pPr>
        <w:pageBreakBefore w:val="0"/>
        <w:kinsoku/>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bookmarkStart w:id="332" w:name="_Toc432697202"/>
      <w:r>
        <w:rPr>
          <w:rFonts w:hint="eastAsia" w:ascii="宋体" w:hAnsi="宋体" w:cs="宋体"/>
          <w:color w:val="000000" w:themeColor="text1"/>
          <w:sz w:val="21"/>
          <w:szCs w:val="21"/>
          <w:highlight w:val="none"/>
          <w14:textFill>
            <w14:solidFill>
              <w14:schemeClr w14:val="tx1"/>
            </w14:solidFill>
          </w14:textFill>
        </w:rPr>
        <w:br w:type="page"/>
      </w:r>
    </w:p>
    <w:p w14:paraId="725801CC">
      <w:pPr>
        <w:pStyle w:val="3"/>
        <w:pageBreakBefore w:val="0"/>
        <w:kinsoku/>
        <w:wordWrap w:val="0"/>
        <w:bidi w:val="0"/>
        <w:spacing w:before="0" w:beforeAutospacing="0" w:after="0" w:afterAutospacing="0" w:line="360" w:lineRule="auto"/>
        <w:ind w:left="0" w:leftChars="0" w:right="0" w:rightChars="0"/>
        <w:jc w:val="center"/>
        <w:rPr>
          <w:rFonts w:ascii="宋体" w:hAnsi="宋体" w:eastAsia="宋体" w:cs="宋体"/>
          <w:color w:val="000000" w:themeColor="text1"/>
          <w:sz w:val="28"/>
          <w:szCs w:val="28"/>
          <w:highlight w:val="none"/>
          <w14:textFill>
            <w14:solidFill>
              <w14:schemeClr w14:val="tx1"/>
            </w14:solidFill>
          </w14:textFill>
        </w:rPr>
      </w:pPr>
      <w:bookmarkStart w:id="333" w:name="_Toc15118"/>
      <w:bookmarkStart w:id="334" w:name="_Toc16348"/>
      <w:r>
        <w:rPr>
          <w:rFonts w:hint="eastAsia" w:ascii="宋体" w:hAnsi="宋体" w:eastAsia="宋体" w:cs="宋体"/>
          <w:color w:val="000000" w:themeColor="text1"/>
          <w:sz w:val="28"/>
          <w:szCs w:val="28"/>
          <w:highlight w:val="none"/>
          <w14:textFill>
            <w14:solidFill>
              <w14:schemeClr w14:val="tx1"/>
            </w14:solidFill>
          </w14:textFill>
        </w:rPr>
        <w:t>二、评标办法正文部分</w:t>
      </w:r>
      <w:bookmarkEnd w:id="333"/>
      <w:bookmarkEnd w:id="334"/>
    </w:p>
    <w:p w14:paraId="1119C0FD">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335" w:name="_Toc16304"/>
      <w:bookmarkStart w:id="336" w:name="_Toc3467"/>
      <w:bookmarkStart w:id="337" w:name="_Toc7346"/>
      <w:r>
        <w:rPr>
          <w:rFonts w:hint="eastAsia" w:ascii="宋体" w:hAnsi="宋体" w:cs="宋体"/>
          <w:color w:val="000000" w:themeColor="text1"/>
          <w:sz w:val="24"/>
          <w:szCs w:val="24"/>
          <w:highlight w:val="none"/>
          <w14:textFill>
            <w14:solidFill>
              <w14:schemeClr w14:val="tx1"/>
            </w14:solidFill>
          </w14:textFill>
        </w:rPr>
        <w:t>（一）总则</w:t>
      </w:r>
      <w:bookmarkEnd w:id="332"/>
      <w:bookmarkEnd w:id="335"/>
      <w:bookmarkEnd w:id="336"/>
      <w:bookmarkEnd w:id="337"/>
    </w:p>
    <w:p w14:paraId="35DCA9F1">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338" w:name="_Toc493062311"/>
      <w:bookmarkStart w:id="339" w:name="_Toc432697203"/>
      <w:bookmarkStart w:id="340" w:name="_Toc492994644"/>
      <w:bookmarkStart w:id="341" w:name="_Toc320473416"/>
      <w:r>
        <w:rPr>
          <w:rFonts w:hint="eastAsia" w:ascii="宋体" w:hAnsi="宋体" w:cs="宋体"/>
          <w:b/>
          <w:bCs/>
          <w:color w:val="000000" w:themeColor="text1"/>
          <w:sz w:val="21"/>
          <w:szCs w:val="21"/>
          <w:highlight w:val="none"/>
          <w14:textFill>
            <w14:solidFill>
              <w14:schemeClr w14:val="tx1"/>
            </w14:solidFill>
          </w14:textFill>
        </w:rPr>
        <w:t>1.1 评标依据</w:t>
      </w:r>
      <w:bookmarkEnd w:id="338"/>
      <w:bookmarkEnd w:id="339"/>
      <w:bookmarkEnd w:id="340"/>
      <w:bookmarkEnd w:id="341"/>
    </w:p>
    <w:p w14:paraId="795D23A1">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1.1.1 本评标办法参照《中华人民共和国政府采购法》等有关法律规定及本项目实际情况制定。</w:t>
      </w:r>
    </w:p>
    <w:p w14:paraId="5420DEEA">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342" w:name="_Toc492994645"/>
      <w:bookmarkStart w:id="343" w:name="_Toc493062312"/>
      <w:bookmarkStart w:id="344" w:name="_Toc432697204"/>
      <w:bookmarkStart w:id="345" w:name="_Toc320473417"/>
      <w:r>
        <w:rPr>
          <w:rFonts w:hint="eastAsia" w:ascii="宋体" w:hAnsi="宋体" w:cs="宋体"/>
          <w:b/>
          <w:bCs/>
          <w:color w:val="000000" w:themeColor="text1"/>
          <w:sz w:val="21"/>
          <w:szCs w:val="21"/>
          <w:highlight w:val="none"/>
          <w14:textFill>
            <w14:solidFill>
              <w14:schemeClr w14:val="tx1"/>
            </w14:solidFill>
          </w14:textFill>
        </w:rPr>
        <w:t>1.2 评标原则</w:t>
      </w:r>
      <w:bookmarkEnd w:id="342"/>
      <w:bookmarkEnd w:id="343"/>
      <w:bookmarkEnd w:id="344"/>
      <w:bookmarkEnd w:id="345"/>
    </w:p>
    <w:p w14:paraId="34B36C4F">
      <w:pPr>
        <w:pageBreakBefore w:val="0"/>
        <w:kinsoku/>
        <w:wordWrap w:val="0"/>
        <w:bidi w:val="0"/>
        <w:spacing w:beforeAutospacing="0" w:afterAutospacing="0" w:line="360" w:lineRule="auto"/>
        <w:ind w:left="0" w:leftChars="0" w:right="0" w:rightChars="0" w:firstLine="403" w:firstLineChars="19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1.2.1 评标遵循“客观、公正、科学、择优”的原则。</w:t>
      </w:r>
    </w:p>
    <w:p w14:paraId="73D06CB7">
      <w:pPr>
        <w:pageBreakBefore w:val="0"/>
        <w:kinsoku/>
        <w:wordWrap w:val="0"/>
        <w:bidi w:val="0"/>
        <w:spacing w:beforeAutospacing="0" w:afterAutospacing="0" w:line="360" w:lineRule="auto"/>
        <w:ind w:left="0" w:leftChars="0" w:right="0" w:rightChars="0" w:firstLine="403" w:firstLineChars="19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1.2.2 只对有效投标文件进行评审，投标文件以外的资料信息不作为评标的依据和参考。</w:t>
      </w:r>
    </w:p>
    <w:p w14:paraId="023DB247">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1.2.3 询标只针对投标文件中的疑问和问题，供应商澄清问题不允许超出招标文件要求的范围或修改投标文件的实质性内容。</w:t>
      </w:r>
    </w:p>
    <w:p w14:paraId="5F5EF058">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1.2.4 评标过程中如遇特殊问题，由评标委员会根据有关法律、法规研究决定。</w:t>
      </w:r>
    </w:p>
    <w:p w14:paraId="725FACBB">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346" w:name="_Toc432697205"/>
      <w:bookmarkStart w:id="347" w:name="_Toc493062313"/>
      <w:bookmarkStart w:id="348" w:name="_Toc320473418"/>
      <w:bookmarkStart w:id="349" w:name="_Toc492994646"/>
      <w:r>
        <w:rPr>
          <w:rFonts w:hint="eastAsia" w:ascii="宋体" w:hAnsi="宋体" w:cs="宋体"/>
          <w:b/>
          <w:bCs/>
          <w:color w:val="000000" w:themeColor="text1"/>
          <w:sz w:val="21"/>
          <w:szCs w:val="21"/>
          <w:highlight w:val="none"/>
          <w14:textFill>
            <w14:solidFill>
              <w14:schemeClr w14:val="tx1"/>
            </w14:solidFill>
          </w14:textFill>
        </w:rPr>
        <w:t>1.3 评标纪律</w:t>
      </w:r>
      <w:bookmarkEnd w:id="346"/>
      <w:bookmarkEnd w:id="347"/>
      <w:bookmarkEnd w:id="348"/>
      <w:bookmarkEnd w:id="349"/>
    </w:p>
    <w:p w14:paraId="28D93706">
      <w:pPr>
        <w:pageBreakBefore w:val="0"/>
        <w:kinsoku/>
        <w:wordWrap w:val="0"/>
        <w:bidi w:val="0"/>
        <w:spacing w:beforeAutospacing="0" w:afterAutospacing="0" w:line="360" w:lineRule="auto"/>
        <w:ind w:left="0" w:leftChars="0" w:right="0" w:rightChars="0" w:firstLine="403" w:firstLineChars="192"/>
        <w:rPr>
          <w:rFonts w:ascii="宋体" w:hAnsi="宋体" w:cs="宋体"/>
          <w:color w:val="000000" w:themeColor="text1"/>
          <w:sz w:val="21"/>
          <w:szCs w:val="21"/>
          <w:highlight w:val="none"/>
          <w14:textFill>
            <w14:solidFill>
              <w14:schemeClr w14:val="tx1"/>
            </w14:solidFill>
          </w14:textFill>
        </w:rPr>
      </w:pPr>
      <w:bookmarkStart w:id="350" w:name="_Toc493062314"/>
      <w:bookmarkStart w:id="351" w:name="_Toc432697206"/>
      <w:bookmarkStart w:id="352" w:name="_Toc492994647"/>
      <w:bookmarkStart w:id="353" w:name="_Toc320473419"/>
      <w:r>
        <w:rPr>
          <w:rFonts w:hint="eastAsia" w:ascii="宋体" w:hAnsi="宋体" w:cs="宋体"/>
          <w:color w:val="000000" w:themeColor="text1"/>
          <w:sz w:val="21"/>
          <w:szCs w:val="21"/>
          <w:highlight w:val="none"/>
          <w14:textFill>
            <w14:solidFill>
              <w14:schemeClr w14:val="tx1"/>
            </w14:solidFill>
          </w14:textFill>
        </w:rPr>
        <w:t>1.3.1 评标委员会的成员应严格自律，自觉接受有关部门的监督。</w:t>
      </w:r>
    </w:p>
    <w:p w14:paraId="5A4FEB1F">
      <w:pPr>
        <w:pageBreakBefore w:val="0"/>
        <w:kinsoku/>
        <w:wordWrap w:val="0"/>
        <w:bidi w:val="0"/>
        <w:spacing w:beforeAutospacing="0" w:afterAutospacing="0" w:line="360" w:lineRule="auto"/>
        <w:ind w:left="0" w:leftChars="0" w:right="0" w:rightChars="0" w:firstLine="403" w:firstLineChars="19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1.3.2 评标过程中，评标委员会成员不得擅离职守，影响评标程序正常进行。</w:t>
      </w:r>
    </w:p>
    <w:p w14:paraId="02DDC181">
      <w:pPr>
        <w:pageBreakBefore w:val="0"/>
        <w:kinsoku/>
        <w:wordWrap w:val="0"/>
        <w:bidi w:val="0"/>
        <w:spacing w:beforeAutospacing="0" w:afterAutospacing="0" w:line="360" w:lineRule="auto"/>
        <w:ind w:left="0" w:leftChars="0" w:right="0" w:rightChars="0" w:firstLine="403" w:firstLineChars="19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1.3.3 评标委员会的成员不得与供应商、其他利害关系人私下接触，不得向供应商、其他利害关系人泄露对投标文件的评审、比较、中标候选人的推荐以及与评标有关的其它情况。</w:t>
      </w:r>
    </w:p>
    <w:p w14:paraId="4F244FFF">
      <w:pPr>
        <w:pageBreakBefore w:val="0"/>
        <w:kinsoku/>
        <w:wordWrap w:val="0"/>
        <w:bidi w:val="0"/>
        <w:spacing w:beforeAutospacing="0" w:afterAutospacing="0" w:line="360" w:lineRule="auto"/>
        <w:ind w:left="0" w:leftChars="0" w:right="0" w:rightChars="0" w:firstLine="403" w:firstLineChars="19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1.3.4 评标委员会如有需询问、澄清的问题由专职联络员负责联系负责转告。</w:t>
      </w:r>
    </w:p>
    <w:p w14:paraId="7EC2BD5A">
      <w:pPr>
        <w:pageBreakBefore w:val="0"/>
        <w:kinsoku/>
        <w:wordWrap w:val="0"/>
        <w:bidi w:val="0"/>
        <w:spacing w:beforeAutospacing="0" w:afterAutospacing="0" w:line="360" w:lineRule="auto"/>
        <w:ind w:left="0" w:leftChars="0" w:right="0" w:rightChars="0" w:firstLine="403" w:firstLineChars="19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1.3.5 不允许任何人把投标文件及其汇总材料带出评标会场（已经公开的价格等资料除外），所有资料不得复制，完成评标后所有材料如数交还。</w:t>
      </w:r>
    </w:p>
    <w:p w14:paraId="3CCBD70D">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1.3.6 违反上述规定对评标造成不良影响的，后果由责任者承担。</w:t>
      </w:r>
    </w:p>
    <w:p w14:paraId="79926B42">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1.4 评标程序</w:t>
      </w:r>
      <w:bookmarkEnd w:id="350"/>
      <w:bookmarkEnd w:id="351"/>
      <w:bookmarkEnd w:id="352"/>
      <w:bookmarkEnd w:id="353"/>
    </w:p>
    <w:p w14:paraId="098F3D47">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354" w:name="_Toc432697207"/>
      <w:r>
        <w:rPr>
          <w:rFonts w:hint="eastAsia" w:ascii="宋体" w:hAnsi="宋体" w:cs="宋体"/>
          <w:color w:val="000000" w:themeColor="text1"/>
          <w:sz w:val="21"/>
          <w:szCs w:val="21"/>
          <w:highlight w:val="none"/>
          <w14:textFill>
            <w14:solidFill>
              <w14:schemeClr w14:val="tx1"/>
            </w14:solidFill>
          </w14:textFill>
        </w:rPr>
        <w:t>1.4.1</w:t>
      </w:r>
      <w:bookmarkStart w:id="355" w:name="_Hlk525717443"/>
      <w:r>
        <w:rPr>
          <w:rFonts w:hint="eastAsia" w:ascii="宋体" w:hAnsi="宋体" w:cs="宋体"/>
          <w:b/>
          <w:bCs/>
          <w:color w:val="000000" w:themeColor="text1"/>
          <w:sz w:val="21"/>
          <w:szCs w:val="21"/>
          <w:highlight w:val="none"/>
          <w14:textFill>
            <w14:solidFill>
              <w14:schemeClr w14:val="tx1"/>
            </w14:solidFill>
          </w14:textFill>
        </w:rPr>
        <w:t xml:space="preserve"> 在开标结束后，</w:t>
      </w:r>
      <w:r>
        <w:rPr>
          <w:rFonts w:hint="eastAsia" w:ascii="宋体" w:hAnsi="宋体" w:cs="宋体"/>
          <w:color w:val="000000" w:themeColor="text1"/>
          <w:sz w:val="21"/>
          <w:szCs w:val="21"/>
          <w:highlight w:val="none"/>
          <w14:textFill>
            <w14:solidFill>
              <w14:schemeClr w14:val="tx1"/>
            </w14:solidFill>
          </w14:textFill>
        </w:rPr>
        <w:t>由采购人或采购代理机构对投标文件进行资格审查</w:t>
      </w:r>
      <w:bookmarkEnd w:id="355"/>
      <w:r>
        <w:rPr>
          <w:rFonts w:hint="eastAsia" w:ascii="宋体" w:hAnsi="宋体" w:cs="宋体"/>
          <w:color w:val="000000" w:themeColor="text1"/>
          <w:sz w:val="21"/>
          <w:szCs w:val="21"/>
          <w:highlight w:val="none"/>
          <w14:textFill>
            <w14:solidFill>
              <w14:schemeClr w14:val="tx1"/>
            </w14:solidFill>
          </w14:textFill>
        </w:rPr>
        <w:t>，并且出具资格审查报告，供应商只有全部满足评标办法前附表中的资格审查评审标准才能通过资格审查。</w:t>
      </w:r>
    </w:p>
    <w:p w14:paraId="67AA3E5C">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1.4.2评标委员会对通过资格审查的投标文件进行符合性审查。</w:t>
      </w:r>
    </w:p>
    <w:p w14:paraId="600C496B">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1.4.3评标委员会对通过符合性审查的投标文件进行详细评审。</w:t>
      </w:r>
    </w:p>
    <w:p w14:paraId="46A445D7">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1.4.4评标委员会根据规定的详细评审标准对供应商的进行打分，然后按供应商最终得分由高到低进行排序，推荐排名前三位中标候选人。</w:t>
      </w:r>
    </w:p>
    <w:p w14:paraId="10A190CC">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356" w:name="_Toc25919"/>
      <w:bookmarkStart w:id="357" w:name="_Toc30500"/>
      <w:bookmarkStart w:id="358" w:name="_Toc12854"/>
      <w:r>
        <w:rPr>
          <w:rFonts w:hint="eastAsia" w:ascii="宋体" w:hAnsi="宋体" w:cs="宋体"/>
          <w:color w:val="000000" w:themeColor="text1"/>
          <w:sz w:val="24"/>
          <w:szCs w:val="24"/>
          <w:highlight w:val="none"/>
          <w14:textFill>
            <w14:solidFill>
              <w14:schemeClr w14:val="tx1"/>
            </w14:solidFill>
          </w14:textFill>
        </w:rPr>
        <w:t>（二）评标程序及标准</w:t>
      </w:r>
      <w:bookmarkEnd w:id="354"/>
      <w:bookmarkEnd w:id="356"/>
      <w:bookmarkEnd w:id="357"/>
      <w:bookmarkEnd w:id="358"/>
    </w:p>
    <w:p w14:paraId="2966C08B">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359" w:name="_Toc432697208"/>
      <w:bookmarkStart w:id="360" w:name="_Toc492994649"/>
      <w:r>
        <w:rPr>
          <w:rFonts w:hint="eastAsia" w:ascii="宋体" w:hAnsi="宋体" w:cs="宋体"/>
          <w:b/>
          <w:bCs/>
          <w:color w:val="000000" w:themeColor="text1"/>
          <w:sz w:val="21"/>
          <w:szCs w:val="21"/>
          <w:highlight w:val="none"/>
          <w14:textFill>
            <w14:solidFill>
              <w14:schemeClr w14:val="tx1"/>
            </w14:solidFill>
          </w14:textFill>
        </w:rPr>
        <w:t>2.1资格评审</w:t>
      </w:r>
      <w:bookmarkEnd w:id="359"/>
      <w:bookmarkEnd w:id="360"/>
    </w:p>
    <w:p w14:paraId="5BBAF8ED">
      <w:pPr>
        <w:pageBreakBefore w:val="0"/>
        <w:kinsoku/>
        <w:wordWrap w:val="0"/>
        <w:bidi w:val="0"/>
        <w:spacing w:beforeAutospacing="0" w:afterAutospacing="0" w:line="360" w:lineRule="auto"/>
        <w:ind w:left="0" w:leftChars="0" w:right="0" w:rightChars="0" w:firstLine="420" w:firstLineChars="200"/>
        <w:rPr>
          <w:rFonts w:ascii="宋体" w:hAnsi="宋体" w:cs="宋体"/>
          <w:b/>
          <w:color w:val="000000" w:themeColor="text1"/>
          <w:sz w:val="21"/>
          <w:szCs w:val="21"/>
          <w:highlight w:val="none"/>
          <w14:textFill>
            <w14:solidFill>
              <w14:schemeClr w14:val="tx1"/>
            </w14:solidFill>
          </w14:textFill>
        </w:rPr>
      </w:pPr>
      <w:bookmarkStart w:id="361" w:name="_Toc492994651"/>
      <w:bookmarkStart w:id="362" w:name="_Toc432697209"/>
      <w:r>
        <w:rPr>
          <w:rFonts w:hint="eastAsia" w:ascii="宋体" w:hAnsi="宋体" w:cs="宋体"/>
          <w:color w:val="000000" w:themeColor="text1"/>
          <w:sz w:val="21"/>
          <w:szCs w:val="21"/>
          <w:highlight w:val="none"/>
          <w14:textFill>
            <w14:solidFill>
              <w14:schemeClr w14:val="tx1"/>
            </w14:solidFill>
          </w14:textFill>
        </w:rPr>
        <w:t xml:space="preserve">2.1.1 </w:t>
      </w:r>
      <w:r>
        <w:rPr>
          <w:rFonts w:hint="eastAsia" w:ascii="宋体" w:hAnsi="宋体" w:cs="宋体"/>
          <w:b/>
          <w:bCs/>
          <w:color w:val="000000" w:themeColor="text1"/>
          <w:sz w:val="21"/>
          <w:szCs w:val="21"/>
          <w:highlight w:val="none"/>
          <w14:textFill>
            <w14:solidFill>
              <w14:schemeClr w14:val="tx1"/>
            </w14:solidFill>
          </w14:textFill>
        </w:rPr>
        <w:t>在开标结束后，</w:t>
      </w:r>
      <w:r>
        <w:rPr>
          <w:rFonts w:hint="eastAsia" w:ascii="宋体" w:hAnsi="宋体" w:cs="宋体"/>
          <w:color w:val="000000" w:themeColor="text1"/>
          <w:sz w:val="21"/>
          <w:szCs w:val="21"/>
          <w:highlight w:val="none"/>
          <w14:textFill>
            <w14:solidFill>
              <w14:schemeClr w14:val="tx1"/>
            </w14:solidFill>
          </w14:textFill>
        </w:rPr>
        <w:t>由采购人或采购代理机构对投标文件进行资格审查。</w:t>
      </w:r>
    </w:p>
    <w:p w14:paraId="651561B6">
      <w:pPr>
        <w:pageBreakBefore w:val="0"/>
        <w:kinsoku/>
        <w:wordWrap w:val="0"/>
        <w:bidi w:val="0"/>
        <w:spacing w:beforeAutospacing="0" w:afterAutospacing="0" w:line="360" w:lineRule="auto"/>
        <w:ind w:left="0" w:leftChars="0" w:right="0" w:rightChars="0" w:firstLine="420"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2.1.2对供应商进行资格审查的标准详见评标办法前附表。供应商只有全部满足评标办法前附表中的资格审查评审标准才能通过资格审查。</w:t>
      </w:r>
    </w:p>
    <w:p w14:paraId="64253353">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2.2</w:t>
      </w:r>
      <w:bookmarkEnd w:id="361"/>
      <w:bookmarkEnd w:id="362"/>
      <w:r>
        <w:rPr>
          <w:rFonts w:hint="eastAsia" w:ascii="宋体" w:hAnsi="宋体" w:cs="宋体"/>
          <w:b/>
          <w:bCs/>
          <w:color w:val="000000" w:themeColor="text1"/>
          <w:sz w:val="21"/>
          <w:szCs w:val="21"/>
          <w:highlight w:val="none"/>
          <w14:textFill>
            <w14:solidFill>
              <w14:schemeClr w14:val="tx1"/>
            </w14:solidFill>
          </w14:textFill>
        </w:rPr>
        <w:t>符合性审查</w:t>
      </w:r>
    </w:p>
    <w:p w14:paraId="0213705E">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2.2.1 经资格审查并通过的投标文件才能提交评审委员会进行符合性审查。</w:t>
      </w:r>
    </w:p>
    <w:p w14:paraId="2132A025">
      <w:pPr>
        <w:pageBreakBefore w:val="0"/>
        <w:kinsoku/>
        <w:wordWrap w:val="0"/>
        <w:bidi w:val="0"/>
        <w:spacing w:beforeAutospacing="0" w:afterAutospacing="0" w:line="360" w:lineRule="auto"/>
        <w:ind w:left="0" w:leftChars="0" w:right="0" w:rightChars="0" w:firstLine="399" w:firstLineChars="19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2.2.2 符合性审查中，出现评审办法前附表规定情形之一的，投标文件按作废标处理。</w:t>
      </w:r>
    </w:p>
    <w:p w14:paraId="2EC2F2BC">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2.2.3 评标时，对于投标文件中含义不明确、同类问题表述不一致或者有明显文字和计算错误的内容，评标委员会应当以书面形式要求供应商作出必要的澄清、说明或者补正。</w:t>
      </w:r>
    </w:p>
    <w:p w14:paraId="1FFD3CB0">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2.2.4供应商的澄清、说明或者补正应当采用书面形式，并加盖公章，或者由法定代表人或其授权的代表签字。供应商的澄清、说明或者补正不得超出投标文件的范围或者改变投标文件的实质性内容。</w:t>
      </w:r>
    </w:p>
    <w:p w14:paraId="0B6742E0">
      <w:pPr>
        <w:pageBreakBefore w:val="0"/>
        <w:kinsoku/>
        <w:wordWrap w:val="0"/>
        <w:bidi w:val="0"/>
        <w:spacing w:beforeAutospacing="0" w:afterAutospacing="0" w:line="360" w:lineRule="auto"/>
        <w:ind w:left="0" w:leftChars="0" w:right="0" w:rightChars="0" w:firstLine="420"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2.2.5如果投标文件实质上不响应招标文件的各项要求，评审委员会将予以拒绝，并且不允许供应商通过修改或撤销其不符合要求的差异或保留，使之成为具有响应性的投标。</w:t>
      </w:r>
    </w:p>
    <w:p w14:paraId="7CC6D92E">
      <w:pPr>
        <w:pageBreakBefore w:val="0"/>
        <w:kinsoku/>
        <w:wordWrap w:val="0"/>
        <w:bidi w:val="0"/>
        <w:spacing w:beforeAutospacing="0" w:afterAutospacing="0" w:line="360" w:lineRule="auto"/>
        <w:ind w:left="0" w:leftChars="0" w:right="0" w:rightChars="0" w:firstLine="403" w:firstLineChars="19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2.2.6计算错误的修正原则</w:t>
      </w:r>
    </w:p>
    <w:p w14:paraId="767CFC61">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（1）投标文件中开标一览表（报价表）内容与投标文件中相应内容不一致的，以开标一览表（报价表）为准；</w:t>
      </w:r>
    </w:p>
    <w:p w14:paraId="6376AD96">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（2）大写金额和小写金额不一致的，以大写金额为准；</w:t>
      </w:r>
    </w:p>
    <w:p w14:paraId="04207ADF">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00C7712B">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（4）总价金额与按单价汇总金额不一致的，以单价金额计算结果为准。</w:t>
      </w:r>
    </w:p>
    <w:p w14:paraId="6F390922">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同时出现两种以上不一致的，按照上述规定的顺序修正，修正后的报价经供应商确认后产生约束力，供应商不确认的，其投标无效。</w:t>
      </w:r>
    </w:p>
    <w:p w14:paraId="1C82C5FB">
      <w:pPr>
        <w:pageBreakBefore w:val="0"/>
        <w:kinsoku/>
        <w:wordWrap w:val="0"/>
        <w:bidi w:val="0"/>
        <w:spacing w:beforeAutospacing="0" w:afterAutospacing="0" w:line="360" w:lineRule="auto"/>
        <w:ind w:left="0" w:leftChars="0" w:right="0" w:righ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2.2.7评审过程中出现下列情形之一的，评标委员会应当启动异常低价投标审查程序：</w:t>
      </w:r>
    </w:p>
    <w:p w14:paraId="486AF936">
      <w:pPr>
        <w:pageBreakBefore w:val="0"/>
        <w:kinsoku/>
        <w:wordWrap w:val="0"/>
        <w:bidi w:val="0"/>
        <w:spacing w:beforeAutospacing="0" w:afterAutospacing="0" w:line="360" w:lineRule="auto"/>
        <w:ind w:left="0" w:leftChars="0" w:right="0" w:righ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（1）投标报价低于全部通过符合性审查投标人投标报价平均值50%的，即投标报价＜全部通过符合性审查投标人投标报价平均值×50%；</w:t>
      </w:r>
    </w:p>
    <w:p w14:paraId="66B11E22">
      <w:pPr>
        <w:pageBreakBefore w:val="0"/>
        <w:kinsoku/>
        <w:wordWrap w:val="0"/>
        <w:bidi w:val="0"/>
        <w:spacing w:beforeAutospacing="0" w:afterAutospacing="0" w:line="360" w:lineRule="auto"/>
        <w:ind w:left="0" w:leftChars="0" w:right="0" w:righ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（2）投标报价低于通过符合性审查的次低报价投标人投标报价50%的，即投标报价＜通过符合性审查的次低报价投标人投标报价×50%；</w:t>
      </w:r>
    </w:p>
    <w:p w14:paraId="056AD331">
      <w:pPr>
        <w:pageBreakBefore w:val="0"/>
        <w:kinsoku/>
        <w:wordWrap w:val="0"/>
        <w:bidi w:val="0"/>
        <w:spacing w:beforeAutospacing="0" w:afterAutospacing="0" w:line="360" w:lineRule="auto"/>
        <w:ind w:left="0" w:leftChars="0" w:right="0" w:righ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（3）投标报价低于采购项目最高限价45%的，即投标报价＜采购项目最高限价×45%；</w:t>
      </w:r>
    </w:p>
    <w:p w14:paraId="513BABBA">
      <w:pPr>
        <w:pageBreakBefore w:val="0"/>
        <w:kinsoku/>
        <w:wordWrap w:val="0"/>
        <w:bidi w:val="0"/>
        <w:spacing w:beforeAutospacing="0" w:afterAutospacing="0" w:line="360" w:lineRule="auto"/>
        <w:ind w:left="0" w:leftChars="0" w:right="0" w:righ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（4）评标委员会基于专业判断，认为投标人报价过低，有可能影响产品质量或者不能诚信履约的其他情形。</w:t>
      </w:r>
    </w:p>
    <w:p w14:paraId="27BC1344">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2.2.8政府采购政策：</w:t>
      </w:r>
    </w:p>
    <w:p w14:paraId="29022149">
      <w:pPr>
        <w:pageBreakBefore w:val="0"/>
        <w:kinsoku/>
        <w:wordWrap w:val="0"/>
        <w:bidi w:val="0"/>
        <w:spacing w:beforeAutospacing="0" w:afterAutospacing="0" w:line="360" w:lineRule="auto"/>
        <w:ind w:left="0" w:leftChars="0" w:right="0" w:rightChars="0" w:firstLine="422"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中小企业扶持政策</w:t>
      </w:r>
    </w:p>
    <w:p w14:paraId="6C3EC746">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根据《关于印发&lt;政府采购促进中小企业发展管理办法&gt;的通知》（财库【2020】46 号）的规定，供应商提供的货物、工程或者服务符合下列情形的，享受评标方法中小企业扶持政策：</w:t>
      </w:r>
    </w:p>
    <w:p w14:paraId="3D9F9784">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（1）在货物采购项目中，货物由中小企业制造，即货物由中小企业生产且使用该中小企业商号或者注册商标；</w:t>
      </w:r>
    </w:p>
    <w:p w14:paraId="2F58B2F7">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（2）在工程采购项目中，工程由中小企业承建，即工程施工单位为中小企业；</w:t>
      </w:r>
    </w:p>
    <w:p w14:paraId="505539CA">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52EA713C">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在货物采购项目中，供应商提供的货物既有中小企业制造货物，也有大型企业制造货物的，不享受评标方法规定的中小企业扶持政策。</w:t>
      </w:r>
    </w:p>
    <w:p w14:paraId="43BB02AC">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3A61FD05">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评标方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9455758">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符合中小企业划分标准的个体工商户，在政府采购活动中视同中小企业。</w:t>
      </w:r>
    </w:p>
    <w:p w14:paraId="1F99644A">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中小企业参加政府采购活动，应当出具《中小企业声明函》（详见《投标文件格式》），否则不得享受相关中小企业扶持政策。</w:t>
      </w:r>
    </w:p>
    <w:p w14:paraId="24D1388C">
      <w:pPr>
        <w:pageBreakBefore w:val="0"/>
        <w:kinsoku/>
        <w:wordWrap w:val="0"/>
        <w:bidi w:val="0"/>
        <w:spacing w:beforeAutospacing="0" w:afterAutospacing="0" w:line="360" w:lineRule="auto"/>
        <w:ind w:left="0" w:leftChars="0" w:right="0" w:rightChars="0" w:firstLine="422"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监狱企业</w:t>
      </w:r>
    </w:p>
    <w:p w14:paraId="77608A77">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根据财政部《司法部关于政府采购支持监狱企业发展有关问题》的通知（财库〔2014〕68 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6636650">
      <w:pPr>
        <w:pageBreakBefore w:val="0"/>
        <w:kinsoku/>
        <w:wordWrap w:val="0"/>
        <w:bidi w:val="0"/>
        <w:spacing w:beforeAutospacing="0" w:afterAutospacing="0" w:line="360" w:lineRule="auto"/>
        <w:ind w:left="0" w:leftChars="0" w:right="0" w:rightChars="0" w:firstLine="422"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残疾人福利性单位</w:t>
      </w:r>
    </w:p>
    <w:p w14:paraId="69628893">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根据《财政部 民政部 中国残疾人联合会关于促进残疾人就业政府采购政策的通知》，享受政府采购支持政策的残疾人福利性单位应当同时满足以下条件：</w:t>
      </w:r>
    </w:p>
    <w:p w14:paraId="14039A9D">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（1）安置的残疾人占本单位在职职工人数的比例不低于25%（含25%），并且安置的残疾人人数不少于10 人（含10 人）；</w:t>
      </w:r>
    </w:p>
    <w:p w14:paraId="4B10830A">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（2）依法与安置的每位残疾人签订了一年以上（含一年）的劳动合同或服务协议；</w:t>
      </w:r>
    </w:p>
    <w:p w14:paraId="145B27F9">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（3）为安置的每位残疾人按月足额缴纳了基本养老保险、基本医疗保险、失业保险、工伤保险和生育保险等社会保险费；</w:t>
      </w:r>
    </w:p>
    <w:p w14:paraId="05D23D73">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775DB517">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26D047FF">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级）》的自然人，包括具有劳动条件和劳动意愿的精神残疾人。在职职工人数是指与残疾人福利性单位建立劳动关系并依法签订劳动合同或者服务协议的雇员人数。</w:t>
      </w:r>
    </w:p>
    <w:p w14:paraId="0AF6236A">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符合条件的残疾人福利性单位在参加政府采购活动时，应当提供《残疾人福利性单位声明函》，并对声明的真实性负责。</w:t>
      </w:r>
    </w:p>
    <w:p w14:paraId="1FEC8DB4">
      <w:pPr>
        <w:pageBreakBefore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363" w:name="_Toc432697210"/>
      <w:bookmarkStart w:id="364" w:name="_Toc492994652"/>
      <w:r>
        <w:rPr>
          <w:rFonts w:hint="eastAsia" w:ascii="宋体" w:hAnsi="宋体" w:cs="宋体"/>
          <w:b/>
          <w:bCs/>
          <w:color w:val="000000" w:themeColor="text1"/>
          <w:sz w:val="21"/>
          <w:szCs w:val="21"/>
          <w:highlight w:val="none"/>
          <w14:textFill>
            <w14:solidFill>
              <w14:schemeClr w14:val="tx1"/>
            </w14:solidFill>
          </w14:textFill>
        </w:rPr>
        <w:t>2.3 详细评审</w:t>
      </w:r>
      <w:bookmarkEnd w:id="363"/>
      <w:bookmarkEnd w:id="364"/>
    </w:p>
    <w:p w14:paraId="01DB8E83">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365" w:name="_Hlk17446643"/>
      <w:r>
        <w:rPr>
          <w:rFonts w:hint="eastAsia" w:ascii="宋体" w:hAnsi="宋体" w:cs="宋体"/>
          <w:color w:val="000000" w:themeColor="text1"/>
          <w:sz w:val="21"/>
          <w:szCs w:val="21"/>
          <w:highlight w:val="none"/>
          <w14:textFill>
            <w14:solidFill>
              <w14:schemeClr w14:val="tx1"/>
            </w14:solidFill>
          </w14:textFill>
        </w:rPr>
        <w:t>详细评审采用综合评分法，满分100分。评审委员会将按照最后得分由高至低推荐中标候选人。</w:t>
      </w:r>
    </w:p>
    <w:bookmarkEnd w:id="365"/>
    <w:p w14:paraId="56247438">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投标供应商的评标总得分＝F1＋F2+F3</w:t>
      </w:r>
    </w:p>
    <w:p w14:paraId="08CC6B42">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其中：F1为报价部分得分、F2为技术部分得分、F3为商务部分得分。</w:t>
      </w:r>
    </w:p>
    <w:p w14:paraId="5C6E78AF">
      <w:pPr>
        <w:pageBreakBefore w:val="0"/>
        <w:kinsoku/>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921"/>
        <w:gridCol w:w="7045"/>
      </w:tblGrid>
      <w:tr w14:paraId="196D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343" w:type="pct"/>
            <w:tcBorders>
              <w:top w:val="single" w:color="auto" w:sz="4" w:space="0"/>
              <w:left w:val="single" w:color="auto" w:sz="4" w:space="0"/>
              <w:bottom w:val="single" w:color="auto" w:sz="4" w:space="0"/>
              <w:right w:val="single" w:color="auto" w:sz="4" w:space="0"/>
            </w:tcBorders>
            <w:vAlign w:val="center"/>
          </w:tcPr>
          <w:p w14:paraId="7A269B23">
            <w:pPr>
              <w:pStyle w:val="38"/>
              <w:pageBreakBefore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bidi="ar"/>
                <w14:textFill>
                  <w14:solidFill>
                    <w14:schemeClr w14:val="tx1"/>
                  </w14:solidFill>
                </w14:textFill>
              </w:rPr>
              <w:t>序号</w:t>
            </w:r>
          </w:p>
        </w:tc>
        <w:tc>
          <w:tcPr>
            <w:tcW w:w="997" w:type="pct"/>
            <w:tcBorders>
              <w:top w:val="single" w:color="auto" w:sz="4" w:space="0"/>
              <w:left w:val="single" w:color="auto" w:sz="4" w:space="0"/>
              <w:bottom w:val="single" w:color="auto" w:sz="4" w:space="0"/>
              <w:right w:val="single" w:color="auto" w:sz="4" w:space="0"/>
            </w:tcBorders>
            <w:vAlign w:val="center"/>
          </w:tcPr>
          <w:p w14:paraId="6E5F9DF2">
            <w:pPr>
              <w:pStyle w:val="38"/>
              <w:pageBreakBefore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bidi="ar"/>
                <w14:textFill>
                  <w14:solidFill>
                    <w14:schemeClr w14:val="tx1"/>
                  </w14:solidFill>
                </w14:textFill>
              </w:rPr>
              <w:t>评分项目</w:t>
            </w:r>
            <w:r>
              <w:rPr>
                <w:rFonts w:hint="eastAsia" w:asciiTheme="minorEastAsia" w:hAnsiTheme="minorEastAsia" w:eastAsiaTheme="minorEastAsia" w:cstheme="minorEastAsia"/>
                <w:b/>
                <w:color w:val="000000" w:themeColor="text1"/>
                <w:sz w:val="21"/>
                <w:szCs w:val="21"/>
                <w:highlight w:val="none"/>
                <w:lang w:val="en-US" w:eastAsia="zh-CN" w:bidi="ar"/>
                <w14:textFill>
                  <w14:solidFill>
                    <w14:schemeClr w14:val="tx1"/>
                  </w14:solidFill>
                </w14:textFill>
              </w:rPr>
              <w:t>及</w:t>
            </w:r>
            <w:r>
              <w:rPr>
                <w:rFonts w:hint="eastAsia" w:asciiTheme="minorEastAsia" w:hAnsiTheme="minorEastAsia" w:eastAsiaTheme="minorEastAsia" w:cstheme="minorEastAsia"/>
                <w:b/>
                <w:color w:val="000000" w:themeColor="text1"/>
                <w:sz w:val="21"/>
                <w:szCs w:val="21"/>
                <w:highlight w:val="none"/>
                <w:lang w:bidi="ar"/>
                <w14:textFill>
                  <w14:solidFill>
                    <w14:schemeClr w14:val="tx1"/>
                  </w14:solidFill>
                </w14:textFill>
              </w:rPr>
              <w:t>分值</w:t>
            </w:r>
          </w:p>
        </w:tc>
        <w:tc>
          <w:tcPr>
            <w:tcW w:w="3658" w:type="pct"/>
            <w:tcBorders>
              <w:top w:val="single" w:color="auto" w:sz="4" w:space="0"/>
              <w:left w:val="single" w:color="auto" w:sz="4" w:space="0"/>
              <w:bottom w:val="single" w:color="auto" w:sz="4" w:space="0"/>
              <w:right w:val="single" w:color="auto" w:sz="4" w:space="0"/>
            </w:tcBorders>
            <w:vAlign w:val="center"/>
          </w:tcPr>
          <w:p w14:paraId="4E186614">
            <w:pPr>
              <w:pStyle w:val="38"/>
              <w:pageBreakBefore w:val="0"/>
              <w:kinsoku/>
              <w:bidi w:val="0"/>
              <w:spacing w:before="0" w:beforeAutospacing="0" w:after="0" w:afterAutospacing="0" w:line="360" w:lineRule="auto"/>
              <w:ind w:left="0" w:leftChars="0" w:right="0" w:rightChars="0" w:firstLine="422" w:firstLineChars="200"/>
              <w:jc w:val="cente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bidi="ar"/>
                <w14:textFill>
                  <w14:solidFill>
                    <w14:schemeClr w14:val="tx1"/>
                  </w14:solidFill>
                </w14:textFill>
              </w:rPr>
              <w:t>基准分值</w:t>
            </w:r>
          </w:p>
        </w:tc>
      </w:tr>
      <w:tr w14:paraId="11BA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7A557AE9">
            <w:pPr>
              <w:pageBreakBefore w:val="0"/>
              <w:kinsoku/>
              <w:bidi w:val="0"/>
              <w:spacing w:beforeAutospacing="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bidi="ar"/>
                <w14:textFill>
                  <w14:solidFill>
                    <w14:schemeClr w14:val="tx1"/>
                  </w14:solidFill>
                </w14:textFill>
              </w:rPr>
              <w:t>报价部分F1（10分）</w:t>
            </w:r>
          </w:p>
        </w:tc>
        <w:tc>
          <w:tcPr>
            <w:tcW w:w="997" w:type="pct"/>
            <w:tcBorders>
              <w:top w:val="single" w:color="auto" w:sz="4" w:space="0"/>
              <w:left w:val="single" w:color="auto" w:sz="4" w:space="0"/>
              <w:bottom w:val="single" w:color="auto" w:sz="4" w:space="0"/>
              <w:right w:val="single" w:color="auto" w:sz="4" w:space="0"/>
            </w:tcBorders>
            <w:vAlign w:val="center"/>
          </w:tcPr>
          <w:p w14:paraId="3982D17E">
            <w:pPr>
              <w:pageBreakBefore w:val="0"/>
              <w:kinsoku/>
              <w:bidi w:val="0"/>
              <w:spacing w:beforeAutospacing="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bidi="ar"/>
                <w14:textFill>
                  <w14:solidFill>
                    <w14:schemeClr w14:val="tx1"/>
                  </w14:solidFill>
                </w14:textFill>
              </w:rPr>
              <w:t>投标报价</w:t>
            </w:r>
          </w:p>
          <w:p w14:paraId="4D62C2EF">
            <w:pPr>
              <w:pageBreakBefore w:val="0"/>
              <w:kinsoku/>
              <w:bidi w:val="0"/>
              <w:spacing w:beforeAutospacing="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bidi="ar"/>
                <w14:textFill>
                  <w14:solidFill>
                    <w14:schemeClr w14:val="tx1"/>
                  </w14:solidFill>
                </w14:textFill>
              </w:rPr>
              <w:t>满分10分</w:t>
            </w:r>
            <w:r>
              <w:rPr>
                <w:rFonts w:hint="eastAsia" w:asciiTheme="minorEastAsia" w:hAnsiTheme="minorEastAsia" w:eastAsiaTheme="minorEastAsia" w:cstheme="minorEastAsia"/>
                <w:bCs/>
                <w:color w:val="000000" w:themeColor="text1"/>
                <w:sz w:val="21"/>
                <w:szCs w:val="21"/>
                <w:highlight w:val="none"/>
                <w:lang w:eastAsia="zh-CN" w:bidi="ar"/>
                <w14:textFill>
                  <w14:solidFill>
                    <w14:schemeClr w14:val="tx1"/>
                  </w14:solidFill>
                </w14:textFill>
              </w:rPr>
              <w:t>）</w:t>
            </w:r>
          </w:p>
        </w:tc>
        <w:tc>
          <w:tcPr>
            <w:tcW w:w="3658" w:type="pct"/>
            <w:tcBorders>
              <w:top w:val="single" w:color="auto" w:sz="4" w:space="0"/>
              <w:left w:val="single" w:color="auto" w:sz="4" w:space="0"/>
              <w:bottom w:val="single" w:color="auto" w:sz="4" w:space="0"/>
              <w:right w:val="single" w:color="auto" w:sz="4" w:space="0"/>
            </w:tcBorders>
            <w:vAlign w:val="center"/>
          </w:tcPr>
          <w:p w14:paraId="4890FF0A">
            <w:pPr>
              <w:pageBreakBefore w:val="0"/>
              <w:kinsoku/>
              <w:bidi w:val="0"/>
              <w:spacing w:beforeAutospacing="0" w:afterAutospacing="0" w:line="360" w:lineRule="auto"/>
              <w:ind w:left="0" w:leftChars="0" w:right="0" w:right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根据各供应商投标报价按照以下规则进行打分。</w:t>
            </w:r>
          </w:p>
          <w:p w14:paraId="1A4FE1FE">
            <w:pPr>
              <w:pageBreakBefore w:val="0"/>
              <w:kinsoku/>
              <w:bidi w:val="0"/>
              <w:spacing w:beforeAutospacing="0" w:afterAutospacing="0" w:line="360" w:lineRule="auto"/>
              <w:ind w:left="0" w:leftChars="0" w:right="0" w:right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(1)算术修正报价：</w:t>
            </w:r>
          </w:p>
          <w:p w14:paraId="3D48B10B">
            <w:pPr>
              <w:pageBreakBefore w:val="0"/>
              <w:kinsoku/>
              <w:bidi w:val="0"/>
              <w:spacing w:beforeAutospacing="0" w:afterAutospacing="0" w:line="360" w:lineRule="auto"/>
              <w:ind w:left="0" w:leftChars="0" w:right="0" w:right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若存在算术修正，应按修正后的投标报价进行计算。</w:t>
            </w:r>
          </w:p>
          <w:p w14:paraId="542ED412">
            <w:pPr>
              <w:pageBreakBefore w:val="0"/>
              <w:kinsoku/>
              <w:bidi w:val="0"/>
              <w:spacing w:beforeAutospacing="0" w:afterAutospacing="0" w:line="360" w:lineRule="auto"/>
              <w:ind w:left="0" w:leftChars="0" w:right="0" w:right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（2）政策优惠报价：本项目专门面向中小微企业采购，评审时不再执行价格扣除。</w:t>
            </w:r>
          </w:p>
          <w:p w14:paraId="26CD08A6">
            <w:pPr>
              <w:pageBreakBefore w:val="0"/>
              <w:kinsoku/>
              <w:bidi w:val="0"/>
              <w:spacing w:beforeAutospacing="0" w:afterAutospacing="0" w:line="360" w:lineRule="auto"/>
              <w:ind w:left="0" w:leftChars="0" w:right="0" w:right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)评标基准价＝有效投标总报价的最低价。</w:t>
            </w:r>
          </w:p>
          <w:p w14:paraId="5B9F97D7">
            <w:pPr>
              <w:pageBreakBefore w:val="0"/>
              <w:kinsoku/>
              <w:bidi w:val="0"/>
              <w:spacing w:beforeAutospacing="0" w:afterAutospacing="0" w:line="360" w:lineRule="auto"/>
              <w:ind w:left="0" w:leftChars="0" w:right="0" w:right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)投标总报价得分统一按照下列公式计算：</w:t>
            </w:r>
          </w:p>
          <w:p w14:paraId="4048F711">
            <w:pPr>
              <w:pageBreakBefore w:val="0"/>
              <w:kinsoku/>
              <w:bidi w:val="0"/>
              <w:spacing w:beforeAutospacing="0" w:afterAutospacing="0" w:line="360" w:lineRule="auto"/>
              <w:ind w:left="0" w:leftChars="0" w:right="0" w:right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投标总报价得分＝(评标基准价/投标总报价)×10。</w:t>
            </w:r>
          </w:p>
        </w:tc>
      </w:tr>
      <w:tr w14:paraId="0B13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3" w:type="pct"/>
            <w:vMerge w:val="restart"/>
            <w:tcBorders>
              <w:top w:val="single" w:color="auto" w:sz="4" w:space="0"/>
              <w:left w:val="single" w:color="auto" w:sz="4" w:space="0"/>
              <w:right w:val="single" w:color="auto" w:sz="4" w:space="0"/>
            </w:tcBorders>
            <w:vAlign w:val="center"/>
          </w:tcPr>
          <w:p w14:paraId="1ECF8332">
            <w:pPr>
              <w:pageBreakBefore w:val="0"/>
              <w:kinsoku/>
              <w:bidi w:val="0"/>
              <w:spacing w:beforeAutospacing="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bidi="ar"/>
                <w14:textFill>
                  <w14:solidFill>
                    <w14:schemeClr w14:val="tx1"/>
                  </w14:solidFill>
                </w14:textFill>
              </w:rPr>
              <w:t>技术部分F2（</w:t>
            </w:r>
            <w:r>
              <w:rPr>
                <w:rFonts w:hint="eastAsia" w:asciiTheme="minorEastAsia" w:hAnsiTheme="minorEastAsia" w:eastAsiaTheme="minorEastAsia" w:cstheme="minorEastAsia"/>
                <w:bCs/>
                <w:color w:val="000000" w:themeColor="text1"/>
                <w:sz w:val="21"/>
                <w:szCs w:val="21"/>
                <w:highlight w:val="none"/>
                <w:lang w:val="en-US" w:eastAsia="zh-CN" w:bidi="ar"/>
                <w14:textFill>
                  <w14:solidFill>
                    <w14:schemeClr w14:val="tx1"/>
                  </w14:solidFill>
                </w14:textFill>
              </w:rPr>
              <w:t>70</w:t>
            </w:r>
            <w:r>
              <w:rPr>
                <w:rFonts w:hint="eastAsia" w:asciiTheme="minorEastAsia" w:hAnsiTheme="minorEastAsia" w:eastAsiaTheme="minorEastAsia" w:cstheme="minorEastAsia"/>
                <w:bCs/>
                <w:color w:val="000000" w:themeColor="text1"/>
                <w:sz w:val="21"/>
                <w:szCs w:val="21"/>
                <w:highlight w:val="none"/>
                <w:lang w:bidi="ar"/>
                <w14:textFill>
                  <w14:solidFill>
                    <w14:schemeClr w14:val="tx1"/>
                  </w14:solidFill>
                </w14:textFill>
              </w:rPr>
              <w:t>分）</w:t>
            </w:r>
          </w:p>
        </w:tc>
        <w:tc>
          <w:tcPr>
            <w:tcW w:w="997" w:type="pct"/>
            <w:tcBorders>
              <w:top w:val="single" w:color="auto" w:sz="4" w:space="0"/>
              <w:left w:val="single" w:color="auto" w:sz="4" w:space="0"/>
              <w:bottom w:val="single" w:color="auto" w:sz="4" w:space="0"/>
              <w:right w:val="single" w:color="auto" w:sz="4" w:space="0"/>
            </w:tcBorders>
            <w:vAlign w:val="center"/>
          </w:tcPr>
          <w:p w14:paraId="14F26A5A">
            <w:pPr>
              <w:pStyle w:val="231"/>
              <w:keepNext w:val="0"/>
              <w:keepLines w:val="0"/>
              <w:pageBreakBefore w:val="0"/>
              <w:widowControl/>
              <w:suppressLineNumbers w:val="0"/>
              <w:kinsoku/>
              <w:bidi w:val="0"/>
              <w:spacing w:beforeAutospacing="0" w:afterAutospacing="0" w:line="360" w:lineRule="auto"/>
              <w:ind w:left="0" w:leftChars="0" w:right="0" w:righ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服务方案</w:t>
            </w:r>
          </w:p>
          <w:p w14:paraId="5B1BD3D2">
            <w:pPr>
              <w:pStyle w:val="231"/>
              <w:keepNext w:val="0"/>
              <w:keepLines w:val="0"/>
              <w:pageBreakBefore w:val="0"/>
              <w:widowControl/>
              <w:suppressLineNumbers w:val="0"/>
              <w:kinsoku/>
              <w:bidi w:val="0"/>
              <w:spacing w:beforeAutospacing="0" w:afterAutospacing="0" w:line="360" w:lineRule="auto"/>
              <w:ind w:left="0" w:leftChars="0" w:right="0" w:righ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评审评分</w:t>
            </w:r>
          </w:p>
          <w:p w14:paraId="7E801C46">
            <w:pPr>
              <w:pStyle w:val="38"/>
              <w:keepNext w:val="0"/>
              <w:keepLines w:val="0"/>
              <w:pageBreakBefore w:val="0"/>
              <w:widowControl/>
              <w:suppressLineNumbers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sz w:val="21"/>
                <w:szCs w:val="21"/>
              </w:rPr>
              <w:t>（满分</w:t>
            </w: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分）</w:t>
            </w:r>
          </w:p>
        </w:tc>
        <w:tc>
          <w:tcPr>
            <w:tcW w:w="3658" w:type="pct"/>
            <w:tcBorders>
              <w:top w:val="single" w:color="auto" w:sz="4" w:space="0"/>
              <w:left w:val="single" w:color="auto" w:sz="4" w:space="0"/>
              <w:bottom w:val="single" w:color="auto" w:sz="4" w:space="0"/>
              <w:right w:val="single" w:color="auto" w:sz="4" w:space="0"/>
            </w:tcBorders>
            <w:shd w:val="clear" w:color="auto" w:fill="auto"/>
            <w:vAlign w:val="center"/>
          </w:tcPr>
          <w:p w14:paraId="61078068">
            <w:pPr>
              <w:keepNext w:val="0"/>
              <w:keepLines w:val="0"/>
              <w:pageBreakBefore w:val="0"/>
              <w:widowControl/>
              <w:suppressLineNumbers w:val="0"/>
              <w:kinsoku/>
              <w:wordWrap w:val="0"/>
              <w:topLinePunct/>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根据供应商提供的服务方案进行评审评分，包括但不限于：</w:t>
            </w:r>
          </w:p>
          <w:p w14:paraId="2934101E">
            <w:pPr>
              <w:keepNext w:val="0"/>
              <w:keepLines w:val="0"/>
              <w:pageBreakBefore w:val="0"/>
              <w:widowControl/>
              <w:suppressLineNumbers w:val="0"/>
              <w:kinsoku/>
              <w:wordWrap w:val="0"/>
              <w:topLinePunct/>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①对项目的理解（包括但不限于管理目标、管理体系的定位、思路及模式）；</w:t>
            </w:r>
          </w:p>
          <w:p w14:paraId="5A1FED0A">
            <w:pPr>
              <w:keepNext w:val="0"/>
              <w:keepLines w:val="0"/>
              <w:pageBreakBefore w:val="0"/>
              <w:widowControl/>
              <w:suppressLineNumbers w:val="0"/>
              <w:kinsoku/>
              <w:wordWrap w:val="0"/>
              <w:topLinePunct/>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②餐饮服务流程；</w:t>
            </w:r>
          </w:p>
          <w:p w14:paraId="7E84D2CD">
            <w:pPr>
              <w:keepNext w:val="0"/>
              <w:keepLines w:val="0"/>
              <w:pageBreakBefore w:val="0"/>
              <w:widowControl/>
              <w:suppressLineNumbers w:val="0"/>
              <w:kinsoku/>
              <w:wordWrap w:val="0"/>
              <w:topLinePunct/>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③食品及就餐环境卫生安全保障方案；</w:t>
            </w:r>
          </w:p>
          <w:p w14:paraId="2D183ECA">
            <w:pPr>
              <w:keepNext w:val="0"/>
              <w:keepLines w:val="0"/>
              <w:pageBreakBefore w:val="0"/>
              <w:widowControl/>
              <w:suppressLineNumbers w:val="0"/>
              <w:kinsoku/>
              <w:wordWrap w:val="0"/>
              <w:topLinePunct/>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④供餐方案、回收餐具方案。</w:t>
            </w:r>
          </w:p>
          <w:p w14:paraId="5F35F181">
            <w:pPr>
              <w:keepNext w:val="0"/>
              <w:keepLines w:val="0"/>
              <w:pageBreakBefore w:val="0"/>
              <w:widowControl/>
              <w:suppressLineNumbers w:val="0"/>
              <w:kinsoku/>
              <w:wordWrap w:val="0"/>
              <w:topLinePunct/>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评分原则：</w:t>
            </w:r>
          </w:p>
          <w:p w14:paraId="5A9457F2">
            <w:pPr>
              <w:keepNext w:val="0"/>
              <w:keepLines w:val="0"/>
              <w:pageBreakBefore w:val="0"/>
              <w:widowControl/>
              <w:suppressLineNumbers w:val="0"/>
              <w:kinsoku/>
              <w:wordWrap w:val="0"/>
              <w:topLinePunct/>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（1）提供的内容完全符合本项目采购需求的得满分</w:t>
            </w:r>
            <w:r>
              <w:rPr>
                <w:rFonts w:hint="eastAsia" w:asciiTheme="minorEastAsia" w:hAnsiTheme="minorEastAsia" w:eastAsiaTheme="minorEastAsia" w:cstheme="minorEastAsia"/>
                <w:lang w:val="en-US" w:eastAsia="zh-CN"/>
              </w:rPr>
              <w:t>24</w:t>
            </w:r>
            <w:r>
              <w:rPr>
                <w:rFonts w:hint="eastAsia" w:asciiTheme="minorEastAsia" w:hAnsiTheme="minorEastAsia" w:eastAsiaTheme="minorEastAsia" w:cstheme="minorEastAsia"/>
              </w:rPr>
              <w:t>分；</w:t>
            </w:r>
          </w:p>
          <w:p w14:paraId="2EAEEED7">
            <w:pPr>
              <w:keepNext w:val="0"/>
              <w:keepLines w:val="0"/>
              <w:pageBreakBefore w:val="0"/>
              <w:widowControl/>
              <w:suppressLineNumbers w:val="0"/>
              <w:kinsoku/>
              <w:wordWrap w:val="0"/>
              <w:topLinePunct/>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（2）每缺一项内容扣</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分；</w:t>
            </w:r>
          </w:p>
          <w:p w14:paraId="2732D347">
            <w:pPr>
              <w:keepNext w:val="0"/>
              <w:keepLines w:val="0"/>
              <w:pageBreakBefore w:val="0"/>
              <w:widowControl/>
              <w:suppressLineNumbers w:val="0"/>
              <w:kinsoku/>
              <w:wordWrap w:val="0"/>
              <w:topLinePunct/>
              <w:bidi w:val="0"/>
              <w:adjustRightInd w:val="0"/>
              <w:spacing w:beforeAutospacing="0" w:afterAutospacing="0" w:line="360" w:lineRule="auto"/>
              <w:ind w:left="0" w:leftChars="0" w:right="0" w:right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rPr>
              <w:t>（3）每有一项不完善或不符合项目实际情况的，扣</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分。</w:t>
            </w:r>
          </w:p>
        </w:tc>
      </w:tr>
      <w:tr w14:paraId="797A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3" w:type="pct"/>
            <w:vMerge w:val="continue"/>
            <w:tcBorders>
              <w:left w:val="single" w:color="auto" w:sz="4" w:space="0"/>
              <w:right w:val="single" w:color="auto" w:sz="4" w:space="0"/>
            </w:tcBorders>
            <w:vAlign w:val="center"/>
          </w:tcPr>
          <w:p w14:paraId="53B2615A">
            <w:pPr>
              <w:pageBreakBefore w:val="0"/>
              <w:kinsoku/>
              <w:bidi w:val="0"/>
              <w:spacing w:beforeAutospacing="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p>
        </w:tc>
        <w:tc>
          <w:tcPr>
            <w:tcW w:w="997" w:type="pct"/>
            <w:tcBorders>
              <w:top w:val="single" w:color="auto" w:sz="4" w:space="0"/>
              <w:left w:val="single" w:color="auto" w:sz="4" w:space="0"/>
              <w:right w:val="single" w:color="auto" w:sz="4" w:space="0"/>
            </w:tcBorders>
            <w:vAlign w:val="center"/>
          </w:tcPr>
          <w:p w14:paraId="1C877EC0">
            <w:pPr>
              <w:pStyle w:val="38"/>
              <w:keepNext w:val="0"/>
              <w:keepLines w:val="0"/>
              <w:pageBreakBefore w:val="0"/>
              <w:widowControl/>
              <w:suppressLineNumbers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食品安全方案评审评分</w:t>
            </w:r>
          </w:p>
          <w:p w14:paraId="0EAC20BB">
            <w:pPr>
              <w:pStyle w:val="38"/>
              <w:keepNext w:val="0"/>
              <w:keepLines w:val="0"/>
              <w:pageBreakBefore w:val="0"/>
              <w:widowControl/>
              <w:suppressLineNumbers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sz w:val="21"/>
                <w:szCs w:val="21"/>
              </w:rPr>
              <w:t>（满分1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tc>
        <w:tc>
          <w:tcPr>
            <w:tcW w:w="3658" w:type="pct"/>
            <w:tcBorders>
              <w:top w:val="single" w:color="auto" w:sz="4" w:space="0"/>
              <w:left w:val="single" w:color="auto" w:sz="4" w:space="0"/>
              <w:bottom w:val="single" w:color="auto" w:sz="4" w:space="0"/>
              <w:right w:val="single" w:color="auto" w:sz="4" w:space="0"/>
            </w:tcBorders>
            <w:shd w:val="clear" w:color="auto" w:fill="auto"/>
            <w:vAlign w:val="center"/>
          </w:tcPr>
          <w:p w14:paraId="41FE3415">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根据供应商提供的食品安全方案进行评审评分，包括但不限于：</w:t>
            </w:r>
          </w:p>
          <w:p w14:paraId="58D0D2C2">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①食品安全方案及管理制度；</w:t>
            </w:r>
          </w:p>
          <w:p w14:paraId="09BFAF33">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②食品安全风险防范措施及质量保障措施；</w:t>
            </w:r>
          </w:p>
          <w:p w14:paraId="26561452">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③应急预案及违约承诺。</w:t>
            </w:r>
          </w:p>
          <w:p w14:paraId="77483056">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评审小组针对供应商提供的食品安全方案根据以上3项内容进行综合评审。</w:t>
            </w:r>
          </w:p>
          <w:p w14:paraId="4417741E">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评分原则：</w:t>
            </w:r>
          </w:p>
          <w:p w14:paraId="09A004A5">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（1）食品安全方案内容齐全、完善、符合项目实际情况，并且有具体的成果承诺保障及违约责任承诺的，得12分；</w:t>
            </w:r>
          </w:p>
          <w:p w14:paraId="639EDFE8">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（2）食品安全方案内容中每缺失一项的，扣4分；</w:t>
            </w:r>
          </w:p>
          <w:p w14:paraId="0C0E46CD">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zCs w:val="21"/>
              </w:rPr>
              <w:t>（3）食品安全方案不具体的，扣2分；食品安全方案每有一项不完善或不符合项目实际情况的，扣1分。</w:t>
            </w:r>
          </w:p>
        </w:tc>
      </w:tr>
      <w:tr w14:paraId="2951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3" w:type="pct"/>
            <w:vMerge w:val="continue"/>
            <w:tcBorders>
              <w:left w:val="single" w:color="auto" w:sz="4" w:space="0"/>
              <w:right w:val="single" w:color="auto" w:sz="4" w:space="0"/>
            </w:tcBorders>
            <w:vAlign w:val="center"/>
          </w:tcPr>
          <w:p w14:paraId="4C8AA3F7">
            <w:pPr>
              <w:pageBreakBefore w:val="0"/>
              <w:kinsoku/>
              <w:bidi w:val="0"/>
              <w:spacing w:beforeAutospacing="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p>
        </w:tc>
        <w:tc>
          <w:tcPr>
            <w:tcW w:w="997" w:type="pct"/>
            <w:tcBorders>
              <w:top w:val="single" w:color="auto" w:sz="4" w:space="0"/>
              <w:left w:val="single" w:color="auto" w:sz="4" w:space="0"/>
              <w:right w:val="single" w:color="auto" w:sz="4" w:space="0"/>
            </w:tcBorders>
            <w:vAlign w:val="center"/>
          </w:tcPr>
          <w:p w14:paraId="622A871F">
            <w:pPr>
              <w:pStyle w:val="38"/>
              <w:keepNext w:val="0"/>
              <w:keepLines w:val="0"/>
              <w:pageBreakBefore w:val="0"/>
              <w:widowControl/>
              <w:suppressLineNumbers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服务质量保证措施及承诺</w:t>
            </w:r>
          </w:p>
          <w:p w14:paraId="55479FF9">
            <w:pPr>
              <w:pStyle w:val="38"/>
              <w:keepNext w:val="0"/>
              <w:keepLines w:val="0"/>
              <w:pageBreakBefore w:val="0"/>
              <w:widowControl/>
              <w:suppressLineNumbers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评审评分</w:t>
            </w:r>
          </w:p>
          <w:p w14:paraId="41BAF85F">
            <w:pPr>
              <w:pStyle w:val="38"/>
              <w:keepNext w:val="0"/>
              <w:keepLines w:val="0"/>
              <w:pageBreakBefore w:val="0"/>
              <w:widowControl/>
              <w:suppressLineNumbers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sz w:val="21"/>
                <w:szCs w:val="21"/>
              </w:rPr>
              <w:t>（满分</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p>
        </w:tc>
        <w:tc>
          <w:tcPr>
            <w:tcW w:w="3658" w:type="pct"/>
            <w:tcBorders>
              <w:top w:val="single" w:color="auto" w:sz="4" w:space="0"/>
              <w:left w:val="single" w:color="auto" w:sz="4" w:space="0"/>
              <w:bottom w:val="single" w:color="auto" w:sz="4" w:space="0"/>
              <w:right w:val="single" w:color="auto" w:sz="4" w:space="0"/>
            </w:tcBorders>
            <w:shd w:val="clear" w:color="auto" w:fill="auto"/>
            <w:vAlign w:val="center"/>
          </w:tcPr>
          <w:p w14:paraId="0189329E">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根据供应商提供的服务质量保证措施及承诺整体情况进行评审评分，包括但不限于：</w:t>
            </w:r>
          </w:p>
          <w:p w14:paraId="0E664CC0">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①服务承诺及保障措施；</w:t>
            </w:r>
          </w:p>
          <w:p w14:paraId="18F2A75B">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②质量承诺及保障措施；</w:t>
            </w:r>
          </w:p>
          <w:p w14:paraId="05DA6FBA">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③风险控制措施；</w:t>
            </w:r>
          </w:p>
          <w:p w14:paraId="743341AC">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④违约责任及处罚措施。</w:t>
            </w:r>
          </w:p>
          <w:p w14:paraId="281F8606">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评分原则：</w:t>
            </w:r>
          </w:p>
          <w:p w14:paraId="61528BB9">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（1）服务质量保障措施和质量承诺保障措施内容齐全、完善、符合项目实际情况，并且有具体的风险控制措施及违约责任及处罚措施，得</w:t>
            </w: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分；</w:t>
            </w:r>
          </w:p>
          <w:p w14:paraId="03FAEB94">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（2）服务质量保障措施和质量承诺保障措施，风险控制措施及违约责任及处罚措施内容中每缺失一项的，扣</w:t>
            </w:r>
            <w:r>
              <w:rPr>
                <w:rFonts w:hint="eastAsia" w:asciiTheme="minorEastAsia" w:hAnsiTheme="minorEastAsia" w:eastAsiaTheme="minorEastAsia" w:cstheme="minorEastAsia"/>
                <w:lang w:val="en-US" w:eastAsia="zh-CN"/>
              </w:rPr>
              <w:t>2.5</w:t>
            </w:r>
            <w:r>
              <w:rPr>
                <w:rFonts w:hint="eastAsia" w:asciiTheme="minorEastAsia" w:hAnsiTheme="minorEastAsia" w:eastAsiaTheme="minorEastAsia" w:cstheme="minorEastAsia"/>
              </w:rPr>
              <w:t>分；</w:t>
            </w:r>
          </w:p>
          <w:p w14:paraId="43A03FFA">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rPr>
              <w:t>（3）风险控制措施及违约责任及处罚措施承诺不具体的，扣</w:t>
            </w:r>
            <w:r>
              <w:rPr>
                <w:rFonts w:hint="eastAsia" w:asciiTheme="minorEastAsia" w:hAnsiTheme="minorEastAsia" w:eastAsiaTheme="minorEastAsia" w:cstheme="minorEastAsia"/>
                <w:lang w:val="en-US" w:eastAsia="zh-CN"/>
              </w:rPr>
              <w:t>1.5</w:t>
            </w:r>
            <w:r>
              <w:rPr>
                <w:rFonts w:hint="eastAsia" w:asciiTheme="minorEastAsia" w:hAnsiTheme="minorEastAsia" w:eastAsiaTheme="minorEastAsia" w:cstheme="minorEastAsia"/>
              </w:rPr>
              <w:t>分；服务质量保障措施和质量承诺保障措施每有一项不完善或不符合项目实际情况的，扣0.5分。</w:t>
            </w:r>
          </w:p>
        </w:tc>
      </w:tr>
      <w:tr w14:paraId="432B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3" w:type="pct"/>
            <w:vMerge w:val="continue"/>
            <w:tcBorders>
              <w:left w:val="single" w:color="auto" w:sz="4" w:space="0"/>
              <w:right w:val="single" w:color="auto" w:sz="4" w:space="0"/>
            </w:tcBorders>
            <w:vAlign w:val="center"/>
          </w:tcPr>
          <w:p w14:paraId="654F9B75">
            <w:pPr>
              <w:pageBreakBefore w:val="0"/>
              <w:kinsoku/>
              <w:bidi w:val="0"/>
              <w:spacing w:beforeAutospacing="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p>
        </w:tc>
        <w:tc>
          <w:tcPr>
            <w:tcW w:w="997" w:type="pct"/>
            <w:tcBorders>
              <w:top w:val="single" w:color="auto" w:sz="4" w:space="0"/>
              <w:left w:val="single" w:color="auto" w:sz="4" w:space="0"/>
              <w:right w:val="single" w:color="auto" w:sz="4" w:space="0"/>
            </w:tcBorders>
            <w:vAlign w:val="center"/>
          </w:tcPr>
          <w:p w14:paraId="2EAD6B5C">
            <w:pPr>
              <w:pStyle w:val="38"/>
              <w:keepNext w:val="0"/>
              <w:keepLines w:val="0"/>
              <w:pageBreakBefore w:val="0"/>
              <w:widowControl/>
              <w:suppressLineNumbers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消防、食品安全事故应急处理方案评审评分</w:t>
            </w:r>
          </w:p>
          <w:p w14:paraId="0E7C1170">
            <w:pPr>
              <w:pStyle w:val="38"/>
              <w:keepNext w:val="0"/>
              <w:keepLines w:val="0"/>
              <w:pageBreakBefore w:val="0"/>
              <w:widowControl/>
              <w:suppressLineNumbers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sz w:val="21"/>
                <w:szCs w:val="21"/>
              </w:rPr>
              <w:t>（满分</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分）</w:t>
            </w:r>
          </w:p>
        </w:tc>
        <w:tc>
          <w:tcPr>
            <w:tcW w:w="3658" w:type="pct"/>
            <w:tcBorders>
              <w:top w:val="single" w:color="auto" w:sz="4" w:space="0"/>
              <w:left w:val="single" w:color="auto" w:sz="4" w:space="0"/>
              <w:bottom w:val="single" w:color="auto" w:sz="4" w:space="0"/>
              <w:right w:val="single" w:color="auto" w:sz="4" w:space="0"/>
            </w:tcBorders>
            <w:shd w:val="clear" w:color="auto" w:fill="auto"/>
            <w:vAlign w:val="center"/>
          </w:tcPr>
          <w:p w14:paraId="590C6771">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根据供应商提供的消防、食品安全事故应急处理方案进行评审评分，包括但不限于：</w:t>
            </w:r>
          </w:p>
          <w:p w14:paraId="0436C5B0">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①消防安全事故应急处理方案；</w:t>
            </w:r>
          </w:p>
          <w:p w14:paraId="4601F757">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②食品安全事故应急处理方案；</w:t>
            </w:r>
          </w:p>
          <w:p w14:paraId="5002246E">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③风险控制措施及违约责任。 </w:t>
            </w:r>
          </w:p>
          <w:p w14:paraId="23058813">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评分原则：</w:t>
            </w:r>
          </w:p>
          <w:p w14:paraId="7A5179EF">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（1）消防、食品安全事故应急处理方案齐全、完善、符合项目实际情况，并且有具体的风险控制措施及违约责任及处罚措施，得6分；</w:t>
            </w:r>
          </w:p>
          <w:p w14:paraId="2A69D2BB">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（2）消防、食品安全事故应急处理方案，风险控制措施及违约责任及处罚措施内容中每缺失一项的，扣2分；</w:t>
            </w:r>
          </w:p>
          <w:p w14:paraId="4094297F">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szCs w:val="21"/>
              </w:rPr>
              <w:t>（3）风险控制措施及违约责任及处罚措施承诺不具体的，扣1分；消防、食品安全事故应急处理方案每有一项不完善或不符合项目实际情况的，扣0.5分。</w:t>
            </w:r>
          </w:p>
        </w:tc>
      </w:tr>
      <w:tr w14:paraId="707D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3" w:type="pct"/>
            <w:vMerge w:val="continue"/>
            <w:tcBorders>
              <w:left w:val="single" w:color="auto" w:sz="4" w:space="0"/>
              <w:right w:val="single" w:color="auto" w:sz="4" w:space="0"/>
            </w:tcBorders>
            <w:vAlign w:val="center"/>
          </w:tcPr>
          <w:p w14:paraId="677AA8BE">
            <w:pPr>
              <w:pageBreakBefore w:val="0"/>
              <w:kinsoku/>
              <w:bidi w:val="0"/>
              <w:spacing w:beforeAutospacing="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p>
        </w:tc>
        <w:tc>
          <w:tcPr>
            <w:tcW w:w="997" w:type="pct"/>
            <w:tcBorders>
              <w:top w:val="single" w:color="auto" w:sz="4" w:space="0"/>
              <w:left w:val="single" w:color="auto" w:sz="4" w:space="0"/>
              <w:right w:val="single" w:color="auto" w:sz="4" w:space="0"/>
            </w:tcBorders>
            <w:vAlign w:val="center"/>
          </w:tcPr>
          <w:p w14:paraId="3C72550E">
            <w:pPr>
              <w:pStyle w:val="38"/>
              <w:keepNext w:val="0"/>
              <w:keepLines w:val="0"/>
              <w:pageBreakBefore w:val="0"/>
              <w:widowControl/>
              <w:suppressLineNumbers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薪酬发放及时性措施及违约承诺评审评分</w:t>
            </w:r>
          </w:p>
          <w:p w14:paraId="31DF8633">
            <w:pPr>
              <w:pStyle w:val="38"/>
              <w:keepNext w:val="0"/>
              <w:keepLines w:val="0"/>
              <w:pageBreakBefore w:val="0"/>
              <w:widowControl/>
              <w:suppressLineNumbers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sz w:val="21"/>
                <w:szCs w:val="21"/>
              </w:rPr>
              <w:t>（满分1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分）</w:t>
            </w:r>
          </w:p>
        </w:tc>
        <w:tc>
          <w:tcPr>
            <w:tcW w:w="3658" w:type="pct"/>
            <w:tcBorders>
              <w:top w:val="single" w:color="auto" w:sz="4" w:space="0"/>
              <w:left w:val="single" w:color="auto" w:sz="4" w:space="0"/>
              <w:bottom w:val="single" w:color="auto" w:sz="4" w:space="0"/>
              <w:right w:val="single" w:color="auto" w:sz="4" w:space="0"/>
            </w:tcBorders>
            <w:shd w:val="clear" w:color="auto" w:fill="auto"/>
            <w:vAlign w:val="center"/>
          </w:tcPr>
          <w:p w14:paraId="02B1E594">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根据供应商提供的薪酬发放及时性措施及违约承诺进行评审评分，包括但不限于：</w:t>
            </w:r>
          </w:p>
          <w:p w14:paraId="569677C5">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①人员录用制度；</w:t>
            </w:r>
          </w:p>
          <w:p w14:paraId="0354DC1C">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②劳动人员薪酬保障制度；</w:t>
            </w:r>
          </w:p>
          <w:p w14:paraId="387DE539">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③档案管理制度；</w:t>
            </w:r>
          </w:p>
          <w:p w14:paraId="588C95D9">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④服务管理制度；</w:t>
            </w:r>
          </w:p>
          <w:p w14:paraId="6BC073A7">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⑤违约承诺。</w:t>
            </w:r>
          </w:p>
          <w:p w14:paraId="7DD69225">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评分原则：</w:t>
            </w:r>
          </w:p>
          <w:p w14:paraId="11BD7C32">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（1）提供的内容完全符合本项目采购需求的得满分10分；</w:t>
            </w:r>
          </w:p>
          <w:p w14:paraId="057099F9">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（2）每缺一项内容扣2分；</w:t>
            </w:r>
          </w:p>
          <w:p w14:paraId="6822CE96">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zCs w:val="21"/>
              </w:rPr>
              <w:t>（3）每有一项不完善或不符合项目实际情况的，扣1分</w:t>
            </w:r>
          </w:p>
        </w:tc>
      </w:tr>
      <w:tr w14:paraId="1188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3" w:type="pct"/>
            <w:vMerge w:val="continue"/>
            <w:tcBorders>
              <w:left w:val="single" w:color="auto" w:sz="4" w:space="0"/>
              <w:right w:val="single" w:color="auto" w:sz="4" w:space="0"/>
            </w:tcBorders>
            <w:vAlign w:val="center"/>
          </w:tcPr>
          <w:p w14:paraId="3B078DA5">
            <w:pPr>
              <w:pageBreakBefore w:val="0"/>
              <w:kinsoku/>
              <w:bidi w:val="0"/>
              <w:spacing w:beforeAutospacing="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p>
        </w:tc>
        <w:tc>
          <w:tcPr>
            <w:tcW w:w="997" w:type="pct"/>
            <w:tcBorders>
              <w:top w:val="single" w:color="auto" w:sz="4" w:space="0"/>
              <w:left w:val="single" w:color="auto" w:sz="4" w:space="0"/>
              <w:right w:val="single" w:color="auto" w:sz="4" w:space="0"/>
            </w:tcBorders>
            <w:vAlign w:val="center"/>
          </w:tcPr>
          <w:p w14:paraId="5003D6B9">
            <w:pPr>
              <w:pStyle w:val="38"/>
              <w:keepNext w:val="0"/>
              <w:keepLines w:val="0"/>
              <w:pageBreakBefore w:val="0"/>
              <w:widowControl/>
              <w:suppressLineNumbers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kern w:val="2"/>
                <w:sz w:val="21"/>
                <w:szCs w:val="21"/>
                <w:lang w:val="en-US" w:eastAsia="zh-CN"/>
              </w:rPr>
              <w:t>6.</w:t>
            </w:r>
            <w:r>
              <w:rPr>
                <w:rFonts w:hint="eastAsia" w:asciiTheme="minorEastAsia" w:hAnsiTheme="minorEastAsia" w:eastAsiaTheme="minorEastAsia" w:cstheme="minorEastAsia"/>
                <w:kern w:val="2"/>
                <w:sz w:val="21"/>
                <w:szCs w:val="21"/>
              </w:rPr>
              <w:t>服务优势、可向采购人提供的后续服务或增值服务（满分</w:t>
            </w:r>
            <w:r>
              <w:rPr>
                <w:rFonts w:hint="eastAsia" w:asciiTheme="minorEastAsia" w:hAnsiTheme="minorEastAsia" w:eastAsiaTheme="minorEastAsia" w:cstheme="minorEastAsia"/>
                <w:kern w:val="2"/>
                <w:sz w:val="21"/>
                <w:szCs w:val="21"/>
                <w:lang w:val="en-US" w:eastAsia="zh-CN"/>
              </w:rPr>
              <w:t>8</w:t>
            </w:r>
            <w:r>
              <w:rPr>
                <w:rFonts w:hint="eastAsia" w:asciiTheme="minorEastAsia" w:hAnsiTheme="minorEastAsia" w:eastAsiaTheme="minorEastAsia" w:cstheme="minorEastAsia"/>
                <w:kern w:val="2"/>
                <w:sz w:val="21"/>
                <w:szCs w:val="21"/>
              </w:rPr>
              <w:t>分）</w:t>
            </w:r>
          </w:p>
        </w:tc>
        <w:tc>
          <w:tcPr>
            <w:tcW w:w="3658" w:type="pct"/>
            <w:tcBorders>
              <w:top w:val="single" w:color="auto" w:sz="4" w:space="0"/>
              <w:left w:val="single" w:color="auto" w:sz="4" w:space="0"/>
              <w:bottom w:val="single" w:color="auto" w:sz="4" w:space="0"/>
              <w:right w:val="single" w:color="auto" w:sz="4" w:space="0"/>
            </w:tcBorders>
            <w:shd w:val="clear" w:color="auto" w:fill="auto"/>
            <w:vAlign w:val="center"/>
          </w:tcPr>
          <w:p w14:paraId="6F90EF94">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根据供应商提供的服务优势、可向采购人提供的后续服务或增值服务进行评审评分，包括但不限于：</w:t>
            </w:r>
          </w:p>
          <w:p w14:paraId="1A7BE728">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①服务优势；</w:t>
            </w:r>
          </w:p>
          <w:p w14:paraId="48C3CDE9">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②后续服务或增值服务；</w:t>
            </w:r>
          </w:p>
          <w:p w14:paraId="1CB77792">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评分原则：</w:t>
            </w:r>
          </w:p>
          <w:p w14:paraId="0D4002CD">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（1）提供的内容完全符合本项目采购需求的得满分8分；</w:t>
            </w:r>
          </w:p>
          <w:p w14:paraId="5D32456A">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（2）每缺一项内容扣4分；</w:t>
            </w:r>
          </w:p>
          <w:p w14:paraId="0D479307">
            <w:pPr>
              <w:keepNext w:val="0"/>
              <w:keepLines w:val="0"/>
              <w:pageBreakBefore w:val="0"/>
              <w:widowControl/>
              <w:suppressLineNumbers w:val="0"/>
              <w:kinsoku/>
              <w:bidi w:val="0"/>
              <w:adjustRightInd w:val="0"/>
              <w:spacing w:beforeAutospacing="0" w:afterAutospacing="0" w:line="360" w:lineRule="auto"/>
              <w:ind w:left="0" w:leftChars="0" w:right="0" w:right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zCs w:val="21"/>
              </w:rPr>
              <w:t>（3）每有一项不完善或不符合项目实际情况的，扣2分</w:t>
            </w:r>
          </w:p>
        </w:tc>
      </w:tr>
      <w:tr w14:paraId="5BAF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43" w:type="pct"/>
            <w:vMerge w:val="restart"/>
            <w:tcBorders>
              <w:left w:val="single" w:color="auto" w:sz="4" w:space="0"/>
              <w:right w:val="single" w:color="auto" w:sz="4" w:space="0"/>
            </w:tcBorders>
            <w:shd w:val="clear" w:color="auto" w:fill="auto"/>
            <w:vAlign w:val="center"/>
          </w:tcPr>
          <w:p w14:paraId="63763B29">
            <w:pPr>
              <w:pageBreakBefore w:val="0"/>
              <w:kinsoku/>
              <w:bidi w:val="0"/>
              <w:spacing w:beforeAutospacing="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bidi="ar"/>
                <w14:textFill>
                  <w14:solidFill>
                    <w14:schemeClr w14:val="tx1"/>
                  </w14:solidFill>
                </w14:textFill>
              </w:rPr>
              <w:t>商务部分F3（</w:t>
            </w:r>
            <w:r>
              <w:rPr>
                <w:rFonts w:hint="eastAsia" w:asciiTheme="minorEastAsia" w:hAnsiTheme="minorEastAsia" w:eastAsiaTheme="minorEastAsia" w:cstheme="minorEastAsia"/>
                <w:bCs/>
                <w:color w:val="000000" w:themeColor="text1"/>
                <w:sz w:val="21"/>
                <w:szCs w:val="21"/>
                <w:highlight w:val="none"/>
                <w:lang w:val="en-US" w:eastAsia="zh-CN" w:bidi="ar"/>
                <w14:textFill>
                  <w14:solidFill>
                    <w14:schemeClr w14:val="tx1"/>
                  </w14:solidFill>
                </w14:textFill>
              </w:rPr>
              <w:t>20</w:t>
            </w:r>
            <w:r>
              <w:rPr>
                <w:rFonts w:hint="eastAsia" w:asciiTheme="minorEastAsia" w:hAnsiTheme="minorEastAsia" w:eastAsiaTheme="minorEastAsia" w:cstheme="minorEastAsia"/>
                <w:bCs/>
                <w:color w:val="000000" w:themeColor="text1"/>
                <w:sz w:val="21"/>
                <w:szCs w:val="21"/>
                <w:highlight w:val="none"/>
                <w:lang w:bidi="ar"/>
                <w14:textFill>
                  <w14:solidFill>
                    <w14:schemeClr w14:val="tx1"/>
                  </w14:solidFill>
                </w14:textFill>
              </w:rPr>
              <w:t>分）</w:t>
            </w:r>
          </w:p>
        </w:tc>
        <w:tc>
          <w:tcPr>
            <w:tcW w:w="997" w:type="pct"/>
            <w:tcBorders>
              <w:top w:val="single" w:color="auto" w:sz="4" w:space="0"/>
              <w:left w:val="single" w:color="auto" w:sz="4" w:space="0"/>
              <w:bottom w:val="single" w:color="auto" w:sz="4" w:space="0"/>
              <w:right w:val="single" w:color="auto" w:sz="4" w:space="0"/>
            </w:tcBorders>
            <w:shd w:val="clear" w:color="auto" w:fill="auto"/>
            <w:vAlign w:val="center"/>
          </w:tcPr>
          <w:p w14:paraId="5A243273">
            <w:pPr>
              <w:pStyle w:val="38"/>
              <w:keepNext w:val="0"/>
              <w:keepLines w:val="0"/>
              <w:pageBreakBefore w:val="0"/>
              <w:widowControl/>
              <w:suppressLineNumbers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lang w:val="en-US" w:eastAsia="zh-CN"/>
              </w:rPr>
              <w:t>1.</w:t>
            </w:r>
            <w:r>
              <w:rPr>
                <w:rFonts w:hint="eastAsia" w:asciiTheme="minorEastAsia" w:hAnsiTheme="minorEastAsia" w:eastAsiaTheme="minorEastAsia" w:cstheme="minorEastAsia"/>
                <w:b w:val="0"/>
                <w:bCs w:val="0"/>
                <w:kern w:val="2"/>
                <w:sz w:val="21"/>
                <w:szCs w:val="21"/>
              </w:rPr>
              <w:t>类似项目业绩</w:t>
            </w:r>
          </w:p>
          <w:p w14:paraId="0F8E4891">
            <w:pPr>
              <w:pStyle w:val="38"/>
              <w:keepNext w:val="0"/>
              <w:keepLines w:val="0"/>
              <w:pageBreakBefore w:val="0"/>
              <w:widowControl/>
              <w:suppressLineNumbers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评审评分</w:t>
            </w:r>
          </w:p>
          <w:p w14:paraId="409BF7EE">
            <w:pPr>
              <w:pStyle w:val="38"/>
              <w:keepNext w:val="0"/>
              <w:keepLines w:val="0"/>
              <w:pageBreakBefore w:val="0"/>
              <w:widowControl/>
              <w:suppressLineNumbers w:val="0"/>
              <w:kinsoku/>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kern w:val="2"/>
                <w:sz w:val="21"/>
                <w:szCs w:val="21"/>
              </w:rPr>
              <w:t>（满分</w:t>
            </w:r>
            <w:r>
              <w:rPr>
                <w:rFonts w:hint="eastAsia" w:asciiTheme="minorEastAsia" w:hAnsiTheme="minorEastAsia" w:eastAsiaTheme="minorEastAsia" w:cstheme="minorEastAsia"/>
                <w:b w:val="0"/>
                <w:bCs w:val="0"/>
                <w:kern w:val="2"/>
                <w:sz w:val="21"/>
                <w:szCs w:val="21"/>
                <w:lang w:val="en-US" w:eastAsia="zh-CN"/>
              </w:rPr>
              <w:t>10</w:t>
            </w:r>
            <w:r>
              <w:rPr>
                <w:rFonts w:hint="eastAsia" w:asciiTheme="minorEastAsia" w:hAnsiTheme="minorEastAsia" w:eastAsiaTheme="minorEastAsia" w:cstheme="minorEastAsia"/>
                <w:b w:val="0"/>
                <w:bCs w:val="0"/>
                <w:kern w:val="2"/>
                <w:sz w:val="21"/>
                <w:szCs w:val="21"/>
              </w:rPr>
              <w:t>分）</w:t>
            </w:r>
          </w:p>
        </w:tc>
        <w:tc>
          <w:tcPr>
            <w:tcW w:w="3658" w:type="pct"/>
            <w:tcBorders>
              <w:top w:val="single" w:color="auto" w:sz="4" w:space="0"/>
              <w:left w:val="single" w:color="auto" w:sz="4" w:space="0"/>
              <w:bottom w:val="single" w:color="auto" w:sz="4" w:space="0"/>
              <w:right w:val="single" w:color="auto" w:sz="4" w:space="0"/>
            </w:tcBorders>
            <w:shd w:val="clear" w:color="auto" w:fill="auto"/>
            <w:vAlign w:val="center"/>
          </w:tcPr>
          <w:p w14:paraId="2053A2D4">
            <w:pPr>
              <w:pStyle w:val="16"/>
              <w:keepNext w:val="0"/>
              <w:keepLines w:val="0"/>
              <w:pageBreakBefore w:val="0"/>
              <w:widowControl/>
              <w:suppressLineNumbers w:val="0"/>
              <w:kinsoku/>
              <w:bidi w:val="0"/>
              <w:spacing w:beforeAutospacing="0" w:after="0" w:afterAutospacing="0" w:line="360" w:lineRule="auto"/>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供应商近三年每承担过（包含已完成或正在实施的项目）1项类似项目业绩的得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分，满分</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分，分数得满为止。</w:t>
            </w:r>
          </w:p>
          <w:p w14:paraId="26152852">
            <w:pPr>
              <w:pStyle w:val="38"/>
              <w:keepNext w:val="0"/>
              <w:keepLines w:val="0"/>
              <w:pageBreakBefore w:val="0"/>
              <w:widowControl/>
              <w:suppressLineNumbers w:val="0"/>
              <w:kinsoku/>
              <w:bidi w:val="0"/>
              <w:spacing w:before="0" w:beforeAutospacing="0" w:after="0" w:afterAutospacing="0" w:line="360" w:lineRule="auto"/>
              <w:ind w:left="0" w:leftChars="0" w:right="0" w:right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kern w:val="2"/>
                <w:sz w:val="21"/>
                <w:szCs w:val="21"/>
              </w:rPr>
              <w:t>注：</w:t>
            </w:r>
            <w:r>
              <w:rPr>
                <w:rFonts w:hint="eastAsia" w:asciiTheme="minorEastAsia" w:hAnsiTheme="minorEastAsia" w:eastAsiaTheme="minorEastAsia" w:cstheme="minorEastAsia"/>
                <w:kern w:val="2"/>
                <w:sz w:val="21"/>
                <w:szCs w:val="21"/>
                <w:lang w:eastAsia="zh-CN"/>
              </w:rPr>
              <w:t>类似业绩证明材料为中标/成交通知书、合同（提供合同的，须至少提供合同首页、服务范围所在页及委托方与受托方公章盖章页）或业主证明；无证明材料或未按要求提供证明材料或证明材料无法体现内容的，不予认可</w:t>
            </w:r>
            <w:r>
              <w:rPr>
                <w:rFonts w:hint="eastAsia" w:asciiTheme="minorEastAsia" w:hAnsiTheme="minorEastAsia" w:eastAsiaTheme="minorEastAsia" w:cstheme="minorEastAsia"/>
                <w:kern w:val="2"/>
                <w:sz w:val="21"/>
                <w:szCs w:val="21"/>
              </w:rPr>
              <w:t>。</w:t>
            </w:r>
          </w:p>
        </w:tc>
      </w:tr>
      <w:tr w14:paraId="7D9F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343" w:type="pct"/>
            <w:vMerge w:val="continue"/>
            <w:tcBorders>
              <w:left w:val="single" w:color="auto" w:sz="4" w:space="0"/>
              <w:right w:val="single" w:color="auto" w:sz="4" w:space="0"/>
            </w:tcBorders>
            <w:shd w:val="clear" w:color="auto" w:fill="auto"/>
            <w:vAlign w:val="center"/>
          </w:tcPr>
          <w:p w14:paraId="6C8DEA89">
            <w:pPr>
              <w:pageBreakBefore w:val="0"/>
              <w:kinsoku/>
              <w:bidi w:val="0"/>
              <w:spacing w:beforeAutospacing="0" w:afterAutospacing="0" w:line="360" w:lineRule="auto"/>
              <w:ind w:left="0" w:leftChars="0" w:right="0" w:rightChars="0"/>
              <w:jc w:val="center"/>
              <w:rPr>
                <w:rFonts w:hint="eastAsia" w:asciiTheme="minorEastAsia" w:hAnsiTheme="minorEastAsia" w:eastAsiaTheme="minorEastAsia" w:cstheme="minorEastAsia"/>
                <w:bCs/>
                <w:color w:val="000000" w:themeColor="text1"/>
                <w:sz w:val="21"/>
                <w:szCs w:val="21"/>
                <w:highlight w:val="none"/>
                <w:lang w:bidi="ar"/>
                <w14:textFill>
                  <w14:solidFill>
                    <w14:schemeClr w14:val="tx1"/>
                  </w14:solidFill>
                </w14:textFill>
              </w:rPr>
            </w:pPr>
          </w:p>
        </w:tc>
        <w:tc>
          <w:tcPr>
            <w:tcW w:w="997" w:type="pct"/>
            <w:tcBorders>
              <w:top w:val="single" w:color="auto" w:sz="4" w:space="0"/>
              <w:left w:val="single" w:color="auto" w:sz="4" w:space="0"/>
              <w:bottom w:val="single" w:color="auto" w:sz="4" w:space="0"/>
              <w:right w:val="single" w:color="auto" w:sz="4" w:space="0"/>
            </w:tcBorders>
            <w:shd w:val="clear" w:color="auto" w:fill="auto"/>
            <w:vAlign w:val="center"/>
          </w:tcPr>
          <w:p w14:paraId="7718C750">
            <w:pPr>
              <w:pageBreakBefore w:val="0"/>
              <w:numPr>
                <w:ilvl w:val="0"/>
                <w:numId w:val="0"/>
              </w:numPr>
              <w:kinsoku/>
              <w:wordWrap w:val="0"/>
              <w:overflowPunct w:val="0"/>
              <w:bidi w:val="0"/>
              <w:spacing w:beforeAutospacing="0" w:afterAutospacing="0" w:line="360" w:lineRule="auto"/>
              <w:ind w:left="0" w:leftChars="0" w:right="0" w:rightChars="0" w:firstLine="0" w:firstLineChars="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lang w:val="en-US" w:eastAsia="zh-CN" w:bidi="ar-SA"/>
              </w:rPr>
              <w:t>2.</w:t>
            </w:r>
            <w:r>
              <w:rPr>
                <w:rFonts w:hint="eastAsia" w:asciiTheme="minorEastAsia" w:hAnsiTheme="minorEastAsia" w:eastAsiaTheme="minorEastAsia" w:cstheme="minorEastAsia"/>
                <w:b w:val="0"/>
                <w:bCs w:val="0"/>
                <w:color w:val="auto"/>
                <w:sz w:val="21"/>
                <w:szCs w:val="21"/>
                <w:highlight w:val="none"/>
                <w:lang w:val="en-US" w:eastAsia="zh-CN"/>
              </w:rPr>
              <w:t>项目人员配备</w:t>
            </w:r>
          </w:p>
          <w:p w14:paraId="21B26162">
            <w:pPr>
              <w:pageBreakBefore w:val="0"/>
              <w:numPr>
                <w:ilvl w:val="0"/>
                <w:numId w:val="0"/>
              </w:numPr>
              <w:kinsoku/>
              <w:wordWrap w:val="0"/>
              <w:overflowPunct w:val="0"/>
              <w:bidi w:val="0"/>
              <w:spacing w:beforeAutospacing="0" w:afterAutospacing="0" w:line="360" w:lineRule="auto"/>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auto"/>
                <w:sz w:val="21"/>
                <w:szCs w:val="21"/>
                <w:highlight w:val="none"/>
                <w:lang w:val="en-US" w:eastAsia="zh-CN"/>
              </w:rPr>
              <w:t>（满分10分）</w:t>
            </w:r>
          </w:p>
        </w:tc>
        <w:tc>
          <w:tcPr>
            <w:tcW w:w="3658" w:type="pct"/>
            <w:tcBorders>
              <w:top w:val="single" w:color="auto" w:sz="4" w:space="0"/>
              <w:left w:val="single" w:color="auto" w:sz="4" w:space="0"/>
              <w:right w:val="single" w:color="auto" w:sz="4" w:space="0"/>
            </w:tcBorders>
            <w:shd w:val="clear" w:color="auto" w:fill="auto"/>
            <w:vAlign w:val="center"/>
          </w:tcPr>
          <w:p w14:paraId="7EB12067">
            <w:pPr>
              <w:pageBreakBefore w:val="0"/>
              <w:kinsoku/>
              <w:wordWrap w:val="0"/>
              <w:overflowPunct w:val="0"/>
              <w:bidi w:val="0"/>
              <w:spacing w:beforeAutospacing="0" w:afterAutospacing="0" w:line="360" w:lineRule="auto"/>
              <w:ind w:left="0" w:leftChars="0" w:right="0" w:rightChars="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在满足服务要求的基础上：</w:t>
            </w:r>
            <w:r>
              <w:rPr>
                <w:rFonts w:hint="eastAsia" w:asciiTheme="minorEastAsia" w:hAnsiTheme="minorEastAsia" w:eastAsiaTheme="minorEastAsia" w:cstheme="minorEastAsia"/>
                <w:b/>
                <w:bCs/>
                <w:szCs w:val="21"/>
              </w:rPr>
              <w:t>每增加1名中级（国家职业资格四级）厨师资格的加</w:t>
            </w:r>
            <w:r>
              <w:rPr>
                <w:rFonts w:hint="eastAsia" w:asciiTheme="minorEastAsia" w:hAnsiTheme="minorEastAsia" w:eastAsiaTheme="minorEastAsia" w:cstheme="minorEastAsia"/>
                <w:b/>
                <w:bCs/>
                <w:szCs w:val="21"/>
                <w:lang w:val="en-US" w:eastAsia="zh-CN"/>
              </w:rPr>
              <w:t>0.5</w:t>
            </w:r>
            <w:r>
              <w:rPr>
                <w:rFonts w:hint="eastAsia" w:asciiTheme="minorEastAsia" w:hAnsiTheme="minorEastAsia" w:eastAsiaTheme="minorEastAsia" w:cstheme="minorEastAsia"/>
                <w:b/>
                <w:bCs/>
                <w:szCs w:val="21"/>
              </w:rPr>
              <w:t>分；每增加1名高级（国家职业资格三级）厨师资格的加</w:t>
            </w:r>
            <w:r>
              <w:rPr>
                <w:rFonts w:hint="eastAsia" w:asciiTheme="minorEastAsia" w:hAnsiTheme="minorEastAsia" w:eastAsiaTheme="minorEastAsia" w:cstheme="minorEastAsia"/>
                <w:b/>
                <w:bCs/>
                <w:szCs w:val="21"/>
                <w:lang w:val="en-US" w:eastAsia="zh-CN"/>
              </w:rPr>
              <w:t>1</w:t>
            </w:r>
            <w:r>
              <w:rPr>
                <w:rFonts w:hint="eastAsia" w:asciiTheme="minorEastAsia" w:hAnsiTheme="minorEastAsia" w:eastAsiaTheme="minorEastAsia" w:cstheme="minorEastAsia"/>
                <w:b/>
                <w:bCs/>
                <w:szCs w:val="21"/>
              </w:rPr>
              <w:t>分；每增加1名技师（国家职业资格二级）或高级技师资格（国家职业资格一级）的加</w:t>
            </w:r>
            <w:r>
              <w:rPr>
                <w:rFonts w:hint="eastAsia" w:asciiTheme="minorEastAsia" w:hAnsiTheme="minorEastAsia" w:eastAsiaTheme="minorEastAsia" w:cstheme="minorEastAsia"/>
                <w:b/>
                <w:bCs/>
                <w:szCs w:val="21"/>
                <w:lang w:val="en-US" w:eastAsia="zh-CN"/>
              </w:rPr>
              <w:t>1.5</w:t>
            </w:r>
            <w:r>
              <w:rPr>
                <w:rFonts w:hint="eastAsia" w:asciiTheme="minorEastAsia" w:hAnsiTheme="minorEastAsia" w:eastAsiaTheme="minorEastAsia" w:cstheme="minorEastAsia"/>
                <w:b/>
                <w:bCs/>
                <w:szCs w:val="21"/>
              </w:rPr>
              <w:t>分</w:t>
            </w:r>
            <w:r>
              <w:rPr>
                <w:rFonts w:hint="eastAsia" w:asciiTheme="minorEastAsia" w:hAnsiTheme="minorEastAsia" w:eastAsiaTheme="minorEastAsia" w:cstheme="minorEastAsia"/>
                <w:b/>
                <w:bCs/>
                <w:color w:val="auto"/>
                <w:sz w:val="21"/>
                <w:szCs w:val="21"/>
                <w:highlight w:val="none"/>
                <w:lang w:val="en-US" w:eastAsia="zh-CN"/>
              </w:rPr>
              <w:t>；满分10分。</w:t>
            </w:r>
          </w:p>
          <w:p w14:paraId="33D2AEDE">
            <w:pPr>
              <w:pageBreakBefore w:val="0"/>
              <w:kinsoku/>
              <w:wordWrap w:val="0"/>
              <w:overflowPunct w:val="0"/>
              <w:bidi w:val="0"/>
              <w:spacing w:beforeAutospacing="0" w:afterAutospacing="0" w:line="360" w:lineRule="auto"/>
              <w:ind w:left="0" w:leftChars="0" w:right="0" w:right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注：</w:t>
            </w:r>
          </w:p>
          <w:p w14:paraId="0667EB51">
            <w:pPr>
              <w:pageBreakBefore w:val="0"/>
              <w:numPr>
                <w:ilvl w:val="0"/>
                <w:numId w:val="0"/>
              </w:numPr>
              <w:kinsoku/>
              <w:wordWrap w:val="0"/>
              <w:overflowPunct w:val="0"/>
              <w:bidi w:val="0"/>
              <w:spacing w:beforeAutospacing="0" w:afterAutospacing="0" w:line="360" w:lineRule="auto"/>
              <w:ind w:left="0" w:leftChars="0" w:right="0" w:rightChars="0"/>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lang w:val="en-US" w:eastAsia="zh-CN" w:bidi="ar-SA"/>
              </w:rPr>
              <w:t>a.拟派人员</w:t>
            </w:r>
            <w:r>
              <w:rPr>
                <w:rFonts w:hint="eastAsia" w:asciiTheme="minorEastAsia" w:hAnsiTheme="minorEastAsia" w:eastAsiaTheme="minorEastAsia" w:cstheme="minorEastAsia"/>
                <w:b w:val="0"/>
                <w:bCs w:val="0"/>
                <w:color w:val="auto"/>
                <w:kern w:val="0"/>
                <w:sz w:val="21"/>
                <w:szCs w:val="21"/>
                <w:highlight w:val="none"/>
                <w:lang w:val="en-US" w:eastAsia="zh-CN"/>
              </w:rPr>
              <w:t>须具备：①有效身份证【中国大陆地区提供身份证或临时身份证，其他国家或地区可提供护照等其他有效的身份证明材料】；②有效的健康证；③相应资格证书；④与投标人本单位签订劳动合同及2025年3月份至今任意1个月为其缴纳社保的证明；（如拟派上述人员为法定代表人的，则不需提供劳动合同及社保缴纳证明）</w:t>
            </w:r>
          </w:p>
          <w:p w14:paraId="4CACFDB5">
            <w:pPr>
              <w:pageBreakBefore w:val="0"/>
              <w:numPr>
                <w:ilvl w:val="0"/>
                <w:numId w:val="0"/>
              </w:numPr>
              <w:kinsoku/>
              <w:wordWrap w:val="0"/>
              <w:overflowPunct w:val="0"/>
              <w:bidi w:val="0"/>
              <w:spacing w:beforeAutospacing="0" w:afterAutospacing="0" w:line="360" w:lineRule="auto"/>
              <w:ind w:left="0" w:leftChars="0" w:right="0" w:rightChars="0" w:firstLine="0" w:firstLine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auto"/>
                <w:kern w:val="0"/>
                <w:sz w:val="21"/>
                <w:szCs w:val="21"/>
                <w:lang w:val="en-US" w:eastAsia="zh-CN" w:bidi="ar-SA"/>
              </w:rPr>
              <w:t>b.</w:t>
            </w:r>
            <w:r>
              <w:rPr>
                <w:rFonts w:hint="eastAsia" w:asciiTheme="minorEastAsia" w:hAnsiTheme="minorEastAsia" w:eastAsiaTheme="minorEastAsia" w:cstheme="minorEastAsia"/>
                <w:kern w:val="0"/>
                <w:sz w:val="21"/>
                <w:szCs w:val="21"/>
                <w:lang w:val="en-US" w:eastAsia="zh-CN"/>
              </w:rPr>
              <w:t>若同一人员持有多个证书，按“就高”原则仅作一个计算；不以同种证书的不同专业分别计分</w:t>
            </w:r>
            <w:r>
              <w:rPr>
                <w:rFonts w:hint="eastAsia" w:asciiTheme="minorEastAsia" w:hAnsiTheme="minorEastAsia" w:eastAsiaTheme="minorEastAsia" w:cstheme="minorEastAsia"/>
                <w:b w:val="0"/>
                <w:bCs w:val="0"/>
                <w:color w:val="auto"/>
                <w:kern w:val="0"/>
                <w:sz w:val="21"/>
                <w:szCs w:val="21"/>
                <w:highlight w:val="none"/>
                <w:lang w:val="en-US" w:eastAsia="zh-CN"/>
              </w:rPr>
              <w:t>。</w:t>
            </w:r>
          </w:p>
        </w:tc>
      </w:tr>
    </w:tbl>
    <w:p w14:paraId="21421C93">
      <w:pPr>
        <w:pageBreakBefore w:val="0"/>
        <w:kinsoku/>
        <w:wordWrap w:val="0"/>
        <w:bidi w:val="0"/>
        <w:spacing w:beforeAutospacing="0" w:afterAutospacing="0" w:line="360" w:lineRule="auto"/>
        <w:ind w:left="0" w:leftChars="0" w:right="0" w:rightChars="0" w:firstLine="292" w:firstLineChars="134"/>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pacing w:val="9"/>
          <w:highlight w:val="none"/>
          <w14:textFill>
            <w14:solidFill>
              <w14:schemeClr w14:val="tx1"/>
            </w14:solidFill>
          </w14:textFill>
        </w:rPr>
        <w:t>备注：对各</w:t>
      </w:r>
      <w:r>
        <w:rPr>
          <w:rFonts w:hint="eastAsia" w:ascii="宋体" w:hAnsi="宋体" w:cs="宋体"/>
          <w:color w:val="000000" w:themeColor="text1"/>
          <w:spacing w:val="9"/>
          <w:highlight w:val="none"/>
          <w:lang w:eastAsia="zh-CN"/>
          <w14:textFill>
            <w14:solidFill>
              <w14:schemeClr w14:val="tx1"/>
            </w14:solidFill>
          </w14:textFill>
        </w:rPr>
        <w:t>供应商</w:t>
      </w:r>
      <w:r>
        <w:rPr>
          <w:rFonts w:hint="eastAsia" w:ascii="宋体" w:hAnsi="宋体" w:cs="宋体"/>
          <w:color w:val="000000" w:themeColor="text1"/>
          <w:spacing w:val="9"/>
          <w:highlight w:val="none"/>
          <w14:textFill>
            <w14:solidFill>
              <w14:schemeClr w14:val="tx1"/>
            </w14:solidFill>
          </w14:textFill>
        </w:rPr>
        <w:t>投标文件的技术</w:t>
      </w:r>
      <w:r>
        <w:rPr>
          <w:rFonts w:hint="eastAsia" w:ascii="宋体" w:hAnsi="宋体" w:cs="宋体"/>
          <w:color w:val="000000" w:themeColor="text1"/>
          <w:spacing w:val="9"/>
          <w:highlight w:val="none"/>
          <w:lang w:eastAsia="zh-CN"/>
          <w14:textFill>
            <w14:solidFill>
              <w14:schemeClr w14:val="tx1"/>
            </w14:solidFill>
          </w14:textFill>
        </w:rPr>
        <w:t>、</w:t>
      </w:r>
      <w:r>
        <w:rPr>
          <w:rFonts w:hint="eastAsia" w:ascii="宋体" w:hAnsi="宋体" w:cs="宋体"/>
          <w:color w:val="000000" w:themeColor="text1"/>
          <w:spacing w:val="9"/>
          <w:highlight w:val="none"/>
          <w:lang w:val="en-US" w:eastAsia="zh-CN"/>
          <w14:textFill>
            <w14:solidFill>
              <w14:schemeClr w14:val="tx1"/>
            </w14:solidFill>
          </w14:textFill>
        </w:rPr>
        <w:t>商务</w:t>
      </w:r>
      <w:r>
        <w:rPr>
          <w:rFonts w:hint="eastAsia" w:ascii="宋体" w:hAnsi="宋体" w:cs="宋体"/>
          <w:color w:val="000000" w:themeColor="text1"/>
          <w:spacing w:val="9"/>
          <w:highlight w:val="none"/>
          <w14:textFill>
            <w14:solidFill>
              <w14:schemeClr w14:val="tx1"/>
            </w14:solidFill>
          </w14:textFill>
        </w:rPr>
        <w:t>部分独立进行打分。</w:t>
      </w:r>
    </w:p>
    <w:p w14:paraId="79DF513E">
      <w:pPr>
        <w:pageBreakBefore w:val="0"/>
        <w:kinsoku/>
        <w:wordWrap w:val="0"/>
        <w:bidi w:val="0"/>
        <w:spacing w:beforeAutospacing="0" w:afterAutospacing="0" w:line="360" w:lineRule="auto"/>
        <w:ind w:left="0" w:leftChars="0" w:right="0" w:rightChars="0" w:firstLine="282" w:firstLineChars="134"/>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三、评分要求和统计分数原则：</w:t>
      </w:r>
    </w:p>
    <w:p w14:paraId="6829381C">
      <w:pPr>
        <w:pageBreakBefore w:val="0"/>
        <w:kinsoku/>
        <w:wordWrap w:val="0"/>
        <w:bidi w:val="0"/>
        <w:spacing w:beforeAutospacing="0" w:afterAutospacing="0" w:line="360" w:lineRule="auto"/>
        <w:ind w:left="0" w:leftChars="0" w:right="0" w:righ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en-US"/>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评标委员会评委应首先对各供应商投标文件进行评审，写出书面意见并按招标文件规定分值评分。</w:t>
      </w:r>
    </w:p>
    <w:p w14:paraId="7B80006A">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en-US"/>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统计分数原则：计算算术平均值为供应商评标得分（保留小数点后两位）。</w:t>
      </w:r>
    </w:p>
    <w:p w14:paraId="4E6B01F8">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en-US"/>
          <w14:textFill>
            <w14:solidFill>
              <w14:schemeClr w14:val="tx1"/>
            </w14:solidFill>
          </w14:textFill>
        </w:rPr>
        <w:t>（3）</w:t>
      </w:r>
      <w:r>
        <w:rPr>
          <w:rFonts w:hint="eastAsia" w:ascii="宋体" w:hAnsi="宋体" w:cs="宋体"/>
          <w:bCs/>
          <w:color w:val="000000" w:themeColor="text1"/>
          <w:sz w:val="21"/>
          <w:szCs w:val="21"/>
          <w:highlight w:val="none"/>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1DE23961">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（4）提供相同品牌产品且通过资格审查、符合性审查的不同</w:t>
      </w:r>
      <w:r>
        <w:rPr>
          <w:rFonts w:hint="eastAsia" w:ascii="宋体" w:hAnsi="宋体" w:cs="宋体"/>
          <w:bCs/>
          <w:color w:val="000000" w:themeColor="text1"/>
          <w:sz w:val="21"/>
          <w:szCs w:val="21"/>
          <w:highlight w:val="none"/>
          <w:lang w:eastAsia="zh-CN"/>
          <w14:textFill>
            <w14:solidFill>
              <w14:schemeClr w14:val="tx1"/>
            </w14:solidFill>
          </w14:textFill>
        </w:rPr>
        <w:t>供应商</w:t>
      </w:r>
      <w:r>
        <w:rPr>
          <w:rFonts w:hint="eastAsia" w:ascii="宋体" w:hAnsi="宋体" w:cs="宋体"/>
          <w:bCs/>
          <w:color w:val="000000" w:themeColor="text1"/>
          <w:sz w:val="21"/>
          <w:szCs w:val="21"/>
          <w:highlight w:val="none"/>
          <w14:textFill>
            <w14:solidFill>
              <w14:schemeClr w14:val="tx1"/>
            </w14:solidFill>
          </w14:textFill>
        </w:rPr>
        <w:t>参加同一合同项下投标的，按一家</w:t>
      </w:r>
      <w:r>
        <w:rPr>
          <w:rFonts w:hint="eastAsia" w:ascii="宋体" w:hAnsi="宋体" w:cs="宋体"/>
          <w:bCs/>
          <w:color w:val="000000" w:themeColor="text1"/>
          <w:sz w:val="21"/>
          <w:szCs w:val="21"/>
          <w:highlight w:val="none"/>
          <w:lang w:eastAsia="zh-CN"/>
          <w14:textFill>
            <w14:solidFill>
              <w14:schemeClr w14:val="tx1"/>
            </w14:solidFill>
          </w14:textFill>
        </w:rPr>
        <w:t>供应商</w:t>
      </w:r>
      <w:r>
        <w:rPr>
          <w:rFonts w:hint="eastAsia" w:ascii="宋体" w:hAnsi="宋体" w:cs="宋体"/>
          <w:bCs/>
          <w:color w:val="000000" w:themeColor="text1"/>
          <w:sz w:val="21"/>
          <w:szCs w:val="21"/>
          <w:highlight w:val="none"/>
          <w14:textFill>
            <w14:solidFill>
              <w14:schemeClr w14:val="tx1"/>
            </w14:solidFill>
          </w14:textFill>
        </w:rPr>
        <w:t>计算，评审后得分最高的同品牌</w:t>
      </w:r>
      <w:r>
        <w:rPr>
          <w:rFonts w:hint="eastAsia" w:ascii="宋体" w:hAnsi="宋体" w:cs="宋体"/>
          <w:bCs/>
          <w:color w:val="000000" w:themeColor="text1"/>
          <w:sz w:val="21"/>
          <w:szCs w:val="21"/>
          <w:highlight w:val="none"/>
          <w:lang w:eastAsia="zh-CN"/>
          <w14:textFill>
            <w14:solidFill>
              <w14:schemeClr w14:val="tx1"/>
            </w14:solidFill>
          </w14:textFill>
        </w:rPr>
        <w:t>供应商</w:t>
      </w:r>
      <w:r>
        <w:rPr>
          <w:rFonts w:hint="eastAsia" w:ascii="宋体" w:hAnsi="宋体" w:cs="宋体"/>
          <w:bCs/>
          <w:color w:val="000000" w:themeColor="text1"/>
          <w:sz w:val="21"/>
          <w:szCs w:val="21"/>
          <w:highlight w:val="none"/>
          <w14:textFill>
            <w14:solidFill>
              <w14:schemeClr w14:val="tx1"/>
            </w14:solidFill>
          </w14:textFill>
        </w:rPr>
        <w:t>获得中标人推荐资格；评审得分相同的，由评标委员会投票推荐（少数服从多数的原则）的方式确定一个</w:t>
      </w:r>
      <w:r>
        <w:rPr>
          <w:rFonts w:hint="eastAsia" w:ascii="宋体" w:hAnsi="宋体" w:cs="宋体"/>
          <w:bCs/>
          <w:color w:val="000000" w:themeColor="text1"/>
          <w:sz w:val="21"/>
          <w:szCs w:val="21"/>
          <w:highlight w:val="none"/>
          <w:lang w:eastAsia="zh-CN"/>
          <w14:textFill>
            <w14:solidFill>
              <w14:schemeClr w14:val="tx1"/>
            </w14:solidFill>
          </w14:textFill>
        </w:rPr>
        <w:t>供应商</w:t>
      </w:r>
      <w:r>
        <w:rPr>
          <w:rFonts w:hint="eastAsia" w:ascii="宋体" w:hAnsi="宋体" w:cs="宋体"/>
          <w:bCs/>
          <w:color w:val="000000" w:themeColor="text1"/>
          <w:sz w:val="21"/>
          <w:szCs w:val="21"/>
          <w:highlight w:val="none"/>
          <w14:textFill>
            <w14:solidFill>
              <w14:schemeClr w14:val="tx1"/>
            </w14:solidFill>
          </w14:textFill>
        </w:rPr>
        <w:t>获得中标人推荐资格，其他同品牌</w:t>
      </w:r>
      <w:r>
        <w:rPr>
          <w:rFonts w:hint="eastAsia" w:ascii="宋体" w:hAnsi="宋体" w:cs="宋体"/>
          <w:bCs/>
          <w:color w:val="000000" w:themeColor="text1"/>
          <w:sz w:val="21"/>
          <w:szCs w:val="21"/>
          <w:highlight w:val="none"/>
          <w:lang w:eastAsia="zh-CN"/>
          <w14:textFill>
            <w14:solidFill>
              <w14:schemeClr w14:val="tx1"/>
            </w14:solidFill>
          </w14:textFill>
        </w:rPr>
        <w:t>供应商</w:t>
      </w:r>
      <w:r>
        <w:rPr>
          <w:rFonts w:hint="eastAsia" w:ascii="宋体" w:hAnsi="宋体" w:cs="宋体"/>
          <w:bCs/>
          <w:color w:val="000000" w:themeColor="text1"/>
          <w:sz w:val="21"/>
          <w:szCs w:val="21"/>
          <w:highlight w:val="none"/>
          <w14:textFill>
            <w14:solidFill>
              <w14:schemeClr w14:val="tx1"/>
            </w14:solidFill>
          </w14:textFill>
        </w:rPr>
        <w:t>不作为中标候选人。</w:t>
      </w:r>
    </w:p>
    <w:p w14:paraId="6AC22499">
      <w:pPr>
        <w:pageBreakBefore w:val="0"/>
        <w:kinsoku/>
        <w:wordWrap w:val="0"/>
        <w:bidi w:val="0"/>
        <w:spacing w:beforeAutospacing="0" w:afterAutospacing="0" w:line="360" w:lineRule="auto"/>
        <w:ind w:left="0" w:leftChars="0" w:right="0" w:rightChars="0"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（5）非单一产品采购项目，多家</w:t>
      </w:r>
      <w:r>
        <w:rPr>
          <w:rFonts w:hint="eastAsia" w:ascii="宋体" w:hAnsi="宋体" w:cs="宋体"/>
          <w:bCs/>
          <w:color w:val="000000" w:themeColor="text1"/>
          <w:sz w:val="21"/>
          <w:szCs w:val="21"/>
          <w:highlight w:val="none"/>
          <w:lang w:eastAsia="zh-CN"/>
          <w14:textFill>
            <w14:solidFill>
              <w14:schemeClr w14:val="tx1"/>
            </w14:solidFill>
          </w14:textFill>
        </w:rPr>
        <w:t>供应商</w:t>
      </w:r>
      <w:r>
        <w:rPr>
          <w:rFonts w:hint="eastAsia" w:ascii="宋体" w:hAnsi="宋体" w:cs="宋体"/>
          <w:bCs/>
          <w:color w:val="000000" w:themeColor="text1"/>
          <w:sz w:val="21"/>
          <w:szCs w:val="21"/>
          <w:highlight w:val="none"/>
          <w14:textFill>
            <w14:solidFill>
              <w14:schemeClr w14:val="tx1"/>
            </w14:solidFill>
          </w14:textFill>
        </w:rPr>
        <w:t>提供的核心产品品牌（核心产品由采购人根据采购项目技术构成、产品价格比重等确定）均相同的，按前款规定处理。</w:t>
      </w:r>
    </w:p>
    <w:p w14:paraId="398BDCE6">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lang w:bidi="en-US"/>
          <w14:textFill>
            <w14:solidFill>
              <w14:schemeClr w14:val="tx1"/>
            </w14:solidFill>
          </w14:textFill>
        </w:rPr>
      </w:pPr>
      <w:r>
        <w:rPr>
          <w:rFonts w:hint="eastAsia" w:ascii="宋体" w:hAnsi="宋体" w:cs="宋体"/>
          <w:color w:val="000000" w:themeColor="text1"/>
          <w:sz w:val="21"/>
          <w:szCs w:val="21"/>
          <w:highlight w:val="none"/>
          <w:lang w:bidi="en-US"/>
          <w14:textFill>
            <w14:solidFill>
              <w14:schemeClr w14:val="tx1"/>
            </w14:solidFill>
          </w14:textFill>
        </w:rPr>
        <w:t>（6）采购人根据评标委员会提出的书面评标报告和推荐的中标候选人名单，确定中标人。</w:t>
      </w:r>
    </w:p>
    <w:p w14:paraId="47FECC2E">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lang w:bidi="en-US"/>
          <w14:textFill>
            <w14:solidFill>
              <w14:schemeClr w14:val="tx1"/>
            </w14:solidFill>
          </w14:textFill>
        </w:rPr>
      </w:pPr>
      <w:r>
        <w:rPr>
          <w:rFonts w:hint="eastAsia" w:ascii="宋体" w:hAnsi="宋体" w:cs="宋体"/>
          <w:color w:val="000000" w:themeColor="text1"/>
          <w:sz w:val="21"/>
          <w:szCs w:val="21"/>
          <w:highlight w:val="none"/>
          <w:lang w:bidi="en-US"/>
          <w14:textFill>
            <w14:solidFill>
              <w14:schemeClr w14:val="tx1"/>
            </w14:solidFill>
          </w14:textFill>
        </w:rPr>
        <w:t>（7）评审委员会发现招标文件存在歧义、重大缺陷导致评审工作无法进行，或者招标文件内容违反国家有关规定的，要停止评审工作并向采购人或采购代理机构书面说明情况，采购人或采购代理机构应当修改招标文件后重新组织采购活动；发现供应商提供虚假材料、串通等违法违规行为的，要及时向采购人或采购代理机构报告。</w:t>
      </w:r>
    </w:p>
    <w:p w14:paraId="5CC4E19B">
      <w:pPr>
        <w:pStyle w:val="2"/>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bookmarkStart w:id="366" w:name="_Toc229583209"/>
      <w:bookmarkStart w:id="367" w:name="_Toc432697211"/>
      <w:r>
        <w:rPr>
          <w:rFonts w:hint="eastAsia" w:ascii="宋体" w:hAnsi="宋体" w:cs="宋体"/>
          <w:color w:val="000000" w:themeColor="text1"/>
          <w:sz w:val="21"/>
          <w:szCs w:val="21"/>
          <w:highlight w:val="none"/>
          <w14:textFill>
            <w14:solidFill>
              <w14:schemeClr w14:val="tx1"/>
            </w14:solidFill>
          </w14:textFill>
        </w:rPr>
        <w:br w:type="page"/>
      </w:r>
      <w:bookmarkStart w:id="368" w:name="_Toc3094"/>
      <w:bookmarkStart w:id="369" w:name="_Toc9502"/>
      <w:r>
        <w:rPr>
          <w:rFonts w:hint="eastAsia" w:ascii="宋体" w:hAnsi="宋体" w:cs="宋体"/>
          <w:color w:val="000000" w:themeColor="text1"/>
          <w:sz w:val="32"/>
          <w:szCs w:val="32"/>
          <w:highlight w:val="none"/>
          <w14:textFill>
            <w14:solidFill>
              <w14:schemeClr w14:val="tx1"/>
            </w14:solidFill>
          </w14:textFill>
        </w:rPr>
        <w:t>第四章 合同</w:t>
      </w:r>
      <w:bookmarkEnd w:id="366"/>
      <w:bookmarkStart w:id="370" w:name="_Toc229583213"/>
      <w:r>
        <w:rPr>
          <w:rFonts w:hint="eastAsia" w:ascii="宋体" w:hAnsi="宋体" w:cs="宋体"/>
          <w:color w:val="000000" w:themeColor="text1"/>
          <w:sz w:val="32"/>
          <w:szCs w:val="32"/>
          <w:highlight w:val="none"/>
          <w14:textFill>
            <w14:solidFill>
              <w14:schemeClr w14:val="tx1"/>
            </w14:solidFill>
          </w14:textFill>
        </w:rPr>
        <w:t>格式</w:t>
      </w:r>
      <w:bookmarkEnd w:id="367"/>
      <w:bookmarkEnd w:id="368"/>
      <w:bookmarkEnd w:id="369"/>
    </w:p>
    <w:bookmarkEnd w:id="370"/>
    <w:p w14:paraId="7513DAED">
      <w:pPr>
        <w:pageBreakBefore w:val="0"/>
        <w:kinsoku/>
        <w:bidi w:val="0"/>
        <w:spacing w:beforeAutospacing="0" w:afterAutospacing="0" w:line="480" w:lineRule="auto"/>
        <w:ind w:left="0" w:leftChars="0" w:right="0" w:rightChars="0" w:firstLine="482" w:firstLineChars="200"/>
        <w:jc w:val="center"/>
        <w:rPr>
          <w:rFonts w:hint="eastAsia" w:ascii="宋体" w:hAnsi="宋体" w:eastAsia="宋体" w:cs="宋体"/>
          <w:color w:val="auto"/>
          <w:sz w:val="21"/>
          <w:szCs w:val="18"/>
          <w:highlight w:val="none"/>
        </w:rPr>
      </w:pPr>
      <w:bookmarkStart w:id="371" w:name="_Hlk41297115"/>
      <w:bookmarkStart w:id="372" w:name="_Toc233463025"/>
      <w:bookmarkStart w:id="373" w:name="_Toc432697213"/>
      <w:r>
        <w:rPr>
          <w:rFonts w:hint="eastAsia" w:ascii="宋体" w:hAnsi="宋体" w:eastAsia="宋体" w:cs="宋体"/>
          <w:b/>
          <w:bCs/>
          <w:color w:val="auto"/>
          <w:sz w:val="24"/>
          <w:szCs w:val="24"/>
          <w:highlight w:val="none"/>
        </w:rPr>
        <w:t>（本合同条款仅供参考，最终以双方共同商定的合同为准）</w:t>
      </w:r>
    </w:p>
    <w:p w14:paraId="579FFDBC">
      <w:pPr>
        <w:pageBreakBefore w:val="0"/>
        <w:kinsoku/>
        <w:bidi w:val="0"/>
        <w:spacing w:beforeAutospacing="0" w:afterAutospacing="0"/>
        <w:ind w:left="0" w:leftChars="0" w:right="0" w:rightChars="0"/>
        <w:rPr>
          <w:rFonts w:hint="eastAsia" w:ascii="宋体" w:hAnsi="宋体" w:eastAsia="宋体" w:cs="宋体"/>
          <w:color w:val="auto"/>
          <w:highlight w:val="none"/>
        </w:rPr>
      </w:pPr>
    </w:p>
    <w:tbl>
      <w:tblPr>
        <w:tblStyle w:val="43"/>
        <w:tblW w:w="0" w:type="auto"/>
        <w:jc w:val="center"/>
        <w:tblLayout w:type="fixed"/>
        <w:tblCellMar>
          <w:top w:w="0" w:type="dxa"/>
          <w:left w:w="0" w:type="dxa"/>
          <w:bottom w:w="0" w:type="dxa"/>
          <w:right w:w="0" w:type="dxa"/>
        </w:tblCellMar>
      </w:tblPr>
      <w:tblGrid>
        <w:gridCol w:w="9750"/>
      </w:tblGrid>
      <w:tr w14:paraId="6547CB4F">
        <w:tblPrEx>
          <w:tblCellMar>
            <w:top w:w="0" w:type="dxa"/>
            <w:left w:w="0" w:type="dxa"/>
            <w:bottom w:w="0" w:type="dxa"/>
            <w:right w:w="0" w:type="dxa"/>
          </w:tblCellMar>
        </w:tblPrEx>
        <w:trPr>
          <w:jc w:val="center"/>
        </w:trPr>
        <w:tc>
          <w:tcPr>
            <w:tcW w:w="9750" w:type="dxa"/>
            <w:noWrap w:val="0"/>
            <w:vAlign w:val="center"/>
          </w:tcPr>
          <w:p w14:paraId="7AD78453">
            <w:pPr>
              <w:keepNext w:val="0"/>
              <w:keepLines w:val="0"/>
              <w:pageBreakBefore w:val="0"/>
              <w:widowControl/>
              <w:suppressLineNumbers w:val="0"/>
              <w:tabs>
                <w:tab w:val="left" w:pos="1590"/>
                <w:tab w:val="left" w:pos="3409"/>
                <w:tab w:val="left" w:pos="4847"/>
                <w:tab w:val="left" w:pos="5711"/>
                <w:tab w:val="left" w:pos="7020"/>
                <w:tab w:val="left" w:pos="7891"/>
              </w:tabs>
              <w:kinsoku/>
              <w:bidi w:val="0"/>
              <w:spacing w:beforeAutospacing="0" w:afterAutospacing="0" w:line="360" w:lineRule="auto"/>
              <w:ind w:left="0" w:leftChars="0" w:right="0" w:rightChars="0"/>
              <w:rPr>
                <w:rFonts w:hint="eastAsia" w:ascii="宋体" w:hAnsi="宋体" w:eastAsia="宋体" w:cs="宋体"/>
                <w:color w:val="auto"/>
                <w:sz w:val="28"/>
                <w:szCs w:val="22"/>
                <w:highlight w:val="none"/>
              </w:rPr>
            </w:pPr>
            <w:r>
              <w:rPr>
                <w:rFonts w:hint="eastAsia" w:ascii="宋体" w:hAnsi="宋体" w:eastAsia="宋体" w:cs="宋体"/>
                <w:color w:val="auto"/>
                <w:sz w:val="28"/>
                <w:szCs w:val="28"/>
                <w:highlight w:val="none"/>
              </w:rPr>
              <w:t>合同编号：               合同自编号：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项目编号： </w:t>
            </w:r>
          </w:p>
        </w:tc>
      </w:tr>
    </w:tbl>
    <w:p w14:paraId="6BECD26F">
      <w:pPr>
        <w:pageBreakBefore w:val="0"/>
        <w:kinsoku/>
        <w:bidi w:val="0"/>
        <w:spacing w:beforeAutospacing="0" w:afterAutospacing="0" w:line="360" w:lineRule="auto"/>
        <w:ind w:left="0" w:leftChars="0" w:right="0" w:rightChars="0"/>
        <w:jc w:val="center"/>
        <w:rPr>
          <w:rFonts w:hint="eastAsia" w:ascii="宋体" w:hAnsi="宋体" w:eastAsia="宋体" w:cs="宋体"/>
          <w:color w:val="auto"/>
          <w:sz w:val="22"/>
          <w:szCs w:val="22"/>
          <w:highlight w:val="none"/>
        </w:rPr>
      </w:pPr>
      <w:r>
        <w:rPr>
          <w:rFonts w:hint="eastAsia" w:ascii="宋体" w:hAnsi="宋体" w:eastAsia="宋体" w:cs="宋体"/>
          <w:color w:val="auto"/>
          <w:sz w:val="28"/>
          <w:szCs w:val="28"/>
          <w:highlight w:val="none"/>
        </w:rPr>
        <w:t>●本合同须加盖甲乙双方骑缝章有效</w:t>
      </w:r>
      <w:r>
        <w:rPr>
          <w:rFonts w:hint="eastAsia" w:ascii="宋体" w:hAnsi="宋体" w:eastAsia="宋体" w:cs="宋体"/>
          <w:color w:val="auto"/>
          <w:sz w:val="22"/>
          <w:szCs w:val="22"/>
          <w:highlight w:val="none"/>
        </w:rPr>
        <w:br w:type="textWrapping"/>
      </w:r>
    </w:p>
    <w:p w14:paraId="77FF20EA">
      <w:pPr>
        <w:pageBreakBefore w:val="0"/>
        <w:kinsoku/>
        <w:bidi w:val="0"/>
        <w:spacing w:beforeAutospacing="0" w:afterAutospacing="0" w:line="360" w:lineRule="auto"/>
        <w:ind w:left="0" w:leftChars="0" w:right="0" w:rightChars="0" w:firstLine="708" w:firstLineChars="177"/>
        <w:jc w:val="center"/>
        <w:rPr>
          <w:rFonts w:hint="eastAsia" w:ascii="宋体" w:hAnsi="宋体" w:eastAsia="宋体" w:cs="宋体"/>
          <w:color w:val="auto"/>
          <w:sz w:val="20"/>
          <w:szCs w:val="20"/>
          <w:highlight w:val="none"/>
        </w:rPr>
      </w:pPr>
      <w:r>
        <w:rPr>
          <w:rFonts w:hint="eastAsia" w:ascii="宋体" w:hAnsi="宋体" w:eastAsia="宋体" w:cs="宋体"/>
          <w:color w:val="auto"/>
          <w:sz w:val="40"/>
          <w:szCs w:val="40"/>
          <w:highlight w:val="none"/>
        </w:rPr>
        <w:t>云南省政府采购</w:t>
      </w:r>
      <w:r>
        <w:rPr>
          <w:rFonts w:hint="eastAsia" w:ascii="宋体" w:hAnsi="宋体" w:eastAsia="宋体" w:cs="宋体"/>
          <w:color w:val="auto"/>
          <w:sz w:val="20"/>
          <w:szCs w:val="20"/>
          <w:highlight w:val="none"/>
        </w:rPr>
        <w:br w:type="textWrapping"/>
      </w:r>
      <w:r>
        <w:rPr>
          <w:rFonts w:hint="eastAsia" w:ascii="宋体" w:hAnsi="宋体" w:eastAsia="宋体" w:cs="宋体"/>
          <w:color w:val="auto"/>
          <w:sz w:val="20"/>
          <w:szCs w:val="20"/>
          <w:highlight w:val="none"/>
        </w:rPr>
        <w:br w:type="textWrapping"/>
      </w:r>
    </w:p>
    <w:p w14:paraId="725DACAC">
      <w:pPr>
        <w:pageBreakBefore w:val="0"/>
        <w:kinsoku/>
        <w:bidi w:val="0"/>
        <w:spacing w:beforeAutospacing="0" w:afterAutospacing="0"/>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36"/>
          <w:szCs w:val="36"/>
          <w:highlight w:val="none"/>
        </w:rPr>
        <w:t>（委托采购）</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rPr>
        <w:br w:type="textWrapping"/>
      </w:r>
      <w:r>
        <w:rPr>
          <w:rFonts w:hint="eastAsia" w:ascii="宋体" w:hAnsi="宋体" w:eastAsia="宋体" w:cs="宋体"/>
          <w:color w:val="auto"/>
          <w:sz w:val="36"/>
          <w:szCs w:val="36"/>
          <w:highlight w:val="none"/>
        </w:rPr>
        <w:t>（样本）</w:t>
      </w:r>
      <w:r>
        <w:rPr>
          <w:rFonts w:hint="eastAsia" w:ascii="宋体" w:hAnsi="宋体" w:eastAsia="宋体" w:cs="宋体"/>
          <w:color w:val="auto"/>
          <w:sz w:val="36"/>
          <w:szCs w:val="36"/>
          <w:highlight w:val="none"/>
        </w:rPr>
        <w:br w:type="textWrapping"/>
      </w:r>
      <w:r>
        <w:rPr>
          <w:rFonts w:hint="eastAsia" w:ascii="宋体" w:hAnsi="宋体" w:eastAsia="宋体" w:cs="宋体"/>
          <w:color w:val="auto"/>
          <w:sz w:val="20"/>
          <w:szCs w:val="20"/>
          <w:highlight w:val="none"/>
        </w:rPr>
        <w:br w:type="textWrapping"/>
      </w:r>
      <w:r>
        <w:rPr>
          <w:rFonts w:hint="eastAsia" w:ascii="宋体" w:hAnsi="宋体" w:eastAsia="宋体" w:cs="宋体"/>
          <w:color w:val="auto"/>
          <w:sz w:val="20"/>
          <w:szCs w:val="20"/>
          <w:highlight w:val="none"/>
        </w:rPr>
        <w:br w:type="textWrapping"/>
      </w:r>
    </w:p>
    <w:p w14:paraId="41E5282D">
      <w:pPr>
        <w:pageBreakBefore w:val="0"/>
        <w:kinsoku/>
        <w:bidi w:val="0"/>
        <w:spacing w:beforeAutospacing="0" w:afterAutospacing="0"/>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72"/>
          <w:szCs w:val="72"/>
          <w:highlight w:val="none"/>
        </w:rPr>
        <w:t>合</w:t>
      </w:r>
      <w:r>
        <w:rPr>
          <w:rFonts w:hint="eastAsia" w:ascii="宋体" w:hAnsi="宋体" w:eastAsia="宋体" w:cs="宋体"/>
          <w:color w:val="auto"/>
          <w:sz w:val="20"/>
          <w:szCs w:val="20"/>
          <w:highlight w:val="none"/>
        </w:rPr>
        <w:t xml:space="preserve"> </w:t>
      </w:r>
    </w:p>
    <w:p w14:paraId="184A4E6B">
      <w:pPr>
        <w:pageBreakBefore w:val="0"/>
        <w:kinsoku/>
        <w:bidi w:val="0"/>
        <w:spacing w:beforeAutospacing="0" w:afterAutospacing="0"/>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72"/>
          <w:szCs w:val="72"/>
          <w:highlight w:val="none"/>
        </w:rPr>
        <w:t>同</w:t>
      </w:r>
    </w:p>
    <w:p w14:paraId="00258644">
      <w:pPr>
        <w:pageBreakBefore w:val="0"/>
        <w:kinsoku/>
        <w:bidi w:val="0"/>
        <w:spacing w:beforeAutospacing="0" w:afterAutospacing="0"/>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72"/>
          <w:szCs w:val="72"/>
          <w:highlight w:val="none"/>
        </w:rPr>
        <w:t>书</w:t>
      </w:r>
      <w:r>
        <w:rPr>
          <w:rFonts w:hint="eastAsia" w:ascii="宋体" w:hAnsi="宋体" w:eastAsia="宋体" w:cs="宋体"/>
          <w:color w:val="auto"/>
          <w:sz w:val="20"/>
          <w:szCs w:val="20"/>
          <w:highlight w:val="none"/>
        </w:rPr>
        <w:t xml:space="preserve"> </w:t>
      </w:r>
    </w:p>
    <w:p w14:paraId="0E5431F4">
      <w:pPr>
        <w:pageBreakBefore w:val="0"/>
        <w:kinsoku/>
        <w:bidi w:val="0"/>
        <w:spacing w:beforeAutospacing="0" w:afterAutospacing="0"/>
        <w:ind w:left="0" w:leftChars="0" w:right="0" w:rightChars="0" w:firstLine="3795" w:firstLineChars="1350"/>
        <w:rPr>
          <w:rFonts w:hint="eastAsia" w:ascii="宋体" w:hAnsi="宋体" w:eastAsia="宋体" w:cs="宋体"/>
          <w:b/>
          <w:bCs/>
          <w:color w:val="auto"/>
          <w:sz w:val="28"/>
          <w:szCs w:val="28"/>
          <w:highlight w:val="none"/>
        </w:rPr>
      </w:pPr>
    </w:p>
    <w:p w14:paraId="28A32FE1">
      <w:pPr>
        <w:pageBreakBefore w:val="0"/>
        <w:kinsoku/>
        <w:bidi w:val="0"/>
        <w:spacing w:beforeAutospacing="0" w:afterAutospacing="0"/>
        <w:ind w:left="0" w:leftChars="0" w:right="0" w:rightChars="0"/>
        <w:jc w:val="center"/>
        <w:rPr>
          <w:rFonts w:hint="eastAsia" w:ascii="宋体" w:hAnsi="宋体" w:eastAsia="宋体" w:cs="宋体"/>
          <w:color w:val="auto"/>
          <w:sz w:val="22"/>
          <w:szCs w:val="22"/>
          <w:highlight w:val="none"/>
        </w:rPr>
      </w:pPr>
      <w:r>
        <w:rPr>
          <w:rFonts w:hint="eastAsia" w:ascii="宋体" w:hAnsi="宋体" w:eastAsia="宋体" w:cs="宋体"/>
          <w:b/>
          <w:bCs/>
          <w:color w:val="auto"/>
          <w:sz w:val="36"/>
          <w:szCs w:val="36"/>
          <w:highlight w:val="none"/>
        </w:rPr>
        <w:t xml:space="preserve">签订地点: </w:t>
      </w:r>
      <w:r>
        <w:rPr>
          <w:rFonts w:hint="eastAsia" w:ascii="宋体" w:hAnsi="宋体" w:eastAsia="宋体" w:cs="宋体"/>
          <w:color w:val="auto"/>
          <w:sz w:val="22"/>
          <w:szCs w:val="22"/>
          <w:highlight w:val="none"/>
        </w:rPr>
        <w:br w:type="textWrapping"/>
      </w:r>
    </w:p>
    <w:p w14:paraId="439E664A">
      <w:pPr>
        <w:pStyle w:val="38"/>
        <w:pageBreakBefore w:val="0"/>
        <w:kinsoku/>
        <w:bidi w:val="0"/>
        <w:spacing w:before="0" w:beforeAutospacing="0" w:after="0" w:afterAutospacing="0"/>
        <w:ind w:left="0" w:leftChars="0" w:right="0" w:right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6"/>
          <w:szCs w:val="36"/>
          <w:highlight w:val="none"/>
        </w:rPr>
        <w:t xml:space="preserve">云南省财政厅　制 </w:t>
      </w:r>
    </w:p>
    <w:p w14:paraId="38FB809F">
      <w:pPr>
        <w:pageBreakBefore w:val="0"/>
        <w:kinsoku/>
        <w:bidi w:val="0"/>
        <w:spacing w:beforeAutospacing="0" w:afterAutospacing="0"/>
        <w:ind w:left="0" w:leftChars="0" w:right="0" w:right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4E1F8806">
      <w:pPr>
        <w:pageBreakBefore w:val="0"/>
        <w:kinsoku/>
        <w:bidi w:val="0"/>
        <w:spacing w:beforeAutospacing="0" w:afterAutospacing="0" w:line="360" w:lineRule="auto"/>
        <w:ind w:left="0" w:leftChars="0" w:right="0" w:rightChars="0"/>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发包人（全称）：</w:t>
      </w:r>
      <w:r>
        <w:rPr>
          <w:rFonts w:hint="eastAsia" w:ascii="宋体" w:hAnsi="宋体" w:eastAsia="宋体" w:cs="宋体"/>
          <w:b/>
          <w:color w:val="auto"/>
          <w:sz w:val="21"/>
          <w:szCs w:val="21"/>
          <w:highlight w:val="none"/>
          <w:u w:val="single"/>
          <w:lang w:val="en-US" w:eastAsia="zh-CN"/>
        </w:rPr>
        <w:t xml:space="preserve">                     </w:t>
      </w:r>
    </w:p>
    <w:p w14:paraId="04CEFCC3">
      <w:pPr>
        <w:pageBreakBefore w:val="0"/>
        <w:kinsoku/>
        <w:bidi w:val="0"/>
        <w:spacing w:beforeAutospacing="0" w:afterAutospacing="0" w:line="360" w:lineRule="auto"/>
        <w:ind w:left="0" w:leftChars="0" w:right="0" w:rightChars="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w:t>
      </w:r>
    </w:p>
    <w:p w14:paraId="45D63226">
      <w:pPr>
        <w:pageBreakBefore w:val="0"/>
        <w:kinsoku/>
        <w:bidi w:val="0"/>
        <w:spacing w:beforeAutospacing="0" w:afterAutospacing="0" w:line="360" w:lineRule="auto"/>
        <w:ind w:left="0" w:leftChars="0" w:right="0" w:rightChars="0" w:firstLine="420" w:firstLineChars="200"/>
        <w:rPr>
          <w:rFonts w:hint="eastAsia" w:ascii="宋体" w:hAnsi="宋体" w:eastAsia="宋体" w:cs="宋体"/>
          <w:sz w:val="21"/>
          <w:szCs w:val="21"/>
          <w:highlight w:val="none"/>
        </w:rPr>
      </w:pPr>
    </w:p>
    <w:p w14:paraId="0E6C981F">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lang w:eastAsia="zh-CN"/>
        </w:rPr>
        <w:t>根据《中华人民共和国</w:t>
      </w:r>
      <w:r>
        <w:rPr>
          <w:rFonts w:hint="eastAsia" w:ascii="宋体" w:hAnsi="宋体" w:cs="宋体"/>
          <w:b w:val="0"/>
          <w:bCs w:val="0"/>
          <w:sz w:val="21"/>
          <w:szCs w:val="21"/>
          <w:highlight w:val="none"/>
          <w:lang w:val="en-US" w:eastAsia="zh-CN"/>
        </w:rPr>
        <w:t>民法典</w:t>
      </w:r>
      <w:r>
        <w:rPr>
          <w:rFonts w:hint="eastAsia" w:ascii="宋体" w:hAnsi="宋体" w:eastAsia="宋体" w:cs="宋体"/>
          <w:b w:val="0"/>
          <w:bCs w:val="0"/>
          <w:sz w:val="21"/>
          <w:szCs w:val="21"/>
          <w:highlight w:val="none"/>
          <w:lang w:eastAsia="zh-CN"/>
        </w:rPr>
        <w:t>》、《中华人民共和国劳动合同法》等相关法律、法规的规定，乙方于</w:t>
      </w: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b w:val="0"/>
          <w:bCs w:val="0"/>
          <w:sz w:val="21"/>
          <w:szCs w:val="21"/>
          <w:highlight w:val="none"/>
          <w:u w:val="none"/>
          <w:lang w:eastAsia="zh-CN"/>
        </w:rPr>
        <w:t>年</w:t>
      </w: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b w:val="0"/>
          <w:bCs w:val="0"/>
          <w:sz w:val="21"/>
          <w:szCs w:val="21"/>
          <w:highlight w:val="none"/>
          <w:u w:val="none"/>
          <w:lang w:eastAsia="zh-CN"/>
        </w:rPr>
        <w:t>月</w:t>
      </w: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b w:val="0"/>
          <w:bCs w:val="0"/>
          <w:sz w:val="21"/>
          <w:szCs w:val="21"/>
          <w:highlight w:val="none"/>
          <w:u w:val="none"/>
          <w:lang w:eastAsia="zh-CN"/>
        </w:rPr>
        <w:t>日进</w:t>
      </w:r>
      <w:r>
        <w:rPr>
          <w:rFonts w:hint="eastAsia" w:ascii="宋体" w:hAnsi="宋体" w:eastAsia="宋体" w:cs="宋体"/>
          <w:b w:val="0"/>
          <w:bCs w:val="0"/>
          <w:sz w:val="21"/>
          <w:szCs w:val="21"/>
          <w:highlight w:val="none"/>
          <w:lang w:eastAsia="zh-CN"/>
        </w:rPr>
        <w:t>行投标</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lang w:eastAsia="zh-CN"/>
        </w:rPr>
        <w:t>项目。经甲、乙双方协商一致，就乙方向甲方提供</w:t>
      </w:r>
      <w:r>
        <w:rPr>
          <w:rFonts w:hint="eastAsia" w:ascii="宋体" w:hAnsi="宋体" w:eastAsia="宋体" w:cs="宋体"/>
          <w:b w:val="0"/>
          <w:bCs w:val="0"/>
          <w:color w:val="auto"/>
          <w:sz w:val="21"/>
          <w:szCs w:val="21"/>
          <w:highlight w:val="none"/>
          <w:lang w:eastAsia="zh-CN"/>
        </w:rPr>
        <w:t>高新四小食堂管理、服务等事宜，达成如下协议:</w:t>
      </w:r>
    </w:p>
    <w:p w14:paraId="7E9C957B">
      <w:pPr>
        <w:pageBreakBefore w:val="0"/>
        <w:numPr>
          <w:ilvl w:val="0"/>
          <w:numId w:val="1"/>
        </w:numPr>
        <w:kinsoku/>
        <w:bidi w:val="0"/>
        <w:spacing w:beforeAutospacing="0" w:afterAutospacing="0" w:line="360" w:lineRule="auto"/>
        <w:ind w:left="0" w:leftChars="0" w:right="0" w:rightChars="0"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服务场地及设施，包括附带的餐具、用具。</w:t>
      </w:r>
    </w:p>
    <w:p w14:paraId="0B2FD744">
      <w:pPr>
        <w:pageBreakBefore w:val="0"/>
        <w:numPr>
          <w:ilvl w:val="0"/>
          <w:numId w:val="0"/>
        </w:numPr>
        <w:kinsoku/>
        <w:bidi w:val="0"/>
        <w:spacing w:beforeAutospacing="0" w:afterAutospacing="0" w:line="360" w:lineRule="auto"/>
        <w:ind w:left="0" w:leftChars="0" w:right="0" w:rightChars="0"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食材采购是教体局统一采购配送；食堂设施设备，水电燃气费由学校支出；</w:t>
      </w:r>
      <w:r>
        <w:rPr>
          <w:rFonts w:hint="eastAsia" w:ascii="宋体" w:hAnsi="宋体" w:eastAsia="宋体" w:cs="宋体"/>
          <w:b w:val="0"/>
          <w:bCs w:val="0"/>
          <w:color w:val="auto"/>
          <w:sz w:val="21"/>
          <w:szCs w:val="21"/>
          <w:highlight w:val="none"/>
          <w:lang w:val="en-US" w:eastAsia="zh-CN"/>
        </w:rPr>
        <w:t>成交单位</w:t>
      </w:r>
      <w:r>
        <w:rPr>
          <w:rFonts w:hint="eastAsia" w:ascii="宋体" w:hAnsi="宋体" w:eastAsia="宋体" w:cs="宋体"/>
          <w:b w:val="0"/>
          <w:bCs w:val="0"/>
          <w:color w:val="auto"/>
          <w:sz w:val="21"/>
          <w:szCs w:val="21"/>
          <w:highlight w:val="none"/>
          <w:lang w:eastAsia="zh-CN"/>
        </w:rPr>
        <w:t>负责把食材加工好，窗口打餐，送餐到教室，回收餐具</w:t>
      </w:r>
      <w:r>
        <w:rPr>
          <w:rFonts w:hint="eastAsia" w:ascii="宋体" w:hAnsi="宋体" w:eastAsia="宋体" w:cs="宋体"/>
          <w:b w:val="0"/>
          <w:bCs w:val="0"/>
          <w:color w:val="auto"/>
          <w:sz w:val="21"/>
          <w:szCs w:val="21"/>
          <w:highlight w:val="none"/>
          <w:lang w:val="en-US" w:eastAsia="zh-CN"/>
        </w:rPr>
        <w:t>等服务工作</w:t>
      </w:r>
      <w:r>
        <w:rPr>
          <w:rFonts w:hint="eastAsia" w:ascii="宋体" w:hAnsi="宋体" w:eastAsia="宋体" w:cs="宋体"/>
          <w:b w:val="0"/>
          <w:bCs w:val="0"/>
          <w:color w:val="auto"/>
          <w:sz w:val="21"/>
          <w:szCs w:val="21"/>
          <w:highlight w:val="none"/>
          <w:lang w:eastAsia="zh-CN"/>
        </w:rPr>
        <w:t>。</w:t>
      </w:r>
    </w:p>
    <w:p w14:paraId="5B4AA1C0">
      <w:pPr>
        <w:pageBreakBefore w:val="0"/>
        <w:numPr>
          <w:ilvl w:val="0"/>
          <w:numId w:val="0"/>
        </w:numPr>
        <w:kinsoku/>
        <w:bidi w:val="0"/>
        <w:spacing w:beforeAutospacing="0" w:afterAutospacing="0" w:line="360" w:lineRule="auto"/>
        <w:ind w:left="0" w:leftChars="0" w:right="0" w:rightChars="0" w:firstLine="422" w:firstLineChars="20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第二条管理服务期限</w:t>
      </w:r>
    </w:p>
    <w:p w14:paraId="37CACAC3">
      <w:pPr>
        <w:pageBreakBefore w:val="0"/>
        <w:kinsoku/>
        <w:bidi w:val="0"/>
        <w:spacing w:beforeAutospacing="0" w:afterAutospacing="0" w:line="360" w:lineRule="auto"/>
        <w:ind w:left="0" w:leftChars="0" w:right="0" w:rightChars="0" w:firstLine="840" w:firstLineChars="4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服务期限为</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lang w:eastAsia="zh-CN"/>
        </w:rPr>
        <w:t>。</w:t>
      </w:r>
    </w:p>
    <w:p w14:paraId="0D390CD6">
      <w:pPr>
        <w:pageBreakBefore w:val="0"/>
        <w:kinsoku/>
        <w:bidi w:val="0"/>
        <w:spacing w:beforeAutospacing="0" w:afterAutospacing="0" w:line="360" w:lineRule="auto"/>
        <w:ind w:left="0" w:leftChars="0" w:right="0" w:rightChars="0" w:firstLine="422" w:firstLineChars="20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 xml:space="preserve">第三条 </w:t>
      </w:r>
      <w:r>
        <w:rPr>
          <w:rFonts w:hint="eastAsia" w:ascii="宋体" w:hAnsi="宋体" w:eastAsia="宋体" w:cs="宋体"/>
          <w:b/>
          <w:bCs/>
          <w:sz w:val="21"/>
          <w:szCs w:val="21"/>
          <w:highlight w:val="none"/>
          <w:lang w:val="en-US" w:eastAsia="zh-CN"/>
        </w:rPr>
        <w:t>履约</w:t>
      </w:r>
      <w:r>
        <w:rPr>
          <w:rFonts w:hint="eastAsia" w:ascii="宋体" w:hAnsi="宋体" w:eastAsia="宋体" w:cs="宋体"/>
          <w:b/>
          <w:bCs/>
          <w:sz w:val="21"/>
          <w:szCs w:val="21"/>
          <w:highlight w:val="none"/>
          <w:lang w:eastAsia="zh-CN"/>
        </w:rPr>
        <w:t>保证金</w:t>
      </w:r>
    </w:p>
    <w:p w14:paraId="115EF994">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乙方在收到甲方先期费用后，向甲方提交</w:t>
      </w:r>
      <w:r>
        <w:rPr>
          <w:rFonts w:hint="eastAsia" w:ascii="宋体" w:hAnsi="宋体" w:eastAsia="宋体" w:cs="宋体"/>
          <w:b w:val="0"/>
          <w:bCs w:val="0"/>
          <w:sz w:val="21"/>
          <w:szCs w:val="21"/>
          <w:highlight w:val="none"/>
          <w:lang w:val="en-US" w:eastAsia="zh-CN"/>
        </w:rPr>
        <w:t>履约</w:t>
      </w:r>
      <w:r>
        <w:rPr>
          <w:rFonts w:hint="eastAsia" w:ascii="宋体" w:hAnsi="宋体" w:eastAsia="宋体" w:cs="宋体"/>
          <w:b w:val="0"/>
          <w:bCs w:val="0"/>
          <w:sz w:val="21"/>
          <w:szCs w:val="21"/>
          <w:highlight w:val="none"/>
          <w:lang w:eastAsia="zh-CN"/>
        </w:rPr>
        <w:t>保证金</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lang w:eastAsia="zh-CN"/>
        </w:rPr>
        <w:t>元(大写:人民币</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lang w:eastAsia="zh-CN"/>
        </w:rPr>
        <w:t>)。</w:t>
      </w:r>
    </w:p>
    <w:p w14:paraId="694BE5C8">
      <w:pPr>
        <w:pageBreakBefore w:val="0"/>
        <w:numPr>
          <w:ilvl w:val="0"/>
          <w:numId w:val="0"/>
        </w:numPr>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师生因食物不洁等原因所引起之腹泻、中毒等原因，以及乙方责任致使甲方员工受到伤害时，可先行由该保证金支付；</w:t>
      </w:r>
    </w:p>
    <w:p w14:paraId="72F3DD66">
      <w:pPr>
        <w:pageBreakBefore w:val="0"/>
        <w:numPr>
          <w:ilvl w:val="0"/>
          <w:numId w:val="0"/>
        </w:numPr>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2.如中途非正常解约，作为甲方满足师生当天伙食补助资金下予退还；</w:t>
      </w:r>
    </w:p>
    <w:p w14:paraId="3557DA30">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3.该保证金由甲方财务处负责保管，合同期满乙方如无债务或履行合同之事宜时，甲方于乙方离场起算(7日内)返还，</w:t>
      </w:r>
    </w:p>
    <w:p w14:paraId="13EF64B2">
      <w:pPr>
        <w:pageBreakBefore w:val="0"/>
        <w:kinsoku/>
        <w:bidi w:val="0"/>
        <w:spacing w:beforeAutospacing="0" w:afterAutospacing="0" w:line="360" w:lineRule="auto"/>
        <w:ind w:left="0" w:leftChars="0" w:right="0" w:rightChars="0" w:firstLine="422" w:firstLineChars="20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第四条 师生用餐时间</w:t>
      </w:r>
    </w:p>
    <w:p w14:paraId="09BA2048">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早餐、早加餐、午餐、午加餐、晚餐，根据幼儿园营养食谱要求制定相应菜品；</w:t>
      </w:r>
    </w:p>
    <w:p w14:paraId="55CDB22A">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成交单位须拟派人员</w:t>
      </w:r>
      <w:r>
        <w:rPr>
          <w:rFonts w:hint="eastAsia" w:ascii="宋体" w:hAnsi="宋体" w:eastAsia="宋体" w:cs="宋体"/>
          <w:b w:val="0"/>
          <w:bCs w:val="0"/>
          <w:sz w:val="21"/>
          <w:szCs w:val="21"/>
          <w:highlight w:val="none"/>
          <w:lang w:eastAsia="zh-CN"/>
        </w:rPr>
        <w:t>送餐到教室，每层楼有负责人协调各班菜品数量，多匀少补，保证学生吃饱，不浪费。配合守餐教师组织学生用餐。</w:t>
      </w:r>
    </w:p>
    <w:p w14:paraId="5902BA23">
      <w:pPr>
        <w:pageBreakBefore w:val="0"/>
        <w:kinsoku/>
        <w:bidi w:val="0"/>
        <w:spacing w:beforeAutospacing="0" w:afterAutospacing="0" w:line="360" w:lineRule="auto"/>
        <w:ind w:left="0" w:leftChars="0" w:right="0" w:rightChars="0" w:firstLine="422" w:firstLineChars="20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第五条 人员配备</w:t>
      </w:r>
    </w:p>
    <w:p w14:paraId="12FEEEAE">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lang w:eastAsia="zh-CN"/>
        </w:rPr>
        <w:t>1.乙方安排食堂工作人员，</w:t>
      </w:r>
      <w:r>
        <w:rPr>
          <w:rFonts w:hint="eastAsia" w:ascii="宋体" w:hAnsi="宋体" w:eastAsia="宋体" w:cs="宋体"/>
          <w:b w:val="0"/>
          <w:bCs w:val="0"/>
          <w:color w:val="auto"/>
          <w:sz w:val="21"/>
          <w:szCs w:val="21"/>
          <w:highlight w:val="none"/>
          <w:lang w:val="en-US" w:eastAsia="zh-CN"/>
        </w:rPr>
        <w:t>按照标书所要求人数安排到齐（    人以上）</w:t>
      </w:r>
      <w:r>
        <w:rPr>
          <w:rFonts w:hint="eastAsia" w:ascii="宋体" w:hAnsi="宋体" w:eastAsia="宋体" w:cs="宋体"/>
          <w:b w:val="0"/>
          <w:bCs w:val="0"/>
          <w:color w:val="auto"/>
          <w:sz w:val="21"/>
          <w:szCs w:val="21"/>
          <w:highlight w:val="none"/>
          <w:lang w:eastAsia="zh-CN"/>
        </w:rPr>
        <w:t>；</w:t>
      </w:r>
    </w:p>
    <w:p w14:paraId="11C662FC">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2.乙方必须雇用符合国家用工法规要求并足以使甲方满意的训练有素的人员来提供服务，所有因此而被雇用的人员必须是被确认为乙方的雇员；</w:t>
      </w:r>
    </w:p>
    <w:p w14:paraId="770ED8AC">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3.乙方必须在提供雇员的相关健康证明后，方能进入甲方提供的食堂服务，并依据甲方要求，定期进行从业人员的体检；</w:t>
      </w:r>
    </w:p>
    <w:p w14:paraId="6061E8E8">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4.乙方必须指派一位现场管理人员来监督服务，同时负责跟甲方的联络工作；</w:t>
      </w:r>
    </w:p>
    <w:p w14:paraId="503440D3">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5.乙方在现场必须遵守和执行甲方的管理制度和行为准则；</w:t>
      </w:r>
    </w:p>
    <w:p w14:paraId="16B4F85A">
      <w:pPr>
        <w:pageBreakBefore w:val="0"/>
        <w:kinsoku/>
        <w:bidi w:val="0"/>
        <w:spacing w:beforeAutospacing="0" w:afterAutospacing="0" w:line="360" w:lineRule="auto"/>
        <w:ind w:left="0" w:leftChars="0" w:right="0" w:rightChars="0" w:firstLine="0" w:firstLine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6.乙方工作人员在校工作期间的人身安全由乙方负责。</w:t>
      </w:r>
    </w:p>
    <w:p w14:paraId="042E816D">
      <w:pPr>
        <w:pageBreakBefore w:val="0"/>
        <w:kinsoku/>
        <w:bidi w:val="0"/>
        <w:spacing w:beforeAutospacing="0" w:afterAutospacing="0" w:line="360" w:lineRule="auto"/>
        <w:ind w:left="0" w:leftChars="0" w:right="0" w:rightChars="0" w:firstLine="0" w:firstLineChars="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第六条 管理服务约定</w:t>
      </w:r>
    </w:p>
    <w:p w14:paraId="0AE2D74A">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1.甲方提供厨房、餐厅、全套厨房设备，负责水、电、气燃料及工作服等常规用具；</w:t>
      </w:r>
    </w:p>
    <w:p w14:paraId="27AD2E24">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2.乙方负责厨房设施的维护，若发现人为破坏，乙方需照价赔偿；</w:t>
      </w:r>
    </w:p>
    <w:p w14:paraId="68E8DBBD">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3.甲方自行负责米面、蔬菜、肉、调味品、饮料及用具等原材料的采购供应，乙方根据中方的安水提供所需的各</w:t>
      </w:r>
      <w:r>
        <w:rPr>
          <w:rFonts w:hint="eastAsia" w:ascii="宋体" w:hAnsi="宋体" w:eastAsia="宋体" w:cs="宋体"/>
          <w:b w:val="0"/>
          <w:bCs w:val="0"/>
          <w:sz w:val="21"/>
          <w:szCs w:val="21"/>
          <w:highlight w:val="none"/>
          <w:lang w:val="en-US" w:eastAsia="zh-CN"/>
        </w:rPr>
        <w:t>项</w:t>
      </w:r>
      <w:r>
        <w:rPr>
          <w:rFonts w:hint="eastAsia" w:ascii="宋体" w:hAnsi="宋体" w:eastAsia="宋体" w:cs="宋体"/>
          <w:b w:val="0"/>
          <w:bCs w:val="0"/>
          <w:sz w:val="21"/>
          <w:szCs w:val="21"/>
          <w:highlight w:val="none"/>
          <w:lang w:eastAsia="zh-CN"/>
        </w:rPr>
        <w:t>服务；</w:t>
      </w:r>
    </w:p>
    <w:p w14:paraId="10D90B24">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4.乙方自行安排厨房员工及服务人员，并负责员工的工资及福利待遇；</w:t>
      </w:r>
    </w:p>
    <w:p w14:paraId="7E655ECC">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5.协议期内如必须添置或更换厨房设备，由乙方提出，经甲方同意后由甲方购置，费用由甲方负担；</w:t>
      </w:r>
    </w:p>
    <w:p w14:paraId="183C9D11">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6.协议有效期内，非经甲方同意，乙方不得以任何理由擅自停业。乙方如擅自停业，甲方将视情节轻重，予以罚款或没收</w:t>
      </w:r>
      <w:r>
        <w:rPr>
          <w:rFonts w:hint="eastAsia" w:ascii="宋体" w:hAnsi="宋体" w:eastAsia="宋体" w:cs="宋体"/>
          <w:b w:val="0"/>
          <w:bCs w:val="0"/>
          <w:sz w:val="21"/>
          <w:szCs w:val="21"/>
          <w:highlight w:val="none"/>
          <w:lang w:val="en-US" w:eastAsia="zh-CN"/>
        </w:rPr>
        <w:t>履约</w:t>
      </w:r>
      <w:r>
        <w:rPr>
          <w:rFonts w:hint="eastAsia" w:ascii="宋体" w:hAnsi="宋体" w:eastAsia="宋体" w:cs="宋体"/>
          <w:b w:val="0"/>
          <w:bCs w:val="0"/>
          <w:sz w:val="21"/>
          <w:szCs w:val="21"/>
          <w:highlight w:val="none"/>
          <w:lang w:eastAsia="zh-CN"/>
        </w:rPr>
        <w:t>保证金并解约；</w:t>
      </w:r>
    </w:p>
    <w:p w14:paraId="75A26283">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7.乙方不得擅自将经营权转让，或委托他人经营;如有此类行为甲方无条件终止协议，</w:t>
      </w:r>
      <w:r>
        <w:rPr>
          <w:rFonts w:hint="eastAsia" w:ascii="宋体" w:hAnsi="宋体" w:eastAsia="宋体" w:cs="宋体"/>
          <w:b w:val="0"/>
          <w:bCs w:val="0"/>
          <w:sz w:val="21"/>
          <w:szCs w:val="21"/>
          <w:highlight w:val="none"/>
          <w:lang w:val="en-US" w:eastAsia="zh-CN"/>
        </w:rPr>
        <w:t>履约</w:t>
      </w:r>
      <w:r>
        <w:rPr>
          <w:rFonts w:hint="eastAsia" w:ascii="宋体" w:hAnsi="宋体" w:eastAsia="宋体" w:cs="宋体"/>
          <w:b w:val="0"/>
          <w:bCs w:val="0"/>
          <w:sz w:val="21"/>
          <w:szCs w:val="21"/>
          <w:highlight w:val="none"/>
          <w:lang w:eastAsia="zh-CN"/>
        </w:rPr>
        <w:t>保证金及未结算费用作为违约金赔付甲方，甲方同时保留追究其他责任的权利；</w:t>
      </w:r>
    </w:p>
    <w:p w14:paraId="5828AC00">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8.乙方不得以任何名义及方式，擅自变更食堂的经营范围和业务，如有违反，甲方即终止与乙方之合作协议；</w:t>
      </w:r>
    </w:p>
    <w:p w14:paraId="1C667017">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9.在协议有效期限内，乙方须依照本协议之规定为员工提供饮食，不得以任何名义及方式降低伙食质量。如有违反，甲方有权立即终止与乙方之合作协议，并追索损失；</w:t>
      </w:r>
    </w:p>
    <w:p w14:paraId="745CA68C">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10.乙方须在每周三向甲方提供下周菜单，甲方有权对下一周的菜单进行审核作修改，并在周四前审核完毕，并回传至乙方，乙方应严格按照菜单操作，特殊原因必须变更菜色时，必须事先征得甲方同意；</w:t>
      </w:r>
    </w:p>
    <w:p w14:paraId="004824AE">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1.食堂工作人员开始进入食堂前，须上交身份证复印件并在正规卫生部门取得健康证，若无健康证乙方不得雇用。</w:t>
      </w:r>
      <w:r>
        <w:rPr>
          <w:rFonts w:hint="eastAsia" w:ascii="宋体" w:hAnsi="宋体" w:eastAsia="宋体" w:cs="宋体"/>
          <w:b w:val="0"/>
          <w:bCs w:val="0"/>
          <w:sz w:val="21"/>
          <w:szCs w:val="21"/>
          <w:highlight w:val="none"/>
          <w:lang w:val="en-US" w:eastAsia="zh-CN"/>
        </w:rPr>
        <w:t xml:space="preserve"> </w:t>
      </w:r>
    </w:p>
    <w:p w14:paraId="540A6025">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第七条 乙方工作人员管理雇用员工每年须体检一次，并将结果交甲方负责人查验。凡乙方新雇用人员时应立即通知甲方，新进人员应缴纳健康证明和本人身份证复印件，同时造册报甲方留存；</w:t>
      </w:r>
    </w:p>
    <w:p w14:paraId="21FAF40C">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2.乙方工作人员休息时，不得在厨房内躺卧、睡觉。厨房餐厅、库房内不得摆放个人物品；</w:t>
      </w:r>
    </w:p>
    <w:p w14:paraId="724752AC">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3.乙方及其从业人员不得居住在餐厅或者厨房内，亦不得在食堂内晾晒衣服、鞋袜等；</w:t>
      </w:r>
    </w:p>
    <w:p w14:paraId="39DC59CF">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4.乙方工作人员严禁与甲方员工发生争吵或斗殴事件，若有争执，应立即报由甲方和乙方负责人协商处理；</w:t>
      </w:r>
    </w:p>
    <w:p w14:paraId="6549F270">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5.乙方工作人员，如有服务态度不佳者，经甲方提出事证，乙方应即予以撤换。</w:t>
      </w:r>
    </w:p>
    <w:p w14:paraId="4FC1C939">
      <w:pPr>
        <w:pageBreakBefore w:val="0"/>
        <w:kinsoku/>
        <w:bidi w:val="0"/>
        <w:spacing w:beforeAutospacing="0" w:afterAutospacing="0" w:line="360" w:lineRule="auto"/>
        <w:ind w:left="0" w:leftChars="0" w:right="0" w:right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第八条 乙方不得以甲方名义，对外赊借、借贷金钱或货物。</w:t>
      </w:r>
    </w:p>
    <w:p w14:paraId="241F0403">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凡乙方涉及对外经济上的一切行为，概与甲方无关。</w:t>
      </w:r>
    </w:p>
    <w:p w14:paraId="429B2D5D">
      <w:pPr>
        <w:pageBreakBefore w:val="0"/>
        <w:kinsoku/>
        <w:bidi w:val="0"/>
        <w:spacing w:beforeAutospacing="0" w:afterAutospacing="0" w:line="360" w:lineRule="auto"/>
        <w:ind w:left="0" w:leftChars="0" w:right="0" w:right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第九条 房屋设备设施</w:t>
      </w:r>
    </w:p>
    <w:p w14:paraId="3DF2DFDF">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甲方提供的房屋、设备、设施、食堂工作人员值班宿舍1间，另登记造册，双方签字各持一份，无偿提供乙方使用，乙方必须善尽保管与维护之责。设备紧急故障由双方协商维修，除正常报废期外，如人为操作、保养维护等损由乙方承担维修费用;遗失/损坏照价赔偿;</w:t>
      </w:r>
    </w:p>
    <w:p w14:paraId="0B165235">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eastAsia="zh-CN"/>
        </w:rPr>
        <w:t>2.乙方应做好防火、防滑、防盗措施。若由乙方过失造成甲方损失，乙方应负</w:t>
      </w:r>
      <w:r>
        <w:rPr>
          <w:rFonts w:hint="eastAsia" w:ascii="宋体" w:hAnsi="宋体" w:eastAsia="宋体" w:cs="宋体"/>
          <w:b w:val="0"/>
          <w:bCs w:val="0"/>
          <w:sz w:val="21"/>
          <w:szCs w:val="21"/>
          <w:highlight w:val="none"/>
          <w:lang w:val="en-US" w:eastAsia="zh-CN"/>
        </w:rPr>
        <w:t>全责。</w:t>
      </w:r>
    </w:p>
    <w:p w14:paraId="12118810">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3.乙方如需对食堂内的设施进行变更或移动时，先提出书面申请计划，经甲方同意后方可施工。否则不得变更和移动食堂内所有的设施，以维安全;</w:t>
      </w:r>
    </w:p>
    <w:p w14:paraId="32B2B7AE">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4.乙方增添之设备或装璜，应于终止合约后五日内在甲方监督下自行搬离。未在规定时间内搬离，甲方不负保管之责及可全权处理。而因此所发生的拆运等费用则由乙方支付，或双方约定商讨议价处理;</w:t>
      </w:r>
    </w:p>
    <w:p w14:paraId="112843D8">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5.甲方为乙方提供其所属食堂内的设施，保障水、电、煤气、等能源的正常供应;</w:t>
      </w:r>
    </w:p>
    <w:p w14:paraId="6ABFC8DC">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6.甲方为乙方做好开张前的准备工作，开张后食堂所需要的低值易耗品，由甲方承担。其他厨房设备，经甲乙双方协商确认由甲方购置的，经中心审批后，经费由甲方承担;</w:t>
      </w:r>
    </w:p>
    <w:p w14:paraId="3174A2F1">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7.甲方对乙方提供的设施和设备，要经常进行清洁保养，脱排油烟机一年大清洗不得少于二次，定期捞清下水道杂物与隔油池浮油，使这些设施和设备处于良好工作状态;</w:t>
      </w:r>
    </w:p>
    <w:p w14:paraId="04028FD2">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8.乙方要严格按照设备的操作规程作业，严禁擅自检漏和维修，以防止事故的发生;</w:t>
      </w:r>
    </w:p>
    <w:p w14:paraId="54DE9FE7">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9.乙方的工作人员要遵守甲方的各项规章制度。厨房内不得存放私人物品，不准外来人员擅自进入厨房;</w:t>
      </w:r>
    </w:p>
    <w:p w14:paraId="7F1781FD">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10.在工作完毕后，乙方应关闭食堂内的所有水、电、煤气、蒸汽等能源开关，并关好食堂的所有门窗。</w:t>
      </w:r>
    </w:p>
    <w:p w14:paraId="7583C0A7">
      <w:pPr>
        <w:pageBreakBefore w:val="0"/>
        <w:kinsoku/>
        <w:bidi w:val="0"/>
        <w:spacing w:beforeAutospacing="0" w:afterAutospacing="0" w:line="360" w:lineRule="auto"/>
        <w:ind w:left="0" w:leftChars="0" w:right="0" w:right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第十条:清洁卫生安全</w:t>
      </w:r>
    </w:p>
    <w:p w14:paraId="62C3C0D9">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1.乙方负责食堂餐厅整体建筑的清洁卫生，包括餐厅的餐桌、餐椅、地面、门窗、天花板、厨房间的所有设施等，保证》污渍杂物，排污管无堵塞现象;</w:t>
      </w:r>
    </w:p>
    <w:p w14:paraId="2FEE27DD">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2.乙方每日应对甲方员工就餐后的餐盘、碗筷等进行:清洁残留食物、清洗油污、漂洗、消毒四道工序，保证餐具的清洁和卫生;</w:t>
      </w:r>
    </w:p>
    <w:p w14:paraId="56F8A89E">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3.食堂必须做好留样工作，设立专门的留样柜，每餐留样并贴上日期标示，且至少保留三天;</w:t>
      </w:r>
    </w:p>
    <w:p w14:paraId="79708BA2">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4.乙方要保证厨房内的环境清洁，做好“落手清”工作，保持灶台、工作台和设备的清洁;</w:t>
      </w:r>
    </w:p>
    <w:p w14:paraId="12B5B014">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5.在就餐人员就餐时，乙方要随时做好餐厅内的清洁工作保证地面和桌面的清洁卫生;</w:t>
      </w:r>
    </w:p>
    <w:p w14:paraId="687B866E">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6.乙方要保证食堂周边的环境清洁，做到无烟头、无纸等杂物，不随意晾晒。</w:t>
      </w:r>
    </w:p>
    <w:p w14:paraId="3B6B16CF">
      <w:pPr>
        <w:pageBreakBefore w:val="0"/>
        <w:kinsoku/>
        <w:bidi w:val="0"/>
        <w:spacing w:beforeAutospacing="0" w:afterAutospacing="0" w:line="360" w:lineRule="auto"/>
        <w:ind w:left="0" w:leftChars="0" w:right="0" w:right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第十一条 违约责任</w:t>
      </w:r>
    </w:p>
    <w:p w14:paraId="712468B6">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1.经卫生监督部门鉴定，确认由于乙方加工不洁食品，导致甲方就餐人员发生食物中毒事故，一切医疗费用、罚款及赔偿费用由乙方负责;</w:t>
      </w:r>
    </w:p>
    <w:p w14:paraId="0A3CCF80">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2.由于乙方操作不当，发生重大责任事故，其损失的财产由乙方负责赔偿;</w:t>
      </w:r>
    </w:p>
    <w:p w14:paraId="0EC7B627">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3.乙方工作人员人为损坏甲方提供的设备、设施和器具，由乙方全额赔</w:t>
      </w:r>
    </w:p>
    <w:p w14:paraId="7A4D4DEC">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4.甲方未按本协议规定拨付费用，造成食堂工作人员不能及时到位，影响师生开学就餐的，责任由甲方承担;</w:t>
      </w:r>
    </w:p>
    <w:p w14:paraId="47D3C0BA">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b w:val="0"/>
          <w:bCs w:val="0"/>
          <w:sz w:val="21"/>
          <w:szCs w:val="21"/>
          <w:highlight w:val="none"/>
          <w:lang w:val="en-US" w:eastAsia="zh-CN"/>
        </w:rPr>
        <w:t>5.本协议签订后任何一方不准单方擅自终止协议，如确需提前终止协议，应提前30天书面通知对方，对方同意后，可解除协议，但需支付违约金</w:t>
      </w:r>
      <w:r>
        <w:rPr>
          <w:rFonts w:hint="eastAsia" w:ascii="宋体" w:hAnsi="宋体" w:eastAsia="宋体" w:cs="宋体"/>
          <w:b/>
          <w:bCs/>
          <w:color w:val="auto"/>
          <w:sz w:val="21"/>
          <w:szCs w:val="21"/>
          <w:highlight w:val="none"/>
          <w:u w:val="single"/>
          <w:lang w:val="en-US" w:eastAsia="zh-CN"/>
        </w:rPr>
        <w:t xml:space="preserve">壹拾 </w:t>
      </w:r>
      <w:r>
        <w:rPr>
          <w:rFonts w:hint="eastAsia" w:ascii="宋体" w:hAnsi="宋体" w:eastAsia="宋体" w:cs="宋体"/>
          <w:b w:val="0"/>
          <w:bCs w:val="0"/>
          <w:color w:val="auto"/>
          <w:sz w:val="21"/>
          <w:szCs w:val="21"/>
          <w:highlight w:val="none"/>
          <w:lang w:val="en-US" w:eastAsia="zh-CN"/>
        </w:rPr>
        <w:t>万元。</w:t>
      </w:r>
    </w:p>
    <w:p w14:paraId="3C130139">
      <w:pPr>
        <w:pageBreakBefore w:val="0"/>
        <w:kinsoku/>
        <w:bidi w:val="0"/>
        <w:spacing w:beforeAutospacing="0" w:afterAutospacing="0" w:line="360" w:lineRule="auto"/>
        <w:ind w:left="0" w:leftChars="0" w:right="0" w:right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第十二条 甲乙双方的权利和义务</w:t>
      </w:r>
    </w:p>
    <w:p w14:paraId="575AB9EB">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1.甲方按合同规定监督乙方管理服务、履行协议，并做好协调工作。负责提供每日就餐人数，如有较大人员变动应提前二天通知乙方；</w:t>
      </w:r>
    </w:p>
    <w:p w14:paraId="46F09DD9">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2.甲方有权对乙方的饭菜品种供应、营养搭配、服务水平及,卫生状况进行监督，并有权要求乙方及时整改；</w:t>
      </w:r>
    </w:p>
    <w:p w14:paraId="2F56D29F">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3.甲方可根据实际需要，向乙方提出变更就餐时间，乙方应于积极配合，并须准时开餐，做到饭热菜香；</w:t>
      </w:r>
    </w:p>
    <w:p w14:paraId="0C70A6D5">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4.乙方负责食堂的服务管理，具体包括食堂人事、菜肴的搭配与制作、厨房、餐厅、厕所、楼梯等食堂环境的清洁等。应严格按照本协议约定的要求和甲方伙食标准为甲方提供相关服务；</w:t>
      </w:r>
    </w:p>
    <w:p w14:paraId="53A9827B">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5.乙方管理的食堂以服务学校为唯一目的，不可营利，不允许对外营业，不准改变用途，不准转包；</w:t>
      </w:r>
    </w:p>
    <w:p w14:paraId="4C3710E5">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6.要做到环境优雅、食品卫生，质量精，秩序好，并注意做好勤俭节约工作，确保校园安静、安全；</w:t>
      </w:r>
    </w:p>
    <w:p w14:paraId="47E09C18">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7.自觉服从甲方的管理，并接受主管部门的监督和指导；</w:t>
      </w:r>
    </w:p>
    <w:p w14:paraId="42CFC00A">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8.保证甲方人员就餐，让甲方就餐人员在用餐时间内随时用餐。并做到新鲜可口、营养搭配好；</w:t>
      </w:r>
    </w:p>
    <w:p w14:paraId="71F5866B">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9.协议期内，食堂消防、安全、卫生等由乙方负责。如因乙方责任发生火灾、食物中毒、环境污染、安全等事故，所有损失由乙方承担，并依照相关法律追究责任；</w:t>
      </w:r>
    </w:p>
    <w:p w14:paraId="778E9A9F">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10.餐后认真清洗餐具做好消毒工作，并做好消除蚊、蝇、鼠害等工作；</w:t>
      </w:r>
    </w:p>
    <w:p w14:paraId="6FC75545">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11.乙方建立健全专业队伍，做好食堂各项管理工作。进一步完善台账记录资料，接受监督检查，积极配合校方制定食堂相关规章制度；</w:t>
      </w:r>
    </w:p>
    <w:p w14:paraId="4168BE65">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12.乙方确保，甲方师生用餐期间饭菜温热，不得出现冷菜冷饭现象，甲方有个别班级需要送餐，乙方应积极配合保证准时准点将饭菜送到指定地点，餐后将所有餐具、剩饭菜进行回收；</w:t>
      </w:r>
    </w:p>
    <w:p w14:paraId="20D55A28">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13.工作期间，乙方派遣人员统一着装。</w:t>
      </w:r>
    </w:p>
    <w:p w14:paraId="7EC839C4">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第十三条 付款方式:</w:t>
      </w:r>
    </w:p>
    <w:p w14:paraId="1D3591B8">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1.本协议服务费用</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lang w:val="en-US" w:eastAsia="zh-CN"/>
        </w:rPr>
        <w:t>;</w:t>
      </w:r>
    </w:p>
    <w:p w14:paraId="64C3442D">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lang w:val="en-US" w:eastAsia="zh-CN"/>
        </w:rPr>
        <w:t>2.本协议履行期间，</w:t>
      </w:r>
      <w:r>
        <w:rPr>
          <w:rFonts w:hint="eastAsia" w:ascii="宋体" w:hAnsi="宋体" w:eastAsia="宋体" w:cs="宋体"/>
          <w:b w:val="0"/>
          <w:bCs w:val="0"/>
          <w:color w:val="auto"/>
          <w:sz w:val="21"/>
          <w:szCs w:val="21"/>
          <w:highlight w:val="none"/>
          <w:lang w:val="en-US" w:eastAsia="zh-CN"/>
        </w:rPr>
        <w:t>根据甲方管理要求，食堂派遣人员工资分为基础性工资和奖励性工资两部分，基础性工资占比为90%(</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)，按照劳务派遣协议规定两次拨付乙方，奖励性工资占比10%(</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)，由学校对食堂派遣人员进行考核发放;</w:t>
      </w:r>
    </w:p>
    <w:p w14:paraId="278D7558">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3.甲方支付协议约定费用应在双方签订协议并在教育局拨款到学校账上后7日内，且在本协议签字之日起10日内，先期向乙方拨付基础性工资的60%为</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;协议执行两月后拨付基础性工资的40%为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;协议执行最后一个月，学校根据考核情况拨付奖励性工资10%(</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w:t>
      </w:r>
    </w:p>
    <w:p w14:paraId="50771D06">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4.甲方以银行转账方式向乙方支付费用(含工资、保险服务费)，乙方</w:t>
      </w:r>
      <w:r>
        <w:rPr>
          <w:rFonts w:hint="eastAsia" w:ascii="宋体" w:hAnsi="宋体" w:eastAsia="宋体" w:cs="宋体"/>
          <w:b w:val="0"/>
          <w:bCs w:val="0"/>
          <w:sz w:val="21"/>
          <w:szCs w:val="21"/>
          <w:highlight w:val="none"/>
          <w:lang w:val="en-US" w:eastAsia="zh-CN"/>
        </w:rPr>
        <w:t>指定银行收款账户信息如下:</w:t>
      </w:r>
    </w:p>
    <w:p w14:paraId="15C6500B">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账户名称:</w:t>
      </w:r>
      <w:r>
        <w:rPr>
          <w:rFonts w:hint="eastAsia" w:ascii="宋体" w:hAnsi="宋体" w:eastAsia="宋体" w:cs="宋体"/>
          <w:b w:val="0"/>
          <w:bCs w:val="0"/>
          <w:sz w:val="21"/>
          <w:szCs w:val="21"/>
          <w:highlight w:val="none"/>
          <w:u w:val="single"/>
          <w:lang w:val="en-US" w:eastAsia="zh-CN"/>
        </w:rPr>
        <w:t xml:space="preserve">                </w:t>
      </w:r>
    </w:p>
    <w:p w14:paraId="38413A0C">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lang w:val="en-US" w:eastAsia="zh-CN"/>
        </w:rPr>
        <w:t>银行卡号:</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lang w:val="en-US" w:eastAsia="zh-CN"/>
        </w:rPr>
        <w:t>开户银行:</w:t>
      </w:r>
      <w:r>
        <w:rPr>
          <w:rFonts w:hint="eastAsia" w:ascii="宋体" w:hAnsi="宋体" w:eastAsia="宋体" w:cs="宋体"/>
          <w:b w:val="0"/>
          <w:bCs w:val="0"/>
          <w:sz w:val="21"/>
          <w:szCs w:val="21"/>
          <w:highlight w:val="none"/>
          <w:u w:val="single"/>
          <w:lang w:val="en-US" w:eastAsia="zh-CN"/>
        </w:rPr>
        <w:t xml:space="preserve">                </w:t>
      </w:r>
    </w:p>
    <w:p w14:paraId="22646B1A">
      <w:pPr>
        <w:pageBreakBefore w:val="0"/>
        <w:kinsoku/>
        <w:bidi w:val="0"/>
        <w:spacing w:beforeAutospacing="0" w:afterAutospacing="0" w:line="360" w:lineRule="auto"/>
        <w:ind w:left="0" w:leftChars="0" w:right="0" w:right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第十四条 接受监督检查</w:t>
      </w:r>
    </w:p>
    <w:p w14:paraId="4965FE74">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乙方负责与政府相关机构针对本协议履行的事物处理，包括卫生防疫，消防安全及劳动保护等事宜，并配合相关部门做好迎检工作。</w:t>
      </w:r>
    </w:p>
    <w:p w14:paraId="15D64CF0">
      <w:pPr>
        <w:pageBreakBefore w:val="0"/>
        <w:kinsoku/>
        <w:bidi w:val="0"/>
        <w:spacing w:beforeAutospacing="0" w:afterAutospacing="0" w:line="360" w:lineRule="auto"/>
        <w:ind w:left="0" w:leftChars="0" w:right="0" w:right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第十五条 争议解决</w:t>
      </w:r>
    </w:p>
    <w:p w14:paraId="0E7BD787">
      <w:pPr>
        <w:pageBreakBefore w:val="0"/>
        <w:kinsoku/>
        <w:bidi w:val="0"/>
        <w:spacing w:beforeAutospacing="0" w:afterAutospacing="0" w:line="360" w:lineRule="auto"/>
        <w:ind w:left="0" w:leftChars="0" w:right="0" w:rightChars="0" w:firstLine="630" w:firstLineChars="3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本协议在履行过程中发生争议及未尽事宜，按《中华人民共和国合同法》相关规定处理，法律法规没有明确规定的由双方协商解决。</w:t>
      </w:r>
    </w:p>
    <w:p w14:paraId="7153D448">
      <w:pPr>
        <w:pageBreakBefore w:val="0"/>
        <w:kinsoku/>
        <w:bidi w:val="0"/>
        <w:spacing w:beforeAutospacing="0" w:afterAutospacing="0" w:line="360" w:lineRule="auto"/>
        <w:ind w:left="0" w:leftChars="0" w:right="0" w:right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第十六条 其他</w:t>
      </w:r>
    </w:p>
    <w:p w14:paraId="3A054E25">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1.所附的高新四小食堂餐饮服务管理采购项目</w:t>
      </w:r>
      <w:r>
        <w:rPr>
          <w:rFonts w:hint="eastAsia" w:ascii="宋体" w:hAnsi="宋体" w:cs="宋体"/>
          <w:b w:val="0"/>
          <w:bCs w:val="0"/>
          <w:sz w:val="21"/>
          <w:szCs w:val="21"/>
          <w:highlight w:val="none"/>
          <w:lang w:val="en-US" w:eastAsia="zh-CN"/>
        </w:rPr>
        <w:t>招标</w:t>
      </w:r>
      <w:r>
        <w:rPr>
          <w:rFonts w:hint="eastAsia" w:ascii="宋体" w:hAnsi="宋体" w:eastAsia="宋体" w:cs="宋体"/>
          <w:b w:val="0"/>
          <w:bCs w:val="0"/>
          <w:sz w:val="21"/>
          <w:szCs w:val="21"/>
          <w:highlight w:val="none"/>
          <w:lang w:val="en-US" w:eastAsia="zh-CN"/>
        </w:rPr>
        <w:t>文件和高新四小食堂餐饮服务管理采购项目响应文件作为本合同内容的一部分，同等有效；</w:t>
      </w:r>
    </w:p>
    <w:p w14:paraId="6D0EC751">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本协议经双方在平等协商的基础上签订，双方应遵守本协议条款。甲、乙双方一方拟变更本协议内容时，应提前一个月通知对方，双方在协商一致的基础上，可对本合同进行修改，达成的补充协议与本协议具有同等法律效力；</w:t>
      </w:r>
    </w:p>
    <w:p w14:paraId="622C49EA">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3.甲方违反本合同约定的义务，致使乙方不能完成本协议约定的服务内容和标准的，乙方有权要求甲方承担违约与赔偿责任或终止协议；</w:t>
      </w:r>
    </w:p>
    <w:p w14:paraId="54D15221">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4.乙方未能履行协议义务，不能达到甲方要求的管理目标，甲方有权要求乙方承担违约金，造成甲方损失的，甲方有权要求乙方赔偿责任或终止协议；</w:t>
      </w:r>
    </w:p>
    <w:p w14:paraId="69C96F1D">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5.因不可抗力原因造成损失时，乙方不承担甲方房产和设施的经济损失；</w:t>
      </w:r>
    </w:p>
    <w:p w14:paraId="19DED2F7">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协议期满自然终止，乙方必须在协议期满前5天无条件移交房屋及有关设备，乙方若需继续进行本次采购内容，可在规定合同期满前60日内向甲方提出书面申请。在学校学生满意度调查达到要求，考核合格后方可继续签订下一年的协议；</w:t>
      </w:r>
    </w:p>
    <w:p w14:paraId="24473F95">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7.本协议壹式伍份，甲、乙方各执贰份，甲方上级部门备案壹份，且具有同等法律效力；</w:t>
      </w:r>
    </w:p>
    <w:p w14:paraId="74217C37">
      <w:pPr>
        <w:pageBreakBefore w:val="0"/>
        <w:kinsoku/>
        <w:bidi w:val="0"/>
        <w:spacing w:beforeAutospacing="0" w:afterAutospacing="0" w:line="360" w:lineRule="auto"/>
        <w:ind w:left="0" w:leftChars="0" w:right="0" w:righ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8.本协议中未详尽的事宜，由甲、乙双方协商解决:</w:t>
      </w:r>
    </w:p>
    <w:tbl>
      <w:tblPr>
        <w:tblStyle w:val="43"/>
        <w:tblW w:w="9218" w:type="dxa"/>
        <w:jc w:val="center"/>
        <w:tblLayout w:type="fixed"/>
        <w:tblCellMar>
          <w:top w:w="0" w:type="dxa"/>
          <w:left w:w="108" w:type="dxa"/>
          <w:bottom w:w="0" w:type="dxa"/>
          <w:right w:w="108" w:type="dxa"/>
        </w:tblCellMar>
      </w:tblPr>
      <w:tblGrid>
        <w:gridCol w:w="1486"/>
        <w:gridCol w:w="2553"/>
        <w:gridCol w:w="2111"/>
        <w:gridCol w:w="3068"/>
      </w:tblGrid>
      <w:tr w14:paraId="42E3863E">
        <w:tblPrEx>
          <w:tblCellMar>
            <w:top w:w="0" w:type="dxa"/>
            <w:left w:w="108" w:type="dxa"/>
            <w:bottom w:w="0" w:type="dxa"/>
            <w:right w:w="108" w:type="dxa"/>
          </w:tblCellMar>
        </w:tblPrEx>
        <w:trPr>
          <w:cantSplit/>
          <w:trHeight w:val="601" w:hRule="atLeast"/>
          <w:jc w:val="center"/>
        </w:trPr>
        <w:tc>
          <w:tcPr>
            <w:tcW w:w="1486" w:type="dxa"/>
            <w:shd w:val="clear" w:color="auto" w:fill="auto"/>
            <w:vAlign w:val="center"/>
          </w:tcPr>
          <w:p w14:paraId="17871B00">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w:t>
            </w:r>
          </w:p>
        </w:tc>
        <w:tc>
          <w:tcPr>
            <w:tcW w:w="2553" w:type="dxa"/>
            <w:shd w:val="clear" w:color="auto" w:fill="auto"/>
            <w:vAlign w:val="center"/>
          </w:tcPr>
          <w:p w14:paraId="144A3681">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input689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r>
              <w:rPr>
                <w:rFonts w:hint="eastAsia" w:ascii="宋体" w:hAnsi="宋体" w:eastAsia="宋体" w:cs="宋体"/>
                <w:color w:val="auto"/>
                <w:kern w:val="0"/>
                <w:sz w:val="21"/>
                <w:szCs w:val="21"/>
                <w:highlight w:val="none"/>
              </w:rPr>
              <w:t>(公章)</w:t>
            </w:r>
          </w:p>
        </w:tc>
        <w:tc>
          <w:tcPr>
            <w:tcW w:w="2111" w:type="dxa"/>
            <w:shd w:val="clear" w:color="auto" w:fill="auto"/>
            <w:vAlign w:val="center"/>
          </w:tcPr>
          <w:p w14:paraId="74E6C5CB">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w:t>
            </w:r>
          </w:p>
        </w:tc>
        <w:tc>
          <w:tcPr>
            <w:tcW w:w="3068" w:type="dxa"/>
            <w:shd w:val="clear" w:color="auto" w:fill="auto"/>
            <w:vAlign w:val="center"/>
          </w:tcPr>
          <w:p w14:paraId="0BC2B0FB">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input690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r>
              <w:rPr>
                <w:rFonts w:hint="eastAsia" w:ascii="宋体" w:hAnsi="宋体" w:eastAsia="宋体" w:cs="宋体"/>
                <w:color w:val="auto"/>
                <w:kern w:val="0"/>
                <w:sz w:val="21"/>
                <w:szCs w:val="21"/>
                <w:highlight w:val="none"/>
              </w:rPr>
              <w:t>(公章)</w:t>
            </w:r>
          </w:p>
        </w:tc>
      </w:tr>
      <w:tr w14:paraId="7E8959FA">
        <w:tblPrEx>
          <w:tblCellMar>
            <w:top w:w="0" w:type="dxa"/>
            <w:left w:w="108" w:type="dxa"/>
            <w:bottom w:w="0" w:type="dxa"/>
            <w:right w:w="108" w:type="dxa"/>
          </w:tblCellMar>
        </w:tblPrEx>
        <w:trPr>
          <w:cantSplit/>
          <w:trHeight w:val="1201" w:hRule="atLeast"/>
          <w:jc w:val="center"/>
        </w:trPr>
        <w:tc>
          <w:tcPr>
            <w:tcW w:w="1486" w:type="dxa"/>
            <w:shd w:val="clear" w:color="auto" w:fill="auto"/>
            <w:vAlign w:val="center"/>
          </w:tcPr>
          <w:p w14:paraId="59863175">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法定代表人或其委托代理人：</w:t>
            </w:r>
          </w:p>
        </w:tc>
        <w:tc>
          <w:tcPr>
            <w:tcW w:w="2553" w:type="dxa"/>
            <w:shd w:val="clear" w:color="auto" w:fill="auto"/>
            <w:vAlign w:val="center"/>
          </w:tcPr>
          <w:p w14:paraId="23F9C633">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input691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r>
              <w:rPr>
                <w:rFonts w:hint="eastAsia" w:ascii="宋体" w:hAnsi="宋体" w:eastAsia="宋体" w:cs="宋体"/>
                <w:color w:val="auto"/>
                <w:kern w:val="0"/>
                <w:sz w:val="21"/>
                <w:szCs w:val="21"/>
                <w:highlight w:val="none"/>
              </w:rPr>
              <w:t>（签字）</w:t>
            </w:r>
          </w:p>
        </w:tc>
        <w:tc>
          <w:tcPr>
            <w:tcW w:w="2111" w:type="dxa"/>
            <w:shd w:val="clear" w:color="auto" w:fill="auto"/>
            <w:vAlign w:val="center"/>
          </w:tcPr>
          <w:p w14:paraId="751F73C5">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法定代表人或其委托代理人：</w:t>
            </w:r>
          </w:p>
        </w:tc>
        <w:tc>
          <w:tcPr>
            <w:tcW w:w="3068" w:type="dxa"/>
            <w:shd w:val="clear" w:color="auto" w:fill="auto"/>
            <w:vAlign w:val="center"/>
          </w:tcPr>
          <w:p w14:paraId="5B7E26F2">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input692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r>
              <w:rPr>
                <w:rFonts w:hint="eastAsia" w:ascii="宋体" w:hAnsi="宋体" w:eastAsia="宋体" w:cs="宋体"/>
                <w:color w:val="auto"/>
                <w:kern w:val="0"/>
                <w:sz w:val="21"/>
                <w:szCs w:val="21"/>
                <w:highlight w:val="none"/>
              </w:rPr>
              <w:t>（签字）</w:t>
            </w:r>
          </w:p>
        </w:tc>
      </w:tr>
      <w:tr w14:paraId="7CDF9740">
        <w:tblPrEx>
          <w:tblCellMar>
            <w:top w:w="0" w:type="dxa"/>
            <w:left w:w="108" w:type="dxa"/>
            <w:bottom w:w="0" w:type="dxa"/>
            <w:right w:w="108" w:type="dxa"/>
          </w:tblCellMar>
        </w:tblPrEx>
        <w:trPr>
          <w:cantSplit/>
          <w:trHeight w:val="601" w:hRule="atLeast"/>
          <w:jc w:val="center"/>
        </w:trPr>
        <w:tc>
          <w:tcPr>
            <w:tcW w:w="1486" w:type="dxa"/>
            <w:shd w:val="clear" w:color="auto" w:fill="auto"/>
            <w:vAlign w:val="center"/>
          </w:tcPr>
          <w:p w14:paraId="57B6E37A">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kern w:val="0"/>
                <w:sz w:val="21"/>
                <w:szCs w:val="21"/>
                <w:highlight w:val="none"/>
              </w:rPr>
              <w:t>：</w:t>
            </w:r>
          </w:p>
        </w:tc>
        <w:tc>
          <w:tcPr>
            <w:tcW w:w="2553" w:type="dxa"/>
            <w:shd w:val="clear" w:color="auto" w:fill="auto"/>
            <w:vAlign w:val="center"/>
          </w:tcPr>
          <w:p w14:paraId="70A0AFC3">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input59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c>
          <w:tcPr>
            <w:tcW w:w="2111" w:type="dxa"/>
            <w:shd w:val="clear" w:color="auto" w:fill="auto"/>
            <w:vAlign w:val="center"/>
          </w:tcPr>
          <w:p w14:paraId="4B0B2586">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kern w:val="0"/>
                <w:sz w:val="21"/>
                <w:szCs w:val="21"/>
                <w:highlight w:val="none"/>
              </w:rPr>
              <w:t>：</w:t>
            </w:r>
          </w:p>
        </w:tc>
        <w:tc>
          <w:tcPr>
            <w:tcW w:w="3068" w:type="dxa"/>
            <w:shd w:val="clear" w:color="auto" w:fill="auto"/>
            <w:vAlign w:val="center"/>
          </w:tcPr>
          <w:p w14:paraId="67C91E43">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input60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r>
      <w:tr w14:paraId="12C05494">
        <w:tblPrEx>
          <w:tblCellMar>
            <w:top w:w="0" w:type="dxa"/>
            <w:left w:w="108" w:type="dxa"/>
            <w:bottom w:w="0" w:type="dxa"/>
            <w:right w:w="108" w:type="dxa"/>
          </w:tblCellMar>
        </w:tblPrEx>
        <w:trPr>
          <w:cantSplit/>
          <w:trHeight w:val="601" w:hRule="atLeast"/>
          <w:jc w:val="center"/>
        </w:trPr>
        <w:tc>
          <w:tcPr>
            <w:tcW w:w="1486" w:type="dxa"/>
            <w:shd w:val="clear" w:color="auto" w:fill="auto"/>
            <w:vAlign w:val="center"/>
          </w:tcPr>
          <w:p w14:paraId="242E4A1F">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p>
        </w:tc>
        <w:tc>
          <w:tcPr>
            <w:tcW w:w="2553" w:type="dxa"/>
            <w:shd w:val="clear" w:color="auto" w:fill="auto"/>
            <w:vAlign w:val="center"/>
          </w:tcPr>
          <w:p w14:paraId="7D63B645">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input61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c>
          <w:tcPr>
            <w:tcW w:w="2111" w:type="dxa"/>
            <w:shd w:val="clear" w:color="auto" w:fill="auto"/>
            <w:vAlign w:val="center"/>
          </w:tcPr>
          <w:p w14:paraId="245D37BC">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p>
        </w:tc>
        <w:tc>
          <w:tcPr>
            <w:tcW w:w="3068" w:type="dxa"/>
            <w:shd w:val="clear" w:color="auto" w:fill="auto"/>
            <w:vAlign w:val="center"/>
          </w:tcPr>
          <w:p w14:paraId="7D3A6E32">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input62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r>
      <w:tr w14:paraId="03236255">
        <w:tblPrEx>
          <w:tblCellMar>
            <w:top w:w="0" w:type="dxa"/>
            <w:left w:w="108" w:type="dxa"/>
            <w:bottom w:w="0" w:type="dxa"/>
            <w:right w:w="108" w:type="dxa"/>
          </w:tblCellMar>
        </w:tblPrEx>
        <w:trPr>
          <w:cantSplit/>
          <w:trHeight w:val="601" w:hRule="atLeast"/>
          <w:jc w:val="center"/>
        </w:trPr>
        <w:tc>
          <w:tcPr>
            <w:tcW w:w="1486" w:type="dxa"/>
            <w:shd w:val="clear" w:color="auto" w:fill="auto"/>
            <w:vAlign w:val="center"/>
          </w:tcPr>
          <w:p w14:paraId="193E58AD">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kern w:val="0"/>
                <w:sz w:val="21"/>
                <w:szCs w:val="21"/>
                <w:highlight w:val="none"/>
              </w:rPr>
              <w:t>：</w:t>
            </w:r>
          </w:p>
        </w:tc>
        <w:tc>
          <w:tcPr>
            <w:tcW w:w="2553" w:type="dxa"/>
            <w:shd w:val="clear" w:color="auto" w:fill="auto"/>
            <w:vAlign w:val="center"/>
          </w:tcPr>
          <w:p w14:paraId="48B81592">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input63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c>
          <w:tcPr>
            <w:tcW w:w="2111" w:type="dxa"/>
            <w:shd w:val="clear" w:color="auto" w:fill="auto"/>
            <w:vAlign w:val="center"/>
          </w:tcPr>
          <w:p w14:paraId="7EBBE112">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kern w:val="0"/>
                <w:sz w:val="21"/>
                <w:szCs w:val="21"/>
                <w:highlight w:val="none"/>
              </w:rPr>
              <w:t>：</w:t>
            </w:r>
          </w:p>
        </w:tc>
        <w:tc>
          <w:tcPr>
            <w:tcW w:w="3068" w:type="dxa"/>
            <w:shd w:val="clear" w:color="auto" w:fill="auto"/>
            <w:vAlign w:val="center"/>
          </w:tcPr>
          <w:p w14:paraId="204C4FCF">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input64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r>
      <w:tr w14:paraId="44E644F6">
        <w:tblPrEx>
          <w:tblCellMar>
            <w:top w:w="0" w:type="dxa"/>
            <w:left w:w="108" w:type="dxa"/>
            <w:bottom w:w="0" w:type="dxa"/>
            <w:right w:w="108" w:type="dxa"/>
          </w:tblCellMar>
        </w:tblPrEx>
        <w:trPr>
          <w:cantSplit/>
          <w:trHeight w:val="601" w:hRule="atLeast"/>
          <w:jc w:val="center"/>
        </w:trPr>
        <w:tc>
          <w:tcPr>
            <w:tcW w:w="1486" w:type="dxa"/>
            <w:shd w:val="clear" w:color="auto" w:fill="auto"/>
            <w:vAlign w:val="center"/>
          </w:tcPr>
          <w:p w14:paraId="3DCFB020">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kern w:val="0"/>
                <w:sz w:val="21"/>
                <w:szCs w:val="21"/>
                <w:highlight w:val="none"/>
              </w:rPr>
              <w:t>：</w:t>
            </w:r>
          </w:p>
        </w:tc>
        <w:tc>
          <w:tcPr>
            <w:tcW w:w="2553" w:type="dxa"/>
            <w:shd w:val="clear" w:color="auto" w:fill="auto"/>
            <w:vAlign w:val="center"/>
          </w:tcPr>
          <w:p w14:paraId="31C2CB38">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input65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c>
          <w:tcPr>
            <w:tcW w:w="2111" w:type="dxa"/>
            <w:shd w:val="clear" w:color="auto" w:fill="auto"/>
            <w:vAlign w:val="center"/>
          </w:tcPr>
          <w:p w14:paraId="0BD15BB4">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kern w:val="0"/>
                <w:sz w:val="21"/>
                <w:szCs w:val="21"/>
                <w:highlight w:val="none"/>
              </w:rPr>
              <w:t>：</w:t>
            </w:r>
          </w:p>
        </w:tc>
        <w:tc>
          <w:tcPr>
            <w:tcW w:w="3068" w:type="dxa"/>
            <w:shd w:val="clear" w:color="auto" w:fill="auto"/>
            <w:vAlign w:val="center"/>
          </w:tcPr>
          <w:p w14:paraId="2CA45DA1">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input66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r>
      <w:tr w14:paraId="1C80EA4A">
        <w:tblPrEx>
          <w:tblCellMar>
            <w:top w:w="0" w:type="dxa"/>
            <w:left w:w="108" w:type="dxa"/>
            <w:bottom w:w="0" w:type="dxa"/>
            <w:right w:w="108" w:type="dxa"/>
          </w:tblCellMar>
        </w:tblPrEx>
        <w:trPr>
          <w:cantSplit/>
          <w:trHeight w:val="601" w:hRule="atLeast"/>
          <w:jc w:val="center"/>
        </w:trPr>
        <w:tc>
          <w:tcPr>
            <w:tcW w:w="1486" w:type="dxa"/>
            <w:shd w:val="clear" w:color="auto" w:fill="auto"/>
            <w:vAlign w:val="center"/>
          </w:tcPr>
          <w:p w14:paraId="29C0A2A8">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委托代理人：</w:t>
            </w:r>
          </w:p>
        </w:tc>
        <w:tc>
          <w:tcPr>
            <w:tcW w:w="2553" w:type="dxa"/>
            <w:shd w:val="clear" w:color="auto" w:fill="auto"/>
            <w:vAlign w:val="center"/>
          </w:tcPr>
          <w:p w14:paraId="76B96338">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input65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c>
          <w:tcPr>
            <w:tcW w:w="2111" w:type="dxa"/>
            <w:shd w:val="clear" w:color="auto" w:fill="auto"/>
            <w:vAlign w:val="center"/>
          </w:tcPr>
          <w:p w14:paraId="0E0F38AB">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委托代理人：</w:t>
            </w:r>
          </w:p>
        </w:tc>
        <w:tc>
          <w:tcPr>
            <w:tcW w:w="3068" w:type="dxa"/>
            <w:shd w:val="clear" w:color="auto" w:fill="auto"/>
            <w:vAlign w:val="center"/>
          </w:tcPr>
          <w:p w14:paraId="7A0C984B">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input65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r>
      <w:tr w14:paraId="3001C4A8">
        <w:tblPrEx>
          <w:tblCellMar>
            <w:top w:w="0" w:type="dxa"/>
            <w:left w:w="108" w:type="dxa"/>
            <w:bottom w:w="0" w:type="dxa"/>
            <w:right w:w="108" w:type="dxa"/>
          </w:tblCellMar>
        </w:tblPrEx>
        <w:trPr>
          <w:cantSplit/>
          <w:trHeight w:val="601" w:hRule="atLeast"/>
          <w:jc w:val="center"/>
        </w:trPr>
        <w:tc>
          <w:tcPr>
            <w:tcW w:w="1486" w:type="dxa"/>
            <w:shd w:val="clear" w:color="auto" w:fill="auto"/>
            <w:vAlign w:val="center"/>
          </w:tcPr>
          <w:p w14:paraId="599D81AF">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p>
        </w:tc>
        <w:tc>
          <w:tcPr>
            <w:tcW w:w="2553" w:type="dxa"/>
            <w:shd w:val="clear" w:color="auto" w:fill="auto"/>
            <w:vAlign w:val="center"/>
          </w:tcPr>
          <w:p w14:paraId="23094692">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input67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c>
          <w:tcPr>
            <w:tcW w:w="2111" w:type="dxa"/>
            <w:shd w:val="clear" w:color="auto" w:fill="auto"/>
            <w:vAlign w:val="center"/>
          </w:tcPr>
          <w:p w14:paraId="75E72526">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p>
        </w:tc>
        <w:tc>
          <w:tcPr>
            <w:tcW w:w="3068" w:type="dxa"/>
            <w:shd w:val="clear" w:color="auto" w:fill="auto"/>
            <w:vAlign w:val="center"/>
          </w:tcPr>
          <w:p w14:paraId="6E893491">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input68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r>
      <w:tr w14:paraId="3B4C5DF3">
        <w:tblPrEx>
          <w:tblCellMar>
            <w:top w:w="0" w:type="dxa"/>
            <w:left w:w="108" w:type="dxa"/>
            <w:bottom w:w="0" w:type="dxa"/>
            <w:right w:w="108" w:type="dxa"/>
          </w:tblCellMar>
        </w:tblPrEx>
        <w:trPr>
          <w:cantSplit/>
          <w:trHeight w:val="601" w:hRule="atLeast"/>
          <w:jc w:val="center"/>
        </w:trPr>
        <w:tc>
          <w:tcPr>
            <w:tcW w:w="1486" w:type="dxa"/>
            <w:shd w:val="clear" w:color="auto" w:fill="auto"/>
            <w:vAlign w:val="center"/>
          </w:tcPr>
          <w:p w14:paraId="0FE3E030">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p>
        </w:tc>
        <w:tc>
          <w:tcPr>
            <w:tcW w:w="2553" w:type="dxa"/>
            <w:shd w:val="clear" w:color="auto" w:fill="auto"/>
            <w:vAlign w:val="center"/>
          </w:tcPr>
          <w:p w14:paraId="4F65D405">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input69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c>
          <w:tcPr>
            <w:tcW w:w="2111" w:type="dxa"/>
            <w:shd w:val="clear" w:color="auto" w:fill="auto"/>
            <w:vAlign w:val="center"/>
          </w:tcPr>
          <w:p w14:paraId="26FF5C88">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p>
        </w:tc>
        <w:tc>
          <w:tcPr>
            <w:tcW w:w="3068" w:type="dxa"/>
            <w:shd w:val="clear" w:color="auto" w:fill="auto"/>
            <w:vAlign w:val="center"/>
          </w:tcPr>
          <w:p w14:paraId="112882C7">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input70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r>
      <w:tr w14:paraId="3E2057F9">
        <w:tblPrEx>
          <w:tblCellMar>
            <w:top w:w="0" w:type="dxa"/>
            <w:left w:w="108" w:type="dxa"/>
            <w:bottom w:w="0" w:type="dxa"/>
            <w:right w:w="108" w:type="dxa"/>
          </w:tblCellMar>
        </w:tblPrEx>
        <w:trPr>
          <w:cantSplit/>
          <w:trHeight w:val="601" w:hRule="atLeast"/>
          <w:jc w:val="center"/>
        </w:trPr>
        <w:tc>
          <w:tcPr>
            <w:tcW w:w="1486" w:type="dxa"/>
            <w:shd w:val="clear" w:color="auto" w:fill="auto"/>
            <w:vAlign w:val="center"/>
          </w:tcPr>
          <w:p w14:paraId="74FD6350">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p>
        </w:tc>
        <w:tc>
          <w:tcPr>
            <w:tcW w:w="2553" w:type="dxa"/>
            <w:shd w:val="clear" w:color="auto" w:fill="auto"/>
            <w:vAlign w:val="center"/>
          </w:tcPr>
          <w:p w14:paraId="65AC16DD">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input71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c>
          <w:tcPr>
            <w:tcW w:w="2111" w:type="dxa"/>
            <w:shd w:val="clear" w:color="auto" w:fill="auto"/>
            <w:vAlign w:val="center"/>
          </w:tcPr>
          <w:p w14:paraId="0721AE23">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p>
        </w:tc>
        <w:tc>
          <w:tcPr>
            <w:tcW w:w="3068" w:type="dxa"/>
            <w:shd w:val="clear" w:color="auto" w:fill="auto"/>
            <w:vAlign w:val="center"/>
          </w:tcPr>
          <w:p w14:paraId="4AECFB23">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input72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r>
      <w:tr w14:paraId="1AF367DC">
        <w:tblPrEx>
          <w:tblCellMar>
            <w:top w:w="0" w:type="dxa"/>
            <w:left w:w="108" w:type="dxa"/>
            <w:bottom w:w="0" w:type="dxa"/>
            <w:right w:w="108" w:type="dxa"/>
          </w:tblCellMar>
        </w:tblPrEx>
        <w:trPr>
          <w:cantSplit/>
          <w:trHeight w:val="601" w:hRule="atLeast"/>
          <w:jc w:val="center"/>
        </w:trPr>
        <w:tc>
          <w:tcPr>
            <w:tcW w:w="1486" w:type="dxa"/>
            <w:shd w:val="clear" w:color="auto" w:fill="auto"/>
            <w:vAlign w:val="center"/>
          </w:tcPr>
          <w:p w14:paraId="6A96A438">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p>
        </w:tc>
        <w:tc>
          <w:tcPr>
            <w:tcW w:w="2553" w:type="dxa"/>
            <w:shd w:val="clear" w:color="auto" w:fill="auto"/>
            <w:vAlign w:val="center"/>
          </w:tcPr>
          <w:p w14:paraId="351435CE">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input75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c>
          <w:tcPr>
            <w:tcW w:w="2111" w:type="dxa"/>
            <w:shd w:val="clear" w:color="auto" w:fill="auto"/>
            <w:vAlign w:val="center"/>
          </w:tcPr>
          <w:p w14:paraId="6B941D01">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p>
        </w:tc>
        <w:tc>
          <w:tcPr>
            <w:tcW w:w="3068" w:type="dxa"/>
            <w:shd w:val="clear" w:color="auto" w:fill="auto"/>
            <w:vAlign w:val="center"/>
          </w:tcPr>
          <w:p w14:paraId="4C2E3476">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input76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r>
      <w:tr w14:paraId="3263A968">
        <w:tblPrEx>
          <w:tblCellMar>
            <w:top w:w="0" w:type="dxa"/>
            <w:left w:w="108" w:type="dxa"/>
            <w:bottom w:w="0" w:type="dxa"/>
            <w:right w:w="108" w:type="dxa"/>
          </w:tblCellMar>
        </w:tblPrEx>
        <w:trPr>
          <w:cantSplit/>
          <w:trHeight w:val="601" w:hRule="atLeast"/>
          <w:jc w:val="center"/>
        </w:trPr>
        <w:tc>
          <w:tcPr>
            <w:tcW w:w="1486" w:type="dxa"/>
            <w:shd w:val="clear" w:color="auto" w:fill="auto"/>
            <w:vAlign w:val="center"/>
          </w:tcPr>
          <w:p w14:paraId="6FDFE580">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p>
        </w:tc>
        <w:tc>
          <w:tcPr>
            <w:tcW w:w="2553" w:type="dxa"/>
            <w:shd w:val="clear" w:color="auto" w:fill="auto"/>
            <w:vAlign w:val="center"/>
          </w:tcPr>
          <w:p w14:paraId="5B770E55">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input77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c>
          <w:tcPr>
            <w:tcW w:w="2111" w:type="dxa"/>
            <w:shd w:val="clear" w:color="auto" w:fill="auto"/>
            <w:vAlign w:val="center"/>
          </w:tcPr>
          <w:p w14:paraId="54869128">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p>
        </w:tc>
        <w:tc>
          <w:tcPr>
            <w:tcW w:w="3068" w:type="dxa"/>
            <w:shd w:val="clear" w:color="auto" w:fill="auto"/>
            <w:vAlign w:val="center"/>
          </w:tcPr>
          <w:p w14:paraId="2F89FC2A">
            <w:pPr>
              <w:keepNext w:val="0"/>
              <w:keepLines w:val="0"/>
              <w:pageBreakBefore w:val="0"/>
              <w:widowControl/>
              <w:suppressLineNumbers w:val="0"/>
              <w:kinsoku/>
              <w:wordWrap/>
              <w:overflowPunct/>
              <w:topLinePunct/>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fldChar w:fldCharType="begin"/>
            </w:r>
            <w:r>
              <w:rPr>
                <w:rFonts w:hint="eastAsia" w:ascii="宋体" w:hAnsi="宋体" w:eastAsia="宋体" w:cs="宋体"/>
                <w:color w:val="auto"/>
                <w:kern w:val="0"/>
                <w:sz w:val="21"/>
                <w:szCs w:val="21"/>
                <w:highlight w:val="none"/>
                <w:u w:val="single"/>
              </w:rPr>
              <w:instrText xml:space="preserve"> AUTOTEXT  input719 \* MERGEFORMAT </w:instrText>
            </w:r>
            <w:r>
              <w:rPr>
                <w:rFonts w:hint="eastAsia" w:ascii="宋体" w:hAnsi="宋体" w:eastAsia="宋体" w:cs="宋体"/>
                <w:color w:val="auto"/>
                <w:kern w:val="0"/>
                <w:sz w:val="21"/>
                <w:szCs w:val="21"/>
                <w:highlight w:val="none"/>
                <w:u w:val="single"/>
              </w:rPr>
              <w:fldChar w:fldCharType="separate"/>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fldChar w:fldCharType="end"/>
            </w:r>
          </w:p>
        </w:tc>
      </w:tr>
    </w:tbl>
    <w:p w14:paraId="5023D1BE">
      <w:pPr>
        <w:pageBreakBefore w:val="0"/>
        <w:tabs>
          <w:tab w:val="left" w:pos="6930"/>
        </w:tabs>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p>
    <w:p w14:paraId="1A9E556C">
      <w:pPr>
        <w:pStyle w:val="2"/>
        <w:pageBreakBefore w:val="0"/>
        <w:kinsoku/>
        <w:bidi w:val="0"/>
        <w:spacing w:before="0" w:beforeAutospacing="0" w:after="0" w:afterAutospacing="0"/>
        <w:ind w:left="0" w:leftChars="0" w:right="0" w:rightChars="0"/>
        <w:jc w:val="center"/>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bookmarkStart w:id="374" w:name="_Hlk49357821"/>
      <w:bookmarkStart w:id="375" w:name="_Toc15102"/>
      <w:bookmarkStart w:id="376" w:name="_Toc13064"/>
      <w:r>
        <w:rPr>
          <w:rFonts w:hint="eastAsia" w:ascii="宋体" w:hAnsi="宋体" w:cs="宋体"/>
          <w:color w:val="000000" w:themeColor="text1"/>
          <w:sz w:val="28"/>
          <w:szCs w:val="28"/>
          <w:highlight w:val="none"/>
          <w14:textFill>
            <w14:solidFill>
              <w14:schemeClr w14:val="tx1"/>
            </w14:solidFill>
          </w14:textFill>
        </w:rPr>
        <w:t>第五章</w:t>
      </w:r>
      <w:bookmarkEnd w:id="374"/>
      <w:r>
        <w:rPr>
          <w:rFonts w:hint="eastAsia" w:ascii="宋体" w:hAnsi="宋体" w:cs="宋体"/>
          <w:color w:val="000000" w:themeColor="text1"/>
          <w:sz w:val="28"/>
          <w:szCs w:val="28"/>
          <w:highlight w:val="none"/>
          <w14:textFill>
            <w14:solidFill>
              <w14:schemeClr w14:val="tx1"/>
            </w14:solidFill>
          </w14:textFill>
        </w:rPr>
        <w:t xml:space="preserve"> 技术标准及要求</w:t>
      </w:r>
      <w:bookmarkEnd w:id="375"/>
      <w:bookmarkEnd w:id="376"/>
    </w:p>
    <w:bookmarkEnd w:id="371"/>
    <w:p w14:paraId="4977013A">
      <w:pPr>
        <w:keepNext w:val="0"/>
        <w:keepLines w:val="0"/>
        <w:pageBreakBefore w:val="0"/>
        <w:widowControl/>
        <w:suppressLineNumbers w:val="0"/>
        <w:kinsoku/>
        <w:bidi w:val="0"/>
        <w:spacing w:beforeAutospacing="0" w:afterAutospacing="0" w:line="360" w:lineRule="auto"/>
        <w:ind w:left="0" w:leftChars="0" w:right="0" w:rightChars="0"/>
        <w:jc w:val="left"/>
      </w:pPr>
      <w:r>
        <w:rPr>
          <w:rFonts w:hint="eastAsia" w:ascii="宋体" w:hAnsi="宋体" w:eastAsia="宋体" w:cs="宋体"/>
          <w:b/>
          <w:bCs/>
          <w:kern w:val="2"/>
          <w:sz w:val="21"/>
          <w:szCs w:val="21"/>
          <w:lang w:val="en-US" w:eastAsia="zh-CN" w:bidi="ar"/>
        </w:rPr>
        <w:t>（一）采购标的需实现的功能或者目标，以及为落实政府采购政策需满足的要求；</w:t>
      </w:r>
    </w:p>
    <w:p w14:paraId="5B997C09">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1、采购内容</w:t>
      </w:r>
    </w:p>
    <w:p w14:paraId="765DBB27">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1）由餐饮服务企业提供餐饮服务团队，负责昆明市西山区第一幼儿园（东西两园区）食堂厨房设备使用和管理，以及菜品加工制作、餐饮人员成本管控、食品安全管理、环境卫生管理及食堂整体管理等，为在校师生就餐供餐服务；</w:t>
      </w:r>
    </w:p>
    <w:p w14:paraId="518496FE">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（2）配合幼儿园工作要求的其它餐饮服务；</w:t>
      </w:r>
    </w:p>
    <w:p w14:paraId="35349C47">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（3）派驻团队人员：厨师2人，厨工及其他人员派驻人员，年龄55周岁以下。</w:t>
      </w:r>
    </w:p>
    <w:p w14:paraId="205D1E8D">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2026年6-8月厨师2人，副厨师2人，厨工11人；2026年9月-2027年4月厨师2人，副厨师2人，厨工12-13人。其余年度按照幼儿人数核算，总工作人员人数不超过18人。</w:t>
      </w:r>
    </w:p>
    <w:p w14:paraId="0A7D5173">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（4）服务方制度建设，文化建设，以及员工业务培训和严格管理；</w:t>
      </w:r>
    </w:p>
    <w:p w14:paraId="73B06AB3">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（5）食堂内卫生管理、餐具洗消、食品留样等；</w:t>
      </w:r>
    </w:p>
    <w:p w14:paraId="35993F31">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（6）食堂内食品安全、消防安全、设备设施安全管理；</w:t>
      </w:r>
    </w:p>
    <w:p w14:paraId="50BC60A4">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（7）实施“明厨亮灶”、推行 6T 管理；</w:t>
      </w:r>
    </w:p>
    <w:p w14:paraId="05595C6E">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（8）因成交方使用不当产生的设备损坏的维修费；</w:t>
      </w:r>
    </w:p>
    <w:p w14:paraId="4DDCF0D4">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（9）餐点要求：早餐、早加餐、午餐、午加餐、晚餐，根据幼儿园营养食谱要求制定相应菜品；</w:t>
      </w:r>
    </w:p>
    <w:p w14:paraId="4BEA327A">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（10）基于幼儿园要求，与食堂经营管理相关的其它配合性工作。</w:t>
      </w:r>
    </w:p>
    <w:p w14:paraId="6901B28E">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餐饮服务企业负责餐饮服务团队的聘用和管理，与提供的餐饮服务团队签订书面的劳动合同，建立劳动关系，负责餐饮服务人员的工资发放及保险购买等，承担餐饮服务团队的用人单位义务，具体采购内容及要求详见文件。</w:t>
      </w:r>
    </w:p>
    <w:p w14:paraId="0AE3B6E5">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2、本项目为专门面向中小企业采购项目，供应商应为中小微企业，须按要求提供《中小企业声明函》（残疾人福利性单位声明函、监狱企业证明文件），监狱企业、残疾人福利性单位视同小型或微型企业。</w:t>
      </w:r>
    </w:p>
    <w:p w14:paraId="4A0A6EF6">
      <w:pPr>
        <w:keepNext w:val="0"/>
        <w:keepLines w:val="0"/>
        <w:pageBreakBefore w:val="0"/>
        <w:widowControl/>
        <w:suppressLineNumbers w:val="0"/>
        <w:kinsoku/>
        <w:bidi w:val="0"/>
        <w:spacing w:beforeAutospacing="0" w:afterAutospacing="0" w:line="360" w:lineRule="auto"/>
        <w:ind w:left="0" w:leftChars="0" w:right="0" w:rightChars="0"/>
        <w:jc w:val="left"/>
        <w:rPr>
          <w:color w:val="auto"/>
        </w:rPr>
      </w:pPr>
      <w:r>
        <w:rPr>
          <w:rFonts w:hint="eastAsia" w:ascii="宋体" w:hAnsi="宋体" w:eastAsia="宋体" w:cs="宋体"/>
          <w:b/>
          <w:bCs/>
          <w:color w:val="auto"/>
          <w:kern w:val="2"/>
          <w:sz w:val="21"/>
          <w:szCs w:val="21"/>
          <w:lang w:val="en-US" w:eastAsia="zh-CN" w:bidi="ar"/>
        </w:rPr>
        <w:t>（二）采购标的需执行的国家相关标准、行业标准、地方标准或者其他标准、规范；</w:t>
      </w:r>
    </w:p>
    <w:p w14:paraId="0D16D668">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本次采购服务需符合国家及地方有关法律法规的规范要求。</w:t>
      </w:r>
    </w:p>
    <w:p w14:paraId="69F38DE0">
      <w:pPr>
        <w:keepNext w:val="0"/>
        <w:keepLines w:val="0"/>
        <w:pageBreakBefore w:val="0"/>
        <w:widowControl/>
        <w:suppressLineNumbers w:val="0"/>
        <w:kinsoku/>
        <w:bidi w:val="0"/>
        <w:spacing w:beforeAutospacing="0" w:afterAutospacing="0" w:line="360" w:lineRule="auto"/>
        <w:ind w:left="0" w:leftChars="0" w:right="0" w:rightChars="0" w:firstLine="422" w:firstLineChars="200"/>
        <w:jc w:val="left"/>
        <w:rPr>
          <w:color w:val="auto"/>
        </w:rPr>
      </w:pPr>
      <w:r>
        <w:rPr>
          <w:rFonts w:hint="eastAsia" w:ascii="宋体" w:hAnsi="宋体" w:eastAsia="宋体" w:cs="宋体"/>
          <w:b/>
          <w:bCs w:val="0"/>
          <w:color w:val="auto"/>
          <w:kern w:val="2"/>
          <w:sz w:val="21"/>
          <w:szCs w:val="21"/>
          <w:lang w:val="en-US" w:eastAsia="zh-CN" w:bidi="ar"/>
        </w:rPr>
        <w:t>1.满足《中华人民共和国政府采购法》第二十二条规定的条件：</w:t>
      </w:r>
    </w:p>
    <w:p w14:paraId="65CF0096">
      <w:pPr>
        <w:keepNext w:val="0"/>
        <w:keepLines w:val="0"/>
        <w:pageBreakBefore w:val="0"/>
        <w:widowControl/>
        <w:suppressLineNumbers w:val="0"/>
        <w:kinsoku/>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2"/>
          <w:sz w:val="21"/>
          <w:szCs w:val="21"/>
          <w:lang w:val="en-US" w:eastAsia="zh-CN" w:bidi="ar"/>
        </w:rPr>
        <w:t>具有独立承担民事责任的能力；</w:t>
      </w:r>
    </w:p>
    <w:p w14:paraId="5D9485EB">
      <w:pPr>
        <w:keepNext w:val="0"/>
        <w:keepLines w:val="0"/>
        <w:pageBreakBefore w:val="0"/>
        <w:widowControl/>
        <w:suppressLineNumbers w:val="0"/>
        <w:kinsoku/>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spacing w:val="6"/>
          <w:kern w:val="0"/>
          <w:sz w:val="21"/>
          <w:szCs w:val="21"/>
          <w:lang w:val="en-US" w:eastAsia="zh-CN" w:bidi="ar"/>
        </w:rPr>
        <w:t>具有良好的商业信誉和健全的财务会计制度；</w:t>
      </w:r>
    </w:p>
    <w:p w14:paraId="0F809F38">
      <w:pPr>
        <w:keepNext w:val="0"/>
        <w:keepLines w:val="0"/>
        <w:pageBreakBefore w:val="0"/>
        <w:widowControl/>
        <w:suppressLineNumbers w:val="0"/>
        <w:kinsoku/>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0"/>
          <w:sz w:val="21"/>
          <w:szCs w:val="21"/>
          <w:lang w:val="en-US" w:eastAsia="zh-CN" w:bidi="ar"/>
        </w:rPr>
        <w:t>（3）</w:t>
      </w:r>
      <w:r>
        <w:rPr>
          <w:rFonts w:hint="eastAsia" w:ascii="宋体" w:hAnsi="宋体" w:eastAsia="宋体" w:cs="宋体"/>
          <w:color w:val="auto"/>
          <w:spacing w:val="6"/>
          <w:kern w:val="0"/>
          <w:sz w:val="21"/>
          <w:szCs w:val="21"/>
          <w:lang w:val="en-US" w:eastAsia="zh-CN" w:bidi="ar"/>
        </w:rPr>
        <w:t>具有履行合同所必需的设备和专业技术能力；</w:t>
      </w:r>
    </w:p>
    <w:p w14:paraId="666A0D9E">
      <w:pPr>
        <w:keepNext w:val="0"/>
        <w:keepLines w:val="0"/>
        <w:pageBreakBefore w:val="0"/>
        <w:widowControl/>
        <w:suppressLineNumbers w:val="0"/>
        <w:kinsoku/>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0"/>
          <w:sz w:val="21"/>
          <w:szCs w:val="21"/>
          <w:lang w:val="en-US" w:eastAsia="zh-CN" w:bidi="ar"/>
        </w:rPr>
        <w:t>（4）有依法缴纳税收和社会保障资金的良好记录；</w:t>
      </w:r>
    </w:p>
    <w:p w14:paraId="566D96FC">
      <w:pPr>
        <w:keepNext w:val="0"/>
        <w:keepLines w:val="0"/>
        <w:pageBreakBefore w:val="0"/>
        <w:widowControl/>
        <w:suppressLineNumbers w:val="0"/>
        <w:kinsoku/>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0"/>
          <w:sz w:val="21"/>
          <w:szCs w:val="21"/>
          <w:lang w:val="en-US" w:eastAsia="zh-CN" w:bidi="ar"/>
        </w:rPr>
        <w:t>（5）</w:t>
      </w:r>
      <w:r>
        <w:rPr>
          <w:rFonts w:hint="eastAsia" w:ascii="宋体" w:hAnsi="宋体" w:eastAsia="宋体" w:cs="宋体"/>
          <w:color w:val="auto"/>
          <w:spacing w:val="6"/>
          <w:kern w:val="0"/>
          <w:sz w:val="21"/>
          <w:szCs w:val="21"/>
          <w:lang w:val="en-US" w:eastAsia="zh-CN" w:bidi="ar"/>
        </w:rPr>
        <w:t>参加政府采购活动前三年内，在经营活动中没有重大违法记录；</w:t>
      </w:r>
    </w:p>
    <w:p w14:paraId="248CCF47">
      <w:pPr>
        <w:keepNext w:val="0"/>
        <w:keepLines w:val="0"/>
        <w:pageBreakBefore w:val="0"/>
        <w:widowControl/>
        <w:suppressLineNumbers w:val="0"/>
        <w:kinsoku/>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0"/>
          <w:sz w:val="21"/>
          <w:szCs w:val="21"/>
          <w:lang w:val="en-US" w:eastAsia="zh-CN" w:bidi="ar"/>
        </w:rPr>
        <w:t>（6）</w:t>
      </w:r>
      <w:r>
        <w:rPr>
          <w:rFonts w:hint="eastAsia" w:ascii="宋体" w:hAnsi="宋体" w:eastAsia="宋体" w:cs="宋体"/>
          <w:color w:val="auto"/>
          <w:spacing w:val="6"/>
          <w:kern w:val="0"/>
          <w:sz w:val="21"/>
          <w:szCs w:val="21"/>
          <w:lang w:val="en-US" w:eastAsia="zh-CN" w:bidi="ar"/>
        </w:rPr>
        <w:t>法律、行政法规规定的其他条件；</w:t>
      </w:r>
    </w:p>
    <w:p w14:paraId="4D7005E0">
      <w:pPr>
        <w:keepNext w:val="0"/>
        <w:keepLines w:val="0"/>
        <w:pageBreakBefore w:val="0"/>
        <w:widowControl/>
        <w:suppressLineNumbers w:val="0"/>
        <w:kinsoku/>
        <w:bidi w:val="0"/>
        <w:spacing w:beforeAutospacing="0" w:afterAutospacing="0" w:line="360" w:lineRule="auto"/>
        <w:ind w:left="0" w:leftChars="0" w:right="0" w:rightChars="0"/>
        <w:jc w:val="left"/>
        <w:rPr>
          <w:color w:val="auto"/>
        </w:rPr>
      </w:pPr>
      <w:r>
        <w:rPr>
          <w:rFonts w:hint="eastAsia" w:ascii="宋体" w:hAnsi="宋体" w:eastAsia="宋体" w:cs="宋体"/>
          <w:b/>
          <w:bCs/>
          <w:color w:val="auto"/>
          <w:kern w:val="2"/>
          <w:sz w:val="21"/>
          <w:szCs w:val="21"/>
          <w:lang w:val="en-US" w:eastAsia="zh-CN" w:bidi="ar"/>
        </w:rPr>
        <w:t>（三）采购标的需满足的质量、安全、技术规格、物理特性等要求；</w:t>
      </w:r>
    </w:p>
    <w:p w14:paraId="1A885213">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1、服务标准及要求（包括但不限于）：</w:t>
      </w:r>
    </w:p>
    <w:p w14:paraId="54E0ED35">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（1）供应商从业信誉良好，取得《企业法人营业执照》等相关资质和从业人员健康证明，严格遵守法律、法规和食品安全标准，能承担食品安全责任、社会信誉良好。</w:t>
      </w:r>
    </w:p>
    <w:p w14:paraId="7DFEDF2C">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（2）工作执行过程中需符合国家《食品安全法》、《食品安全法实施条例》等相关法律法规规定，食品安全、消防安全、卫生条件等符合国家及地方相关规定。</w:t>
      </w:r>
    </w:p>
    <w:p w14:paraId="57CB577E">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（3）供应商应本着“服务师生、保本经营”的原则提供服务，包括但不限于：切实加强制度建设和员工培训；落实“明厨亮灶”的相关要求；实行 6T 管理；按照幼儿园相关要求严格进行人员管理、规范经营服务活动等。</w:t>
      </w:r>
    </w:p>
    <w:p w14:paraId="310F39C8">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（4）供应商须按园方要求，实时对食堂进行安全巡视，落实防火、防盗、防破坏等安全防范，注意消防检查及其它安全隐患排查。</w:t>
      </w:r>
    </w:p>
    <w:p w14:paraId="66386B53">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（5）供应商成交后不允许任何形式的分包、转包、转租，一经发现发包人有权立即终止合同并追究相关责任。</w:t>
      </w:r>
    </w:p>
    <w:p w14:paraId="2A53538A">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（6）供应商所有服务活动必须符合《中华人民共和国食品卫生法》、《餐饮业食品卫生管理办法》等国家、省、州、市、部门有关食品安全的全部规定的要求。</w:t>
      </w:r>
    </w:p>
    <w:p w14:paraId="7EACCF9E">
      <w:pPr>
        <w:keepNext w:val="0"/>
        <w:keepLines w:val="0"/>
        <w:pageBreakBefore w:val="0"/>
        <w:widowControl/>
        <w:suppressLineNumbers w:val="0"/>
        <w:kinsoku/>
        <w:bidi w:val="0"/>
        <w:spacing w:beforeAutospacing="0" w:afterAutospacing="0" w:line="360" w:lineRule="auto"/>
        <w:ind w:left="0" w:leftChars="0" w:right="0" w:rightChars="0"/>
        <w:jc w:val="left"/>
        <w:rPr>
          <w:color w:val="auto"/>
        </w:rPr>
      </w:pPr>
      <w:r>
        <w:rPr>
          <w:rFonts w:hint="eastAsia" w:ascii="宋体" w:hAnsi="宋体" w:eastAsia="宋体" w:cs="宋体"/>
          <w:b/>
          <w:bCs/>
          <w:color w:val="auto"/>
          <w:kern w:val="2"/>
          <w:sz w:val="21"/>
          <w:szCs w:val="21"/>
          <w:lang w:val="en-US" w:eastAsia="zh-CN" w:bidi="ar"/>
        </w:rPr>
        <w:t>（四）采购标的的数量、采购项目交付或者实施的时间和地点；</w:t>
      </w:r>
    </w:p>
    <w:p w14:paraId="264E7341">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1、服务期限：</w:t>
      </w:r>
      <w:r>
        <w:rPr>
          <w:rFonts w:hint="eastAsia" w:ascii="宋体" w:hAnsi="宋体" w:eastAsia="宋体" w:cs="宋体"/>
          <w:szCs w:val="21"/>
        </w:rPr>
        <w:t>自合同生效日起至</w:t>
      </w:r>
      <w:r>
        <w:rPr>
          <w:rFonts w:hint="eastAsia" w:ascii="宋体" w:hAnsi="宋体" w:eastAsia="宋体" w:cs="宋体"/>
          <w:color w:val="auto"/>
          <w:kern w:val="2"/>
          <w:sz w:val="21"/>
          <w:szCs w:val="21"/>
          <w:lang w:val="en-US" w:eastAsia="zh-CN" w:bidi="ar"/>
        </w:rPr>
        <w:t>2029年5月31日</w:t>
      </w:r>
    </w:p>
    <w:p w14:paraId="030D6263">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2、服务地点：昆明市西山区第一幼儿园东园区、西园区</w:t>
      </w:r>
    </w:p>
    <w:p w14:paraId="4CB3C746">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3、派驻人员：2026年6-8月厨师2人，副厨师2人，厨工11人；2026年9月-2027年4月厨师2人，副厨师2人，厨工12-13人。其余年度按照幼儿人数核算，总工作人员人数不超过18人。实际派驻人员年龄55岁以内。</w:t>
      </w:r>
    </w:p>
    <w:p w14:paraId="140A4F03">
      <w:pPr>
        <w:keepNext w:val="0"/>
        <w:keepLines w:val="0"/>
        <w:pageBreakBefore w:val="0"/>
        <w:widowControl/>
        <w:suppressLineNumbers w:val="0"/>
        <w:kinsoku/>
        <w:bidi w:val="0"/>
        <w:spacing w:beforeAutospacing="0" w:afterAutospacing="0" w:line="360" w:lineRule="auto"/>
        <w:ind w:left="0" w:leftChars="0" w:right="0" w:rightChars="0"/>
        <w:jc w:val="left"/>
        <w:rPr>
          <w:color w:val="auto"/>
        </w:rPr>
      </w:pPr>
      <w:r>
        <w:rPr>
          <w:rFonts w:hint="eastAsia" w:ascii="宋体" w:hAnsi="宋体" w:eastAsia="宋体" w:cs="宋体"/>
          <w:b/>
          <w:bCs/>
          <w:color w:val="auto"/>
          <w:kern w:val="2"/>
          <w:sz w:val="21"/>
          <w:szCs w:val="21"/>
          <w:lang w:val="en-US" w:eastAsia="zh-CN" w:bidi="ar"/>
        </w:rPr>
        <w:t>（五）采购标的需满足的服务标准、期限、效率等要求；</w:t>
      </w:r>
    </w:p>
    <w:p w14:paraId="59BEDC1B">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color w:val="auto"/>
        </w:rPr>
      </w:pPr>
      <w:r>
        <w:rPr>
          <w:rFonts w:hint="eastAsia" w:ascii="宋体" w:hAnsi="宋体" w:eastAsia="宋体" w:cs="宋体"/>
          <w:color w:val="auto"/>
          <w:kern w:val="2"/>
          <w:sz w:val="21"/>
          <w:szCs w:val="21"/>
          <w:lang w:val="en-US" w:eastAsia="zh-CN" w:bidi="ar"/>
        </w:rPr>
        <w:t>1、服务期限：</w:t>
      </w:r>
      <w:r>
        <w:rPr>
          <w:rFonts w:hint="eastAsia" w:ascii="宋体" w:hAnsi="宋体" w:eastAsia="宋体" w:cs="宋体"/>
          <w:szCs w:val="21"/>
        </w:rPr>
        <w:t>自合同生效日起至</w:t>
      </w:r>
      <w:r>
        <w:rPr>
          <w:rFonts w:hint="eastAsia" w:ascii="宋体" w:hAnsi="宋体" w:eastAsia="宋体" w:cs="宋体"/>
          <w:color w:val="auto"/>
          <w:kern w:val="2"/>
          <w:sz w:val="21"/>
          <w:szCs w:val="21"/>
          <w:lang w:val="en-US" w:eastAsia="zh-CN" w:bidi="ar"/>
        </w:rPr>
        <w:t>2029年5月31日</w:t>
      </w:r>
    </w:p>
    <w:p w14:paraId="389C3B2F">
      <w:pPr>
        <w:keepNext w:val="0"/>
        <w:keepLines w:val="0"/>
        <w:pageBreakBefore w:val="0"/>
        <w:widowControl/>
        <w:suppressLineNumbers w:val="0"/>
        <w:kinsoku/>
        <w:bidi w:val="0"/>
        <w:spacing w:beforeAutospacing="0" w:afterAutospacing="0" w:line="360" w:lineRule="auto"/>
        <w:ind w:left="0" w:leftChars="0" w:right="0" w:rightChars="0"/>
        <w:jc w:val="left"/>
        <w:rPr>
          <w:color w:val="auto"/>
        </w:rPr>
      </w:pPr>
      <w:r>
        <w:rPr>
          <w:rFonts w:hint="eastAsia" w:ascii="宋体" w:hAnsi="宋体" w:eastAsia="宋体" w:cs="宋体"/>
          <w:b/>
          <w:bCs/>
          <w:color w:val="auto"/>
          <w:kern w:val="2"/>
          <w:sz w:val="21"/>
          <w:szCs w:val="21"/>
          <w:lang w:val="en-US" w:eastAsia="zh-CN" w:bidi="ar"/>
        </w:rPr>
        <w:t>（六）采购标的的验收标准；</w:t>
      </w:r>
    </w:p>
    <w:p w14:paraId="7FABB177">
      <w:pPr>
        <w:keepNext w:val="0"/>
        <w:keepLines w:val="0"/>
        <w:pageBreakBefore w:val="0"/>
        <w:widowControl/>
        <w:suppressLineNumbers w:val="0"/>
        <w:kinsoku/>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本项目验收按《食品安全法》及相关规范执行，从业人员需持证上岗、配备达标，严格落实食品48小时留样、生熟分开、餐具消毒及明厨亮灶、6T管理要求；按食谱按时供餐，餐食无异物、无变质，食堂环境清洁，设备维护到位，落实消防安全，严禁转包分包；验收合格方可付款，出现食品安全事故、无证上岗等情况即判定不合格，采购人有权终止合同并追责，验收记录及相关台账留存不少于2年。</w:t>
      </w:r>
    </w:p>
    <w:p w14:paraId="5158DCDB">
      <w:pPr>
        <w:keepNext w:val="0"/>
        <w:keepLines w:val="0"/>
        <w:pageBreakBefore w:val="0"/>
        <w:widowControl/>
        <w:suppressLineNumbers w:val="0"/>
        <w:kinsoku/>
        <w:bidi w:val="0"/>
        <w:spacing w:beforeAutospacing="0" w:afterAutospacing="0" w:line="360" w:lineRule="auto"/>
        <w:ind w:left="0" w:leftChars="0" w:right="0" w:rightChars="0"/>
        <w:jc w:val="left"/>
      </w:pPr>
      <w:r>
        <w:rPr>
          <w:rFonts w:hint="eastAsia" w:ascii="宋体" w:hAnsi="宋体" w:eastAsia="宋体" w:cs="宋体"/>
          <w:b/>
          <w:bCs/>
          <w:kern w:val="2"/>
          <w:sz w:val="21"/>
          <w:szCs w:val="21"/>
          <w:lang w:val="en-US" w:eastAsia="zh-CN" w:bidi="ar"/>
        </w:rPr>
        <w:t>（七）采购标的的其他技术、服务等要求。</w:t>
      </w:r>
    </w:p>
    <w:p w14:paraId="53834FD9">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1、其它要求</w:t>
      </w:r>
    </w:p>
    <w:p w14:paraId="52C151C8">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（1）合同期限内，劳务外包合作方自主经营、照章纳税、自负盈亏，对其经营活动中所发生的一切债务，由劳务外包合作方自行承担，幼儿园不承担责任。</w:t>
      </w:r>
    </w:p>
    <w:p w14:paraId="2CFE1FC3">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（2）合同期限内，所发生的人工工资、税费、杂物费、保险费用等一切经营管理费用由劳务外包合作方承担。</w:t>
      </w:r>
    </w:p>
    <w:p w14:paraId="5F356AC7">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3）劳务外包合作方对幼儿园的食堂及资产只有使用权而无所有权、处置权。劳务外包合作方在合作经营期间，要投入资金对使用的资产进行必要的维修、养护和改造，扩展服务功能。未经幼儿园许可，劳务外包合作方不得将所管理的食堂、资产，转让、转包、转租给第三方进行经营，或与第三方联合经营食堂（如有违反，视为违约，承担违约责任）。</w:t>
      </w:r>
    </w:p>
    <w:p w14:paraId="35E4E8E2">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（4）合同期限内，劳务外包合作方不得在上述所管理的食堂、资产（包括动产及不动产）上设置抵押、担保、质押等他项权利给第三人。</w:t>
      </w:r>
    </w:p>
    <w:p w14:paraId="3CA261D0">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5）劳务外包合作方必须遵守国家的有关法律、法规及幼儿园的各项规章制度，依法取得经营资格从事经营活动，不得实施有损甲方信誉、资产及权益的行为。否则，除承担甲方损失外，还应承担相应的违约责任。</w:t>
      </w:r>
    </w:p>
    <w:p w14:paraId="2A7D99B9">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6）劳务外包合作方应认真做好防火、防盗、防疫等安全工作，积极做好劳务外包合作方员工的安全培训及业务培训，并负责为劳务外包合作方人员办理各项用工手续及劳动合同的签订。若学生食堂发生用工纠纷、消防事故、安全事故或因食品、菜品质量引发师生人身伤害、财产损失等情况，造成的经济损失和法律责任由劳务外包合作方承担。</w:t>
      </w:r>
    </w:p>
    <w:p w14:paraId="517A964C">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7）非因幼儿园要求，因劳务外包合作方经营所需增加设施设备费用由劳务外包合作方承担，并应提前将增设方案报知幼儿园，经幼儿园书面同意后，方可实施。如须按规定报有关部门批准的，应办理报批手续，做到手续齐全。如因劳务外包合作方增加的设施设备造成甲方或第三人造成损失的，所产生的责任及后果由劳务外包合作方全部承担。合同终止时，劳务外包合作方无偿交给幼儿园使用。</w:t>
      </w:r>
    </w:p>
    <w:p w14:paraId="037F06BF">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（8）认真执行食品卫生法和消防安全法，实行48小时留样制度，做好各类台账管理， 规范日常经营管理工作，并接受市场监督、卫生防疫部门及幼儿园的监督检查，及时积极整改。</w:t>
      </w:r>
    </w:p>
    <w:p w14:paraId="6176A0F2">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9）劳务外包合作方应在食堂显著位置悬挂有效的食堂从业人员健康证，持证经营。按规定时间组织工作人员体检，所有人员必须100％持健康证挂牌上岗。劳务外包合作方派驻的厨师队伍应具有专业技术上岗资格证，并将相关资格证书提前交幼儿园核查。</w:t>
      </w:r>
    </w:p>
    <w:p w14:paraId="25FDA190">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（11）劳务外包合作方负责门前卫生三包，每天派人打扫食堂内、生活区卫生。</w:t>
      </w:r>
    </w:p>
    <w:p w14:paraId="51611CB3">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（12）幼儿园食堂食材由西山区教体局指定食材配送商提供。</w:t>
      </w:r>
    </w:p>
    <w:p w14:paraId="2DFC7CAA">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2、项目基本情况</w:t>
      </w:r>
    </w:p>
    <w:p w14:paraId="125E874E">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（1）项目名称：昆明市西山区第一幼儿园2026-2029年餐饮服务采购</w:t>
      </w:r>
    </w:p>
    <w:p w14:paraId="171892EB">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rPr>
          <w:rFonts w:hint="default"/>
          <w:lang w:val="en-US"/>
        </w:rPr>
      </w:pPr>
      <w:r>
        <w:rPr>
          <w:rFonts w:hint="eastAsia" w:ascii="宋体" w:hAnsi="宋体" w:eastAsia="宋体" w:cs="宋体"/>
          <w:kern w:val="2"/>
          <w:sz w:val="21"/>
          <w:szCs w:val="21"/>
          <w:lang w:val="en-US" w:eastAsia="zh-CN" w:bidi="ar"/>
        </w:rPr>
        <w:t>（2）预算金额（万元）：72.2925万元（第一年），其余年度按照当年度财政预算核算，差额不超过10%</w:t>
      </w:r>
    </w:p>
    <w:p w14:paraId="02F92BF1">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（3）资金来源：单位预算资金</w:t>
      </w:r>
    </w:p>
    <w:p w14:paraId="2B380F81">
      <w:pPr>
        <w:keepNext w:val="0"/>
        <w:keepLines w:val="0"/>
        <w:pageBreakBefore w:val="0"/>
        <w:widowControl w:val="0"/>
        <w:suppressLineNumbers w:val="0"/>
        <w:kinsoku/>
        <w:autoSpaceDE w:val="0"/>
        <w:autoSpaceDN/>
        <w:bidi w:val="0"/>
        <w:spacing w:beforeAutospacing="0" w:afterAutospacing="0" w:line="360" w:lineRule="auto"/>
        <w:ind w:left="0" w:leftChars="0" w:right="0" w:rightChars="0" w:firstLine="420" w:firstLineChars="200"/>
        <w:jc w:val="left"/>
      </w:pPr>
      <w:r>
        <w:rPr>
          <w:rFonts w:hint="eastAsia" w:ascii="宋体" w:hAnsi="宋体" w:eastAsia="宋体" w:cs="宋体"/>
          <w:kern w:val="2"/>
          <w:sz w:val="21"/>
          <w:szCs w:val="21"/>
          <w:lang w:val="en-US" w:eastAsia="zh-CN" w:bidi="ar"/>
        </w:rPr>
        <w:t>（4）付款方式：财政资金下达后，分批次支付</w:t>
      </w:r>
    </w:p>
    <w:p w14:paraId="794A138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right"/>
        <w:textAlignment w:val="auto"/>
        <w:rPr>
          <w:rFonts w:hint="eastAsia" w:ascii="宋体" w:hAnsi="宋体" w:eastAsia="宋体" w:cs="宋体"/>
          <w:sz w:val="21"/>
          <w:szCs w:val="21"/>
        </w:rPr>
      </w:pPr>
    </w:p>
    <w:p w14:paraId="7152BAAB">
      <w:pPr>
        <w:pStyle w:val="2"/>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bookmarkStart w:id="377" w:name="_Toc17192"/>
      <w:bookmarkStart w:id="378" w:name="_Toc21969"/>
      <w:r>
        <w:rPr>
          <w:rFonts w:hint="eastAsia" w:ascii="宋体" w:hAnsi="宋体" w:cs="宋体"/>
          <w:color w:val="000000" w:themeColor="text1"/>
          <w:sz w:val="32"/>
          <w:szCs w:val="32"/>
          <w:highlight w:val="none"/>
          <w14:textFill>
            <w14:solidFill>
              <w14:schemeClr w14:val="tx1"/>
            </w14:solidFill>
          </w14:textFill>
        </w:rPr>
        <w:t>第六章</w:t>
      </w:r>
      <w:bookmarkEnd w:id="372"/>
      <w:bookmarkStart w:id="379" w:name="_Toc224363907"/>
      <w:bookmarkStart w:id="380" w:name="_Toc229583225"/>
      <w:r>
        <w:rPr>
          <w:rFonts w:hint="eastAsia" w:ascii="宋体" w:hAnsi="宋体" w:cs="宋体"/>
          <w:color w:val="000000" w:themeColor="text1"/>
          <w:sz w:val="32"/>
          <w:szCs w:val="32"/>
          <w:highlight w:val="none"/>
          <w14:textFill>
            <w14:solidFill>
              <w14:schemeClr w14:val="tx1"/>
            </w14:solidFill>
          </w14:textFill>
        </w:rPr>
        <w:t xml:space="preserve"> 投标文件格式</w:t>
      </w:r>
      <w:bookmarkEnd w:id="373"/>
      <w:bookmarkEnd w:id="377"/>
      <w:bookmarkEnd w:id="378"/>
      <w:bookmarkEnd w:id="379"/>
      <w:bookmarkEnd w:id="380"/>
    </w:p>
    <w:p w14:paraId="5A708A2A">
      <w:pPr>
        <w:pageBreakBefore w:val="0"/>
        <w:kinsoku/>
        <w:wordWrap w:val="0"/>
        <w:bidi w:val="0"/>
        <w:spacing w:beforeAutospacing="0" w:afterAutospacing="0" w:line="700" w:lineRule="exact"/>
        <w:ind w:left="0" w:leftChars="0" w:right="0" w:rightChars="0"/>
        <w:jc w:val="center"/>
        <w:rPr>
          <w:rFonts w:ascii="宋体" w:hAnsi="宋体" w:cs="宋体"/>
          <w:b/>
          <w:color w:val="000000" w:themeColor="text1"/>
          <w:sz w:val="52"/>
          <w:szCs w:val="52"/>
          <w:highlight w:val="none"/>
          <w14:textFill>
            <w14:solidFill>
              <w14:schemeClr w14:val="tx1"/>
            </w14:solidFill>
          </w14:textFill>
        </w:rPr>
      </w:pPr>
      <w:bookmarkStart w:id="381" w:name="_Hlk172882595"/>
      <w:bookmarkStart w:id="382" w:name="_Toc246481570"/>
      <w:bookmarkStart w:id="383" w:name="_Toc229583227"/>
    </w:p>
    <w:p w14:paraId="48B1A66A">
      <w:pPr>
        <w:pageBreakBefore w:val="0"/>
        <w:kinsoku/>
        <w:wordWrap w:val="0"/>
        <w:bidi w:val="0"/>
        <w:spacing w:beforeAutospacing="0" w:afterAutospacing="0" w:line="700" w:lineRule="exact"/>
        <w:ind w:left="0" w:leftChars="0" w:right="0" w:rightChars="0"/>
        <w:jc w:val="center"/>
        <w:rPr>
          <w:rFonts w:ascii="宋体" w:hAnsi="宋体" w:cs="宋体"/>
          <w:b/>
          <w:color w:val="000000" w:themeColor="text1"/>
          <w:sz w:val="52"/>
          <w:szCs w:val="52"/>
          <w:highlight w:val="none"/>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昆明市西山区第一幼儿园2026-2029年餐饮服务采购</w:t>
      </w:r>
      <w:r>
        <w:rPr>
          <w:rFonts w:hint="eastAsia" w:ascii="宋体" w:hAnsi="宋体" w:cs="宋体"/>
          <w:b/>
          <w:color w:val="000000" w:themeColor="text1"/>
          <w:sz w:val="52"/>
          <w:szCs w:val="52"/>
          <w:highlight w:val="none"/>
          <w14:textFill>
            <w14:solidFill>
              <w14:schemeClr w14:val="tx1"/>
            </w14:solidFill>
          </w14:textFill>
        </w:rPr>
        <w:t xml:space="preserve"> </w:t>
      </w:r>
    </w:p>
    <w:bookmarkEnd w:id="381"/>
    <w:p w14:paraId="5F841837">
      <w:pPr>
        <w:pageBreakBefore w:val="0"/>
        <w:kinsoku/>
        <w:wordWrap w:val="0"/>
        <w:bidi w:val="0"/>
        <w:spacing w:beforeAutospacing="0" w:afterAutospacing="0" w:line="700" w:lineRule="exact"/>
        <w:ind w:left="0" w:leftChars="0" w:right="0" w:rightChars="0"/>
        <w:jc w:val="center"/>
        <w:rPr>
          <w:rFonts w:ascii="宋体" w:hAnsi="宋体" w:cs="宋体"/>
          <w:color w:val="000000" w:themeColor="text1"/>
          <w:highlight w:val="none"/>
          <w14:textFill>
            <w14:solidFill>
              <w14:schemeClr w14:val="tx1"/>
            </w14:solidFill>
          </w14:textFill>
        </w:rPr>
      </w:pPr>
    </w:p>
    <w:p w14:paraId="0A8370C3">
      <w:pPr>
        <w:pageBreakBefore w:val="0"/>
        <w:kinsoku/>
        <w:wordWrap w:val="0"/>
        <w:bidi w:val="0"/>
        <w:spacing w:beforeAutospacing="0" w:afterAutospacing="0" w:line="700" w:lineRule="exact"/>
        <w:ind w:left="0" w:leftChars="0" w:right="0" w:rightChars="0"/>
        <w:jc w:val="center"/>
        <w:rPr>
          <w:rFonts w:ascii="宋体" w:hAnsi="宋体" w:cs="宋体"/>
          <w:color w:val="000000" w:themeColor="text1"/>
          <w:highlight w:val="none"/>
          <w14:textFill>
            <w14:solidFill>
              <w14:schemeClr w14:val="tx1"/>
            </w14:solidFill>
          </w14:textFill>
        </w:rPr>
      </w:pPr>
    </w:p>
    <w:p w14:paraId="6C41A83D">
      <w:pPr>
        <w:pageBreakBefore w:val="0"/>
        <w:kinsoku/>
        <w:wordWrap w:val="0"/>
        <w:bidi w:val="0"/>
        <w:spacing w:beforeAutospacing="0" w:afterAutospacing="0" w:line="1000" w:lineRule="exact"/>
        <w:ind w:left="0" w:leftChars="0" w:right="0" w:rightChars="0"/>
        <w:jc w:val="center"/>
        <w:rPr>
          <w:rFonts w:ascii="宋体" w:hAnsi="宋体" w:cs="宋体"/>
          <w:b/>
          <w:bCs/>
          <w:color w:val="000000" w:themeColor="text1"/>
          <w:sz w:val="72"/>
          <w:szCs w:val="72"/>
          <w:highlight w:val="none"/>
          <w14:textFill>
            <w14:solidFill>
              <w14:schemeClr w14:val="tx1"/>
            </w14:solidFill>
          </w14:textFill>
        </w:rPr>
      </w:pPr>
      <w:r>
        <w:rPr>
          <w:rFonts w:hint="eastAsia" w:ascii="宋体" w:hAnsi="宋体" w:cs="宋体"/>
          <w:b/>
          <w:bCs/>
          <w:color w:val="000000" w:themeColor="text1"/>
          <w:sz w:val="72"/>
          <w:szCs w:val="72"/>
          <w:highlight w:val="none"/>
          <w14:textFill>
            <w14:solidFill>
              <w14:schemeClr w14:val="tx1"/>
            </w14:solidFill>
          </w14:textFill>
        </w:rPr>
        <w:t>投 标 文 件</w:t>
      </w:r>
    </w:p>
    <w:p w14:paraId="7029D443">
      <w:pPr>
        <w:pageBreakBefore w:val="0"/>
        <w:kinsoku/>
        <w:wordWrap w:val="0"/>
        <w:bidi w:val="0"/>
        <w:spacing w:beforeAutospacing="0" w:afterAutospacing="0"/>
        <w:ind w:left="0" w:leftChars="0" w:right="0" w:rightChars="0"/>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项目编号： </w:t>
      </w:r>
    </w:p>
    <w:p w14:paraId="362E9EB3">
      <w:pPr>
        <w:pageBreakBefore w:val="0"/>
        <w:kinsoku/>
        <w:bidi w:val="0"/>
        <w:spacing w:beforeAutospacing="0" w:afterAutospacing="0" w:line="360" w:lineRule="auto"/>
        <w:ind w:left="0" w:leftChars="0" w:right="0" w:rightChars="0" w:firstLine="612"/>
        <w:rPr>
          <w:rFonts w:ascii="宋体" w:hAnsi="宋体" w:cs="宋体"/>
          <w:color w:val="000000" w:themeColor="text1"/>
          <w:szCs w:val="21"/>
          <w:highlight w:val="none"/>
          <w14:textFill>
            <w14:solidFill>
              <w14:schemeClr w14:val="tx1"/>
            </w14:solidFill>
          </w14:textFill>
        </w:rPr>
      </w:pPr>
    </w:p>
    <w:p w14:paraId="7F01519B">
      <w:pPr>
        <w:pageBreakBefore w:val="0"/>
        <w:kinsoku/>
        <w:bidi w:val="0"/>
        <w:spacing w:beforeAutospacing="0" w:afterAutospacing="0" w:line="360" w:lineRule="auto"/>
        <w:ind w:left="0" w:leftChars="0" w:right="0" w:rightChars="0" w:firstLine="612"/>
        <w:rPr>
          <w:rFonts w:ascii="宋体" w:hAnsi="宋体" w:cs="宋体"/>
          <w:color w:val="000000" w:themeColor="text1"/>
          <w:szCs w:val="21"/>
          <w:highlight w:val="none"/>
          <w14:textFill>
            <w14:solidFill>
              <w14:schemeClr w14:val="tx1"/>
            </w14:solidFill>
          </w14:textFill>
        </w:rPr>
      </w:pPr>
    </w:p>
    <w:p w14:paraId="2DE3A750">
      <w:pPr>
        <w:pageBreakBefore w:val="0"/>
        <w:kinsoku/>
        <w:bidi w:val="0"/>
        <w:spacing w:beforeAutospacing="0" w:afterAutospacing="0" w:line="360" w:lineRule="auto"/>
        <w:ind w:left="0" w:leftChars="0" w:right="0" w:rightChars="0" w:firstLine="612"/>
        <w:rPr>
          <w:rFonts w:ascii="宋体" w:hAnsi="宋体" w:cs="宋体"/>
          <w:color w:val="000000" w:themeColor="text1"/>
          <w:szCs w:val="21"/>
          <w:highlight w:val="none"/>
          <w14:textFill>
            <w14:solidFill>
              <w14:schemeClr w14:val="tx1"/>
            </w14:solidFill>
          </w14:textFill>
        </w:rPr>
      </w:pPr>
    </w:p>
    <w:p w14:paraId="446137A1">
      <w:pPr>
        <w:pStyle w:val="42"/>
        <w:pageBreakBefore w:val="0"/>
        <w:kinsoku/>
        <w:bidi w:val="0"/>
        <w:spacing w:beforeAutospacing="0" w:after="0" w:afterAutospacing="0"/>
        <w:ind w:left="0" w:leftChars="0" w:right="0" w:rightChars="0" w:firstLine="400"/>
        <w:rPr>
          <w:rFonts w:ascii="宋体" w:hAnsi="宋体" w:cs="宋体"/>
          <w:color w:val="000000" w:themeColor="text1"/>
          <w:highlight w:val="none"/>
          <w14:textFill>
            <w14:solidFill>
              <w14:schemeClr w14:val="tx1"/>
            </w14:solidFill>
          </w14:textFill>
        </w:rPr>
      </w:pPr>
    </w:p>
    <w:p w14:paraId="19A76F83">
      <w:pPr>
        <w:pStyle w:val="42"/>
        <w:pageBreakBefore w:val="0"/>
        <w:kinsoku/>
        <w:bidi w:val="0"/>
        <w:spacing w:beforeAutospacing="0" w:after="0" w:afterAutospacing="0"/>
        <w:ind w:left="0" w:leftChars="0" w:right="0" w:rightChars="0" w:firstLine="400"/>
        <w:rPr>
          <w:rFonts w:ascii="宋体" w:hAnsi="宋体" w:cs="宋体"/>
          <w:color w:val="000000" w:themeColor="text1"/>
          <w:highlight w:val="none"/>
          <w14:textFill>
            <w14:solidFill>
              <w14:schemeClr w14:val="tx1"/>
            </w14:solidFill>
          </w14:textFill>
        </w:rPr>
      </w:pPr>
    </w:p>
    <w:p w14:paraId="68C4E5FC">
      <w:pPr>
        <w:pStyle w:val="42"/>
        <w:pageBreakBefore w:val="0"/>
        <w:kinsoku/>
        <w:bidi w:val="0"/>
        <w:spacing w:beforeAutospacing="0" w:after="0" w:afterAutospacing="0"/>
        <w:ind w:left="0" w:leftChars="0" w:right="0" w:rightChars="0" w:firstLine="400"/>
        <w:rPr>
          <w:rFonts w:ascii="宋体" w:hAnsi="宋体" w:cs="宋体"/>
          <w:color w:val="000000" w:themeColor="text1"/>
          <w:highlight w:val="none"/>
          <w14:textFill>
            <w14:solidFill>
              <w14:schemeClr w14:val="tx1"/>
            </w14:solidFill>
          </w14:textFill>
        </w:rPr>
      </w:pPr>
    </w:p>
    <w:p w14:paraId="44E092FA">
      <w:pPr>
        <w:pStyle w:val="42"/>
        <w:pageBreakBefore w:val="0"/>
        <w:kinsoku/>
        <w:bidi w:val="0"/>
        <w:spacing w:beforeAutospacing="0" w:after="0" w:afterAutospacing="0"/>
        <w:ind w:left="0" w:leftChars="0" w:right="0" w:rightChars="0" w:firstLine="400"/>
        <w:rPr>
          <w:rFonts w:ascii="宋体" w:hAnsi="宋体" w:cs="宋体"/>
          <w:color w:val="000000" w:themeColor="text1"/>
          <w:highlight w:val="none"/>
          <w14:textFill>
            <w14:solidFill>
              <w14:schemeClr w14:val="tx1"/>
            </w14:solidFill>
          </w14:textFill>
        </w:rPr>
      </w:pPr>
    </w:p>
    <w:p w14:paraId="68647BF6">
      <w:pPr>
        <w:pStyle w:val="42"/>
        <w:pageBreakBefore w:val="0"/>
        <w:kinsoku/>
        <w:bidi w:val="0"/>
        <w:spacing w:beforeAutospacing="0" w:after="0" w:afterAutospacing="0"/>
        <w:ind w:left="0" w:leftChars="0" w:right="0" w:rightChars="0" w:firstLine="400"/>
        <w:rPr>
          <w:rFonts w:ascii="宋体" w:hAnsi="宋体" w:cs="宋体"/>
          <w:color w:val="000000" w:themeColor="text1"/>
          <w:highlight w:val="none"/>
          <w14:textFill>
            <w14:solidFill>
              <w14:schemeClr w14:val="tx1"/>
            </w14:solidFill>
          </w14:textFill>
        </w:rPr>
      </w:pPr>
    </w:p>
    <w:p w14:paraId="0DCF51FD">
      <w:pPr>
        <w:pStyle w:val="42"/>
        <w:pageBreakBefore w:val="0"/>
        <w:kinsoku/>
        <w:bidi w:val="0"/>
        <w:spacing w:beforeAutospacing="0" w:after="0" w:afterAutospacing="0"/>
        <w:ind w:left="0" w:leftChars="0" w:right="0" w:rightChars="0" w:firstLine="400"/>
        <w:rPr>
          <w:rFonts w:ascii="宋体" w:hAnsi="宋体" w:cs="宋体"/>
          <w:color w:val="000000" w:themeColor="text1"/>
          <w:highlight w:val="none"/>
          <w14:textFill>
            <w14:solidFill>
              <w14:schemeClr w14:val="tx1"/>
            </w14:solidFill>
          </w14:textFill>
        </w:rPr>
      </w:pPr>
    </w:p>
    <w:p w14:paraId="45649200">
      <w:pPr>
        <w:pStyle w:val="42"/>
        <w:pageBreakBefore w:val="0"/>
        <w:kinsoku/>
        <w:bidi w:val="0"/>
        <w:spacing w:beforeAutospacing="0" w:after="0" w:afterAutospacing="0"/>
        <w:ind w:left="0" w:leftChars="0" w:right="0" w:rightChars="0" w:firstLine="400"/>
        <w:rPr>
          <w:rFonts w:ascii="宋体" w:hAnsi="宋体" w:cs="宋体"/>
          <w:color w:val="000000" w:themeColor="text1"/>
          <w:highlight w:val="none"/>
          <w14:textFill>
            <w14:solidFill>
              <w14:schemeClr w14:val="tx1"/>
            </w14:solidFill>
          </w14:textFill>
        </w:rPr>
      </w:pPr>
    </w:p>
    <w:p w14:paraId="4DD7D74C">
      <w:pPr>
        <w:pageBreakBefore w:val="0"/>
        <w:kinsoku/>
        <w:bidi w:val="0"/>
        <w:spacing w:beforeAutospacing="0" w:afterAutospacing="0" w:line="360" w:lineRule="auto"/>
        <w:ind w:left="0" w:leftChars="0" w:right="0" w:rightChars="0" w:firstLine="612"/>
        <w:rPr>
          <w:rFonts w:ascii="宋体" w:hAnsi="宋体" w:cs="宋体"/>
          <w:color w:val="000000" w:themeColor="text1"/>
          <w:szCs w:val="21"/>
          <w:highlight w:val="none"/>
          <w14:textFill>
            <w14:solidFill>
              <w14:schemeClr w14:val="tx1"/>
            </w14:solidFill>
          </w14:textFill>
        </w:rPr>
      </w:pPr>
    </w:p>
    <w:p w14:paraId="1171917E">
      <w:pPr>
        <w:pageBreakBefore w:val="0"/>
        <w:kinsoku/>
        <w:bidi w:val="0"/>
        <w:spacing w:beforeAutospacing="0" w:afterAutospacing="0" w:line="360" w:lineRule="auto"/>
        <w:ind w:left="0" w:leftChars="0" w:right="0" w:rightChars="0" w:firstLine="612"/>
        <w:rPr>
          <w:rFonts w:ascii="宋体" w:hAnsi="宋体" w:cs="宋体"/>
          <w:color w:val="000000" w:themeColor="text1"/>
          <w:sz w:val="28"/>
          <w:szCs w:val="28"/>
          <w:highlight w:val="none"/>
          <w14:textFill>
            <w14:solidFill>
              <w14:schemeClr w14:val="tx1"/>
            </w14:solidFill>
          </w14:textFill>
        </w:rPr>
      </w:pPr>
    </w:p>
    <w:p w14:paraId="563033AF">
      <w:pPr>
        <w:pageBreakBefore w:val="0"/>
        <w:kinsoku/>
        <w:bidi w:val="0"/>
        <w:spacing w:beforeAutospacing="0" w:afterAutospacing="0" w:line="360" w:lineRule="auto"/>
        <w:ind w:left="0" w:leftChars="0" w:right="0" w:rightChars="0" w:firstLine="612"/>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u w:val="single"/>
          <w14:textFill>
            <w14:solidFill>
              <w14:schemeClr w14:val="tx1"/>
            </w14:solidFill>
          </w14:textFill>
        </w:rPr>
        <w:tab/>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（电子签章）</w:t>
      </w:r>
    </w:p>
    <w:p w14:paraId="2DDD527C">
      <w:pPr>
        <w:pageBreakBefore w:val="0"/>
        <w:kinsoku/>
        <w:bidi w:val="0"/>
        <w:spacing w:beforeAutospacing="0" w:afterAutospacing="0" w:line="360" w:lineRule="auto"/>
        <w:ind w:left="0" w:leftChars="0" w:right="0" w:rightChars="0" w:firstLine="612"/>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法定代表人或负责人或其委托代理人：</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（签字或盖章）</w:t>
      </w:r>
    </w:p>
    <w:p w14:paraId="6C385F0C">
      <w:pPr>
        <w:pageBreakBefore w:val="0"/>
        <w:kinsoku/>
        <w:bidi w:val="0"/>
        <w:spacing w:beforeAutospacing="0" w:afterAutospacing="0" w:line="360" w:lineRule="auto"/>
        <w:ind w:left="0" w:leftChars="0" w:right="0" w:rightChars="0" w:firstLine="612"/>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日  期：       年      月     日</w:t>
      </w:r>
    </w:p>
    <w:p w14:paraId="0CEB4AAB">
      <w:pPr>
        <w:pageBreakBefore w:val="0"/>
        <w:kinsoku/>
        <w:bidi w:val="0"/>
        <w:spacing w:beforeAutospacing="0" w:afterAutospacing="0" w:line="360" w:lineRule="auto"/>
        <w:ind w:left="0" w:leftChars="0" w:right="0" w:rightChars="0" w:firstLine="612"/>
        <w:rPr>
          <w:rFonts w:ascii="宋体" w:hAnsi="宋体" w:cs="宋体"/>
          <w:color w:val="000000" w:themeColor="text1"/>
          <w:sz w:val="28"/>
          <w:szCs w:val="28"/>
          <w:highlight w:val="none"/>
          <w14:textFill>
            <w14:solidFill>
              <w14:schemeClr w14:val="tx1"/>
            </w14:solidFill>
          </w14:textFill>
        </w:rPr>
      </w:pPr>
    </w:p>
    <w:p w14:paraId="657FD9B0">
      <w:pPr>
        <w:pageBreakBefore w:val="0"/>
        <w:kinsoku/>
        <w:bidi w:val="0"/>
        <w:spacing w:beforeAutospacing="0" w:afterAutospacing="0" w:line="360" w:lineRule="auto"/>
        <w:ind w:left="0" w:leftChars="0" w:right="0" w:rightChars="0" w:firstLine="612"/>
        <w:rPr>
          <w:rFonts w:ascii="宋体" w:hAnsi="宋体" w:cs="宋体"/>
          <w:color w:val="000000" w:themeColor="text1"/>
          <w:sz w:val="28"/>
          <w:szCs w:val="28"/>
          <w:highlight w:val="none"/>
          <w14:textFill>
            <w14:solidFill>
              <w14:schemeClr w14:val="tx1"/>
            </w14:solidFill>
          </w14:textFill>
        </w:rPr>
        <w:sectPr>
          <w:headerReference r:id="rId7" w:type="first"/>
          <w:footerReference r:id="rId9" w:type="first"/>
          <w:headerReference r:id="rId6" w:type="default"/>
          <w:footerReference r:id="rId8" w:type="default"/>
          <w:pgSz w:w="11905" w:h="16838"/>
          <w:pgMar w:top="1247" w:right="1247" w:bottom="1247" w:left="1247" w:header="680" w:footer="680" w:gutter="0"/>
          <w:pgNumType w:fmt="decimal"/>
          <w:cols w:space="0" w:num="1"/>
          <w:titlePg/>
          <w:rtlGutter w:val="0"/>
          <w:docGrid w:linePitch="286" w:charSpace="0"/>
        </w:sectPr>
      </w:pPr>
    </w:p>
    <w:p w14:paraId="45C85C8D">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p>
    <w:bookmarkEnd w:id="382"/>
    <w:bookmarkEnd w:id="383"/>
    <w:p w14:paraId="3C5EC37E">
      <w:pPr>
        <w:pStyle w:val="3"/>
        <w:pageBreakBefore w:val="0"/>
        <w:kinsoku/>
        <w:wordWrap w:val="0"/>
        <w:bidi w:val="0"/>
        <w:spacing w:before="0" w:beforeAutospacing="0" w:after="0" w:afterAutospacing="0" w:line="360" w:lineRule="auto"/>
        <w:ind w:left="0" w:leftChars="0" w:right="0" w:rightChars="0"/>
        <w:jc w:val="center"/>
        <w:rPr>
          <w:rFonts w:ascii="宋体" w:hAnsi="宋体" w:eastAsia="宋体" w:cs="宋体"/>
          <w:color w:val="000000" w:themeColor="text1"/>
          <w:sz w:val="28"/>
          <w:szCs w:val="28"/>
          <w:highlight w:val="none"/>
          <w14:textFill>
            <w14:solidFill>
              <w14:schemeClr w14:val="tx1"/>
            </w14:solidFill>
          </w14:textFill>
        </w:rPr>
      </w:pPr>
      <w:bookmarkStart w:id="384" w:name="_Toc15837"/>
      <w:bookmarkStart w:id="385" w:name="_Toc432697214"/>
      <w:bookmarkStart w:id="386" w:name="_Toc24253"/>
      <w:r>
        <w:rPr>
          <w:rFonts w:hint="eastAsia" w:ascii="宋体" w:hAnsi="宋体" w:eastAsia="宋体" w:cs="宋体"/>
          <w:color w:val="000000" w:themeColor="text1"/>
          <w:sz w:val="28"/>
          <w:szCs w:val="28"/>
          <w:highlight w:val="none"/>
          <w14:textFill>
            <w14:solidFill>
              <w14:schemeClr w14:val="tx1"/>
            </w14:solidFill>
          </w14:textFill>
        </w:rPr>
        <w:t>一、投标函部分格式</w:t>
      </w:r>
      <w:bookmarkEnd w:id="384"/>
      <w:bookmarkEnd w:id="385"/>
      <w:bookmarkEnd w:id="386"/>
    </w:p>
    <w:p w14:paraId="51DD36F3">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387" w:name="_Toc432697215"/>
      <w:bookmarkStart w:id="388" w:name="_Toc10709"/>
      <w:bookmarkStart w:id="389" w:name="_Toc624"/>
      <w:bookmarkStart w:id="390" w:name="_Toc229583228"/>
      <w:r>
        <w:rPr>
          <w:rFonts w:hint="eastAsia" w:ascii="宋体" w:hAnsi="宋体" w:cs="宋体"/>
          <w:color w:val="000000" w:themeColor="text1"/>
          <w:sz w:val="24"/>
          <w:szCs w:val="24"/>
          <w:highlight w:val="none"/>
          <w14:textFill>
            <w14:solidFill>
              <w14:schemeClr w14:val="tx1"/>
            </w14:solidFill>
          </w14:textFill>
        </w:rPr>
        <w:t>（一）投标函</w:t>
      </w:r>
      <w:bookmarkEnd w:id="387"/>
      <w:bookmarkEnd w:id="388"/>
      <w:bookmarkEnd w:id="389"/>
    </w:p>
    <w:p w14:paraId="73D74402">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kern w:val="0"/>
          <w:highlight w:val="none"/>
          <w:u w:val="single"/>
          <w14:textFill>
            <w14:solidFill>
              <w14:schemeClr w14:val="tx1"/>
            </w14:solidFill>
          </w14:textFill>
        </w:rPr>
      </w:pPr>
      <w:r>
        <w:rPr>
          <w:rFonts w:hint="eastAsia" w:hAnsi="宋体" w:cs="宋体"/>
          <w:color w:val="000000" w:themeColor="text1"/>
          <w:kern w:val="0"/>
          <w:highlight w:val="none"/>
          <w:u w:val="single"/>
          <w14:textFill>
            <w14:solidFill>
              <w14:schemeClr w14:val="tx1"/>
            </w14:solidFill>
          </w14:textFill>
        </w:rPr>
        <w:t xml:space="preserve">（采购人名称）: </w:t>
      </w:r>
    </w:p>
    <w:p w14:paraId="612AA790">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kern w:val="0"/>
          <w:highlight w:val="none"/>
          <w:u w:val="single"/>
          <w14:textFill>
            <w14:solidFill>
              <w14:schemeClr w14:val="tx1"/>
            </w14:solidFill>
          </w14:textFill>
        </w:rPr>
      </w:pPr>
    </w:p>
    <w:p w14:paraId="3DBCAAC2">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kern w:val="0"/>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1．我方己仔细研究了</w:t>
      </w:r>
      <w:r>
        <w:rPr>
          <w:rFonts w:hint="eastAsia" w:hAnsi="宋体" w:cs="宋体"/>
          <w:color w:val="000000" w:themeColor="text1"/>
          <w:kern w:val="0"/>
          <w:highlight w:val="none"/>
          <w:u w:val="single"/>
          <w14:textFill>
            <w14:solidFill>
              <w14:schemeClr w14:val="tx1"/>
            </w14:solidFill>
          </w14:textFill>
        </w:rPr>
        <w:t xml:space="preserve">  （项目名称）  </w:t>
      </w:r>
      <w:r>
        <w:rPr>
          <w:rFonts w:hint="eastAsia" w:hAnsi="宋体" w:cs="宋体"/>
          <w:color w:val="000000" w:themeColor="text1"/>
          <w:kern w:val="0"/>
          <w:highlight w:val="none"/>
          <w14:textFill>
            <w14:solidFill>
              <w14:schemeClr w14:val="tx1"/>
            </w14:solidFill>
          </w14:textFill>
        </w:rPr>
        <w:t>招标文件的全部内容，愿意以人民币：</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元（大写：</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）的投标报价承担本项目。我方将无条件认可采购人的任务安排。</w:t>
      </w:r>
    </w:p>
    <w:p w14:paraId="2BD61DFA">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kern w:val="0"/>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2．我方承诺在招标文件规定的投标有效期</w:t>
      </w:r>
      <w:r>
        <w:rPr>
          <w:rFonts w:hint="eastAsia" w:hAnsi="宋体" w:cs="宋体"/>
          <w:color w:val="000000" w:themeColor="text1"/>
          <w:kern w:val="0"/>
          <w:highlight w:val="none"/>
          <w:u w:val="single"/>
          <w14:textFill>
            <w14:solidFill>
              <w14:schemeClr w14:val="tx1"/>
            </w14:solidFill>
          </w14:textFill>
        </w:rPr>
        <w:t xml:space="preserve"> 90 </w:t>
      </w:r>
      <w:r>
        <w:rPr>
          <w:rFonts w:hint="eastAsia" w:hAnsi="宋体" w:cs="宋体"/>
          <w:color w:val="000000" w:themeColor="text1"/>
          <w:kern w:val="0"/>
          <w:highlight w:val="none"/>
          <w14:textFill>
            <w14:solidFill>
              <w14:schemeClr w14:val="tx1"/>
            </w14:solidFill>
          </w14:textFill>
        </w:rPr>
        <w:t>日历天内（自投标截止之日起算），不修改、撤销投标文件。</w:t>
      </w:r>
    </w:p>
    <w:p w14:paraId="57574B14">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kern w:val="0"/>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3．如我方中标：</w:t>
      </w:r>
    </w:p>
    <w:p w14:paraId="12DA1178">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kern w:val="0"/>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（1）我方承诺在收到中标通知书后，在中标通知书规定的期限内与你方签订合同。</w:t>
      </w:r>
    </w:p>
    <w:p w14:paraId="6B0DF33D">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kern w:val="0"/>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（2）我方承诺在合同约定的期限内完成并移交全部合同项目。</w:t>
      </w:r>
    </w:p>
    <w:p w14:paraId="0FD96205">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kern w:val="0"/>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4．我方在此声明，所递交的投标文件及有关资料内容完整、真实和准确。</w:t>
      </w:r>
    </w:p>
    <w:p w14:paraId="2B8483B1">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kern w:val="0"/>
          <w:highlight w:val="none"/>
          <w:u w:val="singl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 xml:space="preserve">5. </w:t>
      </w:r>
      <w:r>
        <w:rPr>
          <w:rFonts w:hint="eastAsia" w:hAnsi="宋体" w:cs="宋体"/>
          <w:color w:val="000000" w:themeColor="text1"/>
          <w:kern w:val="0"/>
          <w:highlight w:val="none"/>
          <w:u w:val="single"/>
          <w14:textFill>
            <w14:solidFill>
              <w14:schemeClr w14:val="tx1"/>
            </w14:solidFill>
          </w14:textFill>
        </w:rPr>
        <w:t xml:space="preserve">                     （其他补充说明）             。</w:t>
      </w:r>
    </w:p>
    <w:p w14:paraId="71E4A328">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kern w:val="0"/>
          <w:highlight w:val="none"/>
          <w:u w:val="single"/>
          <w14:textFill>
            <w14:solidFill>
              <w14:schemeClr w14:val="tx1"/>
            </w14:solidFill>
          </w14:textFill>
        </w:rPr>
      </w:pPr>
    </w:p>
    <w:p w14:paraId="6DF5D6CE">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kern w:val="0"/>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供应商</w:t>
      </w:r>
      <w:r>
        <w:rPr>
          <w:rFonts w:hint="eastAsia" w:hAnsi="宋体" w:cs="宋体"/>
          <w:color w:val="000000" w:themeColor="text1"/>
          <w:kern w:val="0"/>
          <w:highlight w:val="none"/>
          <w14:textFill>
            <w14:solidFill>
              <w14:schemeClr w14:val="tx1"/>
            </w14:solidFill>
          </w14:textFill>
        </w:rPr>
        <w:t>：</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（电子签章）</w:t>
      </w:r>
    </w:p>
    <w:p w14:paraId="0B678827">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kern w:val="0"/>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 xml:space="preserve">单位地址：                              </w:t>
      </w:r>
    </w:p>
    <w:p w14:paraId="3533E75A">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kern w:val="0"/>
          <w:highlight w:val="none"/>
          <w:u w:val="singl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法定代表人或其委托代理人：</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（电子签章）</w:t>
      </w:r>
    </w:p>
    <w:p w14:paraId="0A16E83C">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kern w:val="0"/>
          <w:highlight w:val="none"/>
          <w:u w:val="singl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邮政编码：</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电话：</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传真：</w:t>
      </w:r>
      <w:r>
        <w:rPr>
          <w:rFonts w:hint="eastAsia" w:hAnsi="宋体" w:cs="宋体"/>
          <w:color w:val="000000" w:themeColor="text1"/>
          <w:kern w:val="0"/>
          <w:highlight w:val="none"/>
          <w:u w:val="single"/>
          <w14:textFill>
            <w14:solidFill>
              <w14:schemeClr w14:val="tx1"/>
            </w14:solidFill>
          </w14:textFill>
        </w:rPr>
        <w:t xml:space="preserve">             </w:t>
      </w:r>
    </w:p>
    <w:p w14:paraId="5C1A7B29">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kern w:val="0"/>
          <w:highlight w:val="none"/>
          <w:u w:val="singl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日期：</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年</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月</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日</w:t>
      </w:r>
    </w:p>
    <w:p w14:paraId="2CCFBDD6">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highlight w:val="none"/>
          <w14:textFill>
            <w14:solidFill>
              <w14:schemeClr w14:val="tx1"/>
            </w14:solidFill>
          </w14:textFill>
        </w:rPr>
      </w:pPr>
    </w:p>
    <w:p w14:paraId="7E572C5A">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highlight w:val="none"/>
          <w14:textFill>
            <w14:solidFill>
              <w14:schemeClr w14:val="tx1"/>
            </w14:solidFill>
          </w14:textFill>
        </w:rPr>
      </w:pPr>
    </w:p>
    <w:p w14:paraId="2555B9BC">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highlight w:val="none"/>
          <w14:textFill>
            <w14:solidFill>
              <w14:schemeClr w14:val="tx1"/>
            </w14:solidFill>
          </w14:textFill>
        </w:rPr>
      </w:pPr>
    </w:p>
    <w:p w14:paraId="5795D031">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highlight w:val="none"/>
          <w14:textFill>
            <w14:solidFill>
              <w14:schemeClr w14:val="tx1"/>
            </w14:solidFill>
          </w14:textFill>
        </w:rPr>
      </w:pPr>
    </w:p>
    <w:p w14:paraId="0580B76C">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highlight w:val="none"/>
          <w14:textFill>
            <w14:solidFill>
              <w14:schemeClr w14:val="tx1"/>
            </w14:solidFill>
          </w14:textFill>
        </w:rPr>
      </w:pPr>
    </w:p>
    <w:p w14:paraId="34BFF37D">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391" w:name="_Toc432697216"/>
      <w:r>
        <w:rPr>
          <w:rFonts w:hint="eastAsia" w:ascii="宋体" w:hAnsi="宋体" w:cs="宋体"/>
          <w:color w:val="000000" w:themeColor="text1"/>
          <w:sz w:val="21"/>
          <w:szCs w:val="21"/>
          <w:highlight w:val="none"/>
          <w14:textFill>
            <w14:solidFill>
              <w14:schemeClr w14:val="tx1"/>
            </w14:solidFill>
          </w14:textFill>
        </w:rPr>
        <w:br w:type="page"/>
      </w:r>
      <w:bookmarkStart w:id="392" w:name="_Toc21786"/>
      <w:bookmarkStart w:id="393" w:name="_Toc13522"/>
      <w:r>
        <w:rPr>
          <w:rFonts w:hint="eastAsia" w:ascii="宋体" w:hAnsi="宋体" w:cs="宋体"/>
          <w:color w:val="000000" w:themeColor="text1"/>
          <w:sz w:val="24"/>
          <w:szCs w:val="24"/>
          <w:highlight w:val="none"/>
          <w14:textFill>
            <w14:solidFill>
              <w14:schemeClr w14:val="tx1"/>
            </w14:solidFill>
          </w14:textFill>
        </w:rPr>
        <w:t>（二）法定代表人证明书</w:t>
      </w:r>
      <w:bookmarkEnd w:id="391"/>
      <w:bookmarkEnd w:id="392"/>
      <w:bookmarkEnd w:id="393"/>
    </w:p>
    <w:bookmarkEnd w:id="390"/>
    <w:p w14:paraId="767C16D0">
      <w:pPr>
        <w:pageBreakBefore w:val="0"/>
        <w:kinsoku/>
        <w:wordWrap w:val="0"/>
        <w:bidi w:val="0"/>
        <w:spacing w:beforeAutospacing="0" w:afterAutospacing="0" w:line="360" w:lineRule="auto"/>
        <w:ind w:left="0" w:leftChars="0" w:right="0" w:rightChars="0" w:firstLine="612"/>
        <w:jc w:val="both"/>
        <w:rPr>
          <w:rFonts w:ascii="宋体" w:hAnsi="宋体" w:cs="宋体"/>
          <w:color w:val="000000" w:themeColor="text1"/>
          <w:sz w:val="21"/>
          <w:szCs w:val="21"/>
          <w:highlight w:val="none"/>
          <w14:textFill>
            <w14:solidFill>
              <w14:schemeClr w14:val="tx1"/>
            </w14:solidFill>
          </w14:textFill>
        </w:rPr>
      </w:pPr>
    </w:p>
    <w:p w14:paraId="1642E819">
      <w:pPr>
        <w:pageBreakBefore w:val="0"/>
        <w:kinsoku/>
        <w:wordWrap w:val="0"/>
        <w:bidi w:val="0"/>
        <w:spacing w:beforeAutospacing="0" w:afterAutospacing="0" w:line="360" w:lineRule="auto"/>
        <w:ind w:left="0" w:leftChars="0" w:right="0" w:rightChars="0" w:firstLine="612"/>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单位名称：</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p>
    <w:p w14:paraId="130BB3A9">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单位性质：</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p>
    <w:p w14:paraId="3FAC50B7">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    址：</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p>
    <w:p w14:paraId="343E00CF">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成立时间：</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日</w:t>
      </w:r>
    </w:p>
    <w:p w14:paraId="56FC4D8E">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经营期限：</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7EEC514B">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姓    名：</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性别：</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年龄：</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职务：</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15CB9BA0">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系</w:t>
      </w:r>
      <w:r>
        <w:rPr>
          <w:rFonts w:hint="eastAsia" w:ascii="宋体" w:hAnsi="宋体" w:cs="宋体"/>
          <w:color w:val="000000" w:themeColor="text1"/>
          <w:sz w:val="21"/>
          <w:szCs w:val="21"/>
          <w:highlight w:val="none"/>
          <w:u w:val="single"/>
          <w14:textFill>
            <w14:solidFill>
              <w14:schemeClr w14:val="tx1"/>
            </w14:solidFill>
          </w14:textFill>
        </w:rPr>
        <w:t xml:space="preserve">          （供应商单位名称）         </w:t>
      </w:r>
      <w:r>
        <w:rPr>
          <w:rFonts w:hint="eastAsia" w:ascii="宋体" w:hAnsi="宋体" w:cs="宋体"/>
          <w:color w:val="000000" w:themeColor="text1"/>
          <w:sz w:val="21"/>
          <w:szCs w:val="21"/>
          <w:highlight w:val="none"/>
          <w14:textFill>
            <w14:solidFill>
              <w14:schemeClr w14:val="tx1"/>
            </w14:solidFill>
          </w14:textFill>
        </w:rPr>
        <w:t>的法定代表人。</w:t>
      </w:r>
    </w:p>
    <w:p w14:paraId="50648ABF">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14:textFill>
            <w14:solidFill>
              <w14:schemeClr w14:val="tx1"/>
            </w14:solidFill>
          </w14:textFill>
        </w:rPr>
      </w:pPr>
    </w:p>
    <w:p w14:paraId="13D52AB2">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特此证明。</w:t>
      </w:r>
    </w:p>
    <w:p w14:paraId="3A997928">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14:textFill>
            <w14:solidFill>
              <w14:schemeClr w14:val="tx1"/>
            </w14:solidFill>
          </w14:textFill>
        </w:rPr>
      </w:pPr>
    </w:p>
    <w:p w14:paraId="03F964E1">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14:textFill>
            <w14:solidFill>
              <w14:schemeClr w14:val="tx1"/>
            </w14:solidFill>
          </w14:textFill>
        </w:rPr>
      </w:pPr>
    </w:p>
    <w:p w14:paraId="739FBAAA">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（电子签章）</w:t>
      </w:r>
    </w:p>
    <w:p w14:paraId="798192BD">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14:textFill>
            <w14:solidFill>
              <w14:schemeClr w14:val="tx1"/>
            </w14:solidFill>
          </w14:textFill>
        </w:rPr>
      </w:pPr>
    </w:p>
    <w:p w14:paraId="11A7E46B">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日期：      年     月     日</w:t>
      </w:r>
    </w:p>
    <w:p w14:paraId="1223BEEF">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14:textFill>
            <w14:solidFill>
              <w14:schemeClr w14:val="tx1"/>
            </w14:solidFill>
          </w14:textFill>
        </w:rPr>
      </w:pPr>
    </w:p>
    <w:p w14:paraId="441AD3F9">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14:textFill>
            <w14:solidFill>
              <w14:schemeClr w14:val="tx1"/>
            </w14:solidFill>
          </w14:textFill>
        </w:rPr>
      </w:pPr>
    </w:p>
    <w:p w14:paraId="054C6822">
      <w:pPr>
        <w:pageBreakBefore w:val="0"/>
        <w:kinsoku/>
        <w:wordWrap w:val="0"/>
        <w:bidi w:val="0"/>
        <w:spacing w:beforeAutospacing="0" w:afterAutospacing="0" w:line="360" w:lineRule="auto"/>
        <w:ind w:left="0" w:leftChars="0" w:right="0" w:rightChars="0" w:firstLine="610"/>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注：后附法定代表人身份证扫描件。</w:t>
      </w:r>
    </w:p>
    <w:p w14:paraId="0480D3BB">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bookmarkStart w:id="394" w:name="_Toc16655"/>
      <w:bookmarkStart w:id="395" w:name="_Toc432697217"/>
      <w:bookmarkStart w:id="396" w:name="_Toc715"/>
      <w:r>
        <w:rPr>
          <w:rFonts w:hint="eastAsia" w:ascii="宋体" w:hAnsi="宋体" w:cs="宋体"/>
          <w:color w:val="000000" w:themeColor="text1"/>
          <w:sz w:val="24"/>
          <w:szCs w:val="24"/>
          <w:highlight w:val="none"/>
          <w14:textFill>
            <w14:solidFill>
              <w14:schemeClr w14:val="tx1"/>
            </w14:solidFill>
          </w14:textFill>
        </w:rPr>
        <w:t>（三）投标文件签署授权委托书</w:t>
      </w:r>
      <w:bookmarkEnd w:id="394"/>
      <w:bookmarkEnd w:id="395"/>
      <w:bookmarkEnd w:id="396"/>
    </w:p>
    <w:p w14:paraId="321EC1BB">
      <w:pPr>
        <w:pageBreakBefore w:val="0"/>
        <w:kinsoku/>
        <w:wordWrap w:val="0"/>
        <w:bidi w:val="0"/>
        <w:spacing w:beforeAutospacing="0" w:afterAutospacing="0" w:line="360" w:lineRule="auto"/>
        <w:ind w:left="0" w:leftChars="0" w:right="0" w:rightChars="0" w:firstLine="610"/>
        <w:jc w:val="both"/>
        <w:rPr>
          <w:rFonts w:ascii="宋体" w:hAnsi="宋体" w:cs="宋体"/>
          <w:color w:val="000000" w:themeColor="text1"/>
          <w:sz w:val="21"/>
          <w:szCs w:val="21"/>
          <w:highlight w:val="none"/>
          <w14:textFill>
            <w14:solidFill>
              <w14:schemeClr w14:val="tx1"/>
            </w14:solidFill>
          </w14:textFill>
        </w:rPr>
      </w:pPr>
    </w:p>
    <w:p w14:paraId="2E265D96">
      <w:pPr>
        <w:pageBreakBefore w:val="0"/>
        <w:kinsoku/>
        <w:wordWrap w:val="0"/>
        <w:bidi w:val="0"/>
        <w:spacing w:beforeAutospacing="0" w:afterAutospacing="0" w:line="360" w:lineRule="auto"/>
        <w:ind w:left="0" w:leftChars="0" w:right="0" w:rightChars="0"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本授权委托书声明：我</w:t>
      </w:r>
      <w:r>
        <w:rPr>
          <w:rFonts w:hint="eastAsia" w:ascii="宋体" w:hAnsi="宋体" w:cs="宋体"/>
          <w:color w:val="000000" w:themeColor="text1"/>
          <w:sz w:val="21"/>
          <w:szCs w:val="21"/>
          <w:highlight w:val="none"/>
          <w:u w:val="single"/>
          <w14:textFill>
            <w14:solidFill>
              <w14:schemeClr w14:val="tx1"/>
            </w14:solidFill>
          </w14:textFill>
        </w:rPr>
        <w:t xml:space="preserve"> （姓名） </w:t>
      </w:r>
      <w:r>
        <w:rPr>
          <w:rFonts w:hint="eastAsia" w:ascii="宋体" w:hAnsi="宋体" w:cs="宋体"/>
          <w:color w:val="000000" w:themeColor="text1"/>
          <w:sz w:val="21"/>
          <w:szCs w:val="21"/>
          <w:highlight w:val="none"/>
          <w14:textFill>
            <w14:solidFill>
              <w14:schemeClr w14:val="tx1"/>
            </w14:solidFill>
          </w14:textFill>
        </w:rPr>
        <w:t>系</w:t>
      </w:r>
      <w:r>
        <w:rPr>
          <w:rFonts w:hint="eastAsia" w:ascii="宋体" w:hAnsi="宋体" w:cs="宋体"/>
          <w:color w:val="000000" w:themeColor="text1"/>
          <w:sz w:val="21"/>
          <w:szCs w:val="21"/>
          <w:highlight w:val="none"/>
          <w:u w:val="single"/>
          <w14:textFill>
            <w14:solidFill>
              <w14:schemeClr w14:val="tx1"/>
            </w14:solidFill>
          </w14:textFill>
        </w:rPr>
        <w:t xml:space="preserve">    （供应商名称）    </w:t>
      </w:r>
      <w:r>
        <w:rPr>
          <w:rFonts w:hint="eastAsia" w:ascii="宋体" w:hAnsi="宋体" w:cs="宋体"/>
          <w:color w:val="000000" w:themeColor="text1"/>
          <w:sz w:val="21"/>
          <w:szCs w:val="21"/>
          <w:highlight w:val="none"/>
          <w14:textFill>
            <w14:solidFill>
              <w14:schemeClr w14:val="tx1"/>
            </w14:solidFill>
          </w14:textFill>
        </w:rPr>
        <w:t>的法定代表人，现授权委托</w:t>
      </w:r>
      <w:r>
        <w:rPr>
          <w:rFonts w:hint="eastAsia" w:ascii="宋体" w:hAnsi="宋体" w:cs="宋体"/>
          <w:color w:val="000000" w:themeColor="text1"/>
          <w:sz w:val="21"/>
          <w:szCs w:val="21"/>
          <w:highlight w:val="none"/>
          <w:u w:val="single"/>
          <w14:textFill>
            <w14:solidFill>
              <w14:schemeClr w14:val="tx1"/>
            </w14:solidFill>
          </w14:textFill>
        </w:rPr>
        <w:t xml:space="preserve">    （供应商名称）    </w:t>
      </w:r>
      <w:r>
        <w:rPr>
          <w:rFonts w:hint="eastAsia" w:ascii="宋体" w:hAnsi="宋体" w:cs="宋体"/>
          <w:color w:val="000000" w:themeColor="text1"/>
          <w:sz w:val="21"/>
          <w:szCs w:val="21"/>
          <w:highlight w:val="none"/>
          <w14:textFill>
            <w14:solidFill>
              <w14:schemeClr w14:val="tx1"/>
            </w14:solidFill>
          </w14:textFill>
        </w:rPr>
        <w:t>的</w:t>
      </w:r>
      <w:r>
        <w:rPr>
          <w:rFonts w:hint="eastAsia" w:ascii="宋体" w:hAnsi="宋体" w:cs="宋体"/>
          <w:color w:val="000000" w:themeColor="text1"/>
          <w:sz w:val="21"/>
          <w:szCs w:val="21"/>
          <w:highlight w:val="none"/>
          <w:u w:val="single"/>
          <w14:textFill>
            <w14:solidFill>
              <w14:schemeClr w14:val="tx1"/>
            </w14:solidFill>
          </w14:textFill>
        </w:rPr>
        <w:t xml:space="preserve"> （姓名）</w:t>
      </w:r>
      <w:r>
        <w:rPr>
          <w:rFonts w:hint="eastAsia" w:ascii="宋体" w:hAnsi="宋体" w:cs="宋体"/>
          <w:color w:val="000000" w:themeColor="text1"/>
          <w:sz w:val="21"/>
          <w:szCs w:val="21"/>
          <w:highlight w:val="none"/>
          <w14:textFill>
            <w14:solidFill>
              <w14:schemeClr w14:val="tx1"/>
            </w14:solidFill>
          </w14:textFill>
        </w:rPr>
        <w:t>为我公司签署本项目的投标文件的法定代表人授权委托代理人，我承认代理人全权代表我所签署的本项目的投标文件的内容。</w:t>
      </w:r>
    </w:p>
    <w:p w14:paraId="39518050">
      <w:pPr>
        <w:pageBreakBefore w:val="0"/>
        <w:kinsoku/>
        <w:wordWrap w:val="0"/>
        <w:bidi w:val="0"/>
        <w:spacing w:beforeAutospacing="0" w:afterAutospacing="0" w:line="360" w:lineRule="auto"/>
        <w:ind w:left="0" w:leftChars="0" w:right="0" w:rightChars="0" w:firstLine="420" w:firstLineChars="200"/>
        <w:jc w:val="both"/>
        <w:rPr>
          <w:rFonts w:ascii="宋体" w:hAnsi="宋体" w:cs="宋体"/>
          <w:color w:val="000000" w:themeColor="text1"/>
          <w:sz w:val="21"/>
          <w:szCs w:val="21"/>
          <w:highlight w:val="none"/>
          <w14:textFill>
            <w14:solidFill>
              <w14:schemeClr w14:val="tx1"/>
            </w14:solidFill>
          </w14:textFill>
        </w:rPr>
      </w:pPr>
    </w:p>
    <w:p w14:paraId="10A838E6">
      <w:pPr>
        <w:pageBreakBefore w:val="0"/>
        <w:kinsoku/>
        <w:wordWrap w:val="0"/>
        <w:bidi w:val="0"/>
        <w:spacing w:beforeAutospacing="0" w:afterAutospacing="0" w:line="360" w:lineRule="auto"/>
        <w:ind w:left="0" w:leftChars="0" w:right="0" w:rightChars="0"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代理人无转委托权，特此委托。</w:t>
      </w:r>
    </w:p>
    <w:p w14:paraId="42FA9A32">
      <w:pPr>
        <w:pageBreakBefore w:val="0"/>
        <w:kinsoku/>
        <w:wordWrap w:val="0"/>
        <w:bidi w:val="0"/>
        <w:spacing w:beforeAutospacing="0" w:afterAutospacing="0" w:line="360" w:lineRule="auto"/>
        <w:ind w:left="0" w:leftChars="0" w:right="0" w:rightChars="0" w:firstLine="420" w:firstLineChars="200"/>
        <w:jc w:val="both"/>
        <w:rPr>
          <w:rFonts w:ascii="宋体" w:hAnsi="宋体" w:cs="宋体"/>
          <w:color w:val="000000" w:themeColor="text1"/>
          <w:sz w:val="21"/>
          <w:szCs w:val="21"/>
          <w:highlight w:val="none"/>
          <w14:textFill>
            <w14:solidFill>
              <w14:schemeClr w14:val="tx1"/>
            </w14:solidFill>
          </w14:textFill>
        </w:rPr>
      </w:pPr>
    </w:p>
    <w:p w14:paraId="34C833EA">
      <w:pPr>
        <w:pageBreakBefore w:val="0"/>
        <w:kinsoku/>
        <w:wordWrap w:val="0"/>
        <w:bidi w:val="0"/>
        <w:spacing w:beforeAutospacing="0" w:afterAutospacing="0" w:line="360" w:lineRule="auto"/>
        <w:ind w:left="0" w:leftChars="0" w:right="0" w:rightChars="0" w:firstLine="420" w:firstLineChars="200"/>
        <w:jc w:val="both"/>
        <w:rPr>
          <w:rFonts w:ascii="宋体" w:hAnsi="宋体" w:cs="宋体"/>
          <w:color w:val="000000" w:themeColor="text1"/>
          <w:sz w:val="21"/>
          <w:szCs w:val="21"/>
          <w:highlight w:val="none"/>
          <w14:textFill>
            <w14:solidFill>
              <w14:schemeClr w14:val="tx1"/>
            </w14:solidFill>
          </w14:textFill>
        </w:rPr>
      </w:pPr>
    </w:p>
    <w:p w14:paraId="7846CD10">
      <w:pPr>
        <w:pageBreakBefore w:val="0"/>
        <w:kinsoku/>
        <w:wordWrap w:val="0"/>
        <w:bidi w:val="0"/>
        <w:spacing w:beforeAutospacing="0" w:afterAutospacing="0" w:line="360" w:lineRule="auto"/>
        <w:ind w:left="0" w:leftChars="0" w:right="0" w:rightChars="0"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代理人：</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性别：</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年龄：</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3D8E2B9C">
      <w:pPr>
        <w:pageBreakBefore w:val="0"/>
        <w:kinsoku/>
        <w:wordWrap w:val="0"/>
        <w:bidi w:val="0"/>
        <w:spacing w:beforeAutospacing="0" w:afterAutospacing="0" w:line="360" w:lineRule="auto"/>
        <w:ind w:left="0" w:leftChars="0" w:right="0" w:rightChars="0"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身份证号码：</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职务：</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5C0B7DB2">
      <w:pPr>
        <w:pageBreakBefore w:val="0"/>
        <w:kinsoku/>
        <w:wordWrap w:val="0"/>
        <w:bidi w:val="0"/>
        <w:spacing w:beforeAutospacing="0" w:afterAutospacing="0" w:line="360" w:lineRule="auto"/>
        <w:ind w:left="0" w:leftChars="0" w:right="0" w:rightChars="0"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（电子签章）</w:t>
      </w:r>
    </w:p>
    <w:p w14:paraId="1C30A2AA">
      <w:pPr>
        <w:pageBreakBefore w:val="0"/>
        <w:kinsoku/>
        <w:wordWrap w:val="0"/>
        <w:bidi w:val="0"/>
        <w:spacing w:beforeAutospacing="0" w:afterAutospacing="0" w:line="360" w:lineRule="auto"/>
        <w:ind w:left="0" w:leftChars="0" w:right="0" w:rightChars="0"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（电子签章）</w:t>
      </w:r>
    </w:p>
    <w:p w14:paraId="7DD3545C">
      <w:pPr>
        <w:pageBreakBefore w:val="0"/>
        <w:kinsoku/>
        <w:wordWrap w:val="0"/>
        <w:bidi w:val="0"/>
        <w:spacing w:beforeAutospacing="0" w:afterAutospacing="0" w:line="360" w:lineRule="auto"/>
        <w:ind w:left="0" w:leftChars="0" w:right="0" w:rightChars="0"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授权委托日期：</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日</w:t>
      </w:r>
    </w:p>
    <w:p w14:paraId="5AAED390">
      <w:pPr>
        <w:pageBreakBefore w:val="0"/>
        <w:kinsoku/>
        <w:wordWrap w:val="0"/>
        <w:bidi w:val="0"/>
        <w:spacing w:beforeAutospacing="0" w:afterAutospacing="0" w:line="360" w:lineRule="auto"/>
        <w:ind w:left="0" w:leftChars="0" w:right="0" w:rightChars="0" w:firstLine="420" w:firstLineChars="200"/>
        <w:jc w:val="both"/>
        <w:rPr>
          <w:rFonts w:ascii="宋体" w:hAnsi="宋体" w:cs="宋体"/>
          <w:color w:val="000000" w:themeColor="text1"/>
          <w:sz w:val="21"/>
          <w:szCs w:val="21"/>
          <w:highlight w:val="none"/>
          <w14:textFill>
            <w14:solidFill>
              <w14:schemeClr w14:val="tx1"/>
            </w14:solidFill>
          </w14:textFill>
        </w:rPr>
      </w:pPr>
    </w:p>
    <w:p w14:paraId="747A8C20">
      <w:pPr>
        <w:pageBreakBefore w:val="0"/>
        <w:kinsoku/>
        <w:wordWrap w:val="0"/>
        <w:bidi w:val="0"/>
        <w:spacing w:beforeAutospacing="0" w:afterAutospacing="0" w:line="360" w:lineRule="auto"/>
        <w:ind w:left="0" w:leftChars="0" w:right="0" w:rightChars="0" w:firstLine="422" w:firstLineChars="200"/>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注：后附授权委托人身份证扫描件。</w:t>
      </w:r>
    </w:p>
    <w:p w14:paraId="1BEFDC35">
      <w:pPr>
        <w:pageBreakBefore w:val="0"/>
        <w:kinsoku/>
        <w:wordWrap w:val="0"/>
        <w:bidi w:val="0"/>
        <w:spacing w:beforeAutospacing="0" w:afterAutospacing="0" w:line="360" w:lineRule="auto"/>
        <w:ind w:left="0" w:leftChars="0" w:right="0" w:rightChars="0" w:firstLine="420" w:firstLineChars="200"/>
        <w:jc w:val="both"/>
        <w:rPr>
          <w:rFonts w:ascii="宋体" w:hAnsi="宋体" w:cs="宋体"/>
          <w:color w:val="000000" w:themeColor="text1"/>
          <w:sz w:val="21"/>
          <w:szCs w:val="21"/>
          <w:highlight w:val="none"/>
          <w14:textFill>
            <w14:solidFill>
              <w14:schemeClr w14:val="tx1"/>
            </w14:solidFill>
          </w14:textFill>
        </w:rPr>
      </w:pPr>
    </w:p>
    <w:p w14:paraId="36CEB2BC">
      <w:pPr>
        <w:pageBreakBefore w:val="0"/>
        <w:kinsoku/>
        <w:wordWrap w:val="0"/>
        <w:bidi w:val="0"/>
        <w:spacing w:beforeAutospacing="0" w:afterAutospacing="0" w:line="360" w:lineRule="auto"/>
        <w:ind w:left="0" w:leftChars="0" w:right="0" w:rightChars="0" w:firstLine="420" w:firstLineChars="200"/>
        <w:jc w:val="both"/>
        <w:rPr>
          <w:rFonts w:ascii="宋体" w:hAnsi="宋体" w:cs="宋体"/>
          <w:color w:val="000000" w:themeColor="text1"/>
          <w:sz w:val="21"/>
          <w:szCs w:val="21"/>
          <w:highlight w:val="none"/>
          <w14:textFill>
            <w14:solidFill>
              <w14:schemeClr w14:val="tx1"/>
            </w14:solidFill>
          </w14:textFill>
        </w:rPr>
      </w:pPr>
    </w:p>
    <w:p w14:paraId="259566A4">
      <w:pPr>
        <w:pageBreakBefore w:val="0"/>
        <w:kinsoku/>
        <w:wordWrap w:val="0"/>
        <w:bidi w:val="0"/>
        <w:spacing w:beforeAutospacing="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p>
    <w:p w14:paraId="2E82254A">
      <w:pPr>
        <w:pStyle w:val="334"/>
        <w:pageBreakBefore w:val="0"/>
        <w:widowControl w:val="0"/>
        <w:kinsoku/>
        <w:bidi w:val="0"/>
        <w:spacing w:beforeAutospacing="0" w:afterAutospacing="0"/>
        <w:ind w:left="477" w:leftChars="0" w:right="0" w:rightChars="0" w:hanging="477" w:hangingChars="199"/>
        <w:rPr>
          <w:rFonts w:ascii="宋体" w:cs="宋体"/>
          <w:color w:val="000000" w:themeColor="text1"/>
          <w:highlight w:val="none"/>
          <w14:textFill>
            <w14:solidFill>
              <w14:schemeClr w14:val="tx1"/>
            </w14:solidFill>
          </w14:textFill>
        </w:rPr>
      </w:pPr>
    </w:p>
    <w:p w14:paraId="68C0A18B">
      <w:pPr>
        <w:pageBreakBefore w:val="0"/>
        <w:kinsoku/>
        <w:bidi w:val="0"/>
        <w:spacing w:beforeAutospacing="0" w:afterAutospacing="0"/>
        <w:ind w:left="0" w:leftChars="0" w:right="0" w:rightChars="0"/>
        <w:rPr>
          <w:rFonts w:ascii="宋体" w:hAnsi="宋体" w:cs="宋体"/>
          <w:b/>
          <w:color w:val="000000" w:themeColor="text1"/>
          <w:sz w:val="28"/>
          <w:szCs w:val="28"/>
          <w:highlight w:val="none"/>
          <w14:textFill>
            <w14:solidFill>
              <w14:schemeClr w14:val="tx1"/>
            </w14:solidFill>
          </w14:textFill>
        </w:rPr>
      </w:pPr>
      <w:bookmarkStart w:id="397" w:name="_Toc18498"/>
      <w:bookmarkStart w:id="398" w:name="_Toc27325"/>
      <w:bookmarkStart w:id="399" w:name="_Toc28473"/>
      <w:bookmarkStart w:id="400" w:name="_Toc27034"/>
      <w:bookmarkStart w:id="401" w:name="_Toc1322"/>
      <w:r>
        <w:rPr>
          <w:rFonts w:hint="eastAsia" w:ascii="宋体" w:hAnsi="宋体" w:cs="宋体"/>
          <w:b/>
          <w:color w:val="000000" w:themeColor="text1"/>
          <w:sz w:val="28"/>
          <w:szCs w:val="28"/>
          <w:highlight w:val="none"/>
          <w14:textFill>
            <w14:solidFill>
              <w14:schemeClr w14:val="tx1"/>
            </w14:solidFill>
          </w14:textFill>
        </w:rPr>
        <w:br w:type="page"/>
      </w:r>
    </w:p>
    <w:p w14:paraId="51DD5176">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402" w:name="_Toc14735"/>
      <w:bookmarkStart w:id="403" w:name="_Toc31025"/>
      <w:r>
        <w:rPr>
          <w:rFonts w:hint="eastAsia" w:ascii="宋体" w:hAnsi="宋体" w:cs="宋体"/>
          <w:color w:val="000000" w:themeColor="text1"/>
          <w:sz w:val="24"/>
          <w:szCs w:val="24"/>
          <w:highlight w:val="none"/>
          <w14:textFill>
            <w14:solidFill>
              <w14:schemeClr w14:val="tx1"/>
            </w14:solidFill>
          </w14:textFill>
        </w:rPr>
        <w:t>（四）投标保证金缴费凭证复印件</w:t>
      </w:r>
      <w:bookmarkEnd w:id="397"/>
      <w:bookmarkEnd w:id="398"/>
      <w:bookmarkEnd w:id="399"/>
      <w:bookmarkEnd w:id="400"/>
      <w:bookmarkEnd w:id="401"/>
      <w:bookmarkEnd w:id="402"/>
      <w:bookmarkEnd w:id="403"/>
    </w:p>
    <w:p w14:paraId="328B03F2">
      <w:pPr>
        <w:pageBreakBefore w:val="0"/>
        <w:kinsoku/>
        <w:wordWrap w:val="0"/>
        <w:bidi w:val="0"/>
        <w:spacing w:beforeAutospacing="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附：保证金缴费凭证及开户许可证（或基本存款账户信息）复印件</w:t>
      </w:r>
    </w:p>
    <w:p w14:paraId="67F79255">
      <w:pPr>
        <w:pageBreakBefore w:val="0"/>
        <w:widowControl w:val="0"/>
        <w:kinsoku/>
        <w:bidi w:val="0"/>
        <w:spacing w:beforeAutospacing="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p>
    <w:p w14:paraId="11201680">
      <w:pPr>
        <w:pageBreakBefore w:val="0"/>
        <w:widowControl w:val="0"/>
        <w:kinsoku/>
        <w:bidi w:val="0"/>
        <w:spacing w:beforeAutospacing="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p>
    <w:p w14:paraId="3152E9B1">
      <w:pPr>
        <w:pageBreakBefore w:val="0"/>
        <w:widowControl w:val="0"/>
        <w:kinsoku/>
        <w:bidi w:val="0"/>
        <w:spacing w:beforeAutospacing="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p>
    <w:p w14:paraId="53671733">
      <w:pPr>
        <w:pageBreakBefore w:val="0"/>
        <w:widowControl w:val="0"/>
        <w:kinsoku/>
        <w:bidi w:val="0"/>
        <w:spacing w:beforeAutospacing="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p>
    <w:p w14:paraId="19AED54C">
      <w:pPr>
        <w:pageBreakBefore w:val="0"/>
        <w:widowControl w:val="0"/>
        <w:kinsoku/>
        <w:bidi w:val="0"/>
        <w:spacing w:beforeAutospacing="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p>
    <w:p w14:paraId="00D70592">
      <w:pPr>
        <w:pageBreakBefore w:val="0"/>
        <w:kinsoku/>
        <w:wordWrap w:val="0"/>
        <w:bidi w:val="0"/>
        <w:spacing w:beforeAutospacing="0" w:afterAutospacing="0" w:line="360" w:lineRule="auto"/>
        <w:ind w:left="0" w:leftChars="0" w:right="0" w:rightChars="0" w:firstLine="540"/>
        <w:jc w:val="center"/>
        <w:rPr>
          <w:rFonts w:ascii="宋体" w:hAnsi="宋体" w:cs="宋体"/>
          <w:color w:val="000000" w:themeColor="text1"/>
          <w:sz w:val="21"/>
          <w:szCs w:val="21"/>
          <w:highlight w:val="none"/>
          <w14:textFill>
            <w14:solidFill>
              <w14:schemeClr w14:val="tx1"/>
            </w14:solidFill>
          </w14:textFill>
        </w:rPr>
      </w:pPr>
    </w:p>
    <w:p w14:paraId="6F284A81">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404" w:name="_Toc18916"/>
      <w:bookmarkStart w:id="405" w:name="_Toc1536"/>
      <w:bookmarkStart w:id="406" w:name="_Toc432697219"/>
      <w:r>
        <w:rPr>
          <w:rFonts w:hint="eastAsia" w:ascii="宋体" w:hAnsi="宋体" w:cs="宋体"/>
          <w:color w:val="000000" w:themeColor="text1"/>
          <w:sz w:val="24"/>
          <w:szCs w:val="24"/>
          <w:highlight w:val="none"/>
          <w14:textFill>
            <w14:solidFill>
              <w14:schemeClr w14:val="tx1"/>
            </w14:solidFill>
          </w14:textFill>
        </w:rPr>
        <w:t>（五）供应商其他材料</w:t>
      </w:r>
      <w:bookmarkEnd w:id="404"/>
      <w:bookmarkEnd w:id="405"/>
      <w:bookmarkEnd w:id="406"/>
    </w:p>
    <w:p w14:paraId="7B258CD6">
      <w:pPr>
        <w:pageBreakBefore w:val="0"/>
        <w:kinsoku/>
        <w:wordWrap w:val="0"/>
        <w:bidi w:val="0"/>
        <w:spacing w:beforeAutospacing="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供应商认为需要其他材料。</w:t>
      </w:r>
    </w:p>
    <w:p w14:paraId="59914611">
      <w:pPr>
        <w:pageBreakBefore w:val="0"/>
        <w:kinsoku/>
        <w:wordWrap w:val="0"/>
        <w:bidi w:val="0"/>
        <w:spacing w:beforeAutospacing="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p>
    <w:p w14:paraId="1DC6E003">
      <w:pPr>
        <w:pageBreakBefore w:val="0"/>
        <w:kinsoku/>
        <w:wordWrap w:val="0"/>
        <w:bidi w:val="0"/>
        <w:spacing w:beforeAutospacing="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p>
    <w:p w14:paraId="5645741B">
      <w:pPr>
        <w:pStyle w:val="3"/>
        <w:pageBreakBefore w:val="0"/>
        <w:kinsoku/>
        <w:wordWrap w:val="0"/>
        <w:bidi w:val="0"/>
        <w:spacing w:before="0" w:beforeAutospacing="0" w:after="0" w:afterAutospacing="0" w:line="360" w:lineRule="auto"/>
        <w:ind w:left="0" w:leftChars="0" w:right="0" w:rightChars="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bookmarkStart w:id="407" w:name="_Toc24220"/>
      <w:bookmarkStart w:id="408" w:name="_Toc224363929"/>
      <w:bookmarkStart w:id="409" w:name="_Toc432697220"/>
      <w:bookmarkStart w:id="410" w:name="_Toc7358"/>
      <w:bookmarkStart w:id="411" w:name="_Toc246481575"/>
      <w:bookmarkStart w:id="412" w:name="_Toc229583245"/>
      <w:r>
        <w:rPr>
          <w:rFonts w:hint="eastAsia" w:ascii="宋体" w:hAnsi="宋体" w:eastAsia="宋体" w:cs="宋体"/>
          <w:color w:val="000000" w:themeColor="text1"/>
          <w:sz w:val="28"/>
          <w:szCs w:val="28"/>
          <w:highlight w:val="none"/>
          <w14:textFill>
            <w14:solidFill>
              <w14:schemeClr w14:val="tx1"/>
            </w14:solidFill>
          </w14:textFill>
        </w:rPr>
        <w:t>二、投标文件报价部分格式</w:t>
      </w:r>
      <w:bookmarkEnd w:id="407"/>
      <w:bookmarkEnd w:id="408"/>
      <w:bookmarkEnd w:id="409"/>
      <w:bookmarkEnd w:id="410"/>
      <w:bookmarkEnd w:id="411"/>
      <w:bookmarkEnd w:id="412"/>
    </w:p>
    <w:p w14:paraId="0F75FB74">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413" w:name="_Toc188176426"/>
      <w:bookmarkStart w:id="414" w:name="_Toc30143"/>
      <w:bookmarkStart w:id="415" w:name="_Toc219697907"/>
      <w:bookmarkStart w:id="416" w:name="_Toc163016535"/>
      <w:bookmarkStart w:id="417" w:name="_Toc398724681"/>
      <w:bookmarkStart w:id="418" w:name="_Toc121812239"/>
      <w:bookmarkStart w:id="419" w:name="_Toc151185699"/>
      <w:bookmarkStart w:id="420" w:name="_Toc432697221"/>
      <w:bookmarkStart w:id="421" w:name="_Toc14707"/>
      <w:r>
        <w:rPr>
          <w:rFonts w:hint="eastAsia" w:ascii="宋体" w:hAnsi="宋体" w:cs="宋体"/>
          <w:color w:val="000000" w:themeColor="text1"/>
          <w:sz w:val="24"/>
          <w:szCs w:val="24"/>
          <w:highlight w:val="none"/>
          <w14:textFill>
            <w14:solidFill>
              <w14:schemeClr w14:val="tx1"/>
            </w14:solidFill>
          </w14:textFill>
        </w:rPr>
        <w:t>（一）投标报价一览表</w:t>
      </w:r>
      <w:bookmarkEnd w:id="413"/>
      <w:bookmarkEnd w:id="414"/>
      <w:bookmarkEnd w:id="415"/>
      <w:bookmarkEnd w:id="416"/>
      <w:bookmarkEnd w:id="417"/>
      <w:bookmarkEnd w:id="418"/>
      <w:bookmarkEnd w:id="419"/>
      <w:bookmarkEnd w:id="420"/>
      <w:bookmarkEnd w:id="421"/>
    </w:p>
    <w:tbl>
      <w:tblPr>
        <w:tblStyle w:val="4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904"/>
        <w:gridCol w:w="4729"/>
        <w:gridCol w:w="790"/>
      </w:tblGrid>
      <w:tr w14:paraId="79E4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5" w:type="dxa"/>
            <w:vAlign w:val="center"/>
          </w:tcPr>
          <w:p w14:paraId="2FCE9EC8">
            <w:pPr>
              <w:pageBreakBefore w:val="0"/>
              <w:kinsoku/>
              <w:wordWrap w:val="0"/>
              <w:bidi w:val="0"/>
              <w:spacing w:beforeAutospacing="0" w:afterAutospacing="0"/>
              <w:ind w:left="0" w:leftChars="0" w:right="0" w:rightChars="0"/>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序号</w:t>
            </w:r>
          </w:p>
        </w:tc>
        <w:tc>
          <w:tcPr>
            <w:tcW w:w="2904" w:type="dxa"/>
            <w:vAlign w:val="center"/>
          </w:tcPr>
          <w:p w14:paraId="3E0DD600">
            <w:pPr>
              <w:pageBreakBefore w:val="0"/>
              <w:kinsoku/>
              <w:wordWrap w:val="0"/>
              <w:bidi w:val="0"/>
              <w:spacing w:beforeAutospacing="0" w:afterAutospacing="0"/>
              <w:ind w:left="0" w:leftChars="0" w:right="0" w:rightChars="0"/>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项目</w:t>
            </w:r>
          </w:p>
        </w:tc>
        <w:tc>
          <w:tcPr>
            <w:tcW w:w="4729" w:type="dxa"/>
            <w:vAlign w:val="center"/>
          </w:tcPr>
          <w:p w14:paraId="239C7B1B">
            <w:pPr>
              <w:pageBreakBefore w:val="0"/>
              <w:kinsoku/>
              <w:wordWrap w:val="0"/>
              <w:bidi w:val="0"/>
              <w:spacing w:beforeAutospacing="0" w:afterAutospacing="0"/>
              <w:ind w:left="0" w:leftChars="0" w:right="0" w:rightChars="0"/>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金额及承诺</w:t>
            </w:r>
          </w:p>
        </w:tc>
        <w:tc>
          <w:tcPr>
            <w:tcW w:w="790" w:type="dxa"/>
            <w:vAlign w:val="center"/>
          </w:tcPr>
          <w:p w14:paraId="48174632">
            <w:pPr>
              <w:pageBreakBefore w:val="0"/>
              <w:kinsoku/>
              <w:wordWrap w:val="0"/>
              <w:bidi w:val="0"/>
              <w:spacing w:beforeAutospacing="0" w:afterAutospacing="0"/>
              <w:ind w:left="0" w:leftChars="0" w:right="0" w:rightChars="0"/>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备注</w:t>
            </w:r>
          </w:p>
        </w:tc>
      </w:tr>
      <w:tr w14:paraId="5FA8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5" w:type="dxa"/>
            <w:vAlign w:val="center"/>
          </w:tcPr>
          <w:p w14:paraId="11E2F9B1">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2904" w:type="dxa"/>
            <w:vAlign w:val="center"/>
          </w:tcPr>
          <w:p w14:paraId="2ABE3702">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bookmarkStart w:id="422" w:name="_Hlk55218988"/>
            <w:r>
              <w:rPr>
                <w:rFonts w:hint="eastAsia" w:ascii="宋体" w:hAnsi="宋体" w:cs="宋体"/>
                <w:color w:val="000000" w:themeColor="text1"/>
                <w:sz w:val="21"/>
                <w:szCs w:val="21"/>
                <w:highlight w:val="none"/>
                <w14:textFill>
                  <w14:solidFill>
                    <w14:schemeClr w14:val="tx1"/>
                  </w14:solidFill>
                </w14:textFill>
              </w:rPr>
              <w:t>投标总报价（元</w:t>
            </w:r>
            <w:r>
              <w:rPr>
                <w:rFonts w:hint="eastAsia" w:ascii="宋体" w:hAnsi="宋体" w:cs="宋体"/>
                <w:color w:val="000000" w:themeColor="text1"/>
                <w:sz w:val="21"/>
                <w:szCs w:val="21"/>
                <w:highlight w:val="none"/>
                <w:lang w:val="en-US" w:eastAsia="zh-CN"/>
                <w14:textFill>
                  <w14:solidFill>
                    <w14:schemeClr w14:val="tx1"/>
                  </w14:solidFill>
                </w14:textFill>
              </w:rPr>
              <w:t>/年</w:t>
            </w:r>
            <w:r>
              <w:rPr>
                <w:rFonts w:hint="eastAsia" w:ascii="宋体" w:hAnsi="宋体" w:cs="宋体"/>
                <w:color w:val="000000" w:themeColor="text1"/>
                <w:sz w:val="21"/>
                <w:szCs w:val="21"/>
                <w:highlight w:val="none"/>
                <w14:textFill>
                  <w14:solidFill>
                    <w14:schemeClr w14:val="tx1"/>
                  </w14:solidFill>
                </w14:textFill>
              </w:rPr>
              <w:t>）</w:t>
            </w:r>
            <w:bookmarkEnd w:id="422"/>
          </w:p>
        </w:tc>
        <w:tc>
          <w:tcPr>
            <w:tcW w:w="4729" w:type="dxa"/>
            <w:vAlign w:val="center"/>
          </w:tcPr>
          <w:p w14:paraId="19FDD586">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tc>
        <w:tc>
          <w:tcPr>
            <w:tcW w:w="790" w:type="dxa"/>
            <w:vAlign w:val="center"/>
          </w:tcPr>
          <w:p w14:paraId="6467C163">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r>
      <w:tr w14:paraId="6BC1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5" w:type="dxa"/>
            <w:vAlign w:val="center"/>
          </w:tcPr>
          <w:p w14:paraId="676CE91A">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2904" w:type="dxa"/>
            <w:vAlign w:val="center"/>
          </w:tcPr>
          <w:p w14:paraId="5E35AE24">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bookmarkStart w:id="423" w:name="_Hlk50723886"/>
            <w:r>
              <w:rPr>
                <w:rFonts w:hint="eastAsia" w:ascii="宋体" w:hAnsi="宋体" w:cs="宋体"/>
                <w:color w:val="000000" w:themeColor="text1"/>
                <w:sz w:val="21"/>
                <w:szCs w:val="21"/>
                <w:highlight w:val="none"/>
                <w14:textFill>
                  <w14:solidFill>
                    <w14:schemeClr w14:val="tx1"/>
                  </w14:solidFill>
                </w14:textFill>
              </w:rPr>
              <w:t>服务期限承诺</w:t>
            </w:r>
            <w:bookmarkEnd w:id="423"/>
          </w:p>
        </w:tc>
        <w:tc>
          <w:tcPr>
            <w:tcW w:w="4729" w:type="dxa"/>
            <w:vAlign w:val="center"/>
          </w:tcPr>
          <w:p w14:paraId="24C7B313">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p>
        </w:tc>
        <w:tc>
          <w:tcPr>
            <w:tcW w:w="790" w:type="dxa"/>
            <w:vAlign w:val="center"/>
          </w:tcPr>
          <w:p w14:paraId="5E56981C">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p>
        </w:tc>
      </w:tr>
      <w:tr w14:paraId="45A1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5" w:type="dxa"/>
            <w:vAlign w:val="center"/>
          </w:tcPr>
          <w:p w14:paraId="4DB10B1F">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p>
        </w:tc>
        <w:tc>
          <w:tcPr>
            <w:tcW w:w="2904" w:type="dxa"/>
            <w:vAlign w:val="center"/>
          </w:tcPr>
          <w:p w14:paraId="18A30FFC">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质量承诺</w:t>
            </w:r>
          </w:p>
        </w:tc>
        <w:tc>
          <w:tcPr>
            <w:tcW w:w="4729" w:type="dxa"/>
            <w:vAlign w:val="center"/>
          </w:tcPr>
          <w:p w14:paraId="255D284B">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u w:val="single"/>
                <w14:textFill>
                  <w14:solidFill>
                    <w14:schemeClr w14:val="tx1"/>
                  </w14:solidFill>
                </w14:textFill>
              </w:rPr>
            </w:pPr>
          </w:p>
        </w:tc>
        <w:tc>
          <w:tcPr>
            <w:tcW w:w="790" w:type="dxa"/>
            <w:vAlign w:val="center"/>
          </w:tcPr>
          <w:p w14:paraId="530076DD">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u w:val="single"/>
                <w14:textFill>
                  <w14:solidFill>
                    <w14:schemeClr w14:val="tx1"/>
                  </w14:solidFill>
                </w14:textFill>
              </w:rPr>
            </w:pPr>
          </w:p>
        </w:tc>
      </w:tr>
      <w:tr w14:paraId="5159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5" w:type="dxa"/>
            <w:vAlign w:val="center"/>
          </w:tcPr>
          <w:p w14:paraId="4F01124E">
            <w:pPr>
              <w:pageBreakBefore w:val="0"/>
              <w:kinsoku/>
              <w:wordWrap w:val="0"/>
              <w:bidi w:val="0"/>
              <w:spacing w:beforeAutospacing="0" w:afterAutospacing="0"/>
              <w:ind w:left="0" w:leftChars="0" w:right="0" w:righ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2904" w:type="dxa"/>
            <w:vAlign w:val="center"/>
          </w:tcPr>
          <w:p w14:paraId="1209C81E">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其他承诺</w:t>
            </w:r>
          </w:p>
        </w:tc>
        <w:tc>
          <w:tcPr>
            <w:tcW w:w="4729" w:type="dxa"/>
            <w:vAlign w:val="center"/>
          </w:tcPr>
          <w:p w14:paraId="786E9CE4">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u w:val="single"/>
                <w14:textFill>
                  <w14:solidFill>
                    <w14:schemeClr w14:val="tx1"/>
                  </w14:solidFill>
                </w14:textFill>
              </w:rPr>
            </w:pPr>
          </w:p>
        </w:tc>
        <w:tc>
          <w:tcPr>
            <w:tcW w:w="790" w:type="dxa"/>
            <w:vAlign w:val="center"/>
          </w:tcPr>
          <w:p w14:paraId="24D53241">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u w:val="single"/>
                <w14:textFill>
                  <w14:solidFill>
                    <w14:schemeClr w14:val="tx1"/>
                  </w14:solidFill>
                </w14:textFill>
              </w:rPr>
            </w:pPr>
          </w:p>
        </w:tc>
      </w:tr>
    </w:tbl>
    <w:p w14:paraId="3DE117AA">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highlight w:val="none"/>
          <w14:textFill>
            <w14:solidFill>
              <w14:schemeClr w14:val="tx1"/>
            </w14:solidFill>
          </w14:textFill>
        </w:rPr>
      </w:pPr>
    </w:p>
    <w:p w14:paraId="5D1B7D59">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供应商：</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（电子签章）</w:t>
      </w:r>
    </w:p>
    <w:p w14:paraId="2831EF1F">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法定代表人或其委托代理人：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（电子签章）</w:t>
      </w:r>
    </w:p>
    <w:p w14:paraId="2D655E88">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日期：       年       月       日</w:t>
      </w:r>
    </w:p>
    <w:p w14:paraId="305AAD37">
      <w:pPr>
        <w:pageBreakBefore w:val="0"/>
        <w:kinsoku/>
        <w:wordWrap w:val="0"/>
        <w:bidi w:val="0"/>
        <w:spacing w:beforeAutospacing="0" w:afterAutospacing="0" w:line="360" w:lineRule="auto"/>
        <w:ind w:left="0" w:leftChars="0" w:right="0" w:rightChars="0" w:firstLine="495" w:firstLineChars="236"/>
        <w:rPr>
          <w:rFonts w:ascii="宋体" w:hAnsi="宋体" w:cs="宋体"/>
          <w:color w:val="000000" w:themeColor="text1"/>
          <w:sz w:val="21"/>
          <w:szCs w:val="21"/>
          <w:highlight w:val="none"/>
          <w14:textFill>
            <w14:solidFill>
              <w14:schemeClr w14:val="tx1"/>
            </w14:solidFill>
          </w14:textFill>
        </w:rPr>
      </w:pPr>
    </w:p>
    <w:p w14:paraId="06F50DF3">
      <w:pPr>
        <w:pageBreakBefore w:val="0"/>
        <w:kinsoku/>
        <w:wordWrap w:val="0"/>
        <w:bidi w:val="0"/>
        <w:spacing w:beforeAutospacing="0" w:afterAutospacing="0" w:line="360" w:lineRule="auto"/>
        <w:ind w:left="0" w:leftChars="0" w:right="0" w:rightChars="0" w:firstLine="495" w:firstLineChars="236"/>
        <w:rPr>
          <w:rFonts w:ascii="宋体" w:hAnsi="宋体" w:cs="宋体"/>
          <w:color w:val="000000" w:themeColor="text1"/>
          <w:sz w:val="21"/>
          <w:szCs w:val="21"/>
          <w:highlight w:val="none"/>
          <w14:textFill>
            <w14:solidFill>
              <w14:schemeClr w14:val="tx1"/>
            </w14:solidFill>
          </w14:textFill>
        </w:rPr>
      </w:pPr>
    </w:p>
    <w:p w14:paraId="73DE621C">
      <w:pPr>
        <w:pageBreakBefore w:val="0"/>
        <w:kinsoku/>
        <w:wordWrap w:val="0"/>
        <w:bidi w:val="0"/>
        <w:spacing w:beforeAutospacing="0" w:afterAutospacing="0"/>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424" w:name="_Toc398724682"/>
      <w:bookmarkStart w:id="425" w:name="_Toc317683320"/>
      <w:bookmarkStart w:id="426" w:name="_Toc432697222"/>
      <w:r>
        <w:rPr>
          <w:rFonts w:hint="eastAsia" w:ascii="宋体" w:hAnsi="宋体" w:cs="宋体"/>
          <w:color w:val="000000" w:themeColor="text1"/>
          <w:sz w:val="24"/>
          <w:szCs w:val="24"/>
          <w:highlight w:val="none"/>
          <w14:textFill>
            <w14:solidFill>
              <w14:schemeClr w14:val="tx1"/>
            </w14:solidFill>
          </w14:textFill>
        </w:rPr>
        <w:br w:type="page"/>
      </w:r>
    </w:p>
    <w:bookmarkEnd w:id="424"/>
    <w:bookmarkEnd w:id="425"/>
    <w:bookmarkEnd w:id="426"/>
    <w:p w14:paraId="1D6F3CD5">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bookmarkStart w:id="427" w:name="_Toc168404326"/>
      <w:bookmarkStart w:id="428" w:name="_Toc6670"/>
      <w:bookmarkStart w:id="429" w:name="_Toc14138"/>
      <w:bookmarkStart w:id="430" w:name="_Hlk170989611"/>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cs="宋体"/>
          <w:color w:val="000000" w:themeColor="text1"/>
          <w:sz w:val="24"/>
          <w:szCs w:val="24"/>
          <w:highlight w:val="none"/>
          <w14:textFill>
            <w14:solidFill>
              <w14:schemeClr w14:val="tx1"/>
            </w14:solidFill>
          </w14:textFill>
        </w:rPr>
        <w:t>）中小企业声明函</w:t>
      </w:r>
      <w:bookmarkEnd w:id="427"/>
      <w:bookmarkEnd w:id="428"/>
      <w:bookmarkEnd w:id="429"/>
    </w:p>
    <w:p w14:paraId="69B76DB8">
      <w:pPr>
        <w:pageBreakBefore w:val="0"/>
        <w:kinsoku/>
        <w:wordWrap w:val="0"/>
        <w:bidi w:val="0"/>
        <w:spacing w:beforeAutospacing="0" w:afterAutospacing="0" w:line="360" w:lineRule="auto"/>
        <w:ind w:left="0" w:leftChars="0" w:right="0" w:rightChars="0"/>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中小企业声明函</w:t>
      </w:r>
    </w:p>
    <w:p w14:paraId="0CEE91B6">
      <w:pPr>
        <w:pageBreakBefore w:val="0"/>
        <w:tabs>
          <w:tab w:val="left" w:pos="720"/>
        </w:tabs>
        <w:kinsoku/>
        <w:wordWrap w:val="0"/>
        <w:bidi w:val="0"/>
        <w:spacing w:beforeAutospacing="0" w:afterAutospacing="0" w:line="307" w:lineRule="auto"/>
        <w:ind w:left="0" w:leftChars="0" w:right="0" w:rightChars="0" w:hanging="9"/>
        <w:jc w:val="center"/>
        <w:rPr>
          <w:rFonts w:ascii="宋体" w:hAnsi="宋体" w:cs="宋体"/>
          <w:b/>
          <w:iCs/>
          <w:color w:val="000000" w:themeColor="text1"/>
          <w:sz w:val="28"/>
          <w:szCs w:val="28"/>
          <w:highlight w:val="none"/>
          <w:lang w:bidi="en-US"/>
          <w14:textFill>
            <w14:solidFill>
              <w14:schemeClr w14:val="tx1"/>
            </w14:solidFill>
          </w14:textFill>
        </w:rPr>
      </w:pPr>
      <w:r>
        <w:rPr>
          <w:rFonts w:hint="eastAsia" w:ascii="宋体" w:hAnsi="宋体" w:cs="宋体"/>
          <w:b/>
          <w:iCs/>
          <w:color w:val="000000" w:themeColor="text1"/>
          <w:sz w:val="28"/>
          <w:szCs w:val="28"/>
          <w:highlight w:val="none"/>
          <w:lang w:bidi="en-US"/>
          <w14:textFill>
            <w14:solidFill>
              <w14:schemeClr w14:val="tx1"/>
            </w14:solidFill>
          </w14:textFill>
        </w:rPr>
        <w:t>中小企业声明函（工程、服务）</w:t>
      </w:r>
    </w:p>
    <w:p w14:paraId="441E5BEA">
      <w:pPr>
        <w:pageBreakBefore w:val="0"/>
        <w:tabs>
          <w:tab w:val="left" w:pos="5580"/>
        </w:tabs>
        <w:kinsoku/>
        <w:wordWrap w:val="0"/>
        <w:bidi w:val="0"/>
        <w:spacing w:beforeAutospacing="0" w:afterAutospacing="0" w:line="360" w:lineRule="auto"/>
        <w:ind w:left="0" w:leftChars="0" w:right="0" w:rightChars="0"/>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符合《关于印发&lt;政府采购促进中小企业发展管理办法&gt;的通知》（财库〔2020〕46号）的供应商需提交</w:t>
      </w:r>
    </w:p>
    <w:p w14:paraId="4751006F">
      <w:pPr>
        <w:pageBreakBefore w:val="0"/>
        <w:kinsoku/>
        <w:wordWrap w:val="0"/>
        <w:bidi w:val="0"/>
        <w:spacing w:beforeAutospacing="0" w:afterAutospacing="0"/>
        <w:ind w:left="0" w:leftChars="0" w:right="0" w:rightChars="0"/>
        <w:rPr>
          <w:rFonts w:ascii="宋体" w:hAnsi="宋体" w:cs="宋体"/>
          <w:color w:val="000000" w:themeColor="text1"/>
          <w:highlight w:val="none"/>
          <w14:textFill>
            <w14:solidFill>
              <w14:schemeClr w14:val="tx1"/>
            </w14:solidFill>
          </w14:textFill>
        </w:rPr>
      </w:pPr>
    </w:p>
    <w:p w14:paraId="014B4717">
      <w:pPr>
        <w:pageBreakBefore w:val="0"/>
        <w:kinsoku/>
        <w:wordWrap w:val="0"/>
        <w:bidi w:val="0"/>
        <w:spacing w:beforeAutospacing="0" w:afterAutospacing="0" w:line="360" w:lineRule="auto"/>
        <w:ind w:left="0" w:leftChars="0" w:right="0" w:rightChars="0" w:firstLine="40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9AAE1F">
      <w:pPr>
        <w:pageBreakBefore w:val="0"/>
        <w:kinsoku/>
        <w:wordWrap w:val="0"/>
        <w:bidi w:val="0"/>
        <w:spacing w:beforeAutospacing="0" w:afterAutospacing="0" w:line="360" w:lineRule="auto"/>
        <w:ind w:left="0" w:leftChars="0" w:right="0" w:rightChars="0" w:firstLine="400" w:firstLineChars="200"/>
        <w:rPr>
          <w:rFonts w:ascii="宋体" w:hAnsi="宋体" w:cs="宋体"/>
          <w:color w:val="000000" w:themeColor="text1"/>
          <w:szCs w:val="21"/>
          <w:highlight w:val="none"/>
          <w14:textFill>
            <w14:solidFill>
              <w14:schemeClr w14:val="tx1"/>
            </w14:solidFill>
          </w14:textFill>
        </w:rPr>
      </w:pPr>
      <w:bookmarkStart w:id="431" w:name="bookmark39"/>
      <w:bookmarkEnd w:id="431"/>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 xml:space="preserve"> （标的名称） </w:t>
      </w:r>
      <w:r>
        <w:rPr>
          <w:rFonts w:hint="eastAsia" w:ascii="宋体" w:hAnsi="宋体" w:cs="宋体"/>
          <w:color w:val="000000" w:themeColor="text1"/>
          <w:szCs w:val="21"/>
          <w:highlight w:val="none"/>
          <w14:textFill>
            <w14:solidFill>
              <w14:schemeClr w14:val="tx1"/>
            </w14:solidFill>
          </w14:textFill>
        </w:rPr>
        <w:t>，属于</w:t>
      </w:r>
      <w:r>
        <w:rPr>
          <w:rFonts w:hint="eastAsia" w:ascii="宋体" w:hAnsi="宋体" w:cs="宋体"/>
          <w:color w:val="000000" w:themeColor="text1"/>
          <w:szCs w:val="21"/>
          <w:highlight w:val="none"/>
          <w:u w:val="single"/>
          <w14:textFill>
            <w14:solidFill>
              <w14:schemeClr w14:val="tx1"/>
            </w14:solidFill>
          </w14:textFill>
        </w:rPr>
        <w:t>（采购文件中明确的所属行业）</w:t>
      </w:r>
      <w:r>
        <w:rPr>
          <w:rFonts w:hint="eastAsia" w:ascii="宋体" w:hAnsi="宋体" w:cs="宋体"/>
          <w:color w:val="000000" w:themeColor="text1"/>
          <w:szCs w:val="21"/>
          <w:highlight w:val="none"/>
          <w14:textFill>
            <w14:solidFill>
              <w14:schemeClr w14:val="tx1"/>
            </w14:solidFill>
          </w14:textFill>
        </w:rPr>
        <w:t>；承建（承接）企业为</w:t>
      </w:r>
      <w:r>
        <w:rPr>
          <w:rFonts w:hint="eastAsia" w:ascii="宋体" w:hAnsi="宋体" w:cs="宋体"/>
          <w:color w:val="000000" w:themeColor="text1"/>
          <w:szCs w:val="21"/>
          <w:highlight w:val="none"/>
          <w:u w:val="single"/>
          <w14:textFill>
            <w14:solidFill>
              <w14:schemeClr w14:val="tx1"/>
            </w14:solidFill>
          </w14:textFill>
        </w:rPr>
        <w:t xml:space="preserve">   （企业名称）   </w:t>
      </w:r>
      <w:r>
        <w:rPr>
          <w:rFonts w:hint="eastAsia" w:ascii="宋体" w:hAnsi="宋体" w:cs="宋体"/>
          <w:color w:val="000000" w:themeColor="text1"/>
          <w:szCs w:val="21"/>
          <w:highlight w:val="none"/>
          <w14:textFill>
            <w14:solidFill>
              <w14:schemeClr w14:val="tx1"/>
            </w14:solidFill>
          </w14:textFill>
        </w:rPr>
        <w:t>，从业人员人，营业收入为万元，资产总额为万元</w:t>
      </w:r>
      <w:r>
        <w:rPr>
          <w:rFonts w:hint="eastAsia" w:ascii="宋体" w:hAnsi="宋体" w:cs="宋体"/>
          <w:color w:val="000000" w:themeColor="text1"/>
          <w:szCs w:val="21"/>
          <w:highlight w:val="none"/>
          <w:vertAlign w:val="superscript"/>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，属于</w:t>
      </w:r>
      <w:r>
        <w:rPr>
          <w:rFonts w:hint="eastAsia" w:ascii="宋体" w:hAnsi="宋体" w:cs="宋体"/>
          <w:color w:val="000000" w:themeColor="text1"/>
          <w:szCs w:val="21"/>
          <w:highlight w:val="none"/>
          <w:u w:val="single"/>
          <w14:textFill>
            <w14:solidFill>
              <w14:schemeClr w14:val="tx1"/>
            </w14:solidFill>
          </w14:textFill>
        </w:rPr>
        <w:t>（中型企业、小型企业、微型企业）</w:t>
      </w:r>
      <w:r>
        <w:rPr>
          <w:rFonts w:hint="eastAsia" w:ascii="宋体" w:hAnsi="宋体" w:cs="宋体"/>
          <w:color w:val="000000" w:themeColor="text1"/>
          <w:szCs w:val="21"/>
          <w:highlight w:val="none"/>
          <w14:textFill>
            <w14:solidFill>
              <w14:schemeClr w14:val="tx1"/>
            </w14:solidFill>
          </w14:textFill>
        </w:rPr>
        <w:t>；</w:t>
      </w:r>
    </w:p>
    <w:p w14:paraId="48B6FADF">
      <w:pPr>
        <w:pageBreakBefore w:val="0"/>
        <w:kinsoku/>
        <w:wordWrap w:val="0"/>
        <w:bidi w:val="0"/>
        <w:spacing w:beforeAutospacing="0" w:afterAutospacing="0" w:line="360" w:lineRule="auto"/>
        <w:ind w:left="0" w:leftChars="0" w:right="0" w:rightChars="0" w:firstLine="40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 xml:space="preserve">. （标的名称） </w:t>
      </w:r>
      <w:r>
        <w:rPr>
          <w:rFonts w:hint="eastAsia" w:ascii="宋体" w:hAnsi="宋体" w:cs="宋体"/>
          <w:color w:val="000000" w:themeColor="text1"/>
          <w:szCs w:val="21"/>
          <w:highlight w:val="none"/>
          <w14:textFill>
            <w14:solidFill>
              <w14:schemeClr w14:val="tx1"/>
            </w14:solidFill>
          </w14:textFill>
        </w:rPr>
        <w:t>，属于</w:t>
      </w:r>
      <w:r>
        <w:rPr>
          <w:rFonts w:hint="eastAsia" w:ascii="宋体" w:hAnsi="宋体" w:cs="宋体"/>
          <w:color w:val="000000" w:themeColor="text1"/>
          <w:szCs w:val="21"/>
          <w:highlight w:val="none"/>
          <w:u w:val="single"/>
          <w14:textFill>
            <w14:solidFill>
              <w14:schemeClr w14:val="tx1"/>
            </w14:solidFill>
          </w14:textFill>
        </w:rPr>
        <w:t>（采购文件中明确的所属行业）</w:t>
      </w:r>
      <w:r>
        <w:rPr>
          <w:rFonts w:hint="eastAsia" w:ascii="宋体" w:hAnsi="宋体" w:cs="宋体"/>
          <w:color w:val="000000" w:themeColor="text1"/>
          <w:szCs w:val="21"/>
          <w:highlight w:val="none"/>
          <w14:textFill>
            <w14:solidFill>
              <w14:schemeClr w14:val="tx1"/>
            </w14:solidFill>
          </w14:textFill>
        </w:rPr>
        <w:t>；承建（承接）企业为</w:t>
      </w:r>
      <w:r>
        <w:rPr>
          <w:rFonts w:hint="eastAsia" w:ascii="宋体" w:hAnsi="宋体" w:cs="宋体"/>
          <w:color w:val="000000" w:themeColor="text1"/>
          <w:szCs w:val="21"/>
          <w:highlight w:val="none"/>
          <w:u w:val="single"/>
          <w14:textFill>
            <w14:solidFill>
              <w14:schemeClr w14:val="tx1"/>
            </w14:solidFill>
          </w14:textFill>
        </w:rPr>
        <w:t>（企业名称）</w:t>
      </w:r>
      <w:r>
        <w:rPr>
          <w:rFonts w:hint="eastAsia" w:ascii="宋体" w:hAnsi="宋体" w:cs="宋体"/>
          <w:color w:val="000000" w:themeColor="text1"/>
          <w:szCs w:val="21"/>
          <w:highlight w:val="none"/>
          <w14:textFill>
            <w14:solidFill>
              <w14:schemeClr w14:val="tx1"/>
            </w14:solidFill>
          </w14:textFill>
        </w:rPr>
        <w:t>，从业人员人，营业收入为万元，资产总额为万元，属于</w:t>
      </w:r>
      <w:r>
        <w:rPr>
          <w:rFonts w:hint="eastAsia" w:ascii="宋体" w:hAnsi="宋体" w:cs="宋体"/>
          <w:color w:val="000000" w:themeColor="text1"/>
          <w:szCs w:val="21"/>
          <w:highlight w:val="none"/>
          <w:u w:val="single"/>
          <w14:textFill>
            <w14:solidFill>
              <w14:schemeClr w14:val="tx1"/>
            </w14:solidFill>
          </w14:textFill>
        </w:rPr>
        <w:t>（中型企业、小型企业、微型企业）</w:t>
      </w:r>
      <w:r>
        <w:rPr>
          <w:rFonts w:hint="eastAsia" w:ascii="宋体" w:hAnsi="宋体" w:cs="宋体"/>
          <w:color w:val="000000" w:themeColor="text1"/>
          <w:szCs w:val="21"/>
          <w:highlight w:val="none"/>
          <w14:textFill>
            <w14:solidFill>
              <w14:schemeClr w14:val="tx1"/>
            </w14:solidFill>
          </w14:textFill>
        </w:rPr>
        <w:t>；</w:t>
      </w:r>
    </w:p>
    <w:p w14:paraId="095EDC0A">
      <w:pPr>
        <w:pageBreakBefore w:val="0"/>
        <w:kinsoku/>
        <w:wordWrap w:val="0"/>
        <w:bidi w:val="0"/>
        <w:spacing w:beforeAutospacing="0" w:afterAutospacing="0" w:line="360" w:lineRule="auto"/>
        <w:ind w:left="0" w:leftChars="0" w:right="0" w:right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14:paraId="5A76B347">
      <w:pPr>
        <w:pageBreakBefore w:val="0"/>
        <w:kinsoku/>
        <w:wordWrap w:val="0"/>
        <w:bidi w:val="0"/>
        <w:spacing w:beforeAutospacing="0" w:afterAutospacing="0" w:line="360" w:lineRule="auto"/>
        <w:ind w:left="0" w:leftChars="0" w:right="0" w:rightChars="0" w:firstLine="40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51571E07">
      <w:pPr>
        <w:pageBreakBefore w:val="0"/>
        <w:kinsoku/>
        <w:wordWrap w:val="0"/>
        <w:bidi w:val="0"/>
        <w:spacing w:beforeAutospacing="0" w:afterAutospacing="0" w:line="360" w:lineRule="auto"/>
        <w:ind w:left="0" w:leftChars="0" w:right="0" w:rightChars="0" w:firstLine="40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本企业对上述声明内容的真实性负责。如有虚假，将依法承担相应责任。</w:t>
      </w:r>
    </w:p>
    <w:p w14:paraId="063FF215">
      <w:pPr>
        <w:pageBreakBefore w:val="0"/>
        <w:kinsoku/>
        <w:bidi w:val="0"/>
        <w:spacing w:beforeAutospacing="0" w:afterAutospacing="0" w:line="360" w:lineRule="auto"/>
        <w:ind w:left="0" w:leftChars="0" w:right="0" w:rightChars="0" w:firstLine="400" w:firstLineChars="200"/>
        <w:rPr>
          <w:rFonts w:ascii="宋体" w:hAnsi="宋体" w:cs="宋体"/>
          <w:color w:val="000000" w:themeColor="text1"/>
          <w:szCs w:val="21"/>
          <w:highlight w:val="none"/>
          <w14:textFill>
            <w14:solidFill>
              <w14:schemeClr w14:val="tx1"/>
            </w14:solidFill>
          </w14:textFill>
        </w:rPr>
      </w:pPr>
    </w:p>
    <w:p w14:paraId="2170A400">
      <w:pPr>
        <w:pageBreakBefore w:val="0"/>
        <w:kinsoku/>
        <w:bidi w:val="0"/>
        <w:spacing w:beforeAutospacing="0" w:afterAutospacing="0" w:line="360" w:lineRule="auto"/>
        <w:ind w:left="0" w:leftChars="0" w:right="0" w:rightChars="0" w:firstLine="422"/>
        <w:rPr>
          <w:rFonts w:ascii="宋体" w:hAnsi="宋体" w:cs="宋体"/>
          <w:color w:val="000000" w:themeColor="text1"/>
          <w:szCs w:val="21"/>
          <w:highlight w:val="none"/>
          <w14:textFill>
            <w14:solidFill>
              <w14:schemeClr w14:val="tx1"/>
            </w14:solidFill>
          </w14:textFill>
        </w:rPr>
      </w:pPr>
    </w:p>
    <w:p w14:paraId="2319AF8F">
      <w:pPr>
        <w:pageBreakBefore w:val="0"/>
        <w:kinsoku/>
        <w:bidi w:val="0"/>
        <w:spacing w:beforeAutospacing="0" w:afterAutospacing="0" w:line="360" w:lineRule="auto"/>
        <w:ind w:left="0" w:leftChars="0" w:right="0" w:rightChars="0" w:firstLine="40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_______</w:t>
      </w:r>
      <w:r>
        <w:rPr>
          <w:rFonts w:hint="eastAsia" w:ascii="宋体" w:hAnsi="宋体" w:cs="宋体"/>
          <w:bCs/>
          <w:color w:val="000000" w:themeColor="text1"/>
          <w:szCs w:val="21"/>
          <w:highlight w:val="none"/>
          <w14:textFill>
            <w14:solidFill>
              <w14:schemeClr w14:val="tx1"/>
            </w14:solidFill>
          </w14:textFill>
        </w:rPr>
        <w:t>（电子签章）</w:t>
      </w:r>
    </w:p>
    <w:p w14:paraId="4A1B7990">
      <w:pPr>
        <w:pageBreakBefore w:val="0"/>
        <w:kinsoku/>
        <w:bidi w:val="0"/>
        <w:spacing w:beforeAutospacing="0" w:afterAutospacing="0" w:line="360" w:lineRule="auto"/>
        <w:ind w:left="0" w:leftChars="0" w:right="0" w:rightChars="0" w:firstLine="40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法定代表人或其委托代理人：</w:t>
      </w:r>
      <w:r>
        <w:rPr>
          <w:rFonts w:hint="eastAsia" w:ascii="宋体" w:hAnsi="宋体" w:cs="宋体"/>
          <w:color w:val="000000" w:themeColor="text1"/>
          <w:szCs w:val="21"/>
          <w:highlight w:val="none"/>
          <w14:textFill>
            <w14:solidFill>
              <w14:schemeClr w14:val="tx1"/>
            </w14:solidFill>
          </w14:textFill>
        </w:rPr>
        <w:t>_______</w:t>
      </w:r>
      <w:r>
        <w:rPr>
          <w:rFonts w:hint="eastAsia" w:ascii="宋体" w:hAnsi="宋体" w:cs="宋体"/>
          <w:bCs/>
          <w:color w:val="000000" w:themeColor="text1"/>
          <w:szCs w:val="21"/>
          <w:highlight w:val="none"/>
          <w14:textFill>
            <w14:solidFill>
              <w14:schemeClr w14:val="tx1"/>
            </w14:solidFill>
          </w14:textFill>
        </w:rPr>
        <w:t>（电子签章）</w:t>
      </w:r>
    </w:p>
    <w:p w14:paraId="6B31E41F">
      <w:pPr>
        <w:pageBreakBefore w:val="0"/>
        <w:kinsoku/>
        <w:bidi w:val="0"/>
        <w:spacing w:beforeAutospacing="0" w:afterAutospacing="0" w:line="360" w:lineRule="auto"/>
        <w:ind w:left="0" w:leftChars="0" w:right="0" w:rightChars="0" w:firstLine="40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日期：</w:t>
      </w:r>
      <w:r>
        <w:rPr>
          <w:rFonts w:hint="eastAsia" w:ascii="宋体" w:hAnsi="宋体" w:cs="宋体"/>
          <w:bCs/>
          <w:color w:val="000000" w:themeColor="text1"/>
          <w:szCs w:val="21"/>
          <w:highlight w:val="none"/>
          <w:u w:val="single"/>
          <w14:textFill>
            <w14:solidFill>
              <w14:schemeClr w14:val="tx1"/>
            </w14:solidFill>
          </w14:textFill>
        </w:rPr>
        <w:t xml:space="preserve">     年   月   日</w:t>
      </w:r>
    </w:p>
    <w:p w14:paraId="21505FBA">
      <w:pPr>
        <w:pageBreakBefore w:val="0"/>
        <w:kinsoku/>
        <w:bidi w:val="0"/>
        <w:spacing w:beforeAutospacing="0" w:afterAutospacing="0" w:line="360" w:lineRule="auto"/>
        <w:ind w:left="0" w:leftChars="0" w:right="0" w:rightChars="0" w:firstLine="402" w:firstLineChars="200"/>
        <w:rPr>
          <w:rFonts w:ascii="宋体" w:hAnsi="宋体" w:cs="宋体"/>
          <w:b/>
          <w:bCs/>
          <w:color w:val="000000" w:themeColor="text1"/>
          <w:szCs w:val="21"/>
          <w:highlight w:val="none"/>
          <w14:textFill>
            <w14:solidFill>
              <w14:schemeClr w14:val="tx1"/>
            </w14:solidFill>
          </w14:textFill>
        </w:rPr>
      </w:pPr>
    </w:p>
    <w:p w14:paraId="6058F884">
      <w:pPr>
        <w:pStyle w:val="5"/>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p>
    <w:p w14:paraId="1BDEBFA0">
      <w:pPr>
        <w:pageBreakBefore w:val="0"/>
        <w:kinsoku/>
        <w:wordWrap w:val="0"/>
        <w:bidi w:val="0"/>
        <w:spacing w:beforeAutospacing="0" w:afterAutospacing="0" w:line="360" w:lineRule="auto"/>
        <w:ind w:left="422" w:leftChars="0" w:right="0" w:rightChars="0" w:hanging="422" w:hanging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注：</w:t>
      </w:r>
    </w:p>
    <w:p w14:paraId="34CE4F35">
      <w:pPr>
        <w:pageBreakBefore w:val="0"/>
        <w:kinsoku/>
        <w:wordWrap w:val="0"/>
        <w:bidi w:val="0"/>
        <w:spacing w:beforeAutospacing="0" w:afterAutospacing="0" w:line="360" w:lineRule="auto"/>
        <w:ind w:left="422" w:leftChars="0" w:right="0" w:rightChars="0" w:hanging="422" w:hanging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1.从业人员、营业收入、资产总额填报上一年度数据，无上一年度数据的新成立企业可不壤报。</w:t>
      </w:r>
    </w:p>
    <w:p w14:paraId="5B940FDE">
      <w:pPr>
        <w:pageBreakBefore w:val="0"/>
        <w:kinsoku/>
        <w:wordWrap w:val="0"/>
        <w:bidi w:val="0"/>
        <w:spacing w:beforeAutospacing="0" w:afterAutospacing="0" w:line="360" w:lineRule="auto"/>
        <w:ind w:left="0" w:leftChars="0" w:right="0" w:rightChars="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2.中小企业应当按照《政府采购促进中小企业发展管理办法》（财库〔2020〕46号）规定和《中小企业划型标准规定》（工信部联企业〔2011〕300号），如实填写并提交《中小企业声明函》。供应商对企业类型判断有困难的，可通过工业化和信息化部网站自测小程序，识别企业规模类型。（http://202.106.120.146/baosong/appweb/orgScale.html）</w:t>
      </w:r>
    </w:p>
    <w:p w14:paraId="495FAA96">
      <w:pPr>
        <w:pageBreakBefore w:val="0"/>
        <w:kinsoku/>
        <w:wordWrap w:val="0"/>
        <w:bidi w:val="0"/>
        <w:spacing w:beforeAutospacing="0" w:afterAutospacing="0" w:line="360" w:lineRule="auto"/>
        <w:ind w:left="0" w:leftChars="0" w:right="0" w:rightChars="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3.供应商填写本表时，对企业类型填写应准确、唯一，不允许跨越式填写（如中小企业、小微企业等），因供应商原因导致无法准确判断企业规模类型的，不予享受价格评审优惠政策。</w:t>
      </w:r>
    </w:p>
    <w:p w14:paraId="4125BAA0">
      <w:pPr>
        <w:pStyle w:val="4"/>
        <w:pageBreakBefore w:val="0"/>
        <w:kinsoku/>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br w:type="page"/>
      </w:r>
      <w:bookmarkStart w:id="432" w:name="_Toc32246"/>
      <w:bookmarkStart w:id="433" w:name="_Toc7713"/>
      <w:bookmarkStart w:id="434" w:name="_Toc168404328"/>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cs="宋体"/>
          <w:color w:val="000000" w:themeColor="text1"/>
          <w:sz w:val="24"/>
          <w:szCs w:val="24"/>
          <w:highlight w:val="none"/>
          <w14:textFill>
            <w14:solidFill>
              <w14:schemeClr w14:val="tx1"/>
            </w14:solidFill>
          </w14:textFill>
        </w:rPr>
        <w:t>）残疾人福利性单位声明函</w:t>
      </w:r>
      <w:bookmarkEnd w:id="432"/>
      <w:bookmarkEnd w:id="433"/>
      <w:bookmarkEnd w:id="434"/>
    </w:p>
    <w:p w14:paraId="4336D95F">
      <w:pPr>
        <w:pageBreakBefore w:val="0"/>
        <w:kinsoku/>
        <w:wordWrap w:val="0"/>
        <w:bidi w:val="0"/>
        <w:spacing w:beforeAutospacing="0" w:afterAutospacing="0" w:line="360" w:lineRule="auto"/>
        <w:ind w:left="0" w:leftChars="0" w:right="0" w:rightChars="0"/>
        <w:jc w:val="center"/>
        <w:rPr>
          <w:rFonts w:ascii="宋体" w:hAnsi="宋体" w:cs="宋体"/>
          <w:b/>
          <w:color w:val="000000" w:themeColor="text1"/>
          <w:spacing w:val="20"/>
          <w:sz w:val="21"/>
          <w:szCs w:val="21"/>
          <w:highlight w:val="none"/>
          <w14:textFill>
            <w14:solidFill>
              <w14:schemeClr w14:val="tx1"/>
            </w14:solidFill>
          </w14:textFill>
        </w:rPr>
      </w:pPr>
      <w:r>
        <w:rPr>
          <w:rFonts w:hint="eastAsia" w:ascii="宋体" w:hAnsi="宋体" w:cs="宋体"/>
          <w:b/>
          <w:color w:val="000000" w:themeColor="text1"/>
          <w:spacing w:val="20"/>
          <w:sz w:val="21"/>
          <w:szCs w:val="21"/>
          <w:highlight w:val="none"/>
          <w14:textFill>
            <w14:solidFill>
              <w14:schemeClr w14:val="tx1"/>
            </w14:solidFill>
          </w14:textFill>
        </w:rPr>
        <w:t>残疾人福利性单位声明函</w:t>
      </w:r>
    </w:p>
    <w:p w14:paraId="3991179E">
      <w:pPr>
        <w:pageBreakBefore w:val="0"/>
        <w:kinsoku/>
        <w:wordWrap w:val="0"/>
        <w:bidi w:val="0"/>
        <w:spacing w:beforeAutospacing="0" w:afterAutospacing="0" w:line="480" w:lineRule="auto"/>
        <w:ind w:left="0" w:leftChars="0" w:right="0" w:rightChars="0" w:firstLine="630" w:firstLineChars="3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由本单位提供服务，或者提供其他残疾人福利性单位制造的货物（不包括使用非残疾人福利性单位注册商标的货物）。</w:t>
      </w:r>
    </w:p>
    <w:p w14:paraId="028725FB">
      <w:pPr>
        <w:pageBreakBefore w:val="0"/>
        <w:kinsoku/>
        <w:wordWrap w:val="0"/>
        <w:bidi w:val="0"/>
        <w:spacing w:beforeAutospacing="0" w:afterAutospacing="0" w:line="48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本单位对上述声明的真实性负责。如有虚假，将依法承担相应责任。</w:t>
      </w:r>
    </w:p>
    <w:p w14:paraId="74EC6D14">
      <w:pPr>
        <w:pageBreakBefore w:val="0"/>
        <w:kinsoku/>
        <w:wordWrap w:val="0"/>
        <w:bidi w:val="0"/>
        <w:spacing w:beforeAutospacing="0" w:afterAutospacing="0" w:line="360" w:lineRule="auto"/>
        <w:ind w:left="0" w:leftChars="0" w:right="0" w:rightChars="0"/>
        <w:rPr>
          <w:rFonts w:ascii="宋体" w:hAnsi="宋体" w:cs="宋体"/>
          <w:color w:val="000000" w:themeColor="text1"/>
          <w:sz w:val="21"/>
          <w:szCs w:val="21"/>
          <w:highlight w:val="none"/>
          <w14:textFill>
            <w14:solidFill>
              <w14:schemeClr w14:val="tx1"/>
            </w14:solidFill>
          </w14:textFill>
        </w:rPr>
      </w:pPr>
    </w:p>
    <w:p w14:paraId="6524FD2F">
      <w:pPr>
        <w:pageBreakBefore w:val="0"/>
        <w:kinsoku/>
        <w:wordWrap w:val="0"/>
        <w:bidi w:val="0"/>
        <w:spacing w:beforeAutospacing="0" w:afterAutospacing="0" w:line="360" w:lineRule="auto"/>
        <w:ind w:left="0" w:leftChars="0" w:right="0" w:rightChars="0"/>
        <w:rPr>
          <w:rFonts w:ascii="宋体" w:hAnsi="宋体" w:cs="宋体"/>
          <w:color w:val="000000" w:themeColor="text1"/>
          <w:sz w:val="21"/>
          <w:szCs w:val="21"/>
          <w:highlight w:val="none"/>
          <w14:textFill>
            <w14:solidFill>
              <w14:schemeClr w14:val="tx1"/>
            </w14:solidFill>
          </w14:textFill>
        </w:rPr>
      </w:pPr>
    </w:p>
    <w:p w14:paraId="1E03CE76">
      <w:pPr>
        <w:pStyle w:val="38"/>
        <w:pageBreakBefore w:val="0"/>
        <w:kinsoku/>
        <w:wordWrap w:val="0"/>
        <w:bidi w:val="0"/>
        <w:spacing w:before="0" w:beforeAutospacing="0" w:after="0" w:afterAutospacing="0" w:line="560" w:lineRule="exact"/>
        <w:ind w:left="0" w:leftChars="0" w:right="0" w:rightChars="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企业名称（电子签章）：</w:t>
      </w:r>
    </w:p>
    <w:p w14:paraId="008708D5">
      <w:pPr>
        <w:pStyle w:val="5"/>
        <w:pageBreakBefore w:val="0"/>
        <w:kinsoku/>
        <w:wordWrap w:val="0"/>
        <w:bidi w:val="0"/>
        <w:spacing w:beforeAutospacing="0" w:afterAutospacing="0"/>
        <w:ind w:left="0" w:leftChars="0" w:right="0" w:rightChars="0" w:firstLine="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 期：</w:t>
      </w:r>
    </w:p>
    <w:p w14:paraId="6D315D30">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p>
    <w:p w14:paraId="6001460C">
      <w:pPr>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p>
    <w:p w14:paraId="3C40E824">
      <w:pPr>
        <w:pageBreakBefore w:val="0"/>
        <w:kinsoku/>
        <w:wordWrap w:val="0"/>
        <w:bidi w:val="0"/>
        <w:spacing w:beforeAutospacing="0" w:afterAutospacing="0" w:line="360" w:lineRule="auto"/>
        <w:ind w:left="0" w:leftChars="0" w:right="0" w:rightChars="0"/>
        <w:jc w:val="center"/>
        <w:rPr>
          <w:rFonts w:ascii="宋体" w:hAnsi="宋体" w:cs="宋体"/>
          <w:b/>
          <w:bCs/>
          <w:color w:val="000000" w:themeColor="text1"/>
          <w:sz w:val="21"/>
          <w:szCs w:val="21"/>
          <w:highlight w:val="none"/>
          <w14:textFill>
            <w14:solidFill>
              <w14:schemeClr w14:val="tx1"/>
            </w14:solidFill>
          </w14:textFill>
        </w:rPr>
      </w:pPr>
    </w:p>
    <w:p w14:paraId="1F111302">
      <w:pPr>
        <w:pageBreakBefore w:val="0"/>
        <w:kinsoku/>
        <w:wordWrap w:val="0"/>
        <w:bidi w:val="0"/>
        <w:spacing w:beforeAutospacing="0" w:afterAutospacing="0" w:line="480" w:lineRule="auto"/>
        <w:ind w:left="0" w:leftChars="0" w:right="0" w:rightChars="0" w:firstLine="632" w:firstLineChars="3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注：中标供应商为残疾人福利性单位的，其《残疾人福利性单位声明函》将随中标结果同时公告，接受社会监督。供应商提供的《残疾人福利性单位声明函》与事实不符的，依照《政府采购法》第七十七条第一款的规定追究法律责任。</w:t>
      </w:r>
    </w:p>
    <w:p w14:paraId="2E0A1BB9">
      <w:pPr>
        <w:pStyle w:val="5"/>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p>
    <w:p w14:paraId="4286C67B">
      <w:pPr>
        <w:pStyle w:val="4"/>
        <w:pageBreakBefore w:val="0"/>
        <w:kinsoku/>
        <w:wordWrap w:val="0"/>
        <w:bidi w:val="0"/>
        <w:spacing w:before="0" w:beforeAutospacing="0" w:after="0" w:afterAutospacing="0" w:line="360" w:lineRule="auto"/>
        <w:ind w:left="0" w:leftChars="0" w:right="0" w:rightChars="0"/>
        <w:jc w:val="center"/>
        <w:rPr>
          <w:rFonts w:ascii="宋体" w:hAnsi="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br w:type="page"/>
      </w:r>
      <w:bookmarkStart w:id="435" w:name="_Toc29925"/>
      <w:bookmarkStart w:id="436" w:name="_Toc11799"/>
      <w:bookmarkStart w:id="437" w:name="_Toc168404329"/>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cs="宋体"/>
          <w:color w:val="000000" w:themeColor="text1"/>
          <w:sz w:val="24"/>
          <w:szCs w:val="24"/>
          <w:highlight w:val="none"/>
          <w14:textFill>
            <w14:solidFill>
              <w14:schemeClr w14:val="tx1"/>
            </w14:solidFill>
          </w14:textFill>
        </w:rPr>
        <w:t>）监狱企业声明函</w:t>
      </w:r>
      <w:bookmarkEnd w:id="435"/>
      <w:bookmarkEnd w:id="436"/>
      <w:bookmarkEnd w:id="437"/>
    </w:p>
    <w:p w14:paraId="48A78D9A">
      <w:pPr>
        <w:pageBreakBefore w:val="0"/>
        <w:kinsoku/>
        <w:wordWrap w:val="0"/>
        <w:bidi w:val="0"/>
        <w:spacing w:beforeAutospacing="0" w:afterAutospacing="0" w:line="360" w:lineRule="auto"/>
        <w:ind w:left="0" w:leftChars="0" w:right="0" w:rightChars="0" w:firstLine="420" w:firstLineChars="200"/>
        <w:rPr>
          <w:rStyle w:val="189"/>
          <w:rFonts w:hint="default" w:cs="宋体"/>
          <w:color w:val="000000" w:themeColor="text1"/>
          <w:sz w:val="21"/>
          <w:szCs w:val="21"/>
          <w:highlight w:val="none"/>
          <w14:textFill>
            <w14:solidFill>
              <w14:schemeClr w14:val="tx1"/>
            </w14:solidFill>
          </w14:textFill>
        </w:rPr>
      </w:pPr>
      <w:r>
        <w:rPr>
          <w:rStyle w:val="189"/>
          <w:rFonts w:hint="default" w:cs="宋体"/>
          <w:color w:val="000000" w:themeColor="text1"/>
          <w:sz w:val="21"/>
          <w:szCs w:val="21"/>
          <w:highlight w:val="none"/>
          <w14:textFill>
            <w14:solidFill>
              <w14:schemeClr w14:val="tx1"/>
            </w14:solidFill>
          </w14:textFill>
        </w:rPr>
        <w:t>根据《财政部 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80C0CA4">
      <w:pPr>
        <w:pageBreakBefore w:val="0"/>
        <w:kinsoku/>
        <w:wordWrap w:val="0"/>
        <w:bidi w:val="0"/>
        <w:spacing w:beforeAutospacing="0" w:afterAutospacing="0" w:line="360" w:lineRule="auto"/>
        <w:ind w:left="0" w:leftChars="0" w:right="0" w:rightChars="0" w:firstLine="420" w:firstLineChars="200"/>
        <w:rPr>
          <w:rStyle w:val="189"/>
          <w:rFonts w:hint="default" w:cs="宋体"/>
          <w:color w:val="000000" w:themeColor="text1"/>
          <w:sz w:val="21"/>
          <w:szCs w:val="21"/>
          <w:highlight w:val="none"/>
          <w14:textFill>
            <w14:solidFill>
              <w14:schemeClr w14:val="tx1"/>
            </w14:solidFill>
          </w14:textFill>
        </w:rPr>
      </w:pPr>
      <w:r>
        <w:rPr>
          <w:rStyle w:val="189"/>
          <w:rFonts w:hint="default" w:cs="宋体"/>
          <w:color w:val="000000" w:themeColor="text1"/>
          <w:sz w:val="21"/>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p>
    <w:p w14:paraId="610E4DFC">
      <w:pPr>
        <w:pageBreakBefore w:val="0"/>
        <w:kinsoku/>
        <w:wordWrap w:val="0"/>
        <w:bidi w:val="0"/>
        <w:spacing w:beforeAutospacing="0" w:afterAutospacing="0" w:line="360" w:lineRule="auto"/>
        <w:ind w:left="0" w:leftChars="0" w:right="0" w:rightChars="0"/>
        <w:rPr>
          <w:rStyle w:val="189"/>
          <w:rFonts w:hint="default" w:cs="宋体"/>
          <w:color w:val="000000" w:themeColor="text1"/>
          <w:sz w:val="21"/>
          <w:szCs w:val="21"/>
          <w:highlight w:val="none"/>
          <w14:textFill>
            <w14:solidFill>
              <w14:schemeClr w14:val="tx1"/>
            </w14:solidFill>
          </w14:textFill>
        </w:rPr>
      </w:pPr>
    </w:p>
    <w:p w14:paraId="291F71B4">
      <w:pPr>
        <w:pageBreakBefore w:val="0"/>
        <w:kinsoku/>
        <w:wordWrap w:val="0"/>
        <w:bidi w:val="0"/>
        <w:spacing w:beforeAutospacing="0" w:afterAutospacing="0" w:line="360" w:lineRule="auto"/>
        <w:ind w:left="0" w:leftChars="0" w:right="0" w:rightChars="0"/>
        <w:rPr>
          <w:rFonts w:ascii="宋体" w:hAnsi="宋体" w:cs="宋体"/>
          <w:color w:val="000000" w:themeColor="text1"/>
          <w:sz w:val="21"/>
          <w:szCs w:val="21"/>
          <w:highlight w:val="none"/>
          <w:u w:val="single"/>
          <w14:textFill>
            <w14:solidFill>
              <w14:schemeClr w14:val="tx1"/>
            </w14:solidFill>
          </w14:textFill>
        </w:rPr>
      </w:pPr>
    </w:p>
    <w:p w14:paraId="069283F4">
      <w:pPr>
        <w:pageBreakBefore w:val="0"/>
        <w:kinsoku/>
        <w:wordWrap w:val="0"/>
        <w:bidi w:val="0"/>
        <w:spacing w:beforeAutospacing="0" w:afterAutospacing="0" w:line="360" w:lineRule="auto"/>
        <w:ind w:left="0" w:leftChars="0" w:right="0" w:rightChars="0"/>
        <w:rPr>
          <w:rFonts w:ascii="宋体" w:hAnsi="宋体" w:cs="宋体"/>
          <w:color w:val="000000" w:themeColor="text1"/>
          <w:sz w:val="21"/>
          <w:szCs w:val="21"/>
          <w:highlight w:val="none"/>
          <w:u w:val="single"/>
          <w14:textFill>
            <w14:solidFill>
              <w14:schemeClr w14:val="tx1"/>
            </w14:solidFill>
          </w14:textFill>
        </w:rPr>
      </w:pPr>
    </w:p>
    <w:p w14:paraId="6D7B1214">
      <w:pPr>
        <w:pageBreakBefore w:val="0"/>
        <w:kinsoku/>
        <w:wordWrap w:val="0"/>
        <w:bidi w:val="0"/>
        <w:spacing w:beforeAutospacing="0" w:afterAutospacing="0" w:line="360" w:lineRule="auto"/>
        <w:ind w:left="0" w:leftChars="0" w:right="0" w:rightChars="0"/>
        <w:rPr>
          <w:rFonts w:ascii="宋体" w:hAnsi="宋体" w:cs="宋体"/>
          <w:color w:val="000000" w:themeColor="text1"/>
          <w:sz w:val="21"/>
          <w:szCs w:val="21"/>
          <w:highlight w:val="none"/>
          <w:u w:val="single"/>
          <w14:textFill>
            <w14:solidFill>
              <w14:schemeClr w14:val="tx1"/>
            </w14:solidFill>
          </w14:textFill>
        </w:rPr>
      </w:pPr>
    </w:p>
    <w:p w14:paraId="460DEE35">
      <w:pPr>
        <w:pageBreakBefore w:val="0"/>
        <w:kinsoku/>
        <w:wordWrap w:val="0"/>
        <w:bidi w:val="0"/>
        <w:spacing w:beforeAutospacing="0" w:afterAutospacing="0" w:line="360" w:lineRule="auto"/>
        <w:ind w:left="0" w:leftChars="0" w:right="0" w:rightChars="0" w:firstLine="422" w:firstLineChars="200"/>
        <w:rPr>
          <w:rStyle w:val="189"/>
          <w:rFonts w:hint="default" w:cs="宋体"/>
          <w:b/>
          <w:bCs/>
          <w:color w:val="000000" w:themeColor="text1"/>
          <w:sz w:val="21"/>
          <w:szCs w:val="21"/>
          <w:highlight w:val="none"/>
          <w14:textFill>
            <w14:solidFill>
              <w14:schemeClr w14:val="tx1"/>
            </w14:solidFill>
          </w14:textFill>
        </w:rPr>
      </w:pPr>
      <w:r>
        <w:rPr>
          <w:rStyle w:val="189"/>
          <w:rFonts w:hint="default" w:cs="宋体"/>
          <w:b/>
          <w:bCs/>
          <w:color w:val="000000" w:themeColor="text1"/>
          <w:sz w:val="21"/>
          <w:szCs w:val="21"/>
          <w:highlight w:val="none"/>
          <w14:textFill>
            <w14:solidFill>
              <w14:schemeClr w14:val="tx1"/>
            </w14:solidFill>
          </w14:textFill>
        </w:rPr>
        <w:t>注：供应商若非上述企业，则不需提供此函。</w:t>
      </w:r>
    </w:p>
    <w:p w14:paraId="58864D36">
      <w:pPr>
        <w:pStyle w:val="20"/>
        <w:pageBreakBefore w:val="0"/>
        <w:kinsoku/>
        <w:wordWrap w:val="0"/>
        <w:bidi w:val="0"/>
        <w:spacing w:beforeAutospacing="0" w:afterAutospacing="0" w:line="360" w:lineRule="auto"/>
        <w:ind w:left="0" w:leftChars="0" w:right="0" w:rightChars="0" w:firstLine="420" w:firstLineChars="200"/>
        <w:jc w:val="center"/>
        <w:rPr>
          <w:rFonts w:hAnsi="宋体" w:cs="宋体"/>
          <w:color w:val="000000" w:themeColor="text1"/>
          <w:highlight w:val="none"/>
          <w14:textFill>
            <w14:solidFill>
              <w14:schemeClr w14:val="tx1"/>
            </w14:solidFill>
          </w14:textFill>
        </w:rPr>
      </w:pPr>
    </w:p>
    <w:p w14:paraId="5F35B479">
      <w:pPr>
        <w:pStyle w:val="3"/>
        <w:pageBreakBefore w:val="0"/>
        <w:kinsoku/>
        <w:wordWrap w:val="0"/>
        <w:bidi w:val="0"/>
        <w:spacing w:before="0" w:beforeAutospacing="0" w:after="0" w:afterAutospacing="0" w:line="360" w:lineRule="auto"/>
        <w:ind w:left="0" w:leftChars="0" w:right="0" w:rightChars="0"/>
        <w:jc w:val="center"/>
        <w:rPr>
          <w:rFonts w:ascii="宋体" w:hAnsi="宋体" w:eastAsia="宋体" w:cs="宋体"/>
          <w:color w:val="000000" w:themeColor="text1"/>
          <w:sz w:val="28"/>
          <w:szCs w:val="28"/>
          <w:highlight w:val="none"/>
          <w14:textFill>
            <w14:solidFill>
              <w14:schemeClr w14:val="tx1"/>
            </w14:solidFill>
          </w14:textFill>
        </w:rPr>
      </w:pPr>
      <w:bookmarkStart w:id="438" w:name="_Toc432697223"/>
      <w:bookmarkStart w:id="439" w:name="_Toc524336654"/>
      <w:bookmarkStart w:id="440" w:name="_Toc9431739"/>
      <w:r>
        <w:rPr>
          <w:rFonts w:hint="eastAsia" w:ascii="宋体" w:hAnsi="宋体" w:eastAsia="宋体" w:cs="宋体"/>
          <w:color w:val="000000" w:themeColor="text1"/>
          <w:sz w:val="21"/>
          <w:szCs w:val="21"/>
          <w:highlight w:val="none"/>
          <w14:textFill>
            <w14:solidFill>
              <w14:schemeClr w14:val="tx1"/>
            </w14:solidFill>
          </w14:textFill>
        </w:rPr>
        <w:br w:type="page"/>
      </w:r>
      <w:bookmarkEnd w:id="430"/>
      <w:bookmarkEnd w:id="438"/>
      <w:bookmarkEnd w:id="439"/>
      <w:bookmarkEnd w:id="440"/>
      <w:bookmarkStart w:id="441" w:name="_Toc2466"/>
      <w:bookmarkStart w:id="442" w:name="_Toc32538"/>
      <w:bookmarkStart w:id="443" w:name="_Toc432697226"/>
      <w:r>
        <w:rPr>
          <w:rFonts w:hint="eastAsia" w:ascii="宋体" w:hAnsi="宋体" w:eastAsia="宋体" w:cs="宋体"/>
          <w:color w:val="000000" w:themeColor="text1"/>
          <w:sz w:val="28"/>
          <w:szCs w:val="28"/>
          <w:highlight w:val="none"/>
          <w14:textFill>
            <w14:solidFill>
              <w14:schemeClr w14:val="tx1"/>
            </w14:solidFill>
          </w14:textFill>
        </w:rPr>
        <w:t>三、投标文件技术及商务部分</w:t>
      </w:r>
      <w:bookmarkEnd w:id="441"/>
      <w:bookmarkEnd w:id="442"/>
      <w:bookmarkEnd w:id="443"/>
    </w:p>
    <w:p w14:paraId="6E7BB370">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color w:val="auto"/>
          <w:sz w:val="21"/>
          <w:szCs w:val="21"/>
          <w:highlight w:val="none"/>
          <w:lang w:eastAsia="zh-CN"/>
        </w:rPr>
      </w:pPr>
      <w:bookmarkStart w:id="444" w:name="_Toc18701"/>
      <w:bookmarkStart w:id="445" w:name="_Toc50651445"/>
      <w:bookmarkStart w:id="446" w:name="_Toc432697234"/>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由投标人根据招标文件要求及自身实际情况自行编写</w:t>
      </w:r>
      <w:r>
        <w:rPr>
          <w:rFonts w:hint="eastAsia" w:ascii="宋体" w:hAnsi="宋体" w:eastAsia="宋体" w:cs="宋体"/>
          <w:color w:val="auto"/>
          <w:sz w:val="21"/>
          <w:szCs w:val="21"/>
          <w:highlight w:val="none"/>
          <w:lang w:eastAsia="zh-CN"/>
        </w:rPr>
        <w:t>）</w:t>
      </w:r>
    </w:p>
    <w:p w14:paraId="4DC49840">
      <w:pPr>
        <w:pStyle w:val="4"/>
        <w:pageBreakBefore w:val="0"/>
        <w:kinsoku/>
        <w:wordWrap w:val="0"/>
        <w:bidi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bookmarkStart w:id="447" w:name="_Toc3587"/>
      <w:r>
        <w:rPr>
          <w:rFonts w:hint="eastAsia" w:ascii="宋体" w:hAnsi="宋体" w:cs="宋体"/>
          <w:color w:val="000000" w:themeColor="text1"/>
          <w:sz w:val="24"/>
          <w:szCs w:val="24"/>
          <w:highlight w:val="none"/>
          <w14:textFill>
            <w14:solidFill>
              <w14:schemeClr w14:val="tx1"/>
            </w14:solidFill>
          </w14:textFill>
        </w:rPr>
        <w:t>（一）</w:t>
      </w:r>
      <w:bookmarkEnd w:id="444"/>
      <w:r>
        <w:rPr>
          <w:rFonts w:hint="eastAsia" w:ascii="宋体" w:hAnsi="宋体" w:eastAsia="宋体" w:cs="宋体"/>
          <w:color w:val="000000" w:themeColor="text1"/>
          <w:sz w:val="24"/>
          <w:szCs w:val="24"/>
          <w:highlight w:val="none"/>
          <w14:textFill>
            <w14:solidFill>
              <w14:schemeClr w14:val="tx1"/>
            </w14:solidFill>
          </w14:textFill>
        </w:rPr>
        <w:t>服务方案</w:t>
      </w:r>
      <w:bookmarkEnd w:id="447"/>
    </w:p>
    <w:p w14:paraId="3EDDCF61">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包括但不限于：</w:t>
      </w:r>
    </w:p>
    <w:p w14:paraId="796331C0">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①对项目的理解（包括但不限于管理目标、管理体系的定位、思路及模式）；</w:t>
      </w:r>
    </w:p>
    <w:p w14:paraId="6BC5935C">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②餐饮服务流程；</w:t>
      </w:r>
    </w:p>
    <w:p w14:paraId="41EC7464">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③食品及就餐环境卫生安全保障方案；</w:t>
      </w:r>
    </w:p>
    <w:p w14:paraId="6BDC444D">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④供餐方案、回收餐具方案。</w:t>
      </w:r>
    </w:p>
    <w:p w14:paraId="2D39FD1F">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由投标人根据招标文件要求及自身实际情况自行编写</w:t>
      </w:r>
      <w:r>
        <w:rPr>
          <w:rFonts w:hint="eastAsia" w:ascii="宋体" w:hAnsi="宋体" w:eastAsia="宋体" w:cs="宋体"/>
          <w:color w:val="auto"/>
          <w:sz w:val="21"/>
          <w:szCs w:val="21"/>
          <w:highlight w:val="none"/>
          <w:lang w:eastAsia="zh-CN"/>
        </w:rPr>
        <w:t>）</w:t>
      </w:r>
    </w:p>
    <w:p w14:paraId="4CFABC5D">
      <w:pPr>
        <w:rPr>
          <w:rFonts w:hint="eastAsia" w:hAnsi="宋体" w:cs="宋体"/>
          <w:color w:val="000000" w:themeColor="text1"/>
          <w:highlight w:val="none"/>
          <w14:textFill>
            <w14:solidFill>
              <w14:schemeClr w14:val="tx1"/>
            </w14:solidFill>
          </w14:textFill>
        </w:rPr>
      </w:pPr>
    </w:p>
    <w:p w14:paraId="7B899C0A">
      <w:pPr>
        <w:rPr>
          <w:rFonts w:hint="eastAsia" w:hAnsi="宋体" w:cs="宋体"/>
          <w:color w:val="000000" w:themeColor="text1"/>
          <w:highlight w:val="none"/>
          <w14:textFill>
            <w14:solidFill>
              <w14:schemeClr w14:val="tx1"/>
            </w14:solidFill>
          </w14:textFill>
        </w:rPr>
      </w:pPr>
    </w:p>
    <w:p w14:paraId="4CCDED78">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7D7C86A4">
      <w:pPr>
        <w:pStyle w:val="4"/>
        <w:pageBreakBefore w:val="0"/>
        <w:kinsoku/>
        <w:wordWrap w:val="0"/>
        <w:bidi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bookmarkStart w:id="448" w:name="_Toc20486"/>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食品安全方案</w:t>
      </w:r>
      <w:bookmarkEnd w:id="448"/>
    </w:p>
    <w:p w14:paraId="0CADDD84">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包括但不限于：</w:t>
      </w:r>
    </w:p>
    <w:p w14:paraId="77C9FA48">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①食品安全方案及管理制度；</w:t>
      </w:r>
    </w:p>
    <w:p w14:paraId="3E6DA496">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②食品安全风险防范措施及质量保障措施；</w:t>
      </w:r>
    </w:p>
    <w:p w14:paraId="095ECDFF">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③应急预案及违约承诺。</w:t>
      </w:r>
    </w:p>
    <w:p w14:paraId="080D997C">
      <w:pPr>
        <w:rPr>
          <w:rFonts w:hint="eastAsia" w:hAnsi="宋体" w:cs="宋体"/>
          <w:color w:val="000000" w:themeColor="text1"/>
          <w:highlight w:val="none"/>
          <w14:textFill>
            <w14:solidFill>
              <w14:schemeClr w14:val="tx1"/>
            </w14:solidFill>
          </w14:textFill>
        </w:rPr>
      </w:pPr>
    </w:p>
    <w:p w14:paraId="0BE6EA8F">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由投标人根据招标文件要求及自身实际情况自行编写</w:t>
      </w:r>
      <w:r>
        <w:rPr>
          <w:rFonts w:hint="eastAsia" w:ascii="宋体" w:hAnsi="宋体" w:eastAsia="宋体" w:cs="宋体"/>
          <w:color w:val="auto"/>
          <w:sz w:val="21"/>
          <w:szCs w:val="21"/>
          <w:highlight w:val="none"/>
          <w:lang w:eastAsia="zh-CN"/>
        </w:rPr>
        <w:t>）</w:t>
      </w:r>
    </w:p>
    <w:p w14:paraId="167A265F">
      <w:pPr>
        <w:rPr>
          <w:rFonts w:hint="eastAsia" w:hAnsi="宋体" w:cs="宋体"/>
          <w:color w:val="000000" w:themeColor="text1"/>
          <w:highlight w:val="none"/>
          <w14:textFill>
            <w14:solidFill>
              <w14:schemeClr w14:val="tx1"/>
            </w14:solidFill>
          </w14:textFill>
        </w:rPr>
      </w:pPr>
    </w:p>
    <w:p w14:paraId="0D7D886E">
      <w:pPr>
        <w:rPr>
          <w:rFonts w:hint="eastAsia" w:hAnsi="宋体" w:cs="宋体"/>
          <w:color w:val="000000" w:themeColor="text1"/>
          <w:highlight w:val="none"/>
          <w14:textFill>
            <w14:solidFill>
              <w14:schemeClr w14:val="tx1"/>
            </w14:solidFill>
          </w14:textFill>
        </w:rPr>
      </w:pPr>
    </w:p>
    <w:p w14:paraId="117BA789">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0EECB5DC">
      <w:pPr>
        <w:pStyle w:val="4"/>
        <w:pageBreakBefore w:val="0"/>
        <w:kinsoku/>
        <w:wordWrap w:val="0"/>
        <w:bidi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bookmarkStart w:id="449" w:name="_Toc6077"/>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服务质量保证措施及承诺</w:t>
      </w:r>
      <w:bookmarkEnd w:id="449"/>
    </w:p>
    <w:p w14:paraId="65C80F0D">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包括但不限于：</w:t>
      </w:r>
    </w:p>
    <w:p w14:paraId="266B24D3">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①服务承诺及保障措施；</w:t>
      </w:r>
    </w:p>
    <w:p w14:paraId="4CC22DD2">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②质量承诺及保障措施；</w:t>
      </w:r>
    </w:p>
    <w:p w14:paraId="0E6416F0">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③风险控制措施；</w:t>
      </w:r>
    </w:p>
    <w:p w14:paraId="1329AC9D">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④违约责任及处罚措施。</w:t>
      </w:r>
    </w:p>
    <w:p w14:paraId="59F06991">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由投标人根据招标文件要求及自身实际情况自行编写</w:t>
      </w:r>
      <w:r>
        <w:rPr>
          <w:rFonts w:hint="eastAsia" w:ascii="宋体" w:hAnsi="宋体" w:eastAsia="宋体" w:cs="宋体"/>
          <w:color w:val="auto"/>
          <w:sz w:val="21"/>
          <w:szCs w:val="21"/>
          <w:highlight w:val="none"/>
          <w:lang w:eastAsia="zh-CN"/>
        </w:rPr>
        <w:t>）</w:t>
      </w:r>
    </w:p>
    <w:p w14:paraId="2CA5B17B">
      <w:pP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p>
    <w:p w14:paraId="79F960A8">
      <w:pPr>
        <w:rPr>
          <w:rFonts w:hint="eastAsia"/>
        </w:rPr>
      </w:pPr>
    </w:p>
    <w:p w14:paraId="10A3FCF4">
      <w:pPr>
        <w:pStyle w:val="4"/>
        <w:pageBreakBefore w:val="0"/>
        <w:kinsoku/>
        <w:wordWrap w:val="0"/>
        <w:bidi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bookmarkStart w:id="450" w:name="_Toc26054"/>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消防、食品安全事故应急处理方案评审评分</w:t>
      </w:r>
      <w:bookmarkEnd w:id="450"/>
    </w:p>
    <w:p w14:paraId="79AC2041">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包括但不限于：</w:t>
      </w:r>
    </w:p>
    <w:p w14:paraId="1DE70394">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①消防安全事故应急处理方案；</w:t>
      </w:r>
    </w:p>
    <w:p w14:paraId="2717DF3F">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②食品安全事故应急处理方案；</w:t>
      </w:r>
    </w:p>
    <w:p w14:paraId="0CBAC3B9">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③风险控制措施及违约责任。 </w:t>
      </w:r>
    </w:p>
    <w:p w14:paraId="170B1770">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由投标人根据招标文件要求及自身实际情况自行编写</w:t>
      </w:r>
      <w:r>
        <w:rPr>
          <w:rFonts w:hint="eastAsia" w:ascii="宋体" w:hAnsi="宋体" w:eastAsia="宋体" w:cs="宋体"/>
          <w:color w:val="auto"/>
          <w:sz w:val="21"/>
          <w:szCs w:val="21"/>
          <w:highlight w:val="none"/>
          <w:lang w:eastAsia="zh-CN"/>
        </w:rPr>
        <w:t>）</w:t>
      </w:r>
    </w:p>
    <w:p w14:paraId="775FCF7E">
      <w:pP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p>
    <w:p w14:paraId="088E20E5">
      <w:pPr>
        <w:rPr>
          <w:rFonts w:hint="eastAsia"/>
        </w:rPr>
      </w:pPr>
    </w:p>
    <w:p w14:paraId="59791263">
      <w:pPr>
        <w:pStyle w:val="4"/>
        <w:pageBreakBefore w:val="0"/>
        <w:kinsoku/>
        <w:wordWrap w:val="0"/>
        <w:bidi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bookmarkStart w:id="451" w:name="_Toc24786"/>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薪酬发放及时性措施及违约承诺</w:t>
      </w:r>
      <w:bookmarkEnd w:id="451"/>
    </w:p>
    <w:p w14:paraId="3DB26118">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包括但不限于：</w:t>
      </w:r>
    </w:p>
    <w:p w14:paraId="28B42194">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①人员录用制度；</w:t>
      </w:r>
    </w:p>
    <w:p w14:paraId="0BAAA564">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②劳动人员薪酬保障制度；</w:t>
      </w:r>
    </w:p>
    <w:p w14:paraId="62FF3D15">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③档案管理制度；</w:t>
      </w:r>
    </w:p>
    <w:p w14:paraId="16380539">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④服务管理制度；</w:t>
      </w:r>
    </w:p>
    <w:p w14:paraId="6FF116A2">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⑤违约承诺。</w:t>
      </w:r>
    </w:p>
    <w:p w14:paraId="6F975E1C">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由投标人根据招标文件要求及自身实际情况自行编写</w:t>
      </w:r>
      <w:r>
        <w:rPr>
          <w:rFonts w:hint="eastAsia" w:ascii="宋体" w:hAnsi="宋体" w:eastAsia="宋体" w:cs="宋体"/>
          <w:color w:val="auto"/>
          <w:sz w:val="21"/>
          <w:szCs w:val="21"/>
          <w:highlight w:val="none"/>
          <w:lang w:eastAsia="zh-CN"/>
        </w:rPr>
        <w:t>）</w:t>
      </w:r>
    </w:p>
    <w:p w14:paraId="3398A772">
      <w:pP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br w:type="page"/>
      </w:r>
    </w:p>
    <w:p w14:paraId="0B1D7135">
      <w:pPr>
        <w:pStyle w:val="4"/>
        <w:pageBreakBefore w:val="0"/>
        <w:kinsoku/>
        <w:wordWrap w:val="0"/>
        <w:bidi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452" w:name="_Toc551"/>
      <w:r>
        <w:rPr>
          <w:rFonts w:hint="eastAsia" w:ascii="宋体" w:hAnsi="宋体" w:eastAsia="宋体" w:cs="宋体"/>
          <w:color w:val="000000" w:themeColor="text1"/>
          <w:sz w:val="24"/>
          <w:szCs w:val="24"/>
          <w:highlight w:val="none"/>
          <w:lang w:val="en-US" w:eastAsia="zh-CN"/>
          <w14:textFill>
            <w14:solidFill>
              <w14:schemeClr w14:val="tx1"/>
            </w14:solidFill>
          </w14:textFill>
        </w:rPr>
        <w:t>（六）服务优势、可向采购人提供的后续服务或增值服务</w:t>
      </w:r>
      <w:bookmarkEnd w:id="452"/>
    </w:p>
    <w:p w14:paraId="714C22DC">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包括但不限于：</w:t>
      </w:r>
    </w:p>
    <w:p w14:paraId="68A8E2E3">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①服务优势；</w:t>
      </w:r>
    </w:p>
    <w:p w14:paraId="7CE5F041">
      <w:pPr>
        <w:pStyle w:val="20"/>
        <w:pageBreakBefore w:val="0"/>
        <w:kinsoku/>
        <w:wordWrap w:val="0"/>
        <w:bidi w:val="0"/>
        <w:spacing w:beforeAutospacing="0" w:afterAutospacing="0" w:line="360" w:lineRule="auto"/>
        <w:ind w:left="0" w:leftChars="0" w:right="0" w:rightChars="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②后续服务或增值服务；</w:t>
      </w:r>
    </w:p>
    <w:p w14:paraId="25609402">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由投标人根据招标文件要求及自身实际情况自行编写</w:t>
      </w:r>
      <w:r>
        <w:rPr>
          <w:rFonts w:hint="eastAsia" w:ascii="宋体" w:hAnsi="宋体" w:eastAsia="宋体" w:cs="宋体"/>
          <w:color w:val="auto"/>
          <w:sz w:val="21"/>
          <w:szCs w:val="21"/>
          <w:highlight w:val="none"/>
          <w:lang w:eastAsia="zh-CN"/>
        </w:rPr>
        <w:t>）</w:t>
      </w:r>
    </w:p>
    <w:p w14:paraId="154C9EAE">
      <w:pPr>
        <w:pageBreakBefore w:val="0"/>
        <w:kinsoku/>
        <w:bidi w:val="0"/>
        <w:spacing w:beforeAutospacing="0" w:afterAutospacing="0"/>
        <w:ind w:left="0" w:leftChars="0" w:right="0" w:right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1FF486E3">
      <w:pPr>
        <w:pageBreakBefore w:val="0"/>
        <w:kinsoku/>
        <w:wordWrap w:val="0"/>
        <w:bidi w:val="0"/>
        <w:spacing w:beforeAutospacing="0" w:afterAutospacing="0"/>
        <w:ind w:left="0" w:leftChars="0" w:right="0" w:rightChars="0"/>
        <w:jc w:val="center"/>
        <w:outlineLvl w:val="2"/>
        <w:rPr>
          <w:rFonts w:ascii="宋体" w:hAnsi="宋体" w:cs="宋体"/>
          <w:b/>
          <w:bCs/>
          <w:color w:val="000000" w:themeColor="text1"/>
          <w:sz w:val="24"/>
          <w:szCs w:val="24"/>
          <w:highlight w:val="none"/>
          <w14:textFill>
            <w14:solidFill>
              <w14:schemeClr w14:val="tx1"/>
            </w14:solidFill>
          </w14:textFill>
        </w:rPr>
      </w:pPr>
      <w:bookmarkStart w:id="453" w:name="_Toc17977"/>
      <w:bookmarkStart w:id="454" w:name="_Toc24813"/>
      <w:bookmarkStart w:id="455" w:name="_Toc29295"/>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七</w:t>
      </w:r>
      <w:r>
        <w:rPr>
          <w:rFonts w:hint="eastAsia" w:ascii="宋体" w:hAnsi="宋体" w:cs="宋体"/>
          <w:b/>
          <w:bCs/>
          <w:color w:val="000000" w:themeColor="text1"/>
          <w:sz w:val="24"/>
          <w:szCs w:val="24"/>
          <w:highlight w:val="none"/>
          <w14:textFill>
            <w14:solidFill>
              <w14:schemeClr w14:val="tx1"/>
            </w14:solidFill>
          </w14:textFill>
        </w:rPr>
        <w:t>）</w:t>
      </w:r>
      <w:bookmarkEnd w:id="453"/>
      <w:bookmarkStart w:id="456" w:name="_Toc27628"/>
      <w:bookmarkStart w:id="457" w:name="_Toc16285"/>
      <w:bookmarkStart w:id="458" w:name="_Toc2592"/>
      <w:r>
        <w:rPr>
          <w:rFonts w:hint="eastAsia" w:ascii="宋体" w:hAnsi="宋体" w:cs="宋体"/>
          <w:b/>
          <w:bCs/>
          <w:color w:val="000000" w:themeColor="text1"/>
          <w:sz w:val="24"/>
          <w:szCs w:val="24"/>
          <w:highlight w:val="none"/>
          <w14:textFill>
            <w14:solidFill>
              <w14:schemeClr w14:val="tx1"/>
            </w14:solidFill>
          </w14:textFill>
        </w:rPr>
        <w:t>类似项目业绩</w:t>
      </w:r>
      <w:bookmarkEnd w:id="454"/>
      <w:bookmarkEnd w:id="456"/>
      <w:bookmarkEnd w:id="457"/>
      <w:bookmarkEnd w:id="458"/>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735"/>
        <w:gridCol w:w="2527"/>
        <w:gridCol w:w="1895"/>
        <w:gridCol w:w="1460"/>
        <w:gridCol w:w="1065"/>
      </w:tblGrid>
      <w:tr w14:paraId="0694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763BA160">
            <w:pPr>
              <w:pageBreakBefore w:val="0"/>
              <w:kinsoku/>
              <w:bidi w:val="0"/>
              <w:spacing w:beforeAutospacing="0" w:afterAutospacing="0"/>
              <w:ind w:left="0" w:leftChars="0" w:right="0" w:rightChars="0"/>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901" w:type="pct"/>
            <w:tcBorders>
              <w:top w:val="single" w:color="auto" w:sz="4" w:space="0"/>
              <w:left w:val="single" w:color="auto" w:sz="4" w:space="0"/>
              <w:bottom w:val="single" w:color="auto" w:sz="4" w:space="0"/>
              <w:right w:val="single" w:color="auto" w:sz="4" w:space="0"/>
            </w:tcBorders>
            <w:vAlign w:val="center"/>
          </w:tcPr>
          <w:p w14:paraId="0367A78B">
            <w:pPr>
              <w:pageBreakBefore w:val="0"/>
              <w:kinsoku/>
              <w:bidi w:val="0"/>
              <w:spacing w:beforeAutospacing="0" w:afterAutospacing="0"/>
              <w:ind w:left="0" w:leftChars="0" w:right="0" w:rightChars="0"/>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项目名称</w:t>
            </w:r>
          </w:p>
        </w:tc>
        <w:tc>
          <w:tcPr>
            <w:tcW w:w="1312" w:type="pct"/>
            <w:tcBorders>
              <w:top w:val="single" w:color="auto" w:sz="4" w:space="0"/>
              <w:left w:val="single" w:color="auto" w:sz="4" w:space="0"/>
              <w:bottom w:val="single" w:color="auto" w:sz="4" w:space="0"/>
              <w:right w:val="single" w:color="auto" w:sz="4" w:space="0"/>
            </w:tcBorders>
            <w:vAlign w:val="center"/>
          </w:tcPr>
          <w:p w14:paraId="12724427">
            <w:pPr>
              <w:pageBreakBefore w:val="0"/>
              <w:kinsoku/>
              <w:bidi w:val="0"/>
              <w:spacing w:beforeAutospacing="0" w:afterAutospacing="0"/>
              <w:ind w:left="0" w:leftChars="0" w:right="0" w:rightChars="0"/>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服务内容</w:t>
            </w:r>
          </w:p>
        </w:tc>
        <w:tc>
          <w:tcPr>
            <w:tcW w:w="984" w:type="pct"/>
            <w:tcBorders>
              <w:top w:val="single" w:color="auto" w:sz="4" w:space="0"/>
              <w:left w:val="single" w:color="auto" w:sz="4" w:space="0"/>
              <w:bottom w:val="single" w:color="auto" w:sz="4" w:space="0"/>
              <w:right w:val="single" w:color="auto" w:sz="4" w:space="0"/>
            </w:tcBorders>
            <w:vAlign w:val="center"/>
          </w:tcPr>
          <w:p w14:paraId="1CAE0B0D">
            <w:pPr>
              <w:pageBreakBefore w:val="0"/>
              <w:kinsoku/>
              <w:bidi w:val="0"/>
              <w:spacing w:beforeAutospacing="0" w:afterAutospacing="0"/>
              <w:ind w:left="0" w:leftChars="0" w:right="0" w:rightChars="0"/>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单项合同金额（万元）</w:t>
            </w:r>
          </w:p>
        </w:tc>
        <w:tc>
          <w:tcPr>
            <w:tcW w:w="758" w:type="pct"/>
            <w:tcBorders>
              <w:top w:val="single" w:color="auto" w:sz="4" w:space="0"/>
              <w:left w:val="single" w:color="auto" w:sz="4" w:space="0"/>
              <w:bottom w:val="single" w:color="auto" w:sz="4" w:space="0"/>
              <w:right w:val="single" w:color="auto" w:sz="4" w:space="0"/>
            </w:tcBorders>
            <w:vAlign w:val="center"/>
          </w:tcPr>
          <w:p w14:paraId="17D1C0B2">
            <w:pPr>
              <w:pageBreakBefore w:val="0"/>
              <w:kinsoku/>
              <w:bidi w:val="0"/>
              <w:spacing w:beforeAutospacing="0" w:afterAutospacing="0"/>
              <w:ind w:left="0" w:leftChars="0" w:right="0" w:rightChars="0"/>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委托单位名称</w:t>
            </w:r>
          </w:p>
        </w:tc>
        <w:tc>
          <w:tcPr>
            <w:tcW w:w="553" w:type="pct"/>
            <w:tcBorders>
              <w:top w:val="single" w:color="auto" w:sz="4" w:space="0"/>
              <w:left w:val="single" w:color="auto" w:sz="4" w:space="0"/>
              <w:bottom w:val="single" w:color="auto" w:sz="4" w:space="0"/>
              <w:right w:val="single" w:color="auto" w:sz="4" w:space="0"/>
            </w:tcBorders>
            <w:vAlign w:val="center"/>
          </w:tcPr>
          <w:p w14:paraId="0E6CC3FB">
            <w:pPr>
              <w:pageBreakBefore w:val="0"/>
              <w:kinsoku/>
              <w:bidi w:val="0"/>
              <w:spacing w:beforeAutospacing="0" w:afterAutospacing="0"/>
              <w:ind w:left="0" w:leftChars="0" w:right="0" w:rightChars="0"/>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w:t>
            </w:r>
            <w:r>
              <w:rPr>
                <w:rFonts w:hint="eastAsia" w:ascii="宋体" w:hAnsi="宋体" w:cs="宋体"/>
                <w:b/>
                <w:bCs/>
                <w:color w:val="000000" w:themeColor="text1"/>
                <w:highlight w:val="none"/>
                <w14:textFill>
                  <w14:solidFill>
                    <w14:schemeClr w14:val="tx1"/>
                  </w14:solidFill>
                </w14:textFill>
              </w:rPr>
              <w:t>时间</w:t>
            </w:r>
          </w:p>
        </w:tc>
      </w:tr>
      <w:tr w14:paraId="6D46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306C7253">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901" w:type="pct"/>
            <w:tcBorders>
              <w:top w:val="single" w:color="auto" w:sz="4" w:space="0"/>
              <w:left w:val="single" w:color="auto" w:sz="4" w:space="0"/>
              <w:bottom w:val="single" w:color="auto" w:sz="4" w:space="0"/>
              <w:right w:val="single" w:color="auto" w:sz="4" w:space="0"/>
            </w:tcBorders>
            <w:vAlign w:val="center"/>
          </w:tcPr>
          <w:p w14:paraId="4BC36765">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1312" w:type="pct"/>
            <w:tcBorders>
              <w:top w:val="single" w:color="auto" w:sz="4" w:space="0"/>
              <w:left w:val="single" w:color="auto" w:sz="4" w:space="0"/>
              <w:bottom w:val="single" w:color="auto" w:sz="4" w:space="0"/>
              <w:right w:val="single" w:color="auto" w:sz="4" w:space="0"/>
            </w:tcBorders>
            <w:vAlign w:val="center"/>
          </w:tcPr>
          <w:p w14:paraId="04CEAB55">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984" w:type="pct"/>
            <w:tcBorders>
              <w:top w:val="single" w:color="auto" w:sz="4" w:space="0"/>
              <w:left w:val="single" w:color="auto" w:sz="4" w:space="0"/>
              <w:bottom w:val="single" w:color="auto" w:sz="4" w:space="0"/>
              <w:right w:val="single" w:color="auto" w:sz="4" w:space="0"/>
            </w:tcBorders>
            <w:vAlign w:val="center"/>
          </w:tcPr>
          <w:p w14:paraId="53E88355">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758" w:type="pct"/>
            <w:tcBorders>
              <w:top w:val="single" w:color="auto" w:sz="4" w:space="0"/>
              <w:left w:val="single" w:color="auto" w:sz="4" w:space="0"/>
              <w:bottom w:val="single" w:color="auto" w:sz="4" w:space="0"/>
              <w:right w:val="single" w:color="auto" w:sz="4" w:space="0"/>
            </w:tcBorders>
            <w:vAlign w:val="center"/>
          </w:tcPr>
          <w:p w14:paraId="20762146">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553" w:type="pct"/>
            <w:tcBorders>
              <w:top w:val="single" w:color="auto" w:sz="4" w:space="0"/>
              <w:left w:val="single" w:color="auto" w:sz="4" w:space="0"/>
              <w:bottom w:val="single" w:color="auto" w:sz="4" w:space="0"/>
              <w:right w:val="single" w:color="auto" w:sz="4" w:space="0"/>
            </w:tcBorders>
            <w:vAlign w:val="center"/>
          </w:tcPr>
          <w:p w14:paraId="047AF95A">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r>
      <w:tr w14:paraId="4738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10885741">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901" w:type="pct"/>
            <w:tcBorders>
              <w:top w:val="single" w:color="auto" w:sz="4" w:space="0"/>
              <w:left w:val="single" w:color="auto" w:sz="4" w:space="0"/>
              <w:bottom w:val="single" w:color="auto" w:sz="4" w:space="0"/>
              <w:right w:val="single" w:color="auto" w:sz="4" w:space="0"/>
            </w:tcBorders>
            <w:vAlign w:val="center"/>
          </w:tcPr>
          <w:p w14:paraId="3C02DBD9">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1312" w:type="pct"/>
            <w:tcBorders>
              <w:top w:val="single" w:color="auto" w:sz="4" w:space="0"/>
              <w:left w:val="single" w:color="auto" w:sz="4" w:space="0"/>
              <w:bottom w:val="single" w:color="auto" w:sz="4" w:space="0"/>
              <w:right w:val="single" w:color="auto" w:sz="4" w:space="0"/>
            </w:tcBorders>
            <w:vAlign w:val="center"/>
          </w:tcPr>
          <w:p w14:paraId="15766331">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984" w:type="pct"/>
            <w:tcBorders>
              <w:top w:val="single" w:color="auto" w:sz="4" w:space="0"/>
              <w:left w:val="single" w:color="auto" w:sz="4" w:space="0"/>
              <w:bottom w:val="single" w:color="auto" w:sz="4" w:space="0"/>
              <w:right w:val="single" w:color="auto" w:sz="4" w:space="0"/>
            </w:tcBorders>
            <w:vAlign w:val="center"/>
          </w:tcPr>
          <w:p w14:paraId="3658FA37">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758" w:type="pct"/>
            <w:tcBorders>
              <w:top w:val="single" w:color="auto" w:sz="4" w:space="0"/>
              <w:left w:val="single" w:color="auto" w:sz="4" w:space="0"/>
              <w:bottom w:val="single" w:color="auto" w:sz="4" w:space="0"/>
              <w:right w:val="single" w:color="auto" w:sz="4" w:space="0"/>
            </w:tcBorders>
            <w:vAlign w:val="center"/>
          </w:tcPr>
          <w:p w14:paraId="3BE04BA2">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553" w:type="pct"/>
            <w:tcBorders>
              <w:top w:val="single" w:color="auto" w:sz="4" w:space="0"/>
              <w:left w:val="single" w:color="auto" w:sz="4" w:space="0"/>
              <w:bottom w:val="single" w:color="auto" w:sz="4" w:space="0"/>
              <w:right w:val="single" w:color="auto" w:sz="4" w:space="0"/>
            </w:tcBorders>
            <w:vAlign w:val="center"/>
          </w:tcPr>
          <w:p w14:paraId="73D23A0E">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r>
      <w:tr w14:paraId="787A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324C1BF0">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901" w:type="pct"/>
            <w:tcBorders>
              <w:top w:val="single" w:color="auto" w:sz="4" w:space="0"/>
              <w:left w:val="single" w:color="auto" w:sz="4" w:space="0"/>
              <w:bottom w:val="single" w:color="auto" w:sz="4" w:space="0"/>
              <w:right w:val="single" w:color="auto" w:sz="4" w:space="0"/>
            </w:tcBorders>
            <w:vAlign w:val="center"/>
          </w:tcPr>
          <w:p w14:paraId="7CB8BEA1">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1312" w:type="pct"/>
            <w:tcBorders>
              <w:top w:val="single" w:color="auto" w:sz="4" w:space="0"/>
              <w:left w:val="single" w:color="auto" w:sz="4" w:space="0"/>
              <w:bottom w:val="single" w:color="auto" w:sz="4" w:space="0"/>
              <w:right w:val="single" w:color="auto" w:sz="4" w:space="0"/>
            </w:tcBorders>
            <w:vAlign w:val="center"/>
          </w:tcPr>
          <w:p w14:paraId="07BD5F29">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984" w:type="pct"/>
            <w:tcBorders>
              <w:top w:val="single" w:color="auto" w:sz="4" w:space="0"/>
              <w:left w:val="single" w:color="auto" w:sz="4" w:space="0"/>
              <w:bottom w:val="single" w:color="auto" w:sz="4" w:space="0"/>
              <w:right w:val="single" w:color="auto" w:sz="4" w:space="0"/>
            </w:tcBorders>
            <w:vAlign w:val="center"/>
          </w:tcPr>
          <w:p w14:paraId="709A8770">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758" w:type="pct"/>
            <w:tcBorders>
              <w:top w:val="single" w:color="auto" w:sz="4" w:space="0"/>
              <w:left w:val="single" w:color="auto" w:sz="4" w:space="0"/>
              <w:bottom w:val="single" w:color="auto" w:sz="4" w:space="0"/>
              <w:right w:val="single" w:color="auto" w:sz="4" w:space="0"/>
            </w:tcBorders>
            <w:vAlign w:val="center"/>
          </w:tcPr>
          <w:p w14:paraId="19D1F186">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553" w:type="pct"/>
            <w:tcBorders>
              <w:top w:val="single" w:color="auto" w:sz="4" w:space="0"/>
              <w:left w:val="single" w:color="auto" w:sz="4" w:space="0"/>
              <w:bottom w:val="single" w:color="auto" w:sz="4" w:space="0"/>
              <w:right w:val="single" w:color="auto" w:sz="4" w:space="0"/>
            </w:tcBorders>
            <w:vAlign w:val="center"/>
          </w:tcPr>
          <w:p w14:paraId="1AE9D194">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r>
      <w:tr w14:paraId="4E45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1BDCE0BF">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901" w:type="pct"/>
            <w:tcBorders>
              <w:top w:val="single" w:color="auto" w:sz="4" w:space="0"/>
              <w:left w:val="single" w:color="auto" w:sz="4" w:space="0"/>
              <w:bottom w:val="single" w:color="auto" w:sz="4" w:space="0"/>
              <w:right w:val="single" w:color="auto" w:sz="4" w:space="0"/>
            </w:tcBorders>
            <w:vAlign w:val="center"/>
          </w:tcPr>
          <w:p w14:paraId="06326A99">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1312" w:type="pct"/>
            <w:tcBorders>
              <w:top w:val="single" w:color="auto" w:sz="4" w:space="0"/>
              <w:left w:val="single" w:color="auto" w:sz="4" w:space="0"/>
              <w:bottom w:val="single" w:color="auto" w:sz="4" w:space="0"/>
              <w:right w:val="single" w:color="auto" w:sz="4" w:space="0"/>
            </w:tcBorders>
            <w:vAlign w:val="center"/>
          </w:tcPr>
          <w:p w14:paraId="1E438C71">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984" w:type="pct"/>
            <w:tcBorders>
              <w:top w:val="single" w:color="auto" w:sz="4" w:space="0"/>
              <w:left w:val="single" w:color="auto" w:sz="4" w:space="0"/>
              <w:bottom w:val="single" w:color="auto" w:sz="4" w:space="0"/>
              <w:right w:val="single" w:color="auto" w:sz="4" w:space="0"/>
            </w:tcBorders>
            <w:vAlign w:val="center"/>
          </w:tcPr>
          <w:p w14:paraId="54B12DC7">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758" w:type="pct"/>
            <w:tcBorders>
              <w:top w:val="single" w:color="auto" w:sz="4" w:space="0"/>
              <w:left w:val="single" w:color="auto" w:sz="4" w:space="0"/>
              <w:bottom w:val="single" w:color="auto" w:sz="4" w:space="0"/>
              <w:right w:val="single" w:color="auto" w:sz="4" w:space="0"/>
            </w:tcBorders>
            <w:vAlign w:val="center"/>
          </w:tcPr>
          <w:p w14:paraId="21872169">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553" w:type="pct"/>
            <w:tcBorders>
              <w:top w:val="single" w:color="auto" w:sz="4" w:space="0"/>
              <w:left w:val="single" w:color="auto" w:sz="4" w:space="0"/>
              <w:bottom w:val="single" w:color="auto" w:sz="4" w:space="0"/>
              <w:right w:val="single" w:color="auto" w:sz="4" w:space="0"/>
            </w:tcBorders>
            <w:vAlign w:val="center"/>
          </w:tcPr>
          <w:p w14:paraId="6D925A27">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r>
      <w:tr w14:paraId="09F2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26ECC002">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901" w:type="pct"/>
            <w:tcBorders>
              <w:top w:val="single" w:color="auto" w:sz="4" w:space="0"/>
              <w:left w:val="single" w:color="auto" w:sz="4" w:space="0"/>
              <w:bottom w:val="single" w:color="auto" w:sz="4" w:space="0"/>
              <w:right w:val="single" w:color="auto" w:sz="4" w:space="0"/>
            </w:tcBorders>
            <w:vAlign w:val="center"/>
          </w:tcPr>
          <w:p w14:paraId="6EC83731">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1312" w:type="pct"/>
            <w:tcBorders>
              <w:top w:val="single" w:color="auto" w:sz="4" w:space="0"/>
              <w:left w:val="single" w:color="auto" w:sz="4" w:space="0"/>
              <w:bottom w:val="single" w:color="auto" w:sz="4" w:space="0"/>
              <w:right w:val="single" w:color="auto" w:sz="4" w:space="0"/>
            </w:tcBorders>
            <w:vAlign w:val="center"/>
          </w:tcPr>
          <w:p w14:paraId="130F94EB">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984" w:type="pct"/>
            <w:tcBorders>
              <w:top w:val="single" w:color="auto" w:sz="4" w:space="0"/>
              <w:left w:val="single" w:color="auto" w:sz="4" w:space="0"/>
              <w:bottom w:val="single" w:color="auto" w:sz="4" w:space="0"/>
              <w:right w:val="single" w:color="auto" w:sz="4" w:space="0"/>
            </w:tcBorders>
            <w:vAlign w:val="center"/>
          </w:tcPr>
          <w:p w14:paraId="1118C268">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758" w:type="pct"/>
            <w:tcBorders>
              <w:top w:val="single" w:color="auto" w:sz="4" w:space="0"/>
              <w:left w:val="single" w:color="auto" w:sz="4" w:space="0"/>
              <w:bottom w:val="single" w:color="auto" w:sz="4" w:space="0"/>
              <w:right w:val="single" w:color="auto" w:sz="4" w:space="0"/>
            </w:tcBorders>
            <w:vAlign w:val="center"/>
          </w:tcPr>
          <w:p w14:paraId="33312275">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553" w:type="pct"/>
            <w:tcBorders>
              <w:top w:val="single" w:color="auto" w:sz="4" w:space="0"/>
              <w:left w:val="single" w:color="auto" w:sz="4" w:space="0"/>
              <w:bottom w:val="single" w:color="auto" w:sz="4" w:space="0"/>
              <w:right w:val="single" w:color="auto" w:sz="4" w:space="0"/>
            </w:tcBorders>
            <w:vAlign w:val="center"/>
          </w:tcPr>
          <w:p w14:paraId="04384644">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r>
      <w:tr w14:paraId="31F4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07F5AE6C">
            <w:pPr>
              <w:pageBreakBefore w:val="0"/>
              <w:kinsoku/>
              <w:bidi w:val="0"/>
              <w:spacing w:beforeAutospacing="0" w:afterAutospacing="0"/>
              <w:ind w:left="0" w:leftChars="0" w:right="0" w:rightChars="0"/>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w:t>
            </w:r>
          </w:p>
        </w:tc>
        <w:tc>
          <w:tcPr>
            <w:tcW w:w="901" w:type="pct"/>
            <w:tcBorders>
              <w:top w:val="single" w:color="auto" w:sz="4" w:space="0"/>
              <w:left w:val="single" w:color="auto" w:sz="4" w:space="0"/>
              <w:bottom w:val="single" w:color="auto" w:sz="4" w:space="0"/>
              <w:right w:val="single" w:color="auto" w:sz="4" w:space="0"/>
            </w:tcBorders>
            <w:vAlign w:val="center"/>
          </w:tcPr>
          <w:p w14:paraId="292222F8">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1312" w:type="pct"/>
            <w:tcBorders>
              <w:top w:val="single" w:color="auto" w:sz="4" w:space="0"/>
              <w:left w:val="single" w:color="auto" w:sz="4" w:space="0"/>
              <w:bottom w:val="single" w:color="auto" w:sz="4" w:space="0"/>
              <w:right w:val="single" w:color="auto" w:sz="4" w:space="0"/>
            </w:tcBorders>
            <w:vAlign w:val="center"/>
          </w:tcPr>
          <w:p w14:paraId="3E557453">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984" w:type="pct"/>
            <w:tcBorders>
              <w:top w:val="single" w:color="auto" w:sz="4" w:space="0"/>
              <w:left w:val="single" w:color="auto" w:sz="4" w:space="0"/>
              <w:bottom w:val="single" w:color="auto" w:sz="4" w:space="0"/>
              <w:right w:val="single" w:color="auto" w:sz="4" w:space="0"/>
            </w:tcBorders>
            <w:vAlign w:val="center"/>
          </w:tcPr>
          <w:p w14:paraId="468BCD0B">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758" w:type="pct"/>
            <w:tcBorders>
              <w:top w:val="single" w:color="auto" w:sz="4" w:space="0"/>
              <w:left w:val="single" w:color="auto" w:sz="4" w:space="0"/>
              <w:bottom w:val="single" w:color="auto" w:sz="4" w:space="0"/>
              <w:right w:val="single" w:color="auto" w:sz="4" w:space="0"/>
            </w:tcBorders>
            <w:vAlign w:val="center"/>
          </w:tcPr>
          <w:p w14:paraId="22B80608">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553" w:type="pct"/>
            <w:tcBorders>
              <w:top w:val="single" w:color="auto" w:sz="4" w:space="0"/>
              <w:left w:val="single" w:color="auto" w:sz="4" w:space="0"/>
              <w:bottom w:val="single" w:color="auto" w:sz="4" w:space="0"/>
              <w:right w:val="single" w:color="auto" w:sz="4" w:space="0"/>
            </w:tcBorders>
            <w:vAlign w:val="center"/>
          </w:tcPr>
          <w:p w14:paraId="19B5743C">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r>
      <w:tr w14:paraId="0097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3BC5222F">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901" w:type="pct"/>
            <w:tcBorders>
              <w:top w:val="single" w:color="auto" w:sz="4" w:space="0"/>
              <w:left w:val="single" w:color="auto" w:sz="4" w:space="0"/>
              <w:bottom w:val="single" w:color="auto" w:sz="4" w:space="0"/>
              <w:right w:val="single" w:color="auto" w:sz="4" w:space="0"/>
            </w:tcBorders>
            <w:vAlign w:val="center"/>
          </w:tcPr>
          <w:p w14:paraId="461CE83D">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1312" w:type="pct"/>
            <w:tcBorders>
              <w:top w:val="single" w:color="auto" w:sz="4" w:space="0"/>
              <w:left w:val="single" w:color="auto" w:sz="4" w:space="0"/>
              <w:bottom w:val="single" w:color="auto" w:sz="4" w:space="0"/>
              <w:right w:val="single" w:color="auto" w:sz="4" w:space="0"/>
            </w:tcBorders>
            <w:vAlign w:val="center"/>
          </w:tcPr>
          <w:p w14:paraId="60D0D23C">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984" w:type="pct"/>
            <w:tcBorders>
              <w:top w:val="single" w:color="auto" w:sz="4" w:space="0"/>
              <w:left w:val="single" w:color="auto" w:sz="4" w:space="0"/>
              <w:bottom w:val="single" w:color="auto" w:sz="4" w:space="0"/>
              <w:right w:val="single" w:color="auto" w:sz="4" w:space="0"/>
            </w:tcBorders>
            <w:vAlign w:val="center"/>
          </w:tcPr>
          <w:p w14:paraId="77C9B0FB">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758" w:type="pct"/>
            <w:tcBorders>
              <w:top w:val="single" w:color="auto" w:sz="4" w:space="0"/>
              <w:left w:val="single" w:color="auto" w:sz="4" w:space="0"/>
              <w:bottom w:val="single" w:color="auto" w:sz="4" w:space="0"/>
              <w:right w:val="single" w:color="auto" w:sz="4" w:space="0"/>
            </w:tcBorders>
            <w:vAlign w:val="center"/>
          </w:tcPr>
          <w:p w14:paraId="73783BA2">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c>
          <w:tcPr>
            <w:tcW w:w="553" w:type="pct"/>
            <w:tcBorders>
              <w:top w:val="single" w:color="auto" w:sz="4" w:space="0"/>
              <w:left w:val="single" w:color="auto" w:sz="4" w:space="0"/>
              <w:bottom w:val="single" w:color="auto" w:sz="4" w:space="0"/>
              <w:right w:val="single" w:color="auto" w:sz="4" w:space="0"/>
            </w:tcBorders>
            <w:vAlign w:val="center"/>
          </w:tcPr>
          <w:p w14:paraId="3EEAC36A">
            <w:pPr>
              <w:pageBreakBefore w:val="0"/>
              <w:kinsoku/>
              <w:bidi w:val="0"/>
              <w:spacing w:beforeAutospacing="0" w:afterAutospacing="0"/>
              <w:ind w:left="0" w:leftChars="0" w:right="0" w:rightChars="0"/>
              <w:jc w:val="center"/>
              <w:rPr>
                <w:rFonts w:ascii="宋体" w:hAnsi="宋体" w:cs="宋体"/>
                <w:color w:val="000000" w:themeColor="text1"/>
                <w:highlight w:val="none"/>
                <w14:textFill>
                  <w14:solidFill>
                    <w14:schemeClr w14:val="tx1"/>
                  </w14:solidFill>
                </w14:textFill>
              </w:rPr>
            </w:pPr>
          </w:p>
        </w:tc>
      </w:tr>
    </w:tbl>
    <w:p w14:paraId="238D7088">
      <w:pPr>
        <w:pageBreakBefore w:val="0"/>
        <w:widowControl w:val="0"/>
        <w:kinsoku/>
        <w:bidi w:val="0"/>
        <w:spacing w:beforeAutospacing="0" w:afterAutospacing="0"/>
        <w:ind w:left="0" w:leftChars="0" w:right="0" w:rightChars="0"/>
        <w:rPr>
          <w:rFonts w:ascii="宋体" w:hAnsi="宋体" w:cs="宋体"/>
          <w:b/>
          <w:bCs/>
          <w:color w:val="000000" w:themeColor="text1"/>
          <w:sz w:val="24"/>
          <w:szCs w:val="24"/>
          <w:highlight w:val="none"/>
          <w14:textFill>
            <w14:solidFill>
              <w14:schemeClr w14:val="tx1"/>
            </w14:solidFill>
          </w14:textFill>
        </w:rPr>
      </w:pPr>
    </w:p>
    <w:p w14:paraId="1F317AFF">
      <w:pPr>
        <w:pageBreakBefore w:val="0"/>
        <w:widowControl w:val="0"/>
        <w:kinsoku/>
        <w:bidi w:val="0"/>
        <w:spacing w:beforeAutospacing="0" w:afterAutospacing="0" w:line="360" w:lineRule="auto"/>
        <w:ind w:left="0" w:leftChars="0" w:right="0" w:rightChars="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注：此表后应附业绩证明材料扫描件。</w:t>
      </w:r>
    </w:p>
    <w:p w14:paraId="5F25C430">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由投标人根据招标文件要求及自身实际情况自行编写</w:t>
      </w:r>
      <w:r>
        <w:rPr>
          <w:rFonts w:hint="eastAsia" w:ascii="宋体" w:hAnsi="宋体" w:eastAsia="宋体" w:cs="宋体"/>
          <w:color w:val="auto"/>
          <w:sz w:val="21"/>
          <w:szCs w:val="21"/>
          <w:highlight w:val="none"/>
          <w:lang w:eastAsia="zh-CN"/>
        </w:rPr>
        <w:t>）</w:t>
      </w:r>
    </w:p>
    <w:p w14:paraId="17270CDB">
      <w:pPr>
        <w:pageBreakBefore w:val="0"/>
        <w:widowControl w:val="0"/>
        <w:kinsoku/>
        <w:bidi w:val="0"/>
        <w:spacing w:beforeAutospacing="0" w:afterAutospacing="0"/>
        <w:ind w:left="0" w:leftChars="0" w:right="0" w:rightChars="0"/>
        <w:rPr>
          <w:rFonts w:ascii="宋体" w:hAnsi="宋体" w:cs="宋体"/>
          <w:color w:val="000000" w:themeColor="text1"/>
          <w:highlight w:val="none"/>
          <w14:textFill>
            <w14:solidFill>
              <w14:schemeClr w14:val="tx1"/>
            </w14:solidFill>
          </w14:textFill>
        </w:rPr>
      </w:pPr>
    </w:p>
    <w:p w14:paraId="210E4E14">
      <w:pPr>
        <w:pStyle w:val="20"/>
        <w:pageBreakBefore w:val="0"/>
        <w:kinsoku/>
        <w:wordWrap w:val="0"/>
        <w:bidi w:val="0"/>
        <w:spacing w:beforeAutospacing="0" w:afterAutospacing="0" w:line="360" w:lineRule="auto"/>
        <w:ind w:left="0" w:leftChars="0" w:right="0" w:rightChars="0"/>
        <w:jc w:val="center"/>
        <w:rPr>
          <w:rFonts w:hAnsi="宋体" w:cs="宋体"/>
          <w:color w:val="000000" w:themeColor="text1"/>
          <w:highlight w:val="none"/>
          <w14:textFill>
            <w14:solidFill>
              <w14:schemeClr w14:val="tx1"/>
            </w14:solidFill>
          </w14:textFill>
        </w:rPr>
      </w:pPr>
    </w:p>
    <w:p w14:paraId="0DFE03BE">
      <w:pPr>
        <w:pStyle w:val="5"/>
        <w:pageBreakBefore w:val="0"/>
        <w:kinsoku/>
        <w:bidi w:val="0"/>
        <w:spacing w:beforeAutospacing="0" w:afterAutospacing="0"/>
        <w:ind w:left="0" w:leftChars="0" w:right="0" w:rightChars="0"/>
        <w:rPr>
          <w:rFonts w:ascii="宋体" w:hAnsi="宋体" w:cs="宋体"/>
          <w:color w:val="000000" w:themeColor="text1"/>
          <w:highlight w:val="none"/>
          <w14:textFill>
            <w14:solidFill>
              <w14:schemeClr w14:val="tx1"/>
            </w14:solidFill>
          </w14:textFill>
        </w:rPr>
      </w:pPr>
    </w:p>
    <w:p w14:paraId="291BDCCC">
      <w:pPr>
        <w:pStyle w:val="20"/>
        <w:pageBreakBefore w:val="0"/>
        <w:kinsoku/>
        <w:wordWrap w:val="0"/>
        <w:bidi w:val="0"/>
        <w:spacing w:beforeAutospacing="0" w:afterAutospacing="0" w:line="360" w:lineRule="auto"/>
        <w:ind w:left="0" w:leftChars="0" w:right="0" w:rightChars="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br w:type="page"/>
      </w:r>
    </w:p>
    <w:bookmarkEnd w:id="455"/>
    <w:p w14:paraId="5D663ED4">
      <w:pPr>
        <w:pStyle w:val="4"/>
        <w:pageBreakBefore w:val="0"/>
        <w:kinsoku/>
        <w:wordWrap w:val="0"/>
        <w:bidi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bookmarkStart w:id="459" w:name="_Toc19899"/>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本项目拟投入人员表</w:t>
      </w:r>
      <w:bookmarkEnd w:id="459"/>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902"/>
        <w:gridCol w:w="902"/>
        <w:gridCol w:w="1803"/>
        <w:gridCol w:w="1803"/>
        <w:gridCol w:w="2939"/>
      </w:tblGrid>
      <w:tr w14:paraId="0DCF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trPr>
        <w:tc>
          <w:tcPr>
            <w:tcW w:w="1191" w:type="dxa"/>
            <w:noWrap w:val="0"/>
            <w:vAlign w:val="center"/>
          </w:tcPr>
          <w:p w14:paraId="66010460">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姓名</w:t>
            </w:r>
          </w:p>
        </w:tc>
        <w:tc>
          <w:tcPr>
            <w:tcW w:w="902" w:type="dxa"/>
            <w:noWrap w:val="0"/>
            <w:vAlign w:val="center"/>
          </w:tcPr>
          <w:p w14:paraId="57F4C05C">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性别</w:t>
            </w:r>
          </w:p>
        </w:tc>
        <w:tc>
          <w:tcPr>
            <w:tcW w:w="902" w:type="dxa"/>
            <w:noWrap w:val="0"/>
            <w:vAlign w:val="center"/>
          </w:tcPr>
          <w:p w14:paraId="3C3B10AF">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年龄</w:t>
            </w:r>
          </w:p>
        </w:tc>
        <w:tc>
          <w:tcPr>
            <w:tcW w:w="1803" w:type="dxa"/>
            <w:noWrap w:val="0"/>
            <w:vAlign w:val="center"/>
          </w:tcPr>
          <w:p w14:paraId="3F554C8F">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职  务</w:t>
            </w:r>
          </w:p>
        </w:tc>
        <w:tc>
          <w:tcPr>
            <w:tcW w:w="1803" w:type="dxa"/>
            <w:noWrap w:val="0"/>
            <w:vAlign w:val="center"/>
          </w:tcPr>
          <w:p w14:paraId="2FB05BF9">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技术职称</w:t>
            </w:r>
          </w:p>
        </w:tc>
        <w:tc>
          <w:tcPr>
            <w:tcW w:w="2939" w:type="dxa"/>
            <w:noWrap w:val="0"/>
            <w:vAlign w:val="center"/>
          </w:tcPr>
          <w:p w14:paraId="41FB80BF">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在本项目中承担的职务</w:t>
            </w:r>
          </w:p>
        </w:tc>
      </w:tr>
      <w:tr w14:paraId="2304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1" w:type="dxa"/>
            <w:noWrap w:val="0"/>
            <w:vAlign w:val="center"/>
          </w:tcPr>
          <w:p w14:paraId="63B1BAA7">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622C7105">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0426B618">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788CFF03">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225451D6">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2939" w:type="dxa"/>
            <w:noWrap w:val="0"/>
            <w:vAlign w:val="center"/>
          </w:tcPr>
          <w:p w14:paraId="68510EB9">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r>
      <w:tr w14:paraId="1917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1" w:type="dxa"/>
            <w:noWrap w:val="0"/>
            <w:vAlign w:val="center"/>
          </w:tcPr>
          <w:p w14:paraId="625936B0">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11050990">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31C899D2">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1282DEEC">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50A38F74">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2939" w:type="dxa"/>
            <w:noWrap w:val="0"/>
            <w:vAlign w:val="center"/>
          </w:tcPr>
          <w:p w14:paraId="698F4E73">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r>
      <w:tr w14:paraId="5434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1" w:type="dxa"/>
            <w:noWrap w:val="0"/>
            <w:vAlign w:val="center"/>
          </w:tcPr>
          <w:p w14:paraId="655F28DE">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5843247D">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0D488156">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36D94479">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6C4A11A8">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2939" w:type="dxa"/>
            <w:noWrap w:val="0"/>
            <w:vAlign w:val="center"/>
          </w:tcPr>
          <w:p w14:paraId="60FC1EC7">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r>
      <w:tr w14:paraId="304B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1" w:type="dxa"/>
            <w:noWrap w:val="0"/>
            <w:vAlign w:val="center"/>
          </w:tcPr>
          <w:p w14:paraId="1EFEE3B4">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5B14D2D5">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4F314E77">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19352FC0">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5E0A05E1">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2939" w:type="dxa"/>
            <w:noWrap w:val="0"/>
            <w:vAlign w:val="center"/>
          </w:tcPr>
          <w:p w14:paraId="6AD2BC73">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r>
      <w:tr w14:paraId="5D8E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1" w:type="dxa"/>
            <w:noWrap w:val="0"/>
            <w:vAlign w:val="center"/>
          </w:tcPr>
          <w:p w14:paraId="6997B4C2">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5B71A771">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3D3D632E">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34C79501">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0037DAD7">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2939" w:type="dxa"/>
            <w:noWrap w:val="0"/>
            <w:vAlign w:val="center"/>
          </w:tcPr>
          <w:p w14:paraId="54DA0188">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r>
      <w:tr w14:paraId="20EE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1" w:type="dxa"/>
            <w:noWrap w:val="0"/>
            <w:vAlign w:val="center"/>
          </w:tcPr>
          <w:p w14:paraId="205F9D48">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5C90EB44">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362DDCC2">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0B0970B1">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6A01B9B5">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2939" w:type="dxa"/>
            <w:noWrap w:val="0"/>
            <w:vAlign w:val="center"/>
          </w:tcPr>
          <w:p w14:paraId="13A2728E">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r>
      <w:tr w14:paraId="4696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1" w:type="dxa"/>
            <w:noWrap w:val="0"/>
            <w:vAlign w:val="center"/>
          </w:tcPr>
          <w:p w14:paraId="46A2813F">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1911CF33">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46436A65">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51591678">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40379F2D">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2939" w:type="dxa"/>
            <w:noWrap w:val="0"/>
            <w:vAlign w:val="center"/>
          </w:tcPr>
          <w:p w14:paraId="5338F455">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r>
      <w:tr w14:paraId="6C2E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1" w:type="dxa"/>
            <w:noWrap w:val="0"/>
            <w:vAlign w:val="center"/>
          </w:tcPr>
          <w:p w14:paraId="6E124993">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38AF0B77">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902" w:type="dxa"/>
            <w:noWrap w:val="0"/>
            <w:vAlign w:val="center"/>
          </w:tcPr>
          <w:p w14:paraId="59502683">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0323B5EE">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1803" w:type="dxa"/>
            <w:noWrap w:val="0"/>
            <w:vAlign w:val="center"/>
          </w:tcPr>
          <w:p w14:paraId="075D010F">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c>
          <w:tcPr>
            <w:tcW w:w="2939" w:type="dxa"/>
            <w:noWrap w:val="0"/>
            <w:vAlign w:val="center"/>
          </w:tcPr>
          <w:p w14:paraId="7060AD90">
            <w:pPr>
              <w:pStyle w:val="37"/>
              <w:pageBreakBefore w:val="0"/>
              <w:kinsoku/>
              <w:wordWrap w:val="0"/>
              <w:overflowPunct w:val="0"/>
              <w:topLinePunct w:val="0"/>
              <w:bidi w:val="0"/>
              <w:spacing w:after="0" w:line="360" w:lineRule="auto"/>
              <w:ind w:left="0" w:leftChars="0" w:right="0" w:rightChars="0"/>
              <w:jc w:val="center"/>
              <w:textAlignment w:val="auto"/>
              <w:rPr>
                <w:rFonts w:hint="eastAsia" w:ascii="宋体" w:hAnsi="宋体" w:eastAsia="宋体" w:cs="宋体"/>
                <w:color w:val="auto"/>
                <w:sz w:val="21"/>
                <w:szCs w:val="21"/>
                <w:highlight w:val="none"/>
              </w:rPr>
            </w:pPr>
          </w:p>
        </w:tc>
      </w:tr>
    </w:tbl>
    <w:p w14:paraId="65239B3E">
      <w:pPr>
        <w:pageBreakBefore w:val="0"/>
        <w:kinsoku/>
        <w:bidi w:val="0"/>
        <w:spacing w:beforeAutospacing="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注：本表需附相关证明文件复印件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人员证件、证明材料要求详见《招标文件》第三章 评标办法</w:t>
      </w:r>
      <w:r>
        <w:rPr>
          <w:rFonts w:hint="eastAsia" w:ascii="宋体" w:hAnsi="宋体" w:eastAsia="宋体" w:cs="宋体"/>
          <w:color w:val="auto"/>
          <w:sz w:val="21"/>
          <w:szCs w:val="21"/>
          <w:highlight w:val="none"/>
        </w:rPr>
        <w:t>。</w:t>
      </w:r>
    </w:p>
    <w:p w14:paraId="193E3097">
      <w:pPr>
        <w:pageBreakBefore w:val="0"/>
        <w:kinsoku/>
        <w:wordWrap w:val="0"/>
        <w:overflowPunct w:val="0"/>
        <w:bidi w:val="0"/>
        <w:spacing w:beforeAutospacing="0" w:afterAutospacing="0" w:line="360" w:lineRule="auto"/>
        <w:ind w:left="0" w:leftChars="0" w:right="0" w:right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注：</w:t>
      </w:r>
    </w:p>
    <w:p w14:paraId="54F0A04A">
      <w:pPr>
        <w:pageBreakBefore w:val="0"/>
        <w:numPr>
          <w:ilvl w:val="0"/>
          <w:numId w:val="0"/>
        </w:numPr>
        <w:kinsoku/>
        <w:wordWrap w:val="0"/>
        <w:overflowPunct w:val="0"/>
        <w:bidi w:val="0"/>
        <w:spacing w:beforeAutospacing="0" w:afterAutospacing="0" w:line="360" w:lineRule="auto"/>
        <w:ind w:left="0" w:leftChars="0" w:right="0" w:rightChars="0"/>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lang w:val="en-US" w:eastAsia="zh-CN" w:bidi="ar-SA"/>
        </w:rPr>
        <w:t>a.拟派人员</w:t>
      </w:r>
      <w:r>
        <w:rPr>
          <w:rFonts w:hint="eastAsia" w:asciiTheme="minorEastAsia" w:hAnsiTheme="minorEastAsia" w:eastAsiaTheme="minorEastAsia" w:cstheme="minorEastAsia"/>
          <w:b w:val="0"/>
          <w:bCs w:val="0"/>
          <w:color w:val="auto"/>
          <w:kern w:val="0"/>
          <w:sz w:val="21"/>
          <w:szCs w:val="21"/>
          <w:highlight w:val="none"/>
          <w:lang w:val="en-US" w:eastAsia="zh-CN"/>
        </w:rPr>
        <w:t>须具备：①有效身份证【中国大陆地区提供身份证或临时身份证，其他国家或地区可提供护照等其他有效的身份证明材料】；②有效的健康证；③相应资格证书；④与投标人本单位签订劳动合同及2025年3月份至今任意1个月为其缴纳社保的证明；（如拟派上述人员为法定代表人的，则不需提供劳动合同及社保缴纳证明）</w:t>
      </w:r>
    </w:p>
    <w:p w14:paraId="15F4CE1B">
      <w:pPr>
        <w:pageBreakBefore w:val="0"/>
        <w:kinsoku/>
        <w:bidi w:val="0"/>
        <w:spacing w:beforeAutospacing="0" w:afterAutospacing="0"/>
        <w:ind w:left="0" w:leftChars="0" w:right="0" w:rightChars="0"/>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lang w:val="en-US" w:eastAsia="zh-CN" w:bidi="ar-SA"/>
        </w:rPr>
        <w:t>b.</w:t>
      </w:r>
      <w:r>
        <w:rPr>
          <w:rFonts w:hint="eastAsia" w:asciiTheme="minorEastAsia" w:hAnsiTheme="minorEastAsia" w:eastAsiaTheme="minorEastAsia" w:cstheme="minorEastAsia"/>
          <w:kern w:val="0"/>
          <w:sz w:val="21"/>
          <w:szCs w:val="21"/>
          <w:lang w:val="en-US" w:eastAsia="zh-CN"/>
        </w:rPr>
        <w:t>若同一人员持有多个证书，按“就高”原则仅作一个计算；不以同种证书的不同专业分别计分</w:t>
      </w:r>
      <w:r>
        <w:rPr>
          <w:rFonts w:hint="eastAsia" w:asciiTheme="minorEastAsia" w:hAnsiTheme="minorEastAsia" w:eastAsiaTheme="minorEastAsia" w:cstheme="minorEastAsia"/>
          <w:b w:val="0"/>
          <w:bCs w:val="0"/>
          <w:color w:val="auto"/>
          <w:kern w:val="0"/>
          <w:sz w:val="21"/>
          <w:szCs w:val="21"/>
          <w:highlight w:val="none"/>
          <w:lang w:val="en-US" w:eastAsia="zh-CN"/>
        </w:rPr>
        <w:t>。</w:t>
      </w:r>
    </w:p>
    <w:p w14:paraId="66B1E492">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由投标人根据招标文件要求及自身实际情况自行编写</w:t>
      </w:r>
      <w:r>
        <w:rPr>
          <w:rFonts w:hint="eastAsia" w:ascii="宋体" w:hAnsi="宋体" w:eastAsia="宋体" w:cs="宋体"/>
          <w:color w:val="auto"/>
          <w:sz w:val="21"/>
          <w:szCs w:val="21"/>
          <w:highlight w:val="none"/>
          <w:lang w:eastAsia="zh-CN"/>
        </w:rPr>
        <w:t>）</w:t>
      </w:r>
    </w:p>
    <w:p w14:paraId="51F311A8">
      <w:pPr>
        <w:pageBreakBefore w:val="0"/>
        <w:kinsoku/>
        <w:bidi w:val="0"/>
        <w:spacing w:beforeAutospacing="0" w:afterAutospacing="0"/>
        <w:ind w:left="0" w:leftChars="0" w:right="0" w:right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51A63312">
      <w:pPr>
        <w:pStyle w:val="20"/>
        <w:pageBreakBefore w:val="0"/>
        <w:kinsoku/>
        <w:wordWrap w:val="0"/>
        <w:bidi w:val="0"/>
        <w:spacing w:beforeAutospacing="0" w:afterAutospacing="0"/>
        <w:ind w:left="0" w:leftChars="0" w:right="0" w:rightChars="0"/>
        <w:rPr>
          <w:rFonts w:hAnsi="宋体" w:cs="宋体"/>
          <w:color w:val="000000" w:themeColor="text1"/>
          <w:highlight w:val="none"/>
          <w14:textFill>
            <w14:solidFill>
              <w14:schemeClr w14:val="tx1"/>
            </w14:solidFill>
          </w14:textFill>
        </w:rPr>
      </w:pPr>
    </w:p>
    <w:p w14:paraId="4292B5DA">
      <w:pPr>
        <w:pStyle w:val="20"/>
        <w:pageBreakBefore w:val="0"/>
        <w:kinsoku/>
        <w:wordWrap w:val="0"/>
        <w:bidi w:val="0"/>
        <w:spacing w:beforeAutospacing="0" w:afterAutospacing="0"/>
        <w:ind w:left="0" w:leftChars="0" w:right="0" w:rightChars="0"/>
        <w:rPr>
          <w:rFonts w:hAnsi="宋体" w:cs="宋体"/>
          <w:color w:val="000000" w:themeColor="text1"/>
          <w:highlight w:val="none"/>
          <w14:textFill>
            <w14:solidFill>
              <w14:schemeClr w14:val="tx1"/>
            </w14:solidFill>
          </w14:textFill>
        </w:rPr>
      </w:pPr>
    </w:p>
    <w:p w14:paraId="76BDC4E3">
      <w:pPr>
        <w:pStyle w:val="5"/>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bookmarkStart w:id="460" w:name="_Toc8300805"/>
      <w:bookmarkStart w:id="461" w:name="_Toc7868"/>
      <w:bookmarkStart w:id="462" w:name="_Toc420071247"/>
      <w:bookmarkStart w:id="463" w:name="_Toc417843496"/>
      <w:bookmarkStart w:id="464" w:name="_Toc417843447"/>
      <w:bookmarkStart w:id="465" w:name="_Toc347849265"/>
      <w:bookmarkStart w:id="466" w:name="_Toc484796166"/>
      <w:bookmarkStart w:id="467" w:name="_Toc427339193"/>
      <w:bookmarkStart w:id="468" w:name="_Toc58081296"/>
    </w:p>
    <w:p w14:paraId="0318EB92">
      <w:pPr>
        <w:pStyle w:val="5"/>
        <w:pageBreakBefore w:val="0"/>
        <w:kinsoku/>
        <w:wordWrap w:val="0"/>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p>
    <w:bookmarkEnd w:id="445"/>
    <w:bookmarkEnd w:id="460"/>
    <w:bookmarkEnd w:id="461"/>
    <w:bookmarkEnd w:id="462"/>
    <w:bookmarkEnd w:id="463"/>
    <w:bookmarkEnd w:id="464"/>
    <w:bookmarkEnd w:id="465"/>
    <w:bookmarkEnd w:id="466"/>
    <w:bookmarkEnd w:id="467"/>
    <w:bookmarkEnd w:id="468"/>
    <w:p w14:paraId="3B2C3891">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469" w:name="_Toc28698"/>
      <w:bookmarkStart w:id="470" w:name="_Toc14242"/>
      <w:bookmarkStart w:id="471" w:name="_Hlk127458289"/>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九</w:t>
      </w:r>
      <w:r>
        <w:rPr>
          <w:rFonts w:hint="eastAsia" w:ascii="宋体" w:hAnsi="宋体" w:cs="宋体"/>
          <w:color w:val="000000" w:themeColor="text1"/>
          <w:sz w:val="24"/>
          <w:szCs w:val="24"/>
          <w:highlight w:val="none"/>
          <w14:textFill>
            <w14:solidFill>
              <w14:schemeClr w14:val="tx1"/>
            </w14:solidFill>
          </w14:textFill>
        </w:rPr>
        <w:t>）构成投标文件的其他资料</w:t>
      </w:r>
      <w:bookmarkEnd w:id="469"/>
      <w:bookmarkEnd w:id="470"/>
    </w:p>
    <w:bookmarkEnd w:id="471"/>
    <w:p w14:paraId="21D6D472">
      <w:pPr>
        <w:pageBreakBefore w:val="0"/>
        <w:kinsoku/>
        <w:wordWrap w:val="0"/>
        <w:overflowPunct w:val="0"/>
        <w:topLinePunct w:val="0"/>
        <w:bidi w:val="0"/>
        <w:spacing w:line="36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由投标人根据招标文件要求及自身实际情况自行编写</w:t>
      </w:r>
      <w:r>
        <w:rPr>
          <w:rFonts w:hint="eastAsia" w:ascii="宋体" w:hAnsi="宋体" w:eastAsia="宋体" w:cs="宋体"/>
          <w:color w:val="auto"/>
          <w:sz w:val="21"/>
          <w:szCs w:val="21"/>
          <w:highlight w:val="none"/>
          <w:lang w:eastAsia="zh-CN"/>
        </w:rPr>
        <w:t>）</w:t>
      </w:r>
    </w:p>
    <w:p w14:paraId="539FFDDF">
      <w:pPr>
        <w:pageBreakBefore w:val="0"/>
        <w:kinsoku/>
        <w:wordWrap w:val="0"/>
        <w:bidi w:val="0"/>
        <w:spacing w:beforeAutospacing="0" w:afterAutospacing="0"/>
        <w:ind w:left="0" w:leftChars="0" w:right="0" w:rightChars="0"/>
        <w:jc w:val="center"/>
        <w:rPr>
          <w:rFonts w:ascii="宋体" w:hAnsi="宋体" w:cs="宋体"/>
          <w:color w:val="000000" w:themeColor="text1"/>
          <w:sz w:val="21"/>
          <w:szCs w:val="21"/>
          <w:highlight w:val="none"/>
          <w14:textFill>
            <w14:solidFill>
              <w14:schemeClr w14:val="tx1"/>
            </w14:solidFill>
          </w14:textFill>
        </w:rPr>
      </w:pPr>
    </w:p>
    <w:p w14:paraId="07617AD8">
      <w:pPr>
        <w:pStyle w:val="3"/>
        <w:pageBreakBefore w:val="0"/>
        <w:kinsoku/>
        <w:wordWrap w:val="0"/>
        <w:bidi w:val="0"/>
        <w:spacing w:before="0" w:beforeAutospacing="0" w:after="0" w:afterAutospacing="0" w:line="360" w:lineRule="auto"/>
        <w:ind w:left="0" w:leftChars="0" w:right="0" w:rightChars="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bookmarkStart w:id="472" w:name="_Toc22484"/>
      <w:bookmarkStart w:id="473" w:name="_Toc17894"/>
      <w:r>
        <w:rPr>
          <w:rFonts w:hint="eastAsia" w:ascii="宋体" w:hAnsi="宋体" w:eastAsia="宋体" w:cs="宋体"/>
          <w:color w:val="000000" w:themeColor="text1"/>
          <w:sz w:val="28"/>
          <w:szCs w:val="28"/>
          <w:highlight w:val="none"/>
          <w14:textFill>
            <w14:solidFill>
              <w14:schemeClr w14:val="tx1"/>
            </w14:solidFill>
          </w14:textFill>
        </w:rPr>
        <w:t>四、资格审查部分格式</w:t>
      </w:r>
      <w:bookmarkEnd w:id="446"/>
      <w:bookmarkEnd w:id="472"/>
      <w:bookmarkEnd w:id="473"/>
    </w:p>
    <w:p w14:paraId="5422D424">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474" w:name="_Toc24671"/>
      <w:bookmarkStart w:id="475" w:name="_Toc432697235"/>
      <w:bookmarkStart w:id="476" w:name="_Toc1922"/>
      <w:r>
        <w:rPr>
          <w:rFonts w:hint="eastAsia" w:ascii="宋体" w:hAnsi="宋体" w:cs="宋体"/>
          <w:color w:val="000000" w:themeColor="text1"/>
          <w:sz w:val="24"/>
          <w:szCs w:val="24"/>
          <w:highlight w:val="none"/>
          <w14:textFill>
            <w14:solidFill>
              <w14:schemeClr w14:val="tx1"/>
            </w14:solidFill>
          </w14:textFill>
        </w:rPr>
        <w:t>（一）供应商一般情况</w:t>
      </w:r>
      <w:bookmarkEnd w:id="474"/>
      <w:bookmarkEnd w:id="475"/>
      <w:bookmarkEnd w:id="476"/>
    </w:p>
    <w:tbl>
      <w:tblPr>
        <w:tblStyle w:val="43"/>
        <w:tblW w:w="932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4413"/>
        <w:gridCol w:w="4298"/>
      </w:tblGrid>
      <w:tr w14:paraId="2DEF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609" w:type="dxa"/>
            <w:vAlign w:val="center"/>
          </w:tcPr>
          <w:p w14:paraId="30057E69">
            <w:pPr>
              <w:pStyle w:val="20"/>
              <w:pageBreakBefore w:val="0"/>
              <w:kinsoku/>
              <w:wordWrap w:val="0"/>
              <w:bidi w:val="0"/>
              <w:spacing w:beforeAutospacing="0" w:afterAutospacing="0" w:line="360" w:lineRule="auto"/>
              <w:ind w:left="0" w:leftChars="0" w:right="0" w:rightChars="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w:t>
            </w:r>
          </w:p>
        </w:tc>
        <w:tc>
          <w:tcPr>
            <w:tcW w:w="8711" w:type="dxa"/>
            <w:gridSpan w:val="2"/>
            <w:vAlign w:val="center"/>
          </w:tcPr>
          <w:p w14:paraId="5C747B06">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企业名称</w:t>
            </w:r>
          </w:p>
        </w:tc>
      </w:tr>
      <w:tr w14:paraId="5B19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609" w:type="dxa"/>
            <w:vAlign w:val="center"/>
          </w:tcPr>
          <w:p w14:paraId="59F33864">
            <w:pPr>
              <w:pStyle w:val="20"/>
              <w:pageBreakBefore w:val="0"/>
              <w:kinsoku/>
              <w:wordWrap w:val="0"/>
              <w:bidi w:val="0"/>
              <w:spacing w:beforeAutospacing="0" w:afterAutospacing="0" w:line="360" w:lineRule="auto"/>
              <w:ind w:left="0" w:leftChars="0" w:right="0" w:rightChars="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w:t>
            </w:r>
          </w:p>
        </w:tc>
        <w:tc>
          <w:tcPr>
            <w:tcW w:w="8711" w:type="dxa"/>
            <w:gridSpan w:val="2"/>
            <w:vAlign w:val="center"/>
          </w:tcPr>
          <w:p w14:paraId="27C7DE5E">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总部地址</w:t>
            </w:r>
          </w:p>
        </w:tc>
      </w:tr>
      <w:tr w14:paraId="3841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09" w:type="dxa"/>
            <w:vAlign w:val="center"/>
          </w:tcPr>
          <w:p w14:paraId="05DEA1CD">
            <w:pPr>
              <w:pStyle w:val="20"/>
              <w:pageBreakBefore w:val="0"/>
              <w:kinsoku/>
              <w:wordWrap w:val="0"/>
              <w:bidi w:val="0"/>
              <w:spacing w:beforeAutospacing="0" w:afterAutospacing="0" w:line="360" w:lineRule="auto"/>
              <w:ind w:left="0" w:leftChars="0" w:right="0" w:rightChars="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w:t>
            </w:r>
          </w:p>
        </w:tc>
        <w:tc>
          <w:tcPr>
            <w:tcW w:w="8711" w:type="dxa"/>
            <w:gridSpan w:val="2"/>
            <w:vAlign w:val="center"/>
          </w:tcPr>
          <w:p w14:paraId="1CA90993">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当地代表处地址</w:t>
            </w:r>
          </w:p>
        </w:tc>
      </w:tr>
      <w:tr w14:paraId="4CFF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09" w:type="dxa"/>
            <w:vAlign w:val="center"/>
          </w:tcPr>
          <w:p w14:paraId="4A9EA661">
            <w:pPr>
              <w:pStyle w:val="20"/>
              <w:pageBreakBefore w:val="0"/>
              <w:kinsoku/>
              <w:wordWrap w:val="0"/>
              <w:bidi w:val="0"/>
              <w:spacing w:beforeAutospacing="0" w:afterAutospacing="0" w:line="360" w:lineRule="auto"/>
              <w:ind w:left="0" w:leftChars="0" w:right="0" w:rightChars="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w:t>
            </w:r>
          </w:p>
        </w:tc>
        <w:tc>
          <w:tcPr>
            <w:tcW w:w="4413" w:type="dxa"/>
            <w:vAlign w:val="center"/>
          </w:tcPr>
          <w:p w14:paraId="228CA018">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电话</w:t>
            </w:r>
          </w:p>
        </w:tc>
        <w:tc>
          <w:tcPr>
            <w:tcW w:w="4298" w:type="dxa"/>
            <w:vAlign w:val="center"/>
          </w:tcPr>
          <w:p w14:paraId="7CFF69F7">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联系人</w:t>
            </w:r>
          </w:p>
        </w:tc>
      </w:tr>
      <w:tr w14:paraId="57DB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609" w:type="dxa"/>
            <w:vAlign w:val="center"/>
          </w:tcPr>
          <w:p w14:paraId="396D94B7">
            <w:pPr>
              <w:pStyle w:val="20"/>
              <w:pageBreakBefore w:val="0"/>
              <w:kinsoku/>
              <w:wordWrap w:val="0"/>
              <w:bidi w:val="0"/>
              <w:spacing w:beforeAutospacing="0" w:afterAutospacing="0" w:line="360" w:lineRule="auto"/>
              <w:ind w:left="0" w:leftChars="0" w:right="0" w:rightChars="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w:t>
            </w:r>
          </w:p>
        </w:tc>
        <w:tc>
          <w:tcPr>
            <w:tcW w:w="4413" w:type="dxa"/>
            <w:vAlign w:val="center"/>
          </w:tcPr>
          <w:p w14:paraId="405A5984">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传真</w:t>
            </w:r>
          </w:p>
        </w:tc>
        <w:tc>
          <w:tcPr>
            <w:tcW w:w="4298" w:type="dxa"/>
            <w:vAlign w:val="center"/>
          </w:tcPr>
          <w:p w14:paraId="1876C1E8">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电子邮箱</w:t>
            </w:r>
          </w:p>
        </w:tc>
      </w:tr>
      <w:tr w14:paraId="151E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09" w:type="dxa"/>
            <w:vAlign w:val="center"/>
          </w:tcPr>
          <w:p w14:paraId="570B5965">
            <w:pPr>
              <w:pStyle w:val="20"/>
              <w:pageBreakBefore w:val="0"/>
              <w:kinsoku/>
              <w:wordWrap w:val="0"/>
              <w:bidi w:val="0"/>
              <w:spacing w:beforeAutospacing="0" w:afterAutospacing="0" w:line="360" w:lineRule="auto"/>
              <w:ind w:left="0" w:leftChars="0" w:right="0" w:rightChars="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w:t>
            </w:r>
          </w:p>
        </w:tc>
        <w:tc>
          <w:tcPr>
            <w:tcW w:w="4413" w:type="dxa"/>
            <w:vAlign w:val="center"/>
          </w:tcPr>
          <w:p w14:paraId="12FF8872">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注册地</w:t>
            </w:r>
          </w:p>
        </w:tc>
        <w:tc>
          <w:tcPr>
            <w:tcW w:w="4298" w:type="dxa"/>
            <w:vAlign w:val="center"/>
          </w:tcPr>
          <w:p w14:paraId="36B11961">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注册年份（请附营业执照扫描件）</w:t>
            </w:r>
          </w:p>
        </w:tc>
      </w:tr>
      <w:tr w14:paraId="0F28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09" w:type="dxa"/>
            <w:vAlign w:val="center"/>
          </w:tcPr>
          <w:p w14:paraId="42275476">
            <w:pPr>
              <w:pStyle w:val="20"/>
              <w:pageBreakBefore w:val="0"/>
              <w:kinsoku/>
              <w:wordWrap w:val="0"/>
              <w:bidi w:val="0"/>
              <w:spacing w:beforeAutospacing="0" w:afterAutospacing="0" w:line="360" w:lineRule="auto"/>
              <w:ind w:left="0" w:leftChars="0" w:right="0" w:rightChars="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w:t>
            </w:r>
          </w:p>
        </w:tc>
        <w:tc>
          <w:tcPr>
            <w:tcW w:w="8711" w:type="dxa"/>
            <w:gridSpan w:val="2"/>
            <w:vAlign w:val="center"/>
          </w:tcPr>
          <w:p w14:paraId="2ADCA6F1">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公司有关证书（请附有关证书的扫描件）</w:t>
            </w:r>
          </w:p>
        </w:tc>
      </w:tr>
      <w:tr w14:paraId="67FD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609" w:type="dxa"/>
            <w:vAlign w:val="center"/>
          </w:tcPr>
          <w:p w14:paraId="59F69D93">
            <w:pPr>
              <w:pStyle w:val="20"/>
              <w:pageBreakBefore w:val="0"/>
              <w:kinsoku/>
              <w:wordWrap w:val="0"/>
              <w:bidi w:val="0"/>
              <w:spacing w:beforeAutospacing="0" w:afterAutospacing="0" w:line="360" w:lineRule="auto"/>
              <w:ind w:left="0" w:leftChars="0" w:right="0" w:rightChars="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w:t>
            </w:r>
          </w:p>
        </w:tc>
        <w:tc>
          <w:tcPr>
            <w:tcW w:w="8711" w:type="dxa"/>
            <w:gridSpan w:val="2"/>
            <w:vAlign w:val="center"/>
          </w:tcPr>
          <w:p w14:paraId="1695E154">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公司（是否通过，何种）质量保证体系认证（如通过请附相关证书扫描件，并提供认证机构年审监督报告。</w:t>
            </w:r>
          </w:p>
        </w:tc>
      </w:tr>
      <w:tr w14:paraId="7B8D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609" w:type="dxa"/>
            <w:vAlign w:val="center"/>
          </w:tcPr>
          <w:p w14:paraId="435F6451">
            <w:pPr>
              <w:pStyle w:val="20"/>
              <w:pageBreakBefore w:val="0"/>
              <w:kinsoku/>
              <w:wordWrap w:val="0"/>
              <w:bidi w:val="0"/>
              <w:spacing w:beforeAutospacing="0" w:afterAutospacing="0" w:line="360" w:lineRule="auto"/>
              <w:ind w:left="0" w:leftChars="0" w:right="0" w:rightChars="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w:t>
            </w:r>
          </w:p>
        </w:tc>
        <w:tc>
          <w:tcPr>
            <w:tcW w:w="8711" w:type="dxa"/>
            <w:gridSpan w:val="2"/>
            <w:vAlign w:val="center"/>
          </w:tcPr>
          <w:p w14:paraId="42FBCF68">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主营范围</w:t>
            </w:r>
          </w:p>
          <w:p w14:paraId="2F7CDB9B">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w:t>
            </w:r>
          </w:p>
          <w:p w14:paraId="6B47DCA0">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w:t>
            </w:r>
          </w:p>
          <w:p w14:paraId="3BB9A408">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w:t>
            </w:r>
          </w:p>
          <w:p w14:paraId="5B11C7D3">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w:t>
            </w:r>
          </w:p>
          <w:p w14:paraId="41B378D3">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p>
          <w:p w14:paraId="5CBAC064">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p>
        </w:tc>
      </w:tr>
      <w:tr w14:paraId="6C73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09" w:type="dxa"/>
            <w:vAlign w:val="center"/>
          </w:tcPr>
          <w:p w14:paraId="4A9AAE8B">
            <w:pPr>
              <w:pStyle w:val="20"/>
              <w:pageBreakBefore w:val="0"/>
              <w:kinsoku/>
              <w:wordWrap w:val="0"/>
              <w:bidi w:val="0"/>
              <w:spacing w:beforeAutospacing="0" w:afterAutospacing="0" w:line="360" w:lineRule="auto"/>
              <w:ind w:left="0" w:leftChars="0" w:right="0" w:rightChars="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w:t>
            </w:r>
          </w:p>
        </w:tc>
        <w:tc>
          <w:tcPr>
            <w:tcW w:w="8711" w:type="dxa"/>
            <w:gridSpan w:val="2"/>
            <w:vAlign w:val="center"/>
          </w:tcPr>
          <w:p w14:paraId="594636D5">
            <w:pPr>
              <w:pStyle w:val="20"/>
              <w:pageBreakBefore w:val="0"/>
              <w:kinsoku/>
              <w:wordWrap w:val="0"/>
              <w:bidi w:val="0"/>
              <w:spacing w:beforeAutospacing="0" w:afterAutospacing="0" w:line="360" w:lineRule="auto"/>
              <w:ind w:left="0" w:leftChars="0" w:right="0" w:righ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其他要求说明的情况</w:t>
            </w:r>
          </w:p>
        </w:tc>
      </w:tr>
    </w:tbl>
    <w:p w14:paraId="7E70E398">
      <w:pPr>
        <w:pStyle w:val="20"/>
        <w:pageBreakBefore w:val="0"/>
        <w:kinsoku/>
        <w:bidi w:val="0"/>
        <w:spacing w:beforeAutospacing="0" w:afterAutospacing="0"/>
        <w:ind w:left="0" w:leftChars="0" w:right="0" w:rightChars="0"/>
        <w:rPr>
          <w:rFonts w:hAnsi="宋体" w:cs="宋体"/>
          <w:b/>
          <w:bCs/>
          <w:color w:val="000000" w:themeColor="text1"/>
          <w:highlight w:val="none"/>
          <w14:textFill>
            <w14:solidFill>
              <w14:schemeClr w14:val="tx1"/>
            </w14:solidFill>
          </w14:textFill>
        </w:rPr>
      </w:pPr>
    </w:p>
    <w:p w14:paraId="6A0764B3">
      <w:pPr>
        <w:pStyle w:val="20"/>
        <w:pageBreakBefore w:val="0"/>
        <w:kinsoku/>
        <w:wordWrap w:val="0"/>
        <w:bidi w:val="0"/>
        <w:spacing w:beforeAutospacing="0" w:afterAutospacing="0"/>
        <w:ind w:left="0" w:leftChars="0" w:right="0" w:rightChars="0"/>
        <w:rPr>
          <w:rFonts w:hAnsi="宋体" w:cs="宋体"/>
          <w:b/>
          <w:bCs/>
          <w:color w:val="000000" w:themeColor="text1"/>
          <w:highlight w:val="none"/>
          <w14:textFill>
            <w14:solidFill>
              <w14:schemeClr w14:val="tx1"/>
            </w14:solidFill>
          </w14:textFill>
        </w:rPr>
      </w:pPr>
    </w:p>
    <w:p w14:paraId="3FC3BE78">
      <w:pPr>
        <w:pStyle w:val="20"/>
        <w:pageBreakBefore w:val="0"/>
        <w:kinsoku/>
        <w:wordWrap w:val="0"/>
        <w:bidi w:val="0"/>
        <w:spacing w:beforeAutospacing="0" w:afterAutospacing="0"/>
        <w:ind w:left="0" w:leftChars="0" w:right="0" w:rightChars="0"/>
        <w:rPr>
          <w:rFonts w:hAnsi="宋体" w:cs="宋体"/>
          <w:b/>
          <w:bCs/>
          <w:color w:val="000000" w:themeColor="text1"/>
          <w:highlight w:val="none"/>
          <w14:textFill>
            <w14:solidFill>
              <w14:schemeClr w14:val="tx1"/>
            </w14:solidFill>
          </w14:textFill>
        </w:rPr>
      </w:pPr>
    </w:p>
    <w:p w14:paraId="059C9684">
      <w:pPr>
        <w:pageBreakBefore w:val="0"/>
        <w:kinsoku/>
        <w:wordWrap w:val="0"/>
        <w:autoSpaceDE w:val="0"/>
        <w:autoSpaceDN w:val="0"/>
        <w:bidi w:val="0"/>
        <w:adjustRightInd w:val="0"/>
        <w:spacing w:beforeAutospacing="0" w:afterAutospacing="0" w:line="360" w:lineRule="auto"/>
        <w:ind w:left="0" w:leftChars="0" w:right="0" w:rightChars="0"/>
        <w:rPr>
          <w:rFonts w:ascii="宋体" w:hAnsi="宋体" w:cs="宋体"/>
          <w:b/>
          <w:bCs/>
          <w:color w:val="000000" w:themeColor="text1"/>
          <w:sz w:val="21"/>
          <w:szCs w:val="21"/>
          <w:highlight w:val="none"/>
          <w14:textFill>
            <w14:solidFill>
              <w14:schemeClr w14:val="tx1"/>
            </w14:solidFill>
          </w14:textFill>
        </w:rPr>
      </w:pPr>
    </w:p>
    <w:p w14:paraId="4FBC1FF6">
      <w:pPr>
        <w:pStyle w:val="4"/>
        <w:pageBreakBefore w:val="0"/>
        <w:kinsoku/>
        <w:wordWrap w:val="0"/>
        <w:bidi w:val="0"/>
        <w:spacing w:before="0" w:beforeAutospacing="0" w:after="0" w:afterAutospacing="0" w:line="360" w:lineRule="auto"/>
        <w:ind w:left="0" w:leftChars="0" w:right="0" w:rightChars="0"/>
        <w:jc w:val="center"/>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br w:type="page"/>
      </w:r>
      <w:bookmarkStart w:id="477" w:name="_Toc3223"/>
      <w:bookmarkStart w:id="478" w:name="_Toc1426"/>
      <w:bookmarkStart w:id="479" w:name="_Toc432697236"/>
      <w:r>
        <w:rPr>
          <w:rFonts w:hint="eastAsia" w:ascii="宋体" w:hAnsi="宋体" w:cs="宋体"/>
          <w:color w:val="000000" w:themeColor="text1"/>
          <w:sz w:val="24"/>
          <w:szCs w:val="24"/>
          <w:highlight w:val="none"/>
          <w14:textFill>
            <w14:solidFill>
              <w14:schemeClr w14:val="tx1"/>
            </w14:solidFill>
          </w14:textFill>
        </w:rPr>
        <w:t>（二）营业执照或其他法定凭证</w:t>
      </w:r>
      <w:bookmarkEnd w:id="477"/>
      <w:bookmarkEnd w:id="478"/>
    </w:p>
    <w:p w14:paraId="7D769FBC">
      <w:pPr>
        <w:pageBreakBefore w:val="0"/>
        <w:kinsoku/>
        <w:bidi w:val="0"/>
        <w:spacing w:beforeAutospacing="0" w:afterAutospacing="0" w:line="360" w:lineRule="auto"/>
        <w:ind w:left="0" w:leftChars="0" w:right="0" w:rightChars="0"/>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提供营业执照或其他法定凭证扫描件</w:t>
      </w:r>
    </w:p>
    <w:p w14:paraId="3FC13377">
      <w:pPr>
        <w:pageBreakBefore w:val="0"/>
        <w:kinsoku/>
        <w:bidi w:val="0"/>
        <w:spacing w:beforeAutospacing="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p>
    <w:p w14:paraId="502C283C">
      <w:pPr>
        <w:pageBreakBefore w:val="0"/>
        <w:kinsoku/>
        <w:bidi w:val="0"/>
        <w:spacing w:beforeAutospacing="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p>
    <w:p w14:paraId="5F19B77C">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bookmarkStart w:id="480" w:name="_Toc10963"/>
      <w:r>
        <w:rPr>
          <w:rFonts w:hint="eastAsia" w:ascii="宋体" w:hAnsi="宋体" w:cs="宋体"/>
          <w:color w:val="000000" w:themeColor="text1"/>
          <w:sz w:val="24"/>
          <w:szCs w:val="24"/>
          <w:highlight w:val="none"/>
          <w14:textFill>
            <w14:solidFill>
              <w14:schemeClr w14:val="tx1"/>
            </w14:solidFill>
          </w14:textFill>
        </w:rPr>
        <w:t>（三）财务状况证明材料</w:t>
      </w:r>
      <w:bookmarkEnd w:id="480"/>
    </w:p>
    <w:p w14:paraId="23B743B4">
      <w:pPr>
        <w:pageBreakBefore w:val="0"/>
        <w:kinsoku/>
        <w:bidi w:val="0"/>
        <w:spacing w:beforeAutospacing="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p>
    <w:bookmarkEnd w:id="479"/>
    <w:p w14:paraId="17B09A51">
      <w:pPr>
        <w:pageBreakBefore w:val="0"/>
        <w:kinsoku/>
        <w:wordWrap w:val="0"/>
        <w:bidi w:val="0"/>
        <w:spacing w:beforeAutospacing="0" w:afterAutospacing="0"/>
        <w:ind w:left="0" w:leftChars="0" w:right="0" w:rightChars="0"/>
        <w:rPr>
          <w:rFonts w:ascii="宋体" w:hAnsi="宋体" w:cs="宋体"/>
          <w:color w:val="000000" w:themeColor="text1"/>
          <w:kern w:val="2"/>
          <w:sz w:val="21"/>
          <w:szCs w:val="21"/>
          <w:highlight w:val="none"/>
          <w14:textFill>
            <w14:solidFill>
              <w14:schemeClr w14:val="tx1"/>
            </w14:solidFill>
          </w14:textFill>
        </w:rPr>
      </w:pPr>
      <w:bookmarkStart w:id="481" w:name="_Toc9959"/>
      <w:bookmarkStart w:id="482" w:name="_Toc432697239"/>
      <w:r>
        <w:rPr>
          <w:rFonts w:hint="eastAsia" w:ascii="宋体" w:hAnsi="宋体" w:cs="宋体"/>
          <w:color w:val="000000" w:themeColor="text1"/>
          <w:kern w:val="2"/>
          <w:sz w:val="21"/>
          <w:szCs w:val="21"/>
          <w:highlight w:val="none"/>
          <w14:textFill>
            <w14:solidFill>
              <w14:schemeClr w14:val="tx1"/>
            </w14:solidFill>
          </w14:textFill>
        </w:rPr>
        <w:t>　　1.开户银行情况</w:t>
      </w:r>
    </w:p>
    <w:tbl>
      <w:tblPr>
        <w:tblStyle w:val="43"/>
        <w:tblW w:w="4999" w:type="pct"/>
        <w:tblInd w:w="0" w:type="dxa"/>
        <w:tblLayout w:type="autofit"/>
        <w:tblCellMar>
          <w:top w:w="0" w:type="dxa"/>
          <w:left w:w="28" w:type="dxa"/>
          <w:bottom w:w="0" w:type="dxa"/>
          <w:right w:w="28" w:type="dxa"/>
        </w:tblCellMar>
      </w:tblPr>
      <w:tblGrid>
        <w:gridCol w:w="1261"/>
        <w:gridCol w:w="3965"/>
        <w:gridCol w:w="4239"/>
      </w:tblGrid>
      <w:tr w14:paraId="13CA1158">
        <w:tblPrEx>
          <w:tblCellMar>
            <w:top w:w="0" w:type="dxa"/>
            <w:left w:w="28" w:type="dxa"/>
            <w:bottom w:w="0" w:type="dxa"/>
            <w:right w:w="28" w:type="dxa"/>
          </w:tblCellMar>
        </w:tblPrEx>
        <w:trPr>
          <w:cantSplit/>
          <w:trHeight w:val="645" w:hRule="atLeast"/>
        </w:trPr>
        <w:tc>
          <w:tcPr>
            <w:tcW w:w="666" w:type="pct"/>
            <w:vMerge w:val="restart"/>
            <w:tcBorders>
              <w:top w:val="single" w:color="auto" w:sz="6" w:space="0"/>
              <w:left w:val="single" w:color="auto" w:sz="6" w:space="0"/>
              <w:right w:val="single" w:color="auto" w:sz="6" w:space="0"/>
            </w:tcBorders>
            <w:vAlign w:val="center"/>
          </w:tcPr>
          <w:p w14:paraId="38521303">
            <w:pPr>
              <w:pageBreakBefore w:val="0"/>
              <w:widowControl w:val="0"/>
              <w:kinsoku/>
              <w:wordWrap w:val="0"/>
              <w:bidi w:val="0"/>
              <w:spacing w:beforeAutospacing="0" w:afterAutospacing="0"/>
              <w:ind w:left="0" w:leftChars="0" w:right="0" w:rightChars="0"/>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开户银行</w:t>
            </w:r>
          </w:p>
        </w:tc>
        <w:tc>
          <w:tcPr>
            <w:tcW w:w="4333" w:type="pct"/>
            <w:gridSpan w:val="2"/>
            <w:tcBorders>
              <w:top w:val="single" w:color="auto" w:sz="6" w:space="0"/>
              <w:left w:val="nil"/>
              <w:bottom w:val="single" w:color="auto" w:sz="6" w:space="0"/>
              <w:right w:val="single" w:color="auto" w:sz="6" w:space="0"/>
            </w:tcBorders>
            <w:vAlign w:val="center"/>
          </w:tcPr>
          <w:p w14:paraId="0D8EC941">
            <w:pPr>
              <w:pageBreakBefore w:val="0"/>
              <w:widowControl w:val="0"/>
              <w:kinsoku/>
              <w:wordWrap w:val="0"/>
              <w:bidi w:val="0"/>
              <w:spacing w:beforeAutospacing="0" w:afterAutospacing="0"/>
              <w:ind w:left="0" w:leftChars="0" w:right="0" w:rightChars="0" w:firstLine="8"/>
              <w:jc w:val="both"/>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名称：</w:t>
            </w:r>
          </w:p>
        </w:tc>
      </w:tr>
      <w:tr w14:paraId="56DC11D8">
        <w:tblPrEx>
          <w:tblCellMar>
            <w:top w:w="0" w:type="dxa"/>
            <w:left w:w="28" w:type="dxa"/>
            <w:bottom w:w="0" w:type="dxa"/>
            <w:right w:w="28" w:type="dxa"/>
          </w:tblCellMar>
        </w:tblPrEx>
        <w:trPr>
          <w:cantSplit/>
          <w:trHeight w:val="645" w:hRule="atLeast"/>
        </w:trPr>
        <w:tc>
          <w:tcPr>
            <w:tcW w:w="666" w:type="pct"/>
            <w:vMerge w:val="continue"/>
            <w:tcBorders>
              <w:left w:val="single" w:color="auto" w:sz="6" w:space="0"/>
              <w:right w:val="single" w:color="auto" w:sz="6" w:space="0"/>
            </w:tcBorders>
            <w:vAlign w:val="center"/>
          </w:tcPr>
          <w:p w14:paraId="5EDCB23B">
            <w:pPr>
              <w:pageBreakBefore w:val="0"/>
              <w:widowControl w:val="0"/>
              <w:kinsoku/>
              <w:wordWrap w:val="0"/>
              <w:bidi w:val="0"/>
              <w:spacing w:beforeAutospacing="0" w:afterAutospacing="0"/>
              <w:ind w:left="0" w:leftChars="0" w:right="0" w:rightChars="0"/>
              <w:jc w:val="center"/>
              <w:rPr>
                <w:rFonts w:ascii="宋体" w:hAnsi="宋体" w:cs="宋体"/>
                <w:color w:val="000000" w:themeColor="text1"/>
                <w:kern w:val="2"/>
                <w:sz w:val="21"/>
                <w:szCs w:val="21"/>
                <w:highlight w:val="none"/>
                <w14:textFill>
                  <w14:solidFill>
                    <w14:schemeClr w14:val="tx1"/>
                  </w14:solidFill>
                </w14:textFill>
              </w:rPr>
            </w:pPr>
          </w:p>
        </w:tc>
        <w:tc>
          <w:tcPr>
            <w:tcW w:w="4333" w:type="pct"/>
            <w:gridSpan w:val="2"/>
            <w:tcBorders>
              <w:top w:val="single" w:color="auto" w:sz="6" w:space="0"/>
              <w:left w:val="nil"/>
              <w:bottom w:val="single" w:color="auto" w:sz="6" w:space="0"/>
              <w:right w:val="single" w:color="auto" w:sz="6" w:space="0"/>
            </w:tcBorders>
            <w:vAlign w:val="center"/>
          </w:tcPr>
          <w:p w14:paraId="57597678">
            <w:pPr>
              <w:pageBreakBefore w:val="0"/>
              <w:widowControl w:val="0"/>
              <w:kinsoku/>
              <w:wordWrap w:val="0"/>
              <w:bidi w:val="0"/>
              <w:spacing w:beforeAutospacing="0" w:afterAutospacing="0"/>
              <w:ind w:left="0" w:leftChars="0" w:right="0" w:rightChars="0" w:firstLine="8"/>
              <w:jc w:val="both"/>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地址：</w:t>
            </w:r>
          </w:p>
        </w:tc>
      </w:tr>
      <w:tr w14:paraId="2EA90549">
        <w:tblPrEx>
          <w:tblCellMar>
            <w:top w:w="0" w:type="dxa"/>
            <w:left w:w="28" w:type="dxa"/>
            <w:bottom w:w="0" w:type="dxa"/>
            <w:right w:w="28" w:type="dxa"/>
          </w:tblCellMar>
        </w:tblPrEx>
        <w:trPr>
          <w:cantSplit/>
          <w:trHeight w:val="645" w:hRule="atLeast"/>
        </w:trPr>
        <w:tc>
          <w:tcPr>
            <w:tcW w:w="666" w:type="pct"/>
            <w:vMerge w:val="continue"/>
            <w:tcBorders>
              <w:left w:val="single" w:color="auto" w:sz="6" w:space="0"/>
              <w:right w:val="single" w:color="auto" w:sz="6" w:space="0"/>
            </w:tcBorders>
            <w:vAlign w:val="center"/>
          </w:tcPr>
          <w:p w14:paraId="4ACE97AB">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tc>
        <w:tc>
          <w:tcPr>
            <w:tcW w:w="2094" w:type="pct"/>
            <w:tcBorders>
              <w:top w:val="single" w:color="auto" w:sz="6" w:space="0"/>
              <w:left w:val="nil"/>
              <w:bottom w:val="single" w:color="auto" w:sz="6" w:space="0"/>
              <w:right w:val="single" w:color="auto" w:sz="6" w:space="0"/>
            </w:tcBorders>
            <w:vAlign w:val="center"/>
          </w:tcPr>
          <w:p w14:paraId="186EF588">
            <w:pPr>
              <w:pageBreakBefore w:val="0"/>
              <w:widowControl w:val="0"/>
              <w:kinsoku/>
              <w:wordWrap w:val="0"/>
              <w:bidi w:val="0"/>
              <w:spacing w:beforeAutospacing="0" w:afterAutospacing="0"/>
              <w:ind w:left="0" w:leftChars="0" w:right="0" w:rightChars="0" w:firstLine="8"/>
              <w:jc w:val="both"/>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电话：</w:t>
            </w:r>
          </w:p>
        </w:tc>
        <w:tc>
          <w:tcPr>
            <w:tcW w:w="2239" w:type="pct"/>
            <w:tcBorders>
              <w:top w:val="single" w:color="auto" w:sz="6" w:space="0"/>
              <w:left w:val="single" w:color="auto" w:sz="6" w:space="0"/>
              <w:bottom w:val="single" w:color="auto" w:sz="6" w:space="0"/>
              <w:right w:val="single" w:color="auto" w:sz="6" w:space="0"/>
            </w:tcBorders>
            <w:vAlign w:val="center"/>
          </w:tcPr>
          <w:p w14:paraId="509F6B01">
            <w:pPr>
              <w:pageBreakBefore w:val="0"/>
              <w:widowControl w:val="0"/>
              <w:kinsoku/>
              <w:wordWrap w:val="0"/>
              <w:bidi w:val="0"/>
              <w:spacing w:beforeAutospacing="0" w:afterAutospacing="0"/>
              <w:ind w:left="0" w:leftChars="0" w:right="0" w:rightChars="0" w:firstLine="8"/>
              <w:jc w:val="both"/>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联系人及职务：</w:t>
            </w:r>
          </w:p>
        </w:tc>
      </w:tr>
      <w:tr w14:paraId="1A239A04">
        <w:tblPrEx>
          <w:tblCellMar>
            <w:top w:w="0" w:type="dxa"/>
            <w:left w:w="28" w:type="dxa"/>
            <w:bottom w:w="0" w:type="dxa"/>
            <w:right w:w="28" w:type="dxa"/>
          </w:tblCellMar>
        </w:tblPrEx>
        <w:trPr>
          <w:cantSplit/>
          <w:trHeight w:val="645" w:hRule="atLeast"/>
        </w:trPr>
        <w:tc>
          <w:tcPr>
            <w:tcW w:w="666" w:type="pct"/>
            <w:vMerge w:val="continue"/>
            <w:tcBorders>
              <w:left w:val="single" w:color="auto" w:sz="6" w:space="0"/>
              <w:bottom w:val="single" w:color="auto" w:sz="6" w:space="0"/>
              <w:right w:val="single" w:color="auto" w:sz="6" w:space="0"/>
            </w:tcBorders>
            <w:vAlign w:val="center"/>
          </w:tcPr>
          <w:p w14:paraId="2A6C3053">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tc>
        <w:tc>
          <w:tcPr>
            <w:tcW w:w="2094" w:type="pct"/>
            <w:tcBorders>
              <w:top w:val="single" w:color="auto" w:sz="6" w:space="0"/>
              <w:left w:val="nil"/>
              <w:bottom w:val="single" w:color="auto" w:sz="6" w:space="0"/>
              <w:right w:val="single" w:color="auto" w:sz="6" w:space="0"/>
            </w:tcBorders>
            <w:vAlign w:val="center"/>
          </w:tcPr>
          <w:p w14:paraId="57EDFE51">
            <w:pPr>
              <w:pageBreakBefore w:val="0"/>
              <w:widowControl w:val="0"/>
              <w:kinsoku/>
              <w:wordWrap w:val="0"/>
              <w:bidi w:val="0"/>
              <w:spacing w:beforeAutospacing="0" w:afterAutospacing="0"/>
              <w:ind w:left="0" w:leftChars="0" w:right="0" w:rightChars="0" w:firstLine="8"/>
              <w:jc w:val="both"/>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传真：</w:t>
            </w:r>
          </w:p>
        </w:tc>
        <w:tc>
          <w:tcPr>
            <w:tcW w:w="2239" w:type="pct"/>
            <w:tcBorders>
              <w:top w:val="single" w:color="auto" w:sz="6" w:space="0"/>
              <w:left w:val="single" w:color="auto" w:sz="6" w:space="0"/>
              <w:bottom w:val="single" w:color="auto" w:sz="6" w:space="0"/>
              <w:right w:val="single" w:color="auto" w:sz="6" w:space="0"/>
            </w:tcBorders>
            <w:vAlign w:val="center"/>
          </w:tcPr>
          <w:p w14:paraId="66309B22">
            <w:pPr>
              <w:pageBreakBefore w:val="0"/>
              <w:widowControl w:val="0"/>
              <w:kinsoku/>
              <w:wordWrap w:val="0"/>
              <w:bidi w:val="0"/>
              <w:spacing w:beforeAutospacing="0" w:afterAutospacing="0"/>
              <w:ind w:left="0" w:leftChars="0" w:right="0" w:rightChars="0" w:firstLine="8"/>
              <w:jc w:val="both"/>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电传：</w:t>
            </w:r>
          </w:p>
        </w:tc>
      </w:tr>
    </w:tbl>
    <w:p w14:paraId="02FE9C2F">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p w14:paraId="460C669D">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 xml:space="preserve">    2.近三年每年的资产负债情况</w:t>
      </w:r>
    </w:p>
    <w:tbl>
      <w:tblPr>
        <w:tblStyle w:val="43"/>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023"/>
        <w:gridCol w:w="2221"/>
        <w:gridCol w:w="2221"/>
      </w:tblGrid>
      <w:tr w14:paraId="75492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72" w:hRule="atLeast"/>
        </w:trPr>
        <w:tc>
          <w:tcPr>
            <w:tcW w:w="2653" w:type="pct"/>
            <w:vMerge w:val="restart"/>
            <w:vAlign w:val="center"/>
          </w:tcPr>
          <w:p w14:paraId="238A5A00">
            <w:pPr>
              <w:pageBreakBefore w:val="0"/>
              <w:widowControl w:val="0"/>
              <w:kinsoku/>
              <w:wordWrap w:val="0"/>
              <w:bidi w:val="0"/>
              <w:spacing w:beforeAutospacing="0" w:afterAutospacing="0"/>
              <w:ind w:left="0" w:leftChars="0" w:right="0" w:rightChars="0"/>
              <w:jc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财务状况</w:t>
            </w:r>
          </w:p>
          <w:p w14:paraId="40B8235F">
            <w:pPr>
              <w:pageBreakBefore w:val="0"/>
              <w:widowControl w:val="0"/>
              <w:kinsoku/>
              <w:wordWrap w:val="0"/>
              <w:bidi w:val="0"/>
              <w:spacing w:beforeAutospacing="0" w:afterAutospacing="0"/>
              <w:ind w:left="0" w:leftChars="0" w:right="0" w:rightChars="0"/>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（单位：元）</w:t>
            </w:r>
          </w:p>
        </w:tc>
        <w:tc>
          <w:tcPr>
            <w:tcW w:w="2346" w:type="pct"/>
            <w:gridSpan w:val="2"/>
            <w:vAlign w:val="center"/>
          </w:tcPr>
          <w:p w14:paraId="73319BA1">
            <w:pPr>
              <w:pageBreakBefore w:val="0"/>
              <w:widowControl w:val="0"/>
              <w:kinsoku/>
              <w:wordWrap w:val="0"/>
              <w:bidi w:val="0"/>
              <w:snapToGrid w:val="0"/>
              <w:spacing w:beforeAutospacing="0" w:afterAutospacing="0"/>
              <w:ind w:left="0" w:leftChars="0" w:right="0" w:rightChars="0"/>
              <w:jc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年度</w:t>
            </w:r>
          </w:p>
        </w:tc>
      </w:tr>
      <w:tr w14:paraId="3AAED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653" w:type="pct"/>
            <w:vMerge w:val="continue"/>
            <w:vAlign w:val="center"/>
          </w:tcPr>
          <w:p w14:paraId="6FEA786A">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tc>
        <w:tc>
          <w:tcPr>
            <w:tcW w:w="1173" w:type="pct"/>
            <w:vAlign w:val="center"/>
          </w:tcPr>
          <w:p w14:paraId="57AF793A">
            <w:pPr>
              <w:pageBreakBefore w:val="0"/>
              <w:widowControl w:val="0"/>
              <w:kinsoku/>
              <w:wordWrap w:val="0"/>
              <w:bidi w:val="0"/>
              <w:spacing w:beforeAutospacing="0" w:afterAutospacing="0"/>
              <w:ind w:left="0" w:leftChars="0" w:right="0" w:rightChars="0"/>
              <w:jc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u w:val="single"/>
                <w14:textFill>
                  <w14:solidFill>
                    <w14:schemeClr w14:val="tx1"/>
                  </w14:solidFill>
                </w14:textFill>
              </w:rPr>
              <w:t xml:space="preserve">   </w:t>
            </w:r>
            <w:r>
              <w:rPr>
                <w:rFonts w:hint="eastAsia" w:ascii="宋体" w:hAnsi="宋体" w:cs="宋体"/>
                <w:b/>
                <w:bCs/>
                <w:color w:val="000000" w:themeColor="text1"/>
                <w:kern w:val="2"/>
                <w:sz w:val="21"/>
                <w:szCs w:val="21"/>
                <w:highlight w:val="none"/>
                <w14:textFill>
                  <w14:solidFill>
                    <w14:schemeClr w14:val="tx1"/>
                  </w14:solidFill>
                </w14:textFill>
              </w:rPr>
              <w:t>年</w:t>
            </w:r>
          </w:p>
        </w:tc>
        <w:tc>
          <w:tcPr>
            <w:tcW w:w="1173" w:type="pct"/>
            <w:vAlign w:val="center"/>
          </w:tcPr>
          <w:p w14:paraId="6667CE3C">
            <w:pPr>
              <w:pageBreakBefore w:val="0"/>
              <w:widowControl w:val="0"/>
              <w:kinsoku/>
              <w:wordWrap w:val="0"/>
              <w:bidi w:val="0"/>
              <w:spacing w:beforeAutospacing="0" w:afterAutospacing="0"/>
              <w:ind w:left="0" w:leftChars="0" w:right="0" w:rightChars="0"/>
              <w:jc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u w:val="single"/>
                <w14:textFill>
                  <w14:solidFill>
                    <w14:schemeClr w14:val="tx1"/>
                  </w14:solidFill>
                </w14:textFill>
              </w:rPr>
              <w:t xml:space="preserve">   </w:t>
            </w:r>
            <w:r>
              <w:rPr>
                <w:rFonts w:hint="eastAsia" w:ascii="宋体" w:hAnsi="宋体" w:cs="宋体"/>
                <w:b/>
                <w:bCs/>
                <w:color w:val="000000" w:themeColor="text1"/>
                <w:kern w:val="2"/>
                <w:sz w:val="21"/>
                <w:szCs w:val="21"/>
                <w:highlight w:val="none"/>
                <w14:textFill>
                  <w14:solidFill>
                    <w14:schemeClr w14:val="tx1"/>
                  </w14:solidFill>
                </w14:textFill>
              </w:rPr>
              <w:t>年</w:t>
            </w:r>
          </w:p>
        </w:tc>
      </w:tr>
      <w:tr w14:paraId="05577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4" w:hRule="atLeast"/>
        </w:trPr>
        <w:tc>
          <w:tcPr>
            <w:tcW w:w="2653" w:type="pct"/>
            <w:vAlign w:val="center"/>
          </w:tcPr>
          <w:p w14:paraId="593416FB">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1总资产</w:t>
            </w:r>
          </w:p>
        </w:tc>
        <w:tc>
          <w:tcPr>
            <w:tcW w:w="1173" w:type="pct"/>
            <w:vAlign w:val="center"/>
          </w:tcPr>
          <w:p w14:paraId="6051A8C5">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tc>
        <w:tc>
          <w:tcPr>
            <w:tcW w:w="1173" w:type="pct"/>
            <w:vAlign w:val="center"/>
          </w:tcPr>
          <w:p w14:paraId="63D7448D">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tc>
      </w:tr>
      <w:tr w14:paraId="3ED50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6" w:hRule="atLeast"/>
        </w:trPr>
        <w:tc>
          <w:tcPr>
            <w:tcW w:w="2653" w:type="pct"/>
            <w:vAlign w:val="center"/>
          </w:tcPr>
          <w:p w14:paraId="4136E688">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2.流动资产</w:t>
            </w:r>
          </w:p>
        </w:tc>
        <w:tc>
          <w:tcPr>
            <w:tcW w:w="1173" w:type="pct"/>
            <w:vAlign w:val="center"/>
          </w:tcPr>
          <w:p w14:paraId="15F0772A">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tc>
        <w:tc>
          <w:tcPr>
            <w:tcW w:w="1173" w:type="pct"/>
            <w:vAlign w:val="center"/>
          </w:tcPr>
          <w:p w14:paraId="46CDDC3B">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tc>
      </w:tr>
      <w:tr w14:paraId="59068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4" w:hRule="atLeast"/>
        </w:trPr>
        <w:tc>
          <w:tcPr>
            <w:tcW w:w="2653" w:type="pct"/>
            <w:vAlign w:val="center"/>
          </w:tcPr>
          <w:p w14:paraId="384926EA">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3总负债</w:t>
            </w:r>
          </w:p>
        </w:tc>
        <w:tc>
          <w:tcPr>
            <w:tcW w:w="1173" w:type="pct"/>
            <w:vAlign w:val="center"/>
          </w:tcPr>
          <w:p w14:paraId="0548C78A">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tc>
        <w:tc>
          <w:tcPr>
            <w:tcW w:w="1173" w:type="pct"/>
            <w:vAlign w:val="center"/>
          </w:tcPr>
          <w:p w14:paraId="6A24B58F">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tc>
      </w:tr>
      <w:tr w14:paraId="35D96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6" w:hRule="atLeast"/>
        </w:trPr>
        <w:tc>
          <w:tcPr>
            <w:tcW w:w="2653" w:type="pct"/>
            <w:vAlign w:val="center"/>
          </w:tcPr>
          <w:p w14:paraId="100514DE">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4.流动负债</w:t>
            </w:r>
          </w:p>
        </w:tc>
        <w:tc>
          <w:tcPr>
            <w:tcW w:w="1173" w:type="pct"/>
            <w:vAlign w:val="center"/>
          </w:tcPr>
          <w:p w14:paraId="3C7AC8E5">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tc>
        <w:tc>
          <w:tcPr>
            <w:tcW w:w="1173" w:type="pct"/>
            <w:vAlign w:val="center"/>
          </w:tcPr>
          <w:p w14:paraId="3BF0DB72">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tc>
      </w:tr>
      <w:tr w14:paraId="65476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10" w:hRule="atLeast"/>
        </w:trPr>
        <w:tc>
          <w:tcPr>
            <w:tcW w:w="2653" w:type="pct"/>
            <w:vAlign w:val="center"/>
          </w:tcPr>
          <w:p w14:paraId="52A5E293">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5.税前利润</w:t>
            </w:r>
          </w:p>
        </w:tc>
        <w:tc>
          <w:tcPr>
            <w:tcW w:w="1173" w:type="pct"/>
            <w:vAlign w:val="center"/>
          </w:tcPr>
          <w:p w14:paraId="50EB9249">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tc>
        <w:tc>
          <w:tcPr>
            <w:tcW w:w="1173" w:type="pct"/>
            <w:vAlign w:val="center"/>
          </w:tcPr>
          <w:p w14:paraId="66859A98">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tc>
      </w:tr>
      <w:tr w14:paraId="12CD5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trPr>
        <w:tc>
          <w:tcPr>
            <w:tcW w:w="2653" w:type="pct"/>
            <w:vAlign w:val="center"/>
          </w:tcPr>
          <w:p w14:paraId="4F3467D7">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6.税后利润</w:t>
            </w:r>
          </w:p>
        </w:tc>
        <w:tc>
          <w:tcPr>
            <w:tcW w:w="1173" w:type="pct"/>
            <w:vAlign w:val="center"/>
          </w:tcPr>
          <w:p w14:paraId="7005DF88">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tc>
        <w:tc>
          <w:tcPr>
            <w:tcW w:w="1173" w:type="pct"/>
            <w:vAlign w:val="center"/>
          </w:tcPr>
          <w:p w14:paraId="036996FD">
            <w:pPr>
              <w:pageBreakBefore w:val="0"/>
              <w:widowControl w:val="0"/>
              <w:kinsoku/>
              <w:wordWrap w:val="0"/>
              <w:bidi w:val="0"/>
              <w:spacing w:beforeAutospacing="0" w:afterAutospacing="0"/>
              <w:ind w:left="0" w:leftChars="0" w:right="0" w:rightChars="0"/>
              <w:jc w:val="both"/>
              <w:rPr>
                <w:rFonts w:ascii="宋体" w:hAnsi="宋体" w:cs="宋体"/>
                <w:color w:val="000000" w:themeColor="text1"/>
                <w:kern w:val="2"/>
                <w:sz w:val="21"/>
                <w:szCs w:val="21"/>
                <w:highlight w:val="none"/>
                <w14:textFill>
                  <w14:solidFill>
                    <w14:schemeClr w14:val="tx1"/>
                  </w14:solidFill>
                </w14:textFill>
              </w:rPr>
            </w:pPr>
          </w:p>
        </w:tc>
      </w:tr>
    </w:tbl>
    <w:p w14:paraId="2E900E05">
      <w:pPr>
        <w:pageBreakBefore w:val="0"/>
        <w:tabs>
          <w:tab w:val="left" w:pos="720"/>
          <w:tab w:val="left" w:pos="4200"/>
          <w:tab w:val="left" w:pos="8295"/>
        </w:tabs>
        <w:kinsoku/>
        <w:bidi w:val="0"/>
        <w:spacing w:beforeAutospacing="0" w:afterAutospacing="0" w:line="360" w:lineRule="auto"/>
        <w:ind w:left="0" w:leftChars="0" w:right="0" w:rightChars="0" w:firstLine="422" w:firstLineChars="200"/>
        <w:rPr>
          <w:rFonts w:ascii="宋体" w:hAnsi="宋体" w:cs="宋体"/>
          <w:b/>
          <w:color w:val="000000" w:themeColor="text1"/>
          <w:kern w:val="44"/>
          <w:sz w:val="21"/>
          <w:szCs w:val="21"/>
          <w:highlight w:val="none"/>
          <w14:textFill>
            <w14:solidFill>
              <w14:schemeClr w14:val="tx1"/>
            </w14:solidFill>
          </w14:textFill>
        </w:rPr>
      </w:pPr>
    </w:p>
    <w:p w14:paraId="2B39E0D9">
      <w:pPr>
        <w:pageBreakBefore w:val="0"/>
        <w:widowControl w:val="0"/>
        <w:kinsoku/>
        <w:bidi w:val="0"/>
        <w:spacing w:beforeAutospacing="0" w:afterAutospacing="0" w:line="360" w:lineRule="auto"/>
        <w:ind w:left="0" w:leftChars="0" w:right="0" w:rightChars="0" w:firstLine="422"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kern w:val="44"/>
          <w:sz w:val="21"/>
          <w:szCs w:val="21"/>
          <w:highlight w:val="none"/>
          <w14:textFill>
            <w14:solidFill>
              <w14:schemeClr w14:val="tx1"/>
            </w14:solidFill>
          </w14:textFill>
        </w:rPr>
        <w:t>注：</w:t>
      </w:r>
      <w:bookmarkStart w:id="483" w:name="_Hlk21612102"/>
      <w:r>
        <w:rPr>
          <w:rFonts w:hint="eastAsia" w:ascii="宋体" w:hAnsi="宋体" w:cs="宋体"/>
          <w:color w:val="000000" w:themeColor="text1"/>
          <w:sz w:val="21"/>
          <w:szCs w:val="21"/>
          <w:highlight w:val="none"/>
          <w14:textFill>
            <w14:solidFill>
              <w14:schemeClr w14:val="tx1"/>
            </w14:solidFill>
          </w14:textFill>
        </w:rPr>
        <w:t>提供（2023或2024）年度经会计师事务所审计的财务状况报告（包括但不限于资产负债表、现金流量表、利润表），未经审计的公司提供（2023或2024）年度公司内部自行编制的财务报表。若为2025年新成立公司，提供银行开具的资信证明文件或资金证明文件。</w:t>
      </w:r>
    </w:p>
    <w:p w14:paraId="44685492">
      <w:pPr>
        <w:pageBreakBefore w:val="0"/>
        <w:tabs>
          <w:tab w:val="left" w:pos="720"/>
          <w:tab w:val="left" w:pos="4200"/>
          <w:tab w:val="left" w:pos="8295"/>
        </w:tabs>
        <w:kinsoku/>
        <w:bidi w:val="0"/>
        <w:spacing w:beforeAutospacing="0" w:afterAutospacing="0" w:line="360" w:lineRule="auto"/>
        <w:ind w:left="0" w:leftChars="0" w:right="0" w:rightChars="0" w:firstLine="422" w:firstLineChars="200"/>
        <w:rPr>
          <w:rFonts w:ascii="宋体" w:hAnsi="宋体" w:cs="宋体"/>
          <w:b/>
          <w:color w:val="000000" w:themeColor="text1"/>
          <w:sz w:val="21"/>
          <w:szCs w:val="21"/>
          <w:highlight w:val="none"/>
          <w14:textFill>
            <w14:solidFill>
              <w14:schemeClr w14:val="tx1"/>
            </w14:solidFill>
          </w14:textFill>
        </w:rPr>
      </w:pPr>
    </w:p>
    <w:bookmarkEnd w:id="483"/>
    <w:p w14:paraId="222CFB61">
      <w:pPr>
        <w:pageBreakBefore w:val="0"/>
        <w:kinsoku/>
        <w:bidi w:val="0"/>
        <w:spacing w:beforeAutospacing="0" w:afterAutospacing="0"/>
        <w:ind w:left="0" w:leftChars="0" w:right="0" w:right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p>
    <w:p w14:paraId="47C2A332">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bookmarkStart w:id="484" w:name="_Toc25715"/>
      <w:r>
        <w:rPr>
          <w:rFonts w:hint="eastAsia" w:ascii="宋体" w:hAnsi="宋体" w:cs="宋体"/>
          <w:color w:val="000000" w:themeColor="text1"/>
          <w:sz w:val="24"/>
          <w:szCs w:val="24"/>
          <w:highlight w:val="none"/>
          <w14:textFill>
            <w14:solidFill>
              <w14:schemeClr w14:val="tx1"/>
            </w14:solidFill>
          </w14:textFill>
        </w:rPr>
        <w:t>（四）依法缴纳税收和社会保障资金证明材料</w:t>
      </w:r>
      <w:bookmarkEnd w:id="481"/>
      <w:bookmarkEnd w:id="484"/>
    </w:p>
    <w:p w14:paraId="6C360A77">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A、纳税证明材料：缴税所属时间在2025年3月至投标截止日期前任意1个月的税务局税收通用缴款书扫描件或银行电子缴税（费）凭证扫描件或税务局出具纳税情况的相关证明扫描件；</w:t>
      </w:r>
    </w:p>
    <w:p w14:paraId="63FE0E15">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B、缴纳社会保险证明材料：缴费所属时间在2025年3月至投标截止日期前任意1个月的社会保险费缴款书扫描件或银行电子缴税（费）凭证扫描件或社保管理部门出具的有效的缴款证明扫描件。</w:t>
      </w:r>
    </w:p>
    <w:p w14:paraId="5F3E4A1E">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依法免税、新成立不满一个月或不需要缴纳社会保障资金的供应商，应提供相应文件证明其依法免税、新成立企业情况说明或不需要缴纳社会保障资金的证明材料。</w:t>
      </w:r>
    </w:p>
    <w:p w14:paraId="7CCC14B3">
      <w:pPr>
        <w:pageBreakBefore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p>
    <w:p w14:paraId="22961580">
      <w:pPr>
        <w:pageBreakBefore w:val="0"/>
        <w:kinsoku/>
        <w:bidi w:val="0"/>
        <w:spacing w:beforeAutospacing="0" w:afterAutospacing="0" w:line="360" w:lineRule="auto"/>
        <w:ind w:left="0" w:leftChars="0" w:right="0" w:rightChars="0"/>
        <w:jc w:val="center"/>
        <w:rPr>
          <w:rFonts w:ascii="宋体" w:hAnsi="宋体" w:cs="宋体"/>
          <w:color w:val="000000" w:themeColor="text1"/>
          <w:highlight w:val="none"/>
          <w14:textFill>
            <w14:solidFill>
              <w14:schemeClr w14:val="tx1"/>
            </w14:solidFill>
          </w14:textFill>
        </w:rPr>
      </w:pPr>
    </w:p>
    <w:p w14:paraId="47F7CCF5">
      <w:pPr>
        <w:pageBreakBefore w:val="0"/>
        <w:kinsoku/>
        <w:wordWrap w:val="0"/>
        <w:bidi w:val="0"/>
        <w:spacing w:beforeAutospacing="0" w:afterAutospacing="0" w:line="360" w:lineRule="auto"/>
        <w:ind w:left="0" w:leftChars="0" w:right="0" w:rightChars="0" w:firstLine="420" w:firstLineChars="200"/>
        <w:rPr>
          <w:rFonts w:ascii="宋体" w:hAnsi="宋体" w:cs="宋体"/>
          <w:snapToGrid w:val="0"/>
          <w:color w:val="000000" w:themeColor="text1"/>
          <w:kern w:val="21"/>
          <w:sz w:val="21"/>
          <w:szCs w:val="21"/>
          <w:highlight w:val="none"/>
          <w14:textFill>
            <w14:solidFill>
              <w14:schemeClr w14:val="tx1"/>
            </w14:solidFill>
          </w14:textFill>
        </w:rPr>
      </w:pPr>
    </w:p>
    <w:p w14:paraId="6193E743">
      <w:pPr>
        <w:pageBreakBefore w:val="0"/>
        <w:kinsoku/>
        <w:wordWrap w:val="0"/>
        <w:bidi w:val="0"/>
        <w:spacing w:beforeAutospacing="0" w:afterAutospacing="0" w:line="360" w:lineRule="auto"/>
        <w:ind w:left="0" w:leftChars="0" w:right="0" w:rightChars="0" w:firstLine="420" w:firstLineChars="200"/>
        <w:rPr>
          <w:rFonts w:ascii="宋体" w:hAnsi="宋体" w:cs="宋体"/>
          <w:snapToGrid w:val="0"/>
          <w:color w:val="000000" w:themeColor="text1"/>
          <w:kern w:val="21"/>
          <w:sz w:val="21"/>
          <w:szCs w:val="21"/>
          <w:highlight w:val="none"/>
          <w14:textFill>
            <w14:solidFill>
              <w14:schemeClr w14:val="tx1"/>
            </w14:solidFill>
          </w14:textFill>
        </w:rPr>
      </w:pPr>
    </w:p>
    <w:p w14:paraId="0A85AF3B">
      <w:pPr>
        <w:pageBreakBefore w:val="0"/>
        <w:kinsoku/>
        <w:wordWrap w:val="0"/>
        <w:bidi w:val="0"/>
        <w:spacing w:beforeAutospacing="0" w:afterAutospacing="0" w:line="360" w:lineRule="auto"/>
        <w:ind w:left="0" w:leftChars="0" w:right="0" w:rightChars="0" w:firstLine="420" w:firstLineChars="200"/>
        <w:rPr>
          <w:rFonts w:ascii="宋体" w:hAnsi="宋体" w:cs="宋体"/>
          <w:snapToGrid w:val="0"/>
          <w:color w:val="000000" w:themeColor="text1"/>
          <w:kern w:val="21"/>
          <w:sz w:val="21"/>
          <w:szCs w:val="21"/>
          <w:highlight w:val="none"/>
          <w14:textFill>
            <w14:solidFill>
              <w14:schemeClr w14:val="tx1"/>
            </w14:solidFill>
          </w14:textFill>
        </w:rPr>
      </w:pPr>
    </w:p>
    <w:p w14:paraId="3459A181">
      <w:pPr>
        <w:pageBreakBefore w:val="0"/>
        <w:kinsoku/>
        <w:bidi w:val="0"/>
        <w:spacing w:beforeAutospacing="0" w:afterAutospacing="0"/>
        <w:ind w:left="0" w:leftChars="0" w:right="0" w:rightChars="0"/>
        <w:rPr>
          <w:rFonts w:ascii="宋体" w:hAnsi="宋体" w:cs="宋体"/>
          <w:color w:val="000000" w:themeColor="text1"/>
          <w:highlight w:val="none"/>
          <w14:textFill>
            <w14:solidFill>
              <w14:schemeClr w14:val="tx1"/>
            </w14:solidFill>
          </w14:textFill>
        </w:rPr>
      </w:pPr>
    </w:p>
    <w:bookmarkEnd w:id="482"/>
    <w:p w14:paraId="60E54AD4">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485" w:name="_Toc432697241"/>
      <w:bookmarkStart w:id="486" w:name="_Toc316479147"/>
    </w:p>
    <w:p w14:paraId="1A9EDAB9">
      <w:pPr>
        <w:pageBreakBefore w:val="0"/>
        <w:kinsoku/>
        <w:bidi w:val="0"/>
        <w:spacing w:beforeAutospacing="0" w:afterAutospacing="0"/>
        <w:ind w:left="0" w:leftChars="0" w:right="0" w:rightChars="0"/>
        <w:rPr>
          <w:rFonts w:ascii="宋体" w:hAnsi="宋体" w:cs="宋体"/>
          <w:color w:val="000000" w:themeColor="text1"/>
          <w:sz w:val="24"/>
          <w:szCs w:val="24"/>
          <w:highlight w:val="none"/>
          <w14:textFill>
            <w14:solidFill>
              <w14:schemeClr w14:val="tx1"/>
            </w14:solidFill>
          </w14:textFill>
        </w:rPr>
      </w:pPr>
      <w:bookmarkStart w:id="487" w:name="_Toc152064633"/>
      <w:bookmarkStart w:id="488" w:name="_Toc27005"/>
      <w:bookmarkStart w:id="489" w:name="_Toc10462"/>
      <w:r>
        <w:rPr>
          <w:rFonts w:hint="eastAsia" w:ascii="宋体" w:hAnsi="宋体" w:cs="宋体"/>
          <w:color w:val="000000" w:themeColor="text1"/>
          <w:sz w:val="24"/>
          <w:szCs w:val="24"/>
          <w:highlight w:val="none"/>
          <w14:textFill>
            <w14:solidFill>
              <w14:schemeClr w14:val="tx1"/>
            </w14:solidFill>
          </w14:textFill>
        </w:rPr>
        <w:br w:type="page"/>
      </w:r>
    </w:p>
    <w:p w14:paraId="7C9621F5">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490" w:name="_Toc17303"/>
      <w:r>
        <w:rPr>
          <w:rFonts w:hint="eastAsia" w:ascii="宋体" w:hAnsi="宋体" w:cs="宋体"/>
          <w:color w:val="000000" w:themeColor="text1"/>
          <w:sz w:val="24"/>
          <w:szCs w:val="24"/>
          <w:highlight w:val="none"/>
          <w14:textFill>
            <w14:solidFill>
              <w14:schemeClr w14:val="tx1"/>
            </w14:solidFill>
          </w14:textFill>
        </w:rPr>
        <w:t>（五）具有履行合同所必需的设备和专业技术能力承诺</w:t>
      </w:r>
      <w:bookmarkEnd w:id="487"/>
      <w:bookmarkEnd w:id="488"/>
      <w:bookmarkEnd w:id="489"/>
      <w:bookmarkEnd w:id="490"/>
    </w:p>
    <w:p w14:paraId="24B21BFB">
      <w:pPr>
        <w:pStyle w:val="20"/>
        <w:pageBreakBefore w:val="0"/>
        <w:kinsoku/>
        <w:bidi w:val="0"/>
        <w:spacing w:beforeAutospacing="0" w:afterAutospacing="0" w:line="360" w:lineRule="auto"/>
        <w:ind w:left="0" w:leftChars="0" w:right="0" w:rightChars="0" w:firstLine="420" w:firstLineChars="20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供应商自行承诺，承诺企业具有履行合同所必需的设备和专业技术能力（提供承诺书）。</w:t>
      </w:r>
    </w:p>
    <w:p w14:paraId="24183B55">
      <w:pPr>
        <w:pStyle w:val="20"/>
        <w:pageBreakBefore w:val="0"/>
        <w:kinsoku/>
        <w:bidi w:val="0"/>
        <w:spacing w:beforeAutospacing="0" w:afterAutospacing="0" w:line="360" w:lineRule="auto"/>
        <w:ind w:left="0" w:leftChars="0" w:right="0" w:rightChars="0" w:firstLine="420" w:firstLineChars="200"/>
        <w:jc w:val="center"/>
        <w:rPr>
          <w:rFonts w:hAnsi="宋体" w:cs="宋体"/>
          <w:color w:val="000000" w:themeColor="text1"/>
          <w:highlight w:val="none"/>
          <w14:textFill>
            <w14:solidFill>
              <w14:schemeClr w14:val="tx1"/>
            </w14:solidFill>
          </w14:textFill>
        </w:rPr>
      </w:pPr>
    </w:p>
    <w:p w14:paraId="4F2F3784">
      <w:pPr>
        <w:pStyle w:val="20"/>
        <w:pageBreakBefore w:val="0"/>
        <w:kinsoku/>
        <w:bidi w:val="0"/>
        <w:spacing w:beforeAutospacing="0" w:afterAutospacing="0" w:line="360" w:lineRule="auto"/>
        <w:ind w:left="0" w:leftChars="0" w:right="0" w:rightChars="0" w:firstLine="420" w:firstLineChars="200"/>
        <w:jc w:val="center"/>
        <w:rPr>
          <w:rFonts w:hAnsi="宋体" w:cs="宋体"/>
          <w:color w:val="000000" w:themeColor="text1"/>
          <w:highlight w:val="none"/>
          <w14:textFill>
            <w14:solidFill>
              <w14:schemeClr w14:val="tx1"/>
            </w14:solidFill>
          </w14:textFill>
        </w:rPr>
      </w:pPr>
    </w:p>
    <w:p w14:paraId="711BD1AD">
      <w:pPr>
        <w:pStyle w:val="20"/>
        <w:pageBreakBefore w:val="0"/>
        <w:kinsoku/>
        <w:bidi w:val="0"/>
        <w:spacing w:beforeAutospacing="0" w:afterAutospacing="0" w:line="360" w:lineRule="auto"/>
        <w:ind w:left="0" w:leftChars="0" w:right="0" w:rightChars="0" w:firstLine="420" w:firstLineChars="200"/>
        <w:jc w:val="center"/>
        <w:rPr>
          <w:rFonts w:hAnsi="宋体" w:cs="宋体"/>
          <w:color w:val="000000" w:themeColor="text1"/>
          <w:highlight w:val="none"/>
          <w14:textFill>
            <w14:solidFill>
              <w14:schemeClr w14:val="tx1"/>
            </w14:solidFill>
          </w14:textFill>
        </w:rPr>
      </w:pPr>
    </w:p>
    <w:p w14:paraId="75B4D54B">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供应商：</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（电子签章）</w:t>
      </w:r>
    </w:p>
    <w:p w14:paraId="7C7B917C">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法定代表人或其委托代理人：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（电子签章）</w:t>
      </w:r>
    </w:p>
    <w:p w14:paraId="57BB7E3E">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日期：       年       月       日</w:t>
      </w:r>
    </w:p>
    <w:p w14:paraId="7D03B952">
      <w:pPr>
        <w:pStyle w:val="20"/>
        <w:pageBreakBefore w:val="0"/>
        <w:kinsoku/>
        <w:bidi w:val="0"/>
        <w:spacing w:beforeAutospacing="0" w:afterAutospacing="0" w:line="360" w:lineRule="auto"/>
        <w:ind w:left="0" w:leftChars="0" w:right="0" w:rightChars="0" w:firstLine="420" w:firstLineChars="200"/>
        <w:jc w:val="center"/>
        <w:rPr>
          <w:rFonts w:hAnsi="宋体" w:cs="宋体"/>
          <w:color w:val="000000" w:themeColor="text1"/>
          <w:highlight w:val="none"/>
          <w14:textFill>
            <w14:solidFill>
              <w14:schemeClr w14:val="tx1"/>
            </w14:solidFill>
          </w14:textFill>
        </w:rPr>
      </w:pPr>
    </w:p>
    <w:p w14:paraId="4F9F5304">
      <w:pPr>
        <w:pageBreakBefore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p>
    <w:p w14:paraId="4E416FC9">
      <w:pPr>
        <w:pageBreakBefore w:val="0"/>
        <w:kinsoku/>
        <w:bidi w:val="0"/>
        <w:spacing w:beforeAutospacing="0" w:afterAutospacing="0"/>
        <w:ind w:left="0" w:leftChars="0" w:right="0" w:rightChars="0"/>
        <w:rPr>
          <w:rFonts w:ascii="宋体" w:hAnsi="宋体" w:cs="宋体"/>
          <w:color w:val="000000" w:themeColor="text1"/>
          <w:sz w:val="21"/>
          <w:szCs w:val="21"/>
          <w:highlight w:val="none"/>
          <w14:textFill>
            <w14:solidFill>
              <w14:schemeClr w14:val="tx1"/>
            </w14:solidFill>
          </w14:textFill>
        </w:rPr>
      </w:pPr>
    </w:p>
    <w:bookmarkEnd w:id="485"/>
    <w:bookmarkEnd w:id="486"/>
    <w:p w14:paraId="5E7FDE2C">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491" w:name="_Toc152064634"/>
      <w:bookmarkStart w:id="492" w:name="_Toc16624"/>
      <w:r>
        <w:rPr>
          <w:rFonts w:hint="eastAsia" w:ascii="宋体" w:hAnsi="宋体" w:cs="宋体"/>
          <w:color w:val="000000" w:themeColor="text1"/>
          <w:sz w:val="24"/>
          <w:szCs w:val="24"/>
          <w:highlight w:val="none"/>
          <w14:textFill>
            <w14:solidFill>
              <w14:schemeClr w14:val="tx1"/>
            </w14:solidFill>
          </w14:textFill>
        </w:rPr>
        <w:br w:type="page"/>
      </w:r>
      <w:bookmarkStart w:id="493" w:name="_Toc663"/>
      <w:bookmarkStart w:id="494" w:name="_Toc10641"/>
      <w:r>
        <w:rPr>
          <w:rFonts w:hint="eastAsia" w:ascii="宋体" w:hAnsi="宋体" w:cs="宋体"/>
          <w:color w:val="000000" w:themeColor="text1"/>
          <w:sz w:val="24"/>
          <w:szCs w:val="24"/>
          <w:highlight w:val="none"/>
          <w14:textFill>
            <w14:solidFill>
              <w14:schemeClr w14:val="tx1"/>
            </w14:solidFill>
          </w14:textFill>
        </w:rPr>
        <w:t>（六）企业信誉情况承诺</w:t>
      </w:r>
      <w:bookmarkEnd w:id="491"/>
      <w:bookmarkEnd w:id="492"/>
      <w:bookmarkEnd w:id="493"/>
      <w:bookmarkEnd w:id="494"/>
    </w:p>
    <w:p w14:paraId="1BE36695">
      <w:pPr>
        <w:pageBreakBefore w:val="0"/>
        <w:kinsoku/>
        <w:bidi w:val="0"/>
        <w:spacing w:beforeAutospacing="0" w:afterAutospacing="0" w:line="360" w:lineRule="auto"/>
        <w:ind w:left="0" w:leftChars="0" w:right="0" w:rightChars="0"/>
        <w:rPr>
          <w:rFonts w:ascii="宋体" w:hAnsi="宋体" w:cs="宋体"/>
          <w:color w:val="000000" w:themeColor="text1"/>
          <w:sz w:val="21"/>
          <w:szCs w:val="21"/>
          <w:highlight w:val="none"/>
          <w14:textFill>
            <w14:solidFill>
              <w14:schemeClr w14:val="tx1"/>
            </w14:solidFill>
          </w14:textFill>
        </w:rPr>
      </w:pPr>
      <w:bookmarkStart w:id="495" w:name="_Toc14943215"/>
      <w:r>
        <w:rPr>
          <w:rFonts w:hint="eastAsia" w:ascii="宋体" w:hAnsi="宋体" w:cs="宋体"/>
          <w:color w:val="000000" w:themeColor="text1"/>
          <w:sz w:val="21"/>
          <w:szCs w:val="21"/>
          <w:highlight w:val="none"/>
          <w14:textFill>
            <w14:solidFill>
              <w14:schemeClr w14:val="tx1"/>
            </w14:solidFill>
          </w14:textFill>
        </w:rPr>
        <w:t>致：</w:t>
      </w:r>
      <w:r>
        <w:rPr>
          <w:rFonts w:hint="eastAsia" w:ascii="宋体" w:hAnsi="宋体" w:cs="宋体"/>
          <w:color w:val="000000" w:themeColor="text1"/>
          <w:sz w:val="21"/>
          <w:szCs w:val="21"/>
          <w:highlight w:val="none"/>
          <w:u w:val="single"/>
          <w14:textFill>
            <w14:solidFill>
              <w14:schemeClr w14:val="tx1"/>
            </w14:solidFill>
          </w14:textFill>
        </w:rPr>
        <w:t xml:space="preserve"> （采购人名称）</w:t>
      </w:r>
    </w:p>
    <w:p w14:paraId="18C2DFAF">
      <w:pPr>
        <w:pageBreakBefore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我公司作出以下承诺：</w:t>
      </w:r>
    </w:p>
    <w:p w14:paraId="0F1975E6">
      <w:pPr>
        <w:pageBreakBefore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1、我公司参加</w:t>
      </w:r>
      <w:r>
        <w:rPr>
          <w:rFonts w:hint="eastAsia" w:ascii="宋体" w:hAnsi="宋体" w:cs="宋体"/>
          <w:color w:val="000000" w:themeColor="text1"/>
          <w:sz w:val="21"/>
          <w:szCs w:val="21"/>
          <w:highlight w:val="none"/>
          <w:u w:val="single"/>
          <w14:textFill>
            <w14:solidFill>
              <w14:schemeClr w14:val="tx1"/>
            </w14:solidFill>
          </w14:textFill>
        </w:rPr>
        <w:t xml:space="preserve">   （项目名称）   </w:t>
      </w:r>
      <w:r>
        <w:rPr>
          <w:rFonts w:hint="eastAsia" w:ascii="宋体" w:hAnsi="宋体" w:cs="宋体"/>
          <w:color w:val="000000" w:themeColor="text1"/>
          <w:sz w:val="21"/>
          <w:szCs w:val="21"/>
          <w:highlight w:val="none"/>
          <w14:textFill>
            <w14:solidFill>
              <w14:schemeClr w14:val="tx1"/>
            </w14:solidFill>
          </w14:textFill>
        </w:rPr>
        <w:t>的招标活动，我公司前三年内在经营活动中没有因违法经营受到刑事处罚，没有被责令停产停业，没有被吊销许可证或者执照，没有被较大数额的罚款等行政处罚重大违法记录。</w:t>
      </w:r>
    </w:p>
    <w:p w14:paraId="63F2D44A">
      <w:pPr>
        <w:pageBreakBefore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2、我公司未被列入“信用中国”网站（www.creditchina.gov.cn）失信被执行人（或失信惩戒人）、重大税收违法案件当事人名单。</w:t>
      </w:r>
    </w:p>
    <w:p w14:paraId="3B4EBDB8">
      <w:pPr>
        <w:pageBreakBefore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3.我公司未在中国政府采购网（www.ccgp.gov.cn）政府采购严重违法失信行为信息记录（被禁止在一定期限内参加政府采购活动但期限届满的除外）名单上。</w:t>
      </w:r>
    </w:p>
    <w:p w14:paraId="520F50B2">
      <w:pPr>
        <w:pageBreakBefore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4.我公司不存在行贿犯罪行为。</w:t>
      </w:r>
    </w:p>
    <w:p w14:paraId="18B93937">
      <w:pPr>
        <w:pStyle w:val="42"/>
        <w:pageBreakBefore w:val="0"/>
        <w:kinsoku/>
        <w:bidi w:val="0"/>
        <w:spacing w:beforeAutospacing="0" w:after="0" w:afterAutospacing="0" w:line="360" w:lineRule="auto"/>
        <w:ind w:left="0" w:leftChars="0" w:right="0" w:rightChars="0" w:firstLine="422"/>
        <w:rPr>
          <w:rFonts w:ascii="宋体" w:hAnsi="宋体" w:cs="宋体"/>
          <w:b/>
          <w:bCs/>
          <w:color w:val="000000" w:themeColor="text1"/>
          <w:sz w:val="21"/>
          <w:szCs w:val="21"/>
          <w:highlight w:val="none"/>
          <w:u w:val="singl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5.其他承诺：</w:t>
      </w:r>
      <w:r>
        <w:rPr>
          <w:rFonts w:hint="eastAsia" w:ascii="宋体" w:hAnsi="宋体" w:cs="宋体"/>
          <w:b/>
          <w:bCs/>
          <w:color w:val="000000" w:themeColor="text1"/>
          <w:sz w:val="21"/>
          <w:szCs w:val="21"/>
          <w:highlight w:val="none"/>
          <w:u w:val="single"/>
          <w14:textFill>
            <w14:solidFill>
              <w14:schemeClr w14:val="tx1"/>
            </w14:solidFill>
          </w14:textFill>
        </w:rPr>
        <w:t xml:space="preserve">              </w:t>
      </w:r>
    </w:p>
    <w:p w14:paraId="118C98E2">
      <w:pPr>
        <w:pageBreakBefore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我公司对上述承诺的真实性承担法律责任，若因上述承诺不真实，我公司愿意接受采购人或有关行政主管部门取消成交候选资格及承担相应的一切处罚。</w:t>
      </w:r>
    </w:p>
    <w:p w14:paraId="5C436D67">
      <w:pPr>
        <w:pageBreakBefore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p>
    <w:p w14:paraId="7EAA537C">
      <w:pPr>
        <w:pageBreakBefore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特此承诺</w:t>
      </w:r>
    </w:p>
    <w:p w14:paraId="107B3C02">
      <w:pPr>
        <w:pageBreakBefore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p>
    <w:bookmarkEnd w:id="495"/>
    <w:p w14:paraId="64E83E63">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供应商：</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（电子签章）</w:t>
      </w:r>
    </w:p>
    <w:p w14:paraId="66F6A59C">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法定代表人或其委托代理人：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（电子签章）</w:t>
      </w:r>
    </w:p>
    <w:p w14:paraId="45777849">
      <w:pPr>
        <w:pStyle w:val="20"/>
        <w:pageBreakBefore w:val="0"/>
        <w:kinsoku/>
        <w:wordWrap w:val="0"/>
        <w:bidi w:val="0"/>
        <w:spacing w:beforeAutospacing="0" w:afterAutospacing="0" w:line="360" w:lineRule="auto"/>
        <w:ind w:left="0" w:leftChars="0" w:right="0" w:rightChars="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日期：       年       月       日</w:t>
      </w:r>
    </w:p>
    <w:p w14:paraId="7721CCBC">
      <w:pPr>
        <w:pageBreakBefore w:val="0"/>
        <w:kinsoku/>
        <w:bidi w:val="0"/>
        <w:spacing w:beforeAutospacing="0" w:afterAutospacing="0"/>
        <w:ind w:left="0" w:leftChars="0" w:right="0" w:rightChars="0"/>
        <w:rPr>
          <w:rFonts w:ascii="宋体" w:hAnsi="宋体" w:cs="宋体"/>
          <w:color w:val="000000" w:themeColor="text1"/>
          <w:sz w:val="24"/>
          <w:highlight w:val="none"/>
          <w14:textFill>
            <w14:solidFill>
              <w14:schemeClr w14:val="tx1"/>
            </w14:solidFill>
          </w14:textFill>
        </w:rPr>
      </w:pPr>
    </w:p>
    <w:p w14:paraId="7AC3E92C">
      <w:pPr>
        <w:pageBreakBefore w:val="0"/>
        <w:kinsoku/>
        <w:bidi w:val="0"/>
        <w:spacing w:beforeAutospacing="0" w:afterAutospacing="0" w:line="360" w:lineRule="auto"/>
        <w:ind w:left="0" w:leftChars="0" w:right="0" w:rightChars="0" w:firstLine="480" w:firstLineChars="200"/>
        <w:rPr>
          <w:rFonts w:ascii="宋体" w:hAnsi="宋体" w:cs="宋体"/>
          <w:color w:val="000000" w:themeColor="text1"/>
          <w:sz w:val="24"/>
          <w:highlight w:val="none"/>
          <w14:textFill>
            <w14:solidFill>
              <w14:schemeClr w14:val="tx1"/>
            </w14:solidFill>
          </w14:textFill>
        </w:rPr>
      </w:pPr>
    </w:p>
    <w:p w14:paraId="6E7395FC">
      <w:pPr>
        <w:pageBreakBefore w:val="0"/>
        <w:kinsoku/>
        <w:bidi w:val="0"/>
        <w:spacing w:beforeAutospacing="0" w:afterAutospacing="0"/>
        <w:ind w:left="0" w:leftChars="0" w:right="0" w:right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2209246B">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496" w:name="_Toc14113"/>
      <w:r>
        <w:rPr>
          <w:rFonts w:hint="eastAsia" w:ascii="宋体" w:hAnsi="宋体" w:cs="宋体"/>
          <w:color w:val="000000" w:themeColor="text1"/>
          <w:sz w:val="24"/>
          <w:szCs w:val="24"/>
          <w:highlight w:val="none"/>
          <w14:textFill>
            <w14:solidFill>
              <w14:schemeClr w14:val="tx1"/>
            </w14:solidFill>
          </w14:textFill>
        </w:rPr>
        <w:t>（七）本项目的特定资格要求</w:t>
      </w:r>
      <w:bookmarkEnd w:id="496"/>
    </w:p>
    <w:p w14:paraId="71854C17">
      <w:pPr>
        <w:pageBreakBefore w:val="0"/>
        <w:kinsoku/>
        <w:bidi w:val="0"/>
        <w:spacing w:beforeAutospacing="0" w:afterAutospacing="0" w:line="360" w:lineRule="auto"/>
        <w:ind w:left="0" w:leftChars="0" w:right="0" w:rightChars="0"/>
        <w:jc w:val="center"/>
        <w:rPr>
          <w:rFonts w:hint="eastAsia" w:ascii="宋体" w:hAnsi="宋体" w:eastAsia="宋体" w:cs="宋体"/>
          <w:b/>
          <w:color w:val="000000" w:themeColor="text1"/>
          <w:sz w:val="21"/>
          <w:szCs w:val="21"/>
          <w:highlight w:val="none"/>
          <w14:textFill>
            <w14:solidFill>
              <w14:schemeClr w14:val="tx1"/>
            </w14:solidFill>
          </w14:textFill>
        </w:rPr>
      </w:pPr>
      <w:bookmarkStart w:id="497" w:name="_Toc71205999"/>
      <w:bookmarkStart w:id="498" w:name="_Toc15336"/>
      <w:bookmarkStart w:id="499" w:name="_Toc86608393"/>
      <w:bookmarkStart w:id="500" w:name="_Toc86783509"/>
      <w:bookmarkStart w:id="501" w:name="_Toc2735"/>
      <w:r>
        <w:rPr>
          <w:rFonts w:hint="eastAsia" w:ascii="宋体" w:hAnsi="宋体" w:eastAsia="宋体" w:cs="宋体"/>
          <w:b/>
          <w:color w:val="000000" w:themeColor="text1"/>
          <w:sz w:val="21"/>
          <w:szCs w:val="21"/>
          <w:highlight w:val="none"/>
          <w14:textFill>
            <w14:solidFill>
              <w14:schemeClr w14:val="tx1"/>
            </w14:solidFill>
          </w14:textFill>
        </w:rPr>
        <w:t>本项目的特定资格要求：提供</w:t>
      </w:r>
      <w:r>
        <w:rPr>
          <w:rFonts w:hint="eastAsia" w:ascii="宋体" w:hAnsi="宋体" w:eastAsia="宋体" w:cs="宋体"/>
          <w:b/>
          <w:color w:val="000000" w:themeColor="text1"/>
          <w:sz w:val="21"/>
          <w:szCs w:val="21"/>
          <w:highlight w:val="none"/>
          <w:lang w:eastAsia="zh-CN"/>
          <w14:textFill>
            <w14:solidFill>
              <w14:schemeClr w14:val="tx1"/>
            </w14:solidFill>
          </w14:textFill>
        </w:rPr>
        <w:t>有效的《食品经营许可证》</w:t>
      </w:r>
      <w:r>
        <w:rPr>
          <w:rFonts w:hint="eastAsia" w:ascii="宋体" w:hAnsi="宋体" w:eastAsia="宋体" w:cs="宋体"/>
          <w:b/>
          <w:color w:val="000000" w:themeColor="text1"/>
          <w:sz w:val="21"/>
          <w:szCs w:val="21"/>
          <w:highlight w:val="none"/>
          <w14:textFill>
            <w14:solidFill>
              <w14:schemeClr w14:val="tx1"/>
            </w14:solidFill>
          </w14:textFill>
        </w:rPr>
        <w:t>扫描件</w:t>
      </w:r>
    </w:p>
    <w:p w14:paraId="5CDEA0C6">
      <w:pPr>
        <w:pStyle w:val="20"/>
        <w:pageBreakBefore w:val="0"/>
        <w:kinsoku/>
        <w:wordWrap w:val="0"/>
        <w:bidi w:val="0"/>
        <w:spacing w:beforeAutospacing="0" w:afterAutospacing="0" w:line="360" w:lineRule="auto"/>
        <w:ind w:left="0" w:leftChars="0" w:right="0" w:rightChars="0"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br w:type="page"/>
      </w:r>
      <w:bookmarkEnd w:id="497"/>
      <w:bookmarkEnd w:id="498"/>
      <w:bookmarkEnd w:id="499"/>
      <w:bookmarkEnd w:id="500"/>
      <w:bookmarkEnd w:id="501"/>
    </w:p>
    <w:p w14:paraId="4EFDB4FD">
      <w:pPr>
        <w:pageBreakBefore w:val="0"/>
        <w:kinsoku/>
        <w:bidi w:val="0"/>
        <w:spacing w:beforeAutospacing="0" w:afterAutospacing="0" w:line="360" w:lineRule="auto"/>
        <w:ind w:left="0" w:leftChars="0" w:right="0" w:rightChars="0"/>
        <w:rPr>
          <w:rFonts w:ascii="宋体" w:hAnsi="宋体" w:cs="宋体"/>
          <w:color w:val="000000" w:themeColor="text1"/>
          <w:sz w:val="24"/>
          <w:highlight w:val="none"/>
          <w14:textFill>
            <w14:solidFill>
              <w14:schemeClr w14:val="tx1"/>
            </w14:solidFill>
          </w14:textFill>
        </w:rPr>
      </w:pPr>
    </w:p>
    <w:p w14:paraId="26DDB3BC">
      <w:pPr>
        <w:pStyle w:val="4"/>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24"/>
          <w:szCs w:val="24"/>
          <w:highlight w:val="none"/>
          <w14:textFill>
            <w14:solidFill>
              <w14:schemeClr w14:val="tx1"/>
            </w14:solidFill>
          </w14:textFill>
        </w:rPr>
      </w:pPr>
      <w:bookmarkStart w:id="502" w:name="_Toc25231"/>
      <w:bookmarkStart w:id="503" w:name="_Toc2197"/>
      <w:bookmarkStart w:id="504" w:name="_Toc152064636"/>
      <w:bookmarkStart w:id="505" w:name="_Toc13037"/>
      <w:r>
        <w:rPr>
          <w:rFonts w:hint="eastAsia" w:ascii="宋体" w:hAnsi="宋体" w:cs="宋体"/>
          <w:color w:val="000000" w:themeColor="text1"/>
          <w:sz w:val="24"/>
          <w:szCs w:val="24"/>
          <w:highlight w:val="none"/>
          <w14:textFill>
            <w14:solidFill>
              <w14:schemeClr w14:val="tx1"/>
            </w14:solidFill>
          </w14:textFill>
        </w:rPr>
        <w:t>（八）供应商认为需要提交的其他材料</w:t>
      </w:r>
      <w:bookmarkEnd w:id="502"/>
      <w:bookmarkEnd w:id="503"/>
      <w:bookmarkEnd w:id="504"/>
      <w:bookmarkEnd w:id="505"/>
    </w:p>
    <w:p w14:paraId="5D9F32ED">
      <w:pPr>
        <w:pageBreakBefore w:val="0"/>
        <w:kinsoku/>
        <w:wordWrap w:val="0"/>
        <w:bidi w:val="0"/>
        <w:spacing w:beforeAutospacing="0" w:afterAutospacing="0" w:line="360" w:lineRule="auto"/>
        <w:ind w:left="0" w:leftChars="0" w:right="0" w:right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供应商认为需要提供的其他资料。</w:t>
      </w:r>
    </w:p>
    <w:p w14:paraId="0CCEE0A2">
      <w:pPr>
        <w:pageBreakBefore w:val="0"/>
        <w:kinsoku/>
        <w:bidi w:val="0"/>
        <w:spacing w:beforeAutospacing="0" w:afterAutospacing="0"/>
        <w:ind w:left="0" w:leftChars="0" w:right="0" w:rightChars="0"/>
        <w:rPr>
          <w:rFonts w:ascii="宋体" w:hAnsi="宋体" w:cs="宋体"/>
          <w:color w:val="000000" w:themeColor="text1"/>
          <w:highlight w:val="none"/>
          <w14:textFill>
            <w14:solidFill>
              <w14:schemeClr w14:val="tx1"/>
            </w14:solidFill>
          </w14:textFill>
        </w:rPr>
      </w:pPr>
    </w:p>
    <w:p w14:paraId="3A4495D0">
      <w:pPr>
        <w:pageBreakBefore w:val="0"/>
        <w:kinsoku/>
        <w:bidi w:val="0"/>
        <w:spacing w:beforeAutospacing="0" w:afterAutospacing="0"/>
        <w:ind w:left="0" w:leftChars="0" w:right="0" w:rightChars="0"/>
        <w:rPr>
          <w:rFonts w:ascii="宋体" w:hAnsi="宋体" w:cs="宋体"/>
          <w:color w:val="000000" w:themeColor="text1"/>
          <w:highlight w:val="none"/>
          <w14:textFill>
            <w14:solidFill>
              <w14:schemeClr w14:val="tx1"/>
            </w14:solidFill>
          </w14:textFill>
        </w:rPr>
      </w:pPr>
    </w:p>
    <w:sectPr>
      <w:headerReference r:id="rId10" w:type="default"/>
      <w:footerReference r:id="rId11" w:type="default"/>
      <w:pgSz w:w="11905" w:h="16838"/>
      <w:pgMar w:top="1247" w:right="1247" w:bottom="1247" w:left="1247" w:header="680" w:footer="68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全真簡粗明">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8C5BD">
    <w:pPr>
      <w:spacing w:line="229" w:lineRule="auto"/>
      <w:rPr>
        <w:rFonts w:ascii="宋体" w:hAnsi="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17731">
    <w:pPr>
      <w:pStyle w:val="25"/>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81000" cy="1308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81000" cy="130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3135A">
                          <w:pPr>
                            <w:pStyle w:val="2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3pt;width:30pt;mso-position-horizontal:center;mso-position-horizontal-relative:margin;z-index:251662336;mso-width-relative:page;mso-height-relative:page;" filled="f" stroked="f" coordsize="21600,21600" o:gfxdata="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lW6sdEAAAADAQAADwAAAAAAAAABACAAAAAiAAAAZHJzL2Rvd25yZXYueG1sUEsBAhQAFAAA&#10;AAgAh07iQMNw7XIvAgAAVQQAAA4AAAAAAAAAAQAgAAAAIAEAAGRycy9lMm9Eb2MueG1sUEsFBgAA&#10;AAAGAAYAWQEAAMEFAAAAAA==&#10;">
              <v:fill on="f" focussize="0,0"/>
              <v:stroke on="f" weight="0.5pt"/>
              <v:imagedata o:title=""/>
              <o:lock v:ext="edit" aspectratio="f"/>
              <v:textbox inset="0mm,0mm,0mm,0mm">
                <w:txbxContent>
                  <w:p w14:paraId="1F03135A">
                    <w:pPr>
                      <w:pStyle w:val="2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sz w:val="21"/>
        <w:szCs w:val="21"/>
      </w:rPr>
      <w:drawing>
        <wp:anchor distT="0" distB="0" distL="114300" distR="114300" simplePos="0" relativeHeight="251660288" behindDoc="0" locked="0" layoutInCell="1" allowOverlap="1">
          <wp:simplePos x="0" y="0"/>
          <wp:positionH relativeFrom="column">
            <wp:posOffset>-512445</wp:posOffset>
          </wp:positionH>
          <wp:positionV relativeFrom="paragraph">
            <wp:posOffset>-151765</wp:posOffset>
          </wp:positionV>
          <wp:extent cx="2028825" cy="476250"/>
          <wp:effectExtent l="0" t="0" r="9525" b="0"/>
          <wp:wrapSquare wrapText="bothSides"/>
          <wp:docPr id="5" name="图片 3" descr="C:\Users\云南晨晟-王佳\AppData\Roaming\DingTalk\171888275_v2\ImageFiles\b5\lALPDgQ9q8_d5DRTzQFk_356_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云南晨晟-王佳\AppData\Roaming\DingTalk\171888275_v2\ImageFiles\b5\lALPDgQ9q8_d5DRTzQFk_356_83.png"/>
                  <pic:cNvPicPr>
                    <a:picLocks noChangeAspect="1"/>
                  </pic:cNvPicPr>
                </pic:nvPicPr>
                <pic:blipFill>
                  <a:blip r:embed="rId1"/>
                  <a:stretch>
                    <a:fillRect/>
                  </a:stretch>
                </pic:blipFill>
                <pic:spPr>
                  <a:xfrm>
                    <a:off x="0" y="0"/>
                    <a:ext cx="2028825" cy="476250"/>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73AC">
    <w:pPr>
      <w:pStyle w:val="2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ECA07">
                          <w:pPr>
                            <w:pStyle w:val="2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D5ECA07">
                    <w:pPr>
                      <w:pStyle w:val="2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4AC39">
    <w:pPr>
      <w:pStyle w:val="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81987">
                          <w:pPr>
                            <w:pStyle w:val="25"/>
                            <w:rPr>
                              <w:rStyle w:val="47"/>
                            </w:rPr>
                          </w:pPr>
                          <w:r>
                            <w:rPr>
                              <w:rStyle w:val="47"/>
                            </w:rPr>
                            <w:fldChar w:fldCharType="begin"/>
                          </w:r>
                          <w:r>
                            <w:rPr>
                              <w:rStyle w:val="47"/>
                            </w:rPr>
                            <w:instrText xml:space="preserve">PAGE  </w:instrText>
                          </w:r>
                          <w:r>
                            <w:rPr>
                              <w:rStyle w:val="47"/>
                            </w:rPr>
                            <w:fldChar w:fldCharType="separate"/>
                          </w:r>
                          <w:r>
                            <w:rPr>
                              <w:rStyle w:val="47"/>
                            </w:rPr>
                            <w:t>33</w:t>
                          </w:r>
                          <w:r>
                            <w:rPr>
                              <w:rStyle w:val="47"/>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C81987">
                    <w:pPr>
                      <w:pStyle w:val="25"/>
                      <w:rPr>
                        <w:rStyle w:val="47"/>
                      </w:rPr>
                    </w:pPr>
                    <w:r>
                      <w:rPr>
                        <w:rStyle w:val="47"/>
                      </w:rPr>
                      <w:fldChar w:fldCharType="begin"/>
                    </w:r>
                    <w:r>
                      <w:rPr>
                        <w:rStyle w:val="47"/>
                      </w:rPr>
                      <w:instrText xml:space="preserve">PAGE  </w:instrText>
                    </w:r>
                    <w:r>
                      <w:rPr>
                        <w:rStyle w:val="47"/>
                      </w:rPr>
                      <w:fldChar w:fldCharType="separate"/>
                    </w:r>
                    <w:r>
                      <w:rPr>
                        <w:rStyle w:val="47"/>
                      </w:rPr>
                      <w:t>33</w:t>
                    </w:r>
                    <w:r>
                      <w:rPr>
                        <w:rStyle w:val="47"/>
                      </w:rPr>
                      <w:fldChar w:fldCharType="end"/>
                    </w:r>
                  </w:p>
                </w:txbxContent>
              </v:textbox>
            </v:shape>
          </w:pict>
        </mc:Fallback>
      </mc:AlternateContent>
    </w:r>
    <w:r>
      <w:drawing>
        <wp:anchor distT="0" distB="0" distL="114300" distR="114300" simplePos="0" relativeHeight="251659264" behindDoc="1" locked="0" layoutInCell="1" allowOverlap="1">
          <wp:simplePos x="0" y="0"/>
          <wp:positionH relativeFrom="column">
            <wp:posOffset>0</wp:posOffset>
          </wp:positionH>
          <wp:positionV relativeFrom="paragraph">
            <wp:posOffset>133350</wp:posOffset>
          </wp:positionV>
          <wp:extent cx="1851660" cy="431800"/>
          <wp:effectExtent l="0" t="0" r="15240" b="6350"/>
          <wp:wrapTight wrapText="bothSides">
            <wp:wrapPolygon>
              <wp:start x="0" y="0"/>
              <wp:lineTo x="0" y="20965"/>
              <wp:lineTo x="21333" y="20965"/>
              <wp:lineTo x="21333" y="0"/>
              <wp:lineTo x="0" y="0"/>
            </wp:wrapPolygon>
          </wp:wrapTight>
          <wp:docPr id="3" name="图片 4" descr="说明: C:\Users\云南晨晟-王佳\AppData\Roaming\DingTalk\171888275_v2\ImageFiles\b5\lALPDgQ9q8_d5DRTzQFk_356_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说明: C:\Users\云南晨晟-王佳\AppData\Roaming\DingTalk\171888275_v2\ImageFiles\b5\lALPDgQ9q8_d5DRTzQFk_356_83.png"/>
                  <pic:cNvPicPr>
                    <a:picLocks noChangeAspect="1"/>
                  </pic:cNvPicPr>
                </pic:nvPicPr>
                <pic:blipFill>
                  <a:blip r:embed="rId1"/>
                  <a:stretch>
                    <a:fillRect/>
                  </a:stretch>
                </pic:blipFill>
                <pic:spPr>
                  <a:xfrm>
                    <a:off x="0" y="0"/>
                    <a:ext cx="1851660" cy="431800"/>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63E67">
    <w:pPr>
      <w:pStyle w:val="26"/>
      <w:pBdr>
        <w:bottom w:val="single" w:color="auto" w:sz="4" w:space="1"/>
      </w:pBdr>
    </w:pPr>
    <w:r>
      <w:rPr>
        <w:rFonts w:hint="eastAsia" w:ascii="宋体" w:hAnsi="宋体" w:cs="宋体"/>
        <w:sz w:val="21"/>
        <w:szCs w:val="21"/>
        <w:lang w:eastAsia="zh-CN"/>
      </w:rPr>
      <w:t>昆明市西山区第一幼儿园2026-2029年餐饮服务采购</w:t>
    </w:r>
    <w:r>
      <w:rPr>
        <w:rFonts w:hint="eastAsia" w:ascii="宋体" w:hAnsi="宋体" w:cs="宋体"/>
        <w:sz w:val="21"/>
        <w:szCs w:val="21"/>
        <w:lang w:val="en-US" w:eastAsia="zh-CN"/>
      </w:rPr>
      <w:t xml:space="preserve">                      </w:t>
    </w:r>
    <w:r>
      <w:rPr>
        <w:rFonts w:hint="eastAsia" w:ascii="宋体" w:hAnsi="宋体" w:cs="宋体"/>
        <w:sz w:val="21"/>
        <w:szCs w:val="21"/>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86F72">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CDC08">
    <w:pPr>
      <w:pStyle w:val="26"/>
    </w:pPr>
    <w:r>
      <w:rPr>
        <w:rFonts w:hint="eastAsia"/>
        <w:lang w:eastAsia="zh-CN"/>
      </w:rPr>
      <w:t>昆明市西山区第一幼儿园2026-2029年餐饮服务采购</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t xml:space="preserve">   </w:t>
    </w:r>
    <w:r>
      <w:rPr>
        <w:rFonts w:hint="eastAsia"/>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22F4">
    <w:pPr>
      <w:pStyle w:val="2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E0DDC">
    <w:pPr>
      <w:spacing w:before="43" w:line="219" w:lineRule="auto"/>
      <w:ind w:left="252"/>
      <w:rPr>
        <w:rFonts w:ascii="宋体" w:hAnsi="宋体" w:cs="宋体"/>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347E3"/>
    <w:multiLevelType w:val="singleLevel"/>
    <w:tmpl w:val="B53347E3"/>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2MmU4ZTllMmMzNzVkMzA4M2UzN2ExMGUyNWQyYjgifQ=="/>
  </w:docVars>
  <w:rsids>
    <w:rsidRoot w:val="00172A27"/>
    <w:rsid w:val="0001152F"/>
    <w:rsid w:val="00015E5D"/>
    <w:rsid w:val="0002659F"/>
    <w:rsid w:val="00030231"/>
    <w:rsid w:val="00036CDE"/>
    <w:rsid w:val="00064DD7"/>
    <w:rsid w:val="000775D2"/>
    <w:rsid w:val="0007799E"/>
    <w:rsid w:val="0008317E"/>
    <w:rsid w:val="000837E7"/>
    <w:rsid w:val="00087402"/>
    <w:rsid w:val="0009795A"/>
    <w:rsid w:val="000A1C72"/>
    <w:rsid w:val="000A6B56"/>
    <w:rsid w:val="000B0CE8"/>
    <w:rsid w:val="000C725B"/>
    <w:rsid w:val="00104C18"/>
    <w:rsid w:val="001051D4"/>
    <w:rsid w:val="00110EB8"/>
    <w:rsid w:val="001145DF"/>
    <w:rsid w:val="001162DB"/>
    <w:rsid w:val="001210AB"/>
    <w:rsid w:val="00141F56"/>
    <w:rsid w:val="00145690"/>
    <w:rsid w:val="001509A4"/>
    <w:rsid w:val="00151B50"/>
    <w:rsid w:val="00153D95"/>
    <w:rsid w:val="00157964"/>
    <w:rsid w:val="00157C12"/>
    <w:rsid w:val="0016029C"/>
    <w:rsid w:val="0016339E"/>
    <w:rsid w:val="00172305"/>
    <w:rsid w:val="00172A27"/>
    <w:rsid w:val="00181F09"/>
    <w:rsid w:val="00187A1C"/>
    <w:rsid w:val="001A07EF"/>
    <w:rsid w:val="001A0A99"/>
    <w:rsid w:val="001B1551"/>
    <w:rsid w:val="001B74F4"/>
    <w:rsid w:val="001C11E7"/>
    <w:rsid w:val="001C2B82"/>
    <w:rsid w:val="001C75E0"/>
    <w:rsid w:val="001C78B2"/>
    <w:rsid w:val="001E243E"/>
    <w:rsid w:val="001E5543"/>
    <w:rsid w:val="001E5CD7"/>
    <w:rsid w:val="001F3E2F"/>
    <w:rsid w:val="001F4E9D"/>
    <w:rsid w:val="001F5CC7"/>
    <w:rsid w:val="002045A7"/>
    <w:rsid w:val="0021565F"/>
    <w:rsid w:val="00221B6F"/>
    <w:rsid w:val="00243248"/>
    <w:rsid w:val="00245EF3"/>
    <w:rsid w:val="00251F59"/>
    <w:rsid w:val="002535D0"/>
    <w:rsid w:val="00253AF2"/>
    <w:rsid w:val="002640B5"/>
    <w:rsid w:val="00275202"/>
    <w:rsid w:val="00275C6D"/>
    <w:rsid w:val="00284440"/>
    <w:rsid w:val="00286310"/>
    <w:rsid w:val="00290571"/>
    <w:rsid w:val="00292719"/>
    <w:rsid w:val="00293CEF"/>
    <w:rsid w:val="00294C4D"/>
    <w:rsid w:val="002A1762"/>
    <w:rsid w:val="002A59CE"/>
    <w:rsid w:val="002A7237"/>
    <w:rsid w:val="002B2CFE"/>
    <w:rsid w:val="002B3ED4"/>
    <w:rsid w:val="002B57CF"/>
    <w:rsid w:val="002B6B11"/>
    <w:rsid w:val="002B7393"/>
    <w:rsid w:val="002C069E"/>
    <w:rsid w:val="002D6EB6"/>
    <w:rsid w:val="002E1707"/>
    <w:rsid w:val="002E4586"/>
    <w:rsid w:val="002E45DD"/>
    <w:rsid w:val="002E7AE4"/>
    <w:rsid w:val="00303DA8"/>
    <w:rsid w:val="00304542"/>
    <w:rsid w:val="003061F1"/>
    <w:rsid w:val="00311317"/>
    <w:rsid w:val="00313A5C"/>
    <w:rsid w:val="003174D7"/>
    <w:rsid w:val="00321B71"/>
    <w:rsid w:val="00325958"/>
    <w:rsid w:val="00333EFE"/>
    <w:rsid w:val="003371E9"/>
    <w:rsid w:val="00340ED6"/>
    <w:rsid w:val="00344217"/>
    <w:rsid w:val="00350B61"/>
    <w:rsid w:val="0035172D"/>
    <w:rsid w:val="003601DC"/>
    <w:rsid w:val="00360F1C"/>
    <w:rsid w:val="003610F9"/>
    <w:rsid w:val="0036282B"/>
    <w:rsid w:val="003841D4"/>
    <w:rsid w:val="00384CC2"/>
    <w:rsid w:val="00385FFD"/>
    <w:rsid w:val="00395BBA"/>
    <w:rsid w:val="003A1A9C"/>
    <w:rsid w:val="003A20F1"/>
    <w:rsid w:val="003A27D4"/>
    <w:rsid w:val="003A2DB5"/>
    <w:rsid w:val="003B4E7A"/>
    <w:rsid w:val="003C1B5D"/>
    <w:rsid w:val="003D3450"/>
    <w:rsid w:val="003D5695"/>
    <w:rsid w:val="003E5101"/>
    <w:rsid w:val="003F6568"/>
    <w:rsid w:val="00402023"/>
    <w:rsid w:val="004114E4"/>
    <w:rsid w:val="00413600"/>
    <w:rsid w:val="0042122B"/>
    <w:rsid w:val="00425B81"/>
    <w:rsid w:val="00426DD1"/>
    <w:rsid w:val="0043611A"/>
    <w:rsid w:val="004471A1"/>
    <w:rsid w:val="004505BF"/>
    <w:rsid w:val="00453AE4"/>
    <w:rsid w:val="004741A4"/>
    <w:rsid w:val="004841FA"/>
    <w:rsid w:val="00484D64"/>
    <w:rsid w:val="00486046"/>
    <w:rsid w:val="0049027F"/>
    <w:rsid w:val="004906DB"/>
    <w:rsid w:val="00493530"/>
    <w:rsid w:val="004A028F"/>
    <w:rsid w:val="004C19E0"/>
    <w:rsid w:val="004C55D7"/>
    <w:rsid w:val="004C70A0"/>
    <w:rsid w:val="004D3161"/>
    <w:rsid w:val="004D37BF"/>
    <w:rsid w:val="004D4C29"/>
    <w:rsid w:val="004E1CD0"/>
    <w:rsid w:val="004E24E5"/>
    <w:rsid w:val="00510341"/>
    <w:rsid w:val="00512D76"/>
    <w:rsid w:val="00515E52"/>
    <w:rsid w:val="00526242"/>
    <w:rsid w:val="00540AF8"/>
    <w:rsid w:val="00540CC7"/>
    <w:rsid w:val="00560971"/>
    <w:rsid w:val="00563882"/>
    <w:rsid w:val="005718A4"/>
    <w:rsid w:val="00574743"/>
    <w:rsid w:val="0057704E"/>
    <w:rsid w:val="0057761E"/>
    <w:rsid w:val="0058514F"/>
    <w:rsid w:val="00590D5B"/>
    <w:rsid w:val="005A101D"/>
    <w:rsid w:val="005A48F5"/>
    <w:rsid w:val="005A7C7E"/>
    <w:rsid w:val="005C374A"/>
    <w:rsid w:val="005D1FB3"/>
    <w:rsid w:val="005D3E7D"/>
    <w:rsid w:val="005D5B15"/>
    <w:rsid w:val="005F03D6"/>
    <w:rsid w:val="006072A4"/>
    <w:rsid w:val="00625CE6"/>
    <w:rsid w:val="006261AE"/>
    <w:rsid w:val="0064070C"/>
    <w:rsid w:val="0064758A"/>
    <w:rsid w:val="0065687B"/>
    <w:rsid w:val="00656D81"/>
    <w:rsid w:val="00660BD9"/>
    <w:rsid w:val="00666A50"/>
    <w:rsid w:val="00676B10"/>
    <w:rsid w:val="00685E5A"/>
    <w:rsid w:val="00685FAC"/>
    <w:rsid w:val="0069021E"/>
    <w:rsid w:val="00692FAF"/>
    <w:rsid w:val="0069733F"/>
    <w:rsid w:val="006A0340"/>
    <w:rsid w:val="006A4ECE"/>
    <w:rsid w:val="006B2595"/>
    <w:rsid w:val="006B3330"/>
    <w:rsid w:val="006B4220"/>
    <w:rsid w:val="006B5774"/>
    <w:rsid w:val="006B7F27"/>
    <w:rsid w:val="006D3798"/>
    <w:rsid w:val="006D3ED0"/>
    <w:rsid w:val="006F5A87"/>
    <w:rsid w:val="006F6823"/>
    <w:rsid w:val="006F769A"/>
    <w:rsid w:val="00704C9C"/>
    <w:rsid w:val="00711A7B"/>
    <w:rsid w:val="00713412"/>
    <w:rsid w:val="00731CAF"/>
    <w:rsid w:val="00736AFD"/>
    <w:rsid w:val="007377AB"/>
    <w:rsid w:val="00740535"/>
    <w:rsid w:val="007423E3"/>
    <w:rsid w:val="007465B5"/>
    <w:rsid w:val="007562A2"/>
    <w:rsid w:val="007604CA"/>
    <w:rsid w:val="00765B85"/>
    <w:rsid w:val="00766AEC"/>
    <w:rsid w:val="00772CC6"/>
    <w:rsid w:val="0077445D"/>
    <w:rsid w:val="0078364E"/>
    <w:rsid w:val="007867AD"/>
    <w:rsid w:val="00791550"/>
    <w:rsid w:val="007935BE"/>
    <w:rsid w:val="00794AB4"/>
    <w:rsid w:val="007A1242"/>
    <w:rsid w:val="007A6F42"/>
    <w:rsid w:val="007D0848"/>
    <w:rsid w:val="007D6598"/>
    <w:rsid w:val="007D69DC"/>
    <w:rsid w:val="007E0886"/>
    <w:rsid w:val="007E47F0"/>
    <w:rsid w:val="007F2CDB"/>
    <w:rsid w:val="007F521E"/>
    <w:rsid w:val="007F7A74"/>
    <w:rsid w:val="00802FCC"/>
    <w:rsid w:val="00812CDA"/>
    <w:rsid w:val="00813ECB"/>
    <w:rsid w:val="0082321F"/>
    <w:rsid w:val="00826F03"/>
    <w:rsid w:val="008322E7"/>
    <w:rsid w:val="0083673C"/>
    <w:rsid w:val="00855399"/>
    <w:rsid w:val="00860EFB"/>
    <w:rsid w:val="008649EA"/>
    <w:rsid w:val="00867D22"/>
    <w:rsid w:val="0087005F"/>
    <w:rsid w:val="00871CE4"/>
    <w:rsid w:val="00877F4C"/>
    <w:rsid w:val="008978E8"/>
    <w:rsid w:val="008C43C4"/>
    <w:rsid w:val="008C5DF4"/>
    <w:rsid w:val="008C5EBC"/>
    <w:rsid w:val="008D42B6"/>
    <w:rsid w:val="008D60B9"/>
    <w:rsid w:val="008E43DE"/>
    <w:rsid w:val="008F6DB5"/>
    <w:rsid w:val="00915AE6"/>
    <w:rsid w:val="0093465A"/>
    <w:rsid w:val="0093492A"/>
    <w:rsid w:val="00934D32"/>
    <w:rsid w:val="00936BB7"/>
    <w:rsid w:val="0094112E"/>
    <w:rsid w:val="00941C2D"/>
    <w:rsid w:val="00942B04"/>
    <w:rsid w:val="0094567C"/>
    <w:rsid w:val="00951DBF"/>
    <w:rsid w:val="00953488"/>
    <w:rsid w:val="00957F5F"/>
    <w:rsid w:val="00960AAC"/>
    <w:rsid w:val="00971C62"/>
    <w:rsid w:val="009728FD"/>
    <w:rsid w:val="00975C5C"/>
    <w:rsid w:val="0097651E"/>
    <w:rsid w:val="009773DE"/>
    <w:rsid w:val="009875AE"/>
    <w:rsid w:val="0099046B"/>
    <w:rsid w:val="00990732"/>
    <w:rsid w:val="009927D2"/>
    <w:rsid w:val="009944A0"/>
    <w:rsid w:val="00997DA1"/>
    <w:rsid w:val="009A45A4"/>
    <w:rsid w:val="009B3BA3"/>
    <w:rsid w:val="009B69B7"/>
    <w:rsid w:val="009C5B52"/>
    <w:rsid w:val="009D0ADB"/>
    <w:rsid w:val="009E0FF0"/>
    <w:rsid w:val="009E47DD"/>
    <w:rsid w:val="009F218F"/>
    <w:rsid w:val="00A010D2"/>
    <w:rsid w:val="00A06367"/>
    <w:rsid w:val="00A12C40"/>
    <w:rsid w:val="00A12EC4"/>
    <w:rsid w:val="00A21A65"/>
    <w:rsid w:val="00A34C56"/>
    <w:rsid w:val="00A54AF7"/>
    <w:rsid w:val="00A629AB"/>
    <w:rsid w:val="00A72822"/>
    <w:rsid w:val="00A746A1"/>
    <w:rsid w:val="00A75142"/>
    <w:rsid w:val="00A852E1"/>
    <w:rsid w:val="00A92539"/>
    <w:rsid w:val="00AA630D"/>
    <w:rsid w:val="00AA758A"/>
    <w:rsid w:val="00AB04E7"/>
    <w:rsid w:val="00AB25CE"/>
    <w:rsid w:val="00AB5113"/>
    <w:rsid w:val="00AB7AA3"/>
    <w:rsid w:val="00AD0D81"/>
    <w:rsid w:val="00AE0B9E"/>
    <w:rsid w:val="00AE570F"/>
    <w:rsid w:val="00AF0520"/>
    <w:rsid w:val="00AF7F52"/>
    <w:rsid w:val="00B014DB"/>
    <w:rsid w:val="00B05A4B"/>
    <w:rsid w:val="00B103A4"/>
    <w:rsid w:val="00B10705"/>
    <w:rsid w:val="00B25809"/>
    <w:rsid w:val="00B36A88"/>
    <w:rsid w:val="00B406C6"/>
    <w:rsid w:val="00B427E5"/>
    <w:rsid w:val="00B47534"/>
    <w:rsid w:val="00B476E4"/>
    <w:rsid w:val="00B510BC"/>
    <w:rsid w:val="00B531CA"/>
    <w:rsid w:val="00B5396C"/>
    <w:rsid w:val="00B72204"/>
    <w:rsid w:val="00B86E6D"/>
    <w:rsid w:val="00B910A7"/>
    <w:rsid w:val="00B9150E"/>
    <w:rsid w:val="00BA3671"/>
    <w:rsid w:val="00BA38F3"/>
    <w:rsid w:val="00BA3A33"/>
    <w:rsid w:val="00BA77C4"/>
    <w:rsid w:val="00BB361B"/>
    <w:rsid w:val="00BB66DA"/>
    <w:rsid w:val="00BC15DC"/>
    <w:rsid w:val="00BC6821"/>
    <w:rsid w:val="00BC77C1"/>
    <w:rsid w:val="00BD433D"/>
    <w:rsid w:val="00BE67EA"/>
    <w:rsid w:val="00BE7800"/>
    <w:rsid w:val="00BF1592"/>
    <w:rsid w:val="00BF2996"/>
    <w:rsid w:val="00C00390"/>
    <w:rsid w:val="00C0609A"/>
    <w:rsid w:val="00C07513"/>
    <w:rsid w:val="00C14B7A"/>
    <w:rsid w:val="00C2283D"/>
    <w:rsid w:val="00C22CFD"/>
    <w:rsid w:val="00C243B9"/>
    <w:rsid w:val="00C2572A"/>
    <w:rsid w:val="00C3019B"/>
    <w:rsid w:val="00C35CF0"/>
    <w:rsid w:val="00C433EE"/>
    <w:rsid w:val="00C53DD6"/>
    <w:rsid w:val="00C57477"/>
    <w:rsid w:val="00C624F1"/>
    <w:rsid w:val="00C65DA1"/>
    <w:rsid w:val="00C75C26"/>
    <w:rsid w:val="00C76598"/>
    <w:rsid w:val="00C83C38"/>
    <w:rsid w:val="00C86BAE"/>
    <w:rsid w:val="00C913C2"/>
    <w:rsid w:val="00CA286A"/>
    <w:rsid w:val="00CB52F4"/>
    <w:rsid w:val="00CC4B82"/>
    <w:rsid w:val="00CC4F87"/>
    <w:rsid w:val="00CD683D"/>
    <w:rsid w:val="00CE10CA"/>
    <w:rsid w:val="00CE295F"/>
    <w:rsid w:val="00CE7DD4"/>
    <w:rsid w:val="00D00ED0"/>
    <w:rsid w:val="00D00F56"/>
    <w:rsid w:val="00D03AEC"/>
    <w:rsid w:val="00D05AC4"/>
    <w:rsid w:val="00D061C8"/>
    <w:rsid w:val="00D215F4"/>
    <w:rsid w:val="00D26409"/>
    <w:rsid w:val="00D31117"/>
    <w:rsid w:val="00D31827"/>
    <w:rsid w:val="00D31FA7"/>
    <w:rsid w:val="00D32BA3"/>
    <w:rsid w:val="00D3485F"/>
    <w:rsid w:val="00D40851"/>
    <w:rsid w:val="00D50500"/>
    <w:rsid w:val="00D50861"/>
    <w:rsid w:val="00D51FE8"/>
    <w:rsid w:val="00D567AD"/>
    <w:rsid w:val="00D65FF4"/>
    <w:rsid w:val="00D714B5"/>
    <w:rsid w:val="00D80905"/>
    <w:rsid w:val="00D859BF"/>
    <w:rsid w:val="00D874E6"/>
    <w:rsid w:val="00DA1008"/>
    <w:rsid w:val="00DA493C"/>
    <w:rsid w:val="00DA54A2"/>
    <w:rsid w:val="00DC39A4"/>
    <w:rsid w:val="00DD7E6D"/>
    <w:rsid w:val="00DE58B4"/>
    <w:rsid w:val="00DE5F84"/>
    <w:rsid w:val="00DF11B0"/>
    <w:rsid w:val="00DF1AE1"/>
    <w:rsid w:val="00DF24EC"/>
    <w:rsid w:val="00DF44BC"/>
    <w:rsid w:val="00E00726"/>
    <w:rsid w:val="00E01DA9"/>
    <w:rsid w:val="00E0556A"/>
    <w:rsid w:val="00E10A16"/>
    <w:rsid w:val="00E17DBB"/>
    <w:rsid w:val="00E21E76"/>
    <w:rsid w:val="00E23D95"/>
    <w:rsid w:val="00E27C96"/>
    <w:rsid w:val="00E32F5A"/>
    <w:rsid w:val="00E453D0"/>
    <w:rsid w:val="00E53D82"/>
    <w:rsid w:val="00E53ECC"/>
    <w:rsid w:val="00E55CD3"/>
    <w:rsid w:val="00E6117E"/>
    <w:rsid w:val="00E635D1"/>
    <w:rsid w:val="00E67BA8"/>
    <w:rsid w:val="00E76D4E"/>
    <w:rsid w:val="00E93C19"/>
    <w:rsid w:val="00E94E29"/>
    <w:rsid w:val="00EA11F5"/>
    <w:rsid w:val="00EA40DE"/>
    <w:rsid w:val="00EA545A"/>
    <w:rsid w:val="00EC06A3"/>
    <w:rsid w:val="00EC607B"/>
    <w:rsid w:val="00EE35E7"/>
    <w:rsid w:val="00EE6E30"/>
    <w:rsid w:val="00EF69D6"/>
    <w:rsid w:val="00F01FEF"/>
    <w:rsid w:val="00F05E64"/>
    <w:rsid w:val="00F06495"/>
    <w:rsid w:val="00F20022"/>
    <w:rsid w:val="00F278F6"/>
    <w:rsid w:val="00F3092D"/>
    <w:rsid w:val="00F309A3"/>
    <w:rsid w:val="00F3157E"/>
    <w:rsid w:val="00F34AE0"/>
    <w:rsid w:val="00F418A9"/>
    <w:rsid w:val="00F420A4"/>
    <w:rsid w:val="00F42CDD"/>
    <w:rsid w:val="00F460AE"/>
    <w:rsid w:val="00F4635F"/>
    <w:rsid w:val="00F46B70"/>
    <w:rsid w:val="00F46DF1"/>
    <w:rsid w:val="00F476CB"/>
    <w:rsid w:val="00F47E60"/>
    <w:rsid w:val="00F57720"/>
    <w:rsid w:val="00F7389B"/>
    <w:rsid w:val="00F86177"/>
    <w:rsid w:val="00FA0A3E"/>
    <w:rsid w:val="00FA3B10"/>
    <w:rsid w:val="00FB19A2"/>
    <w:rsid w:val="00FB687F"/>
    <w:rsid w:val="00FC1A46"/>
    <w:rsid w:val="00FC1CFA"/>
    <w:rsid w:val="00FE6B2B"/>
    <w:rsid w:val="00FE7CB2"/>
    <w:rsid w:val="00FF2CB7"/>
    <w:rsid w:val="01357AD8"/>
    <w:rsid w:val="01FB1A92"/>
    <w:rsid w:val="022B1BBE"/>
    <w:rsid w:val="030A0578"/>
    <w:rsid w:val="04A37BD8"/>
    <w:rsid w:val="04A647CA"/>
    <w:rsid w:val="05C739CA"/>
    <w:rsid w:val="06471FDD"/>
    <w:rsid w:val="064D14C2"/>
    <w:rsid w:val="064D345E"/>
    <w:rsid w:val="067571A7"/>
    <w:rsid w:val="06C57F68"/>
    <w:rsid w:val="071C0D73"/>
    <w:rsid w:val="074D1A1D"/>
    <w:rsid w:val="074D53D1"/>
    <w:rsid w:val="078D5926"/>
    <w:rsid w:val="07A52D64"/>
    <w:rsid w:val="07B90CB8"/>
    <w:rsid w:val="07D364E9"/>
    <w:rsid w:val="07E850FA"/>
    <w:rsid w:val="07FC0BA5"/>
    <w:rsid w:val="08297546"/>
    <w:rsid w:val="0850306F"/>
    <w:rsid w:val="08B35707"/>
    <w:rsid w:val="08B55B08"/>
    <w:rsid w:val="08BE54A1"/>
    <w:rsid w:val="096B7D90"/>
    <w:rsid w:val="09C42541"/>
    <w:rsid w:val="0A434869"/>
    <w:rsid w:val="0A7154D3"/>
    <w:rsid w:val="0AA611B3"/>
    <w:rsid w:val="0BF027CF"/>
    <w:rsid w:val="0C68561F"/>
    <w:rsid w:val="0CD12600"/>
    <w:rsid w:val="0D091D9A"/>
    <w:rsid w:val="0D9334C9"/>
    <w:rsid w:val="0DD51C7C"/>
    <w:rsid w:val="0DE12FE7"/>
    <w:rsid w:val="0E642C13"/>
    <w:rsid w:val="0EA578A0"/>
    <w:rsid w:val="0EE52393"/>
    <w:rsid w:val="0F1210E4"/>
    <w:rsid w:val="0F1A0E28"/>
    <w:rsid w:val="0F1B5DB5"/>
    <w:rsid w:val="0F234940"/>
    <w:rsid w:val="0F686637"/>
    <w:rsid w:val="0F9F69E6"/>
    <w:rsid w:val="0FBB3824"/>
    <w:rsid w:val="0FD961A1"/>
    <w:rsid w:val="0FDE6F58"/>
    <w:rsid w:val="0FFD54BA"/>
    <w:rsid w:val="103C4234"/>
    <w:rsid w:val="113600D3"/>
    <w:rsid w:val="113F1E62"/>
    <w:rsid w:val="11553800"/>
    <w:rsid w:val="11BD13A5"/>
    <w:rsid w:val="11F823DD"/>
    <w:rsid w:val="11FF551A"/>
    <w:rsid w:val="120174E4"/>
    <w:rsid w:val="122A4BFC"/>
    <w:rsid w:val="123553DF"/>
    <w:rsid w:val="12372F05"/>
    <w:rsid w:val="126760DB"/>
    <w:rsid w:val="12756237"/>
    <w:rsid w:val="129A5602"/>
    <w:rsid w:val="12B24C82"/>
    <w:rsid w:val="132B7107"/>
    <w:rsid w:val="137B3E5E"/>
    <w:rsid w:val="13BD10C8"/>
    <w:rsid w:val="13CE328A"/>
    <w:rsid w:val="14130758"/>
    <w:rsid w:val="14C03686"/>
    <w:rsid w:val="15001157"/>
    <w:rsid w:val="15171901"/>
    <w:rsid w:val="15252A82"/>
    <w:rsid w:val="15614DC9"/>
    <w:rsid w:val="15733D2F"/>
    <w:rsid w:val="15BF18E5"/>
    <w:rsid w:val="164B615A"/>
    <w:rsid w:val="16541879"/>
    <w:rsid w:val="1675629A"/>
    <w:rsid w:val="168E3310"/>
    <w:rsid w:val="17800EAB"/>
    <w:rsid w:val="17AB72E5"/>
    <w:rsid w:val="18002E89"/>
    <w:rsid w:val="18240C92"/>
    <w:rsid w:val="18526E0A"/>
    <w:rsid w:val="1894487F"/>
    <w:rsid w:val="18D55226"/>
    <w:rsid w:val="19057602"/>
    <w:rsid w:val="19092D8A"/>
    <w:rsid w:val="197E278F"/>
    <w:rsid w:val="1A1E095E"/>
    <w:rsid w:val="1A4F2DB6"/>
    <w:rsid w:val="1A89451A"/>
    <w:rsid w:val="1B43291B"/>
    <w:rsid w:val="1C551105"/>
    <w:rsid w:val="1C625023"/>
    <w:rsid w:val="1CB11914"/>
    <w:rsid w:val="1D570900"/>
    <w:rsid w:val="1D8E75AA"/>
    <w:rsid w:val="1E57048B"/>
    <w:rsid w:val="1EA758C6"/>
    <w:rsid w:val="1F4B6242"/>
    <w:rsid w:val="1F6E4598"/>
    <w:rsid w:val="1F784B5D"/>
    <w:rsid w:val="1F8E186D"/>
    <w:rsid w:val="1F9C79BB"/>
    <w:rsid w:val="206A4A02"/>
    <w:rsid w:val="20914EF8"/>
    <w:rsid w:val="20E05A5B"/>
    <w:rsid w:val="210408AF"/>
    <w:rsid w:val="213F421F"/>
    <w:rsid w:val="214B077B"/>
    <w:rsid w:val="2188344C"/>
    <w:rsid w:val="21C66054"/>
    <w:rsid w:val="220F15EE"/>
    <w:rsid w:val="22631270"/>
    <w:rsid w:val="22821F7B"/>
    <w:rsid w:val="22CE51C0"/>
    <w:rsid w:val="239570C5"/>
    <w:rsid w:val="23A84A38"/>
    <w:rsid w:val="23B24AE2"/>
    <w:rsid w:val="23CF684B"/>
    <w:rsid w:val="23E04195"/>
    <w:rsid w:val="244901C8"/>
    <w:rsid w:val="244D65B8"/>
    <w:rsid w:val="2454722D"/>
    <w:rsid w:val="24611E7B"/>
    <w:rsid w:val="2480698E"/>
    <w:rsid w:val="24875A24"/>
    <w:rsid w:val="24C156AB"/>
    <w:rsid w:val="24CE4179"/>
    <w:rsid w:val="24E16D01"/>
    <w:rsid w:val="25692A78"/>
    <w:rsid w:val="2573204F"/>
    <w:rsid w:val="25A40B40"/>
    <w:rsid w:val="25B14925"/>
    <w:rsid w:val="25C64BFB"/>
    <w:rsid w:val="25F35DAC"/>
    <w:rsid w:val="26531BAB"/>
    <w:rsid w:val="266E16CD"/>
    <w:rsid w:val="266E6A1F"/>
    <w:rsid w:val="269A6F3A"/>
    <w:rsid w:val="26C577F4"/>
    <w:rsid w:val="26F3253C"/>
    <w:rsid w:val="27194E78"/>
    <w:rsid w:val="279E6EC4"/>
    <w:rsid w:val="27B8643F"/>
    <w:rsid w:val="288F0B8F"/>
    <w:rsid w:val="28C9ADD8"/>
    <w:rsid w:val="28EF41A5"/>
    <w:rsid w:val="29F97883"/>
    <w:rsid w:val="2A021804"/>
    <w:rsid w:val="2A34545A"/>
    <w:rsid w:val="2A3F4BF5"/>
    <w:rsid w:val="2A5F2620"/>
    <w:rsid w:val="2A9C0DF9"/>
    <w:rsid w:val="2AAD24EB"/>
    <w:rsid w:val="2B02634F"/>
    <w:rsid w:val="2B9416E2"/>
    <w:rsid w:val="2C133301"/>
    <w:rsid w:val="2C576226"/>
    <w:rsid w:val="2C816FB8"/>
    <w:rsid w:val="2CC13E88"/>
    <w:rsid w:val="2CD8140E"/>
    <w:rsid w:val="2CE45E72"/>
    <w:rsid w:val="2D0F1660"/>
    <w:rsid w:val="2D0F4D53"/>
    <w:rsid w:val="2D1970E1"/>
    <w:rsid w:val="2D2840F2"/>
    <w:rsid w:val="2D3941C0"/>
    <w:rsid w:val="2D5E5392"/>
    <w:rsid w:val="2D662499"/>
    <w:rsid w:val="2D720696"/>
    <w:rsid w:val="2D8F379E"/>
    <w:rsid w:val="2DEC744F"/>
    <w:rsid w:val="2E620EB2"/>
    <w:rsid w:val="2EB63B09"/>
    <w:rsid w:val="2F531A7B"/>
    <w:rsid w:val="2F5527C5"/>
    <w:rsid w:val="2FCF5CCA"/>
    <w:rsid w:val="2FFF073B"/>
    <w:rsid w:val="303730A7"/>
    <w:rsid w:val="30A10B68"/>
    <w:rsid w:val="30AC74C2"/>
    <w:rsid w:val="30C07773"/>
    <w:rsid w:val="30FF6C82"/>
    <w:rsid w:val="31091BCD"/>
    <w:rsid w:val="310E70CF"/>
    <w:rsid w:val="31741DDE"/>
    <w:rsid w:val="319F076C"/>
    <w:rsid w:val="319F7F7B"/>
    <w:rsid w:val="31CC2266"/>
    <w:rsid w:val="31D36975"/>
    <w:rsid w:val="32650F71"/>
    <w:rsid w:val="326819D9"/>
    <w:rsid w:val="32D700C1"/>
    <w:rsid w:val="32FE4EF6"/>
    <w:rsid w:val="33376E36"/>
    <w:rsid w:val="336A7150"/>
    <w:rsid w:val="341669C7"/>
    <w:rsid w:val="345968B4"/>
    <w:rsid w:val="3560378B"/>
    <w:rsid w:val="3599165E"/>
    <w:rsid w:val="363F164B"/>
    <w:rsid w:val="369167DE"/>
    <w:rsid w:val="36E763F9"/>
    <w:rsid w:val="370F76FD"/>
    <w:rsid w:val="372741A0"/>
    <w:rsid w:val="37364E94"/>
    <w:rsid w:val="37A037E5"/>
    <w:rsid w:val="37C624B2"/>
    <w:rsid w:val="37E6784B"/>
    <w:rsid w:val="37FB63A0"/>
    <w:rsid w:val="389820A0"/>
    <w:rsid w:val="38C84008"/>
    <w:rsid w:val="38D97FC3"/>
    <w:rsid w:val="38E30E42"/>
    <w:rsid w:val="390066B9"/>
    <w:rsid w:val="390E7753"/>
    <w:rsid w:val="39145E95"/>
    <w:rsid w:val="392C6D9B"/>
    <w:rsid w:val="399D5494"/>
    <w:rsid w:val="39A00D1B"/>
    <w:rsid w:val="39A24859"/>
    <w:rsid w:val="3AA54601"/>
    <w:rsid w:val="3ACA050B"/>
    <w:rsid w:val="3B1C5FD3"/>
    <w:rsid w:val="3B917B23"/>
    <w:rsid w:val="3BA41A36"/>
    <w:rsid w:val="3BDE40A0"/>
    <w:rsid w:val="3C8841DA"/>
    <w:rsid w:val="3DF56736"/>
    <w:rsid w:val="3E9E014C"/>
    <w:rsid w:val="3EA66778"/>
    <w:rsid w:val="3EAD7CF2"/>
    <w:rsid w:val="3EBD75C8"/>
    <w:rsid w:val="3F093D0F"/>
    <w:rsid w:val="3F262621"/>
    <w:rsid w:val="3F4940F4"/>
    <w:rsid w:val="3FA94B93"/>
    <w:rsid w:val="3FED3617"/>
    <w:rsid w:val="40024EEE"/>
    <w:rsid w:val="40114F7B"/>
    <w:rsid w:val="401342B4"/>
    <w:rsid w:val="40183A61"/>
    <w:rsid w:val="401C35B7"/>
    <w:rsid w:val="40362AC3"/>
    <w:rsid w:val="408847A8"/>
    <w:rsid w:val="40C17CBA"/>
    <w:rsid w:val="411A73CB"/>
    <w:rsid w:val="41484C10"/>
    <w:rsid w:val="41B33AA7"/>
    <w:rsid w:val="41C0047C"/>
    <w:rsid w:val="41EE40ED"/>
    <w:rsid w:val="425F59DD"/>
    <w:rsid w:val="426D00FA"/>
    <w:rsid w:val="429E4757"/>
    <w:rsid w:val="42A36899"/>
    <w:rsid w:val="42F51E9D"/>
    <w:rsid w:val="4306112F"/>
    <w:rsid w:val="43452429"/>
    <w:rsid w:val="439C083E"/>
    <w:rsid w:val="43F43F75"/>
    <w:rsid w:val="442224C6"/>
    <w:rsid w:val="445C0647"/>
    <w:rsid w:val="44894F93"/>
    <w:rsid w:val="44A664FA"/>
    <w:rsid w:val="44E54D37"/>
    <w:rsid w:val="45076C7F"/>
    <w:rsid w:val="45BD5350"/>
    <w:rsid w:val="45E6045E"/>
    <w:rsid w:val="464329B7"/>
    <w:rsid w:val="46AB07BD"/>
    <w:rsid w:val="470E57FE"/>
    <w:rsid w:val="473C62ED"/>
    <w:rsid w:val="475C5694"/>
    <w:rsid w:val="47E670DD"/>
    <w:rsid w:val="480A0199"/>
    <w:rsid w:val="48124F71"/>
    <w:rsid w:val="48420BDC"/>
    <w:rsid w:val="48601306"/>
    <w:rsid w:val="486F33D1"/>
    <w:rsid w:val="48723AE3"/>
    <w:rsid w:val="48BD6017"/>
    <w:rsid w:val="48DA400F"/>
    <w:rsid w:val="48DF5182"/>
    <w:rsid w:val="48E50A71"/>
    <w:rsid w:val="49303C2F"/>
    <w:rsid w:val="495D254A"/>
    <w:rsid w:val="4962128C"/>
    <w:rsid w:val="49C57DEA"/>
    <w:rsid w:val="4A6D5925"/>
    <w:rsid w:val="4AAA60D5"/>
    <w:rsid w:val="4B312A85"/>
    <w:rsid w:val="4B62209A"/>
    <w:rsid w:val="4B8244EA"/>
    <w:rsid w:val="4B9F32EE"/>
    <w:rsid w:val="4BAF3531"/>
    <w:rsid w:val="4C1B0BC7"/>
    <w:rsid w:val="4C1B42F5"/>
    <w:rsid w:val="4CA2436E"/>
    <w:rsid w:val="4CB56D37"/>
    <w:rsid w:val="4CC8322A"/>
    <w:rsid w:val="4D070E32"/>
    <w:rsid w:val="4D896004"/>
    <w:rsid w:val="4DED3E9B"/>
    <w:rsid w:val="4E5E2737"/>
    <w:rsid w:val="4E8B1908"/>
    <w:rsid w:val="4EBF153C"/>
    <w:rsid w:val="4F08434E"/>
    <w:rsid w:val="4F3F2207"/>
    <w:rsid w:val="4FA17831"/>
    <w:rsid w:val="501F49FD"/>
    <w:rsid w:val="504306EC"/>
    <w:rsid w:val="506863A4"/>
    <w:rsid w:val="50A373DC"/>
    <w:rsid w:val="50D60C20"/>
    <w:rsid w:val="512337C2"/>
    <w:rsid w:val="512850C5"/>
    <w:rsid w:val="51381F95"/>
    <w:rsid w:val="516D7E41"/>
    <w:rsid w:val="51C00C6B"/>
    <w:rsid w:val="51DB487F"/>
    <w:rsid w:val="52BB7FB0"/>
    <w:rsid w:val="52C673B2"/>
    <w:rsid w:val="53376044"/>
    <w:rsid w:val="538A6632"/>
    <w:rsid w:val="53BE28E4"/>
    <w:rsid w:val="53D07B49"/>
    <w:rsid w:val="541D1254"/>
    <w:rsid w:val="549938DE"/>
    <w:rsid w:val="54A824A8"/>
    <w:rsid w:val="54B91AED"/>
    <w:rsid w:val="54F25EAA"/>
    <w:rsid w:val="552F7491"/>
    <w:rsid w:val="5552317F"/>
    <w:rsid w:val="555A6EB3"/>
    <w:rsid w:val="55E97CFD"/>
    <w:rsid w:val="5650457E"/>
    <w:rsid w:val="5666031A"/>
    <w:rsid w:val="5697353F"/>
    <w:rsid w:val="56AE0707"/>
    <w:rsid w:val="56CF2CE0"/>
    <w:rsid w:val="56E3418D"/>
    <w:rsid w:val="57081D47"/>
    <w:rsid w:val="57430FD1"/>
    <w:rsid w:val="576A56F0"/>
    <w:rsid w:val="57701C66"/>
    <w:rsid w:val="578735B4"/>
    <w:rsid w:val="57C0522A"/>
    <w:rsid w:val="57DD4F82"/>
    <w:rsid w:val="58B2640F"/>
    <w:rsid w:val="58C33472"/>
    <w:rsid w:val="58E57BC4"/>
    <w:rsid w:val="59504230"/>
    <w:rsid w:val="5967210E"/>
    <w:rsid w:val="596A01BA"/>
    <w:rsid w:val="59AA0C6F"/>
    <w:rsid w:val="5A455061"/>
    <w:rsid w:val="5A4D57D5"/>
    <w:rsid w:val="5A580657"/>
    <w:rsid w:val="5A670D37"/>
    <w:rsid w:val="5B6B0AF7"/>
    <w:rsid w:val="5B8553B5"/>
    <w:rsid w:val="5B90331D"/>
    <w:rsid w:val="5BE03293"/>
    <w:rsid w:val="5C154BEE"/>
    <w:rsid w:val="5C383DA3"/>
    <w:rsid w:val="5DBF39B8"/>
    <w:rsid w:val="5DDB01B6"/>
    <w:rsid w:val="5E357E6D"/>
    <w:rsid w:val="5E4849C1"/>
    <w:rsid w:val="5E655CD1"/>
    <w:rsid w:val="5ECD3076"/>
    <w:rsid w:val="5EDE3A37"/>
    <w:rsid w:val="5EEF8814"/>
    <w:rsid w:val="5F204D75"/>
    <w:rsid w:val="5F5F4E16"/>
    <w:rsid w:val="5F8F32D6"/>
    <w:rsid w:val="5FB3EE97"/>
    <w:rsid w:val="5FEF7F48"/>
    <w:rsid w:val="60006939"/>
    <w:rsid w:val="60154B42"/>
    <w:rsid w:val="609A18B7"/>
    <w:rsid w:val="60D203BB"/>
    <w:rsid w:val="60ED60D2"/>
    <w:rsid w:val="613F6CAD"/>
    <w:rsid w:val="61694C0B"/>
    <w:rsid w:val="61873C5A"/>
    <w:rsid w:val="61BC3E5A"/>
    <w:rsid w:val="61CF435A"/>
    <w:rsid w:val="62456545"/>
    <w:rsid w:val="62606EDB"/>
    <w:rsid w:val="62F13654"/>
    <w:rsid w:val="63A515D2"/>
    <w:rsid w:val="63EF49BB"/>
    <w:rsid w:val="64212E83"/>
    <w:rsid w:val="6424428B"/>
    <w:rsid w:val="648F5856"/>
    <w:rsid w:val="64E36917"/>
    <w:rsid w:val="65207A39"/>
    <w:rsid w:val="65476865"/>
    <w:rsid w:val="655553D6"/>
    <w:rsid w:val="65F23996"/>
    <w:rsid w:val="65F551B6"/>
    <w:rsid w:val="65FB6140"/>
    <w:rsid w:val="66740704"/>
    <w:rsid w:val="667A42E4"/>
    <w:rsid w:val="67205105"/>
    <w:rsid w:val="68134D1B"/>
    <w:rsid w:val="686858FB"/>
    <w:rsid w:val="692C5D69"/>
    <w:rsid w:val="696574CD"/>
    <w:rsid w:val="69EC2602"/>
    <w:rsid w:val="6A12277F"/>
    <w:rsid w:val="6A1567C8"/>
    <w:rsid w:val="6A647785"/>
    <w:rsid w:val="6AEA5EDC"/>
    <w:rsid w:val="6B1E172F"/>
    <w:rsid w:val="6B2C4161"/>
    <w:rsid w:val="6B3B04E6"/>
    <w:rsid w:val="6B4C44A1"/>
    <w:rsid w:val="6B7D64E9"/>
    <w:rsid w:val="6B801E93"/>
    <w:rsid w:val="6B885418"/>
    <w:rsid w:val="6BF13C95"/>
    <w:rsid w:val="6BFE6349"/>
    <w:rsid w:val="6C187B06"/>
    <w:rsid w:val="6C656C44"/>
    <w:rsid w:val="6CBA3758"/>
    <w:rsid w:val="6CC03207"/>
    <w:rsid w:val="6CFF5543"/>
    <w:rsid w:val="6DEC7532"/>
    <w:rsid w:val="6E032949"/>
    <w:rsid w:val="6E13574A"/>
    <w:rsid w:val="6E250517"/>
    <w:rsid w:val="6EBE56B6"/>
    <w:rsid w:val="6F630768"/>
    <w:rsid w:val="70013D8F"/>
    <w:rsid w:val="70296B9B"/>
    <w:rsid w:val="70AD13D8"/>
    <w:rsid w:val="71121CE9"/>
    <w:rsid w:val="71193077"/>
    <w:rsid w:val="71A010A2"/>
    <w:rsid w:val="71A1306D"/>
    <w:rsid w:val="71E35875"/>
    <w:rsid w:val="71E865E8"/>
    <w:rsid w:val="720869E9"/>
    <w:rsid w:val="722E2B52"/>
    <w:rsid w:val="72395053"/>
    <w:rsid w:val="728124EA"/>
    <w:rsid w:val="72814383"/>
    <w:rsid w:val="72A5093A"/>
    <w:rsid w:val="72BD7600"/>
    <w:rsid w:val="72EF3FD9"/>
    <w:rsid w:val="73006FCB"/>
    <w:rsid w:val="73767852"/>
    <w:rsid w:val="73F230C5"/>
    <w:rsid w:val="74034E50"/>
    <w:rsid w:val="74055B35"/>
    <w:rsid w:val="74392BD3"/>
    <w:rsid w:val="747672ED"/>
    <w:rsid w:val="7484784A"/>
    <w:rsid w:val="74890514"/>
    <w:rsid w:val="74CA4688"/>
    <w:rsid w:val="74D13C69"/>
    <w:rsid w:val="74F97A40"/>
    <w:rsid w:val="74FA3D39"/>
    <w:rsid w:val="750138AC"/>
    <w:rsid w:val="753C5586"/>
    <w:rsid w:val="7563305D"/>
    <w:rsid w:val="75BB69C6"/>
    <w:rsid w:val="7621477C"/>
    <w:rsid w:val="766335DB"/>
    <w:rsid w:val="766A1C7F"/>
    <w:rsid w:val="769B62DC"/>
    <w:rsid w:val="76AC35C3"/>
    <w:rsid w:val="76F6043A"/>
    <w:rsid w:val="77053F1D"/>
    <w:rsid w:val="77644920"/>
    <w:rsid w:val="77897CC4"/>
    <w:rsid w:val="78232B42"/>
    <w:rsid w:val="78411F23"/>
    <w:rsid w:val="785C3FA2"/>
    <w:rsid w:val="789F5ED9"/>
    <w:rsid w:val="79175B86"/>
    <w:rsid w:val="79216B50"/>
    <w:rsid w:val="792600EC"/>
    <w:rsid w:val="7934083B"/>
    <w:rsid w:val="794013BD"/>
    <w:rsid w:val="79984D55"/>
    <w:rsid w:val="79A91AD3"/>
    <w:rsid w:val="79FB35D0"/>
    <w:rsid w:val="7A156F58"/>
    <w:rsid w:val="7A2A4320"/>
    <w:rsid w:val="7A807CC3"/>
    <w:rsid w:val="7A8D0632"/>
    <w:rsid w:val="7AB532CE"/>
    <w:rsid w:val="7AD41DBD"/>
    <w:rsid w:val="7BA94C1D"/>
    <w:rsid w:val="7BB6664F"/>
    <w:rsid w:val="7BDA78A7"/>
    <w:rsid w:val="7BEE7BEC"/>
    <w:rsid w:val="7C110AEC"/>
    <w:rsid w:val="7C437B51"/>
    <w:rsid w:val="7CCC223C"/>
    <w:rsid w:val="7CE33567"/>
    <w:rsid w:val="7CF75A1C"/>
    <w:rsid w:val="7D762D28"/>
    <w:rsid w:val="7E9D94DB"/>
    <w:rsid w:val="7EA04AF1"/>
    <w:rsid w:val="7EBB4A49"/>
    <w:rsid w:val="7EC16AFC"/>
    <w:rsid w:val="7EEC082D"/>
    <w:rsid w:val="7EFC5D86"/>
    <w:rsid w:val="7F255072"/>
    <w:rsid w:val="7F47580D"/>
    <w:rsid w:val="7FF16F6D"/>
    <w:rsid w:val="C33DDDD2"/>
    <w:rsid w:val="CFEF0553"/>
    <w:rsid w:val="DF76BCD2"/>
    <w:rsid w:val="EBE6E208"/>
    <w:rsid w:val="EFB5D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60"/>
    <w:qFormat/>
    <w:uiPriority w:val="99"/>
    <w:pPr>
      <w:keepNext/>
      <w:keepLines/>
      <w:spacing w:before="260" w:after="260" w:line="416" w:lineRule="auto"/>
      <w:outlineLvl w:val="2"/>
    </w:pPr>
    <w:rPr>
      <w:b/>
      <w:bCs/>
      <w:sz w:val="32"/>
      <w:szCs w:val="32"/>
    </w:rPr>
  </w:style>
  <w:style w:type="paragraph" w:styleId="6">
    <w:name w:val="heading 4"/>
    <w:basedOn w:val="1"/>
    <w:next w:val="1"/>
    <w:link w:val="62"/>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3"/>
    <w:qFormat/>
    <w:locked/>
    <w:uiPriority w:val="9"/>
    <w:pPr>
      <w:spacing w:before="240" w:after="60"/>
      <w:outlineLvl w:val="4"/>
    </w:pPr>
    <w:rPr>
      <w:rFonts w:ascii="Calibri" w:hAnsi="Calibri"/>
      <w:b/>
      <w:bCs/>
      <w:i/>
      <w:iCs/>
      <w:sz w:val="26"/>
      <w:szCs w:val="26"/>
    </w:rPr>
  </w:style>
  <w:style w:type="paragraph" w:styleId="8">
    <w:name w:val="heading 6"/>
    <w:basedOn w:val="1"/>
    <w:next w:val="1"/>
    <w:link w:val="64"/>
    <w:qFormat/>
    <w:locked/>
    <w:uiPriority w:val="9"/>
    <w:pPr>
      <w:spacing w:before="240" w:after="60"/>
      <w:outlineLvl w:val="5"/>
    </w:pPr>
    <w:rPr>
      <w:rFonts w:ascii="Calibri" w:hAnsi="Calibri"/>
      <w:b/>
      <w:bCs/>
      <w:sz w:val="22"/>
      <w:szCs w:val="22"/>
    </w:rPr>
  </w:style>
  <w:style w:type="paragraph" w:styleId="9">
    <w:name w:val="heading 7"/>
    <w:basedOn w:val="1"/>
    <w:next w:val="1"/>
    <w:link w:val="65"/>
    <w:qFormat/>
    <w:locked/>
    <w:uiPriority w:val="9"/>
    <w:pPr>
      <w:spacing w:before="240" w:after="60"/>
      <w:outlineLvl w:val="6"/>
    </w:pPr>
    <w:rPr>
      <w:rFonts w:ascii="Calibri" w:hAnsi="Calibri"/>
      <w:sz w:val="24"/>
      <w:szCs w:val="24"/>
    </w:rPr>
  </w:style>
  <w:style w:type="paragraph" w:styleId="10">
    <w:name w:val="heading 8"/>
    <w:basedOn w:val="1"/>
    <w:next w:val="1"/>
    <w:link w:val="66"/>
    <w:qFormat/>
    <w:locked/>
    <w:uiPriority w:val="9"/>
    <w:pPr>
      <w:spacing w:before="240" w:after="60"/>
      <w:outlineLvl w:val="7"/>
    </w:pPr>
    <w:rPr>
      <w:rFonts w:ascii="Calibri" w:hAnsi="Calibri"/>
      <w:i/>
      <w:iCs/>
      <w:sz w:val="24"/>
      <w:szCs w:val="24"/>
    </w:rPr>
  </w:style>
  <w:style w:type="paragraph" w:styleId="11">
    <w:name w:val="heading 9"/>
    <w:basedOn w:val="1"/>
    <w:next w:val="1"/>
    <w:link w:val="67"/>
    <w:qFormat/>
    <w:locked/>
    <w:uiPriority w:val="9"/>
    <w:pPr>
      <w:spacing w:before="240" w:after="60"/>
      <w:outlineLvl w:val="8"/>
    </w:pPr>
    <w:rPr>
      <w:rFonts w:ascii="Cambria" w:hAnsi="Cambria"/>
      <w:sz w:val="22"/>
      <w:szCs w:val="22"/>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1"/>
    <w:qFormat/>
    <w:uiPriority w:val="0"/>
    <w:pPr>
      <w:ind w:firstLine="420"/>
    </w:pPr>
  </w:style>
  <w:style w:type="paragraph" w:styleId="12">
    <w:name w:val="toc 7"/>
    <w:basedOn w:val="1"/>
    <w:next w:val="1"/>
    <w:qFormat/>
    <w:uiPriority w:val="39"/>
    <w:pPr>
      <w:widowControl w:val="0"/>
      <w:ind w:left="2520" w:leftChars="1200"/>
      <w:jc w:val="both"/>
    </w:pPr>
    <w:rPr>
      <w:rFonts w:ascii="Calibri" w:hAnsi="Calibri" w:cs="Calibri"/>
      <w:kern w:val="2"/>
      <w:sz w:val="21"/>
      <w:szCs w:val="21"/>
    </w:rPr>
  </w:style>
  <w:style w:type="paragraph" w:styleId="13">
    <w:name w:val="Document Map"/>
    <w:basedOn w:val="1"/>
    <w:link w:val="68"/>
    <w:qFormat/>
    <w:uiPriority w:val="99"/>
    <w:rPr>
      <w:rFonts w:ascii="宋体"/>
      <w:sz w:val="18"/>
      <w:szCs w:val="18"/>
    </w:rPr>
  </w:style>
  <w:style w:type="paragraph" w:styleId="14">
    <w:name w:val="toa heading"/>
    <w:basedOn w:val="1"/>
    <w:next w:val="1"/>
    <w:unhideWhenUsed/>
    <w:qFormat/>
    <w:uiPriority w:val="99"/>
    <w:pPr>
      <w:spacing w:before="120"/>
    </w:pPr>
    <w:rPr>
      <w:rFonts w:ascii="等线 Light" w:hAnsi="等线 Light"/>
      <w:sz w:val="24"/>
      <w:szCs w:val="24"/>
    </w:rPr>
  </w:style>
  <w:style w:type="paragraph" w:styleId="15">
    <w:name w:val="annotation text"/>
    <w:basedOn w:val="1"/>
    <w:link w:val="69"/>
    <w:qFormat/>
    <w:uiPriority w:val="99"/>
    <w:pPr>
      <w:widowControl w:val="0"/>
      <w:adjustRightInd w:val="0"/>
      <w:spacing w:line="360" w:lineRule="atLeast"/>
      <w:textAlignment w:val="baseline"/>
    </w:pPr>
    <w:rPr>
      <w:sz w:val="24"/>
      <w:szCs w:val="24"/>
    </w:rPr>
  </w:style>
  <w:style w:type="paragraph" w:styleId="16">
    <w:name w:val="Body Text"/>
    <w:basedOn w:val="1"/>
    <w:link w:val="70"/>
    <w:qFormat/>
    <w:uiPriority w:val="99"/>
    <w:pPr>
      <w:spacing w:after="120"/>
    </w:pPr>
  </w:style>
  <w:style w:type="paragraph" w:styleId="17">
    <w:name w:val="Body Text Indent"/>
    <w:basedOn w:val="1"/>
    <w:next w:val="1"/>
    <w:link w:val="71"/>
    <w:qFormat/>
    <w:uiPriority w:val="99"/>
    <w:pPr>
      <w:spacing w:after="120"/>
      <w:ind w:left="420" w:leftChars="200"/>
    </w:pPr>
  </w:style>
  <w:style w:type="paragraph" w:styleId="18">
    <w:name w:val="toc 5"/>
    <w:basedOn w:val="1"/>
    <w:next w:val="1"/>
    <w:qFormat/>
    <w:uiPriority w:val="39"/>
    <w:pPr>
      <w:widowControl w:val="0"/>
      <w:ind w:left="1680" w:leftChars="800"/>
      <w:jc w:val="both"/>
    </w:pPr>
    <w:rPr>
      <w:rFonts w:ascii="Calibri" w:hAnsi="Calibri" w:cs="Calibri"/>
      <w:kern w:val="2"/>
      <w:sz w:val="21"/>
      <w:szCs w:val="21"/>
    </w:rPr>
  </w:style>
  <w:style w:type="paragraph" w:styleId="19">
    <w:name w:val="toc 3"/>
    <w:basedOn w:val="1"/>
    <w:next w:val="1"/>
    <w:qFormat/>
    <w:uiPriority w:val="39"/>
    <w:pPr>
      <w:ind w:left="840" w:leftChars="400"/>
    </w:pPr>
  </w:style>
  <w:style w:type="paragraph" w:styleId="20">
    <w:name w:val="Plain Text"/>
    <w:basedOn w:val="1"/>
    <w:next w:val="1"/>
    <w:link w:val="72"/>
    <w:qFormat/>
    <w:uiPriority w:val="0"/>
    <w:pPr>
      <w:widowControl w:val="0"/>
      <w:jc w:val="both"/>
    </w:pPr>
    <w:rPr>
      <w:rFonts w:ascii="宋体" w:hAnsi="Courier New"/>
      <w:kern w:val="2"/>
      <w:sz w:val="21"/>
      <w:szCs w:val="21"/>
    </w:rPr>
  </w:style>
  <w:style w:type="paragraph" w:styleId="21">
    <w:name w:val="toc 8"/>
    <w:basedOn w:val="1"/>
    <w:next w:val="1"/>
    <w:qFormat/>
    <w:uiPriority w:val="39"/>
    <w:pPr>
      <w:widowControl w:val="0"/>
      <w:ind w:left="2940" w:leftChars="1400"/>
      <w:jc w:val="both"/>
    </w:pPr>
    <w:rPr>
      <w:rFonts w:ascii="Calibri" w:hAnsi="Calibri" w:cs="Calibri"/>
      <w:kern w:val="2"/>
      <w:sz w:val="21"/>
      <w:szCs w:val="21"/>
    </w:rPr>
  </w:style>
  <w:style w:type="paragraph" w:styleId="22">
    <w:name w:val="Date"/>
    <w:basedOn w:val="1"/>
    <w:next w:val="1"/>
    <w:link w:val="73"/>
    <w:qFormat/>
    <w:uiPriority w:val="0"/>
    <w:pPr>
      <w:ind w:left="100" w:leftChars="2500"/>
    </w:pPr>
  </w:style>
  <w:style w:type="paragraph" w:styleId="23">
    <w:name w:val="Body Text Indent 2"/>
    <w:basedOn w:val="1"/>
    <w:link w:val="74"/>
    <w:unhideWhenUsed/>
    <w:qFormat/>
    <w:uiPriority w:val="99"/>
    <w:pPr>
      <w:spacing w:after="120" w:line="480" w:lineRule="auto"/>
      <w:ind w:left="420" w:leftChars="200"/>
    </w:pPr>
    <w:rPr>
      <w:rFonts w:ascii="Calibri" w:hAnsi="Calibri"/>
      <w:sz w:val="24"/>
      <w:szCs w:val="24"/>
    </w:rPr>
  </w:style>
  <w:style w:type="paragraph" w:styleId="24">
    <w:name w:val="Balloon Text"/>
    <w:basedOn w:val="1"/>
    <w:link w:val="75"/>
    <w:qFormat/>
    <w:uiPriority w:val="99"/>
    <w:rPr>
      <w:sz w:val="18"/>
      <w:szCs w:val="18"/>
    </w:rPr>
  </w:style>
  <w:style w:type="paragraph" w:styleId="25">
    <w:name w:val="footer"/>
    <w:basedOn w:val="1"/>
    <w:link w:val="76"/>
    <w:qFormat/>
    <w:uiPriority w:val="99"/>
    <w:pPr>
      <w:tabs>
        <w:tab w:val="center" w:pos="4153"/>
        <w:tab w:val="right" w:pos="8306"/>
      </w:tabs>
      <w:snapToGrid w:val="0"/>
    </w:pPr>
    <w:rPr>
      <w:sz w:val="18"/>
      <w:szCs w:val="18"/>
    </w:rPr>
  </w:style>
  <w:style w:type="paragraph" w:styleId="26">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288"/>
      </w:tabs>
    </w:pPr>
    <w:rPr>
      <w:rFonts w:eastAsia="仿宋_GB2312"/>
      <w:b/>
      <w:bCs/>
    </w:rPr>
  </w:style>
  <w:style w:type="paragraph" w:styleId="28">
    <w:name w:val="toc 4"/>
    <w:basedOn w:val="1"/>
    <w:next w:val="1"/>
    <w:qFormat/>
    <w:uiPriority w:val="39"/>
    <w:pPr>
      <w:widowControl w:val="0"/>
      <w:ind w:left="1260" w:leftChars="600"/>
      <w:jc w:val="both"/>
    </w:pPr>
    <w:rPr>
      <w:rFonts w:ascii="Calibri" w:hAnsi="Calibri" w:cs="Calibri"/>
      <w:kern w:val="2"/>
      <w:sz w:val="21"/>
      <w:szCs w:val="21"/>
    </w:rPr>
  </w:style>
  <w:style w:type="paragraph" w:styleId="29">
    <w:name w:val="index heading"/>
    <w:basedOn w:val="1"/>
    <w:next w:val="30"/>
    <w:semiHidden/>
    <w:qFormat/>
    <w:uiPriority w:val="99"/>
    <w:pPr>
      <w:widowControl w:val="0"/>
      <w:jc w:val="both"/>
    </w:pPr>
    <w:rPr>
      <w:kern w:val="2"/>
      <w:sz w:val="21"/>
      <w:szCs w:val="21"/>
    </w:rPr>
  </w:style>
  <w:style w:type="paragraph" w:styleId="30">
    <w:name w:val="index 1"/>
    <w:basedOn w:val="1"/>
    <w:next w:val="1"/>
    <w:semiHidden/>
    <w:qFormat/>
    <w:uiPriority w:val="99"/>
  </w:style>
  <w:style w:type="paragraph" w:styleId="31">
    <w:name w:val="Subtitle"/>
    <w:basedOn w:val="1"/>
    <w:next w:val="1"/>
    <w:link w:val="78"/>
    <w:qFormat/>
    <w:locked/>
    <w:uiPriority w:val="11"/>
    <w:pPr>
      <w:spacing w:after="60"/>
      <w:jc w:val="center"/>
      <w:outlineLvl w:val="1"/>
    </w:pPr>
    <w:rPr>
      <w:rFonts w:ascii="Cambria" w:hAnsi="Cambria"/>
      <w:sz w:val="24"/>
      <w:szCs w:val="24"/>
    </w:rPr>
  </w:style>
  <w:style w:type="paragraph" w:styleId="32">
    <w:name w:val="footnote text"/>
    <w:basedOn w:val="1"/>
    <w:next w:val="16"/>
    <w:link w:val="79"/>
    <w:qFormat/>
    <w:uiPriority w:val="0"/>
    <w:pPr>
      <w:snapToGrid w:val="0"/>
    </w:pPr>
    <w:rPr>
      <w:sz w:val="18"/>
      <w:szCs w:val="18"/>
    </w:rPr>
  </w:style>
  <w:style w:type="paragraph" w:styleId="33">
    <w:name w:val="toc 6"/>
    <w:basedOn w:val="1"/>
    <w:next w:val="1"/>
    <w:qFormat/>
    <w:uiPriority w:val="39"/>
    <w:pPr>
      <w:widowControl w:val="0"/>
      <w:ind w:left="2100" w:leftChars="1000"/>
      <w:jc w:val="both"/>
    </w:pPr>
    <w:rPr>
      <w:rFonts w:ascii="Calibri" w:hAnsi="Calibri" w:cs="Calibri"/>
      <w:kern w:val="2"/>
      <w:sz w:val="21"/>
      <w:szCs w:val="21"/>
    </w:rPr>
  </w:style>
  <w:style w:type="paragraph" w:styleId="34">
    <w:name w:val="Body Text Indent 3"/>
    <w:basedOn w:val="1"/>
    <w:link w:val="80"/>
    <w:qFormat/>
    <w:uiPriority w:val="99"/>
    <w:pPr>
      <w:spacing w:after="120"/>
      <w:ind w:left="420" w:leftChars="200"/>
    </w:pPr>
    <w:rPr>
      <w:sz w:val="16"/>
      <w:szCs w:val="16"/>
    </w:rPr>
  </w:style>
  <w:style w:type="paragraph" w:styleId="35">
    <w:name w:val="toc 2"/>
    <w:basedOn w:val="1"/>
    <w:next w:val="1"/>
    <w:qFormat/>
    <w:uiPriority w:val="39"/>
    <w:pPr>
      <w:ind w:left="420" w:leftChars="200"/>
    </w:pPr>
  </w:style>
  <w:style w:type="paragraph" w:styleId="36">
    <w:name w:val="toc 9"/>
    <w:basedOn w:val="1"/>
    <w:next w:val="1"/>
    <w:qFormat/>
    <w:uiPriority w:val="39"/>
    <w:pPr>
      <w:widowControl w:val="0"/>
      <w:ind w:left="3360" w:leftChars="1600"/>
      <w:jc w:val="both"/>
    </w:pPr>
    <w:rPr>
      <w:rFonts w:ascii="Calibri" w:hAnsi="Calibri" w:cs="Calibri"/>
      <w:kern w:val="2"/>
      <w:sz w:val="21"/>
      <w:szCs w:val="21"/>
    </w:rPr>
  </w:style>
  <w:style w:type="paragraph" w:styleId="37">
    <w:name w:val="Body Text 2"/>
    <w:basedOn w:val="1"/>
    <w:unhideWhenUsed/>
    <w:qFormat/>
    <w:uiPriority w:val="99"/>
    <w:pPr>
      <w:spacing w:after="120" w:line="480" w:lineRule="auto"/>
    </w:pPr>
  </w:style>
  <w:style w:type="paragraph" w:styleId="38">
    <w:name w:val="Normal (Web)"/>
    <w:basedOn w:val="1"/>
    <w:link w:val="81"/>
    <w:qFormat/>
    <w:uiPriority w:val="99"/>
    <w:pPr>
      <w:spacing w:before="100" w:beforeAutospacing="1" w:after="100" w:afterAutospacing="1"/>
    </w:pPr>
    <w:rPr>
      <w:rFonts w:ascii="宋体"/>
      <w:sz w:val="24"/>
      <w:szCs w:val="24"/>
    </w:rPr>
  </w:style>
  <w:style w:type="paragraph" w:styleId="39">
    <w:name w:val="Title"/>
    <w:basedOn w:val="1"/>
    <w:next w:val="1"/>
    <w:link w:val="82"/>
    <w:qFormat/>
    <w:locked/>
    <w:uiPriority w:val="10"/>
    <w:pPr>
      <w:spacing w:before="240" w:after="60"/>
      <w:jc w:val="center"/>
      <w:outlineLvl w:val="0"/>
    </w:pPr>
    <w:rPr>
      <w:rFonts w:ascii="Cambria" w:hAnsi="Cambria"/>
      <w:b/>
      <w:bCs/>
      <w:kern w:val="28"/>
      <w:sz w:val="32"/>
      <w:szCs w:val="32"/>
    </w:rPr>
  </w:style>
  <w:style w:type="paragraph" w:styleId="40">
    <w:name w:val="annotation subject"/>
    <w:basedOn w:val="15"/>
    <w:next w:val="15"/>
    <w:link w:val="83"/>
    <w:semiHidden/>
    <w:qFormat/>
    <w:uiPriority w:val="99"/>
    <w:pPr>
      <w:widowControl/>
      <w:adjustRightInd/>
      <w:spacing w:line="240" w:lineRule="auto"/>
      <w:textAlignment w:val="auto"/>
    </w:pPr>
    <w:rPr>
      <w:b/>
      <w:bCs/>
      <w:sz w:val="20"/>
      <w:szCs w:val="20"/>
    </w:rPr>
  </w:style>
  <w:style w:type="paragraph" w:styleId="41">
    <w:name w:val="Body Text First Indent"/>
    <w:basedOn w:val="16"/>
    <w:link w:val="84"/>
    <w:unhideWhenUsed/>
    <w:qFormat/>
    <w:uiPriority w:val="99"/>
    <w:pPr>
      <w:widowControl w:val="0"/>
      <w:spacing w:line="360" w:lineRule="auto"/>
      <w:ind w:firstLine="420" w:firstLineChars="100"/>
      <w:jc w:val="both"/>
    </w:pPr>
    <w:rPr>
      <w:rFonts w:ascii="Calibri" w:hAnsi="Calibri" w:eastAsia="仿宋"/>
      <w:kern w:val="2"/>
      <w:sz w:val="24"/>
      <w:szCs w:val="22"/>
    </w:rPr>
  </w:style>
  <w:style w:type="paragraph" w:styleId="42">
    <w:name w:val="Body Text First Indent 2"/>
    <w:basedOn w:val="17"/>
    <w:link w:val="85"/>
    <w:unhideWhenUsed/>
    <w:qFormat/>
    <w:uiPriority w:val="99"/>
    <w:pPr>
      <w:ind w:firstLine="420" w:firstLineChars="200"/>
    </w:pPr>
  </w:style>
  <w:style w:type="table" w:styleId="44">
    <w:name w:val="Table Grid"/>
    <w:basedOn w:val="4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locked/>
    <w:uiPriority w:val="22"/>
    <w:rPr>
      <w:b/>
      <w:bCs/>
    </w:rPr>
  </w:style>
  <w:style w:type="character" w:styleId="47">
    <w:name w:val="page number"/>
    <w:qFormat/>
    <w:uiPriority w:val="0"/>
  </w:style>
  <w:style w:type="character" w:styleId="48">
    <w:name w:val="FollowedHyperlink"/>
    <w:qFormat/>
    <w:uiPriority w:val="99"/>
    <w:rPr>
      <w:color w:val="800080"/>
      <w:u w:val="single"/>
    </w:rPr>
  </w:style>
  <w:style w:type="character" w:styleId="49">
    <w:name w:val="Emphasis"/>
    <w:qFormat/>
    <w:locked/>
    <w:uiPriority w:val="20"/>
    <w:rPr>
      <w:rFonts w:ascii="Calibri" w:hAnsi="Calibri"/>
      <w:b/>
      <w:i/>
      <w:iCs/>
    </w:rPr>
  </w:style>
  <w:style w:type="character" w:styleId="50">
    <w:name w:val="HTML Definition"/>
    <w:unhideWhenUsed/>
    <w:qFormat/>
    <w:uiPriority w:val="99"/>
    <w:rPr>
      <w:i/>
    </w:rPr>
  </w:style>
  <w:style w:type="character" w:styleId="51">
    <w:name w:val="Hyperlink"/>
    <w:qFormat/>
    <w:uiPriority w:val="99"/>
    <w:rPr>
      <w:color w:val="0000FF"/>
      <w:u w:val="single"/>
    </w:rPr>
  </w:style>
  <w:style w:type="character" w:styleId="52">
    <w:name w:val="HTML Code"/>
    <w:unhideWhenUsed/>
    <w:qFormat/>
    <w:uiPriority w:val="99"/>
    <w:rPr>
      <w:rFonts w:hint="default" w:ascii="Consolas" w:hAnsi="Consolas" w:eastAsia="Consolas" w:cs="Consolas"/>
      <w:color w:val="C7254E"/>
      <w:sz w:val="21"/>
      <w:szCs w:val="21"/>
      <w:shd w:val="clear" w:color="auto" w:fill="F9F2F4"/>
    </w:rPr>
  </w:style>
  <w:style w:type="character" w:styleId="53">
    <w:name w:val="annotation reference"/>
    <w:semiHidden/>
    <w:qFormat/>
    <w:uiPriority w:val="99"/>
    <w:rPr>
      <w:sz w:val="21"/>
      <w:szCs w:val="21"/>
    </w:rPr>
  </w:style>
  <w:style w:type="character" w:styleId="54">
    <w:name w:val="HTML Cite"/>
    <w:unhideWhenUsed/>
    <w:qFormat/>
    <w:uiPriority w:val="99"/>
  </w:style>
  <w:style w:type="character" w:styleId="55">
    <w:name w:val="footnote reference"/>
    <w:semiHidden/>
    <w:qFormat/>
    <w:uiPriority w:val="99"/>
    <w:rPr>
      <w:vertAlign w:val="superscript"/>
    </w:rPr>
  </w:style>
  <w:style w:type="character" w:styleId="56">
    <w:name w:val="HTML Keyboard"/>
    <w:unhideWhenUsed/>
    <w:qFormat/>
    <w:uiPriority w:val="99"/>
    <w:rPr>
      <w:rFonts w:hint="default" w:ascii="Consolas" w:hAnsi="Consolas" w:eastAsia="Consolas" w:cs="Consolas"/>
      <w:color w:val="FFFFFF"/>
      <w:sz w:val="21"/>
      <w:szCs w:val="21"/>
      <w:shd w:val="clear" w:color="auto" w:fill="333333"/>
    </w:rPr>
  </w:style>
  <w:style w:type="character" w:styleId="57">
    <w:name w:val="HTML Sample"/>
    <w:unhideWhenUsed/>
    <w:qFormat/>
    <w:uiPriority w:val="99"/>
    <w:rPr>
      <w:rFonts w:ascii="Consolas" w:hAnsi="Consolas" w:eastAsia="Consolas" w:cs="Consolas"/>
      <w:sz w:val="21"/>
      <w:szCs w:val="21"/>
    </w:rPr>
  </w:style>
  <w:style w:type="character" w:customStyle="1" w:styleId="58">
    <w:name w:val="标题 1 字符"/>
    <w:link w:val="2"/>
    <w:qFormat/>
    <w:locked/>
    <w:uiPriority w:val="9"/>
    <w:rPr>
      <w:b/>
      <w:bCs/>
      <w:kern w:val="44"/>
      <w:sz w:val="44"/>
      <w:szCs w:val="44"/>
    </w:rPr>
  </w:style>
  <w:style w:type="character" w:customStyle="1" w:styleId="59">
    <w:name w:val="标题 2 字符"/>
    <w:link w:val="3"/>
    <w:qFormat/>
    <w:locked/>
    <w:uiPriority w:val="9"/>
    <w:rPr>
      <w:rFonts w:ascii="Arial" w:hAnsi="Arial" w:eastAsia="黑体" w:cs="Arial"/>
      <w:b/>
      <w:bCs/>
      <w:sz w:val="32"/>
      <w:szCs w:val="32"/>
      <w:lang w:val="en-US" w:eastAsia="zh-CN"/>
    </w:rPr>
  </w:style>
  <w:style w:type="character" w:customStyle="1" w:styleId="60">
    <w:name w:val="标题 3 字符"/>
    <w:link w:val="4"/>
    <w:qFormat/>
    <w:locked/>
    <w:uiPriority w:val="99"/>
    <w:rPr>
      <w:b/>
      <w:bCs/>
      <w:sz w:val="32"/>
      <w:szCs w:val="32"/>
    </w:rPr>
  </w:style>
  <w:style w:type="character" w:customStyle="1" w:styleId="61">
    <w:name w:val="正文缩进 字符"/>
    <w:link w:val="5"/>
    <w:qFormat/>
    <w:uiPriority w:val="0"/>
  </w:style>
  <w:style w:type="character" w:customStyle="1" w:styleId="62">
    <w:name w:val="标题 4 字符"/>
    <w:link w:val="6"/>
    <w:qFormat/>
    <w:locked/>
    <w:uiPriority w:val="9"/>
    <w:rPr>
      <w:rFonts w:ascii="Arial" w:hAnsi="Arial" w:eastAsia="黑体" w:cs="Arial"/>
      <w:b/>
      <w:bCs/>
      <w:sz w:val="28"/>
      <w:szCs w:val="28"/>
    </w:rPr>
  </w:style>
  <w:style w:type="character" w:customStyle="1" w:styleId="63">
    <w:name w:val="标题 5 字符"/>
    <w:link w:val="7"/>
    <w:qFormat/>
    <w:uiPriority w:val="9"/>
    <w:rPr>
      <w:rFonts w:cs="Times New Roman"/>
      <w:b/>
      <w:bCs/>
      <w:i/>
      <w:iCs/>
      <w:sz w:val="26"/>
      <w:szCs w:val="26"/>
    </w:rPr>
  </w:style>
  <w:style w:type="character" w:customStyle="1" w:styleId="64">
    <w:name w:val="标题 6 字符"/>
    <w:link w:val="8"/>
    <w:qFormat/>
    <w:uiPriority w:val="9"/>
    <w:rPr>
      <w:rFonts w:cs="Times New Roman"/>
      <w:b/>
      <w:bCs/>
      <w:sz w:val="22"/>
      <w:szCs w:val="22"/>
    </w:rPr>
  </w:style>
  <w:style w:type="character" w:customStyle="1" w:styleId="65">
    <w:name w:val="标题 7 字符"/>
    <w:link w:val="9"/>
    <w:qFormat/>
    <w:uiPriority w:val="9"/>
    <w:rPr>
      <w:rFonts w:cs="Times New Roman"/>
      <w:sz w:val="24"/>
      <w:szCs w:val="24"/>
    </w:rPr>
  </w:style>
  <w:style w:type="character" w:customStyle="1" w:styleId="66">
    <w:name w:val="标题 8 字符"/>
    <w:link w:val="10"/>
    <w:qFormat/>
    <w:uiPriority w:val="9"/>
    <w:rPr>
      <w:rFonts w:cs="Times New Roman"/>
      <w:i/>
      <w:iCs/>
      <w:sz w:val="24"/>
      <w:szCs w:val="24"/>
    </w:rPr>
  </w:style>
  <w:style w:type="character" w:customStyle="1" w:styleId="67">
    <w:name w:val="标题 9 字符"/>
    <w:link w:val="11"/>
    <w:qFormat/>
    <w:uiPriority w:val="9"/>
    <w:rPr>
      <w:rFonts w:ascii="Cambria" w:hAnsi="Cambria" w:eastAsia="宋体" w:cs="Times New Roman"/>
      <w:sz w:val="22"/>
      <w:szCs w:val="22"/>
    </w:rPr>
  </w:style>
  <w:style w:type="character" w:customStyle="1" w:styleId="68">
    <w:name w:val="文档结构图 字符"/>
    <w:link w:val="13"/>
    <w:qFormat/>
    <w:locked/>
    <w:uiPriority w:val="99"/>
    <w:rPr>
      <w:rFonts w:ascii="宋体" w:eastAsia="宋体" w:cs="宋体"/>
      <w:sz w:val="18"/>
      <w:szCs w:val="18"/>
      <w:lang w:val="en-US" w:eastAsia="zh-CN"/>
    </w:rPr>
  </w:style>
  <w:style w:type="character" w:customStyle="1" w:styleId="69">
    <w:name w:val="批注文字 字符"/>
    <w:link w:val="15"/>
    <w:qFormat/>
    <w:locked/>
    <w:uiPriority w:val="99"/>
    <w:rPr>
      <w:sz w:val="24"/>
      <w:szCs w:val="24"/>
    </w:rPr>
  </w:style>
  <w:style w:type="character" w:customStyle="1" w:styleId="70">
    <w:name w:val="正文文本 字符"/>
    <w:link w:val="16"/>
    <w:qFormat/>
    <w:locked/>
    <w:uiPriority w:val="99"/>
  </w:style>
  <w:style w:type="character" w:customStyle="1" w:styleId="71">
    <w:name w:val="正文文本缩进 字符"/>
    <w:link w:val="17"/>
    <w:qFormat/>
    <w:locked/>
    <w:uiPriority w:val="99"/>
  </w:style>
  <w:style w:type="character" w:customStyle="1" w:styleId="72">
    <w:name w:val="纯文本 字符"/>
    <w:link w:val="20"/>
    <w:qFormat/>
    <w:locked/>
    <w:uiPriority w:val="0"/>
    <w:rPr>
      <w:rFonts w:ascii="宋体" w:hAnsi="Courier New" w:eastAsia="宋体" w:cs="宋体"/>
      <w:kern w:val="2"/>
      <w:sz w:val="21"/>
      <w:szCs w:val="21"/>
      <w:lang w:val="en-US" w:eastAsia="zh-CN"/>
    </w:rPr>
  </w:style>
  <w:style w:type="character" w:customStyle="1" w:styleId="73">
    <w:name w:val="日期 字符"/>
    <w:link w:val="22"/>
    <w:qFormat/>
    <w:locked/>
    <w:uiPriority w:val="0"/>
  </w:style>
  <w:style w:type="character" w:customStyle="1" w:styleId="74">
    <w:name w:val="正文文本缩进 2 字符"/>
    <w:link w:val="23"/>
    <w:semiHidden/>
    <w:qFormat/>
    <w:uiPriority w:val="99"/>
    <w:rPr>
      <w:rFonts w:cs="Times New Roman"/>
      <w:sz w:val="24"/>
      <w:szCs w:val="24"/>
    </w:rPr>
  </w:style>
  <w:style w:type="character" w:customStyle="1" w:styleId="75">
    <w:name w:val="批注框文本 字符"/>
    <w:link w:val="24"/>
    <w:qFormat/>
    <w:locked/>
    <w:uiPriority w:val="99"/>
    <w:rPr>
      <w:sz w:val="18"/>
      <w:szCs w:val="18"/>
    </w:rPr>
  </w:style>
  <w:style w:type="character" w:customStyle="1" w:styleId="76">
    <w:name w:val="页脚 字符"/>
    <w:link w:val="25"/>
    <w:qFormat/>
    <w:locked/>
    <w:uiPriority w:val="99"/>
    <w:rPr>
      <w:sz w:val="18"/>
      <w:szCs w:val="18"/>
    </w:rPr>
  </w:style>
  <w:style w:type="character" w:customStyle="1" w:styleId="77">
    <w:name w:val="页眉 字符"/>
    <w:link w:val="26"/>
    <w:qFormat/>
    <w:locked/>
    <w:uiPriority w:val="99"/>
    <w:rPr>
      <w:sz w:val="18"/>
      <w:szCs w:val="18"/>
    </w:rPr>
  </w:style>
  <w:style w:type="character" w:customStyle="1" w:styleId="78">
    <w:name w:val="副标题 字符"/>
    <w:link w:val="31"/>
    <w:qFormat/>
    <w:uiPriority w:val="11"/>
    <w:rPr>
      <w:rFonts w:ascii="Cambria" w:hAnsi="Cambria" w:eastAsia="宋体" w:cs="Times New Roman"/>
      <w:sz w:val="24"/>
      <w:szCs w:val="24"/>
    </w:rPr>
  </w:style>
  <w:style w:type="character" w:customStyle="1" w:styleId="79">
    <w:name w:val="脚注文本 字符"/>
    <w:link w:val="32"/>
    <w:qFormat/>
    <w:uiPriority w:val="0"/>
    <w:rPr>
      <w:sz w:val="18"/>
      <w:szCs w:val="18"/>
    </w:rPr>
  </w:style>
  <w:style w:type="character" w:customStyle="1" w:styleId="80">
    <w:name w:val="正文文本缩进 3 字符"/>
    <w:link w:val="34"/>
    <w:qFormat/>
    <w:locked/>
    <w:uiPriority w:val="99"/>
    <w:rPr>
      <w:sz w:val="16"/>
      <w:szCs w:val="16"/>
    </w:rPr>
  </w:style>
  <w:style w:type="character" w:customStyle="1" w:styleId="81">
    <w:name w:val="普通(网站) 字符"/>
    <w:link w:val="38"/>
    <w:qFormat/>
    <w:locked/>
    <w:uiPriority w:val="99"/>
    <w:rPr>
      <w:rFonts w:ascii="宋体" w:eastAsia="宋体" w:cs="宋体"/>
      <w:sz w:val="24"/>
      <w:szCs w:val="24"/>
    </w:rPr>
  </w:style>
  <w:style w:type="character" w:customStyle="1" w:styleId="82">
    <w:name w:val="标题 字符"/>
    <w:link w:val="39"/>
    <w:qFormat/>
    <w:uiPriority w:val="10"/>
    <w:rPr>
      <w:rFonts w:ascii="Cambria" w:hAnsi="Cambria" w:eastAsia="宋体" w:cs="Times New Roman"/>
      <w:b/>
      <w:bCs/>
      <w:kern w:val="28"/>
      <w:sz w:val="32"/>
      <w:szCs w:val="32"/>
    </w:rPr>
  </w:style>
  <w:style w:type="character" w:customStyle="1" w:styleId="83">
    <w:name w:val="批注主题 字符"/>
    <w:link w:val="40"/>
    <w:semiHidden/>
    <w:qFormat/>
    <w:uiPriority w:val="99"/>
    <w:rPr>
      <w:b/>
      <w:bCs/>
      <w:kern w:val="0"/>
      <w:sz w:val="20"/>
      <w:szCs w:val="20"/>
    </w:rPr>
  </w:style>
  <w:style w:type="character" w:customStyle="1" w:styleId="84">
    <w:name w:val="正文文本首行缩进 字符"/>
    <w:link w:val="41"/>
    <w:semiHidden/>
    <w:qFormat/>
    <w:uiPriority w:val="99"/>
    <w:rPr>
      <w:rFonts w:ascii="Calibri" w:hAnsi="Calibri" w:eastAsia="仿宋" w:cs="Times New Roman"/>
      <w:kern w:val="2"/>
      <w:sz w:val="24"/>
      <w:szCs w:val="22"/>
    </w:rPr>
  </w:style>
  <w:style w:type="character" w:customStyle="1" w:styleId="85">
    <w:name w:val="正文文本首行缩进 2 字符"/>
    <w:link w:val="42"/>
    <w:qFormat/>
    <w:uiPriority w:val="99"/>
  </w:style>
  <w:style w:type="paragraph" w:customStyle="1" w:styleId="86">
    <w:name w:val="xl179"/>
    <w:basedOn w:val="1"/>
    <w:qFormat/>
    <w:uiPriority w:val="99"/>
    <w:pPr>
      <w:spacing w:before="100" w:beforeAutospacing="1" w:after="100" w:afterAutospacing="1"/>
      <w:jc w:val="center"/>
      <w:textAlignment w:val="center"/>
    </w:pPr>
    <w:rPr>
      <w:rFonts w:ascii="宋体" w:hAnsi="宋体" w:cs="宋体"/>
      <w:color w:val="FF0000"/>
      <w:sz w:val="24"/>
      <w:szCs w:val="24"/>
    </w:rPr>
  </w:style>
  <w:style w:type="paragraph" w:customStyle="1" w:styleId="87">
    <w:name w:val="样式2"/>
    <w:basedOn w:val="6"/>
    <w:next w:val="6"/>
    <w:qFormat/>
    <w:uiPriority w:val="99"/>
    <w:rPr>
      <w:rFonts w:ascii="黑体" w:cs="黑体"/>
      <w:sz w:val="24"/>
      <w:szCs w:val="24"/>
    </w:rPr>
  </w:style>
  <w:style w:type="paragraph" w:customStyle="1" w:styleId="88">
    <w:name w:val="Char Char Char Char1 Char Char Char"/>
    <w:basedOn w:val="1"/>
    <w:qFormat/>
    <w:uiPriority w:val="99"/>
    <w:pPr>
      <w:widowControl w:val="0"/>
      <w:spacing w:line="240" w:lineRule="atLeast"/>
      <w:ind w:left="420" w:firstLine="420"/>
      <w:jc w:val="both"/>
    </w:pPr>
    <w:rPr>
      <w:sz w:val="21"/>
      <w:szCs w:val="21"/>
    </w:rPr>
  </w:style>
  <w:style w:type="paragraph" w:customStyle="1" w:styleId="89">
    <w:name w:val="font5"/>
    <w:basedOn w:val="1"/>
    <w:qFormat/>
    <w:uiPriority w:val="99"/>
    <w:pPr>
      <w:spacing w:before="100" w:beforeAutospacing="1" w:after="100" w:afterAutospacing="1"/>
    </w:pPr>
    <w:rPr>
      <w:rFonts w:ascii="宋体" w:hAnsi="宋体" w:cs="宋体"/>
      <w:sz w:val="18"/>
      <w:szCs w:val="18"/>
    </w:rPr>
  </w:style>
  <w:style w:type="paragraph" w:customStyle="1" w:styleId="90">
    <w:name w:val="xl20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rPr>
  </w:style>
  <w:style w:type="paragraph" w:customStyle="1" w:styleId="91">
    <w:name w:val="xl18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rPr>
  </w:style>
  <w:style w:type="paragraph" w:customStyle="1" w:styleId="92">
    <w:name w:val="xl205"/>
    <w:basedOn w:val="1"/>
    <w:qFormat/>
    <w:uiPriority w:val="99"/>
    <w:pPr>
      <w:pBdr>
        <w:top w:val="single" w:color="auto" w:sz="4" w:space="0"/>
        <w:left w:val="single" w:color="auto" w:sz="4" w:space="0"/>
        <w:bottom w:val="single" w:color="auto" w:sz="4" w:space="0"/>
      </w:pBdr>
      <w:spacing w:before="100" w:beforeAutospacing="1" w:after="100" w:afterAutospacing="1"/>
      <w:textAlignment w:val="center"/>
    </w:pPr>
    <w:rPr>
      <w:rFonts w:ascii="宋体" w:hAnsi="宋体" w:cs="宋体"/>
      <w:color w:val="000000"/>
      <w:sz w:val="22"/>
      <w:szCs w:val="22"/>
    </w:rPr>
  </w:style>
  <w:style w:type="paragraph" w:customStyle="1" w:styleId="93">
    <w:name w:val="xl19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rPr>
  </w:style>
  <w:style w:type="paragraph" w:customStyle="1" w:styleId="94">
    <w:name w:val="font9"/>
    <w:basedOn w:val="1"/>
    <w:qFormat/>
    <w:uiPriority w:val="99"/>
    <w:pPr>
      <w:spacing w:before="100" w:beforeAutospacing="1" w:after="100" w:afterAutospacing="1"/>
    </w:pPr>
    <w:rPr>
      <w:rFonts w:ascii="宋体" w:hAnsi="宋体" w:cs="宋体"/>
      <w:b/>
      <w:bCs/>
      <w:sz w:val="18"/>
      <w:szCs w:val="18"/>
    </w:rPr>
  </w:style>
  <w:style w:type="paragraph" w:customStyle="1" w:styleId="95">
    <w:name w:val="目录"/>
    <w:basedOn w:val="1"/>
    <w:qFormat/>
    <w:uiPriority w:val="99"/>
    <w:pPr>
      <w:jc w:val="center"/>
    </w:pPr>
    <w:rPr>
      <w:rFonts w:ascii="宋体" w:cs="宋体"/>
      <w:b/>
      <w:bCs/>
      <w:sz w:val="36"/>
      <w:szCs w:val="36"/>
    </w:rPr>
  </w:style>
  <w:style w:type="paragraph" w:customStyle="1" w:styleId="96">
    <w:name w:val="xl71"/>
    <w:basedOn w:val="1"/>
    <w:qFormat/>
    <w:uiPriority w:val="99"/>
    <w:pPr>
      <w:spacing w:before="100" w:beforeAutospacing="1" w:after="100" w:afterAutospacing="1"/>
      <w:jc w:val="center"/>
    </w:pPr>
    <w:rPr>
      <w:rFonts w:ascii="宋体" w:hAnsi="宋体" w:cs="宋体"/>
    </w:rPr>
  </w:style>
  <w:style w:type="paragraph" w:customStyle="1" w:styleId="97">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98">
    <w:name w:val="+正文"/>
    <w:basedOn w:val="1"/>
    <w:qFormat/>
    <w:uiPriority w:val="99"/>
    <w:pPr>
      <w:widowControl w:val="0"/>
      <w:spacing w:line="360" w:lineRule="auto"/>
      <w:ind w:firstLine="200" w:firstLineChars="200"/>
      <w:jc w:val="both"/>
    </w:pPr>
    <w:rPr>
      <w:kern w:val="2"/>
      <w:sz w:val="24"/>
      <w:szCs w:val="24"/>
    </w:rPr>
  </w:style>
  <w:style w:type="paragraph" w:customStyle="1" w:styleId="99">
    <w:name w:val="xl17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4"/>
      <w:szCs w:val="24"/>
    </w:rPr>
  </w:style>
  <w:style w:type="paragraph" w:customStyle="1" w:styleId="100">
    <w:name w:val="样式1"/>
    <w:basedOn w:val="6"/>
    <w:qFormat/>
    <w:uiPriority w:val="99"/>
    <w:rPr>
      <w:rFonts w:ascii="黑体" w:cs="黑体"/>
      <w:sz w:val="24"/>
      <w:szCs w:val="24"/>
    </w:rPr>
  </w:style>
  <w:style w:type="paragraph" w:customStyle="1" w:styleId="101">
    <w:name w:val="xl20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rPr>
  </w:style>
  <w:style w:type="paragraph" w:customStyle="1" w:styleId="102">
    <w:name w:val="xl183"/>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sz w:val="22"/>
      <w:szCs w:val="22"/>
    </w:rPr>
  </w:style>
  <w:style w:type="paragraph" w:customStyle="1" w:styleId="103">
    <w:name w:val="xl7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04">
    <w:name w:val="xl19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rPr>
  </w:style>
  <w:style w:type="paragraph" w:customStyle="1" w:styleId="105">
    <w:name w:val="xl67"/>
    <w:basedOn w:val="1"/>
    <w:qFormat/>
    <w:uiPriority w:val="99"/>
    <w:pPr>
      <w:spacing w:before="100" w:beforeAutospacing="1" w:after="100" w:afterAutospacing="1"/>
    </w:pPr>
    <w:rPr>
      <w:rFonts w:ascii="宋体" w:hAnsi="宋体" w:cs="宋体"/>
    </w:rPr>
  </w:style>
  <w:style w:type="paragraph" w:customStyle="1" w:styleId="106">
    <w:name w:val="xl20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107">
    <w:name w:val="xl7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08">
    <w:name w:val="xl6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09">
    <w:name w:val="xl18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sz w:val="24"/>
      <w:szCs w:val="24"/>
    </w:rPr>
  </w:style>
  <w:style w:type="paragraph" w:customStyle="1" w:styleId="110">
    <w:name w:val="Char Char Char Char Char Char Char Char Char Char Char Char Char Char Char Char Char Char Char Char Char Char1"/>
    <w:basedOn w:val="1"/>
    <w:qFormat/>
    <w:uiPriority w:val="99"/>
    <w:pPr>
      <w:spacing w:after="160" w:line="240" w:lineRule="exact"/>
    </w:pPr>
    <w:rPr>
      <w:rFonts w:ascii="Verdana" w:hAnsi="Verdana" w:eastAsia="仿宋_GB2312" w:cs="Verdana"/>
      <w:sz w:val="24"/>
      <w:szCs w:val="24"/>
      <w:lang w:eastAsia="en-US"/>
    </w:rPr>
  </w:style>
  <w:style w:type="paragraph" w:customStyle="1" w:styleId="111">
    <w:name w:val="标题4"/>
    <w:basedOn w:val="1"/>
    <w:next w:val="6"/>
    <w:qFormat/>
    <w:uiPriority w:val="99"/>
    <w:rPr>
      <w:rFonts w:ascii="黑体" w:eastAsia="黑体" w:cs="黑体"/>
      <w:sz w:val="24"/>
      <w:szCs w:val="24"/>
    </w:rPr>
  </w:style>
  <w:style w:type="paragraph" w:customStyle="1" w:styleId="112">
    <w:name w:val="xl18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sz w:val="24"/>
      <w:szCs w:val="24"/>
    </w:rPr>
  </w:style>
  <w:style w:type="paragraph" w:customStyle="1" w:styleId="113">
    <w:name w:val="xl18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sz w:val="22"/>
      <w:szCs w:val="22"/>
    </w:rPr>
  </w:style>
  <w:style w:type="paragraph" w:customStyle="1" w:styleId="114">
    <w:name w:val="Char1"/>
    <w:basedOn w:val="1"/>
    <w:qFormat/>
    <w:uiPriority w:val="99"/>
    <w:pPr>
      <w:widowControl w:val="0"/>
      <w:spacing w:line="360" w:lineRule="auto"/>
      <w:ind w:firstLine="200" w:firstLineChars="200"/>
      <w:jc w:val="both"/>
    </w:pPr>
    <w:rPr>
      <w:rFonts w:ascii="宋体" w:hAnsi="宋体" w:cs="宋体"/>
      <w:kern w:val="2"/>
      <w:sz w:val="24"/>
      <w:szCs w:val="24"/>
    </w:rPr>
  </w:style>
  <w:style w:type="paragraph" w:customStyle="1" w:styleId="115">
    <w:name w:val="font10"/>
    <w:basedOn w:val="1"/>
    <w:qFormat/>
    <w:uiPriority w:val="99"/>
    <w:pPr>
      <w:spacing w:before="100" w:beforeAutospacing="1" w:after="100" w:afterAutospacing="1"/>
    </w:pPr>
    <w:rPr>
      <w:rFonts w:ascii="宋体" w:hAnsi="宋体" w:cs="宋体"/>
      <w:sz w:val="18"/>
      <w:szCs w:val="18"/>
    </w:rPr>
  </w:style>
  <w:style w:type="paragraph" w:customStyle="1" w:styleId="116">
    <w:name w:val="彩色列表 - 强调文字颜色 11"/>
    <w:basedOn w:val="1"/>
    <w:qFormat/>
    <w:uiPriority w:val="99"/>
    <w:pPr>
      <w:widowControl w:val="0"/>
      <w:ind w:firstLine="420" w:firstLineChars="200"/>
      <w:jc w:val="both"/>
    </w:pPr>
    <w:rPr>
      <w:kern w:val="2"/>
      <w:sz w:val="21"/>
      <w:szCs w:val="21"/>
    </w:rPr>
  </w:style>
  <w:style w:type="paragraph" w:customStyle="1" w:styleId="117">
    <w:name w:val="xl18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sz w:val="22"/>
      <w:szCs w:val="22"/>
    </w:rPr>
  </w:style>
  <w:style w:type="paragraph" w:customStyle="1" w:styleId="118">
    <w:name w:val="xl19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rPr>
  </w:style>
  <w:style w:type="paragraph" w:customStyle="1" w:styleId="119">
    <w:name w:val="xl6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rPr>
  </w:style>
  <w:style w:type="paragraph" w:customStyle="1" w:styleId="120">
    <w:name w:val="xl211"/>
    <w:basedOn w:val="1"/>
    <w:qFormat/>
    <w:uiPriority w:val="99"/>
    <w:pPr>
      <w:pBdr>
        <w:top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sz w:val="18"/>
      <w:szCs w:val="18"/>
    </w:rPr>
  </w:style>
  <w:style w:type="paragraph" w:customStyle="1" w:styleId="121">
    <w:name w:val="列出段落11"/>
    <w:basedOn w:val="1"/>
    <w:qFormat/>
    <w:uiPriority w:val="99"/>
    <w:pPr>
      <w:widowControl w:val="0"/>
      <w:adjustRightInd w:val="0"/>
      <w:ind w:firstLine="420" w:firstLineChars="200"/>
      <w:jc w:val="both"/>
    </w:pPr>
    <w:rPr>
      <w:rFonts w:eastAsia="仿宋_GB2312"/>
      <w:sz w:val="28"/>
      <w:szCs w:val="28"/>
    </w:rPr>
  </w:style>
  <w:style w:type="paragraph" w:customStyle="1" w:styleId="122">
    <w:name w:val="xl19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sz w:val="18"/>
      <w:szCs w:val="18"/>
    </w:rPr>
  </w:style>
  <w:style w:type="paragraph" w:customStyle="1" w:styleId="123">
    <w:name w:val="xl210"/>
    <w:basedOn w:val="1"/>
    <w:qFormat/>
    <w:uiPriority w:val="99"/>
    <w:pPr>
      <w:pBdr>
        <w:top w:val="single" w:color="auto" w:sz="4" w:space="0"/>
        <w:bottom w:val="single" w:color="auto" w:sz="4" w:space="0"/>
      </w:pBdr>
      <w:spacing w:before="100" w:beforeAutospacing="1" w:after="100" w:afterAutospacing="1"/>
      <w:textAlignment w:val="center"/>
    </w:pPr>
    <w:rPr>
      <w:rFonts w:ascii="宋体" w:hAnsi="宋体" w:cs="宋体"/>
      <w:color w:val="000000"/>
      <w:sz w:val="18"/>
      <w:szCs w:val="18"/>
    </w:rPr>
  </w:style>
  <w:style w:type="paragraph" w:customStyle="1" w:styleId="124">
    <w:name w:val="xl206"/>
    <w:basedOn w:val="1"/>
    <w:qFormat/>
    <w:uiPriority w:val="99"/>
    <w:pPr>
      <w:pBdr>
        <w:top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sz w:val="22"/>
      <w:szCs w:val="22"/>
    </w:rPr>
  </w:style>
  <w:style w:type="paragraph" w:customStyle="1" w:styleId="125">
    <w:name w:val="xl20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2"/>
      <w:szCs w:val="22"/>
    </w:rPr>
  </w:style>
  <w:style w:type="paragraph" w:customStyle="1" w:styleId="126">
    <w:name w:val="6'"/>
    <w:basedOn w:val="1"/>
    <w:qFormat/>
    <w:uiPriority w:val="99"/>
    <w:pPr>
      <w:widowControl w:val="0"/>
      <w:autoSpaceDE w:val="0"/>
      <w:autoSpaceDN w:val="0"/>
      <w:adjustRightInd w:val="0"/>
      <w:snapToGrid w:val="0"/>
      <w:spacing w:line="320" w:lineRule="exact"/>
      <w:jc w:val="center"/>
      <w:textAlignment w:val="baseline"/>
    </w:pPr>
    <w:rPr>
      <w:spacing w:val="20"/>
      <w:kern w:val="28"/>
      <w:sz w:val="21"/>
      <w:szCs w:val="21"/>
    </w:rPr>
  </w:style>
  <w:style w:type="paragraph" w:customStyle="1" w:styleId="127">
    <w:name w:val="font6"/>
    <w:basedOn w:val="1"/>
    <w:qFormat/>
    <w:uiPriority w:val="99"/>
    <w:pPr>
      <w:spacing w:before="100" w:beforeAutospacing="1" w:after="100" w:afterAutospacing="1"/>
    </w:pPr>
    <w:rPr>
      <w:rFonts w:ascii="宋体" w:hAnsi="宋体" w:cs="宋体"/>
      <w:color w:val="000000"/>
      <w:sz w:val="18"/>
      <w:szCs w:val="18"/>
    </w:rPr>
  </w:style>
  <w:style w:type="paragraph" w:customStyle="1" w:styleId="128">
    <w:name w:val="xl20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sz w:val="18"/>
      <w:szCs w:val="18"/>
    </w:rPr>
  </w:style>
  <w:style w:type="paragraph" w:customStyle="1" w:styleId="129">
    <w:name w:val="xl19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30">
    <w:name w:val="xl175"/>
    <w:basedOn w:val="1"/>
    <w:qFormat/>
    <w:uiPriority w:val="99"/>
    <w:pPr>
      <w:spacing w:before="100" w:beforeAutospacing="1" w:after="100" w:afterAutospacing="1"/>
      <w:jc w:val="center"/>
      <w:textAlignment w:val="center"/>
    </w:pPr>
    <w:rPr>
      <w:rFonts w:ascii="宋体" w:hAnsi="宋体" w:cs="宋体"/>
      <w:sz w:val="24"/>
      <w:szCs w:val="24"/>
    </w:rPr>
  </w:style>
  <w:style w:type="paragraph" w:customStyle="1" w:styleId="131">
    <w:name w:val="+正文 Char Char"/>
    <w:basedOn w:val="1"/>
    <w:qFormat/>
    <w:uiPriority w:val="99"/>
    <w:pPr>
      <w:widowControl w:val="0"/>
      <w:spacing w:line="360" w:lineRule="auto"/>
      <w:ind w:firstLine="200" w:firstLineChars="200"/>
      <w:jc w:val="both"/>
    </w:pPr>
    <w:rPr>
      <w:rFonts w:ascii="楷体_GB2312" w:cs="楷体_GB2312"/>
      <w:kern w:val="2"/>
      <w:sz w:val="24"/>
      <w:szCs w:val="24"/>
    </w:rPr>
  </w:style>
  <w:style w:type="paragraph" w:customStyle="1" w:styleId="132">
    <w:name w:val="font11"/>
    <w:basedOn w:val="1"/>
    <w:qFormat/>
    <w:uiPriority w:val="99"/>
    <w:pPr>
      <w:spacing w:before="100" w:beforeAutospacing="1" w:after="100" w:afterAutospacing="1"/>
    </w:pPr>
    <w:rPr>
      <w:rFonts w:ascii="宋体" w:hAnsi="宋体" w:cs="宋体"/>
      <w:b/>
      <w:bCs/>
      <w:color w:val="000000"/>
      <w:sz w:val="18"/>
      <w:szCs w:val="18"/>
    </w:rPr>
  </w:style>
  <w:style w:type="paragraph" w:customStyle="1" w:styleId="133">
    <w:name w:val="Char Char Char Char1 Char Char Char1"/>
    <w:basedOn w:val="1"/>
    <w:qFormat/>
    <w:uiPriority w:val="99"/>
    <w:pPr>
      <w:widowControl w:val="0"/>
      <w:spacing w:line="240" w:lineRule="atLeast"/>
      <w:ind w:left="420" w:firstLine="420"/>
      <w:jc w:val="both"/>
    </w:pPr>
    <w:rPr>
      <w:sz w:val="21"/>
      <w:szCs w:val="21"/>
    </w:rPr>
  </w:style>
  <w:style w:type="paragraph" w:customStyle="1" w:styleId="134">
    <w:name w:val="Char"/>
    <w:basedOn w:val="1"/>
    <w:qFormat/>
    <w:uiPriority w:val="99"/>
    <w:pPr>
      <w:widowControl w:val="0"/>
      <w:spacing w:line="240" w:lineRule="atLeast"/>
      <w:ind w:left="420" w:firstLine="420"/>
      <w:jc w:val="both"/>
    </w:pPr>
    <w:rPr>
      <w:sz w:val="21"/>
      <w:szCs w:val="21"/>
    </w:rPr>
  </w:style>
  <w:style w:type="paragraph" w:customStyle="1" w:styleId="135">
    <w:name w:val="Normal_0"/>
    <w:qFormat/>
    <w:uiPriority w:val="0"/>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136">
    <w:name w:val="节标题"/>
    <w:basedOn w:val="1"/>
    <w:qFormat/>
    <w:uiPriority w:val="99"/>
    <w:pPr>
      <w:spacing w:line="289" w:lineRule="atLeast"/>
      <w:jc w:val="center"/>
      <w:textAlignment w:val="baseline"/>
    </w:pPr>
    <w:rPr>
      <w:color w:val="000000"/>
      <w:sz w:val="28"/>
      <w:szCs w:val="28"/>
    </w:rPr>
  </w:style>
  <w:style w:type="paragraph" w:customStyle="1" w:styleId="137">
    <w:name w:val="xl18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rPr>
  </w:style>
  <w:style w:type="paragraph" w:customStyle="1" w:styleId="138">
    <w:name w:val="font7"/>
    <w:basedOn w:val="1"/>
    <w:qFormat/>
    <w:uiPriority w:val="99"/>
    <w:pPr>
      <w:spacing w:before="100" w:beforeAutospacing="1" w:after="100" w:afterAutospacing="1"/>
    </w:pPr>
    <w:rPr>
      <w:rFonts w:ascii="宋体" w:hAnsi="宋体" w:cs="宋体"/>
      <w:sz w:val="18"/>
      <w:szCs w:val="18"/>
    </w:rPr>
  </w:style>
  <w:style w:type="paragraph" w:customStyle="1" w:styleId="139">
    <w:name w:val="xl209"/>
    <w:basedOn w:val="1"/>
    <w:qFormat/>
    <w:uiPriority w:val="99"/>
    <w:pPr>
      <w:pBdr>
        <w:top w:val="single" w:color="auto" w:sz="4" w:space="0"/>
        <w:left w:val="single" w:color="auto" w:sz="4" w:space="0"/>
        <w:bottom w:val="single" w:color="auto" w:sz="4" w:space="0"/>
      </w:pBdr>
      <w:spacing w:before="100" w:beforeAutospacing="1" w:after="100" w:afterAutospacing="1"/>
      <w:textAlignment w:val="center"/>
    </w:pPr>
    <w:rPr>
      <w:rFonts w:ascii="宋体" w:hAnsi="宋体" w:cs="宋体"/>
      <w:color w:val="000000"/>
      <w:sz w:val="18"/>
      <w:szCs w:val="18"/>
    </w:rPr>
  </w:style>
  <w:style w:type="paragraph" w:customStyle="1" w:styleId="140">
    <w:name w:val="xl19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rPr>
  </w:style>
  <w:style w:type="paragraph" w:customStyle="1" w:styleId="141">
    <w:name w:val="xl177"/>
    <w:basedOn w:val="1"/>
    <w:qFormat/>
    <w:uiPriority w:val="99"/>
    <w:pPr>
      <w:spacing w:before="100" w:beforeAutospacing="1" w:after="100" w:afterAutospacing="1"/>
      <w:jc w:val="center"/>
      <w:textAlignment w:val="center"/>
    </w:pPr>
    <w:rPr>
      <w:rFonts w:ascii="宋体" w:hAnsi="宋体" w:cs="宋体"/>
      <w:b/>
      <w:bCs/>
      <w:sz w:val="24"/>
      <w:szCs w:val="24"/>
    </w:rPr>
  </w:style>
  <w:style w:type="paragraph" w:customStyle="1" w:styleId="142">
    <w:name w:val="xl19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rPr>
  </w:style>
  <w:style w:type="paragraph" w:customStyle="1" w:styleId="143">
    <w:name w:val="xl21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144">
    <w:name w:val="font8"/>
    <w:basedOn w:val="1"/>
    <w:qFormat/>
    <w:uiPriority w:val="99"/>
    <w:pPr>
      <w:spacing w:before="100" w:beforeAutospacing="1" w:after="100" w:afterAutospacing="1"/>
    </w:pPr>
    <w:rPr>
      <w:b/>
      <w:bCs/>
      <w:color w:val="000000"/>
      <w:sz w:val="24"/>
      <w:szCs w:val="24"/>
    </w:rPr>
  </w:style>
  <w:style w:type="paragraph" w:customStyle="1" w:styleId="145">
    <w:name w:val="xl21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rPr>
  </w:style>
  <w:style w:type="paragraph" w:customStyle="1" w:styleId="146">
    <w:name w:val="xl19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rPr>
  </w:style>
  <w:style w:type="paragraph" w:customStyle="1" w:styleId="147">
    <w:name w:val="p0"/>
    <w:basedOn w:val="1"/>
    <w:qFormat/>
    <w:uiPriority w:val="99"/>
    <w:rPr>
      <w:rFonts w:ascii="宋体" w:hAnsi="宋体" w:cs="宋体"/>
      <w:sz w:val="24"/>
      <w:szCs w:val="24"/>
    </w:rPr>
  </w:style>
  <w:style w:type="paragraph" w:customStyle="1" w:styleId="148">
    <w:name w:val="xl18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rPr>
  </w:style>
  <w:style w:type="paragraph" w:customStyle="1" w:styleId="149">
    <w:name w:val="默认段落字体 Para Char"/>
    <w:basedOn w:val="1"/>
    <w:qFormat/>
    <w:uiPriority w:val="99"/>
    <w:pPr>
      <w:widowControl w:val="0"/>
      <w:jc w:val="both"/>
    </w:pPr>
    <w:rPr>
      <w:kern w:val="2"/>
      <w:sz w:val="21"/>
      <w:szCs w:val="21"/>
    </w:rPr>
  </w:style>
  <w:style w:type="paragraph" w:customStyle="1" w:styleId="150">
    <w:name w:val="纯文本1"/>
    <w:basedOn w:val="1"/>
    <w:qFormat/>
    <w:uiPriority w:val="99"/>
    <w:pPr>
      <w:spacing w:after="200" w:line="276" w:lineRule="auto"/>
    </w:pPr>
    <w:rPr>
      <w:rFonts w:ascii="宋体" w:hAnsi="Courier New" w:cs="宋体"/>
      <w:sz w:val="22"/>
      <w:szCs w:val="22"/>
      <w:lang w:eastAsia="en-US"/>
    </w:rPr>
  </w:style>
  <w:style w:type="paragraph" w:customStyle="1" w:styleId="151">
    <w:name w:val="Char Char Char Char Char Char Char Char Char Char Char Char Char Char Char Char Char Char Char Char Char Char"/>
    <w:basedOn w:val="1"/>
    <w:qFormat/>
    <w:uiPriority w:val="99"/>
    <w:pPr>
      <w:spacing w:after="160" w:line="240" w:lineRule="exact"/>
    </w:pPr>
    <w:rPr>
      <w:rFonts w:ascii="Verdana" w:hAnsi="Verdana" w:eastAsia="仿宋_GB2312" w:cs="Verdana"/>
      <w:sz w:val="24"/>
      <w:szCs w:val="24"/>
      <w:lang w:eastAsia="en-US"/>
    </w:rPr>
  </w:style>
  <w:style w:type="paragraph" w:customStyle="1" w:styleId="152">
    <w:name w:val="xl18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rPr>
  </w:style>
  <w:style w:type="paragraph" w:customStyle="1" w:styleId="153">
    <w:name w:val="列出段落1"/>
    <w:basedOn w:val="1"/>
    <w:qFormat/>
    <w:uiPriority w:val="99"/>
    <w:pPr>
      <w:widowControl w:val="0"/>
      <w:ind w:firstLine="420" w:firstLineChars="200"/>
      <w:jc w:val="both"/>
    </w:pPr>
    <w:rPr>
      <w:kern w:val="2"/>
      <w:sz w:val="21"/>
      <w:szCs w:val="21"/>
    </w:rPr>
  </w:style>
  <w:style w:type="paragraph" w:customStyle="1" w:styleId="154">
    <w:name w:val="xl19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55">
    <w:name w:val="xl18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sz w:val="24"/>
      <w:szCs w:val="24"/>
    </w:rPr>
  </w:style>
  <w:style w:type="paragraph" w:customStyle="1" w:styleId="156">
    <w:name w:val="xl207"/>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sz w:val="22"/>
      <w:szCs w:val="22"/>
    </w:rPr>
  </w:style>
  <w:style w:type="paragraph" w:customStyle="1" w:styleId="157">
    <w:name w:val="xl19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158">
    <w:name w:val="xl73"/>
    <w:basedOn w:val="1"/>
    <w:qFormat/>
    <w:uiPriority w:val="99"/>
    <w:pPr>
      <w:spacing w:before="100" w:beforeAutospacing="1" w:after="100" w:afterAutospacing="1"/>
      <w:jc w:val="center"/>
    </w:pPr>
    <w:rPr>
      <w:rFonts w:ascii="宋体" w:hAnsi="宋体" w:cs="宋体"/>
    </w:rPr>
  </w:style>
  <w:style w:type="paragraph" w:customStyle="1" w:styleId="159">
    <w:name w:val="xl178"/>
    <w:basedOn w:val="1"/>
    <w:qFormat/>
    <w:uiPriority w:val="99"/>
    <w:pPr>
      <w:spacing w:before="100" w:beforeAutospacing="1" w:after="100" w:afterAutospacing="1"/>
      <w:jc w:val="center"/>
      <w:textAlignment w:val="center"/>
    </w:pPr>
    <w:rPr>
      <w:rFonts w:ascii="宋体" w:hAnsi="宋体" w:cs="宋体"/>
      <w:sz w:val="24"/>
      <w:szCs w:val="24"/>
    </w:rPr>
  </w:style>
  <w:style w:type="paragraph" w:customStyle="1" w:styleId="160">
    <w:name w:val="xl204"/>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sz w:val="24"/>
      <w:szCs w:val="24"/>
    </w:rPr>
  </w:style>
  <w:style w:type="paragraph" w:customStyle="1" w:styleId="161">
    <w:name w:val="目录1"/>
    <w:basedOn w:val="1"/>
    <w:qFormat/>
    <w:uiPriority w:val="99"/>
    <w:pPr>
      <w:widowControl w:val="0"/>
      <w:adjustRightInd w:val="0"/>
      <w:spacing w:line="420" w:lineRule="atLeast"/>
      <w:jc w:val="both"/>
      <w:textAlignment w:val="baseline"/>
    </w:pPr>
    <w:rPr>
      <w:rFonts w:eastAsia="黑体"/>
      <w:b/>
      <w:bCs/>
      <w:sz w:val="21"/>
      <w:szCs w:val="21"/>
    </w:rPr>
  </w:style>
  <w:style w:type="paragraph" w:customStyle="1" w:styleId="162">
    <w:name w:val="+正文 Char Char3 Char"/>
    <w:basedOn w:val="1"/>
    <w:qFormat/>
    <w:uiPriority w:val="99"/>
    <w:pPr>
      <w:widowControl w:val="0"/>
      <w:spacing w:line="360" w:lineRule="auto"/>
      <w:ind w:firstLine="200" w:firstLineChars="200"/>
      <w:jc w:val="both"/>
    </w:pPr>
    <w:rPr>
      <w:kern w:val="2"/>
      <w:sz w:val="24"/>
      <w:szCs w:val="24"/>
    </w:rPr>
  </w:style>
  <w:style w:type="paragraph" w:customStyle="1" w:styleId="163">
    <w:name w:val="修订1"/>
    <w:qFormat/>
    <w:uiPriority w:val="99"/>
    <w:rPr>
      <w:rFonts w:ascii="Times New Roman" w:hAnsi="Times New Roman" w:eastAsia="宋体" w:cs="Times New Roman"/>
      <w:lang w:val="en-US" w:eastAsia="zh-CN" w:bidi="ar-SA"/>
    </w:rPr>
  </w:style>
  <w:style w:type="paragraph" w:customStyle="1" w:styleId="164">
    <w:name w:val="列出段落2"/>
    <w:basedOn w:val="1"/>
    <w:qFormat/>
    <w:uiPriority w:val="99"/>
    <w:pPr>
      <w:ind w:firstLine="420" w:firstLineChars="200"/>
    </w:pPr>
  </w:style>
  <w:style w:type="character" w:customStyle="1" w:styleId="165">
    <w:name w:val="页码1"/>
    <w:qFormat/>
    <w:uiPriority w:val="99"/>
  </w:style>
  <w:style w:type="character" w:customStyle="1" w:styleId="166">
    <w:name w:val="+正文 Char Char3 Char Char"/>
    <w:qFormat/>
    <w:uiPriority w:val="99"/>
    <w:rPr>
      <w:rFonts w:eastAsia="宋体"/>
      <w:kern w:val="2"/>
      <w:sz w:val="24"/>
      <w:szCs w:val="24"/>
      <w:lang w:val="en-US" w:eastAsia="zh-CN"/>
    </w:rPr>
  </w:style>
  <w:style w:type="character" w:customStyle="1" w:styleId="167">
    <w:name w:val="+正文 Char"/>
    <w:qFormat/>
    <w:uiPriority w:val="99"/>
    <w:rPr>
      <w:rFonts w:eastAsia="宋体"/>
      <w:kern w:val="2"/>
      <w:sz w:val="28"/>
      <w:szCs w:val="28"/>
      <w:lang w:val="en-US" w:eastAsia="zh-CN"/>
    </w:rPr>
  </w:style>
  <w:style w:type="character" w:customStyle="1" w:styleId="168">
    <w:name w:val="文档结构图 Char1"/>
    <w:semiHidden/>
    <w:qFormat/>
    <w:uiPriority w:val="99"/>
    <w:rPr>
      <w:rFonts w:ascii="宋体" w:hAnsi="宋体" w:eastAsia="宋体" w:cs="宋体"/>
      <w:sz w:val="18"/>
      <w:szCs w:val="18"/>
    </w:rPr>
  </w:style>
  <w:style w:type="character" w:customStyle="1" w:styleId="169">
    <w:name w:val="+正文 Char Char4"/>
    <w:qFormat/>
    <w:uiPriority w:val="99"/>
    <w:rPr>
      <w:rFonts w:eastAsia="宋体"/>
      <w:kern w:val="2"/>
      <w:sz w:val="24"/>
      <w:szCs w:val="24"/>
      <w:lang w:val="en-US" w:eastAsia="zh-CN"/>
    </w:rPr>
  </w:style>
  <w:style w:type="character" w:customStyle="1" w:styleId="170">
    <w:name w:val="Char Char1"/>
    <w:qFormat/>
    <w:uiPriority w:val="99"/>
    <w:rPr>
      <w:rFonts w:eastAsia="宋体"/>
      <w:sz w:val="18"/>
      <w:szCs w:val="18"/>
      <w:lang w:val="en-US" w:eastAsia="zh-CN"/>
    </w:rPr>
  </w:style>
  <w:style w:type="character" w:customStyle="1" w:styleId="171">
    <w:name w:val="Char Char11"/>
    <w:qFormat/>
    <w:uiPriority w:val="99"/>
    <w:rPr>
      <w:rFonts w:ascii="宋体" w:hAnsi="宋体" w:eastAsia="宋体" w:cs="宋体"/>
      <w:sz w:val="18"/>
      <w:szCs w:val="18"/>
      <w:lang w:val="en-US" w:eastAsia="zh-CN"/>
    </w:rPr>
  </w:style>
  <w:style w:type="character" w:customStyle="1" w:styleId="172">
    <w:name w:val="font41"/>
    <w:qFormat/>
    <w:uiPriority w:val="0"/>
    <w:rPr>
      <w:rFonts w:ascii="宋体" w:hAnsi="宋体" w:eastAsia="宋体" w:cs="宋体"/>
      <w:b/>
      <w:bCs/>
      <w:color w:val="000000"/>
      <w:sz w:val="20"/>
      <w:szCs w:val="20"/>
      <w:u w:val="none"/>
    </w:rPr>
  </w:style>
  <w:style w:type="character" w:customStyle="1" w:styleId="173">
    <w:name w:val="Char Char3"/>
    <w:qFormat/>
    <w:uiPriority w:val="99"/>
    <w:rPr>
      <w:rFonts w:eastAsia="宋体"/>
      <w:sz w:val="18"/>
      <w:szCs w:val="18"/>
      <w:lang w:val="en-US" w:eastAsia="zh-CN"/>
    </w:rPr>
  </w:style>
  <w:style w:type="character" w:customStyle="1" w:styleId="174">
    <w:name w:val="纯文本 Char1"/>
    <w:semiHidden/>
    <w:qFormat/>
    <w:uiPriority w:val="0"/>
    <w:rPr>
      <w:rFonts w:ascii="宋体" w:hAnsi="Courier New" w:cs="宋体"/>
      <w:sz w:val="21"/>
      <w:szCs w:val="21"/>
    </w:rPr>
  </w:style>
  <w:style w:type="character" w:customStyle="1" w:styleId="175">
    <w:name w:val="Char Char21"/>
    <w:qFormat/>
    <w:uiPriority w:val="99"/>
    <w:rPr>
      <w:rFonts w:ascii="宋体" w:hAnsi="宋体" w:eastAsia="宋体" w:cs="宋体"/>
      <w:lang w:val="en-US" w:eastAsia="zh-CN"/>
    </w:rPr>
  </w:style>
  <w:style w:type="character" w:customStyle="1" w:styleId="176">
    <w:name w:val="Char Char2"/>
    <w:qFormat/>
    <w:uiPriority w:val="99"/>
    <w:rPr>
      <w:rFonts w:eastAsia="宋体"/>
      <w:lang w:val="en-US" w:eastAsia="zh-CN"/>
    </w:rPr>
  </w:style>
  <w:style w:type="character" w:customStyle="1" w:styleId="177">
    <w:name w:val="font31"/>
    <w:qFormat/>
    <w:uiPriority w:val="0"/>
    <w:rPr>
      <w:rFonts w:ascii="Times New Roman" w:hAnsi="Times New Roman" w:cs="Times New Roman"/>
      <w:b/>
      <w:bCs/>
      <w:color w:val="000000"/>
      <w:sz w:val="20"/>
      <w:szCs w:val="20"/>
      <w:u w:val="none"/>
    </w:rPr>
  </w:style>
  <w:style w:type="character" w:customStyle="1" w:styleId="178">
    <w:name w:val="标题 2 Char1"/>
    <w:semiHidden/>
    <w:qFormat/>
    <w:uiPriority w:val="99"/>
    <w:rPr>
      <w:rFonts w:ascii="Cambria" w:hAnsi="Cambria" w:eastAsia="宋体" w:cs="Cambria"/>
      <w:b/>
      <w:bCs/>
      <w:sz w:val="32"/>
      <w:szCs w:val="32"/>
    </w:rPr>
  </w:style>
  <w:style w:type="character" w:customStyle="1" w:styleId="179">
    <w:name w:val="Char Char31"/>
    <w:qFormat/>
    <w:uiPriority w:val="99"/>
    <w:rPr>
      <w:rFonts w:ascii="宋体" w:hAnsi="宋体" w:eastAsia="宋体" w:cs="宋体"/>
      <w:sz w:val="18"/>
      <w:szCs w:val="18"/>
      <w:lang w:val="en-US" w:eastAsia="zh-CN"/>
    </w:rPr>
  </w:style>
  <w:style w:type="character" w:customStyle="1" w:styleId="180">
    <w:name w:val="+正文 Char Char Char"/>
    <w:qFormat/>
    <w:uiPriority w:val="99"/>
    <w:rPr>
      <w:rFonts w:ascii="楷体_GB2312" w:eastAsia="宋体" w:cs="楷体_GB2312"/>
      <w:kern w:val="2"/>
      <w:sz w:val="24"/>
      <w:szCs w:val="24"/>
      <w:lang w:val="en-US" w:eastAsia="zh-CN"/>
    </w:rPr>
  </w:style>
  <w:style w:type="paragraph" w:customStyle="1" w:styleId="181">
    <w:name w:val="Char1_0"/>
    <w:basedOn w:val="13"/>
    <w:qFormat/>
    <w:uiPriority w:val="0"/>
    <w:pPr>
      <w:widowControl w:val="0"/>
      <w:shd w:val="clear" w:color="auto" w:fill="000080"/>
      <w:jc w:val="both"/>
    </w:pPr>
    <w:rPr>
      <w:rFonts w:ascii="Times New Roman"/>
      <w:kern w:val="2"/>
      <w:sz w:val="21"/>
      <w:szCs w:val="20"/>
    </w:rPr>
  </w:style>
  <w:style w:type="paragraph" w:customStyle="1" w:styleId="182">
    <w:name w:val="Char Char Char Char Char Char Char Char Char Char Char Char Char Char Char Char Char Char Char Char Char Char Char Char Char Char Char Char Char Char Char Char Char Char"/>
    <w:basedOn w:val="1"/>
    <w:qFormat/>
    <w:uiPriority w:val="0"/>
    <w:pPr>
      <w:widowControl w:val="0"/>
      <w:jc w:val="both"/>
    </w:pPr>
    <w:rPr>
      <w:kern w:val="2"/>
      <w:sz w:val="21"/>
      <w:szCs w:val="24"/>
    </w:rPr>
  </w:style>
  <w:style w:type="paragraph" w:customStyle="1" w:styleId="183">
    <w:name w:val="列表段落1"/>
    <w:basedOn w:val="1"/>
    <w:qFormat/>
    <w:uiPriority w:val="0"/>
    <w:pPr>
      <w:widowControl w:val="0"/>
      <w:ind w:firstLine="420" w:firstLineChars="200"/>
      <w:jc w:val="both"/>
    </w:pPr>
    <w:rPr>
      <w:rFonts w:ascii="Calibri" w:hAnsi="Calibri"/>
      <w:kern w:val="2"/>
      <w:sz w:val="21"/>
      <w:szCs w:val="22"/>
    </w:rPr>
  </w:style>
  <w:style w:type="paragraph" w:customStyle="1" w:styleId="184">
    <w:name w:val="Content"/>
    <w:basedOn w:val="16"/>
    <w:qFormat/>
    <w:uiPriority w:val="0"/>
    <w:pPr>
      <w:widowControl w:val="0"/>
      <w:spacing w:after="0" w:line="360" w:lineRule="auto"/>
      <w:ind w:firstLine="480"/>
      <w:jc w:val="both"/>
    </w:pPr>
    <w:rPr>
      <w:rFonts w:eastAsia="全真簡粗明"/>
      <w:snapToGrid w:val="0"/>
      <w:sz w:val="24"/>
      <w:lang w:eastAsia="zh-TW"/>
    </w:rPr>
  </w:style>
  <w:style w:type="character" w:customStyle="1" w:styleId="185">
    <w:name w:val="标题 3 Char"/>
    <w:qFormat/>
    <w:locked/>
    <w:uiPriority w:val="0"/>
    <w:rPr>
      <w:b/>
      <w:bCs/>
      <w:sz w:val="32"/>
      <w:szCs w:val="32"/>
    </w:rPr>
  </w:style>
  <w:style w:type="character" w:customStyle="1" w:styleId="186">
    <w:name w:val="纯文本 Char"/>
    <w:qFormat/>
    <w:uiPriority w:val="0"/>
    <w:rPr>
      <w:rFonts w:ascii="宋体" w:hAnsi="Courier New" w:eastAsia="宋体" w:cs="Courier New"/>
      <w:kern w:val="2"/>
      <w:sz w:val="21"/>
      <w:szCs w:val="21"/>
      <w:lang w:val="en-US" w:eastAsia="zh-CN" w:bidi="ar-SA"/>
    </w:rPr>
  </w:style>
  <w:style w:type="paragraph" w:customStyle="1" w:styleId="187">
    <w:name w:val="Style 1"/>
    <w:basedOn w:val="1"/>
    <w:qFormat/>
    <w:uiPriority w:val="99"/>
    <w:pPr>
      <w:autoSpaceDE w:val="0"/>
      <w:autoSpaceDN w:val="0"/>
      <w:adjustRightInd w:val="0"/>
    </w:pPr>
  </w:style>
  <w:style w:type="character" w:customStyle="1" w:styleId="188">
    <w:name w:val="纯文本 字符1"/>
    <w:qFormat/>
    <w:uiPriority w:val="0"/>
    <w:rPr>
      <w:rFonts w:ascii="宋体"/>
      <w:kern w:val="2"/>
      <w:sz w:val="21"/>
    </w:rPr>
  </w:style>
  <w:style w:type="character" w:customStyle="1" w:styleId="189">
    <w:name w:val="fontstyle01"/>
    <w:qFormat/>
    <w:uiPriority w:val="0"/>
    <w:rPr>
      <w:rFonts w:hint="eastAsia" w:ascii="宋体" w:hAnsi="宋体" w:eastAsia="宋体"/>
      <w:color w:val="000000"/>
      <w:sz w:val="24"/>
      <w:szCs w:val="24"/>
    </w:rPr>
  </w:style>
  <w:style w:type="paragraph" w:customStyle="1" w:styleId="190">
    <w:name w:val="样式 标题 2 + Times New Roman 四号 非加粗 段前: 5 磅 段后: 0 磅 行距: 固定值 20..."/>
    <w:basedOn w:val="3"/>
    <w:qFormat/>
    <w:uiPriority w:val="0"/>
    <w:pPr>
      <w:keepLines w:val="0"/>
      <w:spacing w:before="100" w:after="0" w:line="400" w:lineRule="exact"/>
    </w:pPr>
    <w:rPr>
      <w:rFonts w:ascii="Times New Roman" w:hAnsi="Times New Roman" w:cs="宋体"/>
      <w:b w:val="0"/>
      <w:i/>
      <w:iCs/>
      <w:sz w:val="28"/>
      <w:szCs w:val="28"/>
    </w:rPr>
  </w:style>
  <w:style w:type="paragraph" w:customStyle="1" w:styleId="191">
    <w:name w:val="样式 标题 1 + 小四"/>
    <w:basedOn w:val="2"/>
    <w:qFormat/>
    <w:uiPriority w:val="0"/>
    <w:pPr>
      <w:keepLines w:val="0"/>
      <w:tabs>
        <w:tab w:val="left" w:pos="747"/>
      </w:tabs>
      <w:spacing w:before="300" w:after="200" w:line="576" w:lineRule="auto"/>
      <w:ind w:left="747" w:hanging="567"/>
      <w:outlineLvl w:val="1"/>
    </w:pPr>
    <w:rPr>
      <w:rFonts w:ascii="Cambria" w:hAnsi="Cambria"/>
      <w:kern w:val="32"/>
      <w:sz w:val="24"/>
      <w:szCs w:val="32"/>
    </w:rPr>
  </w:style>
  <w:style w:type="paragraph" w:customStyle="1" w:styleId="192">
    <w:name w:val="Default"/>
    <w:next w:val="1"/>
    <w:link w:val="193"/>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character" w:customStyle="1" w:styleId="193">
    <w:name w:val="Default Char"/>
    <w:link w:val="192"/>
    <w:qFormat/>
    <w:uiPriority w:val="0"/>
    <w:rPr>
      <w:rFonts w:ascii="宋体" w:hAnsi="Calibri"/>
      <w:color w:val="000000"/>
      <w:sz w:val="24"/>
      <w:szCs w:val="22"/>
    </w:rPr>
  </w:style>
  <w:style w:type="character" w:customStyle="1" w:styleId="194">
    <w:name w:val="标题 Char_1"/>
    <w:link w:val="195"/>
    <w:qFormat/>
    <w:uiPriority w:val="0"/>
    <w:rPr>
      <w:rFonts w:ascii="Cambria" w:hAnsi="Cambria" w:eastAsia="仿宋_GB2312" w:cs="Times New Roman"/>
      <w:b/>
      <w:bCs/>
      <w:sz w:val="44"/>
      <w:szCs w:val="32"/>
    </w:rPr>
  </w:style>
  <w:style w:type="paragraph" w:customStyle="1" w:styleId="195">
    <w:name w:val="标题1"/>
    <w:basedOn w:val="196"/>
    <w:next w:val="196"/>
    <w:link w:val="194"/>
    <w:qFormat/>
    <w:uiPriority w:val="0"/>
    <w:pPr>
      <w:spacing w:before="240" w:after="60"/>
      <w:jc w:val="center"/>
      <w:outlineLvl w:val="0"/>
    </w:pPr>
    <w:rPr>
      <w:rFonts w:ascii="Cambria" w:hAnsi="Cambria" w:eastAsia="仿宋_GB2312"/>
      <w:b/>
      <w:bCs/>
      <w:kern w:val="0"/>
      <w:sz w:val="44"/>
      <w:szCs w:val="32"/>
    </w:rPr>
  </w:style>
  <w:style w:type="paragraph" w:customStyle="1" w:styleId="196">
    <w:name w:val="正文1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97">
    <w:name w:val="标题 1 Char_0"/>
    <w:link w:val="198"/>
    <w:qFormat/>
    <w:uiPriority w:val="0"/>
    <w:rPr>
      <w:rFonts w:ascii="Times New Roman" w:hAnsi="Times New Roman" w:eastAsia="仿宋_GB2312" w:cs="Times New Roman"/>
      <w:b/>
      <w:bCs/>
      <w:kern w:val="44"/>
      <w:sz w:val="24"/>
      <w:szCs w:val="44"/>
    </w:rPr>
  </w:style>
  <w:style w:type="paragraph" w:customStyle="1" w:styleId="198">
    <w:name w:val="Heading 1_0"/>
    <w:basedOn w:val="135"/>
    <w:next w:val="135"/>
    <w:link w:val="197"/>
    <w:qFormat/>
    <w:uiPriority w:val="0"/>
    <w:pPr>
      <w:keepNext/>
      <w:keepLines/>
      <w:adjustRightInd/>
      <w:spacing w:line="390" w:lineRule="exact"/>
      <w:ind w:firstLine="200" w:firstLineChars="200"/>
      <w:textAlignment w:val="auto"/>
      <w:outlineLvl w:val="0"/>
    </w:pPr>
    <w:rPr>
      <w:rFonts w:ascii="Times New Roman" w:eastAsia="仿宋_GB2312" w:cs="Times New Roman"/>
      <w:b/>
      <w:bCs/>
      <w:kern w:val="44"/>
      <w:sz w:val="24"/>
      <w:szCs w:val="44"/>
    </w:rPr>
  </w:style>
  <w:style w:type="character" w:customStyle="1" w:styleId="199">
    <w:name w:val="标题 Char_0"/>
    <w:link w:val="200"/>
    <w:qFormat/>
    <w:uiPriority w:val="0"/>
    <w:rPr>
      <w:rFonts w:ascii="Cambria" w:hAnsi="Cambria" w:eastAsia="仿宋_GB2312"/>
      <w:b/>
      <w:bCs/>
      <w:sz w:val="44"/>
      <w:szCs w:val="32"/>
    </w:rPr>
  </w:style>
  <w:style w:type="paragraph" w:customStyle="1" w:styleId="200">
    <w:name w:val="Title_0"/>
    <w:basedOn w:val="135"/>
    <w:next w:val="135"/>
    <w:link w:val="199"/>
    <w:qFormat/>
    <w:uiPriority w:val="0"/>
    <w:pPr>
      <w:adjustRightInd/>
      <w:spacing w:before="240" w:after="60" w:line="240" w:lineRule="auto"/>
      <w:jc w:val="center"/>
      <w:textAlignment w:val="auto"/>
      <w:outlineLvl w:val="0"/>
    </w:pPr>
    <w:rPr>
      <w:rFonts w:ascii="Cambria" w:hAnsi="Cambria" w:eastAsia="仿宋_GB2312" w:cs="Times New Roman"/>
      <w:b/>
      <w:bCs/>
      <w:sz w:val="44"/>
      <w:szCs w:val="32"/>
    </w:rPr>
  </w:style>
  <w:style w:type="character" w:customStyle="1" w:styleId="201">
    <w:name w:val="tpc_title1"/>
    <w:qFormat/>
    <w:uiPriority w:val="0"/>
    <w:rPr>
      <w:b/>
      <w:bCs/>
      <w:sz w:val="24"/>
      <w:szCs w:val="24"/>
    </w:rPr>
  </w:style>
  <w:style w:type="character" w:customStyle="1" w:styleId="202">
    <w:name w:val="标题 3 Char_0"/>
    <w:link w:val="203"/>
    <w:qFormat/>
    <w:uiPriority w:val="0"/>
    <w:rPr>
      <w:rFonts w:ascii="Times New Roman" w:hAnsi="Times New Roman" w:eastAsia="仿宋_GB2312" w:cs="Times New Roman"/>
      <w:b/>
      <w:bCs/>
      <w:sz w:val="32"/>
      <w:szCs w:val="32"/>
    </w:rPr>
  </w:style>
  <w:style w:type="paragraph" w:customStyle="1" w:styleId="203">
    <w:name w:val="Heading 3_0"/>
    <w:basedOn w:val="135"/>
    <w:next w:val="135"/>
    <w:link w:val="202"/>
    <w:qFormat/>
    <w:uiPriority w:val="0"/>
    <w:pPr>
      <w:keepNext/>
      <w:keepLines/>
      <w:adjustRightInd/>
      <w:spacing w:line="240" w:lineRule="auto"/>
      <w:jc w:val="center"/>
      <w:textAlignment w:val="auto"/>
      <w:outlineLvl w:val="2"/>
    </w:pPr>
    <w:rPr>
      <w:rFonts w:ascii="Times New Roman" w:eastAsia="仿宋_GB2312" w:cs="Times New Roman"/>
      <w:b/>
      <w:bCs/>
      <w:sz w:val="32"/>
      <w:szCs w:val="32"/>
    </w:rPr>
  </w:style>
  <w:style w:type="character" w:customStyle="1" w:styleId="204">
    <w:name w:val="hover30"/>
    <w:qFormat/>
    <w:uiPriority w:val="0"/>
    <w:rPr>
      <w:color w:val="0B8ED2"/>
    </w:rPr>
  </w:style>
  <w:style w:type="character" w:customStyle="1" w:styleId="205">
    <w:name w:val="hover31"/>
    <w:qFormat/>
    <w:uiPriority w:val="0"/>
    <w:rPr>
      <w:shd w:val="clear" w:color="auto" w:fill="DDEEFF"/>
    </w:rPr>
  </w:style>
  <w:style w:type="character" w:customStyle="1" w:styleId="206">
    <w:name w:val="hover32"/>
    <w:qFormat/>
    <w:uiPriority w:val="0"/>
    <w:rPr>
      <w:color w:val="00A0EA"/>
    </w:rPr>
  </w:style>
  <w:style w:type="character" w:customStyle="1" w:styleId="207">
    <w:name w:val="hover33"/>
    <w:qFormat/>
    <w:uiPriority w:val="0"/>
    <w:rPr>
      <w:color w:val="00A0EA"/>
    </w:rPr>
  </w:style>
  <w:style w:type="character" w:customStyle="1" w:styleId="208">
    <w:name w:val="province-area"/>
    <w:qFormat/>
    <w:uiPriority w:val="0"/>
  </w:style>
  <w:style w:type="character" w:customStyle="1" w:styleId="209">
    <w:name w:val="more"/>
    <w:qFormat/>
    <w:uiPriority w:val="0"/>
  </w:style>
  <w:style w:type="character" w:customStyle="1" w:styleId="210">
    <w:name w:val="hot_recommend"/>
    <w:qFormat/>
    <w:uiPriority w:val="0"/>
  </w:style>
  <w:style w:type="character" w:customStyle="1" w:styleId="211">
    <w:name w:val="cke_path_empty2"/>
    <w:qFormat/>
    <w:uiPriority w:val="0"/>
    <w:rPr>
      <w:b/>
      <w:color w:val="484848"/>
      <w:sz w:val="16"/>
      <w:szCs w:val="16"/>
      <w:u w:val="none"/>
    </w:rPr>
  </w:style>
  <w:style w:type="character" w:customStyle="1" w:styleId="212">
    <w:name w:val="all"/>
    <w:qFormat/>
    <w:uiPriority w:val="0"/>
    <w:rPr>
      <w:color w:val="00A65A"/>
    </w:rPr>
  </w:style>
  <w:style w:type="character" w:customStyle="1" w:styleId="213">
    <w:name w:val="all1"/>
    <w:qFormat/>
    <w:uiPriority w:val="0"/>
    <w:rPr>
      <w:color w:val="00A65A"/>
    </w:rPr>
  </w:style>
  <w:style w:type="character" w:customStyle="1" w:styleId="214">
    <w:name w:val="free"/>
    <w:qFormat/>
    <w:uiPriority w:val="0"/>
    <w:rPr>
      <w:color w:val="00A65A"/>
    </w:rPr>
  </w:style>
  <w:style w:type="character" w:customStyle="1" w:styleId="215">
    <w:name w:val="free1"/>
    <w:qFormat/>
    <w:uiPriority w:val="0"/>
    <w:rPr>
      <w:color w:val="00A65A"/>
    </w:rPr>
  </w:style>
  <w:style w:type="character" w:customStyle="1" w:styleId="216">
    <w:name w:val="active7"/>
    <w:qFormat/>
    <w:uiPriority w:val="0"/>
    <w:rPr>
      <w:color w:val="00A0EA"/>
    </w:rPr>
  </w:style>
  <w:style w:type="character" w:customStyle="1" w:styleId="217">
    <w:name w:val="borders"/>
    <w:qFormat/>
    <w:uiPriority w:val="0"/>
  </w:style>
  <w:style w:type="character" w:customStyle="1" w:styleId="218">
    <w:name w:val="ruo"/>
    <w:qFormat/>
    <w:uiPriority w:val="0"/>
  </w:style>
  <w:style w:type="character" w:customStyle="1" w:styleId="219">
    <w:name w:val="zhong"/>
    <w:qFormat/>
    <w:uiPriority w:val="0"/>
  </w:style>
  <w:style w:type="character" w:customStyle="1" w:styleId="220">
    <w:name w:val="red"/>
    <w:qFormat/>
    <w:uiPriority w:val="0"/>
    <w:rPr>
      <w:color w:val="FF0000"/>
    </w:rPr>
  </w:style>
  <w:style w:type="character" w:customStyle="1" w:styleId="221">
    <w:name w:val="on"/>
    <w:qFormat/>
    <w:uiPriority w:val="0"/>
  </w:style>
  <w:style w:type="character" w:customStyle="1" w:styleId="222">
    <w:name w:val="on1"/>
    <w:qFormat/>
    <w:uiPriority w:val="0"/>
    <w:rPr>
      <w:color w:val="00A0EA"/>
    </w:rPr>
  </w:style>
  <w:style w:type="character" w:customStyle="1" w:styleId="223">
    <w:name w:val="cke_colorbox2"/>
    <w:qFormat/>
    <w:uiPriority w:val="0"/>
  </w:style>
  <w:style w:type="character" w:customStyle="1" w:styleId="224">
    <w:name w:val="cke_colorbox3"/>
    <w:qFormat/>
    <w:uiPriority w:val="0"/>
  </w:style>
  <w:style w:type="character" w:customStyle="1" w:styleId="225">
    <w:name w:val="cke_colorbox4"/>
    <w:qFormat/>
    <w:uiPriority w:val="0"/>
  </w:style>
  <w:style w:type="character" w:customStyle="1" w:styleId="226">
    <w:name w:val="cke_colorbox5"/>
    <w:qFormat/>
    <w:uiPriority w:val="0"/>
    <w:rPr>
      <w:bdr w:val="single" w:color="808080" w:sz="6" w:space="0"/>
    </w:rPr>
  </w:style>
  <w:style w:type="character" w:customStyle="1" w:styleId="227">
    <w:name w:val="cke_notification_progress"/>
    <w:qFormat/>
    <w:uiPriority w:val="0"/>
    <w:rPr>
      <w:shd w:val="clear" w:color="auto" w:fill="0F74A8"/>
    </w:rPr>
  </w:style>
  <w:style w:type="character" w:customStyle="1" w:styleId="228">
    <w:name w:val="active8"/>
    <w:qFormat/>
    <w:uiPriority w:val="0"/>
    <w:rPr>
      <w:color w:val="00A0EA"/>
    </w:rPr>
  </w:style>
  <w:style w:type="character" w:customStyle="1" w:styleId="229">
    <w:name w:val="active9"/>
    <w:qFormat/>
    <w:uiPriority w:val="0"/>
    <w:rPr>
      <w:color w:val="00A0EA"/>
    </w:rPr>
  </w:style>
  <w:style w:type="paragraph" w:customStyle="1" w:styleId="230">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1">
    <w:name w:val="Table Paragraph"/>
    <w:basedOn w:val="1"/>
    <w:qFormat/>
    <w:uiPriority w:val="0"/>
    <w:rPr>
      <w:rFonts w:ascii="Calibri" w:hAnsi="Calibri"/>
      <w:sz w:val="22"/>
      <w:szCs w:val="22"/>
      <w:lang w:eastAsia="en-US"/>
    </w:rPr>
  </w:style>
  <w:style w:type="paragraph" w:customStyle="1" w:styleId="232">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3">
    <w:name w:val="reader-word-layer"/>
    <w:basedOn w:val="1"/>
    <w:qFormat/>
    <w:uiPriority w:val="0"/>
    <w:pPr>
      <w:spacing w:before="100" w:beforeAutospacing="1" w:after="100" w:afterAutospacing="1"/>
    </w:pPr>
    <w:rPr>
      <w:rFonts w:ascii="宋体" w:hAnsi="宋体" w:cs="宋体"/>
      <w:sz w:val="24"/>
      <w:szCs w:val="24"/>
    </w:rPr>
  </w:style>
  <w:style w:type="character" w:customStyle="1" w:styleId="234">
    <w:name w:val="纯文本 Char2"/>
    <w:qFormat/>
    <w:uiPriority w:val="0"/>
    <w:rPr>
      <w:rFonts w:ascii="宋体" w:hAnsi="Courier New" w:eastAsia="宋体" w:cs="Courier New"/>
      <w:szCs w:val="21"/>
    </w:rPr>
  </w:style>
  <w:style w:type="character" w:customStyle="1" w:styleId="235">
    <w:name w:val="标题 Char1"/>
    <w:qFormat/>
    <w:uiPriority w:val="10"/>
    <w:rPr>
      <w:rFonts w:ascii="Cambria" w:hAnsi="Cambria" w:eastAsia="宋体" w:cs="Times New Roman"/>
      <w:b/>
      <w:bCs/>
      <w:sz w:val="32"/>
      <w:szCs w:val="32"/>
    </w:rPr>
  </w:style>
  <w:style w:type="paragraph" w:styleId="236">
    <w:name w:val="List Paragraph"/>
    <w:basedOn w:val="1"/>
    <w:link w:val="237"/>
    <w:qFormat/>
    <w:uiPriority w:val="34"/>
    <w:pPr>
      <w:ind w:left="720"/>
      <w:contextualSpacing/>
    </w:pPr>
    <w:rPr>
      <w:rFonts w:ascii="Calibri" w:hAnsi="Calibri"/>
      <w:sz w:val="24"/>
      <w:szCs w:val="24"/>
    </w:rPr>
  </w:style>
  <w:style w:type="character" w:customStyle="1" w:styleId="237">
    <w:name w:val="列表段落 字符"/>
    <w:link w:val="236"/>
    <w:qFormat/>
    <w:locked/>
    <w:uiPriority w:val="34"/>
    <w:rPr>
      <w:rFonts w:ascii="Calibri" w:hAnsi="Calibri" w:eastAsia="宋体"/>
      <w:sz w:val="24"/>
      <w:szCs w:val="24"/>
    </w:rPr>
  </w:style>
  <w:style w:type="character" w:customStyle="1" w:styleId="238">
    <w:name w:val="disabled8"/>
    <w:qFormat/>
    <w:uiPriority w:val="0"/>
    <w:rPr>
      <w:color w:val="CCCCCC"/>
      <w:bdr w:val="single" w:color="F3F3F3" w:sz="4" w:space="0"/>
    </w:rPr>
  </w:style>
  <w:style w:type="character" w:customStyle="1" w:styleId="239">
    <w:name w:val="disabled12"/>
    <w:qFormat/>
    <w:uiPriority w:val="0"/>
    <w:rPr>
      <w:color w:val="CCCCCC"/>
      <w:bdr w:val="single" w:color="F3F3F3" w:sz="4" w:space="0"/>
    </w:rPr>
  </w:style>
  <w:style w:type="character" w:customStyle="1" w:styleId="240">
    <w:name w:val="disabled23"/>
    <w:qFormat/>
    <w:uiPriority w:val="0"/>
    <w:rPr>
      <w:vanish/>
    </w:rPr>
  </w:style>
  <w:style w:type="character" w:customStyle="1" w:styleId="241">
    <w:name w:val="disabled19"/>
    <w:qFormat/>
    <w:uiPriority w:val="0"/>
    <w:rPr>
      <w:vanish/>
    </w:rPr>
  </w:style>
  <w:style w:type="character" w:customStyle="1" w:styleId="242">
    <w:name w:val="current8"/>
    <w:qFormat/>
    <w:uiPriority w:val="0"/>
    <w:rPr>
      <w:b/>
      <w:color w:val="AAAAAA"/>
      <w:bdr w:val="single" w:color="E0E0E0" w:sz="4" w:space="0"/>
      <w:shd w:val="clear" w:color="auto" w:fill="F0F0F0"/>
    </w:rPr>
  </w:style>
  <w:style w:type="character" w:customStyle="1" w:styleId="243">
    <w:name w:val="current13"/>
    <w:qFormat/>
    <w:uiPriority w:val="0"/>
    <w:rPr>
      <w:b/>
      <w:color w:val="303030"/>
      <w:shd w:val="clear" w:color="auto" w:fill="FFFFFF"/>
    </w:rPr>
  </w:style>
  <w:style w:type="character" w:customStyle="1" w:styleId="244">
    <w:name w:val="disabled21"/>
    <w:qFormat/>
    <w:uiPriority w:val="0"/>
    <w:rPr>
      <w:vanish/>
    </w:rPr>
  </w:style>
  <w:style w:type="character" w:customStyle="1" w:styleId="245">
    <w:name w:val="current"/>
    <w:qFormat/>
    <w:uiPriority w:val="0"/>
    <w:rPr>
      <w:b/>
      <w:color w:val="000000"/>
      <w:bdr w:val="single" w:color="FFFFFF" w:sz="12" w:space="0"/>
    </w:rPr>
  </w:style>
  <w:style w:type="character" w:customStyle="1" w:styleId="246">
    <w:name w:val="current24"/>
    <w:qFormat/>
    <w:uiPriority w:val="0"/>
    <w:rPr>
      <w:b/>
      <w:color w:val="FFFFFF"/>
      <w:bdr w:val="single" w:color="000080" w:sz="4" w:space="0"/>
      <w:shd w:val="clear" w:color="auto" w:fill="2E6AB1"/>
    </w:rPr>
  </w:style>
  <w:style w:type="character" w:customStyle="1" w:styleId="247">
    <w:name w:val="current2"/>
    <w:qFormat/>
    <w:uiPriority w:val="0"/>
    <w:rPr>
      <w:b/>
      <w:color w:val="000000"/>
    </w:rPr>
  </w:style>
  <w:style w:type="character" w:customStyle="1" w:styleId="248">
    <w:name w:val="current19"/>
    <w:qFormat/>
    <w:uiPriority w:val="0"/>
    <w:rPr>
      <w:b/>
      <w:color w:val="FFFFFF"/>
      <w:bdr w:val="single" w:color="FF5A00" w:sz="12" w:space="0"/>
      <w:shd w:val="clear" w:color="auto" w:fill="FF6C16"/>
    </w:rPr>
  </w:style>
  <w:style w:type="character" w:customStyle="1" w:styleId="249">
    <w:name w:val="disabled6"/>
    <w:qFormat/>
    <w:uiPriority w:val="0"/>
    <w:rPr>
      <w:color w:val="ADAAAD"/>
    </w:rPr>
  </w:style>
  <w:style w:type="character" w:customStyle="1" w:styleId="250">
    <w:name w:val="current4"/>
    <w:qFormat/>
    <w:uiPriority w:val="0"/>
    <w:rPr>
      <w:b/>
      <w:color w:val="555555"/>
    </w:rPr>
  </w:style>
  <w:style w:type="character" w:customStyle="1" w:styleId="251">
    <w:name w:val="disabled4"/>
    <w:qFormat/>
    <w:uiPriority w:val="0"/>
    <w:rPr>
      <w:color w:val="DDDDDD"/>
      <w:bdr w:val="single" w:color="EEEEEE" w:sz="4" w:space="0"/>
    </w:rPr>
  </w:style>
  <w:style w:type="character" w:customStyle="1" w:styleId="252">
    <w:name w:val="current10"/>
    <w:qFormat/>
    <w:uiPriority w:val="0"/>
    <w:rPr>
      <w:b/>
      <w:color w:val="FFFFFF"/>
      <w:bdr w:val="single" w:color="000000" w:sz="4" w:space="0"/>
      <w:shd w:val="clear" w:color="auto" w:fill="000000"/>
    </w:rPr>
  </w:style>
  <w:style w:type="character" w:customStyle="1" w:styleId="253">
    <w:name w:val="current9"/>
    <w:qFormat/>
    <w:uiPriority w:val="0"/>
    <w:rPr>
      <w:b/>
      <w:color w:val="FFFFFF"/>
      <w:bdr w:val="single" w:color="FFFFFF" w:sz="4" w:space="0"/>
      <w:shd w:val="clear" w:color="auto" w:fill="606060"/>
    </w:rPr>
  </w:style>
  <w:style w:type="character" w:customStyle="1" w:styleId="254">
    <w:name w:val="disabled13"/>
    <w:qFormat/>
    <w:uiPriority w:val="0"/>
    <w:rPr>
      <w:color w:val="797979"/>
      <w:shd w:val="clear" w:color="auto" w:fill="C1C1C1"/>
    </w:rPr>
  </w:style>
  <w:style w:type="character" w:customStyle="1" w:styleId="255">
    <w:name w:val="current14"/>
    <w:qFormat/>
    <w:uiPriority w:val="0"/>
    <w:rPr>
      <w:b/>
      <w:color w:val="FFFFFF"/>
      <w:bdr w:val="single" w:color="D9D300" w:sz="4" w:space="0"/>
      <w:shd w:val="clear" w:color="auto" w:fill="D9D300"/>
    </w:rPr>
  </w:style>
  <w:style w:type="character" w:customStyle="1" w:styleId="256">
    <w:name w:val="disabled1"/>
    <w:qFormat/>
    <w:uiPriority w:val="0"/>
    <w:rPr>
      <w:vanish/>
    </w:rPr>
  </w:style>
  <w:style w:type="character" w:customStyle="1" w:styleId="257">
    <w:name w:val="disabled10"/>
    <w:qFormat/>
    <w:uiPriority w:val="0"/>
    <w:rPr>
      <w:color w:val="DDDDDD"/>
      <w:bdr w:val="single" w:color="EEEEEE" w:sz="4" w:space="0"/>
    </w:rPr>
  </w:style>
  <w:style w:type="character" w:customStyle="1" w:styleId="258">
    <w:name w:val="MSG_EN_FONT_STYLE_NAME_TEMPLATE_ROLE_NUMBER MSG_EN_FONT_STYLE_NAME_BY_ROLE_TEXT 10 + MSG_EN_FONT_STYLE_MODIFER_SPACING 6"/>
    <w:qFormat/>
    <w:uiPriority w:val="0"/>
    <w:rPr>
      <w:rFonts w:ascii="PMingLiU" w:hAnsi="PMingLiU" w:eastAsia="PMingLiU" w:cs="PMingLiU"/>
      <w:color w:val="000000"/>
      <w:spacing w:val="130"/>
      <w:w w:val="100"/>
      <w:position w:val="0"/>
      <w:sz w:val="24"/>
      <w:szCs w:val="24"/>
      <w:u w:val="none"/>
      <w:shd w:val="clear" w:color="auto" w:fill="FFFFFF"/>
      <w:lang w:val="zh-CN" w:eastAsia="zh-CN" w:bidi="zh-CN"/>
    </w:rPr>
  </w:style>
  <w:style w:type="character" w:customStyle="1" w:styleId="259">
    <w:name w:val="disabled16"/>
    <w:qFormat/>
    <w:uiPriority w:val="0"/>
    <w:rPr>
      <w:color w:val="ADAAAD"/>
    </w:rPr>
  </w:style>
  <w:style w:type="character" w:customStyle="1" w:styleId="260">
    <w:name w:val="current5"/>
    <w:qFormat/>
    <w:uiPriority w:val="0"/>
    <w:rPr>
      <w:b/>
      <w:color w:val="FF6500"/>
      <w:bdr w:val="single" w:color="FF6500" w:sz="4" w:space="0"/>
      <w:shd w:val="clear" w:color="auto" w:fill="FFBE94"/>
    </w:rPr>
  </w:style>
  <w:style w:type="character" w:customStyle="1" w:styleId="261">
    <w:name w:val="current17"/>
    <w:qFormat/>
    <w:uiPriority w:val="0"/>
    <w:rPr>
      <w:color w:val="000000"/>
      <w:shd w:val="clear" w:color="auto" w:fill="FFFFFF"/>
    </w:rPr>
  </w:style>
  <w:style w:type="character" w:customStyle="1" w:styleId="262">
    <w:name w:val="current16"/>
    <w:qFormat/>
    <w:uiPriority w:val="0"/>
    <w:rPr>
      <w:b/>
      <w:color w:val="99210B"/>
    </w:rPr>
  </w:style>
  <w:style w:type="character" w:customStyle="1" w:styleId="263">
    <w:name w:val="MSG_EN_FONT_STYLE_NAME_TEMPLATE_ROLE_NUMBER MSG_EN_FONT_STYLE_NAME_BY_ROLE_TEXT 10 + MSG_EN_FONT_STYLE_MODIFER_SIZE 101"/>
    <w:qFormat/>
    <w:uiPriority w:val="0"/>
    <w:rPr>
      <w:rFonts w:ascii="PMingLiU" w:hAnsi="PMingLiU" w:eastAsia="PMingLiU" w:cs="PMingLiU"/>
      <w:color w:val="000000"/>
      <w:spacing w:val="0"/>
      <w:w w:val="100"/>
      <w:position w:val="0"/>
      <w:sz w:val="20"/>
      <w:szCs w:val="20"/>
      <w:u w:val="none"/>
      <w:shd w:val="clear" w:color="auto" w:fill="FFFFFF"/>
      <w:lang w:val="zh-CN" w:eastAsia="zh-CN" w:bidi="zh-CN"/>
    </w:rPr>
  </w:style>
  <w:style w:type="character" w:customStyle="1" w:styleId="264">
    <w:name w:val="current1"/>
    <w:qFormat/>
    <w:uiPriority w:val="0"/>
    <w:rPr>
      <w:color w:val="6D643C"/>
      <w:shd w:val="clear" w:color="auto" w:fill="F6EFCC"/>
    </w:rPr>
  </w:style>
  <w:style w:type="character" w:customStyle="1" w:styleId="265">
    <w:name w:val="current22"/>
    <w:qFormat/>
    <w:uiPriority w:val="0"/>
    <w:rPr>
      <w:b/>
      <w:color w:val="FFFFFF"/>
      <w:bdr w:val="single" w:color="000080" w:sz="4" w:space="0"/>
      <w:shd w:val="clear" w:color="auto" w:fill="2E6AB1"/>
    </w:rPr>
  </w:style>
  <w:style w:type="character" w:customStyle="1" w:styleId="266">
    <w:name w:val="current3"/>
    <w:qFormat/>
    <w:uiPriority w:val="0"/>
    <w:rPr>
      <w:color w:val="FFFFFF"/>
      <w:shd w:val="clear" w:color="auto" w:fill="488FCD"/>
    </w:rPr>
  </w:style>
  <w:style w:type="character" w:customStyle="1" w:styleId="267">
    <w:name w:val="current21"/>
    <w:qFormat/>
    <w:uiPriority w:val="0"/>
    <w:rPr>
      <w:b/>
      <w:color w:val="000000"/>
    </w:rPr>
  </w:style>
  <w:style w:type="character" w:customStyle="1" w:styleId="268">
    <w:name w:val="disabled15"/>
    <w:qFormat/>
    <w:uiPriority w:val="0"/>
    <w:rPr>
      <w:color w:val="444444"/>
      <w:shd w:val="clear" w:color="auto" w:fill="000000"/>
    </w:rPr>
  </w:style>
  <w:style w:type="character" w:customStyle="1" w:styleId="269">
    <w:name w:val="MSG_EN_FONT_STYLE_NAME_TEMPLATE_ROLE_NUMBER MSG_EN_FONT_STYLE_NAME_BY_ROLE_TEXT 10"/>
    <w:qFormat/>
    <w:uiPriority w:val="0"/>
    <w:rPr>
      <w:rFonts w:ascii="PMingLiU" w:hAnsi="PMingLiU" w:eastAsia="PMingLiU" w:cs="PMingLiU"/>
      <w:color w:val="000000"/>
      <w:spacing w:val="0"/>
      <w:w w:val="100"/>
      <w:position w:val="0"/>
      <w:sz w:val="24"/>
      <w:szCs w:val="24"/>
      <w:u w:val="none"/>
      <w:shd w:val="clear" w:color="auto" w:fill="FFFFFF"/>
      <w:lang w:val="en-US" w:eastAsia="en-US" w:bidi="en-US"/>
    </w:rPr>
  </w:style>
  <w:style w:type="character" w:customStyle="1" w:styleId="270">
    <w:name w:val="disabled14"/>
    <w:qFormat/>
    <w:uiPriority w:val="0"/>
    <w:rPr>
      <w:color w:val="DDDDDD"/>
      <w:bdr w:val="single" w:color="EEEEEE" w:sz="4" w:space="0"/>
    </w:rPr>
  </w:style>
  <w:style w:type="character" w:customStyle="1" w:styleId="271">
    <w:name w:val="disabled7"/>
    <w:qFormat/>
    <w:uiPriority w:val="0"/>
    <w:rPr>
      <w:color w:val="CCCCCC"/>
      <w:bdr w:val="single" w:color="F3F3F3" w:sz="4" w:space="0"/>
    </w:rPr>
  </w:style>
  <w:style w:type="character" w:customStyle="1" w:styleId="272">
    <w:name w:val="MSG_EN_FONT_STYLE_NAME_TEMPLATE_ROLE_NUMBER MSG_EN_FONT_STYLE_NAME_BY_ROLE_TEXT 10 + MSG_EN_FONT_STYLE_MODIFER_SIZE 8"/>
    <w:qFormat/>
    <w:uiPriority w:val="0"/>
    <w:rPr>
      <w:rFonts w:ascii="PMingLiU" w:hAnsi="PMingLiU" w:eastAsia="PMingLiU" w:cs="PMingLiU"/>
      <w:color w:val="000000"/>
      <w:spacing w:val="0"/>
      <w:w w:val="100"/>
      <w:position w:val="0"/>
      <w:sz w:val="16"/>
      <w:szCs w:val="16"/>
      <w:u w:val="none"/>
      <w:shd w:val="clear" w:color="auto" w:fill="FFFFFF"/>
      <w:lang w:val="zh-CN" w:eastAsia="zh-CN" w:bidi="zh-CN"/>
    </w:rPr>
  </w:style>
  <w:style w:type="character" w:customStyle="1" w:styleId="273">
    <w:name w:val="disabled22"/>
    <w:qFormat/>
    <w:uiPriority w:val="0"/>
    <w:rPr>
      <w:color w:val="929292"/>
      <w:bdr w:val="single" w:color="929292" w:sz="4" w:space="0"/>
    </w:rPr>
  </w:style>
  <w:style w:type="character" w:customStyle="1" w:styleId="274">
    <w:name w:val="disabled24"/>
    <w:qFormat/>
    <w:uiPriority w:val="0"/>
    <w:rPr>
      <w:color w:val="929292"/>
      <w:bdr w:val="single" w:color="929292" w:sz="4" w:space="0"/>
    </w:rPr>
  </w:style>
  <w:style w:type="character" w:customStyle="1" w:styleId="275">
    <w:name w:val="MSG_EN_FONT_STYLE_NAME_TEMPLATE_ROLE_LEVEL MSG_EN_FONT_STYLE_NAME_BY_ROLE_HEADING 7_"/>
    <w:link w:val="276"/>
    <w:qFormat/>
    <w:uiPriority w:val="0"/>
    <w:rPr>
      <w:rFonts w:ascii="PMingLiU" w:hAnsi="PMingLiU" w:eastAsia="PMingLiU" w:cs="PMingLiU"/>
      <w:sz w:val="28"/>
      <w:szCs w:val="28"/>
      <w:shd w:val="clear" w:color="auto" w:fill="FFFFFF"/>
    </w:rPr>
  </w:style>
  <w:style w:type="paragraph" w:customStyle="1" w:styleId="276">
    <w:name w:val="MSG_EN_FONT_STYLE_NAME_TEMPLATE_ROLE_LEVEL MSG_EN_FONT_STYLE_NAME_BY_ROLE_HEADING 7"/>
    <w:basedOn w:val="1"/>
    <w:link w:val="275"/>
    <w:qFormat/>
    <w:uiPriority w:val="0"/>
    <w:pPr>
      <w:shd w:val="clear" w:color="auto" w:fill="FFFFFF"/>
      <w:spacing w:before="480" w:after="740" w:line="280" w:lineRule="exact"/>
      <w:jc w:val="distribute"/>
      <w:outlineLvl w:val="6"/>
    </w:pPr>
    <w:rPr>
      <w:rFonts w:ascii="PMingLiU" w:hAnsi="PMingLiU" w:eastAsia="PMingLiU" w:cs="PMingLiU"/>
      <w:sz w:val="28"/>
      <w:szCs w:val="28"/>
    </w:rPr>
  </w:style>
  <w:style w:type="character" w:customStyle="1" w:styleId="277">
    <w:name w:val="current6"/>
    <w:qFormat/>
    <w:uiPriority w:val="0"/>
    <w:rPr>
      <w:b/>
      <w:color w:val="FF0084"/>
    </w:rPr>
  </w:style>
  <w:style w:type="character" w:customStyle="1" w:styleId="278">
    <w:name w:val="disabled18"/>
    <w:qFormat/>
    <w:uiPriority w:val="0"/>
    <w:rPr>
      <w:vanish/>
    </w:rPr>
  </w:style>
  <w:style w:type="character" w:customStyle="1" w:styleId="279">
    <w:name w:val="current11"/>
    <w:qFormat/>
    <w:uiPriority w:val="0"/>
    <w:rPr>
      <w:b/>
      <w:color w:val="FFFFFF"/>
      <w:shd w:val="clear" w:color="auto" w:fill="313131"/>
    </w:rPr>
  </w:style>
  <w:style w:type="character" w:customStyle="1" w:styleId="280">
    <w:name w:val="disabled3"/>
    <w:qFormat/>
    <w:uiPriority w:val="0"/>
    <w:rPr>
      <w:color w:val="999999"/>
      <w:shd w:val="clear" w:color="auto" w:fill="FFFFFF"/>
    </w:rPr>
  </w:style>
  <w:style w:type="character" w:customStyle="1" w:styleId="281">
    <w:name w:val="disabled17"/>
    <w:qFormat/>
    <w:uiPriority w:val="0"/>
    <w:rPr>
      <w:vanish/>
    </w:rPr>
  </w:style>
  <w:style w:type="character" w:customStyle="1" w:styleId="282">
    <w:name w:val="MSG_EN_FONT_STYLE_NAME_TEMPLATE_ROLE_NUMBER MSG_EN_FONT_STYLE_NAME_BY_ROLE_TEXT 13_"/>
    <w:link w:val="283"/>
    <w:qFormat/>
    <w:uiPriority w:val="0"/>
    <w:rPr>
      <w:rFonts w:ascii="PMingLiU" w:hAnsi="PMingLiU" w:eastAsia="PMingLiU" w:cs="PMingLiU"/>
      <w:shd w:val="clear" w:color="auto" w:fill="FFFFFF"/>
    </w:rPr>
  </w:style>
  <w:style w:type="paragraph" w:customStyle="1" w:styleId="283">
    <w:name w:val="MSG_EN_FONT_STYLE_NAME_TEMPLATE_ROLE_NUMBER MSG_EN_FONT_STYLE_NAME_BY_ROLE_TEXT 13"/>
    <w:basedOn w:val="1"/>
    <w:link w:val="282"/>
    <w:qFormat/>
    <w:uiPriority w:val="0"/>
    <w:pPr>
      <w:shd w:val="clear" w:color="auto" w:fill="FFFFFF"/>
      <w:spacing w:before="340" w:after="160" w:line="398" w:lineRule="exact"/>
      <w:jc w:val="distribute"/>
    </w:pPr>
    <w:rPr>
      <w:rFonts w:ascii="PMingLiU" w:hAnsi="PMingLiU" w:eastAsia="PMingLiU" w:cs="PMingLiU"/>
    </w:rPr>
  </w:style>
  <w:style w:type="character" w:customStyle="1" w:styleId="284">
    <w:name w:val="current23"/>
    <w:qFormat/>
    <w:uiPriority w:val="0"/>
    <w:rPr>
      <w:b/>
      <w:color w:val="000000"/>
    </w:rPr>
  </w:style>
  <w:style w:type="character" w:customStyle="1" w:styleId="285">
    <w:name w:val="first-child"/>
    <w:qFormat/>
    <w:uiPriority w:val="0"/>
    <w:rPr>
      <w:bdr w:val="single" w:color="E1E1E1" w:sz="4" w:space="0"/>
    </w:rPr>
  </w:style>
  <w:style w:type="character" w:customStyle="1" w:styleId="286">
    <w:name w:val="current12"/>
    <w:qFormat/>
    <w:uiPriority w:val="0"/>
    <w:rPr>
      <w:b/>
      <w:color w:val="FFFFFF"/>
      <w:bdr w:val="single" w:color="AAD83E" w:sz="4" w:space="0"/>
      <w:shd w:val="clear" w:color="auto" w:fill="AAD83E"/>
    </w:rPr>
  </w:style>
  <w:style w:type="character" w:customStyle="1" w:styleId="287">
    <w:name w:val="MSG_EN_FONT_STYLE_NAME_TEMPLATE_ROLE_NUMBER MSG_EN_FONT_STYLE_NAME_BY_ROLE_TEXT 10_"/>
    <w:link w:val="288"/>
    <w:qFormat/>
    <w:uiPriority w:val="0"/>
    <w:rPr>
      <w:rFonts w:ascii="PMingLiU" w:hAnsi="PMingLiU" w:eastAsia="PMingLiU" w:cs="PMingLiU"/>
      <w:shd w:val="clear" w:color="auto" w:fill="FFFFFF"/>
    </w:rPr>
  </w:style>
  <w:style w:type="paragraph" w:customStyle="1" w:styleId="288">
    <w:name w:val="MSG_EN_FONT_STYLE_NAME_TEMPLATE_ROLE_NUMBER MSG_EN_FONT_STYLE_NAME_BY_ROLE_TEXT 102"/>
    <w:basedOn w:val="1"/>
    <w:link w:val="287"/>
    <w:qFormat/>
    <w:uiPriority w:val="0"/>
    <w:pPr>
      <w:shd w:val="clear" w:color="auto" w:fill="FFFFFF"/>
      <w:spacing w:before="360" w:after="160" w:line="398" w:lineRule="exact"/>
      <w:jc w:val="distribute"/>
    </w:pPr>
    <w:rPr>
      <w:rFonts w:ascii="PMingLiU" w:hAnsi="PMingLiU" w:eastAsia="PMingLiU" w:cs="PMingLiU"/>
    </w:rPr>
  </w:style>
  <w:style w:type="character" w:customStyle="1" w:styleId="289">
    <w:name w:val="副标题 Char1"/>
    <w:qFormat/>
    <w:uiPriority w:val="99"/>
    <w:rPr>
      <w:rFonts w:ascii="Cambria" w:hAnsi="Cambria" w:eastAsia="宋体" w:cs="Times New Roman"/>
      <w:b/>
      <w:bCs/>
      <w:kern w:val="28"/>
      <w:sz w:val="32"/>
      <w:szCs w:val="32"/>
    </w:rPr>
  </w:style>
  <w:style w:type="character" w:customStyle="1" w:styleId="290">
    <w:name w:val="disabled2"/>
    <w:qFormat/>
    <w:uiPriority w:val="0"/>
    <w:rPr>
      <w:vanish/>
    </w:rPr>
  </w:style>
  <w:style w:type="character" w:customStyle="1" w:styleId="291">
    <w:name w:val="disabled20"/>
    <w:qFormat/>
    <w:uiPriority w:val="0"/>
    <w:rPr>
      <w:color w:val="CCCCCC"/>
      <w:bdr w:val="single" w:color="CCCCCC" w:sz="4" w:space="0"/>
    </w:rPr>
  </w:style>
  <w:style w:type="character" w:customStyle="1" w:styleId="292">
    <w:name w:val="current15"/>
    <w:qFormat/>
    <w:uiPriority w:val="0"/>
    <w:rPr>
      <w:b/>
      <w:color w:val="FFFFFF"/>
      <w:shd w:val="clear" w:color="auto" w:fill="000000"/>
    </w:rPr>
  </w:style>
  <w:style w:type="character" w:customStyle="1" w:styleId="293">
    <w:name w:val="current7"/>
    <w:qFormat/>
    <w:uiPriority w:val="0"/>
    <w:rPr>
      <w:b/>
      <w:color w:val="FFFFFF"/>
      <w:bdr w:val="single" w:color="B2E05D" w:sz="4" w:space="0"/>
      <w:shd w:val="clear" w:color="auto" w:fill="B2E05D"/>
    </w:rPr>
  </w:style>
  <w:style w:type="character" w:customStyle="1" w:styleId="294">
    <w:name w:val="current18"/>
    <w:qFormat/>
    <w:uiPriority w:val="0"/>
    <w:rPr>
      <w:b/>
      <w:color w:val="444444"/>
      <w:bdr w:val="single" w:color="B7D8EE" w:sz="4" w:space="0"/>
      <w:shd w:val="clear" w:color="auto" w:fill="D2EAF6"/>
    </w:rPr>
  </w:style>
  <w:style w:type="character" w:customStyle="1" w:styleId="295">
    <w:name w:val="MSG_EN_FONT_STYLE_NAME_TEMPLATE_ROLE_NUMBER MSG_EN_FONT_STYLE_NAME_BY_ROLE_TEXT 10 + MSG_EN_FONT_STYLE_MODIFER_BOLD"/>
    <w:qFormat/>
    <w:uiPriority w:val="0"/>
    <w:rPr>
      <w:rFonts w:ascii="PMingLiU" w:hAnsi="PMingLiU" w:eastAsia="PMingLiU" w:cs="PMingLiU"/>
      <w:b/>
      <w:bCs/>
      <w:color w:val="000000"/>
      <w:spacing w:val="0"/>
      <w:w w:val="100"/>
      <w:position w:val="0"/>
      <w:sz w:val="24"/>
      <w:szCs w:val="24"/>
      <w:u w:val="none"/>
      <w:shd w:val="clear" w:color="auto" w:fill="FFFFFF"/>
      <w:lang w:val="zh-CN" w:eastAsia="zh-CN" w:bidi="zh-CN"/>
    </w:rPr>
  </w:style>
  <w:style w:type="character" w:customStyle="1" w:styleId="296">
    <w:name w:val="disabled"/>
    <w:qFormat/>
    <w:uiPriority w:val="0"/>
    <w:rPr>
      <w:vanish/>
    </w:rPr>
  </w:style>
  <w:style w:type="character" w:customStyle="1" w:styleId="297">
    <w:name w:val="disabled9"/>
    <w:qFormat/>
    <w:uiPriority w:val="0"/>
    <w:rPr>
      <w:color w:val="808080"/>
      <w:bdr w:val="single" w:color="606060" w:sz="4" w:space="0"/>
    </w:rPr>
  </w:style>
  <w:style w:type="character" w:customStyle="1" w:styleId="298">
    <w:name w:val="disabled11"/>
    <w:qFormat/>
    <w:uiPriority w:val="0"/>
    <w:rPr>
      <w:color w:val="868686"/>
      <w:shd w:val="clear" w:color="auto" w:fill="3E3E3E"/>
    </w:rPr>
  </w:style>
  <w:style w:type="character" w:customStyle="1" w:styleId="299">
    <w:name w:val="disabled5"/>
    <w:qFormat/>
    <w:uiPriority w:val="0"/>
    <w:rPr>
      <w:color w:val="FFE3C6"/>
      <w:bdr w:val="single" w:color="FFE3C6" w:sz="4" w:space="0"/>
    </w:rPr>
  </w:style>
  <w:style w:type="character" w:customStyle="1" w:styleId="300">
    <w:name w:val="MSG_EN_FONT_STYLE_NAME_TEMPLATE_ROLE_NUMBER MSG_EN_FONT_STYLE_NAME_BY_ROLE_TEXT 10 + MSG_EN_FONT_STYLE_MODIFER_SIZE 10"/>
    <w:qFormat/>
    <w:uiPriority w:val="0"/>
    <w:rPr>
      <w:rFonts w:ascii="PMingLiU" w:hAnsi="PMingLiU" w:eastAsia="PMingLiU" w:cs="PMingLiU"/>
      <w:color w:val="000000"/>
      <w:spacing w:val="0"/>
      <w:w w:val="100"/>
      <w:position w:val="0"/>
      <w:sz w:val="20"/>
      <w:szCs w:val="20"/>
      <w:u w:val="none"/>
      <w:shd w:val="clear" w:color="auto" w:fill="FFFFFF"/>
      <w:lang w:val="zh-CN" w:eastAsia="zh-CN" w:bidi="zh-CN"/>
    </w:rPr>
  </w:style>
  <w:style w:type="character" w:customStyle="1" w:styleId="301">
    <w:name w:val="current20"/>
    <w:qFormat/>
    <w:uiPriority w:val="0"/>
    <w:rPr>
      <w:b/>
      <w:color w:val="000000"/>
      <w:bdr w:val="single" w:color="E89954" w:sz="4" w:space="0"/>
      <w:shd w:val="clear" w:color="auto" w:fill="FFCA7D"/>
    </w:rPr>
  </w:style>
  <w:style w:type="paragraph" w:customStyle="1" w:styleId="302">
    <w:name w:val="Char Char Char"/>
    <w:basedOn w:val="1"/>
    <w:qFormat/>
    <w:uiPriority w:val="0"/>
    <w:pPr>
      <w:spacing w:after="200" w:line="276" w:lineRule="auto"/>
    </w:pPr>
    <w:rPr>
      <w:sz w:val="24"/>
      <w:szCs w:val="24"/>
    </w:rPr>
  </w:style>
  <w:style w:type="character" w:customStyle="1" w:styleId="303">
    <w:name w:val="副标题 Char2"/>
    <w:qFormat/>
    <w:uiPriority w:val="11"/>
    <w:rPr>
      <w:rFonts w:ascii="Cambria" w:hAnsi="Cambria" w:eastAsia="宋体" w:cs="Times New Roman"/>
      <w:b/>
      <w:bCs/>
      <w:kern w:val="28"/>
      <w:sz w:val="32"/>
      <w:szCs w:val="32"/>
    </w:rPr>
  </w:style>
  <w:style w:type="paragraph" w:customStyle="1" w:styleId="304">
    <w:name w:val="表格居中"/>
    <w:basedOn w:val="1"/>
    <w:qFormat/>
    <w:uiPriority w:val="0"/>
    <w:pPr>
      <w:spacing w:after="200" w:line="260" w:lineRule="exact"/>
      <w:jc w:val="center"/>
    </w:pPr>
    <w:rPr>
      <w:rFonts w:ascii="宋体" w:hAnsi="宋体" w:cs="仿宋"/>
      <w:sz w:val="18"/>
      <w:szCs w:val="21"/>
    </w:rPr>
  </w:style>
  <w:style w:type="paragraph" w:customStyle="1" w:styleId="305">
    <w:name w:val="表格靠左"/>
    <w:basedOn w:val="1"/>
    <w:qFormat/>
    <w:uiPriority w:val="0"/>
    <w:pPr>
      <w:tabs>
        <w:tab w:val="center" w:pos="4897"/>
        <w:tab w:val="left" w:pos="7110"/>
      </w:tabs>
      <w:spacing w:after="200" w:line="300" w:lineRule="exact"/>
    </w:pPr>
    <w:rPr>
      <w:rFonts w:ascii="宋体" w:hAnsi="宋体" w:cs="仿宋"/>
      <w:sz w:val="18"/>
      <w:szCs w:val="21"/>
    </w:rPr>
  </w:style>
  <w:style w:type="paragraph" w:customStyle="1" w:styleId="306">
    <w:name w:val="文章正文"/>
    <w:basedOn w:val="1"/>
    <w:qFormat/>
    <w:uiPriority w:val="0"/>
    <w:pPr>
      <w:spacing w:after="200" w:line="360" w:lineRule="auto"/>
      <w:ind w:left="420" w:leftChars="200" w:firstLine="560" w:firstLineChars="200"/>
    </w:pPr>
    <w:rPr>
      <w:rFonts w:ascii="宋体" w:hAnsi="宋体"/>
      <w:sz w:val="28"/>
      <w:szCs w:val="24"/>
    </w:rPr>
  </w:style>
  <w:style w:type="paragraph" w:customStyle="1" w:styleId="307">
    <w:name w:val="手册第二级"/>
    <w:basedOn w:val="1"/>
    <w:qFormat/>
    <w:uiPriority w:val="0"/>
    <w:pPr>
      <w:spacing w:after="200" w:line="276" w:lineRule="auto"/>
      <w:ind w:left="1680"/>
    </w:pPr>
    <w:rPr>
      <w:rFonts w:ascii="Calibri" w:hAnsi="Calibri" w:eastAsia="仿宋_GB2312"/>
      <w:b/>
      <w:sz w:val="30"/>
      <w:szCs w:val="22"/>
    </w:rPr>
  </w:style>
  <w:style w:type="character" w:customStyle="1" w:styleId="308">
    <w:name w:val="doc_title"/>
    <w:qFormat/>
    <w:uiPriority w:val="0"/>
  </w:style>
  <w:style w:type="character" w:customStyle="1" w:styleId="309">
    <w:name w:val="正文文本缩进 2 字符1"/>
    <w:semiHidden/>
    <w:qFormat/>
    <w:uiPriority w:val="99"/>
    <w:rPr>
      <w:rFonts w:ascii="Times New Roman" w:hAnsi="Times New Roman" w:eastAsia="宋体" w:cs="Times New Roman"/>
    </w:rPr>
  </w:style>
  <w:style w:type="paragraph" w:styleId="310">
    <w:name w:val="No Spacing"/>
    <w:basedOn w:val="1"/>
    <w:qFormat/>
    <w:uiPriority w:val="1"/>
    <w:rPr>
      <w:rFonts w:ascii="Calibri" w:hAnsi="Calibri"/>
      <w:sz w:val="24"/>
      <w:szCs w:val="32"/>
    </w:rPr>
  </w:style>
  <w:style w:type="paragraph" w:styleId="311">
    <w:name w:val="Quote"/>
    <w:basedOn w:val="1"/>
    <w:next w:val="1"/>
    <w:link w:val="312"/>
    <w:qFormat/>
    <w:uiPriority w:val="29"/>
    <w:rPr>
      <w:rFonts w:ascii="Calibri" w:hAnsi="Calibri"/>
      <w:i/>
      <w:sz w:val="24"/>
      <w:szCs w:val="24"/>
    </w:rPr>
  </w:style>
  <w:style w:type="character" w:customStyle="1" w:styleId="312">
    <w:name w:val="引用 字符"/>
    <w:link w:val="311"/>
    <w:qFormat/>
    <w:uiPriority w:val="29"/>
    <w:rPr>
      <w:rFonts w:cs="Times New Roman"/>
      <w:i/>
      <w:sz w:val="24"/>
      <w:szCs w:val="24"/>
    </w:rPr>
  </w:style>
  <w:style w:type="paragraph" w:styleId="313">
    <w:name w:val="Intense Quote"/>
    <w:basedOn w:val="1"/>
    <w:next w:val="1"/>
    <w:link w:val="314"/>
    <w:qFormat/>
    <w:uiPriority w:val="30"/>
    <w:pPr>
      <w:ind w:left="720" w:right="720"/>
    </w:pPr>
    <w:rPr>
      <w:rFonts w:ascii="Calibri" w:hAnsi="Calibri"/>
      <w:b/>
      <w:i/>
      <w:sz w:val="24"/>
      <w:szCs w:val="22"/>
    </w:rPr>
  </w:style>
  <w:style w:type="character" w:customStyle="1" w:styleId="314">
    <w:name w:val="明显引用 字符"/>
    <w:link w:val="313"/>
    <w:qFormat/>
    <w:uiPriority w:val="30"/>
    <w:rPr>
      <w:rFonts w:cs="Times New Roman"/>
      <w:b/>
      <w:i/>
      <w:sz w:val="24"/>
      <w:szCs w:val="22"/>
    </w:rPr>
  </w:style>
  <w:style w:type="character" w:customStyle="1" w:styleId="315">
    <w:name w:val="不明显强调1"/>
    <w:qFormat/>
    <w:uiPriority w:val="19"/>
    <w:rPr>
      <w:i/>
      <w:color w:val="595959"/>
    </w:rPr>
  </w:style>
  <w:style w:type="character" w:customStyle="1" w:styleId="316">
    <w:name w:val="明显强调1"/>
    <w:qFormat/>
    <w:uiPriority w:val="21"/>
    <w:rPr>
      <w:b/>
      <w:i/>
      <w:sz w:val="24"/>
      <w:szCs w:val="24"/>
      <w:u w:val="single"/>
    </w:rPr>
  </w:style>
  <w:style w:type="character" w:customStyle="1" w:styleId="317">
    <w:name w:val="不明显参考1"/>
    <w:qFormat/>
    <w:uiPriority w:val="31"/>
    <w:rPr>
      <w:sz w:val="24"/>
      <w:szCs w:val="24"/>
      <w:u w:val="single"/>
    </w:rPr>
  </w:style>
  <w:style w:type="character" w:customStyle="1" w:styleId="318">
    <w:name w:val="明显参考1"/>
    <w:qFormat/>
    <w:uiPriority w:val="32"/>
    <w:rPr>
      <w:b/>
      <w:sz w:val="24"/>
      <w:u w:val="single"/>
    </w:rPr>
  </w:style>
  <w:style w:type="character" w:customStyle="1" w:styleId="319">
    <w:name w:val="书籍标题1"/>
    <w:qFormat/>
    <w:uiPriority w:val="33"/>
    <w:rPr>
      <w:rFonts w:ascii="Cambria" w:hAnsi="Cambria" w:eastAsia="宋体"/>
      <w:b/>
      <w:i/>
      <w:sz w:val="24"/>
      <w:szCs w:val="24"/>
    </w:rPr>
  </w:style>
  <w:style w:type="character" w:customStyle="1" w:styleId="320">
    <w:name w:val="普通(网站) Char"/>
    <w:qFormat/>
    <w:uiPriority w:val="0"/>
    <w:rPr>
      <w:rFonts w:ascii="宋体" w:hAnsi="宋体" w:cs="宋体"/>
      <w:sz w:val="24"/>
      <w:szCs w:val="24"/>
    </w:rPr>
  </w:style>
  <w:style w:type="character" w:customStyle="1" w:styleId="321">
    <w:name w:val="纯文本 字符4"/>
    <w:qFormat/>
    <w:uiPriority w:val="0"/>
    <w:rPr>
      <w:rFonts w:ascii="宋体" w:eastAsia="宋体"/>
      <w:kern w:val="2"/>
      <w:sz w:val="21"/>
      <w:lang w:val="en-US" w:eastAsia="zh-CN" w:bidi="ar-SA"/>
    </w:rPr>
  </w:style>
  <w:style w:type="paragraph" w:customStyle="1" w:styleId="322">
    <w:name w:val="Other|1"/>
    <w:basedOn w:val="1"/>
    <w:qFormat/>
    <w:uiPriority w:val="0"/>
    <w:pPr>
      <w:widowControl w:val="0"/>
      <w:spacing w:after="100" w:line="317" w:lineRule="exact"/>
    </w:pPr>
    <w:rPr>
      <w:rFonts w:ascii="宋体" w:hAnsi="宋体" w:cs="宋体"/>
      <w:lang w:val="zh-TW" w:eastAsia="zh-TW" w:bidi="zh-TW"/>
    </w:rPr>
  </w:style>
  <w:style w:type="paragraph" w:customStyle="1" w:styleId="323">
    <w:name w:val="msonormal"/>
    <w:basedOn w:val="1"/>
    <w:qFormat/>
    <w:uiPriority w:val="0"/>
    <w:pPr>
      <w:spacing w:before="100" w:beforeAutospacing="1" w:after="100" w:afterAutospacing="1"/>
    </w:pPr>
    <w:rPr>
      <w:rFonts w:ascii="宋体" w:hAnsi="宋体" w:cs="宋体"/>
      <w:sz w:val="24"/>
      <w:szCs w:val="24"/>
    </w:rPr>
  </w:style>
  <w:style w:type="paragraph" w:customStyle="1" w:styleId="324">
    <w:name w:val="18"/>
    <w:basedOn w:val="1"/>
    <w:qFormat/>
    <w:uiPriority w:val="0"/>
    <w:pPr>
      <w:spacing w:before="100" w:beforeAutospacing="1" w:after="100" w:afterAutospacing="1"/>
    </w:pPr>
    <w:rPr>
      <w:rFonts w:ascii="宋体" w:hAnsi="宋体" w:cs="宋体"/>
      <w:sz w:val="24"/>
      <w:szCs w:val="24"/>
    </w:rPr>
  </w:style>
  <w:style w:type="character" w:customStyle="1" w:styleId="325">
    <w:name w:val="15"/>
    <w:qFormat/>
    <w:uiPriority w:val="0"/>
  </w:style>
  <w:style w:type="character" w:customStyle="1" w:styleId="326">
    <w:name w:val="_Style 324"/>
    <w:unhideWhenUsed/>
    <w:qFormat/>
    <w:uiPriority w:val="99"/>
    <w:rPr>
      <w:color w:val="605E5C"/>
      <w:shd w:val="clear" w:color="auto" w:fill="E1DFDD"/>
    </w:rPr>
  </w:style>
  <w:style w:type="character" w:customStyle="1" w:styleId="327">
    <w:name w:val="NormalCharacter"/>
    <w:semiHidden/>
    <w:qFormat/>
    <w:uiPriority w:val="0"/>
  </w:style>
  <w:style w:type="paragraph" w:customStyle="1" w:styleId="328">
    <w:name w:val="样式 首行缩进:  2 字符"/>
    <w:basedOn w:val="1"/>
    <w:link w:val="329"/>
    <w:qFormat/>
    <w:uiPriority w:val="99"/>
    <w:pPr>
      <w:widowControl w:val="0"/>
      <w:spacing w:line="400" w:lineRule="exact"/>
      <w:ind w:firstLine="200" w:firstLineChars="200"/>
      <w:jc w:val="both"/>
    </w:pPr>
    <w:rPr>
      <w:rFonts w:cs="宋体"/>
      <w:kern w:val="2"/>
      <w:sz w:val="24"/>
      <w:szCs w:val="24"/>
    </w:rPr>
  </w:style>
  <w:style w:type="character" w:customStyle="1" w:styleId="329">
    <w:name w:val="样式 首行缩进:  2 字符 Char Char"/>
    <w:link w:val="328"/>
    <w:qFormat/>
    <w:uiPriority w:val="99"/>
    <w:rPr>
      <w:rFonts w:cs="宋体"/>
      <w:kern w:val="2"/>
      <w:sz w:val="24"/>
      <w:szCs w:val="24"/>
    </w:rPr>
  </w:style>
  <w:style w:type="character" w:customStyle="1" w:styleId="330">
    <w:name w:val="grame"/>
    <w:qFormat/>
    <w:uiPriority w:val="0"/>
  </w:style>
  <w:style w:type="character" w:customStyle="1" w:styleId="331">
    <w:name w:val="font51"/>
    <w:qFormat/>
    <w:uiPriority w:val="0"/>
    <w:rPr>
      <w:rFonts w:hint="default" w:ascii="Cambria Math" w:hAnsi="Cambria Math"/>
      <w:color w:val="000000"/>
      <w:sz w:val="21"/>
      <w:szCs w:val="21"/>
      <w:u w:val="none"/>
    </w:rPr>
  </w:style>
  <w:style w:type="paragraph" w:customStyle="1" w:styleId="332">
    <w:name w:val="修订2"/>
    <w:hidden/>
    <w:semiHidden/>
    <w:qFormat/>
    <w:uiPriority w:val="99"/>
    <w:rPr>
      <w:rFonts w:ascii="Times New Roman" w:hAnsi="Times New Roman" w:eastAsia="宋体" w:cs="Times New Roman"/>
      <w:lang w:val="en-US" w:eastAsia="zh-CN" w:bidi="ar-SA"/>
    </w:rPr>
  </w:style>
  <w:style w:type="character" w:customStyle="1" w:styleId="333">
    <w:name w:val="font21"/>
    <w:basedOn w:val="45"/>
    <w:qFormat/>
    <w:uiPriority w:val="0"/>
    <w:rPr>
      <w:rFonts w:hint="eastAsia" w:ascii="宋体" w:hAnsi="宋体" w:eastAsia="宋体"/>
      <w:color w:val="000000"/>
      <w:sz w:val="21"/>
      <w:szCs w:val="21"/>
      <w:u w:val="none"/>
    </w:rPr>
  </w:style>
  <w:style w:type="paragraph" w:customStyle="1" w:styleId="334">
    <w:name w:val="正文样式"/>
    <w:basedOn w:val="1"/>
    <w:qFormat/>
    <w:uiPriority w:val="0"/>
    <w:pPr>
      <w:spacing w:line="360" w:lineRule="auto"/>
      <w:ind w:firstLine="567"/>
    </w:pPr>
    <w:rPr>
      <w:rFonts w:hAnsi="宋体"/>
      <w:sz w:val="24"/>
    </w:rPr>
  </w:style>
  <w:style w:type="table" w:customStyle="1" w:styleId="335">
    <w:name w:val="Table Normal"/>
    <w:unhideWhenUsed/>
    <w:qFormat/>
    <w:uiPriority w:val="0"/>
    <w:tblPr>
      <w:tblCellMar>
        <w:top w:w="0" w:type="dxa"/>
        <w:left w:w="0" w:type="dxa"/>
        <w:bottom w:w="0" w:type="dxa"/>
        <w:right w:w="0" w:type="dxa"/>
      </w:tblCellMar>
    </w:tblPr>
  </w:style>
  <w:style w:type="paragraph" w:customStyle="1" w:styleId="336">
    <w:name w:val="Revision"/>
    <w:hidden/>
    <w:semiHidden/>
    <w:qFormat/>
    <w:uiPriority w:val="99"/>
    <w:rPr>
      <w:rFonts w:ascii="Times New Roman" w:hAnsi="Times New Roman" w:eastAsia="宋体" w:cs="Times New Roman"/>
      <w:lang w:val="en-US" w:eastAsia="zh-CN" w:bidi="ar-SA"/>
    </w:rPr>
  </w:style>
  <w:style w:type="paragraph" w:customStyle="1" w:styleId="337">
    <w:name w:val="正文_1"/>
    <w:autoRedefine/>
    <w:qFormat/>
    <w:uiPriority w:val="0"/>
    <w:pPr>
      <w:widowControl w:val="0"/>
      <w:spacing w:before="120" w:beforeLines="50" w:line="360" w:lineRule="auto"/>
      <w:ind w:left="105" w:leftChars="50" w:right="105" w:rightChars="50"/>
      <w:jc w:val="both"/>
    </w:pPr>
    <w:rPr>
      <w:rFonts w:ascii="宋体" w:hAnsi="宋体"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58</Pages>
  <Words>3712</Words>
  <Characters>4306</Characters>
  <Lines>1995</Lines>
  <Paragraphs>1754</Paragraphs>
  <TotalTime>5</TotalTime>
  <ScaleCrop>false</ScaleCrop>
  <LinksUpToDate>false</LinksUpToDate>
  <CharactersWithSpaces>4369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2024-07-14T07:10:00Z</dcterms:created>
  <dc:creator>IBM</dc:creator>
  <cp:lastModifiedBy>joke</cp:lastModifiedBy>
  <cp:lastPrinted>2026-03-19T01:00:00Z</cp:lastPrinted>
  <dcterms:modified xsi:type="dcterms:W3CDTF">2026-05-19T03:55:42Z</dcterms:modified>
  <dc:title>备案号：昆建招备2009-</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145F9E232E2A49EA9FB9D8149DAE7132_13</vt:lpwstr>
  </property>
  <property fmtid="{D5CDD505-2E9C-101B-9397-08002B2CF9AE}" pid="3" name="KSOProductBuildVer">
    <vt:lpwstr>2052-12.1.0.25225</vt:lpwstr>
  </property>
  <property fmtid="{D5CDD505-2E9C-101B-9397-08002B2CF9AE}" pid="4" name="KSOTemplateDocerSaveRecord">
    <vt:lpwstr>eyJoZGlkIjoiYzdkM2VkZmU0NzkyODIxNWEyYWVmZDY0MTY0YjJlNzQiLCJ1c2VySWQiOiIyNzkwODc4MzEifQ==</vt:lpwstr>
  </property>
</Properties>
</file>